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CD22FE" w14:paraId="4B71D8C8" w14:textId="77777777" w:rsidTr="00363966">
        <w:trPr>
          <w:trHeight w:val="738"/>
        </w:trPr>
        <w:tc>
          <w:tcPr>
            <w:tcW w:w="5922" w:type="dxa"/>
            <w:gridSpan w:val="2"/>
            <w:tcBorders>
              <w:bottom w:val="single" w:sz="18" w:space="0" w:color="auto"/>
            </w:tcBorders>
          </w:tcPr>
          <w:p w14:paraId="70E9BC7C" w14:textId="77777777" w:rsidR="00CD22FE" w:rsidRDefault="00CD22FE" w:rsidP="008C1A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1F0D449" w14:textId="77777777" w:rsidR="00CD22FE" w:rsidRDefault="00CD22FE" w:rsidP="008C1A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1F0CDC73" w14:textId="77777777" w:rsidR="00CD22FE" w:rsidRDefault="00CD22FE" w:rsidP="008C1A94">
            <w:pPr>
              <w:tabs>
                <w:tab w:val="left" w:pos="3010"/>
              </w:tabs>
              <w:jc w:val="center"/>
              <w:rPr>
                <w:sz w:val="52"/>
                <w:szCs w:val="52"/>
              </w:rPr>
            </w:pPr>
            <w:r>
              <w:rPr>
                <w:rFonts w:ascii="Univers Bold" w:hAnsi="Univers Bold"/>
                <w:b/>
                <w:sz w:val="72"/>
                <w:lang w:val="fr-CA"/>
              </w:rPr>
              <w:t xml:space="preserve">          EP</w:t>
            </w:r>
          </w:p>
        </w:tc>
      </w:tr>
      <w:tr w:rsidR="00CD22FE" w:rsidRPr="00D737A1" w14:paraId="40AAF6A6" w14:textId="77777777" w:rsidTr="00976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2"/>
        </w:trPr>
        <w:tc>
          <w:tcPr>
            <w:tcW w:w="2052" w:type="dxa"/>
            <w:tcBorders>
              <w:top w:val="nil"/>
              <w:left w:val="nil"/>
              <w:bottom w:val="single" w:sz="36" w:space="0" w:color="auto"/>
              <w:right w:val="nil"/>
            </w:tcBorders>
          </w:tcPr>
          <w:p w14:paraId="768451CD" w14:textId="77777777" w:rsidR="00CD22FE" w:rsidRDefault="00976886" w:rsidP="00CD22FE">
            <w:pPr>
              <w:spacing w:before="120"/>
              <w:ind w:right="410"/>
            </w:pPr>
            <w:r>
              <w:rPr>
                <w:noProof/>
                <w:lang w:eastAsia="en-CA"/>
              </w:rPr>
              <w:drawing>
                <wp:anchor distT="0" distB="0" distL="114300" distR="114300" simplePos="0" relativeHeight="251662336" behindDoc="0" locked="0" layoutInCell="1" allowOverlap="1" wp14:anchorId="4E8A5545" wp14:editId="14E3B5A3">
                  <wp:simplePos x="0" y="0"/>
                  <wp:positionH relativeFrom="column">
                    <wp:posOffset>31115</wp:posOffset>
                  </wp:positionH>
                  <wp:positionV relativeFrom="paragraph">
                    <wp:posOffset>741045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sidR="003632A8">
              <w:rPr>
                <w:noProof/>
                <w:lang w:eastAsia="en-CA"/>
              </w:rPr>
              <w:drawing>
                <wp:anchor distT="0" distB="0" distL="114300" distR="114300" simplePos="0" relativeHeight="251659264" behindDoc="1" locked="0" layoutInCell="0" allowOverlap="1" wp14:anchorId="13489D6B" wp14:editId="63CBC233">
                  <wp:simplePos x="0" y="0"/>
                  <wp:positionH relativeFrom="column">
                    <wp:posOffset>-274320</wp:posOffset>
                  </wp:positionH>
                  <wp:positionV relativeFrom="paragraph">
                    <wp:posOffset>33020</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p w14:paraId="6996428D" w14:textId="1A447006" w:rsidR="00363966" w:rsidRPr="00363966" w:rsidRDefault="00363966" w:rsidP="00363966">
            <w:pPr>
              <w:ind w:firstLine="720"/>
            </w:pPr>
          </w:p>
        </w:tc>
        <w:tc>
          <w:tcPr>
            <w:tcW w:w="3870" w:type="dxa"/>
            <w:tcBorders>
              <w:top w:val="nil"/>
              <w:left w:val="nil"/>
              <w:bottom w:val="single" w:sz="36" w:space="0" w:color="auto"/>
              <w:right w:val="nil"/>
            </w:tcBorders>
          </w:tcPr>
          <w:p w14:paraId="44840984" w14:textId="77777777" w:rsidR="00CD22FE" w:rsidRDefault="00CD22FE" w:rsidP="008C1A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6DF52E" w14:textId="77777777" w:rsidR="00CD22FE" w:rsidRDefault="00CD22FE" w:rsidP="008C1A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D63B296" w14:textId="77777777" w:rsidR="00CD22FE" w:rsidRDefault="00CD22FE" w:rsidP="008C1A94">
            <w:pPr>
              <w:rPr>
                <w:rFonts w:ascii="Univers" w:hAnsi="Univers"/>
                <w:b/>
                <w:sz w:val="32"/>
                <w:lang w:val="fr-CA"/>
              </w:rPr>
            </w:pPr>
            <w:r>
              <w:rPr>
                <w:rFonts w:ascii="Univers" w:hAnsi="Univers"/>
                <w:b/>
                <w:sz w:val="32"/>
                <w:lang w:val="fr-CA"/>
              </w:rPr>
              <w:t>Nations Unies pour</w:t>
            </w:r>
          </w:p>
          <w:p w14:paraId="04C70C46" w14:textId="77777777" w:rsidR="00CD22FE" w:rsidRPr="00542808" w:rsidRDefault="00CD22FE" w:rsidP="008C1A94">
            <w:pPr>
              <w:rPr>
                <w:rFonts w:ascii="Univers" w:hAnsi="Univers"/>
                <w:b/>
                <w:sz w:val="32"/>
                <w:lang w:val="fr-CA"/>
              </w:rPr>
            </w:pPr>
            <w:r>
              <w:rPr>
                <w:rFonts w:ascii="Univers" w:hAnsi="Univers"/>
                <w:b/>
                <w:sz w:val="32"/>
                <w:lang w:val="fr-CA"/>
              </w:rPr>
              <w:t>l’environnement</w:t>
            </w:r>
          </w:p>
        </w:tc>
        <w:tc>
          <w:tcPr>
            <w:tcW w:w="3870" w:type="dxa"/>
            <w:tcBorders>
              <w:top w:val="nil"/>
              <w:left w:val="nil"/>
              <w:bottom w:val="single" w:sz="36" w:space="0" w:color="auto"/>
              <w:right w:val="nil"/>
            </w:tcBorders>
          </w:tcPr>
          <w:p w14:paraId="632E7C7F" w14:textId="77777777" w:rsidR="00CD22FE" w:rsidRDefault="00CD22FE" w:rsidP="008C1A94">
            <w:pPr>
              <w:rPr>
                <w:lang w:val="fr-FR"/>
              </w:rPr>
            </w:pPr>
          </w:p>
          <w:p w14:paraId="096AEE47" w14:textId="77777777" w:rsidR="00CD22FE" w:rsidRPr="00DD3433" w:rsidRDefault="00CD22FE" w:rsidP="008C1A94">
            <w:pPr>
              <w:rPr>
                <w:lang w:val="fr-FR"/>
              </w:rPr>
            </w:pPr>
            <w:r w:rsidRPr="00DD3433">
              <w:rPr>
                <w:lang w:val="fr-FR"/>
              </w:rPr>
              <w:t>Distr.</w:t>
            </w:r>
          </w:p>
          <w:p w14:paraId="6643E0F9" w14:textId="77777777" w:rsidR="00CD22FE" w:rsidRPr="00DD3433" w:rsidRDefault="00CD22FE" w:rsidP="008C1A94">
            <w:pPr>
              <w:rPr>
                <w:lang w:val="fr-FR"/>
              </w:rPr>
            </w:pPr>
            <w:r w:rsidRPr="00DD3433">
              <w:rPr>
                <w:lang w:val="fr-FR"/>
              </w:rPr>
              <w:t>GÉNÉRALE</w:t>
            </w:r>
          </w:p>
          <w:p w14:paraId="551A9FB9" w14:textId="77777777" w:rsidR="00CD22FE" w:rsidRPr="00DD3433" w:rsidRDefault="00CD22FE" w:rsidP="008C1A94">
            <w:pPr>
              <w:rPr>
                <w:lang w:val="fr-FR"/>
              </w:rPr>
            </w:pPr>
          </w:p>
          <w:p w14:paraId="796E724A" w14:textId="4709DAEA" w:rsidR="00CD22FE" w:rsidRPr="00956C5C" w:rsidRDefault="00CD22FE" w:rsidP="008C1A94">
            <w:pPr>
              <w:rPr>
                <w:lang w:val="fr-CA"/>
              </w:rPr>
            </w:pPr>
            <w:r>
              <w:fldChar w:fldCharType="begin"/>
            </w:r>
            <w:r w:rsidRPr="00956C5C">
              <w:rPr>
                <w:lang w:val="fr-CA"/>
              </w:rPr>
              <w:instrText xml:space="preserve"> DOCPROPERTY "Document number"  \* MERGEFORMAT </w:instrText>
            </w:r>
            <w:r>
              <w:fldChar w:fldCharType="separate"/>
            </w:r>
            <w:r>
              <w:rPr>
                <w:lang w:val="fr-CA"/>
              </w:rPr>
              <w:t>UNEP/OzL.Pro/ExCom/</w:t>
            </w:r>
            <w:r w:rsidR="00976886">
              <w:rPr>
                <w:lang w:val="fr-CA"/>
              </w:rPr>
              <w:t>95/5</w:t>
            </w:r>
            <w:r>
              <w:fldChar w:fldCharType="end"/>
            </w:r>
          </w:p>
          <w:p w14:paraId="1D238B47" w14:textId="16CD0D39" w:rsidR="00CD22FE" w:rsidRPr="00DB2922" w:rsidRDefault="00DB6AEB" w:rsidP="008C1A94">
            <w:pPr>
              <w:rPr>
                <w:lang w:val="fr-CA"/>
              </w:rPr>
            </w:pPr>
            <w:r>
              <w:rPr>
                <w:lang w:val="fr-CA"/>
              </w:rPr>
              <w:t>23</w:t>
            </w:r>
            <w:r w:rsidR="00CD22FE">
              <w:rPr>
                <w:lang w:val="fr-CA"/>
              </w:rPr>
              <w:t xml:space="preserve"> octobre</w:t>
            </w:r>
            <w:r w:rsidR="00CD22FE" w:rsidRPr="007778F9">
              <w:rPr>
                <w:lang w:val="fr-CA"/>
              </w:rPr>
              <w:t xml:space="preserve"> 2024</w:t>
            </w:r>
          </w:p>
          <w:p w14:paraId="77A2E926" w14:textId="77777777" w:rsidR="00CD22FE" w:rsidRDefault="00CD22FE" w:rsidP="008C1A94">
            <w:pPr>
              <w:rPr>
                <w:caps/>
                <w:lang w:val="fr-FR"/>
              </w:rPr>
            </w:pPr>
            <w:r w:rsidRPr="00DB2922">
              <w:rPr>
                <w:caps/>
                <w:lang w:val="fr-CA"/>
              </w:rPr>
              <w:br/>
            </w:r>
            <w:r>
              <w:rPr>
                <w:caps/>
                <w:lang w:val="fr-FR"/>
              </w:rPr>
              <w:t>FRANÇAIS</w:t>
            </w:r>
          </w:p>
          <w:p w14:paraId="3FD74626" w14:textId="77777777" w:rsidR="00CD22FE" w:rsidRPr="00E5237E" w:rsidRDefault="00CD22FE" w:rsidP="008C1A94">
            <w:pPr>
              <w:rPr>
                <w:lang w:val="fr-CA"/>
              </w:rPr>
            </w:pPr>
            <w:r w:rsidRPr="00E5237E">
              <w:rPr>
                <w:lang w:val="fr-CA"/>
              </w:rPr>
              <w:t>ORIGINAL: ANGLAIS</w:t>
            </w:r>
          </w:p>
        </w:tc>
      </w:tr>
    </w:tbl>
    <w:p w14:paraId="0180FF09" w14:textId="4F7ADD64" w:rsidR="00E207D8" w:rsidRPr="006B04AE" w:rsidRDefault="00A97E14" w:rsidP="00E207D8">
      <w:pPr>
        <w:jc w:val="left"/>
        <w:rPr>
          <w:rFonts w:asciiTheme="majorBidi" w:hAnsiTheme="majorBidi" w:cstheme="majorBidi"/>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E207D8" w:rsidRPr="006B04AE">
        <w:rPr>
          <w:lang w:val="fr-CA"/>
        </w:rPr>
        <w:t>Quatre-vingt-quinzième réunion</w:t>
      </w:r>
    </w:p>
    <w:p w14:paraId="4CC4A807" w14:textId="1FD66FB4" w:rsidR="00E207D8" w:rsidRPr="00D03D9E" w:rsidRDefault="00E207D8" w:rsidP="00E207D8">
      <w:pPr>
        <w:jc w:val="left"/>
        <w:rPr>
          <w:lang w:val="fr-FR"/>
        </w:rPr>
      </w:pPr>
      <w:r w:rsidRPr="002A6BC4">
        <w:rPr>
          <w:rFonts w:asciiTheme="majorBidi" w:hAnsiTheme="majorBidi"/>
          <w:lang w:val="fr-CA"/>
        </w:rPr>
        <w:t xml:space="preserve">Montréal, 4-8 </w:t>
      </w:r>
      <w:r w:rsidR="003C3707" w:rsidRPr="002A6BC4">
        <w:rPr>
          <w:rFonts w:asciiTheme="majorBidi" w:hAnsiTheme="majorBidi"/>
          <w:lang w:val="fr-CA"/>
        </w:rPr>
        <w:t>décembre</w:t>
      </w:r>
      <w:r w:rsidRPr="002A6BC4">
        <w:rPr>
          <w:rFonts w:asciiTheme="majorBidi" w:hAnsiTheme="majorBidi"/>
          <w:lang w:val="fr-CA"/>
        </w:rPr>
        <w:t xml:space="preserve"> 2024</w:t>
      </w:r>
    </w:p>
    <w:p w14:paraId="2F6EF162" w14:textId="77777777" w:rsidR="00E207D8" w:rsidRPr="006B04AE" w:rsidRDefault="00E207D8" w:rsidP="00E207D8">
      <w:pPr>
        <w:jc w:val="left"/>
        <w:rPr>
          <w:rFonts w:asciiTheme="majorBidi" w:hAnsiTheme="majorBidi" w:cstheme="majorBidi"/>
          <w:lang w:val="fr-CA"/>
        </w:rPr>
      </w:pPr>
      <w:r w:rsidRPr="006B04AE">
        <w:rPr>
          <w:rFonts w:asciiTheme="majorBidi" w:hAnsiTheme="majorBidi"/>
          <w:lang w:val="fr-CA"/>
        </w:rPr>
        <w:t>Point 4(c)(i) de l’ordre du jour provisoire</w:t>
      </w:r>
      <w:r w:rsidRPr="00D23228">
        <w:rPr>
          <w:rStyle w:val="FootnoteReference"/>
          <w:rFonts w:asciiTheme="majorBidi" w:hAnsiTheme="majorBidi" w:cstheme="majorBidi"/>
          <w:lang w:val="en-US"/>
        </w:rPr>
        <w:footnoteReference w:id="1"/>
      </w:r>
    </w:p>
    <w:p w14:paraId="6C5C44E5" w14:textId="77777777" w:rsidR="00E207D8" w:rsidRPr="006B04AE" w:rsidRDefault="00E207D8" w:rsidP="00E207D8">
      <w:pPr>
        <w:tabs>
          <w:tab w:val="left" w:pos="3535"/>
        </w:tabs>
        <w:jc w:val="left"/>
        <w:rPr>
          <w:rFonts w:asciiTheme="majorBidi" w:hAnsiTheme="majorBidi" w:cstheme="majorBidi"/>
          <w:lang w:val="fr-CA"/>
        </w:rPr>
      </w:pPr>
      <w:r w:rsidRPr="006B04AE">
        <w:rPr>
          <w:rFonts w:asciiTheme="majorBidi" w:hAnsiTheme="majorBidi" w:cstheme="majorBidi"/>
          <w:lang w:val="fr-CA"/>
        </w:rPr>
        <w:tab/>
      </w:r>
    </w:p>
    <w:p w14:paraId="2ACBF091" w14:textId="77777777" w:rsidR="00E207D8" w:rsidRPr="006B04AE" w:rsidRDefault="00E207D8" w:rsidP="00E207D8">
      <w:pPr>
        <w:jc w:val="left"/>
        <w:rPr>
          <w:rFonts w:asciiTheme="majorBidi" w:hAnsiTheme="majorBidi" w:cstheme="majorBidi"/>
          <w:lang w:val="fr-CA"/>
        </w:rPr>
      </w:pPr>
    </w:p>
    <w:p w14:paraId="6CD8A963" w14:textId="77777777" w:rsidR="00E207D8" w:rsidRDefault="00E207D8" w:rsidP="00E207D8">
      <w:pPr>
        <w:jc w:val="center"/>
        <w:rPr>
          <w:rFonts w:asciiTheme="majorBidi" w:hAnsiTheme="majorBidi" w:cstheme="majorBidi"/>
          <w:b/>
          <w:sz w:val="24"/>
          <w:szCs w:val="24"/>
        </w:rPr>
      </w:pPr>
      <w:r>
        <w:rPr>
          <w:rFonts w:asciiTheme="majorBidi" w:hAnsiTheme="majorBidi"/>
          <w:b/>
          <w:sz w:val="24"/>
          <w:szCs w:val="24"/>
        </w:rPr>
        <w:t>COMPTES FINAUX DE 2023</w:t>
      </w:r>
    </w:p>
    <w:p w14:paraId="4EE73C71" w14:textId="77777777" w:rsidR="00E207D8" w:rsidRDefault="00E207D8" w:rsidP="00E207D8">
      <w:pPr>
        <w:jc w:val="left"/>
        <w:rPr>
          <w:rFonts w:asciiTheme="majorBidi" w:hAnsiTheme="majorBidi" w:cstheme="majorBidi"/>
          <w:b/>
          <w:sz w:val="24"/>
          <w:szCs w:val="24"/>
          <w:lang w:val="en-US"/>
        </w:rPr>
      </w:pPr>
    </w:p>
    <w:p w14:paraId="18069019" w14:textId="77777777" w:rsidR="00E207D8" w:rsidRPr="00D23228" w:rsidRDefault="00E207D8" w:rsidP="00E207D8">
      <w:pPr>
        <w:tabs>
          <w:tab w:val="left" w:pos="3203"/>
        </w:tabs>
        <w:spacing w:after="240"/>
        <w:rPr>
          <w:rFonts w:asciiTheme="majorBidi" w:hAnsiTheme="majorBidi" w:cstheme="majorBidi"/>
          <w:b/>
          <w:bCs/>
          <w:sz w:val="24"/>
          <w:szCs w:val="24"/>
        </w:rPr>
      </w:pPr>
      <w:r>
        <w:rPr>
          <w:rFonts w:asciiTheme="majorBidi" w:hAnsiTheme="majorBidi"/>
          <w:b/>
          <w:bCs/>
          <w:sz w:val="24"/>
          <w:szCs w:val="24"/>
        </w:rPr>
        <w:t>Introduction</w:t>
      </w:r>
    </w:p>
    <w:p w14:paraId="4ED2C8C7" w14:textId="77777777" w:rsidR="00E207D8" w:rsidRPr="00D23228" w:rsidRDefault="00E207D8" w:rsidP="00E207D8">
      <w:pPr>
        <w:pStyle w:val="Heading1"/>
        <w:rPr>
          <w:rFonts w:asciiTheme="majorBidi" w:hAnsiTheme="majorBidi" w:cstheme="majorBidi"/>
        </w:rPr>
      </w:pPr>
      <w:r w:rsidRPr="006B04AE">
        <w:rPr>
          <w:rStyle w:val="bumpedfont15"/>
          <w:rFonts w:asciiTheme="majorBidi" w:hAnsiTheme="majorBidi"/>
          <w:iCs/>
          <w:lang w:val="fr-CA"/>
        </w:rPr>
        <w:t xml:space="preserve">Ce document présente les comptes finaux du Fonds multilatéral pour l'année se terminant le 31 décembre 2023. </w:t>
      </w:r>
      <w:r>
        <w:rPr>
          <w:rFonts w:asciiTheme="majorBidi" w:hAnsiTheme="majorBidi"/>
        </w:rPr>
        <w:t>L'annexe I du présent document comprend les tableaux suivants :</w:t>
      </w:r>
    </w:p>
    <w:p w14:paraId="076D4EE4" w14:textId="77777777" w:rsidR="00E207D8" w:rsidRPr="006B04AE" w:rsidRDefault="00E207D8" w:rsidP="00E207D8">
      <w:pPr>
        <w:pStyle w:val="Heading2"/>
        <w:numPr>
          <w:ilvl w:val="0"/>
          <w:numId w:val="0"/>
        </w:numPr>
        <w:tabs>
          <w:tab w:val="left" w:pos="2520"/>
        </w:tabs>
        <w:spacing w:after="0"/>
        <w:ind w:left="1440" w:hanging="720"/>
        <w:rPr>
          <w:rFonts w:asciiTheme="majorBidi" w:hAnsiTheme="majorBidi" w:cstheme="majorBidi"/>
          <w:lang w:val="fr-CA"/>
        </w:rPr>
      </w:pPr>
      <w:r w:rsidRPr="006B04AE">
        <w:rPr>
          <w:rFonts w:asciiTheme="majorBidi" w:hAnsiTheme="majorBidi"/>
          <w:lang w:val="fr-CA"/>
        </w:rPr>
        <w:t>Tableau 1.1</w:t>
      </w:r>
      <w:r w:rsidRPr="006B04AE">
        <w:rPr>
          <w:rFonts w:asciiTheme="majorBidi" w:hAnsiTheme="majorBidi"/>
          <w:lang w:val="fr-CA"/>
        </w:rPr>
        <w:tab/>
        <w:t>État des revenus et des dépenses en 2023</w:t>
      </w:r>
    </w:p>
    <w:p w14:paraId="07783714" w14:textId="77777777" w:rsidR="00E207D8" w:rsidRPr="00D23228" w:rsidRDefault="00E207D8" w:rsidP="00E207D8">
      <w:pPr>
        <w:pStyle w:val="ListParagraph"/>
        <w:tabs>
          <w:tab w:val="left" w:pos="2520"/>
        </w:tabs>
        <w:rPr>
          <w:rFonts w:asciiTheme="majorBidi" w:hAnsiTheme="majorBidi" w:cstheme="majorBidi"/>
        </w:rPr>
      </w:pPr>
      <w:r>
        <w:rPr>
          <w:rFonts w:asciiTheme="majorBidi" w:hAnsiTheme="majorBidi"/>
        </w:rPr>
        <w:t>Tableau 1.2</w:t>
      </w:r>
      <w:r>
        <w:rPr>
          <w:rFonts w:asciiTheme="majorBidi" w:hAnsiTheme="majorBidi"/>
        </w:rPr>
        <w:tab/>
        <w:t>État de la situation financière en 2023</w:t>
      </w:r>
    </w:p>
    <w:p w14:paraId="29E5C139" w14:textId="77777777" w:rsidR="00E207D8" w:rsidRPr="006B04AE" w:rsidRDefault="00E207D8" w:rsidP="00E207D8">
      <w:pPr>
        <w:pStyle w:val="Heading2"/>
        <w:numPr>
          <w:ilvl w:val="0"/>
          <w:numId w:val="0"/>
        </w:numPr>
        <w:tabs>
          <w:tab w:val="left" w:pos="2520"/>
        </w:tabs>
        <w:spacing w:after="0"/>
        <w:ind w:left="720"/>
        <w:rPr>
          <w:rFonts w:asciiTheme="majorBidi" w:hAnsiTheme="majorBidi" w:cstheme="majorBidi"/>
          <w:lang w:val="fr-CA"/>
        </w:rPr>
      </w:pPr>
      <w:r w:rsidRPr="006B04AE">
        <w:rPr>
          <w:rFonts w:asciiTheme="majorBidi" w:hAnsiTheme="majorBidi"/>
          <w:lang w:val="fr-CA"/>
        </w:rPr>
        <w:t>Tableau 1.3</w:t>
      </w:r>
      <w:r w:rsidRPr="006B04AE">
        <w:rPr>
          <w:rFonts w:asciiTheme="majorBidi" w:hAnsiTheme="majorBidi"/>
          <w:lang w:val="fr-CA"/>
        </w:rPr>
        <w:tab/>
        <w:t>Exécution du budget du Secrétariat pour 2023</w:t>
      </w:r>
    </w:p>
    <w:p w14:paraId="6E328211" w14:textId="77777777" w:rsidR="00E207D8" w:rsidRPr="006B04AE" w:rsidRDefault="00E207D8" w:rsidP="00E207D8">
      <w:pPr>
        <w:pStyle w:val="Heading2"/>
        <w:numPr>
          <w:ilvl w:val="0"/>
          <w:numId w:val="0"/>
        </w:numPr>
        <w:tabs>
          <w:tab w:val="left" w:pos="2520"/>
        </w:tabs>
        <w:spacing w:after="0"/>
        <w:ind w:left="720"/>
        <w:rPr>
          <w:rFonts w:asciiTheme="majorBidi" w:hAnsiTheme="majorBidi" w:cstheme="majorBidi"/>
          <w:lang w:val="fr-CA"/>
        </w:rPr>
      </w:pPr>
      <w:r w:rsidRPr="006B04AE">
        <w:rPr>
          <w:rFonts w:asciiTheme="majorBidi" w:hAnsiTheme="majorBidi"/>
          <w:lang w:val="fr-CA"/>
        </w:rPr>
        <w:t>Tableau 1.4</w:t>
      </w:r>
      <w:r w:rsidRPr="006B04AE">
        <w:rPr>
          <w:rFonts w:asciiTheme="majorBidi" w:hAnsiTheme="majorBidi"/>
          <w:lang w:val="fr-CA"/>
        </w:rPr>
        <w:tab/>
        <w:t>Sous-comptes des activités gérées par le PNUD 1991-2023</w:t>
      </w:r>
    </w:p>
    <w:p w14:paraId="22B4C8A1" w14:textId="77777777" w:rsidR="00E207D8" w:rsidRPr="006B04AE" w:rsidRDefault="00E207D8" w:rsidP="00E207D8">
      <w:pPr>
        <w:pStyle w:val="Heading2"/>
        <w:numPr>
          <w:ilvl w:val="0"/>
          <w:numId w:val="0"/>
        </w:numPr>
        <w:tabs>
          <w:tab w:val="left" w:pos="2520"/>
        </w:tabs>
        <w:spacing w:after="0"/>
        <w:ind w:left="720"/>
        <w:rPr>
          <w:rFonts w:asciiTheme="majorBidi" w:hAnsiTheme="majorBidi" w:cstheme="majorBidi"/>
          <w:lang w:val="fr-CA"/>
        </w:rPr>
      </w:pPr>
      <w:r w:rsidRPr="006B04AE">
        <w:rPr>
          <w:rFonts w:asciiTheme="majorBidi" w:hAnsiTheme="majorBidi"/>
          <w:lang w:val="fr-CA"/>
        </w:rPr>
        <w:t>Tableau 1.5</w:t>
      </w:r>
      <w:r w:rsidRPr="006B04AE">
        <w:rPr>
          <w:rFonts w:asciiTheme="majorBidi" w:hAnsiTheme="majorBidi"/>
          <w:lang w:val="fr-CA"/>
        </w:rPr>
        <w:tab/>
        <w:t>Sous-comptes des activités gérées par le PNUE 1991-2023</w:t>
      </w:r>
    </w:p>
    <w:p w14:paraId="0C81851C" w14:textId="77777777" w:rsidR="00E207D8" w:rsidRPr="006B04AE" w:rsidRDefault="00E207D8" w:rsidP="00E207D8">
      <w:pPr>
        <w:pStyle w:val="Heading2"/>
        <w:numPr>
          <w:ilvl w:val="0"/>
          <w:numId w:val="0"/>
        </w:numPr>
        <w:tabs>
          <w:tab w:val="left" w:pos="2520"/>
        </w:tabs>
        <w:spacing w:after="0"/>
        <w:ind w:left="720"/>
        <w:rPr>
          <w:rFonts w:asciiTheme="majorBidi" w:hAnsiTheme="majorBidi" w:cstheme="majorBidi"/>
          <w:lang w:val="fr-CA"/>
        </w:rPr>
      </w:pPr>
      <w:r w:rsidRPr="006B04AE">
        <w:rPr>
          <w:rFonts w:asciiTheme="majorBidi" w:hAnsiTheme="majorBidi"/>
          <w:lang w:val="fr-CA"/>
        </w:rPr>
        <w:t>Tableau 1.6</w:t>
      </w:r>
      <w:r w:rsidRPr="006B04AE">
        <w:rPr>
          <w:rFonts w:asciiTheme="majorBidi" w:hAnsiTheme="majorBidi"/>
          <w:lang w:val="fr-CA"/>
        </w:rPr>
        <w:tab/>
        <w:t>Sous-comptes des activités gérées par l’UNIDO 1991-2023</w:t>
      </w:r>
    </w:p>
    <w:p w14:paraId="5FDC349F" w14:textId="77777777" w:rsidR="00E207D8" w:rsidRPr="006B04AE" w:rsidRDefault="00E207D8" w:rsidP="00E207D8">
      <w:pPr>
        <w:pStyle w:val="Heading2"/>
        <w:numPr>
          <w:ilvl w:val="0"/>
          <w:numId w:val="0"/>
        </w:numPr>
        <w:tabs>
          <w:tab w:val="left" w:pos="2520"/>
        </w:tabs>
        <w:ind w:left="720"/>
        <w:rPr>
          <w:rFonts w:asciiTheme="majorBidi" w:hAnsiTheme="majorBidi" w:cstheme="majorBidi"/>
          <w:lang w:val="fr-CA"/>
        </w:rPr>
      </w:pPr>
      <w:r w:rsidRPr="006B04AE">
        <w:rPr>
          <w:rFonts w:asciiTheme="majorBidi" w:hAnsiTheme="majorBidi"/>
          <w:lang w:val="fr-CA"/>
        </w:rPr>
        <w:t>Tableau 1.7</w:t>
      </w:r>
      <w:r w:rsidRPr="006B04AE">
        <w:rPr>
          <w:rFonts w:asciiTheme="majorBidi" w:hAnsiTheme="majorBidi"/>
          <w:lang w:val="fr-CA"/>
        </w:rPr>
        <w:tab/>
        <w:t>Sous-comptes des activités gérées par la Banque mondiale 1991-2023</w:t>
      </w:r>
    </w:p>
    <w:p w14:paraId="1DDBB379" w14:textId="77777777" w:rsidR="00E207D8" w:rsidRPr="006B04AE" w:rsidRDefault="00E207D8" w:rsidP="00E207D8">
      <w:pPr>
        <w:pStyle w:val="Heading1"/>
        <w:rPr>
          <w:rFonts w:asciiTheme="majorBidi" w:hAnsiTheme="majorBidi" w:cstheme="majorBidi"/>
          <w:lang w:val="fr-CA"/>
        </w:rPr>
      </w:pPr>
      <w:r w:rsidRPr="006B04AE">
        <w:rPr>
          <w:rFonts w:asciiTheme="majorBidi" w:hAnsiTheme="majorBidi"/>
          <w:lang w:val="fr-CA"/>
        </w:rPr>
        <w:t>Le tableau 1.1 fournit des informations sur les contributions engagées dans la catégorie revenus. La perte due au mécanisme de taux de change fixe en 2023 est de 2 728 407 $US. Ce tableau fournit également des données globales sur les dépenses du Secrétariat et des agences d'exécution (AI), ainsi que le solde net du Fonds multilatéral à la fin de l'année 2023.</w:t>
      </w:r>
    </w:p>
    <w:p w14:paraId="1080D82A" w14:textId="77777777" w:rsidR="00E207D8" w:rsidRPr="006B04AE" w:rsidRDefault="00E207D8" w:rsidP="00E207D8">
      <w:pPr>
        <w:pStyle w:val="Heading1"/>
        <w:rPr>
          <w:rFonts w:asciiTheme="majorBidi" w:hAnsiTheme="majorBidi" w:cstheme="majorBidi"/>
          <w:lang w:val="fr-CA"/>
        </w:rPr>
      </w:pPr>
      <w:r w:rsidRPr="006B04AE">
        <w:rPr>
          <w:rFonts w:asciiTheme="majorBidi" w:hAnsiTheme="majorBidi"/>
          <w:lang w:val="fr-CA"/>
        </w:rPr>
        <w:t xml:space="preserve">Le tableau 1.2 présente l'état des contributions volontaires évaluées à recevoir, qui s'élèvent à 32 056 000 $US. Ce montant a été réduit de </w:t>
      </w:r>
      <w:r w:rsidRPr="006B04AE">
        <w:rPr>
          <w:rFonts w:asciiTheme="majorBidi" w:hAnsiTheme="majorBidi"/>
          <w:color w:val="000000"/>
          <w:lang w:val="fr-CA"/>
        </w:rPr>
        <w:t>191 562 </w:t>
      </w:r>
      <w:r w:rsidRPr="006B04AE">
        <w:rPr>
          <w:rFonts w:asciiTheme="majorBidi" w:hAnsiTheme="majorBidi"/>
          <w:lang w:val="fr-CA"/>
        </w:rPr>
        <w:t>000 $</w:t>
      </w:r>
      <w:r w:rsidRPr="006B04AE">
        <w:rPr>
          <w:rFonts w:asciiTheme="majorBidi" w:hAnsiTheme="majorBidi"/>
          <w:color w:val="000000"/>
          <w:lang w:val="fr-CA"/>
        </w:rPr>
        <w:t xml:space="preserve">US </w:t>
      </w:r>
      <w:r w:rsidRPr="006B04AE">
        <w:rPr>
          <w:rFonts w:asciiTheme="majorBidi" w:hAnsiTheme="majorBidi"/>
          <w:lang w:val="fr-CA"/>
        </w:rPr>
        <w:t>par rapport au total des créances de 223 618 000 $US, ce qui correspond à la provision pour créances douteuses conformément aux normes comptables internationales du secteur public (IPSAS).</w:t>
      </w:r>
    </w:p>
    <w:p w14:paraId="39F1875E" w14:textId="77777777" w:rsidR="00E207D8" w:rsidRPr="006B04AE" w:rsidRDefault="00E207D8" w:rsidP="00E207D8">
      <w:pPr>
        <w:pStyle w:val="Heading1"/>
        <w:rPr>
          <w:rFonts w:asciiTheme="majorBidi" w:hAnsiTheme="majorBidi" w:cstheme="majorBidi"/>
          <w:lang w:val="fr-CA"/>
        </w:rPr>
      </w:pPr>
      <w:r w:rsidRPr="006B04AE">
        <w:rPr>
          <w:rFonts w:asciiTheme="majorBidi" w:hAnsiTheme="majorBidi"/>
          <w:lang w:val="fr-CA"/>
        </w:rPr>
        <w:t>Le tableau 1.3 présente les dépenses réelles imputées au budget du Secrétariat en 2023, telles qu'approuvées par la décision 91/6. Le Secrétariat restitue 296 045 $US au Fonds lors de la réunion de 95</w:t>
      </w:r>
      <w:r w:rsidRPr="006B04AE">
        <w:rPr>
          <w:rFonts w:asciiTheme="majorBidi" w:hAnsiTheme="majorBidi"/>
          <w:vertAlign w:val="superscript"/>
          <w:lang w:val="fr-CA"/>
        </w:rPr>
        <w:t>e</w:t>
      </w:r>
      <w:r w:rsidRPr="006B04AE">
        <w:rPr>
          <w:rFonts w:asciiTheme="majorBidi" w:hAnsiTheme="majorBidi"/>
          <w:lang w:val="fr-CA"/>
        </w:rPr>
        <w:t xml:space="preserve"> provenant de son budget de 2023. Conformément à la décision 91/9, un budget de 100 000 $US et un montant supplémentaire de 43 000 $US ont été approuvés pour le travail de suivi et d'évaluation pour l'année 2023. Sur ce montant, 40 000 $US sont reportés à 2024 et 54 497 $US sont renvoyés à la 95</w:t>
      </w:r>
      <w:r w:rsidRPr="006B04AE">
        <w:rPr>
          <w:rFonts w:asciiTheme="majorBidi" w:hAnsiTheme="majorBidi"/>
          <w:vertAlign w:val="superscript"/>
          <w:lang w:val="fr-CA"/>
        </w:rPr>
        <w:t>e</w:t>
      </w:r>
      <w:r w:rsidRPr="006B04AE">
        <w:rPr>
          <w:rFonts w:asciiTheme="majorBidi" w:hAnsiTheme="majorBidi"/>
          <w:lang w:val="fr-CA"/>
        </w:rPr>
        <w:t> réunion.</w:t>
      </w:r>
    </w:p>
    <w:p w14:paraId="01E2FF43" w14:textId="77777777" w:rsidR="00E207D8" w:rsidRPr="006B04AE" w:rsidRDefault="00E207D8" w:rsidP="00E207D8">
      <w:pPr>
        <w:pStyle w:val="Heading1"/>
        <w:rPr>
          <w:rFonts w:asciiTheme="majorBidi" w:hAnsiTheme="majorBidi" w:cstheme="majorBidi"/>
          <w:bCs/>
          <w:lang w:val="fr-CA"/>
        </w:rPr>
      </w:pPr>
      <w:r w:rsidRPr="006B04AE">
        <w:rPr>
          <w:rFonts w:asciiTheme="majorBidi" w:hAnsiTheme="majorBidi"/>
          <w:lang w:val="fr-CA"/>
        </w:rPr>
        <w:lastRenderedPageBreak/>
        <w:t xml:space="preserve">Les tableaux 1.4 à 1.7 contiennent les comptes provisoires 2023 des agences d’exécution soumis au Trésorier à la fin du mois de janvier 2024. Étant donné que les comptes finaux des agences d’exécution ont été soumis après la clôture des comptes 2023 du Programme des Nations unies pour l'environnement (PNUE), seuls les comptes provisoires soumis par les agences d’exécution en janvier 2024 ont été enregistrés dans les comptes définitifs du PNUE. </w:t>
      </w:r>
      <w:r w:rsidRPr="006B04AE">
        <w:rPr>
          <w:rFonts w:asciiTheme="majorBidi" w:hAnsiTheme="majorBidi"/>
          <w:bCs/>
          <w:lang w:val="fr-CA"/>
        </w:rPr>
        <w:t>Le tableau 1 indique la différence entre les comptes provisoires et les comptes finaux 2023 des agences d’exécution sur les revenus et les dépenses globales</w:t>
      </w:r>
      <w:r w:rsidRPr="006B04AE">
        <w:rPr>
          <w:rFonts w:asciiTheme="majorBidi" w:hAnsiTheme="majorBidi"/>
          <w:lang w:val="fr-CA"/>
        </w:rPr>
        <w:t>, qui sera enregistrée dans les comptes 2024</w:t>
      </w:r>
      <w:r w:rsidRPr="006B04AE">
        <w:rPr>
          <w:rFonts w:asciiTheme="majorBidi" w:hAnsiTheme="majorBidi"/>
          <w:bCs/>
          <w:lang w:val="fr-CA"/>
        </w:rPr>
        <w:t>.</w:t>
      </w:r>
    </w:p>
    <w:p w14:paraId="7C676635" w14:textId="77777777" w:rsidR="00E207D8" w:rsidRPr="006B04AE" w:rsidRDefault="00E207D8" w:rsidP="00E207D8">
      <w:pPr>
        <w:keepNext/>
        <w:tabs>
          <w:tab w:val="left" w:pos="1260"/>
        </w:tabs>
        <w:rPr>
          <w:rFonts w:asciiTheme="majorBidi" w:hAnsiTheme="majorBidi" w:cstheme="majorBidi"/>
          <w:b/>
          <w:lang w:val="fr-CA"/>
        </w:rPr>
      </w:pPr>
      <w:r w:rsidRPr="006B04AE">
        <w:rPr>
          <w:rFonts w:asciiTheme="majorBidi" w:hAnsiTheme="majorBidi"/>
          <w:b/>
          <w:lang w:val="fr-CA"/>
        </w:rPr>
        <w:t xml:space="preserve">Tableau 1. </w:t>
      </w:r>
      <w:r w:rsidRPr="006B04AE">
        <w:rPr>
          <w:rFonts w:asciiTheme="majorBidi" w:hAnsiTheme="majorBidi"/>
          <w:b/>
          <w:bCs/>
          <w:lang w:val="fr-CA"/>
        </w:rPr>
        <w:t>Différences entre les comptes provisoires et finaux de 2023 concernant les revenus et les dépenses globaux (en $US)</w:t>
      </w:r>
    </w:p>
    <w:tbl>
      <w:tblPr>
        <w:tblW w:w="5000" w:type="pct"/>
        <w:tblLook w:val="04A0" w:firstRow="1" w:lastRow="0" w:firstColumn="1" w:lastColumn="0" w:noHBand="0" w:noVBand="1"/>
      </w:tblPr>
      <w:tblGrid>
        <w:gridCol w:w="2495"/>
        <w:gridCol w:w="11"/>
        <w:gridCol w:w="2346"/>
        <w:gridCol w:w="8"/>
        <w:gridCol w:w="2356"/>
        <w:gridCol w:w="2360"/>
      </w:tblGrid>
      <w:tr w:rsidR="00E207D8" w:rsidRPr="00D23228" w14:paraId="40837594" w14:textId="77777777" w:rsidTr="009F2CA1">
        <w:tc>
          <w:tcPr>
            <w:tcW w:w="1303" w:type="pct"/>
            <w:tcBorders>
              <w:top w:val="single" w:sz="4" w:space="0" w:color="auto"/>
              <w:left w:val="single" w:sz="4" w:space="0" w:color="auto"/>
              <w:bottom w:val="single" w:sz="4" w:space="0" w:color="auto"/>
              <w:right w:val="single" w:sz="4" w:space="0" w:color="auto"/>
            </w:tcBorders>
            <w:vAlign w:val="center"/>
            <w:hideMark/>
          </w:tcPr>
          <w:p w14:paraId="25C8FA4A" w14:textId="77777777" w:rsidR="00E207D8" w:rsidRPr="00D23228" w:rsidRDefault="00E207D8" w:rsidP="009F2CA1">
            <w:pPr>
              <w:widowControl w:val="0"/>
              <w:jc w:val="left"/>
              <w:rPr>
                <w:rFonts w:asciiTheme="majorBidi" w:eastAsia="MS Mincho" w:hAnsiTheme="majorBidi" w:cstheme="majorBidi"/>
                <w:b/>
                <w:bCs/>
                <w:sz w:val="20"/>
                <w:szCs w:val="20"/>
              </w:rPr>
            </w:pPr>
            <w:r>
              <w:rPr>
                <w:rFonts w:asciiTheme="majorBidi" w:hAnsiTheme="majorBidi"/>
                <w:b/>
                <w:bCs/>
                <w:sz w:val="20"/>
                <w:szCs w:val="20"/>
              </w:rPr>
              <w:t>Agence</w:t>
            </w:r>
          </w:p>
        </w:tc>
        <w:tc>
          <w:tcPr>
            <w:tcW w:w="1231" w:type="pct"/>
            <w:gridSpan w:val="2"/>
            <w:tcBorders>
              <w:top w:val="single" w:sz="4" w:space="0" w:color="auto"/>
              <w:left w:val="nil"/>
              <w:bottom w:val="single" w:sz="4" w:space="0" w:color="auto"/>
              <w:right w:val="single" w:sz="4" w:space="0" w:color="auto"/>
            </w:tcBorders>
            <w:hideMark/>
          </w:tcPr>
          <w:p w14:paraId="2A36BD2E" w14:textId="77777777" w:rsidR="00E207D8" w:rsidRPr="00D23228" w:rsidRDefault="00E207D8" w:rsidP="009F2CA1">
            <w:pPr>
              <w:keepNext/>
              <w:jc w:val="center"/>
              <w:rPr>
                <w:rFonts w:asciiTheme="majorBidi" w:eastAsia="MS Mincho" w:hAnsiTheme="majorBidi" w:cstheme="majorBidi"/>
                <w:b/>
                <w:bCs/>
                <w:sz w:val="20"/>
                <w:szCs w:val="20"/>
              </w:rPr>
            </w:pPr>
            <w:r>
              <w:rPr>
                <w:rFonts w:asciiTheme="majorBidi" w:hAnsiTheme="majorBidi"/>
                <w:b/>
                <w:bCs/>
                <w:sz w:val="20"/>
                <w:szCs w:val="20"/>
              </w:rPr>
              <w:t>Provisoire</w:t>
            </w:r>
          </w:p>
        </w:tc>
        <w:tc>
          <w:tcPr>
            <w:tcW w:w="1234" w:type="pct"/>
            <w:gridSpan w:val="2"/>
            <w:tcBorders>
              <w:top w:val="single" w:sz="4" w:space="0" w:color="auto"/>
              <w:left w:val="nil"/>
              <w:bottom w:val="single" w:sz="4" w:space="0" w:color="auto"/>
              <w:right w:val="single" w:sz="4" w:space="0" w:color="auto"/>
            </w:tcBorders>
            <w:hideMark/>
          </w:tcPr>
          <w:p w14:paraId="11044E74" w14:textId="77777777" w:rsidR="00E207D8" w:rsidRPr="00D23228" w:rsidRDefault="00E207D8" w:rsidP="009F2CA1">
            <w:pPr>
              <w:keepNext/>
              <w:jc w:val="center"/>
              <w:rPr>
                <w:rFonts w:asciiTheme="majorBidi" w:eastAsia="MS Mincho" w:hAnsiTheme="majorBidi" w:cstheme="majorBidi"/>
                <w:b/>
                <w:bCs/>
                <w:sz w:val="20"/>
                <w:szCs w:val="20"/>
              </w:rPr>
            </w:pPr>
            <w:r>
              <w:rPr>
                <w:rFonts w:asciiTheme="majorBidi" w:hAnsiTheme="majorBidi"/>
                <w:b/>
                <w:bCs/>
                <w:sz w:val="20"/>
                <w:szCs w:val="20"/>
              </w:rPr>
              <w:t>Différence</w:t>
            </w:r>
          </w:p>
        </w:tc>
        <w:tc>
          <w:tcPr>
            <w:tcW w:w="1232" w:type="pct"/>
            <w:tcBorders>
              <w:top w:val="single" w:sz="4" w:space="0" w:color="auto"/>
              <w:left w:val="nil"/>
              <w:bottom w:val="single" w:sz="4" w:space="0" w:color="auto"/>
              <w:right w:val="single" w:sz="4" w:space="0" w:color="auto"/>
            </w:tcBorders>
            <w:hideMark/>
          </w:tcPr>
          <w:p w14:paraId="6D426937" w14:textId="77777777" w:rsidR="00E207D8" w:rsidRPr="00D23228" w:rsidRDefault="00E207D8" w:rsidP="009F2CA1">
            <w:pPr>
              <w:keepNext/>
              <w:jc w:val="center"/>
              <w:rPr>
                <w:rFonts w:asciiTheme="majorBidi" w:eastAsia="MS Mincho" w:hAnsiTheme="majorBidi" w:cstheme="majorBidi"/>
                <w:b/>
                <w:bCs/>
                <w:sz w:val="20"/>
                <w:szCs w:val="20"/>
              </w:rPr>
            </w:pPr>
            <w:r>
              <w:rPr>
                <w:rFonts w:asciiTheme="majorBidi" w:hAnsiTheme="majorBidi"/>
                <w:b/>
                <w:bCs/>
                <w:sz w:val="20"/>
                <w:szCs w:val="20"/>
              </w:rPr>
              <w:t>Finale</w:t>
            </w:r>
            <w:r w:rsidRPr="00D23228">
              <w:rPr>
                <w:rStyle w:val="FootnoteReference"/>
                <w:rFonts w:asciiTheme="majorBidi" w:eastAsia="MS Mincho" w:hAnsiTheme="majorBidi" w:cstheme="majorBidi"/>
                <w:b/>
                <w:bCs/>
                <w:sz w:val="20"/>
                <w:szCs w:val="20"/>
                <w:lang w:val="en-US" w:eastAsia="ja-JP"/>
              </w:rPr>
              <w:footnoteReference w:id="2"/>
            </w:r>
          </w:p>
        </w:tc>
      </w:tr>
      <w:tr w:rsidR="00E207D8" w:rsidRPr="00D23228" w14:paraId="280CA4AA" w14:textId="77777777" w:rsidTr="009F2CA1">
        <w:tc>
          <w:tcPr>
            <w:tcW w:w="5000" w:type="pct"/>
            <w:gridSpan w:val="6"/>
            <w:tcBorders>
              <w:top w:val="nil"/>
              <w:left w:val="single" w:sz="4" w:space="0" w:color="auto"/>
              <w:bottom w:val="single" w:sz="4" w:space="0" w:color="auto"/>
              <w:right w:val="single" w:sz="4" w:space="0" w:color="auto"/>
            </w:tcBorders>
            <w:vAlign w:val="center"/>
          </w:tcPr>
          <w:p w14:paraId="0E427EF1" w14:textId="77777777" w:rsidR="00E207D8" w:rsidRPr="00D23228" w:rsidRDefault="00E207D8" w:rsidP="009F2CA1">
            <w:pPr>
              <w:jc w:val="left"/>
              <w:rPr>
                <w:rFonts w:asciiTheme="majorBidi" w:hAnsiTheme="majorBidi" w:cstheme="majorBidi"/>
                <w:b/>
                <w:sz w:val="20"/>
                <w:szCs w:val="20"/>
              </w:rPr>
            </w:pPr>
            <w:r>
              <w:rPr>
                <w:rFonts w:asciiTheme="majorBidi" w:hAnsiTheme="majorBidi"/>
                <w:b/>
                <w:sz w:val="20"/>
                <w:szCs w:val="20"/>
              </w:rPr>
              <w:t>Revenu</w:t>
            </w:r>
          </w:p>
        </w:tc>
      </w:tr>
      <w:tr w:rsidR="00E207D8" w:rsidRPr="00D23228" w14:paraId="16627B76" w14:textId="77777777" w:rsidTr="009F2CA1">
        <w:tc>
          <w:tcPr>
            <w:tcW w:w="1303" w:type="pct"/>
            <w:tcBorders>
              <w:top w:val="nil"/>
              <w:left w:val="single" w:sz="4" w:space="0" w:color="auto"/>
              <w:bottom w:val="single" w:sz="4" w:space="0" w:color="auto"/>
              <w:right w:val="single" w:sz="4" w:space="0" w:color="auto"/>
            </w:tcBorders>
            <w:vAlign w:val="center"/>
            <w:hideMark/>
          </w:tcPr>
          <w:p w14:paraId="0815E1AE" w14:textId="77777777" w:rsidR="00E207D8" w:rsidRPr="00D23228" w:rsidRDefault="00E207D8" w:rsidP="009F2CA1">
            <w:pPr>
              <w:widowControl w:val="0"/>
              <w:jc w:val="left"/>
              <w:rPr>
                <w:rFonts w:asciiTheme="majorBidi" w:eastAsia="MS Mincho" w:hAnsiTheme="majorBidi" w:cstheme="majorBidi"/>
                <w:sz w:val="20"/>
                <w:szCs w:val="20"/>
              </w:rPr>
            </w:pPr>
            <w:r>
              <w:rPr>
                <w:rFonts w:asciiTheme="majorBidi" w:hAnsiTheme="majorBidi"/>
                <w:sz w:val="20"/>
                <w:szCs w:val="20"/>
              </w:rPr>
              <w:t>PNUD</w:t>
            </w:r>
          </w:p>
        </w:tc>
        <w:tc>
          <w:tcPr>
            <w:tcW w:w="1231" w:type="pct"/>
            <w:gridSpan w:val="2"/>
            <w:tcBorders>
              <w:top w:val="nil"/>
              <w:left w:val="nil"/>
              <w:bottom w:val="single" w:sz="4" w:space="0" w:color="auto"/>
              <w:right w:val="single" w:sz="4" w:space="0" w:color="auto"/>
            </w:tcBorders>
            <w:tcMar>
              <w:left w:w="115" w:type="dxa"/>
              <w:right w:w="576" w:type="dxa"/>
            </w:tcMar>
          </w:tcPr>
          <w:p w14:paraId="4A7F9478"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1 033 332 565</w:t>
            </w:r>
          </w:p>
        </w:tc>
        <w:tc>
          <w:tcPr>
            <w:tcW w:w="1234" w:type="pct"/>
            <w:gridSpan w:val="2"/>
            <w:tcBorders>
              <w:top w:val="nil"/>
              <w:left w:val="nil"/>
              <w:bottom w:val="single" w:sz="4" w:space="0" w:color="auto"/>
              <w:right w:val="single" w:sz="4" w:space="0" w:color="auto"/>
            </w:tcBorders>
            <w:tcMar>
              <w:left w:w="115" w:type="dxa"/>
              <w:right w:w="576" w:type="dxa"/>
            </w:tcMar>
          </w:tcPr>
          <w:p w14:paraId="1B6FABA5"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1 063 664 303</w:t>
            </w:r>
          </w:p>
        </w:tc>
        <w:tc>
          <w:tcPr>
            <w:tcW w:w="1232" w:type="pct"/>
            <w:tcBorders>
              <w:top w:val="nil"/>
              <w:left w:val="nil"/>
              <w:bottom w:val="single" w:sz="4" w:space="0" w:color="auto"/>
              <w:right w:val="single" w:sz="4" w:space="0" w:color="auto"/>
            </w:tcBorders>
            <w:tcMar>
              <w:left w:w="115" w:type="dxa"/>
              <w:right w:w="576" w:type="dxa"/>
            </w:tcMar>
          </w:tcPr>
          <w:p w14:paraId="26188992"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30 331 738</w:t>
            </w:r>
          </w:p>
        </w:tc>
      </w:tr>
      <w:tr w:rsidR="00E207D8" w:rsidRPr="00D23228" w14:paraId="48D228D3" w14:textId="77777777" w:rsidTr="009F2CA1">
        <w:tc>
          <w:tcPr>
            <w:tcW w:w="1303" w:type="pct"/>
            <w:tcBorders>
              <w:top w:val="nil"/>
              <w:left w:val="single" w:sz="4" w:space="0" w:color="auto"/>
              <w:bottom w:val="single" w:sz="4" w:space="0" w:color="auto"/>
              <w:right w:val="single" w:sz="4" w:space="0" w:color="auto"/>
            </w:tcBorders>
            <w:vAlign w:val="center"/>
            <w:hideMark/>
          </w:tcPr>
          <w:p w14:paraId="5B27140A" w14:textId="77777777" w:rsidR="00E207D8" w:rsidRPr="00D23228" w:rsidRDefault="00E207D8" w:rsidP="009F2CA1">
            <w:pPr>
              <w:widowControl w:val="0"/>
              <w:jc w:val="left"/>
              <w:rPr>
                <w:rFonts w:asciiTheme="majorBidi" w:eastAsia="MS Mincho" w:hAnsiTheme="majorBidi" w:cstheme="majorBidi"/>
                <w:sz w:val="20"/>
                <w:szCs w:val="20"/>
              </w:rPr>
            </w:pPr>
            <w:r>
              <w:rPr>
                <w:rFonts w:asciiTheme="majorBidi" w:hAnsiTheme="majorBidi"/>
                <w:sz w:val="20"/>
                <w:szCs w:val="20"/>
              </w:rPr>
              <w:t>PNUE</w:t>
            </w:r>
          </w:p>
        </w:tc>
        <w:tc>
          <w:tcPr>
            <w:tcW w:w="1231" w:type="pct"/>
            <w:gridSpan w:val="2"/>
            <w:tcBorders>
              <w:top w:val="nil"/>
              <w:left w:val="nil"/>
              <w:bottom w:val="single" w:sz="4" w:space="0" w:color="auto"/>
              <w:right w:val="single" w:sz="4" w:space="0" w:color="auto"/>
            </w:tcBorders>
            <w:tcMar>
              <w:left w:w="115" w:type="dxa"/>
              <w:right w:w="576" w:type="dxa"/>
            </w:tcMar>
          </w:tcPr>
          <w:p w14:paraId="0538A9FD"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433 910 710</w:t>
            </w:r>
          </w:p>
        </w:tc>
        <w:tc>
          <w:tcPr>
            <w:tcW w:w="1234" w:type="pct"/>
            <w:gridSpan w:val="2"/>
            <w:tcBorders>
              <w:top w:val="nil"/>
              <w:left w:val="nil"/>
              <w:bottom w:val="single" w:sz="4" w:space="0" w:color="auto"/>
              <w:right w:val="single" w:sz="4" w:space="0" w:color="auto"/>
            </w:tcBorders>
            <w:tcMar>
              <w:left w:w="115" w:type="dxa"/>
              <w:right w:w="576" w:type="dxa"/>
            </w:tcMar>
          </w:tcPr>
          <w:p w14:paraId="69DE0707"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453 554 294</w:t>
            </w:r>
          </w:p>
        </w:tc>
        <w:tc>
          <w:tcPr>
            <w:tcW w:w="1232" w:type="pct"/>
            <w:tcBorders>
              <w:top w:val="nil"/>
              <w:left w:val="nil"/>
              <w:bottom w:val="single" w:sz="4" w:space="0" w:color="auto"/>
              <w:right w:val="single" w:sz="4" w:space="0" w:color="auto"/>
            </w:tcBorders>
            <w:tcMar>
              <w:left w:w="115" w:type="dxa"/>
              <w:right w:w="576" w:type="dxa"/>
            </w:tcMar>
          </w:tcPr>
          <w:p w14:paraId="05C0999F"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19 643 584</w:t>
            </w:r>
          </w:p>
        </w:tc>
      </w:tr>
      <w:tr w:rsidR="00E207D8" w:rsidRPr="00D23228" w14:paraId="462ECDC2" w14:textId="77777777" w:rsidTr="009F2CA1">
        <w:tc>
          <w:tcPr>
            <w:tcW w:w="1303" w:type="pct"/>
            <w:tcBorders>
              <w:top w:val="nil"/>
              <w:left w:val="single" w:sz="4" w:space="0" w:color="auto"/>
              <w:bottom w:val="single" w:sz="4" w:space="0" w:color="auto"/>
              <w:right w:val="single" w:sz="4" w:space="0" w:color="auto"/>
            </w:tcBorders>
            <w:vAlign w:val="center"/>
            <w:hideMark/>
          </w:tcPr>
          <w:p w14:paraId="41750C1B"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ONUDI</w:t>
            </w:r>
          </w:p>
        </w:tc>
        <w:tc>
          <w:tcPr>
            <w:tcW w:w="1231" w:type="pct"/>
            <w:gridSpan w:val="2"/>
            <w:tcBorders>
              <w:top w:val="nil"/>
              <w:left w:val="nil"/>
              <w:bottom w:val="single" w:sz="4" w:space="0" w:color="auto"/>
              <w:right w:val="single" w:sz="4" w:space="0" w:color="auto"/>
            </w:tcBorders>
            <w:tcMar>
              <w:left w:w="115" w:type="dxa"/>
              <w:right w:w="576" w:type="dxa"/>
            </w:tcMar>
          </w:tcPr>
          <w:p w14:paraId="425E3F66"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1 030 167 649</w:t>
            </w:r>
          </w:p>
        </w:tc>
        <w:tc>
          <w:tcPr>
            <w:tcW w:w="1234" w:type="pct"/>
            <w:gridSpan w:val="2"/>
            <w:tcBorders>
              <w:top w:val="nil"/>
              <w:left w:val="nil"/>
              <w:bottom w:val="single" w:sz="4" w:space="0" w:color="auto"/>
              <w:right w:val="single" w:sz="4" w:space="0" w:color="auto"/>
            </w:tcBorders>
            <w:tcMar>
              <w:left w:w="115" w:type="dxa"/>
              <w:right w:w="576" w:type="dxa"/>
            </w:tcMar>
          </w:tcPr>
          <w:p w14:paraId="34B312DB"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1 053 590 496</w:t>
            </w:r>
          </w:p>
        </w:tc>
        <w:tc>
          <w:tcPr>
            <w:tcW w:w="1232" w:type="pct"/>
            <w:tcBorders>
              <w:top w:val="nil"/>
              <w:left w:val="nil"/>
              <w:bottom w:val="single" w:sz="4" w:space="0" w:color="auto"/>
              <w:right w:val="single" w:sz="4" w:space="0" w:color="auto"/>
            </w:tcBorders>
            <w:tcMar>
              <w:left w:w="115" w:type="dxa"/>
              <w:right w:w="576" w:type="dxa"/>
            </w:tcMar>
          </w:tcPr>
          <w:p w14:paraId="54E73D7D"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23 422 847</w:t>
            </w:r>
          </w:p>
        </w:tc>
      </w:tr>
      <w:tr w:rsidR="00E207D8" w:rsidRPr="00D23228" w14:paraId="44892FE3" w14:textId="77777777" w:rsidTr="009F2CA1">
        <w:tc>
          <w:tcPr>
            <w:tcW w:w="1303" w:type="pct"/>
            <w:tcBorders>
              <w:top w:val="nil"/>
              <w:left w:val="single" w:sz="4" w:space="0" w:color="auto"/>
              <w:bottom w:val="single" w:sz="4" w:space="0" w:color="auto"/>
              <w:right w:val="single" w:sz="4" w:space="0" w:color="auto"/>
            </w:tcBorders>
            <w:vAlign w:val="center"/>
            <w:hideMark/>
          </w:tcPr>
          <w:p w14:paraId="0C987428"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Banque mondiale</w:t>
            </w:r>
          </w:p>
        </w:tc>
        <w:tc>
          <w:tcPr>
            <w:tcW w:w="1231" w:type="pct"/>
            <w:gridSpan w:val="2"/>
            <w:tcBorders>
              <w:top w:val="nil"/>
              <w:left w:val="nil"/>
              <w:bottom w:val="single" w:sz="4" w:space="0" w:color="auto"/>
              <w:right w:val="single" w:sz="4" w:space="0" w:color="auto"/>
            </w:tcBorders>
            <w:tcMar>
              <w:left w:w="115" w:type="dxa"/>
              <w:right w:w="576" w:type="dxa"/>
            </w:tcMar>
          </w:tcPr>
          <w:p w14:paraId="4FACCC7E"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1 343 762 783</w:t>
            </w:r>
          </w:p>
        </w:tc>
        <w:tc>
          <w:tcPr>
            <w:tcW w:w="1234" w:type="pct"/>
            <w:gridSpan w:val="2"/>
            <w:tcBorders>
              <w:top w:val="nil"/>
              <w:left w:val="nil"/>
              <w:bottom w:val="single" w:sz="4" w:space="0" w:color="auto"/>
              <w:right w:val="single" w:sz="4" w:space="0" w:color="auto"/>
            </w:tcBorders>
            <w:tcMar>
              <w:left w:w="115" w:type="dxa"/>
              <w:right w:w="576" w:type="dxa"/>
            </w:tcMar>
          </w:tcPr>
          <w:p w14:paraId="332DCCD3"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1 343 762 783</w:t>
            </w:r>
          </w:p>
        </w:tc>
        <w:tc>
          <w:tcPr>
            <w:tcW w:w="1232" w:type="pct"/>
            <w:tcBorders>
              <w:top w:val="nil"/>
              <w:left w:val="nil"/>
              <w:bottom w:val="single" w:sz="4" w:space="0" w:color="auto"/>
              <w:right w:val="single" w:sz="4" w:space="0" w:color="auto"/>
            </w:tcBorders>
            <w:tcMar>
              <w:left w:w="115" w:type="dxa"/>
              <w:right w:w="576" w:type="dxa"/>
            </w:tcMar>
          </w:tcPr>
          <w:p w14:paraId="7F178654"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w:t>
            </w:r>
          </w:p>
        </w:tc>
      </w:tr>
      <w:tr w:rsidR="00E207D8" w:rsidRPr="00D23228" w14:paraId="1A2B3B9D" w14:textId="77777777" w:rsidTr="009F2CA1">
        <w:tc>
          <w:tcPr>
            <w:tcW w:w="5000" w:type="pct"/>
            <w:gridSpan w:val="6"/>
            <w:tcBorders>
              <w:top w:val="nil"/>
              <w:left w:val="single" w:sz="4" w:space="0" w:color="auto"/>
              <w:bottom w:val="single" w:sz="4" w:space="0" w:color="auto"/>
              <w:right w:val="single" w:sz="4" w:space="0" w:color="auto"/>
            </w:tcBorders>
          </w:tcPr>
          <w:p w14:paraId="5DFEFC8B" w14:textId="77777777" w:rsidR="00E207D8" w:rsidRPr="00D23228" w:rsidRDefault="00E207D8" w:rsidP="009F2CA1">
            <w:pPr>
              <w:jc w:val="left"/>
              <w:rPr>
                <w:rFonts w:asciiTheme="majorBidi" w:hAnsiTheme="majorBidi" w:cstheme="majorBidi"/>
                <w:sz w:val="20"/>
                <w:szCs w:val="20"/>
              </w:rPr>
            </w:pPr>
            <w:r>
              <w:rPr>
                <w:rFonts w:asciiTheme="majorBidi" w:hAnsiTheme="majorBidi"/>
                <w:b/>
                <w:sz w:val="20"/>
                <w:szCs w:val="20"/>
              </w:rPr>
              <w:t>Dépenses</w:t>
            </w:r>
          </w:p>
        </w:tc>
      </w:tr>
      <w:tr w:rsidR="00E207D8" w:rsidRPr="00D23228" w14:paraId="21769009" w14:textId="77777777" w:rsidTr="009F2CA1">
        <w:tc>
          <w:tcPr>
            <w:tcW w:w="1309" w:type="pct"/>
            <w:gridSpan w:val="2"/>
            <w:tcBorders>
              <w:top w:val="nil"/>
              <w:left w:val="single" w:sz="4" w:space="0" w:color="auto"/>
              <w:bottom w:val="single" w:sz="4" w:space="0" w:color="auto"/>
              <w:right w:val="single" w:sz="4" w:space="0" w:color="auto"/>
            </w:tcBorders>
            <w:vAlign w:val="bottom"/>
            <w:hideMark/>
          </w:tcPr>
          <w:p w14:paraId="079AA4B8"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PNUD</w:t>
            </w:r>
          </w:p>
        </w:tc>
        <w:tc>
          <w:tcPr>
            <w:tcW w:w="1229" w:type="pct"/>
            <w:gridSpan w:val="2"/>
            <w:tcBorders>
              <w:top w:val="nil"/>
              <w:left w:val="nil"/>
              <w:bottom w:val="single" w:sz="4" w:space="0" w:color="auto"/>
              <w:right w:val="single" w:sz="4" w:space="0" w:color="auto"/>
            </w:tcBorders>
            <w:tcMar>
              <w:left w:w="115" w:type="dxa"/>
              <w:right w:w="576" w:type="dxa"/>
            </w:tcMar>
          </w:tcPr>
          <w:p w14:paraId="52ADE08A"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990 816 405</w:t>
            </w:r>
          </w:p>
        </w:tc>
        <w:tc>
          <w:tcPr>
            <w:tcW w:w="1230" w:type="pct"/>
            <w:tcBorders>
              <w:top w:val="nil"/>
              <w:left w:val="nil"/>
              <w:bottom w:val="single" w:sz="4" w:space="0" w:color="auto"/>
              <w:right w:val="single" w:sz="4" w:space="0" w:color="auto"/>
            </w:tcBorders>
            <w:tcMar>
              <w:left w:w="115" w:type="dxa"/>
              <w:right w:w="576" w:type="dxa"/>
            </w:tcMar>
          </w:tcPr>
          <w:p w14:paraId="738BE2B9"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991 336 185</w:t>
            </w:r>
          </w:p>
        </w:tc>
        <w:tc>
          <w:tcPr>
            <w:tcW w:w="1232" w:type="pct"/>
            <w:tcBorders>
              <w:top w:val="nil"/>
              <w:left w:val="nil"/>
              <w:bottom w:val="single" w:sz="4" w:space="0" w:color="auto"/>
              <w:right w:val="single" w:sz="4" w:space="0" w:color="auto"/>
            </w:tcBorders>
            <w:tcMar>
              <w:left w:w="115" w:type="dxa"/>
              <w:right w:w="576" w:type="dxa"/>
            </w:tcMar>
          </w:tcPr>
          <w:p w14:paraId="5885D62E"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519 780</w:t>
            </w:r>
          </w:p>
        </w:tc>
      </w:tr>
      <w:tr w:rsidR="00E207D8" w:rsidRPr="00D23228" w14:paraId="5836C337" w14:textId="77777777" w:rsidTr="009F2CA1">
        <w:tc>
          <w:tcPr>
            <w:tcW w:w="1309" w:type="pct"/>
            <w:gridSpan w:val="2"/>
            <w:tcBorders>
              <w:top w:val="nil"/>
              <w:left w:val="single" w:sz="4" w:space="0" w:color="auto"/>
              <w:bottom w:val="single" w:sz="4" w:space="0" w:color="auto"/>
              <w:right w:val="single" w:sz="4" w:space="0" w:color="auto"/>
            </w:tcBorders>
            <w:vAlign w:val="bottom"/>
            <w:hideMark/>
          </w:tcPr>
          <w:p w14:paraId="5C805D45"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PNUE</w:t>
            </w:r>
          </w:p>
        </w:tc>
        <w:tc>
          <w:tcPr>
            <w:tcW w:w="1229" w:type="pct"/>
            <w:gridSpan w:val="2"/>
            <w:tcBorders>
              <w:top w:val="nil"/>
              <w:left w:val="nil"/>
              <w:bottom w:val="single" w:sz="4" w:space="0" w:color="auto"/>
              <w:right w:val="single" w:sz="4" w:space="0" w:color="auto"/>
            </w:tcBorders>
            <w:tcMar>
              <w:left w:w="115" w:type="dxa"/>
              <w:right w:w="576" w:type="dxa"/>
            </w:tcMar>
          </w:tcPr>
          <w:p w14:paraId="4386FC27"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394 213 998</w:t>
            </w:r>
          </w:p>
        </w:tc>
        <w:tc>
          <w:tcPr>
            <w:tcW w:w="1230" w:type="pct"/>
            <w:tcBorders>
              <w:top w:val="nil"/>
              <w:left w:val="nil"/>
              <w:bottom w:val="single" w:sz="4" w:space="0" w:color="auto"/>
              <w:right w:val="single" w:sz="4" w:space="0" w:color="auto"/>
            </w:tcBorders>
            <w:tcMar>
              <w:left w:w="115" w:type="dxa"/>
              <w:right w:w="576" w:type="dxa"/>
            </w:tcMar>
          </w:tcPr>
          <w:p w14:paraId="2C844713" w14:textId="77777777" w:rsidR="00E207D8" w:rsidRPr="00D23228" w:rsidRDefault="00E207D8" w:rsidP="009F2CA1">
            <w:pPr>
              <w:jc w:val="right"/>
              <w:rPr>
                <w:rFonts w:asciiTheme="majorBidi" w:hAnsiTheme="majorBidi" w:cstheme="majorBidi"/>
                <w:sz w:val="20"/>
                <w:szCs w:val="20"/>
              </w:rPr>
            </w:pPr>
            <w:r>
              <w:rPr>
                <w:rFonts w:asciiTheme="majorBidi" w:hAnsiTheme="majorBidi"/>
                <w:sz w:val="20"/>
                <w:szCs w:val="20"/>
              </w:rPr>
              <w:t>396 324 583</w:t>
            </w:r>
          </w:p>
        </w:tc>
        <w:tc>
          <w:tcPr>
            <w:tcW w:w="1232" w:type="pct"/>
            <w:tcBorders>
              <w:top w:val="nil"/>
              <w:left w:val="nil"/>
              <w:bottom w:val="single" w:sz="4" w:space="0" w:color="auto"/>
              <w:right w:val="single" w:sz="4" w:space="0" w:color="auto"/>
            </w:tcBorders>
            <w:tcMar>
              <w:left w:w="115" w:type="dxa"/>
              <w:right w:w="576" w:type="dxa"/>
            </w:tcMar>
          </w:tcPr>
          <w:p w14:paraId="69A774BF"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2 110 585</w:t>
            </w:r>
          </w:p>
        </w:tc>
      </w:tr>
      <w:tr w:rsidR="00E207D8" w:rsidRPr="00D23228" w14:paraId="1D549D45" w14:textId="77777777" w:rsidTr="009F2CA1">
        <w:tc>
          <w:tcPr>
            <w:tcW w:w="1309" w:type="pct"/>
            <w:gridSpan w:val="2"/>
            <w:tcBorders>
              <w:top w:val="nil"/>
              <w:left w:val="single" w:sz="4" w:space="0" w:color="auto"/>
              <w:bottom w:val="single" w:sz="4" w:space="0" w:color="auto"/>
              <w:right w:val="single" w:sz="4" w:space="0" w:color="auto"/>
            </w:tcBorders>
            <w:vAlign w:val="bottom"/>
            <w:hideMark/>
          </w:tcPr>
          <w:p w14:paraId="47EBEA2C"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ONUDI</w:t>
            </w:r>
          </w:p>
        </w:tc>
        <w:tc>
          <w:tcPr>
            <w:tcW w:w="1229" w:type="pct"/>
            <w:gridSpan w:val="2"/>
            <w:tcBorders>
              <w:top w:val="nil"/>
              <w:left w:val="nil"/>
              <w:bottom w:val="single" w:sz="4" w:space="0" w:color="auto"/>
              <w:right w:val="single" w:sz="4" w:space="0" w:color="auto"/>
            </w:tcBorders>
            <w:tcMar>
              <w:left w:w="115" w:type="dxa"/>
              <w:right w:w="576" w:type="dxa"/>
            </w:tcMar>
          </w:tcPr>
          <w:p w14:paraId="408387FB"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965 052 349</w:t>
            </w:r>
          </w:p>
        </w:tc>
        <w:tc>
          <w:tcPr>
            <w:tcW w:w="1230" w:type="pct"/>
            <w:tcBorders>
              <w:top w:val="nil"/>
              <w:left w:val="nil"/>
              <w:bottom w:val="single" w:sz="4" w:space="0" w:color="auto"/>
              <w:right w:val="single" w:sz="4" w:space="0" w:color="auto"/>
            </w:tcBorders>
            <w:tcMar>
              <w:left w:w="115" w:type="dxa"/>
              <w:right w:w="576" w:type="dxa"/>
            </w:tcMar>
          </w:tcPr>
          <w:p w14:paraId="1104748A"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964 680 710</w:t>
            </w:r>
          </w:p>
        </w:tc>
        <w:tc>
          <w:tcPr>
            <w:tcW w:w="1232" w:type="pct"/>
            <w:tcBorders>
              <w:top w:val="nil"/>
              <w:left w:val="nil"/>
              <w:bottom w:val="single" w:sz="4" w:space="0" w:color="auto"/>
              <w:right w:val="single" w:sz="4" w:space="0" w:color="auto"/>
            </w:tcBorders>
            <w:tcMar>
              <w:left w:w="115" w:type="dxa"/>
              <w:right w:w="576" w:type="dxa"/>
            </w:tcMar>
          </w:tcPr>
          <w:p w14:paraId="72F78921"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(371 639)</w:t>
            </w:r>
          </w:p>
        </w:tc>
      </w:tr>
      <w:tr w:rsidR="00E207D8" w:rsidRPr="00D23228" w14:paraId="5C0CD2FA" w14:textId="77777777" w:rsidTr="009F2CA1">
        <w:tc>
          <w:tcPr>
            <w:tcW w:w="1309" w:type="pct"/>
            <w:gridSpan w:val="2"/>
            <w:tcBorders>
              <w:top w:val="nil"/>
              <w:left w:val="single" w:sz="4" w:space="0" w:color="auto"/>
              <w:bottom w:val="single" w:sz="4" w:space="0" w:color="auto"/>
              <w:right w:val="single" w:sz="4" w:space="0" w:color="auto"/>
            </w:tcBorders>
            <w:vAlign w:val="bottom"/>
          </w:tcPr>
          <w:p w14:paraId="5222114B" w14:textId="77777777" w:rsidR="00E207D8" w:rsidRPr="00D23228" w:rsidRDefault="00E207D8" w:rsidP="009F2CA1">
            <w:pPr>
              <w:jc w:val="left"/>
              <w:rPr>
                <w:rFonts w:asciiTheme="majorBidi" w:eastAsia="MS Mincho" w:hAnsiTheme="majorBidi" w:cstheme="majorBidi"/>
                <w:sz w:val="20"/>
                <w:szCs w:val="20"/>
              </w:rPr>
            </w:pPr>
            <w:r>
              <w:rPr>
                <w:rFonts w:asciiTheme="majorBidi" w:hAnsiTheme="majorBidi"/>
                <w:sz w:val="20"/>
                <w:szCs w:val="20"/>
              </w:rPr>
              <w:t>Banque mondiale</w:t>
            </w:r>
          </w:p>
        </w:tc>
        <w:tc>
          <w:tcPr>
            <w:tcW w:w="1229" w:type="pct"/>
            <w:gridSpan w:val="2"/>
            <w:tcBorders>
              <w:top w:val="nil"/>
              <w:left w:val="nil"/>
              <w:bottom w:val="single" w:sz="4" w:space="0" w:color="auto"/>
              <w:right w:val="single" w:sz="4" w:space="0" w:color="auto"/>
            </w:tcBorders>
            <w:tcMar>
              <w:left w:w="115" w:type="dxa"/>
              <w:right w:w="576" w:type="dxa"/>
            </w:tcMar>
          </w:tcPr>
          <w:p w14:paraId="7FFE510B"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1 302 519 296</w:t>
            </w:r>
          </w:p>
        </w:tc>
        <w:tc>
          <w:tcPr>
            <w:tcW w:w="1230" w:type="pct"/>
            <w:tcBorders>
              <w:top w:val="nil"/>
              <w:left w:val="nil"/>
              <w:bottom w:val="single" w:sz="4" w:space="0" w:color="auto"/>
              <w:right w:val="single" w:sz="4" w:space="0" w:color="auto"/>
            </w:tcBorders>
            <w:tcMar>
              <w:left w:w="115" w:type="dxa"/>
              <w:right w:w="576" w:type="dxa"/>
            </w:tcMar>
          </w:tcPr>
          <w:p w14:paraId="5A781B4A"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1 302 519 296</w:t>
            </w:r>
          </w:p>
        </w:tc>
        <w:tc>
          <w:tcPr>
            <w:tcW w:w="1232" w:type="pct"/>
            <w:tcBorders>
              <w:top w:val="nil"/>
              <w:left w:val="nil"/>
              <w:bottom w:val="single" w:sz="4" w:space="0" w:color="auto"/>
              <w:right w:val="single" w:sz="4" w:space="0" w:color="auto"/>
            </w:tcBorders>
            <w:tcMar>
              <w:left w:w="115" w:type="dxa"/>
              <w:right w:w="576" w:type="dxa"/>
            </w:tcMar>
          </w:tcPr>
          <w:p w14:paraId="4CBBCF4E" w14:textId="77777777" w:rsidR="00E207D8" w:rsidRPr="00D23228" w:rsidRDefault="00E207D8" w:rsidP="009F2CA1">
            <w:pPr>
              <w:jc w:val="right"/>
              <w:rPr>
                <w:rFonts w:asciiTheme="majorBidi" w:hAnsiTheme="majorBidi" w:cstheme="majorBidi"/>
                <w:sz w:val="20"/>
                <w:szCs w:val="20"/>
                <w:highlight w:val="yellow"/>
              </w:rPr>
            </w:pPr>
            <w:r>
              <w:rPr>
                <w:rFonts w:asciiTheme="majorBidi" w:hAnsiTheme="majorBidi"/>
                <w:sz w:val="20"/>
                <w:szCs w:val="20"/>
              </w:rPr>
              <w:t>-</w:t>
            </w:r>
          </w:p>
        </w:tc>
      </w:tr>
    </w:tbl>
    <w:p w14:paraId="7306B362" w14:textId="77777777" w:rsidR="00E207D8" w:rsidRPr="006B04AE" w:rsidRDefault="00E207D8" w:rsidP="00E207D8">
      <w:pPr>
        <w:spacing w:before="240" w:after="240"/>
        <w:rPr>
          <w:rFonts w:asciiTheme="majorBidi" w:hAnsiTheme="majorBidi" w:cstheme="majorBidi"/>
          <w:b/>
          <w:sz w:val="24"/>
          <w:szCs w:val="24"/>
          <w:u w:val="single"/>
          <w:lang w:val="fr-CA"/>
        </w:rPr>
      </w:pPr>
      <w:r w:rsidRPr="006B04AE">
        <w:rPr>
          <w:rFonts w:asciiTheme="majorBidi" w:hAnsiTheme="majorBidi"/>
          <w:b/>
          <w:sz w:val="24"/>
          <w:szCs w:val="24"/>
          <w:lang w:val="fr-CA"/>
        </w:rPr>
        <w:t>Rapport du Comité des commissaires aux comptes des Nations unies sur les états financiers du Fonds multilatéral pour l'exercice clos le 31 décembre 2023</w:t>
      </w:r>
    </w:p>
    <w:p w14:paraId="631CAC63" w14:textId="0ED73B91" w:rsidR="00E207D8" w:rsidRPr="006B04AE" w:rsidRDefault="00E207D8" w:rsidP="00E207D8">
      <w:pPr>
        <w:pStyle w:val="Heading1"/>
        <w:rPr>
          <w:rFonts w:asciiTheme="majorBidi" w:hAnsiTheme="majorBidi" w:cstheme="majorBidi"/>
          <w:lang w:val="fr-CA"/>
        </w:rPr>
      </w:pPr>
      <w:r w:rsidRPr="006B04AE">
        <w:rPr>
          <w:rFonts w:asciiTheme="majorBidi" w:hAnsiTheme="majorBidi"/>
          <w:lang w:val="fr-CA"/>
        </w:rPr>
        <w:t xml:space="preserve">Le rapport financier et les états financiers vérifiés pour l'exercice clos le 31 décembre 2023 </w:t>
      </w:r>
      <w:r w:rsidR="00D737A1">
        <w:rPr>
          <w:rFonts w:asciiTheme="majorBidi" w:hAnsiTheme="majorBidi"/>
          <w:lang w:val="fr-CA"/>
        </w:rPr>
        <w:t>et</w:t>
      </w:r>
      <w:r w:rsidRPr="006B04AE">
        <w:rPr>
          <w:rFonts w:asciiTheme="majorBidi" w:hAnsiTheme="majorBidi"/>
          <w:lang w:val="fr-CA"/>
        </w:rPr>
        <w:t xml:space="preserve"> le rapport du Comité des commissaires aux comptes du Fonds du PNUE </w:t>
      </w:r>
      <w:r w:rsidR="00D36501">
        <w:rPr>
          <w:rFonts w:asciiTheme="majorBidi" w:hAnsiTheme="majorBidi"/>
          <w:lang w:val="fr-CA"/>
        </w:rPr>
        <w:t>a</w:t>
      </w:r>
      <w:r w:rsidRPr="006B04AE">
        <w:rPr>
          <w:rFonts w:asciiTheme="majorBidi" w:hAnsiTheme="majorBidi"/>
          <w:lang w:val="fr-CA"/>
        </w:rPr>
        <w:t xml:space="preserve"> été présenté à la soixante-dix-neuvième session de l'Assemblée générale des Nations Unies (A/79/5/Add.7).</w:t>
      </w:r>
      <w:r w:rsidRPr="00D23228">
        <w:rPr>
          <w:rStyle w:val="FootnoteReference"/>
          <w:rFonts w:asciiTheme="majorBidi" w:hAnsiTheme="majorBidi" w:cstheme="majorBidi"/>
          <w:lang w:val="en-US"/>
        </w:rPr>
        <w:footnoteReference w:id="3"/>
      </w:r>
      <w:r w:rsidRPr="006B04AE">
        <w:rPr>
          <w:rFonts w:asciiTheme="majorBidi" w:hAnsiTheme="majorBidi"/>
          <w:lang w:val="fr-CA"/>
        </w:rPr>
        <w:t xml:space="preserve"> Le rapport soumis à l'Assemblée générale comprenait un examen approfondi des états financiers du Fonds multilatéral. Aucune des principales conclusions et recommandations du rapport ne concerne le Fonds multilatéral.</w:t>
      </w:r>
    </w:p>
    <w:p w14:paraId="63CCABD0" w14:textId="77777777" w:rsidR="00E207D8" w:rsidRPr="00D23228" w:rsidRDefault="00E207D8" w:rsidP="00E207D8">
      <w:pPr>
        <w:tabs>
          <w:tab w:val="left" w:pos="0"/>
        </w:tabs>
        <w:spacing w:after="240"/>
        <w:rPr>
          <w:rFonts w:asciiTheme="majorBidi" w:hAnsiTheme="majorBidi" w:cstheme="majorBidi"/>
          <w:sz w:val="24"/>
          <w:szCs w:val="24"/>
        </w:rPr>
      </w:pPr>
      <w:r>
        <w:rPr>
          <w:rFonts w:asciiTheme="majorBidi" w:hAnsiTheme="majorBidi"/>
          <w:b/>
          <w:bCs/>
          <w:sz w:val="24"/>
          <w:szCs w:val="24"/>
        </w:rPr>
        <w:t>Recommandation</w:t>
      </w:r>
    </w:p>
    <w:p w14:paraId="3DE83171" w14:textId="77777777" w:rsidR="00E207D8" w:rsidRPr="006B04AE" w:rsidRDefault="00E207D8" w:rsidP="00E207D8">
      <w:pPr>
        <w:pStyle w:val="Heading1"/>
        <w:rPr>
          <w:rFonts w:asciiTheme="majorBidi" w:hAnsiTheme="majorBidi" w:cstheme="majorBidi"/>
          <w:lang w:val="fr-CA"/>
        </w:rPr>
      </w:pPr>
      <w:r w:rsidRPr="006B04AE">
        <w:rPr>
          <w:rFonts w:asciiTheme="majorBidi" w:hAnsiTheme="majorBidi"/>
          <w:lang w:val="fr-CA"/>
        </w:rPr>
        <w:t>Le Comité exécutif souhaitera peut-être :</w:t>
      </w:r>
    </w:p>
    <w:p w14:paraId="0FBD7E97" w14:textId="77777777" w:rsidR="00E207D8" w:rsidRPr="006B04AE" w:rsidRDefault="00E207D8" w:rsidP="00E207D8">
      <w:pPr>
        <w:pStyle w:val="Heading2"/>
        <w:numPr>
          <w:ilvl w:val="1"/>
          <w:numId w:val="1"/>
        </w:numPr>
        <w:tabs>
          <w:tab w:val="clear" w:pos="0"/>
          <w:tab w:val="num" w:pos="-152"/>
        </w:tabs>
        <w:ind w:left="1288"/>
        <w:rPr>
          <w:rFonts w:asciiTheme="majorBidi" w:hAnsiTheme="majorBidi" w:cstheme="majorBidi"/>
          <w:lang w:val="fr-CA"/>
        </w:rPr>
      </w:pPr>
      <w:r w:rsidRPr="006B04AE">
        <w:rPr>
          <w:rFonts w:asciiTheme="majorBidi" w:hAnsiTheme="majorBidi"/>
          <w:lang w:val="fr-CA"/>
        </w:rPr>
        <w:t>Prendre note des états financiers vérifiés finaux du Fonds multilatéral au 31 décembre 2023, préparés conformément aux normes comptables internationales du secteur public, figurant dans le document UNEP/OzL.Pro/ExCom/95/5; et</w:t>
      </w:r>
    </w:p>
    <w:p w14:paraId="73AE25B8" w14:textId="77777777" w:rsidR="00E207D8" w:rsidRPr="006B04AE" w:rsidRDefault="00E207D8" w:rsidP="00E207D8">
      <w:pPr>
        <w:pStyle w:val="Heading2"/>
        <w:numPr>
          <w:ilvl w:val="1"/>
          <w:numId w:val="1"/>
        </w:numPr>
        <w:tabs>
          <w:tab w:val="clear" w:pos="0"/>
          <w:tab w:val="num" w:pos="-152"/>
        </w:tabs>
        <w:ind w:left="1288"/>
        <w:rPr>
          <w:rFonts w:asciiTheme="majorBidi" w:hAnsiTheme="majorBidi" w:cstheme="majorBidi"/>
          <w:lang w:val="fr-CA"/>
        </w:rPr>
      </w:pPr>
      <w:r w:rsidRPr="006B04AE">
        <w:rPr>
          <w:rStyle w:val="bumpedfont15"/>
          <w:rFonts w:asciiTheme="majorBidi" w:hAnsiTheme="majorBidi"/>
          <w:bCs/>
          <w:szCs w:val="16"/>
          <w:lang w:val="fr-CA"/>
        </w:rPr>
        <w:t xml:space="preserve">Demander </w:t>
      </w:r>
      <w:r w:rsidRPr="006B04AE">
        <w:rPr>
          <w:rFonts w:asciiTheme="majorBidi" w:hAnsiTheme="majorBidi"/>
          <w:lang w:val="fr-CA"/>
        </w:rPr>
        <w:t xml:space="preserve">au Trésorier d'enregistrer dans les comptes 2024 du Fonds multilatéral les différences entre les états financiers provisoires 2023 des agences d'exécution et leurs états </w:t>
      </w:r>
      <w:r w:rsidRPr="00C601D5">
        <w:rPr>
          <w:rStyle w:val="bumpedfont15"/>
          <w:bCs/>
          <w:szCs w:val="16"/>
          <w:lang w:val="fr-CA"/>
        </w:rPr>
        <w:t>financiers finaux 2023 figurant dans le tableau 1 du document UNEP/OzL.Pro/ExCom/95/5</w:t>
      </w:r>
      <w:r w:rsidRPr="006B04AE">
        <w:rPr>
          <w:rFonts w:asciiTheme="majorBidi" w:hAnsiTheme="majorBidi"/>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207D8" w:rsidRPr="00125DEE" w14:paraId="6A882ADA" w14:textId="77777777" w:rsidTr="009F2CA1">
        <w:tc>
          <w:tcPr>
            <w:tcW w:w="1871" w:type="dxa"/>
          </w:tcPr>
          <w:p w14:paraId="7AE9ECE4" w14:textId="77777777" w:rsidR="00E207D8" w:rsidRPr="006B04AE" w:rsidRDefault="00E207D8" w:rsidP="009F2CA1">
            <w:pPr>
              <w:rPr>
                <w:rFonts w:asciiTheme="majorBidi" w:hAnsiTheme="majorBidi" w:cstheme="majorBidi"/>
                <w:lang w:val="fr-CA"/>
              </w:rPr>
            </w:pPr>
          </w:p>
        </w:tc>
        <w:tc>
          <w:tcPr>
            <w:tcW w:w="1872" w:type="dxa"/>
          </w:tcPr>
          <w:p w14:paraId="7B31DA24" w14:textId="77777777" w:rsidR="00E207D8" w:rsidRPr="006B04AE" w:rsidRDefault="00E207D8" w:rsidP="009F2CA1">
            <w:pPr>
              <w:rPr>
                <w:rFonts w:asciiTheme="majorBidi" w:hAnsiTheme="majorBidi" w:cstheme="majorBidi"/>
                <w:lang w:val="fr-CA"/>
              </w:rPr>
            </w:pPr>
          </w:p>
        </w:tc>
        <w:tc>
          <w:tcPr>
            <w:tcW w:w="1872" w:type="dxa"/>
            <w:tcBorders>
              <w:bottom w:val="single" w:sz="4" w:space="0" w:color="auto"/>
            </w:tcBorders>
          </w:tcPr>
          <w:p w14:paraId="428A85E6" w14:textId="77777777" w:rsidR="00E207D8" w:rsidRPr="006B04AE" w:rsidRDefault="00E207D8" w:rsidP="009F2CA1">
            <w:pPr>
              <w:rPr>
                <w:rFonts w:asciiTheme="majorBidi" w:hAnsiTheme="majorBidi" w:cstheme="majorBidi"/>
                <w:lang w:val="fr-CA"/>
              </w:rPr>
            </w:pPr>
          </w:p>
        </w:tc>
        <w:tc>
          <w:tcPr>
            <w:tcW w:w="1872" w:type="dxa"/>
          </w:tcPr>
          <w:p w14:paraId="573F94E8" w14:textId="77777777" w:rsidR="00E207D8" w:rsidRPr="006B04AE" w:rsidRDefault="00E207D8" w:rsidP="009F2CA1">
            <w:pPr>
              <w:rPr>
                <w:rFonts w:asciiTheme="majorBidi" w:hAnsiTheme="majorBidi" w:cstheme="majorBidi"/>
                <w:lang w:val="fr-CA"/>
              </w:rPr>
            </w:pPr>
          </w:p>
        </w:tc>
        <w:tc>
          <w:tcPr>
            <w:tcW w:w="1873" w:type="dxa"/>
          </w:tcPr>
          <w:p w14:paraId="3D4065A4" w14:textId="77777777" w:rsidR="00E207D8" w:rsidRPr="006B04AE" w:rsidRDefault="00E207D8" w:rsidP="009F2CA1">
            <w:pPr>
              <w:rPr>
                <w:rFonts w:asciiTheme="majorBidi" w:hAnsiTheme="majorBidi" w:cstheme="majorBidi"/>
                <w:lang w:val="fr-CA"/>
              </w:rPr>
            </w:pPr>
          </w:p>
        </w:tc>
      </w:tr>
    </w:tbl>
    <w:p w14:paraId="12FE90F3" w14:textId="77777777" w:rsidR="00441083" w:rsidRDefault="00441083" w:rsidP="00B919C2">
      <w:pPr>
        <w:rPr>
          <w:lang w:val="fr-FR"/>
        </w:rPr>
      </w:pPr>
    </w:p>
    <w:sectPr w:rsidR="00441083">
      <w:headerReference w:type="firs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9895B2" w14:textId="77777777" w:rsidR="009E4535" w:rsidRDefault="009E4535">
      <w:r>
        <w:separator/>
      </w:r>
    </w:p>
  </w:endnote>
  <w:endnote w:type="continuationSeparator" w:id="0">
    <w:p w14:paraId="2B7F2777" w14:textId="77777777" w:rsidR="009E4535" w:rsidRDefault="009E4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63B0ACAF" w14:textId="77777777" w:rsidR="00441083" w:rsidRDefault="00E60D9C">
        <w:pPr>
          <w:pStyle w:val="Footer"/>
          <w:jc w:val="center"/>
        </w:pPr>
        <w:r>
          <w:fldChar w:fldCharType="begin"/>
        </w:r>
        <w:r>
          <w:instrText xml:space="preserve"> PAGE   \* MERGEFORMAT </w:instrText>
        </w:r>
        <w:r>
          <w:fldChar w:fldCharType="separate"/>
        </w:r>
        <w:r w:rsidR="00B57B43">
          <w:rPr>
            <w:noProof/>
          </w:rPr>
          <w:t>1</w:t>
        </w:r>
        <w:r>
          <w:rPr>
            <w:noProof/>
          </w:rPr>
          <w:fldChar w:fldCharType="end"/>
        </w:r>
      </w:p>
    </w:sdtContent>
  </w:sdt>
  <w:p w14:paraId="0BDD98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FC505" w14:textId="77777777" w:rsidR="009E4535" w:rsidRDefault="009E4535">
      <w:r>
        <w:separator/>
      </w:r>
    </w:p>
  </w:footnote>
  <w:footnote w:type="continuationSeparator" w:id="0">
    <w:p w14:paraId="5D3AFC3F" w14:textId="77777777" w:rsidR="009E4535" w:rsidRDefault="009E4535">
      <w:r>
        <w:continuationSeparator/>
      </w:r>
    </w:p>
  </w:footnote>
  <w:footnote w:id="1">
    <w:p w14:paraId="5E6320CC" w14:textId="77777777" w:rsidR="00E207D8" w:rsidRPr="002A6BC4" w:rsidRDefault="00E207D8" w:rsidP="00E207D8">
      <w:pPr>
        <w:pStyle w:val="FootnoteText"/>
        <w:rPr>
          <w:lang w:val="fr-CA"/>
        </w:rPr>
      </w:pPr>
      <w:r>
        <w:rPr>
          <w:rStyle w:val="FootnoteReference"/>
        </w:rPr>
        <w:footnoteRef/>
      </w:r>
      <w:r w:rsidRPr="002A6BC4">
        <w:rPr>
          <w:lang w:val="fr-CA"/>
        </w:rPr>
        <w:t>UNEP/OzL.Pro/ExCom/95/1</w:t>
      </w:r>
    </w:p>
  </w:footnote>
  <w:footnote w:id="2">
    <w:p w14:paraId="1BEE2726" w14:textId="77777777" w:rsidR="00E207D8" w:rsidRPr="006B04AE" w:rsidRDefault="00E207D8" w:rsidP="00E207D8">
      <w:pPr>
        <w:pStyle w:val="FootnoteText"/>
        <w:rPr>
          <w:lang w:val="fr-CA"/>
        </w:rPr>
      </w:pPr>
      <w:r>
        <w:rPr>
          <w:rStyle w:val="FootnoteReference"/>
        </w:rPr>
        <w:footnoteRef/>
      </w:r>
      <w:r w:rsidRPr="006B04AE">
        <w:rPr>
          <w:lang w:val="fr-CA"/>
        </w:rPr>
        <w:t xml:space="preserve"> La différence de revenus entre le provisoire et le final s'explique par le transfert effectué à la suite de la 93</w:t>
      </w:r>
      <w:r w:rsidRPr="006B04AE">
        <w:rPr>
          <w:vertAlign w:val="superscript"/>
          <w:lang w:val="fr-CA"/>
        </w:rPr>
        <w:t>e</w:t>
      </w:r>
      <w:r w:rsidRPr="006B04AE">
        <w:rPr>
          <w:lang w:val="fr-CA"/>
        </w:rPr>
        <w:t> réunion.</w:t>
      </w:r>
    </w:p>
  </w:footnote>
  <w:footnote w:id="3">
    <w:p w14:paraId="1A60AC02" w14:textId="77777777" w:rsidR="00E207D8" w:rsidRPr="006B04AE" w:rsidRDefault="00E207D8" w:rsidP="00E207D8">
      <w:pPr>
        <w:pStyle w:val="FootnoteText"/>
        <w:rPr>
          <w:lang w:val="fr-CA"/>
        </w:rPr>
      </w:pPr>
      <w:r>
        <w:rPr>
          <w:rStyle w:val="FootnoteReference"/>
        </w:rPr>
        <w:footnoteRef/>
      </w:r>
      <w:r w:rsidRPr="006B04AE">
        <w:rPr>
          <w:lang w:val="fr-CA"/>
        </w:rPr>
        <w:t xml:space="preserve"> https://documents.un.org/doc/undoc/gen/n24/194/53/pdf/n2419453.pdf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D638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36926927">
    <w:abstractNumId w:val="10"/>
  </w:num>
  <w:num w:numId="2" w16cid:durableId="248004690">
    <w:abstractNumId w:val="10"/>
  </w:num>
  <w:num w:numId="3" w16cid:durableId="105514402">
    <w:abstractNumId w:val="10"/>
  </w:num>
  <w:num w:numId="4" w16cid:durableId="417141012">
    <w:abstractNumId w:val="10"/>
  </w:num>
  <w:num w:numId="5" w16cid:durableId="27417815">
    <w:abstractNumId w:val="10"/>
  </w:num>
  <w:num w:numId="6" w16cid:durableId="1363631520">
    <w:abstractNumId w:val="9"/>
  </w:num>
  <w:num w:numId="7" w16cid:durableId="1615668761">
    <w:abstractNumId w:val="7"/>
  </w:num>
  <w:num w:numId="8" w16cid:durableId="1039472082">
    <w:abstractNumId w:val="6"/>
  </w:num>
  <w:num w:numId="9" w16cid:durableId="547106766">
    <w:abstractNumId w:val="5"/>
  </w:num>
  <w:num w:numId="10" w16cid:durableId="640811108">
    <w:abstractNumId w:val="4"/>
  </w:num>
  <w:num w:numId="11" w16cid:durableId="1271359737">
    <w:abstractNumId w:val="8"/>
  </w:num>
  <w:num w:numId="12" w16cid:durableId="1504974918">
    <w:abstractNumId w:val="3"/>
  </w:num>
  <w:num w:numId="13" w16cid:durableId="729227632">
    <w:abstractNumId w:val="2"/>
  </w:num>
  <w:num w:numId="14" w16cid:durableId="479927471">
    <w:abstractNumId w:val="1"/>
  </w:num>
  <w:num w:numId="15" w16cid:durableId="1742092111">
    <w:abstractNumId w:val="0"/>
  </w:num>
  <w:num w:numId="16" w16cid:durableId="1270504922">
    <w:abstractNumId w:val="13"/>
  </w:num>
  <w:num w:numId="17" w16cid:durableId="1509177403">
    <w:abstractNumId w:val="15"/>
  </w:num>
  <w:num w:numId="18" w16cid:durableId="1679307767">
    <w:abstractNumId w:val="16"/>
  </w:num>
  <w:num w:numId="19" w16cid:durableId="1271166212">
    <w:abstractNumId w:val="17"/>
  </w:num>
  <w:num w:numId="20" w16cid:durableId="2063938303">
    <w:abstractNumId w:val="14"/>
  </w:num>
  <w:num w:numId="21" w16cid:durableId="1183546300">
    <w:abstractNumId w:val="11"/>
  </w:num>
  <w:num w:numId="22" w16cid:durableId="166739231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AEE"/>
    <w:rsid w:val="0005110A"/>
    <w:rsid w:val="00081443"/>
    <w:rsid w:val="000F131E"/>
    <w:rsid w:val="000F6C8E"/>
    <w:rsid w:val="00125DEE"/>
    <w:rsid w:val="00177D11"/>
    <w:rsid w:val="001A15ED"/>
    <w:rsid w:val="001A7720"/>
    <w:rsid w:val="001B7045"/>
    <w:rsid w:val="001C3D0C"/>
    <w:rsid w:val="001D4CE7"/>
    <w:rsid w:val="002124B8"/>
    <w:rsid w:val="002279A9"/>
    <w:rsid w:val="00265AF0"/>
    <w:rsid w:val="002A6BC4"/>
    <w:rsid w:val="002C06D4"/>
    <w:rsid w:val="002D337D"/>
    <w:rsid w:val="002F0B57"/>
    <w:rsid w:val="002F3E88"/>
    <w:rsid w:val="003029F8"/>
    <w:rsid w:val="003465A8"/>
    <w:rsid w:val="003632A8"/>
    <w:rsid w:val="00363966"/>
    <w:rsid w:val="00364885"/>
    <w:rsid w:val="003A0CA4"/>
    <w:rsid w:val="003C3707"/>
    <w:rsid w:val="00403EDF"/>
    <w:rsid w:val="00441083"/>
    <w:rsid w:val="00444619"/>
    <w:rsid w:val="004B1B59"/>
    <w:rsid w:val="004C2C87"/>
    <w:rsid w:val="004E3A36"/>
    <w:rsid w:val="004E5244"/>
    <w:rsid w:val="004F6C80"/>
    <w:rsid w:val="00510A3E"/>
    <w:rsid w:val="005A7F28"/>
    <w:rsid w:val="005B3CAD"/>
    <w:rsid w:val="005B4809"/>
    <w:rsid w:val="005C278F"/>
    <w:rsid w:val="00605093"/>
    <w:rsid w:val="006133C0"/>
    <w:rsid w:val="00631AEE"/>
    <w:rsid w:val="006B04AE"/>
    <w:rsid w:val="006B3EF4"/>
    <w:rsid w:val="006C2660"/>
    <w:rsid w:val="006E435D"/>
    <w:rsid w:val="007034FA"/>
    <w:rsid w:val="0075750B"/>
    <w:rsid w:val="00775FBB"/>
    <w:rsid w:val="007778F9"/>
    <w:rsid w:val="007E0A86"/>
    <w:rsid w:val="00843511"/>
    <w:rsid w:val="00847BDB"/>
    <w:rsid w:val="0088487F"/>
    <w:rsid w:val="0088735F"/>
    <w:rsid w:val="008E1788"/>
    <w:rsid w:val="008E770E"/>
    <w:rsid w:val="0091161A"/>
    <w:rsid w:val="00950142"/>
    <w:rsid w:val="00956C5C"/>
    <w:rsid w:val="00972E99"/>
    <w:rsid w:val="00976886"/>
    <w:rsid w:val="009A5180"/>
    <w:rsid w:val="009E4535"/>
    <w:rsid w:val="009F6617"/>
    <w:rsid w:val="009F709E"/>
    <w:rsid w:val="00A34660"/>
    <w:rsid w:val="00A97E14"/>
    <w:rsid w:val="00AB41B3"/>
    <w:rsid w:val="00AC013C"/>
    <w:rsid w:val="00AE63D8"/>
    <w:rsid w:val="00AE6B05"/>
    <w:rsid w:val="00B55AA4"/>
    <w:rsid w:val="00B57B43"/>
    <w:rsid w:val="00B811F2"/>
    <w:rsid w:val="00B85807"/>
    <w:rsid w:val="00B919C2"/>
    <w:rsid w:val="00BC3C7D"/>
    <w:rsid w:val="00C004D8"/>
    <w:rsid w:val="00C05587"/>
    <w:rsid w:val="00C16E3F"/>
    <w:rsid w:val="00C34C3E"/>
    <w:rsid w:val="00C601D5"/>
    <w:rsid w:val="00C6443E"/>
    <w:rsid w:val="00C9547D"/>
    <w:rsid w:val="00CC2B33"/>
    <w:rsid w:val="00CD22FE"/>
    <w:rsid w:val="00CF515A"/>
    <w:rsid w:val="00D03D9E"/>
    <w:rsid w:val="00D36501"/>
    <w:rsid w:val="00D737A1"/>
    <w:rsid w:val="00D7654A"/>
    <w:rsid w:val="00DB2922"/>
    <w:rsid w:val="00DB4E64"/>
    <w:rsid w:val="00DB6AEB"/>
    <w:rsid w:val="00DD207A"/>
    <w:rsid w:val="00DD3433"/>
    <w:rsid w:val="00E11AA2"/>
    <w:rsid w:val="00E207D8"/>
    <w:rsid w:val="00E348C6"/>
    <w:rsid w:val="00E5237E"/>
    <w:rsid w:val="00E54871"/>
    <w:rsid w:val="00E60D9C"/>
    <w:rsid w:val="00E83925"/>
    <w:rsid w:val="00EB2067"/>
    <w:rsid w:val="00F143BC"/>
    <w:rsid w:val="00F218B0"/>
    <w:rsid w:val="00F35341"/>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3DA6A2"/>
  <w15:docId w15:val="{0A4D65E6-D086-4372-9091-75B9F2A9C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rsid w:val="002C06D4"/>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2C06D4"/>
    <w:rPr>
      <w:vertAlign w:val="superscript"/>
    </w:rPr>
  </w:style>
  <w:style w:type="paragraph" w:styleId="ListParagraph">
    <w:name w:val="List Paragraph"/>
    <w:basedOn w:val="Normal"/>
    <w:uiPriority w:val="34"/>
    <w:qFormat/>
    <w:rsid w:val="00E207D8"/>
    <w:pPr>
      <w:ind w:left="720"/>
      <w:contextualSpacing/>
    </w:pPr>
    <w:rPr>
      <w:lang w:val="fr-FR"/>
    </w:rPr>
  </w:style>
  <w:style w:type="character" w:customStyle="1" w:styleId="bumpedfont15">
    <w:name w:val="bumpedfont15"/>
    <w:basedOn w:val="DefaultParagraphFont"/>
    <w:rsid w:val="00E20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ONU%20Montreal%2023\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4636F7-5390-4F91-AA85-13AA7BE9E007}">
  <ds:schemaRefs>
    <ds:schemaRef ds:uri="http://schemas.openxmlformats.org/officeDocument/2006/bibliography"/>
  </ds:schemaRefs>
</ds:datastoreItem>
</file>

<file path=customXml/itemProps2.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628112-CDB0-4406-9F3A-8A8098A0F2C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F94-template</Template>
  <TotalTime>9</TotalTime>
  <Pages>2</Pages>
  <Words>696</Words>
  <Characters>3973</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Comptes finaux de 2023</vt:lpstr>
      <vt:lpstr/>
    </vt:vector>
  </TitlesOfParts>
  <Company>UNMFS</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Comptes finaux de 2023</dc:title>
  <dc:creator>Souriau</dc:creator>
  <cp:lastModifiedBy>Angela Xue He Yan</cp:lastModifiedBy>
  <cp:revision>19</cp:revision>
  <cp:lastPrinted>2024-10-25T14:09:00Z</cp:lastPrinted>
  <dcterms:created xsi:type="dcterms:W3CDTF">2024-10-24T14:53:00Z</dcterms:created>
  <dcterms:modified xsi:type="dcterms:W3CDTF">2024-10-29T14:38:00Z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vt:lpwstr>
  </property>
  <property fmtid="{D5CDD505-2E9C-101B-9397-08002B2CF9AE}" pid="3" name="Revision date">
    <vt:lpwstr>23/10/2024</vt:lpwstr>
  </property>
  <property fmtid="{D5CDD505-2E9C-101B-9397-08002B2CF9AE}" pid="4" name="ContentTypeId">
    <vt:lpwstr>0x010100C5F60F8E60516143877F7AC30EFBB2F3</vt:lpwstr>
  </property>
  <property fmtid="{D5CDD505-2E9C-101B-9397-08002B2CF9AE}" pid="5" name="Order">
    <vt:r8>147800</vt:r8>
  </property>
  <property fmtid="{D5CDD505-2E9C-101B-9397-08002B2CF9AE}" pid="6" name="MediaServiceImageTags">
    <vt:lpwstr/>
  </property>
</Properties>
</file>