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432" w:type="dxa"/>
        <w:tblLayout w:type="fixed"/>
        <w:tblLook w:val="0000" w:firstRow="0" w:lastRow="0" w:firstColumn="0" w:lastColumn="0" w:noHBand="0" w:noVBand="0"/>
      </w:tblPr>
      <w:tblGrid>
        <w:gridCol w:w="2070"/>
        <w:gridCol w:w="3600"/>
        <w:gridCol w:w="4590"/>
      </w:tblGrid>
      <w:tr w:rsidR="00C15867" w:rsidRPr="009A010C" w:rsidTr="004B0A82">
        <w:trPr>
          <w:trHeight w:val="720"/>
        </w:trPr>
        <w:tc>
          <w:tcPr>
            <w:tcW w:w="5670" w:type="dxa"/>
            <w:gridSpan w:val="2"/>
            <w:tcBorders>
              <w:bottom w:val="single" w:sz="18" w:space="0" w:color="auto"/>
            </w:tcBorders>
          </w:tcPr>
          <w:p w:rsidR="00C15867" w:rsidRPr="009A010C" w:rsidRDefault="00C15867" w:rsidP="0010320D">
            <w:pPr>
              <w:tabs>
                <w:tab w:val="left" w:pos="680"/>
                <w:tab w:val="left" w:pos="1360"/>
                <w:tab w:val="left" w:pos="2041"/>
                <w:tab w:val="left" w:pos="2721"/>
                <w:tab w:val="left" w:pos="3402"/>
                <w:tab w:val="left" w:pos="4082"/>
                <w:tab w:val="left" w:pos="4762"/>
                <w:tab w:val="left" w:pos="5286"/>
                <w:tab w:val="left" w:pos="5443"/>
                <w:tab w:val="left" w:pos="6123"/>
                <w:tab w:val="left" w:pos="6804"/>
                <w:tab w:val="left" w:pos="7484"/>
                <w:tab w:val="left" w:pos="8164"/>
                <w:tab w:val="left" w:pos="8845"/>
              </w:tabs>
              <w:suppressAutoHyphens/>
              <w:rPr>
                <w:sz w:val="28"/>
                <w:szCs w:val="28"/>
                <w:lang w:val="en-CA"/>
              </w:rPr>
            </w:pPr>
            <w:r w:rsidRPr="009A010C">
              <w:rPr>
                <w:rFonts w:ascii="Univers" w:hAnsi="Univers"/>
                <w:b/>
                <w:sz w:val="28"/>
                <w:szCs w:val="28"/>
                <w:lang w:val="en-CA"/>
              </w:rPr>
              <w:t>UNITED</w:t>
            </w:r>
            <w:r w:rsidRPr="009A010C">
              <w:rPr>
                <w:rFonts w:ascii="Univers" w:hAnsi="Univers"/>
                <w:b/>
                <w:sz w:val="28"/>
                <w:szCs w:val="28"/>
                <w:lang w:val="en-CA"/>
              </w:rPr>
              <w:br/>
              <w:t>NATIONS</w:t>
            </w:r>
          </w:p>
        </w:tc>
        <w:tc>
          <w:tcPr>
            <w:tcW w:w="4590" w:type="dxa"/>
            <w:tcBorders>
              <w:bottom w:val="single" w:sz="18" w:space="0" w:color="auto"/>
            </w:tcBorders>
          </w:tcPr>
          <w:p w:rsidR="00C15867" w:rsidRPr="009A010C" w:rsidRDefault="00C15867" w:rsidP="007A25D3">
            <w:pPr>
              <w:jc w:val="right"/>
              <w:rPr>
                <w:sz w:val="52"/>
                <w:szCs w:val="52"/>
                <w:lang w:val="en-CA"/>
              </w:rPr>
            </w:pPr>
            <w:r w:rsidRPr="009A010C">
              <w:rPr>
                <w:rFonts w:ascii="Univers Bold" w:hAnsi="Univers Bold"/>
                <w:b/>
                <w:sz w:val="72"/>
                <w:lang w:val="en-CA"/>
              </w:rPr>
              <w:t>EP</w:t>
            </w:r>
          </w:p>
        </w:tc>
      </w:tr>
      <w:tr w:rsidR="00C15867" w:rsidRPr="009A010C" w:rsidTr="004B0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A010C" w:rsidRDefault="00706663" w:rsidP="007A25D3">
            <w:pPr>
              <w:spacing w:before="120"/>
              <w:rPr>
                <w:lang w:val="en-CA"/>
              </w:rPr>
            </w:pPr>
            <w:r w:rsidRPr="009A010C">
              <w:rPr>
                <w:noProof/>
                <w:lang w:val="en-CA" w:eastAsia="en-CA"/>
              </w:rPr>
              <w:drawing>
                <wp:anchor distT="0" distB="0" distL="114300" distR="114300" simplePos="0" relativeHeight="251661312" behindDoc="1" locked="0" layoutInCell="0" allowOverlap="1" wp14:anchorId="0024358F" wp14:editId="08276485">
                  <wp:simplePos x="0" y="0"/>
                  <wp:positionH relativeFrom="column">
                    <wp:posOffset>15240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sidRPr="009A010C">
              <w:rPr>
                <w:noProof/>
                <w:lang w:val="en-CA" w:eastAsia="en-CA"/>
              </w:rPr>
              <w:drawing>
                <wp:anchor distT="0" distB="0" distL="114300" distR="114300" simplePos="0" relativeHeight="251660288" behindDoc="0" locked="0" layoutInCell="1" allowOverlap="1" wp14:anchorId="56E29CB6" wp14:editId="4EA2D0FA">
                  <wp:simplePos x="0" y="0"/>
                  <wp:positionH relativeFrom="column">
                    <wp:posOffset>19123</wp:posOffset>
                  </wp:positionH>
                  <wp:positionV relativeFrom="paragraph">
                    <wp:posOffset>915035</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600" w:type="dxa"/>
            <w:tcBorders>
              <w:top w:val="nil"/>
              <w:left w:val="nil"/>
              <w:bottom w:val="single" w:sz="36" w:space="0" w:color="auto"/>
              <w:right w:val="nil"/>
            </w:tcBorders>
          </w:tcPr>
          <w:p w:rsidR="00C15867" w:rsidRPr="009A010C"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A010C">
              <w:rPr>
                <w:rFonts w:ascii="Univers" w:hAnsi="Univers"/>
                <w:b/>
                <w:sz w:val="32"/>
                <w:lang w:val="en-CA"/>
              </w:rPr>
              <w:t>United Nations</w:t>
            </w:r>
          </w:p>
          <w:p w:rsidR="00C15867" w:rsidRPr="009A010C"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A010C">
              <w:rPr>
                <w:rFonts w:ascii="Univers" w:hAnsi="Univers"/>
                <w:b/>
                <w:sz w:val="32"/>
                <w:lang w:val="en-CA"/>
              </w:rPr>
              <w:t>Environment</w:t>
            </w:r>
          </w:p>
          <w:p w:rsidR="00C15867" w:rsidRPr="009A010C"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A010C">
              <w:rPr>
                <w:rFonts w:ascii="Univers" w:hAnsi="Univers"/>
                <w:b/>
                <w:sz w:val="32"/>
                <w:lang w:val="en-CA"/>
              </w:rPr>
              <w:t>Programme</w:t>
            </w:r>
          </w:p>
          <w:p w:rsidR="00C15867" w:rsidRPr="009A010C" w:rsidRDefault="00C15867" w:rsidP="007A25D3">
            <w:pPr>
              <w:spacing w:before="720"/>
              <w:ind w:left="158"/>
              <w:rPr>
                <w:lang w:val="en-CA"/>
              </w:rPr>
            </w:pPr>
          </w:p>
        </w:tc>
        <w:tc>
          <w:tcPr>
            <w:tcW w:w="4590" w:type="dxa"/>
            <w:tcBorders>
              <w:top w:val="nil"/>
              <w:left w:val="nil"/>
              <w:bottom w:val="single" w:sz="36" w:space="0" w:color="auto"/>
              <w:right w:val="nil"/>
            </w:tcBorders>
          </w:tcPr>
          <w:p w:rsidR="00C15867" w:rsidRPr="009A010C" w:rsidRDefault="00C15867" w:rsidP="007A25D3">
            <w:pPr>
              <w:rPr>
                <w:lang w:val="en-CA"/>
              </w:rPr>
            </w:pPr>
            <w:r w:rsidRPr="009A010C">
              <w:rPr>
                <w:lang w:val="en-CA"/>
              </w:rPr>
              <w:t>Distr.</w:t>
            </w:r>
          </w:p>
          <w:p w:rsidR="00923540" w:rsidRPr="009A010C" w:rsidRDefault="00923540" w:rsidP="00923540">
            <w:pPr>
              <w:rPr>
                <w:lang w:val="en-CA"/>
              </w:rPr>
            </w:pPr>
            <w:r w:rsidRPr="009A010C">
              <w:rPr>
                <w:lang w:val="en-CA"/>
              </w:rPr>
              <w:t>GENERAL</w:t>
            </w:r>
          </w:p>
          <w:p w:rsidR="00C15867" w:rsidRPr="009A010C" w:rsidRDefault="00C15867" w:rsidP="007A25D3">
            <w:pPr>
              <w:rPr>
                <w:lang w:val="en-CA"/>
              </w:rPr>
            </w:pPr>
          </w:p>
          <w:p w:rsidR="00C15867" w:rsidRPr="009A010C" w:rsidRDefault="00C15867" w:rsidP="007A25D3">
            <w:pPr>
              <w:rPr>
                <w:lang w:val="en-CA"/>
              </w:rPr>
            </w:pPr>
          </w:p>
          <w:p w:rsidR="006B6F11" w:rsidRPr="009A010C" w:rsidRDefault="00A324A7" w:rsidP="006B6F11">
            <w:r>
              <w:fldChar w:fldCharType="begin"/>
            </w:r>
            <w:r>
              <w:instrText xml:space="preserve"> DOCPROPERTY "Document number"  \* MERGEFORMAT </w:instrText>
            </w:r>
            <w:r>
              <w:fldChar w:fldCharType="separate"/>
            </w:r>
            <w:r w:rsidR="00DB6357" w:rsidRPr="009A010C">
              <w:t>UNEP/</w:t>
            </w:r>
            <w:proofErr w:type="spellStart"/>
            <w:r w:rsidR="00DB6357" w:rsidRPr="009A010C">
              <w:t>OzL.Pro</w:t>
            </w:r>
            <w:proofErr w:type="spellEnd"/>
            <w:r w:rsidR="00DB6357" w:rsidRPr="009A010C">
              <w:t>/</w:t>
            </w:r>
            <w:proofErr w:type="spellStart"/>
            <w:r w:rsidR="00DB6357" w:rsidRPr="009A010C">
              <w:t>ExCom</w:t>
            </w:r>
            <w:proofErr w:type="spellEnd"/>
            <w:r w:rsidR="00DB6357" w:rsidRPr="009A010C">
              <w:t>/82/20</w:t>
            </w:r>
            <w:r>
              <w:fldChar w:fldCharType="end"/>
            </w:r>
            <w:r w:rsidR="003A2E51">
              <w:t>*</w:t>
            </w:r>
          </w:p>
          <w:p w:rsidR="00C15867" w:rsidRPr="009A010C" w:rsidRDefault="006B6F11" w:rsidP="006B6F11">
            <w:pPr>
              <w:rPr>
                <w:lang w:val="en-CA"/>
              </w:rPr>
            </w:pPr>
            <w:r w:rsidRPr="009A010C">
              <w:fldChar w:fldCharType="begin"/>
            </w:r>
            <w:r w:rsidRPr="009A010C">
              <w:instrText xml:space="preserve"> DOCPROPERTY "Revision date" \@ "d MMMM YYYY"  \* MERGEFORMAT </w:instrText>
            </w:r>
            <w:r w:rsidRPr="009A010C">
              <w:fldChar w:fldCharType="separate"/>
            </w:r>
            <w:r w:rsidR="00AB3CAF">
              <w:t>17 November 2018</w:t>
            </w:r>
            <w:r w:rsidRPr="009A010C">
              <w:fldChar w:fldCharType="end"/>
            </w:r>
          </w:p>
          <w:p w:rsidR="00C15867" w:rsidRPr="009A010C" w:rsidRDefault="00C15867" w:rsidP="007A25D3">
            <w:pPr>
              <w:rPr>
                <w:caps/>
                <w:lang w:val="en-CA"/>
              </w:rPr>
            </w:pPr>
          </w:p>
          <w:p w:rsidR="00C15867" w:rsidRPr="009A010C" w:rsidRDefault="00C15867" w:rsidP="007A25D3">
            <w:pPr>
              <w:rPr>
                <w:lang w:val="en-CA"/>
              </w:rPr>
            </w:pPr>
            <w:r w:rsidRPr="009A010C">
              <w:rPr>
                <w:lang w:val="en-CA"/>
              </w:rPr>
              <w:t>ORIGINAL: ENGLISH</w:t>
            </w:r>
          </w:p>
        </w:tc>
      </w:tr>
    </w:tbl>
    <w:p w:rsidR="00706663" w:rsidRPr="009A010C" w:rsidRDefault="00706663" w:rsidP="00706663">
      <w:pPr>
        <w:jc w:val="left"/>
      </w:pPr>
      <w:r w:rsidRPr="009A010C">
        <w:t>EXECUTIVE COMMITTEE OF</w:t>
      </w:r>
      <w:r w:rsidRPr="009A010C">
        <w:br/>
        <w:t xml:space="preserve">  THE MULTILATERAL FUND FOR THE</w:t>
      </w:r>
      <w:r w:rsidRPr="009A010C">
        <w:br/>
        <w:t xml:space="preserve">  IMPLEMENTATION OF THE MONTREAL PROTOCOL</w:t>
      </w:r>
      <w:r w:rsidRPr="009A010C">
        <w:br/>
      </w:r>
      <w:r w:rsidRPr="009A010C">
        <w:rPr>
          <w:lang w:val="en-CA"/>
        </w:rPr>
        <w:t xml:space="preserve">Eighty-second </w:t>
      </w:r>
      <w:r w:rsidRPr="009A010C">
        <w:t>Meeting</w:t>
      </w:r>
    </w:p>
    <w:p w:rsidR="00706663" w:rsidRPr="009A010C" w:rsidRDefault="00706663" w:rsidP="00706663">
      <w:pPr>
        <w:jc w:val="left"/>
        <w:rPr>
          <w:lang w:val="en-CA"/>
        </w:rPr>
      </w:pPr>
      <w:r w:rsidRPr="009A010C">
        <w:rPr>
          <w:lang w:val="en-CA"/>
        </w:rPr>
        <w:t>Montreal, 3</w:t>
      </w:r>
      <w:r w:rsidRPr="009A010C">
        <w:t>-7 December 2018</w:t>
      </w:r>
    </w:p>
    <w:p w:rsidR="00706663" w:rsidRPr="009A010C" w:rsidRDefault="00706663" w:rsidP="00706663">
      <w:pPr>
        <w:jc w:val="left"/>
        <w:rPr>
          <w:lang w:val="en-US"/>
        </w:rPr>
      </w:pPr>
    </w:p>
    <w:p w:rsidR="003F748F" w:rsidRPr="009A010C" w:rsidRDefault="003F748F" w:rsidP="000D6289">
      <w:pPr>
        <w:pStyle w:val="0Heading0"/>
        <w:rPr>
          <w:lang w:val="en-CA"/>
        </w:rPr>
      </w:pPr>
    </w:p>
    <w:p w:rsidR="006A6E0E" w:rsidRPr="009A010C" w:rsidRDefault="006A6E0E" w:rsidP="002A31F4">
      <w:pPr>
        <w:pStyle w:val="Title1"/>
        <w:rPr>
          <w:lang w:val="en-CA"/>
        </w:rPr>
      </w:pPr>
      <w:r w:rsidRPr="009A010C">
        <w:rPr>
          <w:lang w:val="en-CA"/>
        </w:rPr>
        <w:t>REPORTS ON PROJECTS WITH SPECIFIC REPORTING REQUIREMENTS</w:t>
      </w:r>
    </w:p>
    <w:p w:rsidR="006A6E0E" w:rsidRPr="009A010C" w:rsidRDefault="006A6E0E" w:rsidP="002A31F4">
      <w:pPr>
        <w:pStyle w:val="Title1"/>
        <w:rPr>
          <w:lang w:val="en-CA"/>
        </w:rPr>
      </w:pPr>
    </w:p>
    <w:p w:rsidR="00AB7C95" w:rsidRPr="009A010C" w:rsidRDefault="00AB7C95" w:rsidP="00AB7C95">
      <w:pPr>
        <w:pStyle w:val="Heading1"/>
        <w:rPr>
          <w:lang w:val="en-CA"/>
        </w:rPr>
      </w:pPr>
      <w:r w:rsidRPr="009A010C">
        <w:rPr>
          <w:lang w:val="en-CA"/>
        </w:rPr>
        <w:t>This document serves as a follow-up to the issues raised in the last annual progress and financial reports submitted to the 79</w:t>
      </w:r>
      <w:r w:rsidRPr="009A010C">
        <w:rPr>
          <w:vertAlign w:val="superscript"/>
          <w:lang w:val="en-CA"/>
        </w:rPr>
        <w:t>th</w:t>
      </w:r>
      <w:r w:rsidRPr="009A010C">
        <w:rPr>
          <w:lang w:val="en-CA"/>
        </w:rPr>
        <w:t xml:space="preserve"> meeting,</w:t>
      </w:r>
      <w:r w:rsidRPr="009A010C">
        <w:rPr>
          <w:rStyle w:val="FootnoteReference"/>
          <w:color w:val="000000" w:themeColor="text1"/>
          <w:lang w:val="en-CA"/>
        </w:rPr>
        <w:footnoteReference w:id="1"/>
      </w:r>
      <w:r w:rsidRPr="009A010C">
        <w:rPr>
          <w:lang w:val="en-CA"/>
        </w:rPr>
        <w:t xml:space="preserve"> and in relation to projects and activities for which specific reports were requested in previous meetings. </w:t>
      </w:r>
    </w:p>
    <w:p w:rsidR="00AB7C95" w:rsidRPr="009A010C" w:rsidRDefault="00AB7C95" w:rsidP="00AB7C95">
      <w:pPr>
        <w:pStyle w:val="Heading1"/>
        <w:rPr>
          <w:lang w:val="en-CA"/>
        </w:rPr>
      </w:pPr>
      <w:r w:rsidRPr="009A010C">
        <w:rPr>
          <w:lang w:val="en-CA"/>
        </w:rPr>
        <w:t>The document is divided into the following parts:</w:t>
      </w:r>
    </w:p>
    <w:p w:rsidR="00AB7C95" w:rsidRPr="009A010C" w:rsidRDefault="00AB7C95" w:rsidP="00AB7C95">
      <w:pPr>
        <w:spacing w:after="240"/>
        <w:ind w:left="2160" w:hanging="1440"/>
        <w:rPr>
          <w:lang w:val="en-CA"/>
        </w:rPr>
      </w:pPr>
      <w:r w:rsidRPr="009A010C">
        <w:rPr>
          <w:lang w:val="en-CA"/>
        </w:rPr>
        <w:t>Part I:</w:t>
      </w:r>
      <w:r w:rsidRPr="009A010C">
        <w:rPr>
          <w:lang w:val="en-CA"/>
        </w:rPr>
        <w:tab/>
        <w:t>Financial audit reports for the CFC production, halon, polyurethane (PU) foam, process agent II, refrigeration servicing and solvent sectors in China</w:t>
      </w:r>
    </w:p>
    <w:p w:rsidR="00AB7C95" w:rsidRPr="009A010C" w:rsidRDefault="00AB7C95" w:rsidP="00AB7C95">
      <w:pPr>
        <w:spacing w:after="240"/>
        <w:ind w:left="2160" w:hanging="1440"/>
        <w:rPr>
          <w:lang w:val="en-CA"/>
        </w:rPr>
      </w:pPr>
      <w:r w:rsidRPr="009A010C">
        <w:rPr>
          <w:lang w:val="en-CA"/>
        </w:rPr>
        <w:t>Part II:</w:t>
      </w:r>
      <w:r w:rsidRPr="009A010C">
        <w:rPr>
          <w:lang w:val="en-CA"/>
        </w:rPr>
        <w:tab/>
        <w:t>Methyl bromide (MB) phase-out projects</w:t>
      </w:r>
    </w:p>
    <w:p w:rsidR="00AB7C95" w:rsidRPr="009A010C" w:rsidRDefault="00AB7C95" w:rsidP="00AB7C95">
      <w:pPr>
        <w:spacing w:after="240"/>
        <w:ind w:left="2160" w:hanging="1440"/>
        <w:rPr>
          <w:lang w:val="en-CA"/>
        </w:rPr>
      </w:pPr>
      <w:r w:rsidRPr="009A010C">
        <w:rPr>
          <w:lang w:val="en-CA"/>
        </w:rPr>
        <w:t>Part III:</w:t>
      </w:r>
      <w:r w:rsidRPr="009A010C">
        <w:rPr>
          <w:lang w:val="en-CA"/>
        </w:rPr>
        <w:tab/>
        <w:t>Phase-out in consumption and production of CTC in India (decision 81/23)</w:t>
      </w:r>
    </w:p>
    <w:p w:rsidR="00AB7C95" w:rsidRPr="009A010C" w:rsidRDefault="00AB7C95" w:rsidP="00AB7C95">
      <w:pPr>
        <w:spacing w:after="240"/>
        <w:ind w:left="2160" w:hanging="1440"/>
        <w:rPr>
          <w:lang w:val="en-CA"/>
        </w:rPr>
      </w:pPr>
      <w:r w:rsidRPr="009A010C">
        <w:rPr>
          <w:lang w:val="en-CA"/>
        </w:rPr>
        <w:t>Part IV:</w:t>
      </w:r>
      <w:r w:rsidRPr="009A010C">
        <w:rPr>
          <w:lang w:val="en-CA"/>
        </w:rPr>
        <w:tab/>
        <w:t>ODS waste disposal projects</w:t>
      </w:r>
    </w:p>
    <w:p w:rsidR="00AB7C95" w:rsidRPr="009A010C" w:rsidRDefault="00AB7C95" w:rsidP="00AB7C95">
      <w:pPr>
        <w:spacing w:after="240"/>
        <w:ind w:left="2160" w:hanging="1440"/>
        <w:rPr>
          <w:lang w:val="en-CA"/>
        </w:rPr>
      </w:pPr>
      <w:r w:rsidRPr="009A010C">
        <w:rPr>
          <w:lang w:val="en-CA"/>
        </w:rPr>
        <w:t xml:space="preserve">Part V: </w:t>
      </w:r>
      <w:r w:rsidRPr="009A010C">
        <w:rPr>
          <w:lang w:val="en-CA"/>
        </w:rPr>
        <w:tab/>
        <w:t>Chiller projects</w:t>
      </w:r>
    </w:p>
    <w:p w:rsidR="00AB7C95" w:rsidRPr="009A010C" w:rsidRDefault="00AB7C95" w:rsidP="00AB7C95">
      <w:pPr>
        <w:spacing w:after="240"/>
        <w:ind w:left="2160" w:hanging="1440"/>
        <w:rPr>
          <w:lang w:val="en-CA"/>
        </w:rPr>
      </w:pPr>
      <w:r w:rsidRPr="009A010C">
        <w:rPr>
          <w:lang w:val="en-CA"/>
        </w:rPr>
        <w:t>Part VI:</w:t>
      </w:r>
      <w:r w:rsidRPr="009A010C">
        <w:rPr>
          <w:lang w:val="en-CA"/>
        </w:rPr>
        <w:tab/>
        <w:t>Demonstration projects for low-global-warming potential (GWP) alternatives to HCFCs and feasibility studies for district cooling (decision 72/40)</w:t>
      </w:r>
    </w:p>
    <w:p w:rsidR="00AB7C95" w:rsidRPr="009A010C" w:rsidRDefault="00AB7C95" w:rsidP="00AB7C95">
      <w:pPr>
        <w:spacing w:after="240"/>
        <w:ind w:left="2160" w:hanging="1440"/>
        <w:rPr>
          <w:lang w:val="en-CA"/>
        </w:rPr>
      </w:pPr>
      <w:r w:rsidRPr="009A010C">
        <w:rPr>
          <w:lang w:val="en-CA"/>
        </w:rPr>
        <w:t>Part VII:</w:t>
      </w:r>
      <w:r w:rsidRPr="009A010C">
        <w:rPr>
          <w:lang w:val="en-CA"/>
        </w:rPr>
        <w:tab/>
        <w:t xml:space="preserve">Temporary use of a high-GWP technology in approved projects </w:t>
      </w:r>
    </w:p>
    <w:p w:rsidR="00AB7C95" w:rsidRPr="009A010C" w:rsidRDefault="00AB7C95" w:rsidP="00AB7C95">
      <w:pPr>
        <w:spacing w:after="240"/>
        <w:ind w:left="2160" w:hanging="1440"/>
        <w:rPr>
          <w:lang w:val="en-CA"/>
        </w:rPr>
      </w:pPr>
      <w:r w:rsidRPr="009A010C">
        <w:rPr>
          <w:lang w:val="en-CA"/>
        </w:rPr>
        <w:t>Part VIII:</w:t>
      </w:r>
      <w:r w:rsidRPr="009A010C">
        <w:rPr>
          <w:lang w:val="en-CA"/>
        </w:rPr>
        <w:tab/>
        <w:t>Reports related to HCFC phase-out management plans (HPMPs)</w:t>
      </w:r>
    </w:p>
    <w:p w:rsidR="00AB7C95" w:rsidRDefault="00AB7C95" w:rsidP="00AB7C95">
      <w:pPr>
        <w:pStyle w:val="Heading1"/>
        <w:rPr>
          <w:lang w:val="en-CA"/>
        </w:rPr>
      </w:pPr>
      <w:r w:rsidRPr="009A010C">
        <w:rPr>
          <w:lang w:val="en-CA"/>
        </w:rPr>
        <w:t>Each part contains a brief description of progress, and the Secretariat’s comments and recommendations.</w:t>
      </w:r>
    </w:p>
    <w:p w:rsidR="003A2E51" w:rsidRDefault="003A2E51" w:rsidP="003A2E51">
      <w:pPr>
        <w:rPr>
          <w:lang w:val="en-CA"/>
        </w:rPr>
      </w:pPr>
    </w:p>
    <w:p w:rsidR="003A2E51" w:rsidRPr="003A2E51" w:rsidRDefault="009D493C" w:rsidP="003A2E51">
      <w:pPr>
        <w:rPr>
          <w:lang w:val="en-CA"/>
        </w:rPr>
      </w:pPr>
      <w:r>
        <w:rPr>
          <w:lang w:val="en-CA"/>
        </w:rPr>
        <w:t>*R</w:t>
      </w:r>
      <w:r w:rsidR="003A2E51">
        <w:rPr>
          <w:lang w:val="en-CA"/>
        </w:rPr>
        <w:t>e-issued for technical reasons on 20 November 2018</w:t>
      </w:r>
    </w:p>
    <w:p w:rsidR="00007BD2" w:rsidRPr="009A010C" w:rsidRDefault="00007BD2" w:rsidP="00007BD2">
      <w:pPr>
        <w:pStyle w:val="sub-title"/>
        <w:keepNext/>
        <w:keepLines/>
        <w:spacing w:after="240"/>
        <w:ind w:left="1138" w:hanging="1138"/>
        <w:rPr>
          <w:b w:val="0"/>
          <w:lang w:val="en-CA"/>
        </w:rPr>
      </w:pPr>
      <w:r w:rsidRPr="009A010C">
        <w:rPr>
          <w:noProof w:val="0"/>
          <w:lang w:val="en-CA"/>
        </w:rPr>
        <w:lastRenderedPageBreak/>
        <w:t>PART I:</w:t>
      </w:r>
      <w:r w:rsidRPr="009A010C">
        <w:rPr>
          <w:noProof w:val="0"/>
          <w:lang w:val="en-CA"/>
        </w:rPr>
        <w:tab/>
      </w:r>
      <w:r w:rsidRPr="009A010C">
        <w:rPr>
          <w:lang w:val="en-CA"/>
        </w:rPr>
        <w:t>FINANCIAL AUDIT REPORTS FOR THE CFC PRODUCTION, HALON, PU FOAM, PROCESS AGENT II, REFRIGERATION SERVICING AND SOLVENT SECTORS IN CHINA</w:t>
      </w:r>
    </w:p>
    <w:p w:rsidR="00007BD2" w:rsidRPr="009A010C" w:rsidRDefault="00007BD2" w:rsidP="00007BD2">
      <w:pPr>
        <w:widowControl w:val="0"/>
        <w:jc w:val="left"/>
        <w:rPr>
          <w:b/>
          <w:lang w:val="en-CA"/>
        </w:rPr>
      </w:pPr>
      <w:r w:rsidRPr="009A010C">
        <w:rPr>
          <w:b/>
          <w:lang w:val="en-CA"/>
        </w:rPr>
        <w:t>Background</w:t>
      </w:r>
    </w:p>
    <w:p w:rsidR="00007BD2" w:rsidRPr="009A010C" w:rsidRDefault="00007BD2" w:rsidP="00007BD2">
      <w:pPr>
        <w:widowControl w:val="0"/>
        <w:jc w:val="left"/>
        <w:rPr>
          <w:b/>
          <w:lang w:val="en-CA"/>
        </w:rPr>
      </w:pPr>
    </w:p>
    <w:p w:rsidR="00007BD2" w:rsidRPr="009A010C" w:rsidRDefault="00007BD2" w:rsidP="00007BD2">
      <w:pPr>
        <w:pStyle w:val="Heading1"/>
        <w:rPr>
          <w:lang w:val="en-CA"/>
        </w:rPr>
      </w:pPr>
      <w:r w:rsidRPr="009A010C">
        <w:rPr>
          <w:lang w:val="en-CA"/>
        </w:rPr>
        <w:t>In line with decisions 71/12(b)(ii) and (iii)</w:t>
      </w:r>
      <w:r w:rsidRPr="009A010C">
        <w:rPr>
          <w:rStyle w:val="FootnoteReference"/>
          <w:lang w:val="en-CA"/>
        </w:rPr>
        <w:footnoteReference w:id="2"/>
      </w:r>
      <w:r w:rsidRPr="009A010C">
        <w:rPr>
          <w:lang w:val="en-CA"/>
        </w:rPr>
        <w:t>, 72/13</w:t>
      </w:r>
      <w:r w:rsidRPr="009A010C">
        <w:rPr>
          <w:rStyle w:val="FootnoteReference"/>
          <w:lang w:val="en-CA"/>
        </w:rPr>
        <w:footnoteReference w:id="3"/>
      </w:r>
      <w:r w:rsidRPr="009A010C">
        <w:rPr>
          <w:lang w:val="en-CA"/>
        </w:rPr>
        <w:t>, 73/20(b)</w:t>
      </w:r>
      <w:r w:rsidRPr="009A010C">
        <w:rPr>
          <w:rStyle w:val="FootnoteReference"/>
          <w:lang w:val="en-CA"/>
        </w:rPr>
        <w:footnoteReference w:id="4"/>
      </w:r>
      <w:r w:rsidRPr="009A010C">
        <w:rPr>
          <w:lang w:val="en-CA"/>
        </w:rPr>
        <w:t>, 75/18</w:t>
      </w:r>
      <w:r w:rsidRPr="009A010C">
        <w:rPr>
          <w:rStyle w:val="FootnoteReference"/>
          <w:lang w:val="en-CA"/>
        </w:rPr>
        <w:footnoteReference w:id="5"/>
      </w:r>
      <w:r w:rsidRPr="009A010C">
        <w:rPr>
          <w:lang w:val="en-CA"/>
        </w:rPr>
        <w:t>, 77/26(b)</w:t>
      </w:r>
      <w:r w:rsidRPr="009A010C">
        <w:rPr>
          <w:rStyle w:val="FootnoteReference"/>
          <w:lang w:val="en-CA"/>
        </w:rPr>
        <w:footnoteReference w:id="6"/>
      </w:r>
      <w:r w:rsidRPr="009A010C">
        <w:rPr>
          <w:lang w:val="en-CA"/>
        </w:rPr>
        <w:t>, and 80/27</w:t>
      </w:r>
      <w:r w:rsidRPr="009A010C">
        <w:rPr>
          <w:rStyle w:val="FootnoteReference"/>
          <w:lang w:val="en-CA"/>
        </w:rPr>
        <w:footnoteReference w:id="7"/>
      </w:r>
      <w:r w:rsidRPr="009A010C">
        <w:rPr>
          <w:lang w:val="en-CA"/>
        </w:rPr>
        <w:t>, the Government of China has submitted to the 82</w:t>
      </w:r>
      <w:r w:rsidRPr="009A010C">
        <w:rPr>
          <w:vertAlign w:val="superscript"/>
          <w:lang w:val="en-CA"/>
        </w:rPr>
        <w:t>nd</w:t>
      </w:r>
      <w:r w:rsidRPr="009A010C">
        <w:rPr>
          <w:lang w:val="en-CA"/>
        </w:rPr>
        <w:t> meeting, through the relevant bilateral and implementing agencies, final progress reports, relevant research, technical assistance reports, and audit reports including the interest accrued during the implementation of the CFC production, halon, PU foam, process agent II, refrigeration servicing and solvent sector plans.</w:t>
      </w:r>
    </w:p>
    <w:p w:rsidR="00007BD2" w:rsidRPr="009A010C" w:rsidRDefault="00007BD2" w:rsidP="00007BD2">
      <w:pPr>
        <w:widowControl w:val="0"/>
        <w:rPr>
          <w:u w:val="single"/>
          <w:lang w:val="en-CA"/>
        </w:rPr>
      </w:pPr>
      <w:r w:rsidRPr="009A010C">
        <w:rPr>
          <w:u w:val="single"/>
          <w:lang w:val="en-CA"/>
        </w:rPr>
        <w:t>Planned budgets and progress reports</w:t>
      </w:r>
    </w:p>
    <w:p w:rsidR="00007BD2" w:rsidRPr="009A010C" w:rsidRDefault="00007BD2" w:rsidP="00007BD2">
      <w:pPr>
        <w:widowControl w:val="0"/>
        <w:rPr>
          <w:u w:val="single"/>
          <w:lang w:val="en-CA"/>
        </w:rPr>
      </w:pPr>
    </w:p>
    <w:p w:rsidR="00007BD2" w:rsidRPr="00F4406E" w:rsidRDefault="00007BD2" w:rsidP="00007BD2">
      <w:pPr>
        <w:pStyle w:val="Heading1"/>
        <w:widowControl w:val="0"/>
        <w:rPr>
          <w:lang w:val="en-CA"/>
        </w:rPr>
      </w:pPr>
      <w:r w:rsidRPr="009A010C">
        <w:rPr>
          <w:lang w:val="en-CA"/>
        </w:rPr>
        <w:t xml:space="preserve">As of 31 August 2018, remaining balances amounted to US $22,236,071. </w:t>
      </w:r>
      <w:r w:rsidRPr="00F4406E">
        <w:rPr>
          <w:lang w:val="en-CA"/>
        </w:rPr>
        <w:t xml:space="preserve">Table 1 presents an overview of fund disbursements between 1 July 2017 and 31 August 2018, fund balances, and the planned completion dates for each of the sector plans. </w:t>
      </w:r>
    </w:p>
    <w:p w:rsidR="00007BD2" w:rsidRPr="009A010C" w:rsidRDefault="00007BD2" w:rsidP="00007BD2">
      <w:pPr>
        <w:widowControl w:val="0"/>
        <w:jc w:val="left"/>
        <w:rPr>
          <w:b/>
          <w:lang w:val="en-CA"/>
        </w:rPr>
      </w:pPr>
      <w:r w:rsidRPr="00F4406E">
        <w:rPr>
          <w:b/>
          <w:lang w:val="en-CA"/>
        </w:rPr>
        <w:t>Table 1. Planned budgets for the use of remaining funds (US $)</w:t>
      </w:r>
    </w:p>
    <w:tbl>
      <w:tblPr>
        <w:tblW w:w="9639" w:type="dxa"/>
        <w:tblInd w:w="-5" w:type="dxa"/>
        <w:tblLayout w:type="fixed"/>
        <w:tblLook w:val="04A0" w:firstRow="1" w:lastRow="0" w:firstColumn="1" w:lastColumn="0" w:noHBand="0" w:noVBand="1"/>
      </w:tblPr>
      <w:tblGrid>
        <w:gridCol w:w="4307"/>
        <w:gridCol w:w="1314"/>
        <w:gridCol w:w="1314"/>
        <w:gridCol w:w="1570"/>
        <w:gridCol w:w="1134"/>
      </w:tblGrid>
      <w:tr w:rsidR="00007BD2" w:rsidRPr="009A010C" w:rsidTr="00067394">
        <w:trPr>
          <w:tblHeader/>
        </w:trPr>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b/>
                <w:color w:val="000000"/>
                <w:sz w:val="19"/>
                <w:szCs w:val="19"/>
                <w:lang w:val="en-CA"/>
              </w:rPr>
            </w:pPr>
            <w:r w:rsidRPr="009A010C">
              <w:rPr>
                <w:b/>
                <w:color w:val="000000"/>
                <w:sz w:val="19"/>
                <w:szCs w:val="19"/>
                <w:lang w:val="en-CA"/>
              </w:rPr>
              <w:t>Activity</w:t>
            </w:r>
          </w:p>
        </w:tc>
        <w:tc>
          <w:tcPr>
            <w:tcW w:w="1314"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007BD2" w:rsidRPr="009A010C" w:rsidRDefault="00007BD2" w:rsidP="00067394">
            <w:pPr>
              <w:widowControl w:val="0"/>
              <w:jc w:val="center"/>
              <w:rPr>
                <w:b/>
                <w:color w:val="000000"/>
                <w:sz w:val="19"/>
                <w:szCs w:val="19"/>
                <w:lang w:val="en-CA"/>
              </w:rPr>
            </w:pPr>
            <w:r w:rsidRPr="009A010C">
              <w:rPr>
                <w:b/>
                <w:color w:val="000000"/>
                <w:sz w:val="19"/>
                <w:szCs w:val="19"/>
                <w:lang w:val="en-CA"/>
              </w:rPr>
              <w:t>Balance as at 30</w:t>
            </w:r>
            <w:r w:rsidR="00067394" w:rsidRPr="009A010C">
              <w:rPr>
                <w:b/>
                <w:color w:val="000000"/>
                <w:sz w:val="19"/>
                <w:szCs w:val="19"/>
                <w:lang w:val="en-CA"/>
              </w:rPr>
              <w:t> </w:t>
            </w:r>
            <w:r w:rsidRPr="009A010C">
              <w:rPr>
                <w:b/>
                <w:color w:val="000000"/>
                <w:sz w:val="19"/>
                <w:szCs w:val="19"/>
                <w:lang w:val="en-CA"/>
              </w:rPr>
              <w:t>June</w:t>
            </w:r>
            <w:r w:rsidR="00067394" w:rsidRPr="009A010C">
              <w:rPr>
                <w:b/>
                <w:color w:val="000000"/>
                <w:sz w:val="19"/>
                <w:szCs w:val="19"/>
                <w:lang w:val="en-CA"/>
              </w:rPr>
              <w:t> </w:t>
            </w:r>
            <w:r w:rsidRPr="009A010C">
              <w:rPr>
                <w:b/>
                <w:color w:val="000000"/>
                <w:sz w:val="19"/>
                <w:szCs w:val="19"/>
                <w:lang w:val="en-CA"/>
              </w:rPr>
              <w:t>2017</w:t>
            </w:r>
          </w:p>
        </w:tc>
        <w:tc>
          <w:tcPr>
            <w:tcW w:w="1314"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007BD2" w:rsidRPr="009A010C" w:rsidRDefault="00007BD2" w:rsidP="00E04A95">
            <w:pPr>
              <w:widowControl w:val="0"/>
              <w:jc w:val="center"/>
              <w:rPr>
                <w:b/>
                <w:color w:val="000000"/>
                <w:sz w:val="19"/>
                <w:szCs w:val="19"/>
                <w:lang w:val="en-CA"/>
              </w:rPr>
            </w:pPr>
            <w:r w:rsidRPr="009A010C">
              <w:rPr>
                <w:b/>
                <w:color w:val="000000"/>
                <w:sz w:val="19"/>
                <w:szCs w:val="19"/>
                <w:lang w:val="en-CA"/>
              </w:rPr>
              <w:t xml:space="preserve">New disbursement </w:t>
            </w:r>
          </w:p>
        </w:tc>
        <w:tc>
          <w:tcPr>
            <w:tcW w:w="1570"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007BD2" w:rsidRPr="009A010C" w:rsidRDefault="00007BD2" w:rsidP="00067394">
            <w:pPr>
              <w:widowControl w:val="0"/>
              <w:jc w:val="center"/>
              <w:rPr>
                <w:b/>
                <w:color w:val="000000"/>
                <w:sz w:val="19"/>
                <w:szCs w:val="19"/>
                <w:lang w:val="en-CA"/>
              </w:rPr>
            </w:pPr>
            <w:r w:rsidRPr="009A010C">
              <w:rPr>
                <w:b/>
                <w:color w:val="000000"/>
                <w:sz w:val="19"/>
                <w:szCs w:val="19"/>
                <w:lang w:val="en-CA"/>
              </w:rPr>
              <w:t>Balance as at 31</w:t>
            </w:r>
            <w:r w:rsidR="00067394" w:rsidRPr="009A010C">
              <w:rPr>
                <w:b/>
                <w:color w:val="000000"/>
                <w:sz w:val="19"/>
                <w:szCs w:val="19"/>
                <w:lang w:val="en-CA"/>
              </w:rPr>
              <w:t> </w:t>
            </w:r>
            <w:r w:rsidRPr="009A010C">
              <w:rPr>
                <w:b/>
                <w:color w:val="000000"/>
                <w:sz w:val="19"/>
                <w:szCs w:val="19"/>
                <w:lang w:val="en-CA"/>
              </w:rPr>
              <w:t>August 2018</w:t>
            </w:r>
          </w:p>
        </w:tc>
        <w:tc>
          <w:tcPr>
            <w:tcW w:w="1134"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007BD2" w:rsidRPr="009A010C" w:rsidRDefault="00007BD2" w:rsidP="00E04A95">
            <w:pPr>
              <w:widowControl w:val="0"/>
              <w:jc w:val="center"/>
              <w:rPr>
                <w:b/>
                <w:color w:val="000000"/>
                <w:sz w:val="19"/>
                <w:szCs w:val="19"/>
                <w:lang w:val="en-CA"/>
              </w:rPr>
            </w:pPr>
            <w:r w:rsidRPr="009A010C">
              <w:rPr>
                <w:b/>
                <w:color w:val="000000"/>
                <w:sz w:val="19"/>
                <w:szCs w:val="19"/>
                <w:lang w:val="en-CA"/>
              </w:rPr>
              <w:t>Completion date</w:t>
            </w:r>
          </w:p>
        </w:tc>
      </w:tr>
      <w:tr w:rsidR="00007BD2" w:rsidRPr="009A010C" w:rsidTr="0006739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007BD2" w:rsidRPr="009A010C" w:rsidRDefault="00007BD2" w:rsidP="00E04A95">
            <w:pPr>
              <w:widowControl w:val="0"/>
              <w:jc w:val="left"/>
              <w:rPr>
                <w:color w:val="000000"/>
                <w:sz w:val="19"/>
                <w:szCs w:val="19"/>
                <w:lang w:val="en-CA"/>
              </w:rPr>
            </w:pPr>
            <w:r w:rsidRPr="009A010C">
              <w:rPr>
                <w:b/>
                <w:bCs/>
                <w:color w:val="000000"/>
                <w:sz w:val="19"/>
                <w:szCs w:val="19"/>
                <w:lang w:val="en-CA"/>
              </w:rPr>
              <w:t>CFC production: Total approved US $150,000,000 (World Bank)</w:t>
            </w:r>
            <w:r w:rsidRPr="009A010C">
              <w:rPr>
                <w:color w:val="000000"/>
                <w:sz w:val="19"/>
                <w:szCs w:val="19"/>
                <w:lang w:val="en-CA"/>
              </w:rPr>
              <w:t> </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Recruitment for technical support, and organization of technology workshop on alternatives</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570"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2014</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ODS import and export management MIS</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2015</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Research and development on ODS alternatives</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788,857</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368,768</w:t>
            </w:r>
          </w:p>
        </w:tc>
        <w:tc>
          <w:tcPr>
            <w:tcW w:w="1570"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420,089</w:t>
            </w:r>
          </w:p>
        </w:tc>
        <w:tc>
          <w:tcPr>
            <w:tcW w:w="113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Supervision and management-</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233,411</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33,646</w:t>
            </w:r>
          </w:p>
        </w:tc>
        <w:tc>
          <w:tcPr>
            <w:tcW w:w="1570"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199,765</w:t>
            </w:r>
          </w:p>
        </w:tc>
        <w:tc>
          <w:tcPr>
            <w:tcW w:w="113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Total</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1,022,267</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402,414</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619,853</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p>
        </w:tc>
      </w:tr>
      <w:tr w:rsidR="00007BD2" w:rsidRPr="009A010C" w:rsidTr="0006739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007BD2" w:rsidRPr="009A010C" w:rsidRDefault="00007BD2" w:rsidP="00B50F2C">
            <w:pPr>
              <w:keepNext/>
              <w:jc w:val="left"/>
              <w:rPr>
                <w:b/>
                <w:bCs/>
                <w:color w:val="000000"/>
                <w:sz w:val="19"/>
                <w:szCs w:val="19"/>
                <w:lang w:val="en-CA"/>
              </w:rPr>
            </w:pPr>
            <w:r w:rsidRPr="009A010C">
              <w:rPr>
                <w:b/>
                <w:bCs/>
                <w:color w:val="000000"/>
                <w:sz w:val="19"/>
                <w:szCs w:val="19"/>
                <w:lang w:val="en-CA"/>
              </w:rPr>
              <w:lastRenderedPageBreak/>
              <w:t>Halon sector: Total approved US $62,000,000 (World Bank)</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tcPr>
          <w:p w:rsidR="00007BD2" w:rsidRPr="009A010C" w:rsidRDefault="00007BD2" w:rsidP="00B50F2C">
            <w:pPr>
              <w:keepNext/>
              <w:jc w:val="left"/>
              <w:rPr>
                <w:color w:val="000000"/>
                <w:sz w:val="19"/>
                <w:szCs w:val="19"/>
                <w:lang w:val="en-CA"/>
              </w:rPr>
            </w:pPr>
            <w:r w:rsidRPr="009A010C">
              <w:rPr>
                <w:color w:val="000000"/>
                <w:sz w:val="19"/>
                <w:szCs w:val="19"/>
                <w:lang w:val="en-CA"/>
              </w:rPr>
              <w:t>Establishment of a national halon recycling management center, including capacity building, detecting equipment and information system</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007BD2" w:rsidRPr="009A010C" w:rsidRDefault="00007BD2" w:rsidP="00B50F2C">
            <w:pPr>
              <w:keepNext/>
              <w:jc w:val="right"/>
              <w:rPr>
                <w:color w:val="000000"/>
                <w:sz w:val="19"/>
                <w:szCs w:val="19"/>
                <w:lang w:val="en-CA"/>
              </w:rPr>
            </w:pPr>
            <w:r w:rsidRPr="009A010C">
              <w:rPr>
                <w:color w:val="000000"/>
                <w:sz w:val="19"/>
                <w:szCs w:val="19"/>
              </w:rPr>
              <w:t>2,800,000</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B50F2C">
            <w:pPr>
              <w:keepNext/>
              <w:jc w:val="right"/>
              <w:rPr>
                <w:color w:val="000000"/>
                <w:sz w:val="18"/>
                <w:szCs w:val="18"/>
                <w:lang w:val="en-CA"/>
              </w:rPr>
            </w:pPr>
            <w:r w:rsidRPr="009A010C">
              <w:rPr>
                <w:sz w:val="18"/>
                <w:szCs w:val="18"/>
              </w:rPr>
              <w:t>824,917</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B50F2C">
            <w:pPr>
              <w:keepNext/>
              <w:jc w:val="right"/>
              <w:rPr>
                <w:color w:val="000000"/>
                <w:sz w:val="19"/>
                <w:szCs w:val="19"/>
                <w:lang w:val="en-CA"/>
              </w:rPr>
            </w:pPr>
            <w:r w:rsidRPr="009A010C">
              <w:rPr>
                <w:color w:val="000000"/>
                <w:sz w:val="19"/>
                <w:szCs w:val="19"/>
                <w:lang w:val="en-CA"/>
              </w:rPr>
              <w:t>1,975,083</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B50F2C">
            <w:pPr>
              <w:keepNext/>
              <w:jc w:val="right"/>
              <w:rPr>
                <w:color w:val="000000"/>
                <w:sz w:val="19"/>
                <w:szCs w:val="19"/>
                <w:lang w:val="en-CA"/>
              </w:rPr>
            </w:pPr>
            <w:r w:rsidRPr="009A010C">
              <w:rPr>
                <w:color w:val="000000"/>
                <w:sz w:val="19"/>
                <w:szCs w:val="19"/>
                <w:lang w:val="en-CA"/>
              </w:rPr>
              <w:t>2022</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widowControl w:val="0"/>
              <w:jc w:val="left"/>
              <w:rPr>
                <w:color w:val="000000"/>
                <w:sz w:val="19"/>
                <w:szCs w:val="19"/>
                <w:lang w:val="en-CA"/>
              </w:rPr>
            </w:pPr>
            <w:r w:rsidRPr="009A010C">
              <w:rPr>
                <w:color w:val="000000"/>
                <w:sz w:val="19"/>
                <w:szCs w:val="19"/>
                <w:lang w:val="en-CA"/>
              </w:rPr>
              <w:t>Establishment of a halon-1211 recycling center, including collection, transportation, recycling and reclamation</w:t>
            </w:r>
          </w:p>
        </w:tc>
        <w:tc>
          <w:tcPr>
            <w:tcW w:w="1314"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jc w:val="right"/>
              <w:rPr>
                <w:color w:val="000000"/>
                <w:sz w:val="19"/>
                <w:szCs w:val="19"/>
              </w:rPr>
            </w:pPr>
            <w:r w:rsidRPr="009A010C">
              <w:rPr>
                <w:color w:val="000000"/>
                <w:sz w:val="19"/>
                <w:szCs w:val="19"/>
              </w:rPr>
              <w:t>2,550,000</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8"/>
                <w:szCs w:val="18"/>
                <w:lang w:val="en-CA"/>
              </w:rPr>
            </w:pPr>
            <w:r w:rsidRPr="009A010C">
              <w:rPr>
                <w:sz w:val="18"/>
                <w:szCs w:val="18"/>
              </w:rPr>
              <w:t>(467,686)</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3,017,686</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2022</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widowControl w:val="0"/>
              <w:jc w:val="left"/>
              <w:rPr>
                <w:color w:val="000000"/>
                <w:sz w:val="19"/>
                <w:szCs w:val="19"/>
                <w:lang w:val="en-CA"/>
              </w:rPr>
            </w:pPr>
            <w:r w:rsidRPr="009A010C">
              <w:rPr>
                <w:color w:val="000000"/>
                <w:sz w:val="19"/>
                <w:szCs w:val="19"/>
                <w:lang w:val="en-CA"/>
              </w:rPr>
              <w:t>Establishment of a halon-1301 recycling center, including collection, transportation, recycling and reclamation</w:t>
            </w:r>
          </w:p>
        </w:tc>
        <w:tc>
          <w:tcPr>
            <w:tcW w:w="1314"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jc w:val="right"/>
              <w:rPr>
                <w:color w:val="000000"/>
                <w:sz w:val="19"/>
                <w:szCs w:val="19"/>
              </w:rPr>
            </w:pPr>
            <w:r w:rsidRPr="009A010C">
              <w:rPr>
                <w:color w:val="000000"/>
                <w:sz w:val="19"/>
                <w:szCs w:val="19"/>
              </w:rPr>
              <w:t>1,750,000</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8"/>
                <w:szCs w:val="18"/>
                <w:lang w:val="en-CA"/>
              </w:rPr>
            </w:pPr>
            <w:r w:rsidRPr="009A010C">
              <w:rPr>
                <w:sz w:val="18"/>
                <w:szCs w:val="18"/>
              </w:rPr>
              <w:t>710,470</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1,039,530</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2022</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widowControl w:val="0"/>
              <w:jc w:val="left"/>
              <w:rPr>
                <w:color w:val="000000"/>
                <w:sz w:val="19"/>
                <w:szCs w:val="19"/>
                <w:lang w:val="en-CA"/>
              </w:rPr>
            </w:pPr>
            <w:r w:rsidRPr="009A010C">
              <w:rPr>
                <w:color w:val="000000"/>
                <w:sz w:val="19"/>
                <w:szCs w:val="19"/>
                <w:lang w:val="en-CA"/>
              </w:rPr>
              <w:t>Technical assistance: investigation of halon quantities for the civil aviation industry and for the ship recycling industry; and policy and regulations for halon recycling</w:t>
            </w:r>
          </w:p>
        </w:tc>
        <w:tc>
          <w:tcPr>
            <w:tcW w:w="1314"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jc w:val="right"/>
              <w:rPr>
                <w:color w:val="000000"/>
                <w:sz w:val="19"/>
                <w:szCs w:val="19"/>
              </w:rPr>
            </w:pPr>
            <w:r w:rsidRPr="009A010C">
              <w:rPr>
                <w:color w:val="000000"/>
                <w:sz w:val="19"/>
                <w:szCs w:val="19"/>
              </w:rPr>
              <w:t>3,087,250</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8"/>
                <w:szCs w:val="18"/>
                <w:lang w:val="en-CA"/>
              </w:rPr>
            </w:pPr>
            <w:r w:rsidRPr="009A010C">
              <w:rPr>
                <w:sz w:val="18"/>
                <w:szCs w:val="18"/>
              </w:rPr>
              <w:t>169,314</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2,917,936</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2022</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widowControl w:val="0"/>
              <w:jc w:val="left"/>
              <w:rPr>
                <w:color w:val="000000"/>
                <w:sz w:val="19"/>
                <w:szCs w:val="19"/>
                <w:lang w:val="en-CA"/>
              </w:rPr>
            </w:pPr>
            <w:r w:rsidRPr="009A010C">
              <w:rPr>
                <w:color w:val="000000"/>
                <w:sz w:val="19"/>
                <w:szCs w:val="19"/>
                <w:lang w:val="en-CA"/>
              </w:rPr>
              <w:t>Disposal of unusable halon and residues</w:t>
            </w:r>
          </w:p>
        </w:tc>
        <w:tc>
          <w:tcPr>
            <w:tcW w:w="1314"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jc w:val="right"/>
              <w:rPr>
                <w:color w:val="000000"/>
                <w:sz w:val="19"/>
                <w:szCs w:val="19"/>
              </w:rPr>
            </w:pPr>
            <w:r w:rsidRPr="009A010C">
              <w:rPr>
                <w:color w:val="000000"/>
                <w:sz w:val="19"/>
                <w:szCs w:val="19"/>
              </w:rPr>
              <w:t>1,504,105</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8"/>
                <w:szCs w:val="18"/>
                <w:lang w:val="en-CA"/>
              </w:rPr>
            </w:pPr>
            <w:r w:rsidRPr="009A010C">
              <w:rPr>
                <w:sz w:val="18"/>
                <w:szCs w:val="18"/>
              </w:rPr>
              <w:t>0</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1,504,105</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2022</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noWrap/>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Total</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11,691,355</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1,237,015</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10,454,340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left"/>
              <w:rPr>
                <w:color w:val="000000"/>
                <w:sz w:val="19"/>
                <w:szCs w:val="19"/>
                <w:lang w:val="en-CA"/>
              </w:rPr>
            </w:pPr>
          </w:p>
        </w:tc>
      </w:tr>
      <w:tr w:rsidR="00007BD2" w:rsidRPr="009A010C" w:rsidTr="00067394">
        <w:tc>
          <w:tcPr>
            <w:tcW w:w="9639" w:type="dxa"/>
            <w:gridSpan w:val="5"/>
            <w:tcBorders>
              <w:top w:val="nil"/>
              <w:left w:val="single" w:sz="4" w:space="0" w:color="auto"/>
              <w:bottom w:val="single" w:sz="4" w:space="0" w:color="auto"/>
            </w:tcBorders>
            <w:shd w:val="clear" w:color="auto" w:fill="auto"/>
            <w:noWrap/>
            <w:hideMark/>
          </w:tcPr>
          <w:p w:rsidR="00007BD2" w:rsidRPr="009A010C" w:rsidRDefault="00007BD2" w:rsidP="00E04A95">
            <w:pPr>
              <w:widowControl w:val="0"/>
              <w:jc w:val="left"/>
              <w:rPr>
                <w:color w:val="000000"/>
                <w:sz w:val="19"/>
                <w:szCs w:val="19"/>
                <w:lang w:val="en-CA"/>
              </w:rPr>
            </w:pPr>
            <w:r w:rsidRPr="009A010C">
              <w:rPr>
                <w:b/>
                <w:bCs/>
                <w:color w:val="000000"/>
                <w:sz w:val="19"/>
                <w:szCs w:val="19"/>
                <w:lang w:val="en-CA"/>
              </w:rPr>
              <w:t>Process agent II: Total approved US $46,500,000 (World Bank)</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Capacity building for local EPBs</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288,357</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288,357</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Research on ODS substitution and development of trends of alternative technologies</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33,200</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33,138</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62</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CTC residue disposal</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5,445,970</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5,445,970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tcPr>
          <w:p w:rsidR="00007BD2" w:rsidRPr="009A010C" w:rsidRDefault="00007BD2" w:rsidP="00E04A95">
            <w:pPr>
              <w:widowControl w:val="0"/>
              <w:jc w:val="left"/>
              <w:rPr>
                <w:color w:val="000000"/>
                <w:sz w:val="19"/>
                <w:szCs w:val="19"/>
                <w:lang w:val="en-CA"/>
              </w:rPr>
            </w:pPr>
            <w:r w:rsidRPr="009A010C">
              <w:rPr>
                <w:color w:val="000000"/>
                <w:sz w:val="19"/>
                <w:szCs w:val="19"/>
                <w:lang w:val="en-CA"/>
              </w:rPr>
              <w:t>Study on production of CTC and its use for feedstock applications</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100,000</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10,853</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89,417</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Monitoring, management and post evaluation</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1,605,050</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146,329</w:t>
            </w:r>
          </w:p>
        </w:tc>
        <w:tc>
          <w:tcPr>
            <w:tcW w:w="1570"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1,458,721</w:t>
            </w:r>
          </w:p>
        </w:tc>
        <w:tc>
          <w:tcPr>
            <w:tcW w:w="113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2020</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Total</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7,472,577</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190,050</w:t>
            </w:r>
          </w:p>
        </w:tc>
        <w:tc>
          <w:tcPr>
            <w:tcW w:w="1570"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7,282,527</w:t>
            </w:r>
          </w:p>
        </w:tc>
        <w:tc>
          <w:tcPr>
            <w:tcW w:w="113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p>
        </w:tc>
      </w:tr>
      <w:tr w:rsidR="00007BD2" w:rsidRPr="009A010C" w:rsidTr="0006739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007BD2" w:rsidRPr="009A010C" w:rsidRDefault="00007BD2" w:rsidP="00E04A95">
            <w:pPr>
              <w:widowControl w:val="0"/>
              <w:jc w:val="left"/>
              <w:rPr>
                <w:color w:val="000000"/>
                <w:sz w:val="19"/>
                <w:szCs w:val="19"/>
                <w:lang w:val="en-CA"/>
              </w:rPr>
            </w:pPr>
            <w:r w:rsidRPr="009A010C">
              <w:rPr>
                <w:b/>
                <w:bCs/>
                <w:color w:val="000000"/>
                <w:sz w:val="19"/>
                <w:szCs w:val="19"/>
                <w:lang w:val="en-CA"/>
              </w:rPr>
              <w:t>PU foam: Total approved US $53,846,000 (World Bank)</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Screening and evaluation of CFC</w:t>
            </w:r>
            <w:r w:rsidRPr="009A010C">
              <w:rPr>
                <w:color w:val="000000"/>
                <w:sz w:val="19"/>
                <w:szCs w:val="19"/>
                <w:lang w:val="en-CA"/>
              </w:rPr>
              <w:noBreakHyphen/>
              <w:t>free substitutes and development of new substitutes</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270,935</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270,935</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Additional provincial foam activities (capacity building for 11 provinces)</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760,532</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269,720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490,812</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Technical service for the foam enterprise for better application of new alternatives</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375,377</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375,377</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Continue monitoring of CFC phase</w:t>
            </w:r>
            <w:r w:rsidRPr="009A010C">
              <w:rPr>
                <w:color w:val="000000"/>
                <w:sz w:val="19"/>
                <w:szCs w:val="19"/>
                <w:lang w:val="en-CA"/>
              </w:rPr>
              <w:noBreakHyphen/>
              <w:t>out in the foam sector</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580,824</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210,451</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color w:val="000000"/>
                <w:sz w:val="19"/>
                <w:szCs w:val="19"/>
                <w:lang w:val="en-CA"/>
              </w:rPr>
              <w:t>370,373</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Project monitoring and management</w:t>
            </w:r>
          </w:p>
        </w:tc>
        <w:tc>
          <w:tcPr>
            <w:tcW w:w="131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sz w:val="19"/>
                <w:szCs w:val="19"/>
                <w:lang w:val="en-CA"/>
              </w:rPr>
              <w:t>174,278</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26,377</w:t>
            </w:r>
          </w:p>
        </w:tc>
        <w:tc>
          <w:tcPr>
            <w:tcW w:w="1570"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right"/>
              <w:rPr>
                <w:color w:val="000000"/>
                <w:sz w:val="19"/>
                <w:szCs w:val="19"/>
                <w:lang w:val="en-CA"/>
              </w:rPr>
            </w:pPr>
            <w:r w:rsidRPr="009A010C">
              <w:rPr>
                <w:sz w:val="19"/>
                <w:szCs w:val="19"/>
                <w:lang w:val="en-CA"/>
              </w:rPr>
              <w:t>147,901</w:t>
            </w:r>
          </w:p>
        </w:tc>
        <w:tc>
          <w:tcPr>
            <w:tcW w:w="1134" w:type="dxa"/>
            <w:tcBorders>
              <w:top w:val="nil"/>
              <w:left w:val="nil"/>
              <w:bottom w:val="single" w:sz="4" w:space="0" w:color="auto"/>
              <w:right w:val="single" w:sz="4" w:space="0" w:color="auto"/>
            </w:tcBorders>
            <w:shd w:val="clear" w:color="auto" w:fill="auto"/>
            <w:hideMark/>
          </w:tcPr>
          <w:p w:rsidR="00007BD2" w:rsidRPr="009A010C" w:rsidRDefault="00007BD2" w:rsidP="00E04A95">
            <w:pPr>
              <w:jc w:val="right"/>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r w:rsidRPr="009A010C">
              <w:rPr>
                <w:color w:val="000000"/>
                <w:sz w:val="19"/>
                <w:szCs w:val="19"/>
                <w:lang w:val="en-CA"/>
              </w:rPr>
              <w:t>Total</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2,161,946</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506,548</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color w:val="000000"/>
                <w:sz w:val="19"/>
                <w:szCs w:val="19"/>
                <w:lang w:val="en-CA"/>
              </w:rPr>
            </w:pPr>
            <w:r w:rsidRPr="009A010C">
              <w:rPr>
                <w:sz w:val="19"/>
                <w:szCs w:val="19"/>
                <w:lang w:val="en-CA"/>
              </w:rPr>
              <w:t>1,655,398</w:t>
            </w:r>
          </w:p>
        </w:tc>
        <w:tc>
          <w:tcPr>
            <w:tcW w:w="1134" w:type="dxa"/>
            <w:tcBorders>
              <w:top w:val="nil"/>
              <w:left w:val="nil"/>
              <w:bottom w:val="single" w:sz="4" w:space="0" w:color="auto"/>
              <w:right w:val="single" w:sz="4" w:space="0" w:color="auto"/>
            </w:tcBorders>
            <w:shd w:val="clear" w:color="auto" w:fill="auto"/>
            <w:hideMark/>
          </w:tcPr>
          <w:p w:rsidR="00007BD2" w:rsidRPr="009A010C" w:rsidRDefault="00007BD2" w:rsidP="00E04A95">
            <w:pPr>
              <w:widowControl w:val="0"/>
              <w:jc w:val="left"/>
              <w:rPr>
                <w:color w:val="000000"/>
                <w:sz w:val="19"/>
                <w:szCs w:val="19"/>
                <w:lang w:val="en-CA"/>
              </w:rPr>
            </w:pPr>
          </w:p>
        </w:tc>
      </w:tr>
      <w:tr w:rsidR="00007BD2" w:rsidRPr="009A010C" w:rsidTr="0006739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007BD2" w:rsidRPr="009A010C" w:rsidRDefault="00007BD2" w:rsidP="00E04A95">
            <w:pPr>
              <w:widowControl w:val="0"/>
              <w:jc w:val="left"/>
              <w:rPr>
                <w:color w:val="000000"/>
                <w:sz w:val="19"/>
                <w:szCs w:val="19"/>
                <w:lang w:val="en-CA"/>
              </w:rPr>
            </w:pPr>
            <w:r w:rsidRPr="009A010C">
              <w:rPr>
                <w:b/>
                <w:bCs/>
                <w:color w:val="000000"/>
                <w:sz w:val="19"/>
                <w:szCs w:val="19"/>
                <w:lang w:val="en-CA"/>
              </w:rPr>
              <w:t>Refrigeration servicing: Total approved US $7,884,853 (Japan, UNEP, UNIDO)</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vAlign w:val="bottom"/>
          </w:tcPr>
          <w:p w:rsidR="00007BD2" w:rsidRPr="009A010C" w:rsidRDefault="00007BD2" w:rsidP="00E04A95">
            <w:pPr>
              <w:widowControl w:val="0"/>
              <w:jc w:val="left"/>
              <w:rPr>
                <w:color w:val="000000"/>
                <w:sz w:val="19"/>
                <w:szCs w:val="19"/>
                <w:lang w:val="en-CA"/>
              </w:rPr>
            </w:pPr>
            <w:r w:rsidRPr="009A010C">
              <w:rPr>
                <w:color w:val="000000"/>
                <w:sz w:val="19"/>
                <w:szCs w:val="19"/>
                <w:lang w:val="en-CA"/>
              </w:rPr>
              <w:t>Ongoing activities (e.g., eight training centres, training on disposal ships sector, Shenzhen demonstration project)</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138,648</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129,524</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9,124</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vAlign w:val="bottom"/>
          </w:tcPr>
          <w:p w:rsidR="00007BD2" w:rsidRPr="009A010C" w:rsidRDefault="00007BD2" w:rsidP="00E04A95">
            <w:pPr>
              <w:widowControl w:val="0"/>
              <w:jc w:val="left"/>
              <w:rPr>
                <w:color w:val="000000"/>
                <w:sz w:val="19"/>
                <w:szCs w:val="19"/>
                <w:lang w:val="en-CA"/>
              </w:rPr>
            </w:pPr>
            <w:r w:rsidRPr="009A010C">
              <w:rPr>
                <w:color w:val="000000"/>
                <w:sz w:val="19"/>
                <w:szCs w:val="19"/>
                <w:lang w:val="en-CA"/>
              </w:rPr>
              <w:t>Training programmes for ICR/RAC sub-sectors</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737,168</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215,185</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521,983</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vAlign w:val="bottom"/>
          </w:tcPr>
          <w:p w:rsidR="00007BD2" w:rsidRPr="009A010C" w:rsidRDefault="00007BD2" w:rsidP="00E04A95">
            <w:pPr>
              <w:widowControl w:val="0"/>
              <w:jc w:val="left"/>
              <w:rPr>
                <w:color w:val="000000"/>
                <w:sz w:val="19"/>
                <w:szCs w:val="19"/>
                <w:lang w:val="en-CA"/>
              </w:rPr>
            </w:pPr>
            <w:r w:rsidRPr="009A010C">
              <w:rPr>
                <w:color w:val="000000"/>
                <w:sz w:val="19"/>
                <w:szCs w:val="19"/>
                <w:lang w:val="en-CA"/>
              </w:rPr>
              <w:t>Research on leakage of refrigeration during R-290 RAC servicing and operation</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432,788</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120,882</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311,906</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vAlign w:val="bottom"/>
          </w:tcPr>
          <w:p w:rsidR="00007BD2" w:rsidRPr="009A010C" w:rsidRDefault="00007BD2" w:rsidP="00E04A95">
            <w:pPr>
              <w:widowControl w:val="0"/>
              <w:jc w:val="left"/>
              <w:rPr>
                <w:color w:val="000000"/>
                <w:sz w:val="19"/>
                <w:szCs w:val="19"/>
                <w:lang w:val="en-CA"/>
              </w:rPr>
            </w:pPr>
            <w:r w:rsidRPr="009A010C">
              <w:rPr>
                <w:color w:val="000000"/>
                <w:sz w:val="19"/>
                <w:szCs w:val="19"/>
                <w:lang w:val="en-CA"/>
              </w:rPr>
              <w:t>Data survey</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165,434</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84,882</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80,552</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vAlign w:val="bottom"/>
          </w:tcPr>
          <w:p w:rsidR="00007BD2" w:rsidRPr="009A010C" w:rsidRDefault="00007BD2" w:rsidP="00E04A95">
            <w:pPr>
              <w:widowControl w:val="0"/>
              <w:jc w:val="left"/>
              <w:rPr>
                <w:color w:val="000000"/>
                <w:sz w:val="19"/>
                <w:szCs w:val="19"/>
                <w:lang w:val="en-CA"/>
              </w:rPr>
            </w:pPr>
            <w:r w:rsidRPr="009A010C">
              <w:rPr>
                <w:color w:val="000000"/>
                <w:sz w:val="19"/>
                <w:szCs w:val="19"/>
                <w:lang w:val="en-CA"/>
              </w:rPr>
              <w:t>Monitoring and management</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95,846</w:t>
            </w:r>
          </w:p>
        </w:tc>
        <w:tc>
          <w:tcPr>
            <w:tcW w:w="1314" w:type="dxa"/>
            <w:tcBorders>
              <w:top w:val="nil"/>
              <w:left w:val="nil"/>
              <w:bottom w:val="single" w:sz="4" w:space="0" w:color="auto"/>
              <w:right w:val="single" w:sz="4" w:space="0" w:color="auto"/>
            </w:tcBorders>
            <w:shd w:val="clear" w:color="auto" w:fill="auto"/>
            <w:noWrap/>
          </w:tcPr>
          <w:p w:rsidR="00007BD2" w:rsidRPr="009A010C" w:rsidRDefault="00007BD2" w:rsidP="00E04A95">
            <w:pPr>
              <w:jc w:val="right"/>
              <w:rPr>
                <w:sz w:val="19"/>
                <w:szCs w:val="19"/>
              </w:rPr>
            </w:pPr>
            <w:r w:rsidRPr="009A010C">
              <w:rPr>
                <w:sz w:val="19"/>
                <w:szCs w:val="19"/>
              </w:rPr>
              <w:t>0</w:t>
            </w:r>
          </w:p>
        </w:tc>
        <w:tc>
          <w:tcPr>
            <w:tcW w:w="1570" w:type="dxa"/>
            <w:tcBorders>
              <w:top w:val="nil"/>
              <w:left w:val="nil"/>
              <w:bottom w:val="single" w:sz="4" w:space="0" w:color="auto"/>
              <w:right w:val="single" w:sz="4" w:space="0" w:color="auto"/>
            </w:tcBorders>
            <w:shd w:val="clear" w:color="auto" w:fill="auto"/>
            <w:noWrap/>
          </w:tcPr>
          <w:p w:rsidR="00007BD2" w:rsidRPr="009A010C" w:rsidRDefault="00007BD2" w:rsidP="00E04A95">
            <w:pPr>
              <w:jc w:val="right"/>
              <w:rPr>
                <w:sz w:val="19"/>
                <w:szCs w:val="19"/>
              </w:rPr>
            </w:pPr>
            <w:r w:rsidRPr="009A010C">
              <w:rPr>
                <w:sz w:val="19"/>
                <w:szCs w:val="19"/>
              </w:rPr>
              <w:t>95,846</w:t>
            </w:r>
          </w:p>
        </w:tc>
        <w:tc>
          <w:tcPr>
            <w:tcW w:w="1134" w:type="dxa"/>
            <w:tcBorders>
              <w:top w:val="nil"/>
              <w:left w:val="nil"/>
              <w:bottom w:val="single" w:sz="4" w:space="0" w:color="auto"/>
              <w:right w:val="single" w:sz="4" w:space="0" w:color="auto"/>
            </w:tcBorders>
            <w:shd w:val="clear" w:color="auto" w:fill="auto"/>
            <w:noWrap/>
          </w:tcPr>
          <w:p w:rsidR="00007BD2" w:rsidRPr="009A010C" w:rsidRDefault="00007BD2" w:rsidP="00E04A95">
            <w:pPr>
              <w:widowControl w:val="0"/>
              <w:jc w:val="right"/>
              <w:rPr>
                <w:color w:val="000000"/>
                <w:sz w:val="19"/>
                <w:szCs w:val="19"/>
                <w:lang w:val="en-CA"/>
              </w:rPr>
            </w:pPr>
            <w:r w:rsidRPr="009A010C">
              <w:rPr>
                <w:color w:val="000000"/>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vAlign w:val="bottom"/>
          </w:tcPr>
          <w:p w:rsidR="00007BD2" w:rsidRPr="009A010C" w:rsidRDefault="00007BD2" w:rsidP="00E04A95">
            <w:pPr>
              <w:widowControl w:val="0"/>
              <w:jc w:val="left"/>
              <w:rPr>
                <w:color w:val="000000"/>
                <w:sz w:val="19"/>
                <w:szCs w:val="19"/>
                <w:lang w:val="en-CA"/>
              </w:rPr>
            </w:pPr>
            <w:r w:rsidRPr="009A010C">
              <w:rPr>
                <w:color w:val="000000"/>
                <w:sz w:val="19"/>
                <w:szCs w:val="19"/>
                <w:lang w:val="en-CA"/>
              </w:rPr>
              <w:t>Total</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r w:rsidRPr="009A010C">
              <w:rPr>
                <w:color w:val="000000"/>
                <w:sz w:val="19"/>
                <w:szCs w:val="19"/>
                <w:lang w:val="en-CA"/>
              </w:rPr>
              <w:t>1,569,884</w:t>
            </w:r>
          </w:p>
        </w:tc>
        <w:tc>
          <w:tcPr>
            <w:tcW w:w="1314"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550,473</w:t>
            </w:r>
          </w:p>
        </w:tc>
        <w:tc>
          <w:tcPr>
            <w:tcW w:w="1570" w:type="dxa"/>
            <w:tcBorders>
              <w:top w:val="nil"/>
              <w:left w:val="nil"/>
              <w:bottom w:val="single" w:sz="4" w:space="0" w:color="auto"/>
              <w:right w:val="single" w:sz="4" w:space="0" w:color="auto"/>
            </w:tcBorders>
            <w:shd w:val="clear" w:color="auto" w:fill="auto"/>
          </w:tcPr>
          <w:p w:rsidR="00007BD2" w:rsidRPr="009A010C" w:rsidRDefault="00007BD2" w:rsidP="00E04A95">
            <w:pPr>
              <w:jc w:val="right"/>
              <w:rPr>
                <w:sz w:val="19"/>
                <w:szCs w:val="19"/>
              </w:rPr>
            </w:pPr>
            <w:r w:rsidRPr="009A010C">
              <w:rPr>
                <w:sz w:val="19"/>
                <w:szCs w:val="19"/>
              </w:rPr>
              <w:t>1,019,411</w:t>
            </w:r>
          </w:p>
        </w:tc>
        <w:tc>
          <w:tcPr>
            <w:tcW w:w="1134" w:type="dxa"/>
            <w:tcBorders>
              <w:top w:val="nil"/>
              <w:left w:val="nil"/>
              <w:bottom w:val="single" w:sz="4" w:space="0" w:color="auto"/>
              <w:right w:val="single" w:sz="4" w:space="0" w:color="auto"/>
            </w:tcBorders>
            <w:shd w:val="clear" w:color="auto" w:fill="auto"/>
          </w:tcPr>
          <w:p w:rsidR="00007BD2" w:rsidRPr="009A010C" w:rsidRDefault="00007BD2" w:rsidP="00E04A95">
            <w:pPr>
              <w:widowControl w:val="0"/>
              <w:jc w:val="right"/>
              <w:rPr>
                <w:color w:val="000000"/>
                <w:sz w:val="19"/>
                <w:szCs w:val="19"/>
                <w:lang w:val="en-CA"/>
              </w:rPr>
            </w:pPr>
          </w:p>
        </w:tc>
      </w:tr>
      <w:tr w:rsidR="00007BD2" w:rsidRPr="009A010C" w:rsidTr="0006739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007BD2" w:rsidRPr="009A010C" w:rsidRDefault="00007BD2" w:rsidP="00E04A95">
            <w:pPr>
              <w:widowControl w:val="0"/>
              <w:jc w:val="left"/>
              <w:rPr>
                <w:color w:val="000000"/>
                <w:sz w:val="19"/>
                <w:szCs w:val="19"/>
                <w:lang w:val="en-CA"/>
              </w:rPr>
            </w:pPr>
            <w:r w:rsidRPr="009A010C">
              <w:rPr>
                <w:b/>
                <w:bCs/>
                <w:color w:val="000000"/>
                <w:sz w:val="19"/>
                <w:szCs w:val="19"/>
                <w:lang w:val="en-CA"/>
              </w:rPr>
              <w:t>Solvent sector: Total approved US $52,000,000 (UNDP)</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sz w:val="19"/>
                <w:szCs w:val="19"/>
                <w:lang w:val="en-CA"/>
              </w:rPr>
            </w:pPr>
            <w:r w:rsidRPr="009A010C">
              <w:rPr>
                <w:sz w:val="19"/>
                <w:szCs w:val="19"/>
                <w:lang w:val="en-CA"/>
              </w:rPr>
              <w:t xml:space="preserve">Combating ODS illegal activities: capacity building for 10 local customs offices </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413,305</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(109,460)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522,765</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2017</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sz w:val="19"/>
                <w:szCs w:val="19"/>
                <w:lang w:val="en-CA"/>
              </w:rPr>
            </w:pPr>
            <w:r w:rsidRPr="009A010C">
              <w:rPr>
                <w:sz w:val="19"/>
                <w:szCs w:val="19"/>
                <w:lang w:val="en-CA"/>
              </w:rPr>
              <w:t xml:space="preserve">Capacity building for ODS-related personnel in 14 provinces </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642,500</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302,500</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340,000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sz w:val="19"/>
                <w:szCs w:val="19"/>
                <w:lang w:val="en-CA"/>
              </w:rPr>
            </w:pPr>
            <w:r w:rsidRPr="009A010C">
              <w:rPr>
                <w:sz w:val="19"/>
                <w:szCs w:val="19"/>
                <w:lang w:val="en-CA"/>
              </w:rPr>
              <w:t xml:space="preserve">Public awareness and publicity activities </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139,744</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139,744</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sz w:val="19"/>
                <w:szCs w:val="19"/>
                <w:lang w:val="en-CA"/>
              </w:rPr>
            </w:pPr>
            <w:r w:rsidRPr="009A010C">
              <w:rPr>
                <w:sz w:val="19"/>
                <w:szCs w:val="19"/>
                <w:lang w:val="en-CA"/>
              </w:rPr>
              <w:t xml:space="preserve">Alternative technology assessment and research </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207,083</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207,083</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2017</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sz w:val="19"/>
                <w:szCs w:val="19"/>
                <w:lang w:val="en-CA"/>
              </w:rPr>
            </w:pPr>
            <w:r w:rsidRPr="009A010C">
              <w:rPr>
                <w:sz w:val="19"/>
                <w:szCs w:val="19"/>
                <w:lang w:val="en-CA"/>
              </w:rPr>
              <w:t xml:space="preserve">Electronic file management system </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53,663</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(38,644)</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92,307</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sz w:val="19"/>
                <w:szCs w:val="19"/>
                <w:lang w:val="en-CA"/>
              </w:rPr>
            </w:pPr>
            <w:r w:rsidRPr="009A010C">
              <w:rPr>
                <w:sz w:val="19"/>
                <w:szCs w:val="19"/>
                <w:lang w:val="en-CA"/>
              </w:rPr>
              <w:t xml:space="preserve">Activity management and monitoring </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522,003</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272,533</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249,470</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2018</w:t>
            </w:r>
          </w:p>
        </w:tc>
      </w:tr>
      <w:tr w:rsidR="00007BD2" w:rsidRPr="009A010C" w:rsidTr="00067394">
        <w:tc>
          <w:tcPr>
            <w:tcW w:w="4307" w:type="dxa"/>
            <w:tcBorders>
              <w:top w:val="nil"/>
              <w:left w:val="single" w:sz="4" w:space="0" w:color="auto"/>
              <w:bottom w:val="single" w:sz="4" w:space="0" w:color="auto"/>
              <w:right w:val="single" w:sz="4" w:space="0" w:color="auto"/>
            </w:tcBorders>
            <w:shd w:val="clear" w:color="auto" w:fill="auto"/>
            <w:hideMark/>
          </w:tcPr>
          <w:p w:rsidR="00007BD2" w:rsidRPr="009A010C" w:rsidRDefault="00007BD2" w:rsidP="00E04A95">
            <w:pPr>
              <w:widowControl w:val="0"/>
              <w:jc w:val="left"/>
              <w:rPr>
                <w:sz w:val="19"/>
                <w:szCs w:val="19"/>
                <w:lang w:val="en-CA"/>
              </w:rPr>
            </w:pPr>
            <w:r w:rsidRPr="009A010C">
              <w:rPr>
                <w:sz w:val="19"/>
                <w:szCs w:val="19"/>
                <w:lang w:val="en-CA"/>
              </w:rPr>
              <w:t xml:space="preserve">Total </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right"/>
              <w:rPr>
                <w:sz w:val="19"/>
                <w:szCs w:val="19"/>
                <w:lang w:val="en-CA"/>
              </w:rPr>
            </w:pPr>
            <w:r w:rsidRPr="009A010C">
              <w:rPr>
                <w:sz w:val="19"/>
                <w:szCs w:val="19"/>
                <w:lang w:val="en-CA"/>
              </w:rPr>
              <w:t>1,978,298</w:t>
            </w:r>
          </w:p>
        </w:tc>
        <w:tc>
          <w:tcPr>
            <w:tcW w:w="131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773,756</w:t>
            </w:r>
          </w:p>
        </w:tc>
        <w:tc>
          <w:tcPr>
            <w:tcW w:w="1570"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jc w:val="right"/>
              <w:rPr>
                <w:sz w:val="19"/>
                <w:szCs w:val="19"/>
              </w:rPr>
            </w:pPr>
            <w:r w:rsidRPr="009A010C">
              <w:rPr>
                <w:sz w:val="19"/>
                <w:szCs w:val="19"/>
              </w:rPr>
              <w:t>1,204,542</w:t>
            </w:r>
          </w:p>
        </w:tc>
        <w:tc>
          <w:tcPr>
            <w:tcW w:w="1134" w:type="dxa"/>
            <w:tcBorders>
              <w:top w:val="nil"/>
              <w:left w:val="nil"/>
              <w:bottom w:val="single" w:sz="4" w:space="0" w:color="auto"/>
              <w:right w:val="single" w:sz="4" w:space="0" w:color="auto"/>
            </w:tcBorders>
            <w:shd w:val="clear" w:color="auto" w:fill="auto"/>
            <w:noWrap/>
            <w:hideMark/>
          </w:tcPr>
          <w:p w:rsidR="00007BD2" w:rsidRPr="009A010C" w:rsidRDefault="00007BD2" w:rsidP="00E04A95">
            <w:pPr>
              <w:widowControl w:val="0"/>
              <w:jc w:val="left"/>
              <w:rPr>
                <w:sz w:val="19"/>
                <w:szCs w:val="19"/>
                <w:lang w:val="en-CA"/>
              </w:rPr>
            </w:pPr>
          </w:p>
        </w:tc>
      </w:tr>
    </w:tbl>
    <w:p w:rsidR="00007BD2" w:rsidRPr="009A010C" w:rsidRDefault="00007BD2" w:rsidP="00007BD2">
      <w:pPr>
        <w:widowControl w:val="0"/>
        <w:jc w:val="left"/>
        <w:rPr>
          <w:lang w:val="en-CA"/>
        </w:rPr>
      </w:pPr>
    </w:p>
    <w:p w:rsidR="00007BD2" w:rsidRPr="009A010C" w:rsidRDefault="00007BD2" w:rsidP="00007BD2">
      <w:pPr>
        <w:pStyle w:val="Heading1"/>
        <w:widowControl w:val="0"/>
        <w:rPr>
          <w:lang w:val="en-CA"/>
        </w:rPr>
      </w:pPr>
      <w:r w:rsidRPr="009A010C">
        <w:rPr>
          <w:lang w:val="en-CA"/>
        </w:rPr>
        <w:t xml:space="preserve">The progress reports included disbursement as of 31 August 2018. Financial audits of the disbursements as of 30 June 2018 were conducted by </w:t>
      </w:r>
      <w:proofErr w:type="spellStart"/>
      <w:r w:rsidRPr="009A010C">
        <w:rPr>
          <w:lang w:val="en-CA"/>
        </w:rPr>
        <w:t>Daxin</w:t>
      </w:r>
      <w:proofErr w:type="spellEnd"/>
      <w:r w:rsidRPr="009A010C">
        <w:rPr>
          <w:lang w:val="en-CA"/>
        </w:rPr>
        <w:t xml:space="preserve"> Certified Public Accounts LLP according to national standards. The audit opinion was that the grant and expenditure statements for the CFC production, halon, CTC process agent, polyurethane foam, solvent and refrigeration servicing sectors were in compliance with the rules of the Montreal Protocol and the accounting standards of China and had been fairly and justly presented by the Foreign Economic Cooperation Office/Ministry of Ecology and Environment (FECO/MEE) of China.</w:t>
      </w:r>
    </w:p>
    <w:p w:rsidR="00007BD2" w:rsidRPr="009A010C" w:rsidRDefault="00007BD2" w:rsidP="00007BD2">
      <w:pPr>
        <w:pStyle w:val="Heading1"/>
        <w:widowControl w:val="0"/>
        <w:rPr>
          <w:lang w:val="en-CA"/>
        </w:rPr>
      </w:pPr>
      <w:r w:rsidRPr="009A010C">
        <w:rPr>
          <w:lang w:val="en-CA"/>
        </w:rPr>
        <w:t>The activities implemented in each sector plan since 1 July 2017 are summarized below.</w:t>
      </w:r>
    </w:p>
    <w:p w:rsidR="00007BD2" w:rsidRPr="009A010C" w:rsidRDefault="00007BD2" w:rsidP="00007BD2">
      <w:pPr>
        <w:rPr>
          <w:u w:val="single"/>
          <w:lang w:val="en-CA"/>
        </w:rPr>
      </w:pPr>
      <w:r w:rsidRPr="009A010C">
        <w:rPr>
          <w:u w:val="single"/>
          <w:lang w:val="en-CA"/>
        </w:rPr>
        <w:t>CFC production sector</w:t>
      </w:r>
    </w:p>
    <w:p w:rsidR="00007BD2" w:rsidRPr="009A010C" w:rsidRDefault="00007BD2" w:rsidP="00007BD2">
      <w:pPr>
        <w:rPr>
          <w:b/>
          <w:lang w:val="en-CA"/>
        </w:rPr>
      </w:pPr>
    </w:p>
    <w:p w:rsidR="00007BD2" w:rsidRPr="009A010C" w:rsidRDefault="00007BD2" w:rsidP="00007BD2">
      <w:pPr>
        <w:pStyle w:val="Heading1"/>
        <w:rPr>
          <w:lang w:val="en-CA"/>
        </w:rPr>
      </w:pPr>
      <w:r w:rsidRPr="009A010C">
        <w:rPr>
          <w:lang w:val="en-CA"/>
        </w:rPr>
        <w:t>Since 2015, the only remaining activities in the CFC production sector plan are in research and development (R&amp;D) of ODS alternatives, and supervision and management. A total of US $402,414 has been disbursed since the 80</w:t>
      </w:r>
      <w:r w:rsidRPr="009A010C">
        <w:rPr>
          <w:vertAlign w:val="superscript"/>
          <w:lang w:val="en-CA"/>
        </w:rPr>
        <w:t>th</w:t>
      </w:r>
      <w:r w:rsidRPr="009A010C">
        <w:rPr>
          <w:lang w:val="en-CA"/>
        </w:rPr>
        <w:t xml:space="preserve"> meeting, and the remaining funding of US $619,853 is expected to be disbursed by the end of the year.</w:t>
      </w:r>
    </w:p>
    <w:p w:rsidR="00007BD2" w:rsidRPr="009A010C" w:rsidRDefault="00007BD2" w:rsidP="00007BD2">
      <w:pPr>
        <w:pStyle w:val="Heading1"/>
        <w:rPr>
          <w:lang w:val="en-CA"/>
        </w:rPr>
      </w:pPr>
      <w:r w:rsidRPr="009A010C">
        <w:rPr>
          <w:lang w:val="en-CA"/>
        </w:rPr>
        <w:t>Regarding R&amp;D of ODS alternatives, thirteen proposals have been selected, of which nine have been completed. Of the remaining four projects, three have completed all activities but not all the funding has been disbursed, while the last project (at Beijing University of Chemical Technology on a new production process of HFO-1234yf and HFO-1234ze in laboratory) is still ongoing and is expected to be completed by December</w:t>
      </w:r>
      <w:r w:rsidR="00067394" w:rsidRPr="009A010C">
        <w:rPr>
          <w:lang w:val="en-CA"/>
        </w:rPr>
        <w:t> </w:t>
      </w:r>
      <w:r w:rsidRPr="009A010C">
        <w:rPr>
          <w:lang w:val="en-CA"/>
        </w:rPr>
        <w:t>2018.</w:t>
      </w:r>
    </w:p>
    <w:p w:rsidR="00007BD2" w:rsidRPr="009A010C" w:rsidRDefault="00007BD2" w:rsidP="00007BD2">
      <w:pPr>
        <w:pStyle w:val="Heading1"/>
        <w:rPr>
          <w:lang w:val="en-CA"/>
        </w:rPr>
      </w:pPr>
      <w:r w:rsidRPr="009A010C">
        <w:rPr>
          <w:lang w:val="en-CA" w:eastAsia="zh-CN"/>
        </w:rPr>
        <w:t>A total of US $233,411 had been allocated to supervision and management. FECO has disbursed US $33,646 to produce video training materials for ODS import and export management. The balance will be used by FECO to purchase instruments for ODS monitoring for local environmental protection bureaus (EPBs) to build their capacity and achieve sustainable CFC phase-out compliance</w:t>
      </w:r>
      <w:r w:rsidRPr="009A010C">
        <w:rPr>
          <w:lang w:val="en-CA"/>
        </w:rPr>
        <w:t>.</w:t>
      </w:r>
    </w:p>
    <w:p w:rsidR="00007BD2" w:rsidRPr="009A010C" w:rsidRDefault="00007BD2" w:rsidP="00007BD2">
      <w:pPr>
        <w:keepNext/>
        <w:rPr>
          <w:u w:val="single"/>
          <w:lang w:val="en-CA"/>
        </w:rPr>
      </w:pPr>
      <w:r w:rsidRPr="009A010C">
        <w:rPr>
          <w:u w:val="single"/>
          <w:lang w:val="en-CA"/>
        </w:rPr>
        <w:t>Halon sector</w:t>
      </w:r>
    </w:p>
    <w:p w:rsidR="00007BD2" w:rsidRPr="009A010C" w:rsidRDefault="00007BD2" w:rsidP="00007BD2">
      <w:pPr>
        <w:keepNext/>
        <w:rPr>
          <w:lang w:val="en-CA"/>
        </w:rPr>
      </w:pPr>
    </w:p>
    <w:p w:rsidR="00007BD2" w:rsidRPr="009A010C" w:rsidRDefault="00007BD2" w:rsidP="00007BD2">
      <w:pPr>
        <w:pStyle w:val="Heading1"/>
        <w:rPr>
          <w:lang w:val="en-CA"/>
        </w:rPr>
      </w:pPr>
      <w:r w:rsidRPr="009A010C">
        <w:rPr>
          <w:lang w:val="en-CA"/>
        </w:rPr>
        <w:t>A total of US $1,237,015 was disbursed between the last progress report and 31 August 2018. In 2014, FECO prepared a plan to develop the national halon recycling and management system (NHRMC), and the remaining funding of the halon sector was entirely designated to support this program. Between 2015 and 2016, FECO established the NHRMC in cooperation with the certification center for fire products within the Ministry of Public Security. In 2017, the NHRMC publicized halon recycling in Shanghai, and worked with the government and the private sector to encourage halon recycling. Based on the experience gained in the last three years and feedback received, in 2018, NHRMC and FECO redesigned the work plan, started a project to develop an information management system and recycled 1.5 tonnes of halon</w:t>
      </w:r>
      <w:r w:rsidRPr="009A010C">
        <w:rPr>
          <w:lang w:val="en-CA"/>
        </w:rPr>
        <w:noBreakHyphen/>
        <w:t>1301 from Tianjin and Jiangsu. Part of the remaining funding will be used for the purchase of equipment for stations, centers and local fire-fighting bureaus to analyze halon product components and identify their purity during recycling.</w:t>
      </w:r>
    </w:p>
    <w:p w:rsidR="00007BD2" w:rsidRPr="009A010C" w:rsidRDefault="00007BD2" w:rsidP="00007BD2">
      <w:pPr>
        <w:pStyle w:val="Heading1"/>
        <w:rPr>
          <w:rFonts w:eastAsia="SimSun"/>
        </w:rPr>
      </w:pPr>
      <w:r w:rsidRPr="009A010C">
        <w:rPr>
          <w:lang w:val="en-CA"/>
        </w:rPr>
        <w:t xml:space="preserve">FECO is currently selecting qualified enterprises to undertake the establishment of a halon-1211 recycling center. The project is estimated to start in 2019 and be completed in 2020. In the meantime, FECO will provide assistance to the enterprise Zhejiang </w:t>
      </w:r>
      <w:proofErr w:type="spellStart"/>
      <w:r w:rsidRPr="009A010C">
        <w:rPr>
          <w:lang w:val="en-CA"/>
        </w:rPr>
        <w:t>Dongyang</w:t>
      </w:r>
      <w:proofErr w:type="spellEnd"/>
      <w:r w:rsidRPr="009A010C">
        <w:rPr>
          <w:lang w:val="en-CA"/>
        </w:rPr>
        <w:t xml:space="preserve"> chemical Co., Ltd to ensure the safe storage of 2,261.4 tons of halon-1211. FECO and NHRMC plan to organize the policy and regulation research for halon recycling in 2019. </w:t>
      </w:r>
    </w:p>
    <w:p w:rsidR="00007BD2" w:rsidRPr="009A010C" w:rsidRDefault="00007BD2" w:rsidP="00007BD2">
      <w:pPr>
        <w:pStyle w:val="Heading1"/>
        <w:rPr>
          <w:rFonts w:eastAsia="SimSun"/>
        </w:rPr>
      </w:pPr>
      <w:r w:rsidRPr="009A010C">
        <w:rPr>
          <w:rFonts w:eastAsia="SimSun"/>
        </w:rPr>
        <w:t>NHRMC and FECO are committed to exploring the feasibility of international cooperation on halon recycling and disposal, to assist other Article 5 countries in achieving the compliance target.</w:t>
      </w:r>
      <w:bookmarkStart w:id="0" w:name="_Hlk524524810"/>
      <w:r w:rsidRPr="009A010C">
        <w:rPr>
          <w:rFonts w:eastAsia="SimSun"/>
        </w:rPr>
        <w:t xml:space="preserve"> In the next few decades, HFC fire-fighting products have the potential to becom</w:t>
      </w:r>
      <w:bookmarkEnd w:id="0"/>
      <w:r w:rsidRPr="009A010C">
        <w:rPr>
          <w:rFonts w:eastAsia="SimSun"/>
        </w:rPr>
        <w:t xml:space="preserve">e the main substitute for halon products. Considering that the Kigali Amendment will gradually reduce the production and consumption of HFC, </w:t>
      </w:r>
      <w:r w:rsidRPr="009A010C">
        <w:rPr>
          <w:rFonts w:eastAsia="SimSun"/>
        </w:rPr>
        <w:lastRenderedPageBreak/>
        <w:t>relevant experience learned from the establishment of NHRMC could be adapted to HFC recycling, reclaiming, recovering and disposal.</w:t>
      </w:r>
    </w:p>
    <w:p w:rsidR="00007BD2" w:rsidRPr="009A010C" w:rsidRDefault="00007BD2" w:rsidP="00007BD2">
      <w:pPr>
        <w:keepNext/>
        <w:rPr>
          <w:u w:val="single"/>
          <w:lang w:val="en-CA"/>
        </w:rPr>
      </w:pPr>
      <w:r w:rsidRPr="009A010C">
        <w:rPr>
          <w:u w:val="single"/>
          <w:lang w:val="en-CA"/>
        </w:rPr>
        <w:t>Process agent II</w:t>
      </w:r>
    </w:p>
    <w:p w:rsidR="00007BD2" w:rsidRPr="009A010C" w:rsidRDefault="00007BD2" w:rsidP="00007BD2">
      <w:pPr>
        <w:keepNext/>
        <w:rPr>
          <w:u w:val="single"/>
          <w:lang w:val="en-CA"/>
        </w:rPr>
      </w:pPr>
    </w:p>
    <w:p w:rsidR="00007BD2" w:rsidRPr="009A010C" w:rsidRDefault="00007BD2" w:rsidP="00007BD2">
      <w:pPr>
        <w:pStyle w:val="Heading1"/>
        <w:rPr>
          <w:lang w:val="en-CA"/>
        </w:rPr>
      </w:pPr>
      <w:r w:rsidRPr="009A010C">
        <w:rPr>
          <w:lang w:val="en-CA"/>
        </w:rPr>
        <w:t>A total of US $190,050 was disbursed between the last progress report and 31 August 2018. Six EPBs working with producers of CTC and other ODS received assistance to set up ODS management offices, establish specialized channels for enterprises to report ODS data, and undertake on-site inspections of enterprises. The project has been completed and the last payment will be disbursed by the end of 2018.</w:t>
      </w:r>
    </w:p>
    <w:p w:rsidR="00007BD2" w:rsidRPr="009A010C" w:rsidRDefault="00007BD2" w:rsidP="00007BD2">
      <w:pPr>
        <w:pStyle w:val="Heading1"/>
        <w:rPr>
          <w:lang w:val="en-CA"/>
        </w:rPr>
      </w:pPr>
      <w:r w:rsidRPr="009A010C">
        <w:rPr>
          <w:lang w:val="en-CA"/>
        </w:rPr>
        <w:t xml:space="preserve">A CTC residue disposal project is being implemented to support CTC by-producers in the disposal of their distillation residues from CTC refining and conversion facilities. Contracts for US $4.6 million in total were signed with nine enterprises for the construction of incinerators (3), the upgrading of existing incinerators (2), the construction of residue reduction devices (2), and for operation costs subsidies (2). </w:t>
      </w:r>
    </w:p>
    <w:p w:rsidR="00007BD2" w:rsidRPr="009A010C" w:rsidRDefault="00007BD2" w:rsidP="00007BD2">
      <w:pPr>
        <w:pStyle w:val="Heading1"/>
        <w:rPr>
          <w:lang w:val="en-CA"/>
        </w:rPr>
      </w:pPr>
      <w:r w:rsidRPr="009A010C">
        <w:rPr>
          <w:lang w:val="en-CA"/>
        </w:rPr>
        <w:t xml:space="preserve">As per the requirements of decision 75/18 of the Executive Committee, a study on China’s production of CTC and its use for feedstock applications was launched in March 2018. Questionnaires for methane chloride production enterprises (CTC by-producers) and CTC feedstock use enterprises have been designed and were distributed in July. On-site investigations at the enterprises are being carried out, and a report assessing current emissions from CTC production and the feedstock usage is under preparation. The results of this project are expected to be delivered by the end of November 2018. </w:t>
      </w:r>
    </w:p>
    <w:p w:rsidR="00007BD2" w:rsidRPr="009A010C" w:rsidRDefault="00007BD2" w:rsidP="00007BD2">
      <w:pPr>
        <w:pStyle w:val="Heading1"/>
        <w:rPr>
          <w:lang w:val="en-CA"/>
        </w:rPr>
      </w:pPr>
      <w:r w:rsidRPr="009A010C">
        <w:rPr>
          <w:lang w:val="en-CA" w:eastAsia="zh-CN"/>
        </w:rPr>
        <w:t xml:space="preserve">The Government of China proposed to allocate </w:t>
      </w:r>
      <w:r w:rsidRPr="009A010C">
        <w:rPr>
          <w:lang w:val="en-US" w:eastAsia="zh-CN"/>
        </w:rPr>
        <w:t xml:space="preserve">US $1,200,000 for long-term monitoring and management, including purchase of ODS detectors for local EPBs, regular investigation of CTC producers and feedstock users, encouraging enterprises to develop and produce reagents to replace CTC, and training and capacity-building for local customs and EPBs. </w:t>
      </w:r>
    </w:p>
    <w:p w:rsidR="00007BD2" w:rsidRPr="009A010C" w:rsidRDefault="00007BD2" w:rsidP="00007BD2">
      <w:pPr>
        <w:pStyle w:val="Heading1"/>
        <w:rPr>
          <w:lang w:val="en-CA"/>
        </w:rPr>
      </w:pPr>
      <w:r w:rsidRPr="009A010C">
        <w:rPr>
          <w:lang w:val="en-CA"/>
        </w:rPr>
        <w:t xml:space="preserve">Decision XXIII/6 specifies that after 31 December 2014, the use of CTC for the testing of oil in water would only be allowed under an essential use exemption. In 2017, China announced its commitment to phase out the use of CTC for laboratory testing of oil in water by 2019. In January 2018, FECO signed a contract with Tianjin Eco-Environmental Monitoring Center to develop alternative testing standards. Technical ways of replacing CTC with n-hexane have now been determined, and three national standards have been developed and were expected to be released in September 2018. </w:t>
      </w:r>
    </w:p>
    <w:p w:rsidR="00007BD2" w:rsidRPr="009A010C" w:rsidRDefault="00007BD2" w:rsidP="00007BD2">
      <w:pPr>
        <w:pStyle w:val="Heading1"/>
        <w:rPr>
          <w:lang w:val="en-CA"/>
        </w:rPr>
      </w:pPr>
      <w:r w:rsidRPr="009A010C">
        <w:rPr>
          <w:lang w:val="en-CA"/>
        </w:rPr>
        <w:t>In addition, two projects have been launched to strengthen capacity building for sustainable compliance with the Montreal Protocol. One project is the design and construction of an ODS online data reporting information system (stage II). The online system will incorporate data on all ODS varieties and will join the online filing and approval function. The other project is capacity building for customs in the area of supervision and management of ODS. ODS detectors will be procured as part of the project to prevent potential illegal ODS import and export.</w:t>
      </w:r>
    </w:p>
    <w:p w:rsidR="00007BD2" w:rsidRPr="009A010C" w:rsidRDefault="00007BD2" w:rsidP="00007BD2">
      <w:pPr>
        <w:pStyle w:val="Heading1"/>
        <w:keepNext/>
        <w:numPr>
          <w:ilvl w:val="0"/>
          <w:numId w:val="0"/>
        </w:numPr>
        <w:rPr>
          <w:bCs/>
          <w:u w:val="single"/>
          <w:lang w:val="en-CA"/>
        </w:rPr>
      </w:pPr>
      <w:r w:rsidRPr="009A010C">
        <w:rPr>
          <w:bCs/>
          <w:u w:val="single"/>
          <w:lang w:val="en-CA"/>
        </w:rPr>
        <w:t>PU foam</w:t>
      </w:r>
    </w:p>
    <w:p w:rsidR="00007BD2" w:rsidRPr="009A010C" w:rsidRDefault="00007BD2" w:rsidP="00007BD2">
      <w:pPr>
        <w:pStyle w:val="Heading1"/>
        <w:rPr>
          <w:lang w:val="en-CA"/>
        </w:rPr>
      </w:pPr>
      <w:r w:rsidRPr="009A010C">
        <w:rPr>
          <w:lang w:val="en-CA" w:eastAsia="zh-CN"/>
        </w:rPr>
        <w:t xml:space="preserve">A total of US $506,548 was disbursed between the last progress report and 31 August 2018. Ten research activities implemented in the PU foam sector were completed during the first half of 2018. These </w:t>
      </w:r>
      <w:r w:rsidRPr="009A010C">
        <w:rPr>
          <w:lang w:val="en-CA"/>
        </w:rPr>
        <w:t>proposals had been selected to support the development of formulations with zero-ODP and low</w:t>
      </w:r>
      <w:r w:rsidRPr="009A010C">
        <w:rPr>
          <w:lang w:val="en-CA"/>
        </w:rPr>
        <w:noBreakHyphen/>
        <w:t xml:space="preserve">GWP blowing agents at low prices that could be used by small and medium-sized enterprises (SMEs), and formulations of pre-blended polyol systems to optimize the stability, performance and insulation properties of foam products. </w:t>
      </w:r>
    </w:p>
    <w:p w:rsidR="00007BD2" w:rsidRPr="009A010C" w:rsidRDefault="00007BD2" w:rsidP="00007BD2">
      <w:pPr>
        <w:pStyle w:val="Heading1"/>
        <w:rPr>
          <w:lang w:val="en-CA"/>
        </w:rPr>
      </w:pPr>
      <w:r w:rsidRPr="009A010C">
        <w:rPr>
          <w:lang w:val="en-CA"/>
        </w:rPr>
        <w:t>In June 2018, a spray field test was completed at a construction site in Hebei province with HFO as the blowing agent. The field test sprayed over 2,350 m</w:t>
      </w:r>
      <w:r w:rsidRPr="009A010C">
        <w:rPr>
          <w:vertAlign w:val="superscript"/>
          <w:lang w:val="en-CA"/>
        </w:rPr>
        <w:t>2</w:t>
      </w:r>
      <w:r w:rsidRPr="009A010C">
        <w:rPr>
          <w:lang w:val="en-CA"/>
        </w:rPr>
        <w:t xml:space="preserve"> for domestic buildings. Dimensional stability, </w:t>
      </w:r>
      <w:r w:rsidRPr="009A010C">
        <w:rPr>
          <w:lang w:val="en-CA"/>
        </w:rPr>
        <w:lastRenderedPageBreak/>
        <w:t xml:space="preserve">insulation performance, and other relevant foam properties will be assessed in the winter under low ambient temperature. </w:t>
      </w:r>
    </w:p>
    <w:p w:rsidR="00007BD2" w:rsidRPr="009A010C" w:rsidRDefault="00007BD2" w:rsidP="00007BD2">
      <w:pPr>
        <w:pStyle w:val="Heading1"/>
        <w:rPr>
          <w:lang w:val="en-CA"/>
        </w:rPr>
      </w:pPr>
      <w:r w:rsidRPr="009A010C">
        <w:rPr>
          <w:lang w:val="en-CA"/>
        </w:rPr>
        <w:t>In December 2014, FECO signed contracts with four systems houses that established production capacity for water-blown based pre-blend polyols by installing production facilities and laboratory equipment, and through trials and testing of the new formulations. Currently, the systems houses are providing technical services to downstream foam enterprises and have sold over 2,000 </w:t>
      </w:r>
      <w:proofErr w:type="spellStart"/>
      <w:r w:rsidRPr="009A010C">
        <w:rPr>
          <w:lang w:val="en-CA"/>
        </w:rPr>
        <w:t>mt</w:t>
      </w:r>
      <w:proofErr w:type="spellEnd"/>
      <w:r w:rsidRPr="009A010C">
        <w:rPr>
          <w:lang w:val="en-CA"/>
        </w:rPr>
        <w:t xml:space="preserve"> of alternative pre-blended polyols</w:t>
      </w:r>
      <w:r w:rsidRPr="009A010C">
        <w:t xml:space="preserve"> to </w:t>
      </w:r>
      <w:r w:rsidRPr="009A010C">
        <w:rPr>
          <w:lang w:val="en-CA"/>
        </w:rPr>
        <w:t>downstream users including SMEs.</w:t>
      </w:r>
      <w:r w:rsidRPr="009A010C">
        <w:t xml:space="preserve"> </w:t>
      </w:r>
      <w:r w:rsidRPr="009A010C">
        <w:rPr>
          <w:lang w:val="en-CA"/>
        </w:rPr>
        <w:t>The four projects were completed in June 2018.</w:t>
      </w:r>
    </w:p>
    <w:p w:rsidR="00007BD2" w:rsidRPr="009A010C" w:rsidRDefault="00007BD2" w:rsidP="00007BD2">
      <w:pPr>
        <w:pStyle w:val="Heading1"/>
        <w:rPr>
          <w:lang w:val="en-CA"/>
        </w:rPr>
      </w:pPr>
      <w:r w:rsidRPr="009A010C">
        <w:rPr>
          <w:lang w:val="en-CA"/>
        </w:rPr>
        <w:t>FECO also signed contracts with EPBs in 11 provinces/cities aimed at enhancing public awareness of ozone layer protection, strengthening sustainable compliance capability, and ensuring that no CFCs or other controlled ODS would resurge post 2010</w:t>
      </w:r>
      <w:r w:rsidRPr="009A010C">
        <w:t xml:space="preserve">. </w:t>
      </w:r>
      <w:r w:rsidRPr="009A010C">
        <w:rPr>
          <w:lang w:val="en-CA"/>
        </w:rPr>
        <w:t>Up to the reporting date, the 11 local EPBs had fulfilled the goals and conditions as per required in the contract. The projects have strengthened the knowledge, management and enforcement capacity of these 11 regions, and promoted awareness of the national ODS management regulations. The 11 EPBs expect to complete the projects in December 2018.</w:t>
      </w:r>
    </w:p>
    <w:p w:rsidR="00007BD2" w:rsidRPr="009A010C" w:rsidRDefault="00007BD2" w:rsidP="00007BD2">
      <w:pPr>
        <w:pStyle w:val="Heading1"/>
        <w:rPr>
          <w:lang w:val="en-CA"/>
        </w:rPr>
      </w:pPr>
      <w:r w:rsidRPr="009A010C">
        <w:rPr>
          <w:lang w:val="en-CA"/>
        </w:rPr>
        <w:t xml:space="preserve">The Government has issued the Regulations on ODS Management and the Circular on the Management of Construction of Facilities Producing or Using ODS, and has taken other policy actions to prohibit the re-use of phased out CFCs and enforce the controls on HCFCs. However, the foam sector contains a large number of enterprises with various applications. Therefore, FECO has continued monitoring activities through contracts with five provinces (i.e., Hebei, Henan, Shandong, Si </w:t>
      </w:r>
      <w:proofErr w:type="spellStart"/>
      <w:r w:rsidRPr="009A010C">
        <w:rPr>
          <w:lang w:val="en-CA"/>
        </w:rPr>
        <w:t>Chuan</w:t>
      </w:r>
      <w:proofErr w:type="spellEnd"/>
      <w:r w:rsidRPr="009A010C">
        <w:rPr>
          <w:lang w:val="en-CA"/>
        </w:rPr>
        <w:t xml:space="preserve"> and Tianjin), where the majority of systems houses and foam enterprises are located, to visit chemical dealers, systems houses, and foam enterprises to collect samples of blowing agents, pre</w:t>
      </w:r>
      <w:r w:rsidRPr="009A010C">
        <w:rPr>
          <w:lang w:val="en-CA"/>
        </w:rPr>
        <w:noBreakHyphen/>
        <w:t>blended polyol systems, and final foam products. Over 420 foam enterprises and systems houses have been visited, and over 780 foam and raw material samples have been collected. According to the preliminary test of the samples, there is a small percentage of those samples suspected of probably containing phased out CFC/HCFC. The project implementers are sending suspicious samples to certified labs for further analysis and are screening the results. Once the suspicious samples are confirmed, the violators will be punished according to relevant rules and regulations.</w:t>
      </w:r>
    </w:p>
    <w:p w:rsidR="00007BD2" w:rsidRPr="009A010C" w:rsidRDefault="00007BD2" w:rsidP="00007BD2">
      <w:pPr>
        <w:pStyle w:val="Heading1"/>
        <w:rPr>
          <w:lang w:val="en-CA"/>
        </w:rPr>
      </w:pPr>
      <w:r w:rsidRPr="009A010C">
        <w:rPr>
          <w:lang w:val="en-CA"/>
        </w:rPr>
        <w:t xml:space="preserve">The Government considers that the monitoring activities have effectively enforced the established policy system. However, the efficiency of inspection and monitoring of the foam sector can be hindered by the number of subsectors and system houses, inadequate knowledge on the part of inspectors regarding foam production, and an insufficient number of blowing-agent detectors (not all cities and counties have them). In addition, the regulations on ODS management are concise and do not provide detailed instructions on dealing with each specific situation that may arise, leaving things up to provincial policy and EPB interpretation. Moreover, the alternative technologies have not penetrated the sector and higher costs undermine the willingness of SMEs to convert to zero-ODP, low-GWP alternatives. These challenges are well noted by FECO and MEE, which will continue providing technical support to local EPBs and environmental monitoring branches via different channels. </w:t>
      </w:r>
    </w:p>
    <w:p w:rsidR="00007BD2" w:rsidRPr="009A010C" w:rsidRDefault="00007BD2" w:rsidP="00007BD2">
      <w:pPr>
        <w:pStyle w:val="Heading1"/>
        <w:numPr>
          <w:ilvl w:val="0"/>
          <w:numId w:val="0"/>
        </w:numPr>
        <w:rPr>
          <w:bCs/>
          <w:u w:val="single"/>
          <w:lang w:val="en-CA"/>
        </w:rPr>
      </w:pPr>
      <w:r w:rsidRPr="009A010C">
        <w:rPr>
          <w:bCs/>
          <w:u w:val="single"/>
          <w:lang w:val="en-CA"/>
        </w:rPr>
        <w:t>CFC refrigeration servicing sector</w:t>
      </w:r>
    </w:p>
    <w:p w:rsidR="00007BD2" w:rsidRPr="009A010C" w:rsidRDefault="00007BD2" w:rsidP="00007BD2">
      <w:pPr>
        <w:pStyle w:val="Heading1"/>
        <w:rPr>
          <w:lang w:val="en-CA"/>
        </w:rPr>
      </w:pPr>
      <w:r w:rsidRPr="009A010C">
        <w:rPr>
          <w:lang w:val="en-CA"/>
        </w:rPr>
        <w:t>A total of US $550,473 was disbursed between the last progress report and 31 August 2018. All of the 13 training centers established by FECO in 13 cities to implement vocational training courses for servicing technicians have completed their projects. As of August 2018, more than 4,100 technicians, trainers and students had been trained (three of the centres have completed the training programme). In 2017-2018, FECO conducted site visits and issued final reports for all 13 training projects.</w:t>
      </w:r>
    </w:p>
    <w:p w:rsidR="00007BD2" w:rsidRPr="009A010C" w:rsidRDefault="00007BD2" w:rsidP="00007BD2">
      <w:pPr>
        <w:pStyle w:val="Heading1"/>
        <w:rPr>
          <w:lang w:val="en-CA"/>
        </w:rPr>
      </w:pPr>
      <w:r w:rsidRPr="009A010C">
        <w:rPr>
          <w:lang w:val="en-CA"/>
        </w:rPr>
        <w:t xml:space="preserve">By the end of 2018, an additional 500 technicians will have been trained in the two additional training centres contracted in 2017. In 2018, FECO signed contracts with three additional training centers for training in good refrigeration practices, undertook research on refrigerant leakage control during the operation and </w:t>
      </w:r>
      <w:r w:rsidRPr="009A010C">
        <w:rPr>
          <w:lang w:val="en-CA"/>
        </w:rPr>
        <w:lastRenderedPageBreak/>
        <w:t xml:space="preserve">servicing of R-290-based air-conditioning systems; and continued the two surveys on the disposal-ships sector and on the cold chain in supermarkets, which will be finished by the end of 2018. </w:t>
      </w:r>
    </w:p>
    <w:p w:rsidR="00007BD2" w:rsidRPr="009A010C" w:rsidRDefault="00007BD2" w:rsidP="00007BD2">
      <w:pPr>
        <w:pStyle w:val="Heading1"/>
        <w:rPr>
          <w:lang w:val="en-CA"/>
        </w:rPr>
      </w:pPr>
      <w:r w:rsidRPr="009A010C">
        <w:rPr>
          <w:lang w:val="en-CA"/>
        </w:rPr>
        <w:t>Monitoring and management activities (including consultancy, training, evaluation and verifications) will be conducted by FECO to achieve sustainable compliance with CFC phase-out.</w:t>
      </w:r>
    </w:p>
    <w:p w:rsidR="00007BD2" w:rsidRPr="009A010C" w:rsidRDefault="00007BD2" w:rsidP="00007BD2">
      <w:pPr>
        <w:keepNext/>
        <w:spacing w:after="240"/>
        <w:rPr>
          <w:bCs/>
          <w:u w:val="single"/>
          <w:lang w:val="en-CA"/>
        </w:rPr>
      </w:pPr>
      <w:r w:rsidRPr="009A010C">
        <w:rPr>
          <w:bCs/>
          <w:u w:val="single"/>
          <w:lang w:val="en-CA"/>
        </w:rPr>
        <w:t>Solvent sector</w:t>
      </w:r>
    </w:p>
    <w:p w:rsidR="00007BD2" w:rsidRPr="009A010C" w:rsidRDefault="00007BD2" w:rsidP="00007BD2">
      <w:pPr>
        <w:pStyle w:val="Heading1"/>
        <w:rPr>
          <w:lang w:val="en-CA"/>
        </w:rPr>
      </w:pPr>
      <w:r w:rsidRPr="009A010C">
        <w:rPr>
          <w:lang w:val="en-CA"/>
        </w:rPr>
        <w:t>A total of US $773,756 was disbursed between the last progress report</w:t>
      </w:r>
      <w:r w:rsidRPr="009A010C">
        <w:t xml:space="preserve"> </w:t>
      </w:r>
      <w:r w:rsidRPr="009A010C">
        <w:rPr>
          <w:lang w:val="en-CA"/>
        </w:rPr>
        <w:t xml:space="preserve">and 31 August 2018. As of August 31, 2018, 3,800 officers from ten customs offices had received training on ODS-related issues and each customs office that had made ODS checking part of its regular work received testing equipment. </w:t>
      </w:r>
      <w:r w:rsidRPr="009A010C">
        <w:rPr>
          <w:lang w:val="en-CA" w:eastAsia="zh-CN"/>
        </w:rPr>
        <w:t>As of 30 June 2018, m</w:t>
      </w:r>
      <w:r w:rsidRPr="009A010C">
        <w:rPr>
          <w:lang w:val="en-CA"/>
        </w:rPr>
        <w:t>ore than 5,000 local EPB officers had received training on ODS-related policies, a</w:t>
      </w:r>
      <w:r w:rsidRPr="009A010C">
        <w:rPr>
          <w:lang w:val="en-CA" w:eastAsia="zh-CN"/>
        </w:rPr>
        <w:t>nd over 18,000 people had participated in public awareness activities. Local EPBs organized more than 30 on</w:t>
      </w:r>
      <w:r w:rsidRPr="009A010C">
        <w:rPr>
          <w:lang w:val="en-CA" w:eastAsia="zh-CN"/>
        </w:rPr>
        <w:noBreakHyphen/>
        <w:t>site inspections of ODS enterprises. EPBs are finishing completion reports and will receive the final payment by the end of 2018.</w:t>
      </w:r>
    </w:p>
    <w:p w:rsidR="00007BD2" w:rsidRPr="009A010C" w:rsidRDefault="00007BD2" w:rsidP="00007BD2">
      <w:pPr>
        <w:pStyle w:val="Heading1"/>
        <w:rPr>
          <w:lang w:val="en-CA" w:eastAsia="zh-CN"/>
        </w:rPr>
      </w:pPr>
      <w:r w:rsidRPr="009A010C">
        <w:rPr>
          <w:lang w:val="en-CA"/>
        </w:rPr>
        <w:t xml:space="preserve">FECO, with the support of Peking University, finished the report “Analysis on the impacts of ratification by China of the Kigali Amendment on HFC management.” </w:t>
      </w:r>
      <w:r w:rsidRPr="009A010C">
        <w:rPr>
          <w:lang w:val="en-CA" w:eastAsia="zh-CN"/>
        </w:rPr>
        <w:t>Research on alternative technologies and on silicone oil optimization at five institutions</w:t>
      </w:r>
      <w:r w:rsidRPr="009A010C">
        <w:rPr>
          <w:rStyle w:val="FootnoteReference"/>
          <w:lang w:val="en-CA" w:eastAsia="zh-CN"/>
        </w:rPr>
        <w:footnoteReference w:id="8"/>
      </w:r>
      <w:r w:rsidRPr="009A010C">
        <w:rPr>
          <w:lang w:val="en-CA" w:eastAsia="zh-CN"/>
        </w:rPr>
        <w:t xml:space="preserve"> was completed. Management and monitoring activities, including on-site verifications, monitoring audits and project evaluations, continued to be implemented.</w:t>
      </w:r>
    </w:p>
    <w:p w:rsidR="00007BD2" w:rsidRPr="009A010C" w:rsidRDefault="00007BD2" w:rsidP="00007BD2">
      <w:pPr>
        <w:keepNext/>
        <w:spacing w:after="240"/>
        <w:rPr>
          <w:b/>
          <w:bCs/>
          <w:lang w:val="en-CA"/>
        </w:rPr>
      </w:pPr>
      <w:r w:rsidRPr="009A010C">
        <w:rPr>
          <w:b/>
          <w:bCs/>
          <w:lang w:val="en-CA"/>
        </w:rPr>
        <w:t>Interest accrued</w:t>
      </w:r>
    </w:p>
    <w:p w:rsidR="00007BD2" w:rsidRPr="00F4406E" w:rsidRDefault="00007BD2" w:rsidP="00007BD2">
      <w:pPr>
        <w:pStyle w:val="Heading1"/>
        <w:rPr>
          <w:lang w:val="en-CA"/>
        </w:rPr>
      </w:pPr>
      <w:r w:rsidRPr="00F4406E">
        <w:rPr>
          <w:lang w:val="en-CA"/>
        </w:rPr>
        <w:t xml:space="preserve">Table </w:t>
      </w:r>
      <w:r w:rsidR="00067394" w:rsidRPr="00F4406E">
        <w:rPr>
          <w:lang w:val="en-CA"/>
        </w:rPr>
        <w:t>2</w:t>
      </w:r>
      <w:r w:rsidRPr="00F4406E">
        <w:rPr>
          <w:lang w:val="en-CA"/>
        </w:rPr>
        <w:t xml:space="preserve"> presents the amount of interest collected.</w:t>
      </w:r>
    </w:p>
    <w:p w:rsidR="00007BD2" w:rsidRPr="009A010C" w:rsidRDefault="00007BD2" w:rsidP="00007BD2">
      <w:pPr>
        <w:widowControl w:val="0"/>
        <w:shd w:val="clear" w:color="auto" w:fill="FFFFFF"/>
        <w:rPr>
          <w:b/>
          <w:bCs/>
          <w:color w:val="000000"/>
          <w:lang w:val="en-CA"/>
        </w:rPr>
      </w:pPr>
      <w:r w:rsidRPr="00F4406E">
        <w:rPr>
          <w:b/>
          <w:bCs/>
          <w:color w:val="000000"/>
          <w:lang w:val="en-CA"/>
        </w:rPr>
        <w:t xml:space="preserve">Table </w:t>
      </w:r>
      <w:r w:rsidR="00067394" w:rsidRPr="00F4406E">
        <w:rPr>
          <w:b/>
          <w:bCs/>
          <w:color w:val="000000"/>
          <w:lang w:val="en-CA"/>
        </w:rPr>
        <w:t>2</w:t>
      </w:r>
      <w:r w:rsidRPr="00F4406E">
        <w:rPr>
          <w:b/>
          <w:bCs/>
          <w:color w:val="000000"/>
          <w:lang w:val="en-CA"/>
        </w:rPr>
        <w:t>. Interest reported</w:t>
      </w:r>
      <w:r w:rsidRPr="009A010C">
        <w:rPr>
          <w:b/>
          <w:bCs/>
          <w:color w:val="000000"/>
          <w:lang w:val="en-CA"/>
        </w:rPr>
        <w:t xml:space="preserve"> from the sector plans in China (US $)</w:t>
      </w:r>
    </w:p>
    <w:tbl>
      <w:tblPr>
        <w:tblW w:w="5000" w:type="pct"/>
        <w:tblLook w:val="04A0" w:firstRow="1" w:lastRow="0" w:firstColumn="1" w:lastColumn="0" w:noHBand="0" w:noVBand="1"/>
      </w:tblPr>
      <w:tblGrid>
        <w:gridCol w:w="3751"/>
        <w:gridCol w:w="2891"/>
        <w:gridCol w:w="2888"/>
      </w:tblGrid>
      <w:tr w:rsidR="00007BD2" w:rsidRPr="009A010C" w:rsidTr="00E04A95">
        <w:trPr>
          <w:tblHeader/>
        </w:trPr>
        <w:tc>
          <w:tcPr>
            <w:tcW w:w="1968" w:type="pct"/>
            <w:tcBorders>
              <w:top w:val="single" w:sz="4" w:space="0" w:color="auto"/>
              <w:left w:val="single" w:sz="4" w:space="0" w:color="auto"/>
              <w:bottom w:val="single" w:sz="4" w:space="0" w:color="auto"/>
              <w:right w:val="single" w:sz="4" w:space="0" w:color="auto"/>
            </w:tcBorders>
            <w:shd w:val="clear" w:color="000000" w:fill="FFFFFF"/>
            <w:hideMark/>
          </w:tcPr>
          <w:p w:rsidR="00007BD2" w:rsidRPr="009A010C" w:rsidRDefault="00007BD2" w:rsidP="00E04A95">
            <w:pPr>
              <w:widowControl w:val="0"/>
              <w:jc w:val="center"/>
              <w:rPr>
                <w:b/>
                <w:bCs/>
                <w:color w:val="000000"/>
                <w:sz w:val="20"/>
                <w:szCs w:val="20"/>
                <w:lang w:val="en-CA"/>
              </w:rPr>
            </w:pPr>
            <w:r w:rsidRPr="009A010C">
              <w:rPr>
                <w:b/>
                <w:bCs/>
                <w:color w:val="000000"/>
                <w:sz w:val="20"/>
                <w:szCs w:val="20"/>
                <w:lang w:val="en-CA"/>
              </w:rPr>
              <w:t>Sector</w:t>
            </w:r>
          </w:p>
        </w:tc>
        <w:tc>
          <w:tcPr>
            <w:tcW w:w="1517" w:type="pct"/>
            <w:tcBorders>
              <w:top w:val="single" w:sz="4" w:space="0" w:color="auto"/>
              <w:left w:val="nil"/>
              <w:bottom w:val="single" w:sz="4" w:space="0" w:color="auto"/>
              <w:right w:val="single" w:sz="4" w:space="0" w:color="auto"/>
            </w:tcBorders>
            <w:shd w:val="clear" w:color="000000" w:fill="FFFFFF"/>
            <w:hideMark/>
          </w:tcPr>
          <w:p w:rsidR="00007BD2" w:rsidRPr="009A010C" w:rsidRDefault="00007BD2" w:rsidP="00E04A95">
            <w:pPr>
              <w:widowControl w:val="0"/>
              <w:jc w:val="center"/>
              <w:rPr>
                <w:b/>
                <w:bCs/>
                <w:color w:val="000000"/>
                <w:sz w:val="20"/>
                <w:szCs w:val="20"/>
                <w:lang w:val="en-CA"/>
              </w:rPr>
            </w:pPr>
            <w:r w:rsidRPr="009A010C">
              <w:rPr>
                <w:b/>
                <w:bCs/>
                <w:color w:val="000000"/>
                <w:sz w:val="20"/>
                <w:szCs w:val="20"/>
                <w:lang w:val="en-CA"/>
              </w:rPr>
              <w:t>1 July 2017 - 30 June 2018</w:t>
            </w:r>
          </w:p>
        </w:tc>
        <w:tc>
          <w:tcPr>
            <w:tcW w:w="1516" w:type="pct"/>
            <w:tcBorders>
              <w:top w:val="single" w:sz="4" w:space="0" w:color="auto"/>
              <w:left w:val="nil"/>
              <w:bottom w:val="single" w:sz="4" w:space="0" w:color="auto"/>
              <w:right w:val="single" w:sz="4" w:space="0" w:color="auto"/>
            </w:tcBorders>
            <w:shd w:val="clear" w:color="000000" w:fill="FFFFFF"/>
          </w:tcPr>
          <w:p w:rsidR="00007BD2" w:rsidRPr="009A010C" w:rsidRDefault="00007BD2" w:rsidP="00E04A95">
            <w:pPr>
              <w:widowControl w:val="0"/>
              <w:jc w:val="center"/>
              <w:rPr>
                <w:b/>
                <w:bCs/>
                <w:color w:val="000000"/>
                <w:sz w:val="20"/>
                <w:szCs w:val="20"/>
                <w:lang w:val="en-CA"/>
              </w:rPr>
            </w:pPr>
            <w:r w:rsidRPr="009A010C">
              <w:rPr>
                <w:b/>
                <w:bCs/>
                <w:color w:val="000000"/>
                <w:sz w:val="20"/>
                <w:szCs w:val="20"/>
                <w:lang w:val="en-CA"/>
              </w:rPr>
              <w:t xml:space="preserve">1 January 2010 - 30 June 2018 </w:t>
            </w:r>
          </w:p>
        </w:tc>
      </w:tr>
      <w:tr w:rsidR="00007BD2" w:rsidRPr="009A010C" w:rsidTr="00E04A95">
        <w:tc>
          <w:tcPr>
            <w:tcW w:w="1968" w:type="pct"/>
            <w:tcBorders>
              <w:top w:val="nil"/>
              <w:left w:val="single" w:sz="4" w:space="0" w:color="auto"/>
              <w:bottom w:val="single" w:sz="4" w:space="0" w:color="auto"/>
              <w:right w:val="single" w:sz="4" w:space="0" w:color="auto"/>
            </w:tcBorders>
            <w:shd w:val="clear" w:color="000000" w:fill="FFFFFF"/>
            <w:hideMark/>
          </w:tcPr>
          <w:p w:rsidR="00007BD2" w:rsidRPr="009A010C" w:rsidRDefault="00007BD2" w:rsidP="00E04A95">
            <w:pPr>
              <w:widowControl w:val="0"/>
              <w:rPr>
                <w:color w:val="000000"/>
                <w:sz w:val="20"/>
                <w:szCs w:val="20"/>
                <w:lang w:val="en-CA"/>
              </w:rPr>
            </w:pPr>
            <w:r w:rsidRPr="009A010C">
              <w:rPr>
                <w:color w:val="000000"/>
                <w:sz w:val="20"/>
                <w:szCs w:val="20"/>
                <w:lang w:val="en-CA"/>
              </w:rPr>
              <w:t>CFC production, halon, process agent II, and PU foam</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007BD2" w:rsidRPr="009A010C" w:rsidRDefault="00007BD2" w:rsidP="00E04A95">
            <w:pPr>
              <w:widowControl w:val="0"/>
              <w:ind w:right="-1298"/>
              <w:jc w:val="right"/>
              <w:rPr>
                <w:color w:val="000000"/>
                <w:sz w:val="20"/>
                <w:szCs w:val="20"/>
                <w:lang w:val="en-CA"/>
              </w:rPr>
            </w:pPr>
            <w:r w:rsidRPr="009A010C">
              <w:rPr>
                <w:color w:val="000000"/>
                <w:sz w:val="20"/>
                <w:szCs w:val="20"/>
                <w:lang w:val="en-CA"/>
              </w:rPr>
              <w:t>2,837</w:t>
            </w:r>
          </w:p>
        </w:tc>
        <w:tc>
          <w:tcPr>
            <w:tcW w:w="1516" w:type="pct"/>
            <w:tcBorders>
              <w:top w:val="nil"/>
              <w:left w:val="nil"/>
              <w:bottom w:val="single" w:sz="4" w:space="0" w:color="auto"/>
              <w:right w:val="single" w:sz="4" w:space="0" w:color="auto"/>
            </w:tcBorders>
          </w:tcPr>
          <w:p w:rsidR="00007BD2" w:rsidRPr="009A010C" w:rsidRDefault="00007BD2" w:rsidP="00E04A95">
            <w:pPr>
              <w:widowControl w:val="0"/>
              <w:jc w:val="right"/>
              <w:rPr>
                <w:color w:val="000000"/>
                <w:sz w:val="20"/>
                <w:szCs w:val="20"/>
                <w:lang w:val="en-CA"/>
              </w:rPr>
            </w:pPr>
            <w:r w:rsidRPr="009A010C">
              <w:rPr>
                <w:color w:val="000000"/>
                <w:sz w:val="20"/>
                <w:szCs w:val="20"/>
                <w:lang w:val="en-CA"/>
              </w:rPr>
              <w:t>21,109</w:t>
            </w:r>
          </w:p>
        </w:tc>
      </w:tr>
      <w:tr w:rsidR="00007BD2" w:rsidRPr="009A010C" w:rsidTr="00E04A95">
        <w:tc>
          <w:tcPr>
            <w:tcW w:w="1968" w:type="pct"/>
            <w:tcBorders>
              <w:top w:val="nil"/>
              <w:left w:val="single" w:sz="4" w:space="0" w:color="auto"/>
              <w:bottom w:val="single" w:sz="4" w:space="0" w:color="auto"/>
              <w:right w:val="single" w:sz="4" w:space="0" w:color="auto"/>
            </w:tcBorders>
            <w:shd w:val="clear" w:color="000000" w:fill="FFFFFF"/>
            <w:noWrap/>
            <w:hideMark/>
          </w:tcPr>
          <w:p w:rsidR="00007BD2" w:rsidRPr="009A010C" w:rsidRDefault="00007BD2" w:rsidP="00E04A95">
            <w:pPr>
              <w:widowControl w:val="0"/>
              <w:rPr>
                <w:color w:val="000000"/>
                <w:sz w:val="20"/>
                <w:szCs w:val="20"/>
                <w:lang w:val="en-CA"/>
              </w:rPr>
            </w:pPr>
            <w:r w:rsidRPr="009A010C">
              <w:rPr>
                <w:color w:val="000000"/>
                <w:sz w:val="20"/>
                <w:szCs w:val="20"/>
                <w:lang w:val="en-CA"/>
              </w:rPr>
              <w:t>Refrigeration servicing</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007BD2" w:rsidRPr="009A010C" w:rsidRDefault="00007BD2" w:rsidP="00E04A95">
            <w:pPr>
              <w:widowControl w:val="0"/>
              <w:ind w:right="-1298"/>
              <w:jc w:val="right"/>
              <w:rPr>
                <w:color w:val="000000"/>
                <w:sz w:val="20"/>
                <w:szCs w:val="20"/>
                <w:lang w:val="en-CA"/>
              </w:rPr>
            </w:pPr>
            <w:r w:rsidRPr="009A010C">
              <w:rPr>
                <w:color w:val="000000"/>
                <w:sz w:val="20"/>
                <w:szCs w:val="20"/>
                <w:lang w:val="en-CA"/>
              </w:rPr>
              <w:t>5,574</w:t>
            </w:r>
          </w:p>
        </w:tc>
        <w:tc>
          <w:tcPr>
            <w:tcW w:w="1516" w:type="pct"/>
            <w:tcBorders>
              <w:top w:val="nil"/>
              <w:left w:val="nil"/>
              <w:bottom w:val="single" w:sz="4" w:space="0" w:color="auto"/>
              <w:right w:val="single" w:sz="4" w:space="0" w:color="auto"/>
            </w:tcBorders>
          </w:tcPr>
          <w:p w:rsidR="00007BD2" w:rsidRPr="009A010C" w:rsidRDefault="00007BD2" w:rsidP="00E04A95">
            <w:pPr>
              <w:widowControl w:val="0"/>
              <w:jc w:val="right"/>
              <w:rPr>
                <w:color w:val="000000"/>
                <w:sz w:val="20"/>
                <w:szCs w:val="20"/>
                <w:lang w:val="en-CA"/>
              </w:rPr>
            </w:pPr>
            <w:r w:rsidRPr="009A010C">
              <w:rPr>
                <w:color w:val="000000"/>
                <w:sz w:val="20"/>
                <w:szCs w:val="20"/>
                <w:lang w:val="en-CA"/>
              </w:rPr>
              <w:t>93,565</w:t>
            </w:r>
          </w:p>
        </w:tc>
      </w:tr>
      <w:tr w:rsidR="00007BD2" w:rsidRPr="009A010C" w:rsidTr="00E04A95">
        <w:tc>
          <w:tcPr>
            <w:tcW w:w="1968" w:type="pct"/>
            <w:tcBorders>
              <w:top w:val="nil"/>
              <w:left w:val="single" w:sz="4" w:space="0" w:color="auto"/>
              <w:bottom w:val="single" w:sz="4" w:space="0" w:color="auto"/>
              <w:right w:val="single" w:sz="4" w:space="0" w:color="auto"/>
            </w:tcBorders>
            <w:shd w:val="clear" w:color="000000" w:fill="FFFFFF"/>
            <w:noWrap/>
            <w:hideMark/>
          </w:tcPr>
          <w:p w:rsidR="00007BD2" w:rsidRPr="009A010C" w:rsidRDefault="00007BD2" w:rsidP="00E04A95">
            <w:pPr>
              <w:widowControl w:val="0"/>
              <w:rPr>
                <w:color w:val="000000"/>
                <w:sz w:val="20"/>
                <w:szCs w:val="20"/>
                <w:lang w:val="en-CA"/>
              </w:rPr>
            </w:pPr>
            <w:r w:rsidRPr="009A010C">
              <w:rPr>
                <w:color w:val="000000"/>
                <w:sz w:val="20"/>
                <w:szCs w:val="20"/>
                <w:lang w:val="en-CA"/>
              </w:rPr>
              <w:t>Solvent</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007BD2" w:rsidRPr="009A010C" w:rsidRDefault="00007BD2" w:rsidP="00E04A95">
            <w:pPr>
              <w:widowControl w:val="0"/>
              <w:ind w:right="-1298"/>
              <w:jc w:val="right"/>
              <w:rPr>
                <w:color w:val="000000"/>
                <w:sz w:val="20"/>
                <w:szCs w:val="20"/>
                <w:lang w:val="en-CA"/>
              </w:rPr>
            </w:pPr>
            <w:r w:rsidRPr="009A010C">
              <w:rPr>
                <w:color w:val="000000"/>
                <w:sz w:val="20"/>
                <w:szCs w:val="20"/>
                <w:lang w:val="en-CA"/>
              </w:rPr>
              <w:t>11,364</w:t>
            </w:r>
          </w:p>
        </w:tc>
        <w:tc>
          <w:tcPr>
            <w:tcW w:w="1516" w:type="pct"/>
            <w:tcBorders>
              <w:top w:val="nil"/>
              <w:left w:val="nil"/>
              <w:bottom w:val="single" w:sz="4" w:space="0" w:color="auto"/>
              <w:right w:val="single" w:sz="4" w:space="0" w:color="auto"/>
            </w:tcBorders>
          </w:tcPr>
          <w:p w:rsidR="00007BD2" w:rsidRPr="009A010C" w:rsidRDefault="00007BD2" w:rsidP="00E04A95">
            <w:pPr>
              <w:widowControl w:val="0"/>
              <w:jc w:val="right"/>
              <w:rPr>
                <w:color w:val="000000"/>
                <w:sz w:val="20"/>
                <w:szCs w:val="20"/>
                <w:lang w:val="en-CA"/>
              </w:rPr>
            </w:pPr>
            <w:r w:rsidRPr="009A010C">
              <w:rPr>
                <w:color w:val="000000"/>
                <w:sz w:val="20"/>
                <w:szCs w:val="20"/>
                <w:lang w:val="en-CA"/>
              </w:rPr>
              <w:t>325,636</w:t>
            </w:r>
          </w:p>
        </w:tc>
      </w:tr>
      <w:tr w:rsidR="00007BD2" w:rsidRPr="009A010C" w:rsidTr="00E04A95">
        <w:tc>
          <w:tcPr>
            <w:tcW w:w="1968" w:type="pct"/>
            <w:tcBorders>
              <w:top w:val="nil"/>
              <w:left w:val="single" w:sz="4" w:space="0" w:color="auto"/>
              <w:bottom w:val="single" w:sz="4" w:space="0" w:color="auto"/>
              <w:right w:val="single" w:sz="4" w:space="0" w:color="auto"/>
            </w:tcBorders>
            <w:shd w:val="clear" w:color="000000" w:fill="FFFFFF"/>
            <w:hideMark/>
          </w:tcPr>
          <w:p w:rsidR="00007BD2" w:rsidRPr="009A010C" w:rsidRDefault="00007BD2" w:rsidP="00E04A95">
            <w:pPr>
              <w:widowControl w:val="0"/>
              <w:rPr>
                <w:b/>
                <w:bCs/>
                <w:color w:val="000000"/>
                <w:sz w:val="20"/>
                <w:szCs w:val="20"/>
                <w:lang w:val="en-CA"/>
              </w:rPr>
            </w:pPr>
            <w:r w:rsidRPr="009A010C">
              <w:rPr>
                <w:b/>
                <w:bCs/>
                <w:color w:val="000000"/>
                <w:sz w:val="20"/>
                <w:szCs w:val="20"/>
                <w:lang w:val="en-CA"/>
              </w:rPr>
              <w:t>Total</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007BD2" w:rsidRPr="009A010C" w:rsidRDefault="00007BD2" w:rsidP="00E04A95">
            <w:pPr>
              <w:widowControl w:val="0"/>
              <w:ind w:right="-1298"/>
              <w:jc w:val="right"/>
              <w:rPr>
                <w:b/>
                <w:color w:val="000000"/>
                <w:sz w:val="20"/>
                <w:szCs w:val="20"/>
                <w:lang w:val="en-CA"/>
              </w:rPr>
            </w:pPr>
            <w:r w:rsidRPr="009A010C">
              <w:rPr>
                <w:b/>
                <w:color w:val="000000"/>
                <w:sz w:val="20"/>
                <w:szCs w:val="20"/>
                <w:lang w:val="en-CA"/>
              </w:rPr>
              <w:t>19,775</w:t>
            </w:r>
          </w:p>
        </w:tc>
        <w:tc>
          <w:tcPr>
            <w:tcW w:w="1516" w:type="pct"/>
            <w:tcBorders>
              <w:top w:val="nil"/>
              <w:left w:val="nil"/>
              <w:bottom w:val="single" w:sz="4" w:space="0" w:color="auto"/>
              <w:right w:val="single" w:sz="4" w:space="0" w:color="auto"/>
            </w:tcBorders>
          </w:tcPr>
          <w:p w:rsidR="00007BD2" w:rsidRPr="009A010C" w:rsidRDefault="00007BD2" w:rsidP="00E04A95">
            <w:pPr>
              <w:widowControl w:val="0"/>
              <w:jc w:val="right"/>
              <w:rPr>
                <w:b/>
                <w:color w:val="000000"/>
                <w:sz w:val="20"/>
                <w:szCs w:val="20"/>
                <w:lang w:val="en-CA"/>
              </w:rPr>
            </w:pPr>
            <w:r w:rsidRPr="009A010C">
              <w:rPr>
                <w:b/>
                <w:color w:val="000000"/>
                <w:sz w:val="20"/>
                <w:szCs w:val="20"/>
                <w:lang w:val="en-CA"/>
              </w:rPr>
              <w:t>440,310</w:t>
            </w:r>
          </w:p>
        </w:tc>
      </w:tr>
    </w:tbl>
    <w:p w:rsidR="00007BD2" w:rsidRPr="009A010C" w:rsidRDefault="00007BD2" w:rsidP="00007BD2">
      <w:pPr>
        <w:shd w:val="clear" w:color="auto" w:fill="FFFFFF"/>
        <w:rPr>
          <w:b/>
          <w:bCs/>
          <w:color w:val="000000"/>
          <w:lang w:val="en-CA"/>
        </w:rPr>
      </w:pPr>
    </w:p>
    <w:p w:rsidR="00007BD2" w:rsidRPr="009A010C" w:rsidRDefault="00007BD2" w:rsidP="00007BD2">
      <w:pPr>
        <w:pStyle w:val="Heading1"/>
        <w:rPr>
          <w:lang w:val="en-CA"/>
        </w:rPr>
      </w:pPr>
      <w:r w:rsidRPr="009A010C">
        <w:rPr>
          <w:lang w:val="en-CA"/>
        </w:rPr>
        <w:t>As in past reports, the interest accrued for the solvent sector is significantly higher than that accrued for other sectors, as interest from RMB accounts is higher than interest from US dollar accounts.</w:t>
      </w:r>
    </w:p>
    <w:p w:rsidR="00007BD2" w:rsidRPr="009A010C" w:rsidRDefault="00007BD2" w:rsidP="00007BD2">
      <w:pPr>
        <w:pStyle w:val="Heading1"/>
        <w:numPr>
          <w:ilvl w:val="0"/>
          <w:numId w:val="0"/>
        </w:numPr>
        <w:rPr>
          <w:lang w:val="en-CA"/>
        </w:rPr>
      </w:pPr>
      <w:r w:rsidRPr="009A010C">
        <w:rPr>
          <w:b/>
          <w:bCs/>
          <w:lang w:val="en-CA"/>
        </w:rPr>
        <w:t>Secretariat’s comments</w:t>
      </w:r>
      <w:r w:rsidRPr="009A010C">
        <w:rPr>
          <w:lang w:val="en-CA"/>
        </w:rPr>
        <w:t xml:space="preserve"> </w:t>
      </w:r>
    </w:p>
    <w:p w:rsidR="00007BD2" w:rsidRPr="009A010C" w:rsidRDefault="00007BD2" w:rsidP="00007BD2">
      <w:pPr>
        <w:pStyle w:val="Heading1"/>
        <w:numPr>
          <w:ilvl w:val="0"/>
          <w:numId w:val="0"/>
        </w:numPr>
        <w:rPr>
          <w:u w:val="single"/>
          <w:lang w:val="en-CA"/>
        </w:rPr>
      </w:pPr>
      <w:r w:rsidRPr="009A010C">
        <w:rPr>
          <w:u w:val="single"/>
          <w:lang w:val="en-CA"/>
        </w:rPr>
        <w:t>Overall progress</w:t>
      </w:r>
    </w:p>
    <w:p w:rsidR="00007BD2" w:rsidRPr="009A010C" w:rsidRDefault="00007BD2" w:rsidP="00007BD2">
      <w:pPr>
        <w:pStyle w:val="Heading1"/>
        <w:rPr>
          <w:lang w:val="en-CA"/>
        </w:rPr>
      </w:pPr>
      <w:r w:rsidRPr="009A010C">
        <w:rPr>
          <w:lang w:val="en-CA"/>
        </w:rPr>
        <w:t>At the 80</w:t>
      </w:r>
      <w:r w:rsidRPr="009A010C">
        <w:rPr>
          <w:vertAlign w:val="superscript"/>
          <w:lang w:val="en-CA"/>
        </w:rPr>
        <w:t>th</w:t>
      </w:r>
      <w:r w:rsidRPr="009A010C">
        <w:rPr>
          <w:lang w:val="en-CA"/>
        </w:rPr>
        <w:t xml:space="preserve"> meeting, the implementing agencies provided reassurance that the funding balances associated with each of the sector plans would be fully disbursed by the end of 2018 and that the project completion reports would be submitted to the first meeting of the Executive Committee in 2019. Subsequently, the Executive Committee noted with appreciation </w:t>
      </w:r>
      <w:r w:rsidRPr="009A010C">
        <w:rPr>
          <w:i/>
          <w:lang w:val="en-CA"/>
        </w:rPr>
        <w:t>inter-alia</w:t>
      </w:r>
      <w:r w:rsidRPr="009A010C">
        <w:rPr>
          <w:lang w:val="en-CA"/>
        </w:rPr>
        <w:t xml:space="preserve"> that the Government of China had confirmed that all activities associated with each of the sector plans would be completed by the end of 2018, that relevant research and technical assistance reports would be submitted to the last meeting of 2018, and that the project completion reports would be submitted to the first meeting of the Executive Committee in 2019 (decision 80/27(c)).</w:t>
      </w:r>
    </w:p>
    <w:p w:rsidR="00007BD2" w:rsidRPr="009A010C" w:rsidRDefault="00007BD2" w:rsidP="00007BD2">
      <w:pPr>
        <w:pStyle w:val="Heading1"/>
        <w:rPr>
          <w:lang w:val="en-CA"/>
        </w:rPr>
      </w:pPr>
      <w:r w:rsidRPr="009A010C">
        <w:rPr>
          <w:lang w:val="en-CA"/>
        </w:rPr>
        <w:lastRenderedPageBreak/>
        <w:t>Furthermore, during the 80</w:t>
      </w:r>
      <w:r w:rsidRPr="009A010C">
        <w:rPr>
          <w:vertAlign w:val="superscript"/>
          <w:lang w:val="en-CA"/>
        </w:rPr>
        <w:t>th</w:t>
      </w:r>
      <w:r w:rsidRPr="009A010C">
        <w:rPr>
          <w:lang w:val="en-CA"/>
        </w:rPr>
        <w:t xml:space="preserve"> meeting, the Committee held informal discussions on the issue of the return of balances, and in reporting the outcome of those discussions, one member, supported by another member, said that, while the request for the return of the outstanding balances to the Fund had been withdrawn, in his view and in the view of others, outstanding balances should in principle be returned to the Fund or offset against future approvals, and the issue of the return of balances should be revisited at a future meeting of the Committee (UNEP/</w:t>
      </w:r>
      <w:proofErr w:type="spellStart"/>
      <w:r w:rsidRPr="009A010C">
        <w:rPr>
          <w:lang w:val="en-CA"/>
        </w:rPr>
        <w:t>OzL.Pro</w:t>
      </w:r>
      <w:proofErr w:type="spellEnd"/>
      <w:r w:rsidRPr="009A010C">
        <w:rPr>
          <w:lang w:val="en-CA"/>
        </w:rPr>
        <w:t>/</w:t>
      </w:r>
      <w:proofErr w:type="spellStart"/>
      <w:r w:rsidRPr="009A010C">
        <w:rPr>
          <w:lang w:val="en-CA"/>
        </w:rPr>
        <w:t>ExCom</w:t>
      </w:r>
      <w:proofErr w:type="spellEnd"/>
      <w:r w:rsidRPr="009A010C">
        <w:rPr>
          <w:lang w:val="en-CA"/>
        </w:rPr>
        <w:t xml:space="preserve">/80/59). </w:t>
      </w:r>
    </w:p>
    <w:p w:rsidR="00007BD2" w:rsidRPr="009A010C" w:rsidRDefault="00007BD2" w:rsidP="00007BD2">
      <w:pPr>
        <w:pStyle w:val="Heading1"/>
        <w:rPr>
          <w:lang w:val="en-CA"/>
        </w:rPr>
      </w:pPr>
      <w:r w:rsidRPr="009A010C">
        <w:rPr>
          <w:lang w:val="en-CA"/>
        </w:rPr>
        <w:t>The progress reports submitted to the 82</w:t>
      </w:r>
      <w:r w:rsidRPr="009A010C">
        <w:rPr>
          <w:vertAlign w:val="superscript"/>
          <w:lang w:val="en-CA"/>
        </w:rPr>
        <w:t>nd</w:t>
      </w:r>
      <w:r w:rsidRPr="009A010C">
        <w:rPr>
          <w:lang w:val="en-CA"/>
        </w:rPr>
        <w:t xml:space="preserve"> meeting indicate that the commitment to complete all activities by the end of 2018 has not been fulfilled in several of the sector plans, and some sector plans are proposed for extension to 2020 (process agent II) and to 2022 (halon). It is also noted that all other sector plans with the planned completion date of December 2018 (CFC production, PU foam, servicing, solvent) have balances, which are planned for disbursement in 2019. Out of the balance of US $25.89 million, as of 30 June 2017, only US $4.13 million (16 per cent) had been disbursed. The current balance of US $22.24 is still only 43 per cent of the total balance of US $52 million available in 31 December 2009. </w:t>
      </w:r>
    </w:p>
    <w:p w:rsidR="00007BD2" w:rsidRPr="009A010C" w:rsidRDefault="00007BD2" w:rsidP="00007BD2">
      <w:pPr>
        <w:pStyle w:val="Heading1"/>
        <w:rPr>
          <w:lang w:val="en-CA"/>
        </w:rPr>
      </w:pPr>
      <w:r w:rsidRPr="009A010C">
        <w:rPr>
          <w:lang w:val="en-CA"/>
        </w:rPr>
        <w:t>The Government of China noted the points raised above, and emphasized that there was no specific decision or requirement to return funds, further stating that the remaining funds are necessary to achieve the overall goal of permanent and sustainable phase-out and have been programmed accordingly. In addition, the Government of China indicated that:</w:t>
      </w:r>
    </w:p>
    <w:p w:rsidR="00007BD2" w:rsidRPr="009A010C" w:rsidRDefault="00007BD2" w:rsidP="00007BD2">
      <w:pPr>
        <w:pStyle w:val="Heading2"/>
        <w:rPr>
          <w:lang w:val="en-CA"/>
        </w:rPr>
      </w:pPr>
      <w:r w:rsidRPr="009A010C">
        <w:rPr>
          <w:lang w:val="en-CA"/>
        </w:rPr>
        <w:t xml:space="preserve">All substantive activities in the CFC production, PU foam, refrigeration servicing and solvent sectors will be completed as scheduled by December 2018 and final disbursements will be made in 2019 after satisfactory completion of the activities by December 2018; </w:t>
      </w:r>
    </w:p>
    <w:p w:rsidR="00007BD2" w:rsidRPr="009A010C" w:rsidRDefault="00007BD2" w:rsidP="00007BD2">
      <w:pPr>
        <w:pStyle w:val="Heading2"/>
        <w:rPr>
          <w:lang w:val="en-CA"/>
        </w:rPr>
      </w:pPr>
      <w:r w:rsidRPr="009A010C">
        <w:rPr>
          <w:lang w:val="en-CA"/>
        </w:rPr>
        <w:t xml:space="preserve">The major reason for non-completion of the halon sector activities is that from 2014 to 2018, FECO focused on building the foundation and gradually developing the national halon recycling and management system. FECO summarized the lessons learned from the demonstration project of the halon bank (2008-2013) and set up a strategic plan that established the halon recycling system in 2014. After four years of efforts, the national halon recycling and management system is established and in operation; </w:t>
      </w:r>
    </w:p>
    <w:p w:rsidR="00007BD2" w:rsidRPr="009A010C" w:rsidRDefault="00007BD2" w:rsidP="00007BD2">
      <w:pPr>
        <w:pStyle w:val="Heading2"/>
        <w:rPr>
          <w:lang w:val="en-CA"/>
        </w:rPr>
      </w:pPr>
      <w:r w:rsidRPr="009A010C">
        <w:rPr>
          <w:lang w:val="en-CA"/>
        </w:rPr>
        <w:t>There were three main reasons for the non-completion of the process agent II sector plan. First, as CTC residue disposal is also controlled by the hazardous waste management system in China, FECO first completed the feasibility analysis before the project was launched, including site visits with experts to the CTC by-producers and hazardous waste disposal centers, and several rounds of discussion with the key provincial EPBs. Second, building the capacity of local EPBs is a long-term project under which the local EPBs were required to carry out numerous activities and to meet the relevant milestones. Finally, CTC, as a by</w:t>
      </w:r>
      <w:r w:rsidR="00332201" w:rsidRPr="009A010C">
        <w:rPr>
          <w:lang w:val="en-CA"/>
        </w:rPr>
        <w:noBreakHyphen/>
      </w:r>
      <w:r w:rsidRPr="009A010C">
        <w:rPr>
          <w:lang w:val="en-CA"/>
        </w:rPr>
        <w:t>product of chloromethane (CM) plants, will continue to be generated, and it is expected that its use as a feedstock will continue in the future. Hence, continued long</w:t>
      </w:r>
      <w:r w:rsidRPr="009A010C">
        <w:rPr>
          <w:lang w:val="en-CA"/>
        </w:rPr>
        <w:noBreakHyphen/>
        <w:t>term monitoring of the production and use of CTC is always required. And it is necessary for MEE to improve and refine the regulations.</w:t>
      </w:r>
    </w:p>
    <w:p w:rsidR="00007BD2" w:rsidRPr="009A010C" w:rsidRDefault="00007BD2" w:rsidP="00007BD2">
      <w:pPr>
        <w:rPr>
          <w:u w:val="single"/>
          <w:lang w:val="en-CA"/>
        </w:rPr>
      </w:pPr>
      <w:r w:rsidRPr="009A010C">
        <w:rPr>
          <w:u w:val="single"/>
          <w:lang w:val="en-CA"/>
        </w:rPr>
        <w:t>Monitoring sustainability of the phase</w:t>
      </w:r>
      <w:r w:rsidRPr="009A010C">
        <w:rPr>
          <w:u w:val="single"/>
          <w:lang w:val="en-CA"/>
        </w:rPr>
        <w:noBreakHyphen/>
        <w:t>out</w:t>
      </w:r>
    </w:p>
    <w:p w:rsidR="00007BD2" w:rsidRPr="009A010C" w:rsidRDefault="00007BD2" w:rsidP="00007BD2">
      <w:pPr>
        <w:rPr>
          <w:lang w:val="en-CA"/>
        </w:rPr>
      </w:pPr>
    </w:p>
    <w:p w:rsidR="00007BD2" w:rsidRPr="009A010C" w:rsidRDefault="00007BD2" w:rsidP="00007BD2">
      <w:pPr>
        <w:pStyle w:val="Heading1"/>
        <w:rPr>
          <w:lang w:val="en-CA"/>
        </w:rPr>
      </w:pPr>
      <w:r w:rsidRPr="009A010C">
        <w:rPr>
          <w:lang w:val="en-CA"/>
        </w:rPr>
        <w:t>Each sector plan allocated funds for activities the Secretariat considers would contribute to the sustainable, long-term monitoring of the phase-out, including supervision and management, activities related to information management, capacity building for EPBs, and other activities. At the Secretariat’s request, the Government of China provided additional information on how the activities undertaken would contribute to the sustainable, long-term monitoring of the phase-out. The input provided by the Government of China and the Secretariat’s comments are below.</w:t>
      </w:r>
    </w:p>
    <w:p w:rsidR="00007BD2" w:rsidRPr="009A010C" w:rsidRDefault="00007BD2" w:rsidP="00007BD2">
      <w:pPr>
        <w:rPr>
          <w:i/>
          <w:lang w:val="en-CA"/>
        </w:rPr>
      </w:pPr>
      <w:r w:rsidRPr="009A010C">
        <w:rPr>
          <w:i/>
          <w:lang w:val="en-CA"/>
        </w:rPr>
        <w:lastRenderedPageBreak/>
        <w:t>CTC production sector and the process agent sector</w:t>
      </w:r>
    </w:p>
    <w:p w:rsidR="00007BD2" w:rsidRPr="009A010C" w:rsidRDefault="00007BD2" w:rsidP="00007BD2">
      <w:pPr>
        <w:rPr>
          <w:lang w:val="en-CA"/>
        </w:rPr>
      </w:pPr>
    </w:p>
    <w:p w:rsidR="00007BD2" w:rsidRPr="009A010C" w:rsidRDefault="00007BD2" w:rsidP="00007BD2">
      <w:pPr>
        <w:pStyle w:val="Heading1"/>
        <w:rPr>
          <w:lang w:val="en-CA"/>
        </w:rPr>
      </w:pPr>
      <w:r w:rsidRPr="009A010C">
        <w:rPr>
          <w:lang w:val="en-CA"/>
        </w:rPr>
        <w:t>The Government indicated that CTC continues to be co-produced at chloromethane (CM) plants (together with methyl chloride, methylene chloride and chloroform) where the ratio of CTC produced is reduced as much as possible. CTC is still used for feedstock by a number of chemical producers, for process agent (PA) applications where CTC emission control is applied, and for laboratory uses as allowed by the Parties to Montreal Protocol, governed by China’s registration and quota system. In order to ensure that CTC production and consumption is limited within the amount allowed by China, CTC consumption quotas for laboratory uses and PA applications are issued by the MEE/FECO to relevant enterprises. Each CTC feedstock user is required to be registered in MEE/FECO. Qualified CTC producers are allowed to sell CTC to the CTC users with consumption quota or registration. Any excess CTC produced by qualified producers has to be converted to methylene chloride/</w:t>
      </w:r>
      <w:proofErr w:type="spellStart"/>
      <w:r w:rsidRPr="009A010C">
        <w:rPr>
          <w:lang w:val="en-CA"/>
        </w:rPr>
        <w:t>perchloroethylene</w:t>
      </w:r>
      <w:proofErr w:type="spellEnd"/>
      <w:r w:rsidRPr="009A010C">
        <w:rPr>
          <w:lang w:val="en-CA"/>
        </w:rPr>
        <w:t xml:space="preserve"> (</w:t>
      </w:r>
      <w:proofErr w:type="spellStart"/>
      <w:r w:rsidRPr="009A010C">
        <w:rPr>
          <w:lang w:val="en-CA"/>
        </w:rPr>
        <w:t>MCl</w:t>
      </w:r>
      <w:proofErr w:type="spellEnd"/>
      <w:r w:rsidRPr="009A010C">
        <w:rPr>
          <w:lang w:val="en-CA"/>
        </w:rPr>
        <w:t>/PCE) or incinerated. Hence, continued monitoring of the production and use of CTC, and reporting of CTC production /consumption data to MEE/FECO, and regular inspection by local EPBs is required.</w:t>
      </w:r>
    </w:p>
    <w:p w:rsidR="00007BD2" w:rsidRPr="009A010C" w:rsidRDefault="00007BD2" w:rsidP="00007BD2">
      <w:pPr>
        <w:pStyle w:val="Heading1"/>
        <w:rPr>
          <w:lang w:val="en-CA"/>
        </w:rPr>
      </w:pPr>
      <w:r w:rsidRPr="009A010C">
        <w:rPr>
          <w:lang w:val="en-CA"/>
        </w:rPr>
        <w:t>In order to strengthen the daily monitoring of CTC producers by both MEE and local EPBs, the CTC online monitoring system is planned to be restarted and upgraded. An online monitoring platform is to be set up, through which MEE and local EPBs would get real-time data from the CTC producers.</w:t>
      </w:r>
    </w:p>
    <w:p w:rsidR="00007BD2" w:rsidRPr="009A010C" w:rsidRDefault="00007BD2" w:rsidP="00007BD2">
      <w:pPr>
        <w:pStyle w:val="Heading1"/>
        <w:rPr>
          <w:lang w:val="en-CA"/>
        </w:rPr>
      </w:pPr>
      <w:r w:rsidRPr="009A010C">
        <w:rPr>
          <w:lang w:val="en-CA"/>
        </w:rPr>
        <w:t>As identified during implementation of the CTC production phase-out plan, residues containing CTC are generated with CTC production. If not incinerated, or entrusted for incineration, there is a risk that CTC could be recovered and sold for illegal uses. In order to reduce the risk, incineration facilities at nine CM plants have been funded by FECO and the local EPBs will have to monitor disposal of CTC residues.</w:t>
      </w:r>
    </w:p>
    <w:p w:rsidR="00007BD2" w:rsidRPr="009A010C" w:rsidRDefault="00007BD2" w:rsidP="00007BD2">
      <w:pPr>
        <w:pStyle w:val="Heading1"/>
        <w:rPr>
          <w:lang w:val="en-CA"/>
        </w:rPr>
      </w:pPr>
      <w:r w:rsidRPr="009A010C">
        <w:rPr>
          <w:lang w:val="en-CA"/>
        </w:rPr>
        <w:t>In 2017, China announced its commitment to phase out the use of CTC for laboratory testing of oil in water by the year of 2019. In order to replace CTC with a non-ODS extracting agent in oil in water tests, research, tests and analysis have been completed by MEE, through which ways for replacing CTC have been determined and the relevant national standards are expected to be released in the near future. Given that replacing CTC is not only a technical issue, MEE will continue to carry out relevant training and advocacy for alternative technologies and launch a project to encourage enterprises to improve the quality of the alternative reagent to replace CTC in laboratories.</w:t>
      </w:r>
    </w:p>
    <w:p w:rsidR="00007BD2" w:rsidRPr="009A010C" w:rsidRDefault="00007BD2" w:rsidP="00007BD2">
      <w:pPr>
        <w:pStyle w:val="Heading1"/>
        <w:rPr>
          <w:lang w:val="en-CA"/>
        </w:rPr>
      </w:pPr>
      <w:r w:rsidRPr="009A010C">
        <w:rPr>
          <w:lang w:val="en-CA"/>
        </w:rPr>
        <w:t>The Government also indicated its understanding that the remaining funds could also be used for any new process agents the Parties might decide to add to the list of process agents controlled by the Montreal Protocol.</w:t>
      </w:r>
    </w:p>
    <w:p w:rsidR="00007BD2" w:rsidRPr="009A010C" w:rsidRDefault="00007BD2" w:rsidP="00007BD2">
      <w:pPr>
        <w:pStyle w:val="Heading1"/>
        <w:rPr>
          <w:lang w:val="en-CA"/>
        </w:rPr>
      </w:pPr>
      <w:r w:rsidRPr="009A010C">
        <w:rPr>
          <w:lang w:val="en-CA"/>
        </w:rPr>
        <w:t>Understanding these challenges, China sees the need to extend the program beyond 2018 and continue to use the funds to ensure the sustainability of the phase-out of CTC for controlled uses.</w:t>
      </w:r>
    </w:p>
    <w:p w:rsidR="00007BD2" w:rsidRPr="009A010C" w:rsidRDefault="00007BD2" w:rsidP="00007BD2">
      <w:pPr>
        <w:pStyle w:val="Heading1"/>
      </w:pPr>
      <w:r w:rsidRPr="009A010C">
        <w:t xml:space="preserve">The Secretariat noted with appreciation the proposal to </w:t>
      </w:r>
      <w:r w:rsidRPr="009A010C">
        <w:rPr>
          <w:lang w:val="en-CA" w:eastAsia="zh-CN"/>
        </w:rPr>
        <w:t xml:space="preserve">allocate </w:t>
      </w:r>
      <w:r w:rsidRPr="009A010C">
        <w:rPr>
          <w:lang w:val="en-US" w:eastAsia="zh-CN"/>
        </w:rPr>
        <w:t>US $1,200,000 for long</w:t>
      </w:r>
      <w:r w:rsidRPr="009A010C">
        <w:rPr>
          <w:lang w:val="en-US" w:eastAsia="zh-CN"/>
        </w:rPr>
        <w:noBreakHyphen/>
        <w:t xml:space="preserve">term monitoring and management for the sector. While supporting the allocation of funding for this purpose, the Secretariat noted the substantial level of funding and sought to better understand how the activities that would be funded would relate to those already undertaken. </w:t>
      </w:r>
      <w:r w:rsidRPr="009A010C">
        <w:rPr>
          <w:lang w:val="en-CA"/>
        </w:rPr>
        <w:t xml:space="preserve">The Secretariat also sought clarification on how CTC producers obtain their qualification; how users become registered, and whether such registration would be restricted to users with a demonstrated </w:t>
      </w:r>
      <w:r w:rsidRPr="009A010C">
        <w:t xml:space="preserve">PA application, feedstock use, or laboratory use; whether and how FECO allocated a quota for CTC; additional information related to the online monitoring system, including when it is expected to be operational; and whether all chloromethane plants were required to have and operate an incinerator to dispose of CTC residues. </w:t>
      </w:r>
    </w:p>
    <w:p w:rsidR="00007BD2" w:rsidRPr="009A010C" w:rsidRDefault="00007BD2" w:rsidP="00007BD2">
      <w:pPr>
        <w:pStyle w:val="Heading1"/>
      </w:pPr>
      <w:r w:rsidRPr="009A010C">
        <w:t xml:space="preserve">The Government of China informed that there are 15 </w:t>
      </w:r>
      <w:proofErr w:type="spellStart"/>
      <w:r w:rsidRPr="009A010C">
        <w:t>chloromethanes</w:t>
      </w:r>
      <w:proofErr w:type="spellEnd"/>
      <w:r w:rsidRPr="009A010C">
        <w:t xml:space="preserve"> (CMs) producers with co</w:t>
      </w:r>
      <w:r w:rsidRPr="009A010C">
        <w:noBreakHyphen/>
        <w:t xml:space="preserve">production of CTC and other CMs. Only three out of the 15 CMs producers are allowed to sell CTC to registered users with an annual quota from FECO for feedstock, laboratory, and PA uses only. Only </w:t>
      </w:r>
      <w:r w:rsidRPr="009A010C">
        <w:lastRenderedPageBreak/>
        <w:t xml:space="preserve">CTC producers that have a production quota before 2007 are allowed to sell CTC. MEE/FECO reviews their status annually. </w:t>
      </w:r>
    </w:p>
    <w:p w:rsidR="00007BD2" w:rsidRPr="009A010C" w:rsidRDefault="00007BD2" w:rsidP="00007BD2">
      <w:pPr>
        <w:pStyle w:val="Heading1"/>
      </w:pPr>
      <w:r w:rsidRPr="009A010C">
        <w:t xml:space="preserve">In total, there are eight enterprises for laboratory use and PA use that is required to apply for annual procurement quota to MEE. For 2017, MEE issued 395 </w:t>
      </w:r>
      <w:proofErr w:type="spellStart"/>
      <w:r w:rsidRPr="009A010C">
        <w:t>mt</w:t>
      </w:r>
      <w:proofErr w:type="spellEnd"/>
      <w:r w:rsidRPr="009A010C">
        <w:t xml:space="preserve"> quota to these eight enterprises. For feedstock users, MEE performs annual registration management. The CTC feedstock user applying for registration must submit the necessary approval documents, including an environmental impact assessment (EIA). FECO announces the registration results on its website after reviewing the submitted documents to confirm the feedstock use and the quantity of CTC, which cannot exceed the approved capacity of the feedstock facility in the EIA document. The registration specifies the type of product to be produced using CTC and quantity of CTC.</w:t>
      </w:r>
    </w:p>
    <w:p w:rsidR="00007BD2" w:rsidRPr="009A010C" w:rsidRDefault="00007BD2" w:rsidP="00007BD2">
      <w:pPr>
        <w:pStyle w:val="Heading1"/>
      </w:pPr>
      <w:r w:rsidRPr="009A010C">
        <w:t>In China, the CTC residue disposal is required to comply with the hazardous waste management regulations, which is a different regime from ODS regulations. According to the current policy, CMs producers could choose to dispose the CTC residue at their own disposal facilities with EIA approved by local EPBs, or send the residue to a qualified hazardous waste disposal centre. The producers are required to report the amount of residue produced, disposed, and stored to local EPBs. In addition, in-house disposal facilities are monitored by local EPBs to ensure compliance with the national discharge standard and the requirements of the approved EIA.</w:t>
      </w:r>
    </w:p>
    <w:p w:rsidR="00007BD2" w:rsidRPr="009A010C" w:rsidRDefault="00007BD2" w:rsidP="00007BD2">
      <w:pPr>
        <w:pStyle w:val="Heading1"/>
      </w:pPr>
      <w:r w:rsidRPr="009A010C">
        <w:t>The local EPBs inspect all CTC producers and registered users in areas under their jurisdiction. According to the current regulations, there is no mandatory requirement for inspection frequency, but in practice it is at least once a year. Local EPBs inspect distributors that store CTC onsite. Regular inspection of CTC producers and feedstock users will continue after the funding has been exhausted and the project completed.</w:t>
      </w:r>
    </w:p>
    <w:p w:rsidR="00007BD2" w:rsidRPr="009A010C" w:rsidRDefault="00007BD2" w:rsidP="00007BD2">
      <w:pPr>
        <w:pStyle w:val="Heading1"/>
      </w:pPr>
      <w:r w:rsidRPr="009A010C">
        <w:t xml:space="preserve">The CTC on-line monitoring system was shut down in 2015 due to a technical issue. That system only covers CMs producers under the CTC sector plan but not the new CMs producers, and so MEE/FECO has been working to find ways to expand the CTC on-line monitoring system to all CMs producers. </w:t>
      </w:r>
    </w:p>
    <w:p w:rsidR="00007BD2" w:rsidRPr="009A010C" w:rsidRDefault="00007BD2" w:rsidP="00007BD2">
      <w:pPr>
        <w:pStyle w:val="Heading1"/>
      </w:pPr>
      <w:r w:rsidRPr="009A010C">
        <w:t>US$ 1.2 million proposed for long-term monitoring and management will be implemented by FECO, and according to the preliminary plan, the activities will include investigations of CTC producers and feedstock users; purchase of CTC detectors for local EPBs to strengthen its verification capacity; encourage enterprises to develop and produce alternative reagents to replace CTC; regular training for CTC by</w:t>
      </w:r>
      <w:r w:rsidRPr="009A010C">
        <w:noBreakHyphen/>
        <w:t>producers, dealers, users; and upgrade and operationalize the existing online CTC monitoring system.</w:t>
      </w:r>
    </w:p>
    <w:p w:rsidR="00007BD2" w:rsidRPr="009A010C" w:rsidRDefault="00007BD2" w:rsidP="00007BD2">
      <w:pPr>
        <w:pStyle w:val="Heading1"/>
      </w:pPr>
      <w:r w:rsidRPr="009A010C">
        <w:t xml:space="preserve">The Executive Committee had invited the Government of China to undertake a study on its production of CTC and its use for feedstock applications and to make the results of the study available to the Executive Committee by the end of 2018 (decision 75/18(b)(iii)). At the time of finalization of the present document, the Secretariat had not yet received the study. The Secretariat will make that study available to the Executive Committee as soon as it is available. </w:t>
      </w:r>
    </w:p>
    <w:p w:rsidR="00007BD2" w:rsidRPr="009A010C" w:rsidRDefault="00007BD2" w:rsidP="00A51632">
      <w:pPr>
        <w:keepNext/>
        <w:rPr>
          <w:i/>
          <w:lang w:val="en-CA"/>
        </w:rPr>
      </w:pPr>
      <w:r w:rsidRPr="009A010C">
        <w:rPr>
          <w:i/>
          <w:lang w:val="en-CA"/>
        </w:rPr>
        <w:t>CFC production phase-out</w:t>
      </w:r>
    </w:p>
    <w:p w:rsidR="00007BD2" w:rsidRPr="009A010C" w:rsidRDefault="00007BD2" w:rsidP="00A51632">
      <w:pPr>
        <w:keepNext/>
        <w:rPr>
          <w:lang w:val="en-CA"/>
        </w:rPr>
      </w:pPr>
    </w:p>
    <w:p w:rsidR="00007BD2" w:rsidRPr="009A010C" w:rsidRDefault="00007BD2" w:rsidP="00A51632">
      <w:pPr>
        <w:pStyle w:val="Heading1"/>
        <w:keepNext/>
        <w:rPr>
          <w:lang w:val="en-CA"/>
        </w:rPr>
      </w:pPr>
      <w:r w:rsidRPr="009A010C">
        <w:rPr>
          <w:lang w:val="en-CA"/>
        </w:rPr>
        <w:t xml:space="preserve">The Government indicated that, as found in recent atmospheric monitoring results, it appeared that there is some production and emission of CFCs, especially CFC-11. As all the known CFC production facilities were dismantled as part of the CFC Phase-out Sector Plan and FECO had visited all the previous producers of CFCs and found that none of them had restarted CFC production, any CFC production would come from illegal production facilities set up without permits. The Secretariat notes that the verifications </w:t>
      </w:r>
      <w:r w:rsidRPr="009A010C">
        <w:rPr>
          <w:lang w:val="en-CA"/>
        </w:rPr>
        <w:lastRenderedPageBreak/>
        <w:t>submitted in line with the CFC production phase-out sector plan included photographic and video evidence demonstrating that key equipment had been destroyed or rendered unusable.</w:t>
      </w:r>
    </w:p>
    <w:p w:rsidR="00007BD2" w:rsidRPr="009A010C" w:rsidRDefault="00007BD2" w:rsidP="00007BD2">
      <w:pPr>
        <w:pStyle w:val="Heading1"/>
        <w:rPr>
          <w:lang w:val="en-CA"/>
        </w:rPr>
      </w:pPr>
      <w:r w:rsidRPr="009A010C">
        <w:rPr>
          <w:lang w:val="en-CA"/>
        </w:rPr>
        <w:t xml:space="preserve">In order to identify any illegal CFC production, the monitoring of CTC production will be strengthened as indicated under the PA project. In addition, FECO proposes to expand the provincial atmospheric monitoring program in some provinces where illegal production might take place. </w:t>
      </w:r>
    </w:p>
    <w:p w:rsidR="00007BD2" w:rsidRPr="009A010C" w:rsidRDefault="00007BD2" w:rsidP="00007BD2">
      <w:pPr>
        <w:pStyle w:val="Heading1"/>
      </w:pPr>
      <w:r w:rsidRPr="009A010C">
        <w:rPr>
          <w:lang w:val="en-CA"/>
        </w:rPr>
        <w:t xml:space="preserve">Production of CFC requires CTC and anhydrous hydrogen fluoride. Noting that monitoring the use of anhydrous hydrogen fluoride would be difficult, the Secretariat considers that strengthened monitoring of CTC production will be a key step in preventing future illegal CFC production. Similarly, the Secretariat considers that the proposal to expand the provincial atmospheric monitoring program would be invaluable in detecting and deterring future illegal CFC production. The Secretariat enquired whether the current provincial </w:t>
      </w:r>
      <w:r w:rsidRPr="009A010C">
        <w:t>atmospheric monitoring program already included instruments to observe CFCs and CTC, and how it would be expanded.</w:t>
      </w:r>
    </w:p>
    <w:p w:rsidR="00007BD2" w:rsidRPr="009A010C" w:rsidRDefault="00007BD2" w:rsidP="00007BD2">
      <w:pPr>
        <w:pStyle w:val="Heading1"/>
      </w:pPr>
      <w:r w:rsidRPr="009A010C">
        <w:t>The Government informed that the provincial atmospheric monitoring program, dedicated to monitor CFC and CTC, was implemented at a pilot scale in five cities under a contract with Peking University. Samples were taken on a weekly basis, but it was not possible to develop meaningful analytical results due to limited implementation scope. To ensure sustainability of ODS monitoring, MEE is considering to include CFC, CTC, and other greenhouse gases in the list of air pollutants requiring regular monitoring by China's air quality monitoring network. It is not yet known when China’s air quality monitoring network will be able to do so.</w:t>
      </w:r>
    </w:p>
    <w:p w:rsidR="00007BD2" w:rsidRPr="009A010C" w:rsidRDefault="00007BD2" w:rsidP="00007BD2">
      <w:pPr>
        <w:rPr>
          <w:i/>
          <w:lang w:val="en-CA"/>
        </w:rPr>
      </w:pPr>
      <w:r w:rsidRPr="009A010C">
        <w:rPr>
          <w:i/>
          <w:lang w:val="en-CA"/>
        </w:rPr>
        <w:t>PU foam sector</w:t>
      </w:r>
    </w:p>
    <w:p w:rsidR="00007BD2" w:rsidRPr="009A010C" w:rsidRDefault="00007BD2" w:rsidP="00007BD2">
      <w:pPr>
        <w:rPr>
          <w:lang w:val="en-CA"/>
        </w:rPr>
      </w:pPr>
    </w:p>
    <w:p w:rsidR="00007BD2" w:rsidRPr="009A010C" w:rsidRDefault="00007BD2" w:rsidP="00007BD2">
      <w:pPr>
        <w:pStyle w:val="Heading1"/>
        <w:rPr>
          <w:lang w:val="en-CA"/>
        </w:rPr>
      </w:pPr>
      <w:r w:rsidRPr="009A010C">
        <w:rPr>
          <w:lang w:val="en-CA"/>
        </w:rPr>
        <w:t xml:space="preserve">The Government indicated that while it assumed that CFC-11 had been phased out, it is now known that some CFCs might be illegally produced and used as blowing agents in the PU foam sector. In order to monitor what kind of blowing agents are used and to identify potential illegal use of CFC-11 in the PU foam sector, the inspection capacity of local EPBs has been strengthened. However, increased monitoring of PU foam manufacturers and foam systems houses is still needed. Hence, the Government considers that the continuation of the monitoring program beyond 2018 is needed until China’s funding is fully exhausted. </w:t>
      </w:r>
    </w:p>
    <w:p w:rsidR="00007BD2" w:rsidRPr="009A010C" w:rsidRDefault="00007BD2" w:rsidP="00007BD2">
      <w:pPr>
        <w:pStyle w:val="Heading1"/>
        <w:rPr>
          <w:lang w:val="en-CA"/>
        </w:rPr>
      </w:pPr>
      <w:r w:rsidRPr="009A010C">
        <w:rPr>
          <w:lang w:val="en-CA"/>
        </w:rPr>
        <w:t>In addition, although there is extensive, ongoing monitoring of foam enterprises that converted from CFC-11, including sampling of foam for analysis of the foam blowing agent content, the Government recognizes that there could be a gap in CFC-11 monitoring if all applications are not addressed beyond foam. Accordingly, China and the implementing agencies plan to coordinate monitoring between sectors.</w:t>
      </w:r>
    </w:p>
    <w:p w:rsidR="00007BD2" w:rsidRPr="009A010C" w:rsidRDefault="00007BD2" w:rsidP="00007BD2">
      <w:pPr>
        <w:pStyle w:val="Heading1"/>
        <w:rPr>
          <w:lang w:val="en-CA"/>
        </w:rPr>
      </w:pPr>
      <w:r w:rsidRPr="009A010C">
        <w:rPr>
          <w:lang w:val="en-CA"/>
        </w:rPr>
        <w:t>The Secretariat emphasized the need to ensure the sustained phase-out of CFC-11 even after the funding under the PU foam sector plan was exhausted, and noted that 420 foam enterprises and systems houses have been visited in five provinces, and over 780 samples of raw material have been collected for analysis. With regard to the small percentage of samples suspected to contain CFC-HCFC, the Secretariat asked if the analysis by the certified labs confirmed use of CFC and, if so, in what proportion and what relevant rules and regulations would apply to enterprises using it.</w:t>
      </w:r>
    </w:p>
    <w:p w:rsidR="00007BD2" w:rsidRPr="009A010C" w:rsidRDefault="00007BD2" w:rsidP="00007BD2">
      <w:pPr>
        <w:pStyle w:val="Heading1"/>
        <w:rPr>
          <w:lang w:val="en-CA"/>
        </w:rPr>
      </w:pPr>
      <w:r w:rsidRPr="009A010C">
        <w:rPr>
          <w:lang w:val="en-CA"/>
        </w:rPr>
        <w:t>The Government informed that the enterprises that have samples containing CFC-HCFCs are under investigation and hence under the joint mandate of the local EPB and Public Security (local police). The results were expected to be released to the public by the end of October. The Secretariat followed up on the results but no information has been made available yet.</w:t>
      </w:r>
    </w:p>
    <w:p w:rsidR="00007BD2" w:rsidRPr="009A010C" w:rsidRDefault="00007BD2" w:rsidP="00007BD2">
      <w:pPr>
        <w:pStyle w:val="Heading1"/>
        <w:rPr>
          <w:lang w:val="en-CA"/>
        </w:rPr>
      </w:pPr>
      <w:r w:rsidRPr="009A010C">
        <w:rPr>
          <w:lang w:val="en-CA"/>
        </w:rPr>
        <w:t xml:space="preserve">On the relevant rules and regulations that would apply to enterprises using banned ODS, the Government indicated that so far, three enterprises had been detected illegally using CFC-11, and had been subject to the punishment set out in accordance with ODS management regulation. </w:t>
      </w:r>
    </w:p>
    <w:p w:rsidR="00007BD2" w:rsidRPr="009A010C" w:rsidRDefault="00007BD2" w:rsidP="00007BD2">
      <w:pPr>
        <w:pStyle w:val="Heading1"/>
        <w:rPr>
          <w:lang w:val="en-CA"/>
        </w:rPr>
      </w:pPr>
      <w:r w:rsidRPr="009A010C">
        <w:rPr>
          <w:lang w:val="en-CA"/>
        </w:rPr>
        <w:lastRenderedPageBreak/>
        <w:t>The Secretariat notes that the use of HCFC-141b by an enterprise that committed to phase out may be subject to an enforcement action according to local regulations. However, in the case of CFC-11, it would have to be determined whether the origin is stockpile, recycled gas from previous uses (e.g., chillers) or production after the total phase-out deadline, which would potentially incur a penalty for non</w:t>
      </w:r>
      <w:r w:rsidRPr="009A010C">
        <w:rPr>
          <w:lang w:val="en-CA"/>
        </w:rPr>
        <w:noBreakHyphen/>
        <w:t>compliance with the Agreement for CFC production and perhaps the Agreement for CFC consumption. This would require further analysis.</w:t>
      </w:r>
    </w:p>
    <w:p w:rsidR="00007BD2" w:rsidRPr="009A010C" w:rsidRDefault="00007BD2" w:rsidP="00007BD2">
      <w:pPr>
        <w:rPr>
          <w:i/>
          <w:lang w:val="en-CA"/>
        </w:rPr>
      </w:pPr>
      <w:r w:rsidRPr="009A010C">
        <w:rPr>
          <w:i/>
          <w:lang w:val="en-CA"/>
        </w:rPr>
        <w:t>Solvent sector</w:t>
      </w:r>
    </w:p>
    <w:p w:rsidR="00007BD2" w:rsidRPr="009A010C" w:rsidRDefault="00007BD2" w:rsidP="00007BD2">
      <w:pPr>
        <w:rPr>
          <w:i/>
          <w:lang w:val="en-CA"/>
        </w:rPr>
      </w:pPr>
    </w:p>
    <w:p w:rsidR="00007BD2" w:rsidRPr="009A010C" w:rsidRDefault="00007BD2" w:rsidP="00007BD2">
      <w:pPr>
        <w:pStyle w:val="Heading1"/>
        <w:rPr>
          <w:lang w:val="en-CA"/>
        </w:rPr>
      </w:pPr>
      <w:r w:rsidRPr="009A010C">
        <w:rPr>
          <w:lang w:val="en-CA"/>
        </w:rPr>
        <w:t>For the solvent sector plan, the Government indicated that to further strengthen sustainable, long</w:t>
      </w:r>
      <w:r w:rsidRPr="009A010C">
        <w:rPr>
          <w:lang w:val="en-CA"/>
        </w:rPr>
        <w:noBreakHyphen/>
        <w:t>term monitoring of the phase</w:t>
      </w:r>
      <w:r w:rsidRPr="009A010C">
        <w:rPr>
          <w:lang w:val="en-CA"/>
        </w:rPr>
        <w:noBreakHyphen/>
        <w:t>out in the solvent sector, FECO supported local EPBs to monitor ODS activities and control illegal ODS production and use in their province. In addition, some local EPBs had established long</w:t>
      </w:r>
      <w:r w:rsidR="00332201" w:rsidRPr="009A010C">
        <w:rPr>
          <w:lang w:val="en-CA"/>
        </w:rPr>
        <w:noBreakHyphen/>
      </w:r>
      <w:r w:rsidRPr="009A010C">
        <w:rPr>
          <w:lang w:val="en-CA"/>
        </w:rPr>
        <w:t>term mechanisms by issuing ODS management policies and effectiveness assessment requirements for ODS management officers. Also</w:t>
      </w:r>
      <w:r w:rsidRPr="009A010C">
        <w:rPr>
          <w:rFonts w:ascii="MS Gothic" w:eastAsia="MS Gothic" w:hAnsi="MS Gothic" w:cs="MS Gothic"/>
          <w:lang w:val="en-CA"/>
        </w:rPr>
        <w:t>,</w:t>
      </w:r>
      <w:r w:rsidR="009D493C">
        <w:rPr>
          <w:rFonts w:ascii="MS Gothic" w:eastAsia="MS Gothic" w:hAnsi="MS Gothic" w:cs="MS Gothic"/>
          <w:lang w:val="en-CA"/>
        </w:rPr>
        <w:t xml:space="preserve"> </w:t>
      </w:r>
      <w:r w:rsidRPr="009A010C">
        <w:rPr>
          <w:lang w:val="en-CA"/>
        </w:rPr>
        <w:t>by supporting the development of implementation techniques for the solvent sector, several experts had been trained to provide long-term and effective support for the sustainable, long</w:t>
      </w:r>
      <w:r w:rsidR="00332201" w:rsidRPr="009A010C">
        <w:rPr>
          <w:lang w:val="en-CA"/>
        </w:rPr>
        <w:t> </w:t>
      </w:r>
      <w:r w:rsidRPr="009A010C">
        <w:rPr>
          <w:lang w:val="en-CA"/>
        </w:rPr>
        <w:t>term monitoring of the phase-out. The Secretariat noted that those activities were helpful but that it was still unclear how these actions, in particular the latter, would help ensure the sustainable, long</w:t>
      </w:r>
      <w:r w:rsidR="00332201" w:rsidRPr="009A010C">
        <w:rPr>
          <w:lang w:val="en-CA"/>
        </w:rPr>
        <w:noBreakHyphen/>
      </w:r>
      <w:r w:rsidRPr="009A010C">
        <w:rPr>
          <w:lang w:val="en-CA"/>
        </w:rPr>
        <w:t>term monitoring of the sector.</w:t>
      </w:r>
    </w:p>
    <w:p w:rsidR="00007BD2" w:rsidRPr="009A010C" w:rsidRDefault="00007BD2" w:rsidP="00007BD2">
      <w:pPr>
        <w:rPr>
          <w:i/>
          <w:lang w:val="en-CA"/>
        </w:rPr>
      </w:pPr>
      <w:r w:rsidRPr="009A010C">
        <w:rPr>
          <w:i/>
          <w:lang w:val="en-CA"/>
        </w:rPr>
        <w:t>Servicing sector</w:t>
      </w:r>
    </w:p>
    <w:p w:rsidR="00007BD2" w:rsidRPr="009A010C" w:rsidRDefault="00007BD2" w:rsidP="00007BD2">
      <w:pPr>
        <w:rPr>
          <w:lang w:val="en-CA"/>
        </w:rPr>
      </w:pPr>
    </w:p>
    <w:p w:rsidR="00007BD2" w:rsidRPr="009A010C" w:rsidRDefault="00007BD2" w:rsidP="00007BD2">
      <w:pPr>
        <w:pStyle w:val="Heading1"/>
        <w:rPr>
          <w:lang w:val="en-CA"/>
        </w:rPr>
      </w:pPr>
      <w:r w:rsidRPr="009A010C">
        <w:rPr>
          <w:lang w:val="en-CA"/>
        </w:rPr>
        <w:t>The Government indicated that the technical assistance projects on research into servicing leakage and the data survey are closely connected to HPMP implementation. The research on leakage of refrigerant during R-290 RAC servicing and operation is part of research into alternatives. The data survey in the supermarket sub-sector is connected with promoting good servicing practices in that sub-sector. The Secretariat noted that those activities were helpful but not related to ensuring the sustainable, long</w:t>
      </w:r>
      <w:r w:rsidRPr="009A010C">
        <w:rPr>
          <w:lang w:val="en-CA"/>
        </w:rPr>
        <w:noBreakHyphen/>
        <w:t xml:space="preserve">term monitoring of the sector. </w:t>
      </w:r>
    </w:p>
    <w:p w:rsidR="00007BD2" w:rsidRPr="009A010C" w:rsidRDefault="00007BD2" w:rsidP="00007BD2">
      <w:pPr>
        <w:rPr>
          <w:i/>
          <w:lang w:val="en-CA"/>
        </w:rPr>
      </w:pPr>
      <w:r w:rsidRPr="009A010C">
        <w:rPr>
          <w:i/>
          <w:lang w:val="en-CA"/>
        </w:rPr>
        <w:t>Halon sector</w:t>
      </w:r>
    </w:p>
    <w:p w:rsidR="00007BD2" w:rsidRPr="009A010C" w:rsidRDefault="00007BD2" w:rsidP="00007BD2">
      <w:pPr>
        <w:rPr>
          <w:lang w:val="en-CA"/>
        </w:rPr>
      </w:pPr>
    </w:p>
    <w:p w:rsidR="00007BD2" w:rsidRPr="009A010C" w:rsidRDefault="00007BD2" w:rsidP="00007BD2">
      <w:pPr>
        <w:pStyle w:val="Heading1"/>
        <w:rPr>
          <w:lang w:val="en-CA"/>
        </w:rPr>
      </w:pPr>
      <w:r w:rsidRPr="009A010C">
        <w:rPr>
          <w:lang w:val="en-CA"/>
        </w:rPr>
        <w:t>The situation for the halon sector is somewhat different from other sectors as there is a continued demand for halon-1211 and halon-1301 for uses where alternatives are not available. Those applications are supposed to be met by recovered and recycled halons until alternatives are available. The halon recycling program was an essential element in the halon sector plan. The China halon sector plan also includes halon banking as a key component. The implementation of the halon banking component has been delayed as reported.</w:t>
      </w:r>
    </w:p>
    <w:p w:rsidR="00007BD2" w:rsidRPr="009A010C" w:rsidRDefault="00007BD2" w:rsidP="00007BD2">
      <w:pPr>
        <w:pStyle w:val="Heading1"/>
        <w:rPr>
          <w:lang w:val="en-CA"/>
        </w:rPr>
      </w:pPr>
      <w:r w:rsidRPr="009A010C">
        <w:rPr>
          <w:lang w:val="en-CA"/>
        </w:rPr>
        <w:t>The Government considers that the risk of illegal production of halon-1211 is very low given the large stock of halon-1211 produced before the total phase-out and the minimal annual demand of 20 to 30 </w:t>
      </w:r>
      <w:proofErr w:type="spellStart"/>
      <w:r w:rsidRPr="009A010C">
        <w:rPr>
          <w:lang w:val="en-CA"/>
        </w:rPr>
        <w:t>mt</w:t>
      </w:r>
      <w:proofErr w:type="spellEnd"/>
      <w:r w:rsidRPr="009A010C">
        <w:rPr>
          <w:lang w:val="en-CA"/>
        </w:rPr>
        <w:t>/year. The remaining stock of halon-1211 is at one former halon-1211 producer. The Government of China proposes to either move all or part of it so it can be stored under safe and controlled conditions, or to destroy/convert some of it. China believes that this is important to avoid the emission of over 2,200 </w:t>
      </w:r>
      <w:proofErr w:type="spellStart"/>
      <w:r w:rsidRPr="009A010C">
        <w:rPr>
          <w:lang w:val="en-CA"/>
        </w:rPr>
        <w:t>mt</w:t>
      </w:r>
      <w:proofErr w:type="spellEnd"/>
      <w:r w:rsidRPr="009A010C">
        <w:rPr>
          <w:lang w:val="en-CA"/>
        </w:rPr>
        <w:t xml:space="preserve"> of halon</w:t>
      </w:r>
      <w:r w:rsidRPr="009A010C">
        <w:rPr>
          <w:lang w:val="en-CA"/>
        </w:rPr>
        <w:noBreakHyphen/>
        <w:t>1211.</w:t>
      </w:r>
    </w:p>
    <w:p w:rsidR="00007BD2" w:rsidRPr="009A010C" w:rsidRDefault="00007BD2" w:rsidP="00007BD2">
      <w:pPr>
        <w:pStyle w:val="Heading1"/>
        <w:rPr>
          <w:lang w:val="en-CA"/>
        </w:rPr>
      </w:pPr>
      <w:r w:rsidRPr="009A010C">
        <w:rPr>
          <w:lang w:val="en-CA"/>
        </w:rPr>
        <w:t>In contrast, halon</w:t>
      </w:r>
      <w:r w:rsidRPr="009A010C">
        <w:rPr>
          <w:lang w:val="en-CA"/>
        </w:rPr>
        <w:noBreakHyphen/>
        <w:t>1301 is still produced solely for feedstock use; such newly produced halon</w:t>
      </w:r>
      <w:r w:rsidRPr="009A010C">
        <w:rPr>
          <w:lang w:val="en-CA"/>
        </w:rPr>
        <w:noBreakHyphen/>
        <w:t xml:space="preserve">1301 is not added to stocks but is instead used exclusively as a feedstock. The Government assumes that the demand for controlled uses of halon-1301 is covered by existing stocks, and that halon-1301 is recovered from dismantled fire-protection installations and reclaimed for applications where no alternatives exist yet. There is a continued demand for halon-1301 for existing fire extinguishing systems where no other alternatives can be used due to safety issues, and for civil aviation, where there are still no alternatives available for certain </w:t>
      </w:r>
      <w:r w:rsidRPr="009A010C">
        <w:rPr>
          <w:lang w:val="en-CA"/>
        </w:rPr>
        <w:lastRenderedPageBreak/>
        <w:t xml:space="preserve">aircraft fire suppression systems. Civil aviation is expanding globally, especially in China, with an expected annual growth of over 10 per cent over the next 5 to 10 years. </w:t>
      </w:r>
    </w:p>
    <w:p w:rsidR="00007BD2" w:rsidRPr="009A010C" w:rsidRDefault="00007BD2" w:rsidP="00007BD2">
      <w:pPr>
        <w:pStyle w:val="Heading1"/>
        <w:rPr>
          <w:lang w:val="en-CA"/>
        </w:rPr>
      </w:pPr>
      <w:r w:rsidRPr="009A010C">
        <w:rPr>
          <w:lang w:val="en-CA"/>
        </w:rPr>
        <w:t>There are two issues related to halon-1301. First, halon-1301 is still being produced</w:t>
      </w:r>
      <w:r w:rsidRPr="009A010C">
        <w:rPr>
          <w:rStyle w:val="FootnoteReference"/>
          <w:lang w:val="en-CA"/>
        </w:rPr>
        <w:footnoteReference w:id="9"/>
      </w:r>
      <w:r w:rsidRPr="009A010C">
        <w:rPr>
          <w:lang w:val="en-CA"/>
        </w:rPr>
        <w:t xml:space="preserve"> for feedstock use by one producer and sold to eight producers of </w:t>
      </w:r>
      <w:proofErr w:type="spellStart"/>
      <w:r w:rsidRPr="009A010C">
        <w:rPr>
          <w:lang w:val="en-CA"/>
        </w:rPr>
        <w:t>fipronil</w:t>
      </w:r>
      <w:proofErr w:type="spellEnd"/>
      <w:r w:rsidRPr="009A010C">
        <w:rPr>
          <w:lang w:val="en-CA"/>
        </w:rPr>
        <w:t xml:space="preserve"> (a pesticide). Hence, it is essential to ensure that all newly produced halon is sold to those eight enterprises and that they are using it as feedstock for </w:t>
      </w:r>
      <w:proofErr w:type="spellStart"/>
      <w:r w:rsidRPr="009A010C">
        <w:rPr>
          <w:lang w:val="en-CA"/>
        </w:rPr>
        <w:t>fipronil</w:t>
      </w:r>
      <w:proofErr w:type="spellEnd"/>
      <w:r w:rsidRPr="009A010C">
        <w:rPr>
          <w:lang w:val="en-CA"/>
        </w:rPr>
        <w:t xml:space="preserve"> and not selling it for other uses. The second challenge is to ensure sufficient supply of halon-1301 to the remaining users with no approved alternatives, especially civil aviation. The Government considers that in order to avoid the need for production for essential use, it is clear that as of today, the demand can only be met by halon-1301 recovered from the market. Hence, continuation of the halon-1301 recycling programme is essential to ensure supply of halon 1013 and avoid the risk of illegal production.</w:t>
      </w:r>
    </w:p>
    <w:p w:rsidR="00007BD2" w:rsidRPr="009A010C" w:rsidRDefault="00007BD2" w:rsidP="00007BD2">
      <w:pPr>
        <w:pStyle w:val="Heading1"/>
        <w:rPr>
          <w:lang w:val="en-CA"/>
        </w:rPr>
      </w:pPr>
      <w:r w:rsidRPr="009A010C">
        <w:rPr>
          <w:lang w:val="en-CA"/>
        </w:rPr>
        <w:t>The Secretariat agrees that the halon recycling programme is a valuable element in ensuring continued supply of halon-1301. However, the Secretariat was not clear how the Government of China intended to ensure the long-term, sustainable monitoring of the halon phase-out after completion of the project.</w:t>
      </w:r>
    </w:p>
    <w:p w:rsidR="00007BD2" w:rsidRPr="009A010C" w:rsidRDefault="00007BD2" w:rsidP="00007BD2">
      <w:pPr>
        <w:keepNext/>
        <w:keepLines/>
        <w:rPr>
          <w:u w:val="single"/>
          <w:lang w:val="en-CA"/>
        </w:rPr>
      </w:pPr>
      <w:r w:rsidRPr="009A010C">
        <w:rPr>
          <w:u w:val="single"/>
          <w:lang w:val="en-CA"/>
        </w:rPr>
        <w:t>Financial issues in specific subsectors</w:t>
      </w:r>
    </w:p>
    <w:p w:rsidR="00007BD2" w:rsidRPr="009A010C" w:rsidRDefault="00007BD2" w:rsidP="00007BD2">
      <w:pPr>
        <w:keepNext/>
        <w:keepLines/>
        <w:rPr>
          <w:lang w:val="en-CA"/>
        </w:rPr>
      </w:pPr>
    </w:p>
    <w:p w:rsidR="00007BD2" w:rsidRPr="009A010C" w:rsidRDefault="00007BD2" w:rsidP="00007BD2">
      <w:pPr>
        <w:pStyle w:val="Heading1"/>
        <w:keepNext/>
        <w:keepLines/>
        <w:rPr>
          <w:lang w:val="en-CA"/>
        </w:rPr>
      </w:pPr>
      <w:r w:rsidRPr="009A010C">
        <w:rPr>
          <w:lang w:val="en-CA"/>
        </w:rPr>
        <w:t>With regard to the CFC production sector plan, the Secretariat noted that a contract for US $112,153 was signed for the production of a video on ODS basic knowledge, progress in the implementation of the Montreal Protocol and necessary implementation skills for enforcement officers and ODS dealers. In explaining how this activity is related to the CFC production sector and how it will enhance the sustainable monitoring of the phase-out, the Government explained that the series of video textbooks will be used by the customs department during the management of ODS import and export training aimed at improving the supervision ability of customs staff, and improving the performance knowledge of on</w:t>
      </w:r>
      <w:r w:rsidRPr="009A010C">
        <w:rPr>
          <w:lang w:val="en-CA"/>
        </w:rPr>
        <w:noBreakHyphen/>
        <w:t>campus customs officers. It will also train enterprises engaged in ODS import and export to comply with the requirements of ODS management, in order to enhance the training sector's ODS compliance awareness, management skills and management level.</w:t>
      </w:r>
    </w:p>
    <w:p w:rsidR="00007BD2" w:rsidRPr="009A010C" w:rsidRDefault="00007BD2" w:rsidP="00007BD2">
      <w:pPr>
        <w:pStyle w:val="Heading1"/>
        <w:rPr>
          <w:lang w:val="en-CA"/>
        </w:rPr>
      </w:pPr>
      <w:r w:rsidRPr="009A010C">
        <w:rPr>
          <w:lang w:val="en-CA"/>
        </w:rPr>
        <w:t>In relation to PA II, in August 2018 contracts for US $4.6 million were signed with nine enterprises for the construction of three incinerators, the upgrading of two existing incinerators, the construction of two residue reduction devices, and for operation cost subsidies in two cases. Given that the enterprises will receive the first installment of 80 per cent of the contract value by the end of 2018, the Secretariat requested clarification regarding the milestone that the enterprises need to achieve to receive the funding and asked whether this was a retroactive project. The Government explained that these are investment projects to be completed by 2019 (not retroactive) and that the milestone for the first payment is completion of the upgrade or establishment of the disposal facilities. The enterprises involved must bear most of the cost of establishing or upgrading the facilities, with FECO only providing a small portion of the funds to encourage the internal disposal of the CTC residues. This project is aimed at encouraging CTC producers to dispose of their CTC residue internally instead of sending it to other disposal centers or even selling it to be re</w:t>
      </w:r>
      <w:r w:rsidRPr="009A010C">
        <w:rPr>
          <w:lang w:val="en-CA"/>
        </w:rPr>
        <w:noBreakHyphen/>
        <w:t xml:space="preserve">used. The Secretariat notes that such sale would be considered consumption. </w:t>
      </w:r>
    </w:p>
    <w:p w:rsidR="00007BD2" w:rsidRPr="009A010C" w:rsidRDefault="00007BD2" w:rsidP="00007BD2">
      <w:pPr>
        <w:rPr>
          <w:u w:val="single"/>
          <w:lang w:val="en-CA"/>
        </w:rPr>
      </w:pPr>
      <w:r w:rsidRPr="009A010C">
        <w:rPr>
          <w:u w:val="single"/>
          <w:lang w:val="en-CA"/>
        </w:rPr>
        <w:t>Research and technical assistance reports</w:t>
      </w:r>
    </w:p>
    <w:p w:rsidR="00007BD2" w:rsidRPr="009A010C" w:rsidRDefault="00007BD2" w:rsidP="00007BD2">
      <w:pPr>
        <w:rPr>
          <w:lang w:val="en-CA"/>
        </w:rPr>
      </w:pPr>
    </w:p>
    <w:p w:rsidR="00007BD2" w:rsidRPr="009A010C" w:rsidRDefault="00007BD2" w:rsidP="00007BD2">
      <w:pPr>
        <w:pStyle w:val="Heading1"/>
        <w:rPr>
          <w:lang w:val="en-CA"/>
        </w:rPr>
      </w:pPr>
      <w:r w:rsidRPr="009A010C">
        <w:rPr>
          <w:lang w:val="en-CA"/>
        </w:rPr>
        <w:t xml:space="preserve">On the expected impact of the technical assistance provided with these balances on the implementation of the HPMP sector plans, the HPPMP, and the phase out of HCFCs, the Government affirmed that technical assistance is necessary in the CFC PU foam and CFC production sectors to ensure that manufacturers using alternatives and producers of alternatives to CFC continue to have the best technical options available to them as the market evolves. In particular, the goal is to prevent those enterprises that have </w:t>
      </w:r>
      <w:r w:rsidRPr="009A010C">
        <w:rPr>
          <w:lang w:val="en-CA"/>
        </w:rPr>
        <w:lastRenderedPageBreak/>
        <w:t xml:space="preserve">chosen ODS alternatives from defaulting to HCFCs if they have experienced challenges with other alternatives. </w:t>
      </w:r>
    </w:p>
    <w:p w:rsidR="00007BD2" w:rsidRPr="009A010C" w:rsidRDefault="00007BD2" w:rsidP="00007BD2">
      <w:pPr>
        <w:pStyle w:val="Heading1"/>
        <w:rPr>
          <w:lang w:val="en-CA"/>
        </w:rPr>
      </w:pPr>
      <w:r w:rsidRPr="009A010C">
        <w:rPr>
          <w:lang w:val="en-CA"/>
        </w:rPr>
        <w:t>In the past four years, the solvent sector plan supported research and several studies, including research and development for alternatives with zero-ODP and low GWP. Two new alternatives (HC solvent, solvent-free silicon oil) had been chosen by solvent enterprises to replace HCFC</w:t>
      </w:r>
      <w:r w:rsidRPr="009A010C">
        <w:rPr>
          <w:lang w:val="en-CA"/>
        </w:rPr>
        <w:noBreakHyphen/>
        <w:t>141b during phase-out implementation, and the other three alternatives are at the stage of preparing related qualified certification for more applications. The goal of this research and these studies is to provide sustainable technical solutions to industry, and to try to prevent them from using HCFCs when they encounter any technical challenges.</w:t>
      </w:r>
    </w:p>
    <w:p w:rsidR="00007BD2" w:rsidRPr="009A010C" w:rsidRDefault="00007BD2" w:rsidP="00007BD2">
      <w:pPr>
        <w:pStyle w:val="Heading1"/>
        <w:rPr>
          <w:lang w:val="en-CA"/>
        </w:rPr>
      </w:pPr>
      <w:r w:rsidRPr="009A010C">
        <w:rPr>
          <w:lang w:val="en-CA"/>
        </w:rPr>
        <w:t>The progress report of the PU foam sector included interesting abstracts of the studies completed, mostly on the performance of alternatives. Taking into consideration that the studies have taken place with Multilateral Fund assistance, the Secretariat requested the complete reports of the research activities in all sectors in order to consider how they could be disseminated. FECO noted the Secretariat’s request for submission of the relevant reports, and indicated that it would communicate with the institutions to confirm whether there is confidential information that cannot be disclosed.</w:t>
      </w:r>
    </w:p>
    <w:p w:rsidR="00007BD2" w:rsidRPr="009A010C" w:rsidRDefault="00007BD2" w:rsidP="00007BD2">
      <w:pPr>
        <w:keepNext/>
        <w:keepLines/>
        <w:spacing w:after="240"/>
        <w:rPr>
          <w:b/>
          <w:bCs/>
          <w:lang w:val="en-CA"/>
        </w:rPr>
      </w:pPr>
      <w:r w:rsidRPr="009A010C">
        <w:rPr>
          <w:b/>
          <w:bCs/>
          <w:lang w:val="en-CA"/>
        </w:rPr>
        <w:t>Secretariat’s recommendation</w:t>
      </w:r>
    </w:p>
    <w:p w:rsidR="00007BD2" w:rsidRPr="009A010C" w:rsidRDefault="00007BD2" w:rsidP="00007BD2">
      <w:pPr>
        <w:pStyle w:val="Heading1"/>
        <w:keepNext/>
        <w:keepLines/>
        <w:rPr>
          <w:lang w:val="en-CA"/>
        </w:rPr>
      </w:pPr>
      <w:r w:rsidRPr="009A010C">
        <w:rPr>
          <w:lang w:val="en-CA"/>
        </w:rPr>
        <w:t>The Executive Committee may wish:</w:t>
      </w:r>
    </w:p>
    <w:p w:rsidR="00AD221F" w:rsidRPr="00FE5979" w:rsidRDefault="00AD221F" w:rsidP="00AD221F">
      <w:pPr>
        <w:pStyle w:val="Heading2"/>
        <w:numPr>
          <w:ilvl w:val="1"/>
          <w:numId w:val="10"/>
        </w:numPr>
      </w:pPr>
      <w:r w:rsidRPr="00FE5979">
        <w:t>To note:</w:t>
      </w:r>
    </w:p>
    <w:p w:rsidR="00AD221F" w:rsidRPr="00FE5979" w:rsidRDefault="00AD221F" w:rsidP="00AD221F">
      <w:pPr>
        <w:pStyle w:val="Heading3"/>
        <w:widowControl/>
        <w:numPr>
          <w:ilvl w:val="2"/>
          <w:numId w:val="9"/>
        </w:numPr>
        <w:tabs>
          <w:tab w:val="clear" w:pos="0"/>
          <w:tab w:val="left" w:pos="1560"/>
        </w:tabs>
        <w:ind w:left="2268" w:hanging="884"/>
      </w:pPr>
      <w:r w:rsidRPr="00FE5979">
        <w:t>The financial audit reports for the CFC production, halon, polyurethane (PU) foam, process agent II, solvent and servicing sectors in China, contained in document UNEP/</w:t>
      </w:r>
      <w:proofErr w:type="spellStart"/>
      <w:r w:rsidRPr="00FE5979">
        <w:t>OzL.Pro</w:t>
      </w:r>
      <w:proofErr w:type="spellEnd"/>
      <w:r w:rsidRPr="00FE5979">
        <w:t>/</w:t>
      </w:r>
      <w:proofErr w:type="spellStart"/>
      <w:r w:rsidRPr="00FE5979">
        <w:t>ExCom</w:t>
      </w:r>
      <w:proofErr w:type="spellEnd"/>
      <w:r w:rsidRPr="00FE5979">
        <w:t xml:space="preserve">/82/20; </w:t>
      </w:r>
    </w:p>
    <w:p w:rsidR="00AD221F" w:rsidRPr="00FE5979" w:rsidRDefault="00AD221F" w:rsidP="00AD221F">
      <w:pPr>
        <w:pStyle w:val="Heading3"/>
        <w:widowControl/>
        <w:numPr>
          <w:ilvl w:val="2"/>
          <w:numId w:val="9"/>
        </w:numPr>
        <w:tabs>
          <w:tab w:val="clear" w:pos="0"/>
          <w:tab w:val="left" w:pos="1560"/>
        </w:tabs>
        <w:ind w:left="2268" w:hanging="850"/>
      </w:pPr>
      <w:r w:rsidRPr="00FE5979">
        <w:t xml:space="preserve">That the funding balances associated with each of the sector plans had not been fully disbursed by the end of 2018; </w:t>
      </w:r>
    </w:p>
    <w:p w:rsidR="00AD221F" w:rsidRPr="00FE5979" w:rsidRDefault="00AD221F" w:rsidP="00AD221F">
      <w:pPr>
        <w:pStyle w:val="Heading3"/>
        <w:widowControl/>
        <w:numPr>
          <w:ilvl w:val="2"/>
          <w:numId w:val="9"/>
        </w:numPr>
        <w:tabs>
          <w:tab w:val="clear" w:pos="0"/>
          <w:tab w:val="left" w:pos="1560"/>
        </w:tabs>
        <w:ind w:left="2268" w:hanging="850"/>
      </w:pPr>
      <w:r w:rsidRPr="00FE5979">
        <w:t xml:space="preserve">That research and technical assistance reports </w:t>
      </w:r>
      <w:r w:rsidRPr="00FE5979">
        <w:rPr>
          <w:b/>
        </w:rPr>
        <w:t>of the relevant sector plans</w:t>
      </w:r>
      <w:r w:rsidRPr="00FE5979">
        <w:t xml:space="preserve"> had not been submitted to the last meeting of 2018, as per decision 80/27(c);</w:t>
      </w:r>
    </w:p>
    <w:p w:rsidR="00AD221F" w:rsidRPr="00FE5979" w:rsidRDefault="00AD221F" w:rsidP="00AD221F">
      <w:pPr>
        <w:pStyle w:val="Heading3"/>
        <w:widowControl/>
        <w:numPr>
          <w:ilvl w:val="2"/>
          <w:numId w:val="9"/>
        </w:numPr>
        <w:tabs>
          <w:tab w:val="clear" w:pos="0"/>
          <w:tab w:val="left" w:pos="1560"/>
        </w:tabs>
        <w:ind w:left="2268" w:hanging="850"/>
      </w:pPr>
      <w:r w:rsidRPr="00FE5979">
        <w:t xml:space="preserve">That the Government of China has confirmed that the PU foam, CFC production, solvent and servicing sector plans will be completed in 2018, the balances will be </w:t>
      </w:r>
      <w:r w:rsidRPr="00FE5979">
        <w:rPr>
          <w:b/>
        </w:rPr>
        <w:t>disbursed</w:t>
      </w:r>
      <w:r w:rsidRPr="00FE5979">
        <w:t xml:space="preserve"> between 2018 and 2019, and the project completion reports will be submitted to the first meeting in 2020;</w:t>
      </w:r>
    </w:p>
    <w:p w:rsidR="00AD221F" w:rsidRPr="00FE5979" w:rsidRDefault="00AD221F" w:rsidP="00AD221F">
      <w:pPr>
        <w:pStyle w:val="Heading3"/>
        <w:widowControl/>
        <w:numPr>
          <w:ilvl w:val="2"/>
          <w:numId w:val="9"/>
        </w:numPr>
        <w:tabs>
          <w:tab w:val="clear" w:pos="0"/>
          <w:tab w:val="left" w:pos="1560"/>
        </w:tabs>
        <w:ind w:left="2268" w:hanging="850"/>
        <w:rPr>
          <w:b/>
        </w:rPr>
      </w:pPr>
      <w:r w:rsidRPr="00FE5979">
        <w:rPr>
          <w:b/>
        </w:rPr>
        <w:t>The extension of the date of the completion of the process agent II sector plan to 31 December 2020, and the halon plan to 31 December 2022;</w:t>
      </w:r>
    </w:p>
    <w:p w:rsidR="00AD221F" w:rsidRPr="00FE5979" w:rsidRDefault="00AD221F" w:rsidP="00AD221F">
      <w:pPr>
        <w:pStyle w:val="Heading2"/>
        <w:numPr>
          <w:ilvl w:val="1"/>
          <w:numId w:val="10"/>
        </w:numPr>
      </w:pPr>
      <w:r w:rsidRPr="00FE5979">
        <w:t>To request the Government of China, through the relevant implementing agency:</w:t>
      </w:r>
    </w:p>
    <w:p w:rsidR="00AD221F" w:rsidRPr="00FE5979" w:rsidRDefault="00AD221F" w:rsidP="00AD221F">
      <w:pPr>
        <w:pStyle w:val="Heading3"/>
        <w:widowControl/>
        <w:numPr>
          <w:ilvl w:val="2"/>
          <w:numId w:val="11"/>
        </w:numPr>
        <w:tabs>
          <w:tab w:val="left" w:pos="1560"/>
        </w:tabs>
      </w:pPr>
      <w:r w:rsidRPr="00FE5979">
        <w:rPr>
          <w:b/>
        </w:rPr>
        <w:t>To use the remaining balances still available for each one of the sector plans to strengthen local institutions to undertake permanent monitoring of the sustained phase-out of the controlled substances addressed in each sector plan once they are financially completed</w:t>
      </w:r>
      <w:r w:rsidRPr="00FE5979">
        <w:t>;</w:t>
      </w:r>
    </w:p>
    <w:p w:rsidR="00AD221F" w:rsidRPr="00FE5979" w:rsidRDefault="00AD221F" w:rsidP="00AD221F">
      <w:pPr>
        <w:pStyle w:val="Heading3"/>
        <w:widowControl/>
        <w:numPr>
          <w:ilvl w:val="2"/>
          <w:numId w:val="11"/>
        </w:numPr>
        <w:tabs>
          <w:tab w:val="clear" w:pos="0"/>
          <w:tab w:val="left" w:pos="1560"/>
        </w:tabs>
        <w:ind w:left="2268" w:hanging="884"/>
      </w:pPr>
      <w:r w:rsidRPr="00FE5979">
        <w:t>To submit to the 83</w:t>
      </w:r>
      <w:r w:rsidRPr="00FE5979">
        <w:rPr>
          <w:vertAlign w:val="superscript"/>
        </w:rPr>
        <w:t xml:space="preserve">rd </w:t>
      </w:r>
      <w:r w:rsidRPr="00FE5979">
        <w:t xml:space="preserve">meeting, a proposal for the establishment of a monitoring system that would ensure the long term sustainability of the phase-out of controlled uses of CFCs, CTC, methyl bromide, and halons in the consumption and production </w:t>
      </w:r>
      <w:r w:rsidRPr="00FE5979">
        <w:lastRenderedPageBreak/>
        <w:t xml:space="preserve">sectors, </w:t>
      </w:r>
      <w:r w:rsidRPr="00FE5979">
        <w:rPr>
          <w:b/>
        </w:rPr>
        <w:t>after the sector plans are financially completed</w:t>
      </w:r>
      <w:r w:rsidRPr="00FE5979">
        <w:t xml:space="preserve"> in light of any guidance provided by the Executive Committee at the 82</w:t>
      </w:r>
      <w:r w:rsidRPr="00FE5979">
        <w:rPr>
          <w:vertAlign w:val="superscript"/>
        </w:rPr>
        <w:t>nd</w:t>
      </w:r>
      <w:r w:rsidRPr="00FE5979">
        <w:t xml:space="preserve"> meeting;</w:t>
      </w:r>
    </w:p>
    <w:p w:rsidR="00AD221F" w:rsidRPr="00FE5979" w:rsidRDefault="00AD221F" w:rsidP="00AD221F">
      <w:pPr>
        <w:pStyle w:val="Heading3"/>
        <w:widowControl/>
        <w:numPr>
          <w:ilvl w:val="2"/>
          <w:numId w:val="11"/>
        </w:numPr>
        <w:tabs>
          <w:tab w:val="clear" w:pos="0"/>
          <w:tab w:val="left" w:pos="1560"/>
        </w:tabs>
        <w:ind w:left="2268" w:hanging="884"/>
      </w:pPr>
      <w:r w:rsidRPr="00FE5979">
        <w:t>To report to the 83</w:t>
      </w:r>
      <w:r w:rsidRPr="00FE5979">
        <w:rPr>
          <w:vertAlign w:val="superscript"/>
        </w:rPr>
        <w:t>rd</w:t>
      </w:r>
      <w:r w:rsidRPr="00FE5979">
        <w:t xml:space="preserve"> meeting, on the results of the analysis of samples of foam and raw material collected from foam enterprises and systems houses on whether controlled substances already phased out are being used, including the legal measures applied to the enterprises </w:t>
      </w:r>
      <w:r w:rsidRPr="00FE5979">
        <w:rPr>
          <w:b/>
        </w:rPr>
        <w:t>that were found to be</w:t>
      </w:r>
      <w:r w:rsidRPr="00FE5979">
        <w:t xml:space="preserve"> in non-compliance; and</w:t>
      </w:r>
    </w:p>
    <w:p w:rsidR="00007BD2" w:rsidRPr="009A010C" w:rsidRDefault="00AD221F" w:rsidP="00AD221F">
      <w:pPr>
        <w:pStyle w:val="Heading3"/>
        <w:widowControl/>
        <w:numPr>
          <w:ilvl w:val="2"/>
          <w:numId w:val="11"/>
        </w:numPr>
        <w:tabs>
          <w:tab w:val="clear" w:pos="0"/>
          <w:tab w:val="left" w:pos="1560"/>
        </w:tabs>
        <w:ind w:left="2268" w:hanging="884"/>
        <w:rPr>
          <w:lang w:val="en-CA"/>
        </w:rPr>
      </w:pPr>
      <w:r w:rsidRPr="00FE5979">
        <w:t xml:space="preserve">To submit the completed research and technical assistance reports undertaken in all </w:t>
      </w:r>
      <w:r w:rsidRPr="00FE5979">
        <w:rPr>
          <w:b/>
        </w:rPr>
        <w:t>sector plans, for</w:t>
      </w:r>
      <w:r w:rsidRPr="00FE5979">
        <w:t xml:space="preserve"> dissemination to other Article 5 countries.</w:t>
      </w:r>
    </w:p>
    <w:p w:rsidR="000A306A" w:rsidRPr="009A010C" w:rsidRDefault="000A306A" w:rsidP="000A306A">
      <w:pPr>
        <w:ind w:left="1440" w:hanging="1440"/>
        <w:rPr>
          <w:b/>
          <w:lang w:val="en-CA"/>
        </w:rPr>
      </w:pPr>
      <w:r w:rsidRPr="009A010C">
        <w:rPr>
          <w:b/>
          <w:lang w:val="en-CA"/>
        </w:rPr>
        <w:t xml:space="preserve">PART </w:t>
      </w:r>
      <w:r w:rsidR="00F84ADB" w:rsidRPr="009A010C">
        <w:rPr>
          <w:b/>
          <w:lang w:val="en-CA"/>
        </w:rPr>
        <w:t>I</w:t>
      </w:r>
      <w:r w:rsidR="001D7B64" w:rsidRPr="009A010C">
        <w:rPr>
          <w:b/>
          <w:lang w:val="en-CA"/>
        </w:rPr>
        <w:t>I</w:t>
      </w:r>
      <w:r w:rsidRPr="009A010C">
        <w:rPr>
          <w:b/>
          <w:lang w:val="en-CA"/>
        </w:rPr>
        <w:t>:</w:t>
      </w:r>
      <w:r w:rsidRPr="009A010C">
        <w:rPr>
          <w:b/>
          <w:lang w:val="en-CA"/>
        </w:rPr>
        <w:tab/>
        <w:t xml:space="preserve">METHYL BROMIDE </w:t>
      </w:r>
      <w:r w:rsidR="00F84ADB" w:rsidRPr="009A010C">
        <w:rPr>
          <w:b/>
          <w:lang w:val="en-CA"/>
        </w:rPr>
        <w:t>(MB) PHASE-OUT PROJECTS</w:t>
      </w:r>
    </w:p>
    <w:p w:rsidR="000A306A" w:rsidRPr="009A010C" w:rsidRDefault="000A306A" w:rsidP="000A306A">
      <w:pPr>
        <w:rPr>
          <w:lang w:val="en-CA"/>
        </w:rPr>
      </w:pPr>
    </w:p>
    <w:p w:rsidR="00473E39" w:rsidRPr="009A010C" w:rsidRDefault="00473E39" w:rsidP="00473E39">
      <w:pPr>
        <w:pStyle w:val="Heading1"/>
        <w:rPr>
          <w:lang w:val="en-CA"/>
        </w:rPr>
      </w:pPr>
      <w:r w:rsidRPr="009A010C">
        <w:rPr>
          <w:lang w:val="en-CA"/>
        </w:rPr>
        <w:t>Part II contains a report on the critical use exemptions of MB for Argentina; phase II of the national plan for the phase-out of MB in China; and the sector phase-out plan of MB production in China.</w:t>
      </w:r>
    </w:p>
    <w:p w:rsidR="00473E39" w:rsidRPr="009A010C" w:rsidRDefault="00473E39" w:rsidP="00473E39">
      <w:pPr>
        <w:rPr>
          <w:b/>
          <w:lang w:val="en-CA"/>
        </w:rPr>
      </w:pPr>
      <w:r w:rsidRPr="009A010C">
        <w:rPr>
          <w:b/>
          <w:lang w:val="en-CA"/>
        </w:rPr>
        <w:t>MB phase-out plan in Argentina (UNIDO)</w:t>
      </w:r>
    </w:p>
    <w:p w:rsidR="00473E39" w:rsidRPr="009A010C" w:rsidRDefault="00473E39" w:rsidP="00473E39">
      <w:pPr>
        <w:rPr>
          <w:lang w:val="en-CA"/>
        </w:rPr>
      </w:pPr>
    </w:p>
    <w:p w:rsidR="00473E39" w:rsidRPr="009A010C" w:rsidRDefault="00473E39" w:rsidP="00473E39">
      <w:pPr>
        <w:pStyle w:val="Heading1"/>
        <w:numPr>
          <w:ilvl w:val="0"/>
          <w:numId w:val="0"/>
        </w:numPr>
        <w:rPr>
          <w:b/>
          <w:lang w:val="en-CA"/>
        </w:rPr>
      </w:pPr>
      <w:r w:rsidRPr="009A010C">
        <w:rPr>
          <w:b/>
          <w:lang w:val="en-CA"/>
        </w:rPr>
        <w:t xml:space="preserve">Background </w:t>
      </w:r>
    </w:p>
    <w:p w:rsidR="00473E39" w:rsidRPr="009A010C" w:rsidRDefault="00473E39" w:rsidP="00473E39">
      <w:pPr>
        <w:pStyle w:val="Heading1"/>
        <w:rPr>
          <w:lang w:val="en-CA"/>
        </w:rPr>
      </w:pPr>
      <w:r w:rsidRPr="009A010C">
        <w:rPr>
          <w:lang w:val="en-CA"/>
        </w:rPr>
        <w:t>At the 30</w:t>
      </w:r>
      <w:r w:rsidRPr="009A010C">
        <w:rPr>
          <w:vertAlign w:val="superscript"/>
          <w:lang w:val="en-CA"/>
        </w:rPr>
        <w:t>th </w:t>
      </w:r>
      <w:r w:rsidRPr="009A010C">
        <w:rPr>
          <w:lang w:val="en-CA"/>
        </w:rPr>
        <w:t>meeting, the Executive Committee approved the project for the phase-out of MB in strawberry, protected vegetables and cut flower production in Argentina, and at the 36</w:t>
      </w:r>
      <w:r w:rsidRPr="009A010C">
        <w:rPr>
          <w:vertAlign w:val="superscript"/>
          <w:lang w:val="en-CA"/>
        </w:rPr>
        <w:t>th </w:t>
      </w:r>
      <w:r w:rsidRPr="009A010C">
        <w:rPr>
          <w:lang w:val="en-CA"/>
        </w:rPr>
        <w:t>meeting, the Executive Committee approved the project for the phase-out of MB for soil fumigation in tobacco and non</w:t>
      </w:r>
      <w:r w:rsidRPr="009A010C">
        <w:rPr>
          <w:lang w:val="en-CA"/>
        </w:rPr>
        <w:noBreakHyphen/>
        <w:t>protected vegetable seed-beds. The Agreement between the Government of Argentina and the Executive Committee was subsequently modified at the 45</w:t>
      </w:r>
      <w:r w:rsidRPr="009A010C">
        <w:rPr>
          <w:vertAlign w:val="superscript"/>
          <w:lang w:val="en-CA"/>
        </w:rPr>
        <w:t>th </w:t>
      </w:r>
      <w:r w:rsidRPr="009A010C">
        <w:rPr>
          <w:lang w:val="en-CA"/>
        </w:rPr>
        <w:t>meeting of the Executive Committee. While the Agreement explicitly excluded quarantine and pre</w:t>
      </w:r>
      <w:r w:rsidRPr="009A010C">
        <w:rPr>
          <w:lang w:val="en-CA"/>
        </w:rPr>
        <w:noBreakHyphen/>
        <w:t>shipment (QPS) applications from the targets for national MB consumption, the Agreement did not include an exclusion for critical-use exemptions (CUEs) the Parties to the Montreal Protocol may authorize and instead specified zero national consumption of MB by 2015. The Parties authorized CUEs for Argentina at the 26</w:t>
      </w:r>
      <w:r w:rsidRPr="009A010C">
        <w:rPr>
          <w:vertAlign w:val="superscript"/>
          <w:lang w:val="en-CA"/>
        </w:rPr>
        <w:t>th</w:t>
      </w:r>
      <w:r w:rsidRPr="009A010C">
        <w:rPr>
          <w:lang w:val="en-CA"/>
        </w:rPr>
        <w:t>, 27</w:t>
      </w:r>
      <w:r w:rsidRPr="009A010C">
        <w:rPr>
          <w:vertAlign w:val="superscript"/>
          <w:lang w:val="en-CA"/>
        </w:rPr>
        <w:t>th</w:t>
      </w:r>
      <w:r w:rsidRPr="009A010C">
        <w:rPr>
          <w:lang w:val="en-CA"/>
        </w:rPr>
        <w:t>, 28</w:t>
      </w:r>
      <w:r w:rsidRPr="009A010C">
        <w:rPr>
          <w:vertAlign w:val="superscript"/>
          <w:lang w:val="en-CA"/>
        </w:rPr>
        <w:t>th</w:t>
      </w:r>
      <w:r w:rsidRPr="009A010C">
        <w:rPr>
          <w:lang w:val="en-CA"/>
        </w:rPr>
        <w:t xml:space="preserve"> and 29</w:t>
      </w:r>
      <w:r w:rsidRPr="009A010C">
        <w:rPr>
          <w:vertAlign w:val="superscript"/>
          <w:lang w:val="en-CA"/>
        </w:rPr>
        <w:t>th </w:t>
      </w:r>
      <w:r w:rsidRPr="009A010C">
        <w:rPr>
          <w:lang w:val="en-CA"/>
        </w:rPr>
        <w:t xml:space="preserve">Meetings of the Parties for use in 2015, 2016, 2017 and 2018, respectively. </w:t>
      </w:r>
    </w:p>
    <w:p w:rsidR="00473E39" w:rsidRPr="009A010C" w:rsidRDefault="00473E39" w:rsidP="00473E39">
      <w:pPr>
        <w:pStyle w:val="Heading1"/>
        <w:rPr>
          <w:kern w:val="36"/>
          <w:lang w:val="en-CA"/>
        </w:rPr>
      </w:pPr>
      <w:r w:rsidRPr="009A010C">
        <w:rPr>
          <w:kern w:val="36"/>
          <w:lang w:val="en-CA"/>
        </w:rPr>
        <w:t xml:space="preserve">Argentina reported MB consumption of 57.00 ODP tonnes in 2017 which was below the authorized CUEs of 61.76 ODP tonnes for that year. Accordingly, the Secretariat considers that the level of consumption of MB for Argentina in 2017 was zero, as the maximum level specified in the Agreement, except for any CUEs approved by the Parties. </w:t>
      </w:r>
    </w:p>
    <w:p w:rsidR="00473E39" w:rsidRPr="009A010C" w:rsidRDefault="00473E39" w:rsidP="00473E39">
      <w:pPr>
        <w:rPr>
          <w:b/>
          <w:bCs/>
          <w:lang w:val="en-CA"/>
        </w:rPr>
      </w:pPr>
      <w:r w:rsidRPr="009A010C">
        <w:rPr>
          <w:b/>
          <w:bCs/>
          <w:lang w:val="en-CA"/>
        </w:rPr>
        <w:t>Secretariat’s recommendation</w:t>
      </w:r>
    </w:p>
    <w:p w:rsidR="00473E39" w:rsidRPr="009A010C" w:rsidRDefault="00473E39" w:rsidP="00473E39">
      <w:pPr>
        <w:rPr>
          <w:lang w:val="en-CA"/>
        </w:rPr>
      </w:pPr>
    </w:p>
    <w:p w:rsidR="00473E39" w:rsidRPr="009A010C" w:rsidRDefault="00473E39" w:rsidP="00473E39">
      <w:pPr>
        <w:pStyle w:val="Heading1"/>
        <w:rPr>
          <w:kern w:val="36"/>
          <w:lang w:val="en-CA"/>
        </w:rPr>
      </w:pPr>
      <w:r w:rsidRPr="009A010C">
        <w:rPr>
          <w:kern w:val="36"/>
          <w:lang w:val="en-CA"/>
        </w:rPr>
        <w:t>The Executive Committee may wish to note that the level of consumption of methyl bromide for Argentina in 2017 was zero, as the maximum level specified in the Agreement between the Government and the Executive Committee, except for any critical-use exemptions approved by the Parties to the Montreal Protocol.</w:t>
      </w:r>
    </w:p>
    <w:p w:rsidR="00473E39" w:rsidRPr="009A010C" w:rsidRDefault="00473E39" w:rsidP="00AB6696">
      <w:pPr>
        <w:spacing w:after="240"/>
        <w:rPr>
          <w:b/>
          <w:lang w:val="en-CA"/>
        </w:rPr>
      </w:pPr>
      <w:r w:rsidRPr="009A010C">
        <w:rPr>
          <w:b/>
          <w:lang w:val="en-CA"/>
        </w:rPr>
        <w:t>Phase II of the national plan for the phase-out of MB in China</w:t>
      </w:r>
    </w:p>
    <w:p w:rsidR="00AB6696" w:rsidRPr="009A010C" w:rsidRDefault="00AB6696" w:rsidP="00AB6696">
      <w:pPr>
        <w:rPr>
          <w:u w:val="single"/>
          <w:lang w:val="en-CA"/>
        </w:rPr>
      </w:pPr>
      <w:r w:rsidRPr="009A010C">
        <w:rPr>
          <w:u w:val="single"/>
          <w:lang w:val="en-CA"/>
        </w:rPr>
        <w:t xml:space="preserve">Progress report </w:t>
      </w:r>
    </w:p>
    <w:p w:rsidR="00AB6696" w:rsidRPr="009A010C" w:rsidRDefault="00AB6696" w:rsidP="00AB6696">
      <w:pPr>
        <w:rPr>
          <w:u w:val="single"/>
          <w:lang w:val="en-CA"/>
        </w:rPr>
      </w:pPr>
    </w:p>
    <w:p w:rsidR="00AB6696" w:rsidRPr="009A010C" w:rsidRDefault="00AB6696" w:rsidP="00AB6696">
      <w:pPr>
        <w:pStyle w:val="Heading1"/>
        <w:rPr>
          <w:lang w:val="en-CA"/>
        </w:rPr>
      </w:pPr>
      <w:r w:rsidRPr="009A010C">
        <w:rPr>
          <w:lang w:val="en-CA"/>
        </w:rPr>
        <w:t xml:space="preserve">On behalf of the Government of China, UNIDO submitted the 2017 – 2018 progress report for the methyl bromide (MB) phase-out plan, which included the following components: management of MB for critical uses exemptions (CUEs); optimization of soil disinfestation systems; and establishment of a sustainable performance management system. </w:t>
      </w:r>
    </w:p>
    <w:p w:rsidR="00AB6696" w:rsidRPr="009A010C" w:rsidRDefault="00AB6696" w:rsidP="00AB6696">
      <w:pPr>
        <w:pStyle w:val="Heading1"/>
      </w:pPr>
      <w:r w:rsidRPr="009A010C">
        <w:rPr>
          <w:lang w:val="en-CA"/>
        </w:rPr>
        <w:lastRenderedPageBreak/>
        <w:t>The Parties authorized CUEs for MB for China for 2017 (92.977 metric tonnes (</w:t>
      </w:r>
      <w:proofErr w:type="spellStart"/>
      <w:r w:rsidRPr="009A010C">
        <w:rPr>
          <w:lang w:val="en-CA"/>
        </w:rPr>
        <w:t>mt</w:t>
      </w:r>
      <w:proofErr w:type="spellEnd"/>
      <w:r w:rsidRPr="009A010C">
        <w:rPr>
          <w:lang w:val="en-CA"/>
        </w:rPr>
        <w:t>), 65.08 ODP tonnes)</w:t>
      </w:r>
      <w:r w:rsidRPr="009A010C">
        <w:rPr>
          <w:rStyle w:val="FootnoteReference"/>
          <w:lang w:val="en-CA"/>
        </w:rPr>
        <w:footnoteReference w:id="10"/>
      </w:r>
      <w:r w:rsidRPr="009A010C">
        <w:rPr>
          <w:lang w:val="en-CA"/>
        </w:rPr>
        <w:t xml:space="preserve"> and 2018 (87.24 </w:t>
      </w:r>
      <w:proofErr w:type="spellStart"/>
      <w:r w:rsidRPr="009A010C">
        <w:rPr>
          <w:lang w:val="en-CA"/>
        </w:rPr>
        <w:t>mt</w:t>
      </w:r>
      <w:proofErr w:type="spellEnd"/>
      <w:r w:rsidRPr="009A010C">
        <w:rPr>
          <w:lang w:val="en-CA"/>
        </w:rPr>
        <w:t>, 61.08 ODP tonnes).</w:t>
      </w:r>
      <w:r w:rsidRPr="009A010C">
        <w:rPr>
          <w:rStyle w:val="FootnoteReference"/>
          <w:lang w:val="en-CA"/>
        </w:rPr>
        <w:footnoteReference w:id="11"/>
      </w:r>
      <w:r w:rsidRPr="009A010C">
        <w:rPr>
          <w:lang w:val="en-CA"/>
        </w:rPr>
        <w:t xml:space="preserve"> China reported MB consumption in 2017 under Article 7 of the Montreal Protocol below the amount authorized for the CUEs (54 ODP tonnes). </w:t>
      </w:r>
    </w:p>
    <w:p w:rsidR="00AB6696" w:rsidRPr="009A010C" w:rsidRDefault="00AB6696" w:rsidP="00AB6696">
      <w:pPr>
        <w:pStyle w:val="Heading1"/>
        <w:rPr>
          <w:lang w:val="en-CA"/>
        </w:rPr>
      </w:pPr>
      <w:r w:rsidRPr="009A010C">
        <w:rPr>
          <w:lang w:val="en-CA"/>
        </w:rPr>
        <w:t>For 2017 and 2018, the Rural Environment and Energy Conservation Station of Shandong Province was commissioned to develop a tracking system to ensure that MB consumption would not exceed the CUEs for those years; an annual monitoring report on the usage of MB would be prepared to confirm that the CUE allocations for open field and protected cultivation ginger are tracked and used only in areas with high rates of soil</w:t>
      </w:r>
      <w:r w:rsidRPr="009A010C">
        <w:rPr>
          <w:lang w:val="en-CA"/>
        </w:rPr>
        <w:noBreakHyphen/>
        <w:t>borne disease.</w:t>
      </w:r>
    </w:p>
    <w:p w:rsidR="00AB6696" w:rsidRPr="009A010C" w:rsidRDefault="00AB6696" w:rsidP="00AB6696">
      <w:pPr>
        <w:pStyle w:val="Heading1"/>
        <w:rPr>
          <w:lang w:val="en-CA"/>
        </w:rPr>
      </w:pPr>
      <w:r w:rsidRPr="009A010C">
        <w:rPr>
          <w:lang w:val="en-CA"/>
        </w:rPr>
        <w:t>The Institute of Plant Protection of the Chinese Academy of Agricultural Sciences (IPP-CAAS), completed the soil disinfection technology evaluation for ginger. The report on the technologies for integrated soil-borne disease prevention and control, and the evaluation of technologies for strawberry and tomato will be completed in December 2018.</w:t>
      </w:r>
    </w:p>
    <w:p w:rsidR="00AB6696" w:rsidRPr="009A010C" w:rsidRDefault="00AB6696" w:rsidP="00AB6696">
      <w:pPr>
        <w:pStyle w:val="Heading1"/>
        <w:rPr>
          <w:lang w:val="en-CA"/>
        </w:rPr>
      </w:pPr>
      <w:r w:rsidRPr="009A010C">
        <w:rPr>
          <w:lang w:val="en-CA"/>
        </w:rPr>
        <w:t xml:space="preserve">Alternative technologies such as chloropicrin, </w:t>
      </w:r>
      <w:proofErr w:type="spellStart"/>
      <w:r w:rsidRPr="009A010C">
        <w:rPr>
          <w:lang w:val="en-CA"/>
        </w:rPr>
        <w:t>dazomet</w:t>
      </w:r>
      <w:proofErr w:type="spellEnd"/>
      <w:r w:rsidRPr="009A010C">
        <w:rPr>
          <w:lang w:val="en-CA"/>
        </w:rPr>
        <w:t xml:space="preserve">, </w:t>
      </w:r>
      <w:proofErr w:type="spellStart"/>
      <w:r w:rsidRPr="009A010C">
        <w:rPr>
          <w:lang w:val="en-CA"/>
        </w:rPr>
        <w:t>metham</w:t>
      </w:r>
      <w:proofErr w:type="spellEnd"/>
      <w:r w:rsidRPr="009A010C">
        <w:rPr>
          <w:lang w:val="en-CA"/>
        </w:rPr>
        <w:noBreakHyphen/>
        <w:t xml:space="preserve">sodium and dimethyl disulfide, were adopted for ginseng and yam crops. Training on these technologies was provided, field visits were conducted for agricultural departments, technicians and growers. </w:t>
      </w:r>
      <w:bookmarkStart w:id="1" w:name="_Toc112653148"/>
      <w:bookmarkStart w:id="2" w:name="_Toc240779628"/>
      <w:r w:rsidRPr="009A010C">
        <w:rPr>
          <w:lang w:val="en-CA"/>
        </w:rPr>
        <w:t>Reports and a documentary film on soil disinfection were published and broadcasted, and a project brochure will be completed in 2018.</w:t>
      </w:r>
    </w:p>
    <w:p w:rsidR="00AB6696" w:rsidRPr="009A010C" w:rsidRDefault="00AB6696" w:rsidP="00AB6696">
      <w:pPr>
        <w:pStyle w:val="Heading1"/>
        <w:rPr>
          <w:lang w:val="en-CA"/>
        </w:rPr>
      </w:pPr>
      <w:r w:rsidRPr="009A010C">
        <w:rPr>
          <w:lang w:val="en-CA"/>
        </w:rPr>
        <w:t>Capacity building included the recruitment of four new officers responsible for project management of the MB sector plan, supervision of project sub-contractors, review of reports, and preparation of progress reports. In addition, 120 participants from local agricultural departments were trained in soil disease occurrence for ginseng, current situation of soil disinfection technology and its applications, and shared experiences gained from field visits.</w:t>
      </w:r>
    </w:p>
    <w:p w:rsidR="00AB6696" w:rsidRPr="009A010C" w:rsidRDefault="00AB6696" w:rsidP="00AB6696">
      <w:pPr>
        <w:pStyle w:val="Heading1"/>
        <w:keepNext/>
        <w:numPr>
          <w:ilvl w:val="0"/>
          <w:numId w:val="0"/>
        </w:numPr>
        <w:rPr>
          <w:u w:val="single"/>
        </w:rPr>
      </w:pPr>
      <w:r w:rsidRPr="009A010C">
        <w:rPr>
          <w:u w:val="single"/>
        </w:rPr>
        <w:t>Financial report</w:t>
      </w:r>
    </w:p>
    <w:p w:rsidR="00AB6696" w:rsidRPr="009A010C" w:rsidRDefault="00AB6696" w:rsidP="00AB6696">
      <w:pPr>
        <w:pStyle w:val="Heading1"/>
        <w:keepNext/>
      </w:pPr>
      <w:r w:rsidRPr="009A010C">
        <w:t xml:space="preserve">Of the total amount of US $926,958 approved for the last tranche, US $807,058 had been disbursed; the balance of US $119,900 will be disbursed by December 2018. </w:t>
      </w:r>
    </w:p>
    <w:p w:rsidR="00AB6696" w:rsidRPr="009A010C" w:rsidRDefault="00AB6696" w:rsidP="00AB6696">
      <w:pPr>
        <w:spacing w:after="240"/>
        <w:rPr>
          <w:u w:val="single"/>
        </w:rPr>
      </w:pPr>
      <w:r w:rsidRPr="009A010C">
        <w:rPr>
          <w:u w:val="single"/>
        </w:rPr>
        <w:t>Implementation plan for 2018 – 2019</w:t>
      </w:r>
    </w:p>
    <w:p w:rsidR="00AB6696" w:rsidRPr="00F4406E" w:rsidRDefault="00AB6696" w:rsidP="00AB6696">
      <w:pPr>
        <w:pStyle w:val="Heading1"/>
        <w:rPr>
          <w:lang w:val="en-CA"/>
        </w:rPr>
      </w:pPr>
      <w:r w:rsidRPr="009A010C">
        <w:rPr>
          <w:lang w:val="en-CA"/>
        </w:rPr>
        <w:t xml:space="preserve">The project is expected to be completed by the end of 2018. UNIDO has submitted the </w:t>
      </w:r>
      <w:proofErr w:type="spellStart"/>
      <w:r w:rsidRPr="009A010C">
        <w:rPr>
          <w:lang w:val="en-CA"/>
        </w:rPr>
        <w:t>workplan</w:t>
      </w:r>
      <w:proofErr w:type="spellEnd"/>
      <w:r w:rsidRPr="009A010C">
        <w:rPr>
          <w:lang w:val="en-CA"/>
        </w:rPr>
        <w:t xml:space="preserve"> and budget for October – December 2018, as shown </w:t>
      </w:r>
      <w:r w:rsidRPr="00F4406E">
        <w:rPr>
          <w:lang w:val="en-CA"/>
        </w:rPr>
        <w:t xml:space="preserve">in Table </w:t>
      </w:r>
      <w:r w:rsidR="00A51632" w:rsidRPr="00F4406E">
        <w:rPr>
          <w:lang w:val="en-CA"/>
        </w:rPr>
        <w:t>3</w:t>
      </w:r>
      <w:r w:rsidRPr="00F4406E">
        <w:rPr>
          <w:lang w:val="en-CA"/>
        </w:rPr>
        <w:t>.</w:t>
      </w:r>
    </w:p>
    <w:p w:rsidR="00AB6696" w:rsidRPr="00F4406E" w:rsidRDefault="00AB6696" w:rsidP="00C95B03">
      <w:pPr>
        <w:keepNext/>
        <w:rPr>
          <w:b/>
          <w:lang w:val="en-CA"/>
        </w:rPr>
      </w:pPr>
      <w:r w:rsidRPr="00F4406E">
        <w:rPr>
          <w:b/>
          <w:lang w:val="en-CA"/>
        </w:rPr>
        <w:t xml:space="preserve">Table </w:t>
      </w:r>
      <w:r w:rsidR="00A51632" w:rsidRPr="00F4406E">
        <w:rPr>
          <w:b/>
          <w:lang w:val="en-CA"/>
        </w:rPr>
        <w:t>3</w:t>
      </w:r>
      <w:r w:rsidR="00C95B03" w:rsidRPr="00F4406E">
        <w:rPr>
          <w:b/>
          <w:lang w:val="en-CA"/>
        </w:rPr>
        <w:t>.</w:t>
      </w:r>
      <w:r w:rsidRPr="00F4406E">
        <w:rPr>
          <w:b/>
          <w:lang w:val="en-CA"/>
        </w:rPr>
        <w:t xml:space="preserve"> 2018 budget (US $)</w:t>
      </w:r>
    </w:p>
    <w:tbl>
      <w:tblPr>
        <w:tblStyle w:val="TableGrid"/>
        <w:tblW w:w="5000" w:type="pct"/>
        <w:tblLook w:val="04A0" w:firstRow="1" w:lastRow="0" w:firstColumn="1" w:lastColumn="0" w:noHBand="0" w:noVBand="1"/>
      </w:tblPr>
      <w:tblGrid>
        <w:gridCol w:w="6641"/>
        <w:gridCol w:w="2889"/>
      </w:tblGrid>
      <w:tr w:rsidR="00AB6696" w:rsidRPr="00F4406E" w:rsidTr="00A51632">
        <w:tc>
          <w:tcPr>
            <w:tcW w:w="3484" w:type="pct"/>
          </w:tcPr>
          <w:p w:rsidR="00AB6696" w:rsidRPr="00F4406E" w:rsidRDefault="00AB6696" w:rsidP="00C95B03">
            <w:pPr>
              <w:keepNext/>
              <w:jc w:val="center"/>
              <w:rPr>
                <w:b/>
                <w:sz w:val="20"/>
                <w:szCs w:val="20"/>
                <w:lang w:val="en-CA"/>
              </w:rPr>
            </w:pPr>
            <w:r w:rsidRPr="00F4406E">
              <w:rPr>
                <w:b/>
                <w:sz w:val="20"/>
                <w:szCs w:val="20"/>
                <w:lang w:val="en-CA"/>
              </w:rPr>
              <w:t>Activities</w:t>
            </w:r>
          </w:p>
        </w:tc>
        <w:tc>
          <w:tcPr>
            <w:tcW w:w="1516" w:type="pct"/>
          </w:tcPr>
          <w:p w:rsidR="00AB6696" w:rsidRPr="00F4406E" w:rsidRDefault="00AB6696" w:rsidP="00C95B03">
            <w:pPr>
              <w:keepNext/>
              <w:jc w:val="center"/>
              <w:rPr>
                <w:b/>
                <w:sz w:val="20"/>
                <w:szCs w:val="20"/>
                <w:lang w:val="en-CA"/>
              </w:rPr>
            </w:pPr>
            <w:r w:rsidRPr="00F4406E">
              <w:rPr>
                <w:b/>
                <w:sz w:val="20"/>
                <w:szCs w:val="20"/>
                <w:lang w:val="en-CA"/>
              </w:rPr>
              <w:t>Budget (US $)</w:t>
            </w:r>
          </w:p>
        </w:tc>
      </w:tr>
      <w:tr w:rsidR="00AB6696" w:rsidRPr="00F4406E" w:rsidTr="00A51632">
        <w:tc>
          <w:tcPr>
            <w:tcW w:w="3484" w:type="pct"/>
          </w:tcPr>
          <w:p w:rsidR="00AB6696" w:rsidRPr="00F4406E" w:rsidRDefault="00AB6696" w:rsidP="00C95B03">
            <w:pPr>
              <w:keepNext/>
              <w:rPr>
                <w:sz w:val="20"/>
                <w:szCs w:val="20"/>
                <w:lang w:val="en-CA"/>
              </w:rPr>
            </w:pPr>
            <w:r w:rsidRPr="00F4406E">
              <w:rPr>
                <w:sz w:val="20"/>
                <w:szCs w:val="20"/>
                <w:lang w:val="en-CA"/>
              </w:rPr>
              <w:t>Management of CUEs of MB</w:t>
            </w:r>
          </w:p>
        </w:tc>
        <w:tc>
          <w:tcPr>
            <w:tcW w:w="1516" w:type="pct"/>
          </w:tcPr>
          <w:p w:rsidR="00AB6696" w:rsidRPr="00F4406E" w:rsidRDefault="00AB6696" w:rsidP="00C95B03">
            <w:pPr>
              <w:keepNext/>
              <w:jc w:val="right"/>
              <w:rPr>
                <w:sz w:val="20"/>
                <w:szCs w:val="20"/>
                <w:lang w:val="en-CA"/>
              </w:rPr>
            </w:pPr>
            <w:r w:rsidRPr="00F4406E">
              <w:rPr>
                <w:sz w:val="20"/>
                <w:szCs w:val="20"/>
                <w:lang w:val="en-CA"/>
              </w:rPr>
              <w:t>14,355</w:t>
            </w:r>
          </w:p>
        </w:tc>
      </w:tr>
      <w:tr w:rsidR="00AB6696" w:rsidRPr="00F4406E" w:rsidTr="00A51632">
        <w:tc>
          <w:tcPr>
            <w:tcW w:w="3484" w:type="pct"/>
          </w:tcPr>
          <w:p w:rsidR="00AB6696" w:rsidRPr="00F4406E" w:rsidRDefault="00AB6696" w:rsidP="00C95B03">
            <w:pPr>
              <w:keepNext/>
              <w:rPr>
                <w:sz w:val="20"/>
                <w:szCs w:val="20"/>
              </w:rPr>
            </w:pPr>
            <w:r w:rsidRPr="00F4406E">
              <w:rPr>
                <w:sz w:val="20"/>
                <w:szCs w:val="20"/>
                <w:lang w:val="en-CA"/>
              </w:rPr>
              <w:t>Optimization of soil disinfection technical system</w:t>
            </w:r>
          </w:p>
        </w:tc>
        <w:tc>
          <w:tcPr>
            <w:tcW w:w="1516" w:type="pct"/>
          </w:tcPr>
          <w:p w:rsidR="00AB6696" w:rsidRPr="00F4406E" w:rsidRDefault="00AB6696" w:rsidP="00C95B03">
            <w:pPr>
              <w:keepNext/>
              <w:jc w:val="right"/>
              <w:rPr>
                <w:sz w:val="20"/>
                <w:szCs w:val="20"/>
                <w:lang w:val="en-CA"/>
              </w:rPr>
            </w:pPr>
            <w:r w:rsidRPr="00F4406E">
              <w:rPr>
                <w:sz w:val="20"/>
                <w:szCs w:val="20"/>
                <w:lang w:val="en-CA"/>
              </w:rPr>
              <w:t>7,177</w:t>
            </w:r>
          </w:p>
        </w:tc>
      </w:tr>
      <w:tr w:rsidR="00AB6696" w:rsidRPr="00F4406E" w:rsidTr="00A51632">
        <w:tc>
          <w:tcPr>
            <w:tcW w:w="3484" w:type="pct"/>
          </w:tcPr>
          <w:p w:rsidR="00AB6696" w:rsidRPr="00F4406E" w:rsidRDefault="00AB6696" w:rsidP="00C95B03">
            <w:pPr>
              <w:keepNext/>
              <w:rPr>
                <w:sz w:val="20"/>
                <w:szCs w:val="20"/>
              </w:rPr>
            </w:pPr>
            <w:r w:rsidRPr="00F4406E">
              <w:rPr>
                <w:sz w:val="20"/>
                <w:szCs w:val="20"/>
                <w:lang w:val="en-CA"/>
              </w:rPr>
              <w:t>Sustainable performance capacity building</w:t>
            </w:r>
          </w:p>
        </w:tc>
        <w:tc>
          <w:tcPr>
            <w:tcW w:w="1516" w:type="pct"/>
          </w:tcPr>
          <w:p w:rsidR="00AB6696" w:rsidRPr="00F4406E" w:rsidRDefault="00AB6696" w:rsidP="00C95B03">
            <w:pPr>
              <w:keepNext/>
              <w:jc w:val="right"/>
              <w:rPr>
                <w:sz w:val="20"/>
                <w:szCs w:val="20"/>
                <w:lang w:val="en-CA"/>
              </w:rPr>
            </w:pPr>
            <w:r w:rsidRPr="00F4406E">
              <w:rPr>
                <w:sz w:val="20"/>
                <w:szCs w:val="20"/>
                <w:lang w:val="en-CA"/>
              </w:rPr>
              <w:t>60,062</w:t>
            </w:r>
          </w:p>
        </w:tc>
      </w:tr>
      <w:tr w:rsidR="00AB6696" w:rsidRPr="00F4406E" w:rsidTr="00A51632">
        <w:tc>
          <w:tcPr>
            <w:tcW w:w="3484" w:type="pct"/>
          </w:tcPr>
          <w:p w:rsidR="00AB6696" w:rsidRPr="00F4406E" w:rsidRDefault="00AB6696" w:rsidP="00A51632">
            <w:pPr>
              <w:rPr>
                <w:sz w:val="20"/>
                <w:szCs w:val="20"/>
                <w:lang w:val="en-CA"/>
              </w:rPr>
            </w:pPr>
            <w:r w:rsidRPr="00F4406E">
              <w:rPr>
                <w:sz w:val="20"/>
                <w:szCs w:val="20"/>
                <w:lang w:val="en-CA"/>
              </w:rPr>
              <w:t>Project management</w:t>
            </w:r>
          </w:p>
        </w:tc>
        <w:tc>
          <w:tcPr>
            <w:tcW w:w="1516" w:type="pct"/>
          </w:tcPr>
          <w:p w:rsidR="00AB6696" w:rsidRPr="00F4406E" w:rsidRDefault="00AB6696" w:rsidP="00A51632">
            <w:pPr>
              <w:jc w:val="right"/>
              <w:rPr>
                <w:sz w:val="20"/>
                <w:szCs w:val="20"/>
                <w:lang w:val="en-CA"/>
              </w:rPr>
            </w:pPr>
            <w:r w:rsidRPr="00F4406E">
              <w:rPr>
                <w:sz w:val="20"/>
                <w:szCs w:val="20"/>
                <w:lang w:val="en-CA"/>
              </w:rPr>
              <w:t>38,306</w:t>
            </w:r>
          </w:p>
        </w:tc>
      </w:tr>
      <w:tr w:rsidR="00AB6696" w:rsidRPr="00F4406E" w:rsidTr="00A51632">
        <w:tc>
          <w:tcPr>
            <w:tcW w:w="3484" w:type="pct"/>
          </w:tcPr>
          <w:p w:rsidR="00AB6696" w:rsidRPr="00F4406E" w:rsidRDefault="00AB6696" w:rsidP="00A51632">
            <w:pPr>
              <w:rPr>
                <w:b/>
                <w:sz w:val="20"/>
                <w:szCs w:val="20"/>
                <w:lang w:val="en-CA"/>
              </w:rPr>
            </w:pPr>
            <w:r w:rsidRPr="00F4406E">
              <w:rPr>
                <w:b/>
                <w:sz w:val="20"/>
                <w:szCs w:val="20"/>
                <w:lang w:val="en-CA"/>
              </w:rPr>
              <w:t>Total</w:t>
            </w:r>
          </w:p>
        </w:tc>
        <w:tc>
          <w:tcPr>
            <w:tcW w:w="1516" w:type="pct"/>
          </w:tcPr>
          <w:p w:rsidR="00AB6696" w:rsidRPr="00F4406E" w:rsidRDefault="00AB6696" w:rsidP="00A51632">
            <w:pPr>
              <w:jc w:val="right"/>
              <w:rPr>
                <w:b/>
                <w:sz w:val="20"/>
                <w:szCs w:val="20"/>
                <w:lang w:val="en-CA"/>
              </w:rPr>
            </w:pPr>
            <w:r w:rsidRPr="00F4406E">
              <w:rPr>
                <w:b/>
                <w:sz w:val="20"/>
                <w:szCs w:val="20"/>
                <w:lang w:val="en-CA"/>
              </w:rPr>
              <w:t>119,900</w:t>
            </w:r>
          </w:p>
        </w:tc>
      </w:tr>
    </w:tbl>
    <w:p w:rsidR="00AB6696" w:rsidRPr="00F4406E" w:rsidRDefault="00AB6696" w:rsidP="00AB6696">
      <w:pPr>
        <w:rPr>
          <w:b/>
          <w:lang w:val="en-CA"/>
        </w:rPr>
      </w:pPr>
    </w:p>
    <w:bookmarkEnd w:id="1"/>
    <w:bookmarkEnd w:id="2"/>
    <w:p w:rsidR="00AB6696" w:rsidRPr="00F4406E" w:rsidRDefault="00AB6696" w:rsidP="00AB6696">
      <w:pPr>
        <w:pStyle w:val="Heading1"/>
        <w:keepNext/>
        <w:numPr>
          <w:ilvl w:val="0"/>
          <w:numId w:val="0"/>
        </w:numPr>
        <w:rPr>
          <w:b/>
          <w:lang w:val="en-CA"/>
        </w:rPr>
      </w:pPr>
      <w:r w:rsidRPr="00F4406E">
        <w:rPr>
          <w:b/>
          <w:lang w:val="en-CA"/>
        </w:rPr>
        <w:lastRenderedPageBreak/>
        <w:t>Comments</w:t>
      </w:r>
    </w:p>
    <w:p w:rsidR="00AB6696" w:rsidRPr="00F4406E" w:rsidRDefault="00AB6696" w:rsidP="00AB6696">
      <w:pPr>
        <w:pStyle w:val="Heading1"/>
        <w:keepNext/>
        <w:rPr>
          <w:lang w:val="en-CA"/>
        </w:rPr>
      </w:pPr>
      <w:r w:rsidRPr="00F4406E">
        <w:rPr>
          <w:lang w:val="en-CA"/>
        </w:rPr>
        <w:t>The Secretariat noted that the Government of China continues to control the use of MB within the country, and that the consumption of MB has been within the amounts approved for CUEs.</w:t>
      </w:r>
    </w:p>
    <w:p w:rsidR="00AB6696" w:rsidRPr="00F4406E" w:rsidRDefault="00AB6696" w:rsidP="00AB6696">
      <w:pPr>
        <w:pStyle w:val="Heading1"/>
        <w:rPr>
          <w:lang w:val="en-CA"/>
        </w:rPr>
      </w:pPr>
      <w:r w:rsidRPr="00F4406E">
        <w:rPr>
          <w:lang w:val="en-CA"/>
        </w:rPr>
        <w:t>In discussing the work plan for the MB consumption sector plan, the Secretariat reiterated decision 77/8(c)(ii)</w:t>
      </w:r>
      <w:r w:rsidRPr="00F4406E">
        <w:rPr>
          <w:rStyle w:val="FootnoteReference"/>
          <w:lang w:val="en-CA"/>
        </w:rPr>
        <w:footnoteReference w:id="12"/>
      </w:r>
      <w:r w:rsidRPr="00F4406E">
        <w:rPr>
          <w:lang w:val="en-CA"/>
        </w:rPr>
        <w:t xml:space="preserve"> and reminded UNIDO that the project cannot be extended beyond December 2018. UNIDO confirmed that the work plan provided would be implemented by this time, except for a final payment to be made in February 2019 to the institute contracted to monitor the CUE uses in China. This payment will be made only after confirmation of total MB consumption at the end of the year, and after submission of a final report by the end of December 2018. After discussion with UNIDO, there was an understanding that the MB consumption sector plan will be fully completed by the end of 2018.</w:t>
      </w:r>
    </w:p>
    <w:p w:rsidR="00AB6696" w:rsidRPr="00F4406E" w:rsidRDefault="00AB6696" w:rsidP="00AB6696">
      <w:pPr>
        <w:keepNext/>
        <w:rPr>
          <w:b/>
          <w:lang w:val="en-CA"/>
        </w:rPr>
      </w:pPr>
      <w:r w:rsidRPr="00F4406E">
        <w:rPr>
          <w:b/>
          <w:lang w:val="en-CA"/>
        </w:rPr>
        <w:t>Recommendation</w:t>
      </w:r>
    </w:p>
    <w:p w:rsidR="00AB6696" w:rsidRPr="00F4406E" w:rsidRDefault="00AB6696" w:rsidP="00AB6696">
      <w:pPr>
        <w:keepNext/>
        <w:rPr>
          <w:u w:val="single"/>
          <w:lang w:val="en-CA"/>
        </w:rPr>
      </w:pPr>
    </w:p>
    <w:p w:rsidR="00AB6696" w:rsidRPr="00F4406E" w:rsidRDefault="00AB6696" w:rsidP="00AB6696">
      <w:pPr>
        <w:pStyle w:val="Heading1"/>
        <w:keepNext/>
        <w:rPr>
          <w:lang w:val="en-CA"/>
        </w:rPr>
      </w:pPr>
      <w:r w:rsidRPr="00F4406E">
        <w:t>The Executive Committee may wish:</w:t>
      </w:r>
    </w:p>
    <w:p w:rsidR="00AD221F" w:rsidRPr="00FE5979" w:rsidRDefault="00AD221F" w:rsidP="00AD221F">
      <w:pPr>
        <w:pStyle w:val="Heading2"/>
        <w:numPr>
          <w:ilvl w:val="1"/>
          <w:numId w:val="12"/>
        </w:numPr>
      </w:pPr>
      <w:r w:rsidRPr="00FE5979">
        <w:t xml:space="preserve">To note the progress report on the implementation of </w:t>
      </w:r>
      <w:r w:rsidRPr="00FE5979">
        <w:rPr>
          <w:b/>
        </w:rPr>
        <w:t>phase II of the national plan for the phase</w:t>
      </w:r>
      <w:r w:rsidRPr="00FE5979">
        <w:rPr>
          <w:b/>
        </w:rPr>
        <w:noBreakHyphen/>
        <w:t>out of</w:t>
      </w:r>
      <w:r w:rsidRPr="00FE5979">
        <w:t xml:space="preserve"> the methyl bromide (MB) in China submitted by UNIDO, contained in document UNEP/</w:t>
      </w:r>
      <w:proofErr w:type="spellStart"/>
      <w:r w:rsidRPr="00FE5979">
        <w:t>OzL.Pro</w:t>
      </w:r>
      <w:proofErr w:type="spellEnd"/>
      <w:r w:rsidRPr="00FE5979">
        <w:t>/</w:t>
      </w:r>
      <w:proofErr w:type="spellStart"/>
      <w:r w:rsidRPr="00FE5979">
        <w:t>ExCom</w:t>
      </w:r>
      <w:proofErr w:type="spellEnd"/>
      <w:r w:rsidRPr="00FE5979">
        <w:t>/82/20;</w:t>
      </w:r>
    </w:p>
    <w:p w:rsidR="00AD221F" w:rsidRPr="00FE5979" w:rsidRDefault="00AD221F" w:rsidP="00AD221F">
      <w:pPr>
        <w:pStyle w:val="Heading2"/>
        <w:numPr>
          <w:ilvl w:val="1"/>
          <w:numId w:val="12"/>
        </w:numPr>
      </w:pPr>
      <w:r w:rsidRPr="00FE5979">
        <w:t xml:space="preserve"> To note that the maximum level of consumption of MB for China in 2017 was zero, as in the Agreement between the Government and the Executive Committee, except for any critical-use exemptions approved by the Parties to the Montreal Protocol; and</w:t>
      </w:r>
    </w:p>
    <w:p w:rsidR="00AB6696" w:rsidRPr="00F4406E" w:rsidRDefault="00AD221F" w:rsidP="00AD221F">
      <w:pPr>
        <w:pStyle w:val="Heading2"/>
        <w:numPr>
          <w:ilvl w:val="1"/>
          <w:numId w:val="12"/>
        </w:numPr>
        <w:rPr>
          <w:lang w:val="en-CA"/>
        </w:rPr>
      </w:pPr>
      <w:r w:rsidRPr="00FE5979">
        <w:t>To request the Government of China and UNIDO to submit to the 83</w:t>
      </w:r>
      <w:r w:rsidRPr="00FE5979">
        <w:rPr>
          <w:vertAlign w:val="superscript"/>
        </w:rPr>
        <w:t xml:space="preserve">rd </w:t>
      </w:r>
      <w:r w:rsidRPr="00FE5979">
        <w:t xml:space="preserve">meeting the final report </w:t>
      </w:r>
      <w:r w:rsidRPr="00FE5979">
        <w:rPr>
          <w:b/>
        </w:rPr>
        <w:t>of phase II of the national plan for the phase</w:t>
      </w:r>
      <w:r w:rsidRPr="00FE5979">
        <w:rPr>
          <w:b/>
        </w:rPr>
        <w:noBreakHyphen/>
        <w:t>out of MB</w:t>
      </w:r>
      <w:r w:rsidRPr="00FE5979">
        <w:t xml:space="preserve"> in China, to return any balances to the Multilateral Fund, and to submit the project completion report, no later than the 84</w:t>
      </w:r>
      <w:r w:rsidRPr="00FE5979">
        <w:rPr>
          <w:vertAlign w:val="superscript"/>
        </w:rPr>
        <w:t>th</w:t>
      </w:r>
      <w:r w:rsidR="009C0DCB">
        <w:rPr>
          <w:vertAlign w:val="superscript"/>
        </w:rPr>
        <w:t> </w:t>
      </w:r>
      <w:r w:rsidRPr="00FE5979">
        <w:t>meeting.</w:t>
      </w:r>
    </w:p>
    <w:p w:rsidR="00473E39" w:rsidRPr="00F4406E" w:rsidRDefault="00473E39" w:rsidP="00AB6696">
      <w:pPr>
        <w:rPr>
          <w:b/>
          <w:lang w:val="en-CA"/>
        </w:rPr>
      </w:pPr>
      <w:r w:rsidRPr="00F4406E">
        <w:rPr>
          <w:b/>
          <w:lang w:val="en-CA"/>
        </w:rPr>
        <w:t>Sector phase-out plan of MB production for China (UNIDO)</w:t>
      </w:r>
    </w:p>
    <w:p w:rsidR="00473E39" w:rsidRPr="00F4406E" w:rsidRDefault="00473E39" w:rsidP="00473E39">
      <w:pPr>
        <w:rPr>
          <w:lang w:val="en-CA"/>
        </w:rPr>
      </w:pPr>
    </w:p>
    <w:p w:rsidR="00473E39" w:rsidRPr="00F4406E" w:rsidRDefault="00473E39" w:rsidP="00473E39">
      <w:pPr>
        <w:pStyle w:val="Heading1"/>
        <w:rPr>
          <w:lang w:val="en-CA"/>
        </w:rPr>
      </w:pPr>
      <w:r w:rsidRPr="00F4406E">
        <w:rPr>
          <w:lang w:val="en-CA"/>
        </w:rPr>
        <w:t>UNIDO, on behalf of the Government of China, had submitted to the 82</w:t>
      </w:r>
      <w:r w:rsidRPr="00F4406E">
        <w:rPr>
          <w:vertAlign w:val="superscript"/>
          <w:lang w:val="en-CA"/>
        </w:rPr>
        <w:t>nd </w:t>
      </w:r>
      <w:r w:rsidRPr="00F4406E">
        <w:rPr>
          <w:lang w:val="en-CA"/>
        </w:rPr>
        <w:t xml:space="preserve">meeting, a report on the status of implementation of the sector plan for the phase-out of MB production, and the 2017 production and controlled use verification report, in line with decision 73/56(b). </w:t>
      </w:r>
    </w:p>
    <w:p w:rsidR="00473E39" w:rsidRPr="00F4406E" w:rsidRDefault="00473E39" w:rsidP="00473E39">
      <w:pPr>
        <w:keepNext/>
        <w:rPr>
          <w:b/>
          <w:lang w:val="en-CA"/>
        </w:rPr>
      </w:pPr>
      <w:r w:rsidRPr="00F4406E">
        <w:rPr>
          <w:b/>
          <w:lang w:val="en-CA"/>
        </w:rPr>
        <w:t>Background</w:t>
      </w:r>
    </w:p>
    <w:p w:rsidR="00473E39" w:rsidRPr="00F4406E" w:rsidRDefault="00473E39" w:rsidP="00473E39">
      <w:pPr>
        <w:keepNext/>
        <w:rPr>
          <w:i/>
          <w:u w:val="single"/>
          <w:lang w:val="en-CA"/>
        </w:rPr>
      </w:pPr>
    </w:p>
    <w:p w:rsidR="00473E39" w:rsidRPr="009A010C" w:rsidRDefault="00473E39" w:rsidP="00473E39">
      <w:pPr>
        <w:pStyle w:val="Heading1"/>
        <w:keepNext/>
        <w:rPr>
          <w:lang w:val="en-CA"/>
        </w:rPr>
      </w:pPr>
      <w:r w:rsidRPr="00F4406E">
        <w:rPr>
          <w:lang w:val="en-CA"/>
        </w:rPr>
        <w:t>The Executive Committee approved the fourth (and final) tranche of the sector plan of the phase</w:t>
      </w:r>
      <w:r w:rsidRPr="00F4406E">
        <w:rPr>
          <w:lang w:val="en-CA"/>
        </w:rPr>
        <w:noBreakHyphen/>
        <w:t>out of MB production at the 73</w:t>
      </w:r>
      <w:r w:rsidRPr="00F4406E">
        <w:rPr>
          <w:vertAlign w:val="superscript"/>
          <w:lang w:val="en-CA"/>
        </w:rPr>
        <w:t>rd </w:t>
      </w:r>
      <w:r w:rsidRPr="00F4406E">
        <w:rPr>
          <w:lang w:val="en-CA"/>
        </w:rPr>
        <w:t>meeting, on the understanding that the Government would continue to use existing balances to undertake activities for the phase-out of MB production, and that all project activities would be completed no later than 31 December 2018, and r</w:t>
      </w:r>
      <w:r w:rsidRPr="009A010C">
        <w:rPr>
          <w:lang w:val="en-CA"/>
        </w:rPr>
        <w:t xml:space="preserve">equested the Government and UNIDO to submit the project completion report no later than the first meeting in 2019 (decision 73/56). </w:t>
      </w:r>
    </w:p>
    <w:p w:rsidR="00473E39" w:rsidRPr="009A010C" w:rsidRDefault="00473E39" w:rsidP="00473E39">
      <w:pPr>
        <w:pStyle w:val="Heading1"/>
        <w:rPr>
          <w:lang w:val="en-CA"/>
        </w:rPr>
      </w:pPr>
      <w:r w:rsidRPr="009A010C">
        <w:rPr>
          <w:lang w:val="en-CA"/>
        </w:rPr>
        <w:t>The Agreement with the Executive Committee specified a maximum annual allowable production of MB for controlled uses for 2015 and beyond of zero save for QPS, feedstock and critical uses to be approved by the Parties. The Parties authorized 92.977 metric tonnes (</w:t>
      </w:r>
      <w:proofErr w:type="spellStart"/>
      <w:r w:rsidRPr="009A010C">
        <w:rPr>
          <w:lang w:val="en-CA"/>
        </w:rPr>
        <w:t>mt</w:t>
      </w:r>
      <w:proofErr w:type="spellEnd"/>
      <w:r w:rsidRPr="009A010C">
        <w:rPr>
          <w:lang w:val="en-CA"/>
        </w:rPr>
        <w:t>) and 87.24 </w:t>
      </w:r>
      <w:proofErr w:type="spellStart"/>
      <w:r w:rsidRPr="009A010C">
        <w:rPr>
          <w:lang w:val="en-CA"/>
        </w:rPr>
        <w:t>mt</w:t>
      </w:r>
      <w:proofErr w:type="spellEnd"/>
      <w:r w:rsidRPr="009A010C">
        <w:rPr>
          <w:lang w:val="en-CA"/>
        </w:rPr>
        <w:t xml:space="preserve"> for CUEs for China for 2017 and 2018, respectively. The Government of China did not submit a critical-use nomination for production for </w:t>
      </w:r>
      <w:r w:rsidRPr="009A010C">
        <w:rPr>
          <w:lang w:val="en-CA"/>
        </w:rPr>
        <w:lastRenderedPageBreak/>
        <w:t xml:space="preserve">2019. The 2017 verification report confirmed that China’s production was consistent with the Agreement. The Government reported under Article 7 of the Montreal Protocol MB production that is consistent with the verification report; Article 7 data for 2018 is not yet available. </w:t>
      </w:r>
    </w:p>
    <w:p w:rsidR="00473E39" w:rsidRPr="00F4406E" w:rsidRDefault="00473E39" w:rsidP="00473E39">
      <w:pPr>
        <w:rPr>
          <w:b/>
          <w:lang w:val="en-CA"/>
        </w:rPr>
      </w:pPr>
      <w:r w:rsidRPr="00F4406E">
        <w:rPr>
          <w:b/>
          <w:lang w:val="en-CA"/>
        </w:rPr>
        <w:t>Table </w:t>
      </w:r>
      <w:r w:rsidR="00A51632" w:rsidRPr="00F4406E">
        <w:rPr>
          <w:b/>
          <w:lang w:val="en-CA"/>
        </w:rPr>
        <w:t>4</w:t>
      </w:r>
      <w:r w:rsidRPr="00F4406E">
        <w:rPr>
          <w:b/>
          <w:lang w:val="en-CA"/>
        </w:rPr>
        <w:t>. 2017 Article 7, verified MB production, and authorized CUEs for China (</w:t>
      </w:r>
      <w:proofErr w:type="spellStart"/>
      <w:r w:rsidRPr="00F4406E">
        <w:rPr>
          <w:b/>
          <w:lang w:val="en-CA"/>
        </w:rPr>
        <w:t>mt</w:t>
      </w:r>
      <w:proofErr w:type="spellEnd"/>
      <w:r w:rsidRPr="00F4406E">
        <w:rPr>
          <w:b/>
          <w:lang w:val="en-CA"/>
        </w:rPr>
        <w:t>)</w:t>
      </w:r>
    </w:p>
    <w:tbl>
      <w:tblPr>
        <w:tblW w:w="5000" w:type="pct"/>
        <w:tblLook w:val="04A0" w:firstRow="1" w:lastRow="0" w:firstColumn="1" w:lastColumn="0" w:noHBand="0" w:noVBand="1"/>
      </w:tblPr>
      <w:tblGrid>
        <w:gridCol w:w="7195"/>
        <w:gridCol w:w="2335"/>
      </w:tblGrid>
      <w:tr w:rsidR="00473E39" w:rsidRPr="00F4406E" w:rsidTr="000354F9">
        <w:trPr>
          <w:trHeight w:val="62"/>
        </w:trPr>
        <w:tc>
          <w:tcPr>
            <w:tcW w:w="3775" w:type="pct"/>
            <w:tcBorders>
              <w:top w:val="single" w:sz="4" w:space="0" w:color="auto"/>
              <w:left w:val="single" w:sz="4" w:space="0" w:color="auto"/>
              <w:bottom w:val="single" w:sz="4" w:space="0" w:color="auto"/>
              <w:right w:val="single" w:sz="4" w:space="0" w:color="auto"/>
            </w:tcBorders>
            <w:shd w:val="clear" w:color="auto" w:fill="auto"/>
            <w:noWrap/>
            <w:hideMark/>
          </w:tcPr>
          <w:p w:rsidR="00473E39" w:rsidRPr="00F4406E" w:rsidRDefault="00473E39" w:rsidP="000354F9">
            <w:pPr>
              <w:jc w:val="left"/>
              <w:rPr>
                <w:b/>
                <w:sz w:val="20"/>
                <w:szCs w:val="20"/>
                <w:lang w:val="en-CA"/>
              </w:rPr>
            </w:pPr>
            <w:r w:rsidRPr="00F4406E">
              <w:rPr>
                <w:b/>
                <w:sz w:val="20"/>
                <w:szCs w:val="20"/>
                <w:lang w:val="en-CA"/>
              </w:rPr>
              <w:t>MB production</w:t>
            </w:r>
          </w:p>
        </w:tc>
        <w:tc>
          <w:tcPr>
            <w:tcW w:w="1225" w:type="pct"/>
            <w:tcBorders>
              <w:top w:val="single" w:sz="4" w:space="0" w:color="auto"/>
              <w:left w:val="nil"/>
              <w:bottom w:val="single" w:sz="4" w:space="0" w:color="auto"/>
              <w:right w:val="single" w:sz="4" w:space="0" w:color="auto"/>
            </w:tcBorders>
            <w:shd w:val="clear" w:color="auto" w:fill="auto"/>
            <w:noWrap/>
            <w:hideMark/>
          </w:tcPr>
          <w:p w:rsidR="00473E39" w:rsidRPr="00F4406E" w:rsidRDefault="00473E39" w:rsidP="000354F9">
            <w:pPr>
              <w:jc w:val="center"/>
              <w:rPr>
                <w:b/>
                <w:sz w:val="20"/>
                <w:szCs w:val="20"/>
                <w:lang w:val="en-CA"/>
              </w:rPr>
            </w:pPr>
            <w:r w:rsidRPr="00F4406E">
              <w:rPr>
                <w:b/>
                <w:sz w:val="20"/>
                <w:szCs w:val="20"/>
                <w:lang w:val="en-CA"/>
              </w:rPr>
              <w:t>2017</w:t>
            </w:r>
          </w:p>
        </w:tc>
      </w:tr>
      <w:tr w:rsidR="00473E39" w:rsidRPr="00F4406E" w:rsidTr="000354F9">
        <w:tc>
          <w:tcPr>
            <w:tcW w:w="3775" w:type="pct"/>
            <w:tcBorders>
              <w:top w:val="nil"/>
              <w:left w:val="single" w:sz="4" w:space="0" w:color="auto"/>
              <w:bottom w:val="single" w:sz="4" w:space="0" w:color="auto"/>
              <w:right w:val="single" w:sz="4" w:space="0" w:color="auto"/>
            </w:tcBorders>
            <w:shd w:val="clear" w:color="auto" w:fill="auto"/>
            <w:noWrap/>
            <w:hideMark/>
          </w:tcPr>
          <w:p w:rsidR="00473E39" w:rsidRPr="00F4406E" w:rsidRDefault="00473E39" w:rsidP="000354F9">
            <w:pPr>
              <w:rPr>
                <w:sz w:val="20"/>
                <w:szCs w:val="20"/>
                <w:lang w:val="en-CA"/>
              </w:rPr>
            </w:pPr>
            <w:r w:rsidRPr="00F4406E">
              <w:rPr>
                <w:sz w:val="20"/>
                <w:szCs w:val="20"/>
                <w:lang w:val="en-CA"/>
              </w:rPr>
              <w:t>Article 7 production for controlled uses</w:t>
            </w:r>
          </w:p>
        </w:tc>
        <w:tc>
          <w:tcPr>
            <w:tcW w:w="1225" w:type="pct"/>
            <w:tcBorders>
              <w:top w:val="nil"/>
              <w:left w:val="nil"/>
              <w:bottom w:val="single" w:sz="4" w:space="0" w:color="auto"/>
              <w:right w:val="single" w:sz="4" w:space="0" w:color="auto"/>
            </w:tcBorders>
            <w:shd w:val="clear" w:color="auto" w:fill="auto"/>
            <w:noWrap/>
            <w:hideMark/>
          </w:tcPr>
          <w:p w:rsidR="00473E39" w:rsidRPr="00F4406E" w:rsidRDefault="00473E39" w:rsidP="000354F9">
            <w:pPr>
              <w:jc w:val="right"/>
              <w:rPr>
                <w:sz w:val="20"/>
                <w:szCs w:val="20"/>
                <w:lang w:val="en-CA"/>
              </w:rPr>
            </w:pPr>
            <w:r w:rsidRPr="00F4406E">
              <w:rPr>
                <w:sz w:val="20"/>
                <w:szCs w:val="20"/>
                <w:lang w:val="en-CA"/>
              </w:rPr>
              <w:t>92.92</w:t>
            </w:r>
          </w:p>
        </w:tc>
      </w:tr>
      <w:tr w:rsidR="00473E39" w:rsidRPr="00F4406E" w:rsidTr="000354F9">
        <w:tc>
          <w:tcPr>
            <w:tcW w:w="3775" w:type="pct"/>
            <w:tcBorders>
              <w:top w:val="nil"/>
              <w:left w:val="single" w:sz="4" w:space="0" w:color="auto"/>
              <w:bottom w:val="single" w:sz="4" w:space="0" w:color="auto"/>
              <w:right w:val="single" w:sz="4" w:space="0" w:color="auto"/>
            </w:tcBorders>
            <w:shd w:val="clear" w:color="auto" w:fill="auto"/>
            <w:noWrap/>
            <w:hideMark/>
          </w:tcPr>
          <w:p w:rsidR="00473E39" w:rsidRPr="00F4406E" w:rsidRDefault="00473E39" w:rsidP="000354F9">
            <w:pPr>
              <w:rPr>
                <w:sz w:val="20"/>
                <w:szCs w:val="20"/>
                <w:lang w:val="en-CA"/>
              </w:rPr>
            </w:pPr>
            <w:r w:rsidRPr="00F4406E">
              <w:rPr>
                <w:sz w:val="20"/>
                <w:szCs w:val="20"/>
                <w:lang w:val="en-CA"/>
              </w:rPr>
              <w:t>Verified production for controlled uses</w:t>
            </w:r>
          </w:p>
        </w:tc>
        <w:tc>
          <w:tcPr>
            <w:tcW w:w="1225" w:type="pct"/>
            <w:tcBorders>
              <w:top w:val="nil"/>
              <w:left w:val="nil"/>
              <w:bottom w:val="single" w:sz="4" w:space="0" w:color="auto"/>
              <w:right w:val="single" w:sz="4" w:space="0" w:color="auto"/>
            </w:tcBorders>
            <w:shd w:val="clear" w:color="auto" w:fill="auto"/>
            <w:noWrap/>
            <w:hideMark/>
          </w:tcPr>
          <w:p w:rsidR="00473E39" w:rsidRPr="00F4406E" w:rsidRDefault="00473E39" w:rsidP="000354F9">
            <w:pPr>
              <w:jc w:val="right"/>
              <w:rPr>
                <w:sz w:val="20"/>
                <w:szCs w:val="20"/>
                <w:lang w:val="en-CA"/>
              </w:rPr>
            </w:pPr>
            <w:r w:rsidRPr="00F4406E">
              <w:rPr>
                <w:sz w:val="20"/>
                <w:szCs w:val="20"/>
                <w:lang w:val="en-CA"/>
              </w:rPr>
              <w:t>92.916</w:t>
            </w:r>
          </w:p>
        </w:tc>
      </w:tr>
      <w:tr w:rsidR="00473E39" w:rsidRPr="00F4406E" w:rsidTr="000354F9">
        <w:tc>
          <w:tcPr>
            <w:tcW w:w="3775" w:type="pct"/>
            <w:tcBorders>
              <w:top w:val="nil"/>
              <w:left w:val="single" w:sz="4" w:space="0" w:color="auto"/>
              <w:bottom w:val="single" w:sz="4" w:space="0" w:color="auto"/>
              <w:right w:val="single" w:sz="4" w:space="0" w:color="auto"/>
            </w:tcBorders>
            <w:shd w:val="clear" w:color="auto" w:fill="auto"/>
            <w:noWrap/>
            <w:hideMark/>
          </w:tcPr>
          <w:p w:rsidR="00473E39" w:rsidRPr="00F4406E" w:rsidRDefault="00473E39" w:rsidP="000354F9">
            <w:pPr>
              <w:rPr>
                <w:sz w:val="20"/>
                <w:szCs w:val="20"/>
                <w:lang w:val="en-CA"/>
              </w:rPr>
            </w:pPr>
            <w:r w:rsidRPr="00F4406E">
              <w:rPr>
                <w:sz w:val="20"/>
                <w:szCs w:val="20"/>
                <w:lang w:val="en-CA"/>
              </w:rPr>
              <w:t xml:space="preserve">CUEs authorized by the Parties </w:t>
            </w:r>
          </w:p>
        </w:tc>
        <w:tc>
          <w:tcPr>
            <w:tcW w:w="1225" w:type="pct"/>
            <w:tcBorders>
              <w:top w:val="nil"/>
              <w:left w:val="nil"/>
              <w:bottom w:val="single" w:sz="4" w:space="0" w:color="auto"/>
              <w:right w:val="single" w:sz="4" w:space="0" w:color="auto"/>
            </w:tcBorders>
            <w:shd w:val="clear" w:color="auto" w:fill="auto"/>
            <w:noWrap/>
            <w:hideMark/>
          </w:tcPr>
          <w:p w:rsidR="00473E39" w:rsidRPr="00F4406E" w:rsidRDefault="00473E39" w:rsidP="000354F9">
            <w:pPr>
              <w:jc w:val="right"/>
              <w:rPr>
                <w:sz w:val="20"/>
                <w:szCs w:val="20"/>
                <w:lang w:val="en-CA"/>
              </w:rPr>
            </w:pPr>
            <w:r w:rsidRPr="00F4406E">
              <w:rPr>
                <w:sz w:val="20"/>
                <w:szCs w:val="20"/>
                <w:lang w:val="en-CA"/>
              </w:rPr>
              <w:t>92.977</w:t>
            </w:r>
          </w:p>
        </w:tc>
      </w:tr>
    </w:tbl>
    <w:p w:rsidR="00473E39" w:rsidRPr="00F4406E" w:rsidRDefault="00473E39" w:rsidP="00473E39">
      <w:pPr>
        <w:rPr>
          <w:lang w:val="en-CA"/>
        </w:rPr>
      </w:pPr>
    </w:p>
    <w:p w:rsidR="00473E39" w:rsidRPr="00F4406E" w:rsidRDefault="00473E39" w:rsidP="00473E39">
      <w:pPr>
        <w:pStyle w:val="CM18"/>
        <w:jc w:val="both"/>
        <w:rPr>
          <w:sz w:val="22"/>
          <w:szCs w:val="22"/>
          <w:u w:val="single"/>
          <w:lang w:val="en-CA"/>
        </w:rPr>
      </w:pPr>
      <w:r w:rsidRPr="00F4406E">
        <w:rPr>
          <w:sz w:val="22"/>
          <w:szCs w:val="22"/>
          <w:u w:val="single"/>
          <w:lang w:val="en-CA"/>
        </w:rPr>
        <w:t>Progress report from 2017</w:t>
      </w:r>
    </w:p>
    <w:p w:rsidR="00473E39" w:rsidRPr="00F4406E" w:rsidRDefault="00473E39" w:rsidP="00473E39">
      <w:pPr>
        <w:pStyle w:val="Heading1"/>
        <w:rPr>
          <w:lang w:val="en-CA"/>
        </w:rPr>
      </w:pPr>
      <w:r w:rsidRPr="00F4406E">
        <w:rPr>
          <w:lang w:val="en-CA"/>
        </w:rPr>
        <w:t>Of the US $9.79 million approved, a total of US $7,716,101 has been disbursed, including compensation provided to the three MB producers, as shown in Table </w:t>
      </w:r>
      <w:r w:rsidR="00A51632" w:rsidRPr="00F4406E">
        <w:rPr>
          <w:lang w:val="en-CA"/>
        </w:rPr>
        <w:t>5</w:t>
      </w:r>
      <w:r w:rsidRPr="00F4406E">
        <w:rPr>
          <w:lang w:val="en-CA"/>
        </w:rPr>
        <w:t>. Payments for technical assistance cooperation projects with AQSIQ (Table 20 of UNEP/</w:t>
      </w:r>
      <w:proofErr w:type="spellStart"/>
      <w:r w:rsidRPr="00F4406E">
        <w:rPr>
          <w:lang w:val="en-CA"/>
        </w:rPr>
        <w:t>OzL.Pro</w:t>
      </w:r>
      <w:proofErr w:type="spellEnd"/>
      <w:r w:rsidRPr="00F4406E">
        <w:rPr>
          <w:lang w:val="en-CA"/>
        </w:rPr>
        <w:t>/</w:t>
      </w:r>
      <w:proofErr w:type="spellStart"/>
      <w:r w:rsidRPr="00F4406E">
        <w:rPr>
          <w:lang w:val="en-CA"/>
        </w:rPr>
        <w:t>ExCom</w:t>
      </w:r>
      <w:proofErr w:type="spellEnd"/>
      <w:r w:rsidRPr="00F4406E">
        <w:rPr>
          <w:lang w:val="en-CA"/>
        </w:rPr>
        <w:t xml:space="preserve">/80/12), AQSIQ training, public awareness and management and information system (MIS), for research and development (R&amp;D) and MB alternatives registration, and for monitoring and supervision were expected to be disbursed by 30 June 2019, based on activities that will be completed by 31 December 2018 or shortly thereafter. </w:t>
      </w:r>
    </w:p>
    <w:p w:rsidR="00473E39" w:rsidRPr="009A010C" w:rsidRDefault="00473E39" w:rsidP="00473E39">
      <w:pPr>
        <w:rPr>
          <w:b/>
          <w:lang w:val="en-CA"/>
        </w:rPr>
      </w:pPr>
      <w:r w:rsidRPr="00F4406E">
        <w:rPr>
          <w:b/>
          <w:lang w:val="en-CA"/>
        </w:rPr>
        <w:t>Table </w:t>
      </w:r>
      <w:r w:rsidR="00A51632" w:rsidRPr="00F4406E">
        <w:rPr>
          <w:b/>
          <w:lang w:val="en-CA"/>
        </w:rPr>
        <w:t>5</w:t>
      </w:r>
      <w:r w:rsidRPr="00F4406E">
        <w:rPr>
          <w:b/>
          <w:lang w:val="en-CA"/>
        </w:rPr>
        <w:t>. MB production</w:t>
      </w:r>
      <w:r w:rsidRPr="009A010C">
        <w:rPr>
          <w:b/>
          <w:lang w:val="en-CA"/>
        </w:rPr>
        <w:t xml:space="preserve"> allocation and disbursement </w:t>
      </w:r>
    </w:p>
    <w:tbl>
      <w:tblPr>
        <w:tblW w:w="0" w:type="auto"/>
        <w:tblLook w:val="04A0" w:firstRow="1" w:lastRow="0" w:firstColumn="1" w:lastColumn="0" w:noHBand="0" w:noVBand="1"/>
      </w:tblPr>
      <w:tblGrid>
        <w:gridCol w:w="1535"/>
        <w:gridCol w:w="1047"/>
        <w:gridCol w:w="1025"/>
        <w:gridCol w:w="1117"/>
        <w:gridCol w:w="1465"/>
        <w:gridCol w:w="1468"/>
        <w:gridCol w:w="867"/>
        <w:gridCol w:w="1006"/>
      </w:tblGrid>
      <w:tr w:rsidR="00473E39" w:rsidRPr="009A010C" w:rsidTr="000354F9">
        <w:trPr>
          <w:trHeight w:val="765"/>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3E39" w:rsidRPr="009A010C" w:rsidRDefault="00473E39" w:rsidP="000354F9">
            <w:pPr>
              <w:jc w:val="left"/>
              <w:rPr>
                <w:b/>
                <w:bCs/>
                <w:color w:val="000000"/>
                <w:sz w:val="18"/>
                <w:szCs w:val="18"/>
                <w:lang w:val="en-CA" w:eastAsia="en-CA"/>
              </w:rPr>
            </w:pPr>
            <w:r w:rsidRPr="009A010C">
              <w:rPr>
                <w:b/>
                <w:bCs/>
                <w:color w:val="000000"/>
                <w:sz w:val="18"/>
                <w:szCs w:val="18"/>
                <w:lang w:val="en-CA" w:eastAsia="en-CA"/>
              </w:rPr>
              <w:t>Activity</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3E39" w:rsidRPr="009A010C" w:rsidRDefault="00473E39" w:rsidP="000354F9">
            <w:pPr>
              <w:jc w:val="center"/>
              <w:rPr>
                <w:b/>
                <w:bCs/>
                <w:color w:val="000000"/>
                <w:sz w:val="18"/>
                <w:szCs w:val="18"/>
                <w:lang w:val="en-CA" w:eastAsia="en-CA"/>
              </w:rPr>
            </w:pPr>
            <w:r w:rsidRPr="009A010C">
              <w:rPr>
                <w:b/>
                <w:bCs/>
                <w:color w:val="000000"/>
                <w:sz w:val="18"/>
                <w:szCs w:val="18"/>
                <w:lang w:val="en-CA" w:eastAsia="en-CA"/>
              </w:rPr>
              <w:t>Allocation (US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3E39" w:rsidRPr="009A010C" w:rsidRDefault="00473E39" w:rsidP="000354F9">
            <w:pPr>
              <w:jc w:val="center"/>
              <w:rPr>
                <w:b/>
                <w:bCs/>
                <w:color w:val="000000"/>
                <w:sz w:val="18"/>
                <w:szCs w:val="18"/>
                <w:lang w:val="en-CA" w:eastAsia="en-CA"/>
              </w:rPr>
            </w:pPr>
            <w:r w:rsidRPr="009A010C">
              <w:rPr>
                <w:b/>
                <w:bCs/>
                <w:color w:val="000000"/>
                <w:sz w:val="18"/>
                <w:szCs w:val="18"/>
                <w:lang w:val="en-CA" w:eastAsia="en-CA"/>
              </w:rPr>
              <w:t>Contract amount (US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3E39" w:rsidRPr="009A010C" w:rsidRDefault="00473E39" w:rsidP="000354F9">
            <w:pPr>
              <w:jc w:val="center"/>
              <w:rPr>
                <w:b/>
                <w:bCs/>
                <w:color w:val="000000"/>
                <w:sz w:val="18"/>
                <w:szCs w:val="18"/>
                <w:lang w:val="en-CA" w:eastAsia="en-CA"/>
              </w:rPr>
            </w:pPr>
            <w:r w:rsidRPr="009A010C">
              <w:rPr>
                <w:b/>
                <w:bCs/>
                <w:color w:val="000000"/>
                <w:sz w:val="18"/>
                <w:szCs w:val="18"/>
                <w:lang w:val="en-CA" w:eastAsia="en-CA"/>
              </w:rPr>
              <w:t>Disbursed 30 Sep. 2018 (US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3E39" w:rsidRPr="009A010C" w:rsidRDefault="00473E39" w:rsidP="000354F9">
            <w:pPr>
              <w:jc w:val="center"/>
              <w:rPr>
                <w:b/>
                <w:bCs/>
                <w:color w:val="000000"/>
                <w:sz w:val="18"/>
                <w:szCs w:val="18"/>
                <w:lang w:val="en-CA" w:eastAsia="en-CA"/>
              </w:rPr>
            </w:pPr>
            <w:r w:rsidRPr="009A010C">
              <w:rPr>
                <w:b/>
                <w:bCs/>
                <w:color w:val="000000"/>
                <w:sz w:val="18"/>
                <w:szCs w:val="18"/>
                <w:lang w:val="en-CA" w:eastAsia="en-CA"/>
              </w:rPr>
              <w:t>Expected Disbursement 31 Dec. 2018 (US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3E39" w:rsidRPr="009A010C" w:rsidRDefault="00473E39" w:rsidP="000354F9">
            <w:pPr>
              <w:jc w:val="center"/>
              <w:rPr>
                <w:b/>
                <w:bCs/>
                <w:color w:val="000000"/>
                <w:sz w:val="18"/>
                <w:szCs w:val="18"/>
                <w:lang w:val="en-CA" w:eastAsia="en-CA"/>
              </w:rPr>
            </w:pPr>
            <w:r w:rsidRPr="009A010C">
              <w:rPr>
                <w:b/>
                <w:bCs/>
                <w:color w:val="000000"/>
                <w:sz w:val="18"/>
                <w:szCs w:val="18"/>
                <w:lang w:val="en-CA" w:eastAsia="en-CA"/>
              </w:rPr>
              <w:t>Expected Disbursement 30 June 2019 (US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3E39" w:rsidRPr="009A010C" w:rsidRDefault="00473E39" w:rsidP="000354F9">
            <w:pPr>
              <w:jc w:val="center"/>
              <w:rPr>
                <w:b/>
                <w:bCs/>
                <w:color w:val="000000"/>
                <w:sz w:val="18"/>
                <w:szCs w:val="18"/>
                <w:lang w:val="en-CA" w:eastAsia="en-CA"/>
              </w:rPr>
            </w:pPr>
            <w:r w:rsidRPr="009A010C">
              <w:rPr>
                <w:b/>
                <w:bCs/>
                <w:color w:val="000000"/>
                <w:sz w:val="18"/>
                <w:szCs w:val="18"/>
                <w:lang w:val="en-CA" w:eastAsia="en-CA"/>
              </w:rPr>
              <w:t>Balance (US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3E39" w:rsidRPr="009A010C" w:rsidRDefault="00473E39" w:rsidP="000354F9">
            <w:pPr>
              <w:jc w:val="center"/>
              <w:rPr>
                <w:b/>
                <w:bCs/>
                <w:color w:val="000000"/>
                <w:sz w:val="18"/>
                <w:szCs w:val="18"/>
                <w:lang w:val="en-CA" w:eastAsia="en-CA"/>
              </w:rPr>
            </w:pPr>
            <w:r w:rsidRPr="009A010C">
              <w:rPr>
                <w:b/>
                <w:bCs/>
                <w:color w:val="000000"/>
                <w:sz w:val="18"/>
                <w:szCs w:val="18"/>
                <w:lang w:val="en-CA" w:eastAsia="en-CA"/>
              </w:rPr>
              <w:t>Status</w:t>
            </w:r>
          </w:p>
        </w:tc>
      </w:tr>
      <w:tr w:rsidR="00473E39" w:rsidRPr="009A010C" w:rsidTr="000354F9">
        <w:trPr>
          <w:trHeight w:val="5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sz w:val="18"/>
                <w:szCs w:val="18"/>
                <w:lang w:val="en-CA" w:eastAsia="en-CA"/>
              </w:rPr>
              <w:t>Compensation to MB producers (2005-2015)</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3,818,253</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3,818,253</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3,818,253</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5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sz w:val="18"/>
                <w:szCs w:val="18"/>
                <w:lang w:val="en-CA" w:eastAsia="en-CA"/>
              </w:rPr>
              <w:t>Additional one</w:t>
            </w:r>
            <w:r w:rsidRPr="009A010C">
              <w:rPr>
                <w:color w:val="000000"/>
                <w:sz w:val="18"/>
                <w:szCs w:val="18"/>
                <w:lang w:val="en-CA" w:eastAsia="en-CA"/>
              </w:rPr>
              <w:noBreakHyphen/>
              <w:t>off compensation to MB producers (2016-2018)</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1,806,279</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1,806,279</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1,806,279</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sz w:val="18"/>
                <w:szCs w:val="18"/>
                <w:lang w:val="en-CA" w:eastAsia="en-CA"/>
              </w:rPr>
              <w:t>Disposal of MB stock</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156,438</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156,438</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156,438</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MB Feedstock uses survey (2010-2012)</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54,000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54,000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54,000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International consultants (UNIDO)</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200,000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200,000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200,000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themeColor="text1"/>
                <w:sz w:val="18"/>
                <w:szCs w:val="18"/>
                <w:lang w:val="en-CA" w:eastAsia="en-CA"/>
              </w:rPr>
            </w:pPr>
            <w:r w:rsidRPr="009A010C">
              <w:rPr>
                <w:color w:val="000000" w:themeColor="text1"/>
                <w:sz w:val="18"/>
                <w:szCs w:val="18"/>
                <w:lang w:val="en-CA" w:eastAsia="en-CA"/>
              </w:rPr>
              <w:t>Monitoring and supervision (2007-2014)</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themeColor="text1"/>
                <w:sz w:val="18"/>
                <w:szCs w:val="18"/>
                <w:lang w:val="en-CA" w:eastAsia="en-CA"/>
              </w:rPr>
            </w:pPr>
            <w:r w:rsidRPr="009A010C">
              <w:rPr>
                <w:color w:val="000000" w:themeColor="text1"/>
                <w:sz w:val="18"/>
                <w:szCs w:val="18"/>
                <w:lang w:val="en-CA" w:eastAsia="en-CA"/>
              </w:rPr>
              <w:t>84,787</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themeColor="text1"/>
                <w:sz w:val="18"/>
                <w:szCs w:val="18"/>
                <w:lang w:val="en-CA" w:eastAsia="en-CA"/>
              </w:rPr>
            </w:pPr>
            <w:r w:rsidRPr="009A010C">
              <w:rPr>
                <w:color w:val="000000" w:themeColor="text1"/>
                <w:sz w:val="18"/>
                <w:szCs w:val="18"/>
                <w:lang w:val="en-CA" w:eastAsia="en-CA"/>
              </w:rPr>
              <w:t>84,787</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84,787</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Monitoring and supervision (2015-2018)</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220,000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191,297</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181,297</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5,000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5,000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28,703</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Ongoing</w:t>
            </w:r>
          </w:p>
        </w:tc>
      </w:tr>
      <w:tr w:rsidR="00473E39" w:rsidRPr="009A010C" w:rsidTr="000354F9">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 xml:space="preserve">Technical assistance for </w:t>
            </w:r>
            <w:proofErr w:type="spellStart"/>
            <w:r w:rsidRPr="009A010C">
              <w:rPr>
                <w:color w:val="000000" w:themeColor="text1"/>
                <w:sz w:val="18"/>
                <w:szCs w:val="18"/>
                <w:lang w:val="en-CA" w:eastAsia="en-CA"/>
              </w:rPr>
              <w:t>AQSIQ</w:t>
            </w:r>
            <w:r w:rsidRPr="009A010C">
              <w:rPr>
                <w:color w:val="000000" w:themeColor="text1"/>
                <w:sz w:val="18"/>
                <w:szCs w:val="18"/>
                <w:vertAlign w:val="superscript"/>
                <w:lang w:val="en-CA" w:eastAsia="en-CA"/>
              </w:rPr>
              <w:t>a</w:t>
            </w:r>
            <w:proofErr w:type="spellEnd"/>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1,510,220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1,510,220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696,327</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597,000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216,893</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Ongoing</w:t>
            </w:r>
          </w:p>
        </w:tc>
      </w:tr>
      <w:tr w:rsidR="00473E39" w:rsidRPr="009A010C" w:rsidTr="000354F9">
        <w:trPr>
          <w:trHeight w:val="5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 xml:space="preserve">AQSIQ training, public awareness and </w:t>
            </w:r>
            <w:proofErr w:type="spellStart"/>
            <w:r w:rsidRPr="009A010C">
              <w:rPr>
                <w:color w:val="000000" w:themeColor="text1"/>
                <w:sz w:val="18"/>
                <w:szCs w:val="18"/>
                <w:lang w:val="en-CA" w:eastAsia="en-CA"/>
              </w:rPr>
              <w:t>MIS</w:t>
            </w:r>
            <w:r w:rsidRPr="009A010C">
              <w:rPr>
                <w:color w:val="000000"/>
                <w:sz w:val="18"/>
                <w:szCs w:val="18"/>
                <w:vertAlign w:val="superscript"/>
                <w:lang w:val="en-CA" w:eastAsia="en-CA"/>
              </w:rPr>
              <w:t>b</w:t>
            </w:r>
            <w:proofErr w:type="spellEnd"/>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489,780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200,000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116,320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58,000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25,680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289,780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Ongoing</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R&amp;D and registration of MB alternatives</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1,000,000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1,000,000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407,655</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342,345</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250,000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Ongoing</w:t>
            </w:r>
          </w:p>
        </w:tc>
      </w:tr>
      <w:tr w:rsidR="00473E39" w:rsidRPr="009A010C" w:rsidTr="000354F9">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Project completion report</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190,000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128,400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24,745</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72,155</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31,500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61,600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Ongoing</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lastRenderedPageBreak/>
              <w:t>International consultants (UNIDO)</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90,000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90,000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90,000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color w:val="000000"/>
                <w:sz w:val="18"/>
                <w:szCs w:val="18"/>
                <w:lang w:val="en-CA" w:eastAsia="en-CA"/>
              </w:rPr>
            </w:pPr>
            <w:r w:rsidRPr="009A010C">
              <w:rPr>
                <w:color w:val="000000" w:themeColor="text1"/>
                <w:sz w:val="18"/>
                <w:szCs w:val="18"/>
                <w:lang w:val="en-CA" w:eastAsia="en-CA"/>
              </w:rPr>
              <w:t>Independent Audit (UNIDO)</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80,000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themeColor="text1"/>
                <w:sz w:val="18"/>
                <w:szCs w:val="18"/>
                <w:lang w:val="en-CA" w:eastAsia="en-CA"/>
              </w:rPr>
              <w:t>80,000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80,000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en-CA"/>
              </w:rPr>
              <w:t>Completed</w:t>
            </w:r>
          </w:p>
        </w:tc>
      </w:tr>
      <w:tr w:rsidR="00473E39" w:rsidRPr="009A010C" w:rsidTr="000354F9">
        <w:trPr>
          <w:trHeight w:val="27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3E39" w:rsidRPr="009A010C" w:rsidRDefault="00473E39" w:rsidP="000354F9">
            <w:pPr>
              <w:jc w:val="left"/>
              <w:rPr>
                <w:b/>
                <w:color w:val="000000"/>
                <w:sz w:val="18"/>
                <w:szCs w:val="18"/>
                <w:lang w:val="en-CA" w:eastAsia="en-CA"/>
              </w:rPr>
            </w:pPr>
            <w:r w:rsidRPr="009A010C">
              <w:rPr>
                <w:b/>
                <w:color w:val="000000"/>
                <w:sz w:val="18"/>
                <w:szCs w:val="18"/>
                <w:lang w:val="en-CA" w:eastAsia="en-CA"/>
              </w:rPr>
              <w:t>Total (US $)</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b/>
                <w:color w:val="000000"/>
                <w:sz w:val="18"/>
                <w:szCs w:val="18"/>
                <w:lang w:val="en-CA" w:eastAsia="en-CA"/>
              </w:rPr>
            </w:pPr>
            <w:r w:rsidRPr="009A010C">
              <w:rPr>
                <w:b/>
                <w:color w:val="000000"/>
                <w:sz w:val="18"/>
                <w:szCs w:val="18"/>
                <w:lang w:val="en-CA" w:eastAsia="en-CA"/>
              </w:rPr>
              <w:t>9,699,757</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b/>
                <w:color w:val="000000"/>
                <w:sz w:val="18"/>
                <w:szCs w:val="18"/>
                <w:lang w:val="en-CA" w:eastAsia="en-CA"/>
              </w:rPr>
            </w:pPr>
            <w:r w:rsidRPr="009A010C">
              <w:rPr>
                <w:b/>
                <w:color w:val="000000"/>
                <w:sz w:val="18"/>
                <w:szCs w:val="18"/>
                <w:lang w:val="en-CA" w:eastAsia="en-CA"/>
              </w:rPr>
              <w:t>9,319,674</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b/>
                <w:color w:val="000000"/>
                <w:sz w:val="18"/>
                <w:szCs w:val="18"/>
                <w:lang w:val="en-CA" w:eastAsia="en-CA"/>
              </w:rPr>
            </w:pPr>
            <w:r w:rsidRPr="009A010C">
              <w:rPr>
                <w:b/>
                <w:bCs/>
                <w:color w:val="000000"/>
                <w:sz w:val="18"/>
                <w:szCs w:val="18"/>
                <w:lang w:val="en-CA" w:eastAsia="en-CA"/>
              </w:rPr>
              <w:t>7,716,101</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b/>
                <w:color w:val="000000"/>
                <w:sz w:val="18"/>
                <w:szCs w:val="18"/>
                <w:lang w:val="en-CA" w:eastAsia="en-CA"/>
              </w:rPr>
            </w:pPr>
            <w:r w:rsidRPr="009A010C">
              <w:rPr>
                <w:b/>
                <w:bCs/>
                <w:color w:val="000000"/>
                <w:sz w:val="18"/>
                <w:szCs w:val="18"/>
                <w:lang w:val="en-CA" w:eastAsia="en-CA"/>
              </w:rPr>
              <w:t>1,074,500</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b/>
                <w:color w:val="000000"/>
                <w:sz w:val="18"/>
                <w:szCs w:val="18"/>
                <w:lang w:val="en-CA" w:eastAsia="en-CA"/>
              </w:rPr>
            </w:pPr>
            <w:r w:rsidRPr="009A010C">
              <w:rPr>
                <w:b/>
                <w:bCs/>
                <w:color w:val="000000"/>
                <w:sz w:val="18"/>
                <w:szCs w:val="18"/>
                <w:lang w:val="en-CA" w:eastAsia="en-CA"/>
              </w:rPr>
              <w:t>529,073</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b/>
                <w:color w:val="000000"/>
                <w:sz w:val="18"/>
                <w:szCs w:val="18"/>
                <w:lang w:val="en-CA" w:eastAsia="en-CA"/>
              </w:rPr>
            </w:pPr>
            <w:r w:rsidRPr="009A010C">
              <w:rPr>
                <w:b/>
                <w:bCs/>
                <w:color w:val="000000"/>
                <w:sz w:val="18"/>
                <w:szCs w:val="18"/>
                <w:lang w:val="en-CA" w:eastAsia="en-CA"/>
              </w:rPr>
              <w:t>380,083</w:t>
            </w:r>
          </w:p>
        </w:tc>
        <w:tc>
          <w:tcPr>
            <w:tcW w:w="0" w:type="auto"/>
            <w:tcBorders>
              <w:top w:val="nil"/>
              <w:left w:val="nil"/>
              <w:bottom w:val="single" w:sz="4" w:space="0" w:color="auto"/>
              <w:right w:val="single" w:sz="4" w:space="0" w:color="auto"/>
            </w:tcBorders>
            <w:shd w:val="clear" w:color="auto" w:fill="auto"/>
            <w:hideMark/>
          </w:tcPr>
          <w:p w:rsidR="00473E39" w:rsidRPr="009A010C" w:rsidRDefault="00473E39" w:rsidP="000354F9">
            <w:pPr>
              <w:jc w:val="right"/>
              <w:rPr>
                <w:color w:val="000000"/>
                <w:sz w:val="18"/>
                <w:szCs w:val="18"/>
                <w:lang w:val="en-CA" w:eastAsia="en-CA"/>
              </w:rPr>
            </w:pPr>
            <w:r w:rsidRPr="009A010C">
              <w:rPr>
                <w:color w:val="000000"/>
                <w:sz w:val="18"/>
                <w:szCs w:val="18"/>
                <w:lang w:val="en-CA" w:eastAsia="zh-CN"/>
              </w:rPr>
              <w:t> </w:t>
            </w:r>
          </w:p>
        </w:tc>
      </w:tr>
    </w:tbl>
    <w:p w:rsidR="00473E39" w:rsidRPr="009A010C" w:rsidRDefault="00473E39" w:rsidP="00473E39">
      <w:pPr>
        <w:rPr>
          <w:color w:val="000000" w:themeColor="text1"/>
          <w:sz w:val="16"/>
          <w:szCs w:val="16"/>
          <w:lang w:val="en-CA" w:eastAsia="en-CA"/>
        </w:rPr>
      </w:pPr>
      <w:r w:rsidRPr="009A010C">
        <w:rPr>
          <w:sz w:val="16"/>
          <w:szCs w:val="16"/>
          <w:vertAlign w:val="superscript"/>
          <w:lang w:val="en-CA"/>
        </w:rPr>
        <w:t>a</w:t>
      </w:r>
      <w:r w:rsidRPr="009A010C">
        <w:rPr>
          <w:sz w:val="16"/>
          <w:szCs w:val="16"/>
          <w:lang w:val="en-CA"/>
        </w:rPr>
        <w:t xml:space="preserve"> </w:t>
      </w:r>
      <w:r w:rsidRPr="00F36B67">
        <w:rPr>
          <w:sz w:val="16"/>
          <w:szCs w:val="16"/>
          <w:lang w:val="en-CA"/>
        </w:rPr>
        <w:t>T</w:t>
      </w:r>
      <w:r w:rsidRPr="00F36B67">
        <w:rPr>
          <w:color w:val="000000" w:themeColor="text1"/>
          <w:sz w:val="16"/>
          <w:szCs w:val="16"/>
          <w:lang w:val="en-CA" w:eastAsia="en-CA"/>
        </w:rPr>
        <w:t>able 20</w:t>
      </w:r>
      <w:r w:rsidRPr="009A010C">
        <w:rPr>
          <w:color w:val="000000" w:themeColor="text1"/>
          <w:sz w:val="16"/>
          <w:szCs w:val="16"/>
          <w:lang w:val="en-CA" w:eastAsia="en-CA"/>
        </w:rPr>
        <w:t xml:space="preserve"> of document 80/12</w:t>
      </w:r>
    </w:p>
    <w:p w:rsidR="00473E39" w:rsidRPr="009A010C" w:rsidRDefault="00473E39" w:rsidP="00473E39">
      <w:pPr>
        <w:rPr>
          <w:sz w:val="16"/>
          <w:szCs w:val="16"/>
          <w:lang w:val="en-CA"/>
        </w:rPr>
      </w:pPr>
      <w:r w:rsidRPr="009A010C">
        <w:rPr>
          <w:color w:val="000000" w:themeColor="text1"/>
          <w:sz w:val="16"/>
          <w:szCs w:val="16"/>
          <w:vertAlign w:val="superscript"/>
          <w:lang w:val="en-CA" w:eastAsia="en-CA"/>
        </w:rPr>
        <w:t>b</w:t>
      </w:r>
      <w:r w:rsidRPr="009A010C">
        <w:rPr>
          <w:color w:val="000000" w:themeColor="text1"/>
          <w:sz w:val="16"/>
          <w:szCs w:val="16"/>
          <w:lang w:val="en-CA" w:eastAsia="en-CA"/>
        </w:rPr>
        <w:t xml:space="preserve"> The MIS system programme is part of the contract signed with AQSIQ. As AQSIQ has been incorporated into the Custom Authority, the MIS component will be reviewed accordingly to the new structure. FECO and the Custom Authority are negotiating a way to incorporate the MIS component into the monitoring and supervision programme that will be implemented by the Custom Authority.</w:t>
      </w:r>
    </w:p>
    <w:p w:rsidR="00473E39" w:rsidRPr="009A010C" w:rsidRDefault="00473E39" w:rsidP="00473E39">
      <w:pPr>
        <w:rPr>
          <w:lang w:val="en-CA"/>
        </w:rPr>
      </w:pPr>
    </w:p>
    <w:p w:rsidR="00473E39" w:rsidRPr="009A010C" w:rsidRDefault="00473E39" w:rsidP="00473E39">
      <w:pPr>
        <w:pStyle w:val="Heading1"/>
        <w:rPr>
          <w:lang w:val="en-CA"/>
        </w:rPr>
      </w:pPr>
      <w:r w:rsidRPr="009A010C">
        <w:rPr>
          <w:lang w:val="en-CA"/>
        </w:rPr>
        <w:t>A total of US $5,624,532 was disbursed to the three MB producers, including the additional one</w:t>
      </w:r>
      <w:r w:rsidRPr="009A010C">
        <w:rPr>
          <w:lang w:val="en-CA"/>
        </w:rPr>
        <w:noBreakHyphen/>
        <w:t>time compensation of US $1,806,279. Of the US $304,787 allocated to FECO for monitoring and supervision (for 2007-2018), US $266,084 have been disbursed, a further US $10,000 are expected to be disbursed by 30 June</w:t>
      </w:r>
      <w:r w:rsidR="009D493C">
        <w:rPr>
          <w:lang w:val="en-CA"/>
        </w:rPr>
        <w:t> </w:t>
      </w:r>
      <w:r w:rsidRPr="009A010C">
        <w:rPr>
          <w:lang w:val="en-CA"/>
        </w:rPr>
        <w:t xml:space="preserve">2019, leaving a balance of US $28,703. </w:t>
      </w:r>
    </w:p>
    <w:p w:rsidR="00473E39" w:rsidRPr="009A010C" w:rsidRDefault="00473E39" w:rsidP="00473E39">
      <w:pPr>
        <w:pStyle w:val="Heading1"/>
        <w:rPr>
          <w:lang w:val="en-CA"/>
        </w:rPr>
      </w:pPr>
      <w:r w:rsidRPr="009A010C">
        <w:rPr>
          <w:lang w:val="en-CA"/>
        </w:rPr>
        <w:t xml:space="preserve">Of the US $2,000,000 allocated for the coordination mechanism with AQSIQ to reinforce the Government’s management and supervision on MB consumption for QPS use, contracts for a total value of US $1,710,220 have been signed, leaving a balance of US $289,780. Additional disbursements of US $655,000 are expected by 31 December 2018, with final disbursements of US $242,573 expected by 30 June 2019. </w:t>
      </w:r>
    </w:p>
    <w:p w:rsidR="00473E39" w:rsidRPr="009A010C" w:rsidRDefault="00473E39" w:rsidP="00473E39">
      <w:pPr>
        <w:pStyle w:val="Heading1"/>
        <w:rPr>
          <w:lang w:val="en-CA"/>
        </w:rPr>
      </w:pPr>
      <w:r w:rsidRPr="009A010C">
        <w:rPr>
          <w:lang w:val="en-CA"/>
        </w:rPr>
        <w:t xml:space="preserve">Of the US $1,000,000 allocated for R&amp;D and registration of MB alternatives, contracts for the same value were signed, and a total of US $407,655 have been disbursed. Additional disbursements of approximately US $342,345 are expected by 31 December 2018, with the final disbursement of US $250,000 by 30 June 2019. </w:t>
      </w:r>
    </w:p>
    <w:p w:rsidR="00473E39" w:rsidRPr="009A010C" w:rsidRDefault="00473E39" w:rsidP="00473E39">
      <w:pPr>
        <w:pStyle w:val="Heading1"/>
        <w:rPr>
          <w:lang w:val="en-CA"/>
        </w:rPr>
      </w:pPr>
      <w:r w:rsidRPr="009A010C">
        <w:rPr>
          <w:lang w:val="en-CA"/>
        </w:rPr>
        <w:t xml:space="preserve">A total of US $128,400 was allocated to activities related to the project completion report, of which US $24,745 had been disbursed. An additional US $103,655 are expected to be disbursed by 30 June 2019, leaving a balance of US $61,600.  </w:t>
      </w:r>
    </w:p>
    <w:p w:rsidR="00473E39" w:rsidRPr="009A010C" w:rsidRDefault="00473E39" w:rsidP="00473E39">
      <w:pPr>
        <w:keepNext/>
        <w:widowControl w:val="0"/>
        <w:rPr>
          <w:u w:val="single"/>
          <w:lang w:val="en-CA"/>
        </w:rPr>
      </w:pPr>
      <w:r w:rsidRPr="009A010C">
        <w:rPr>
          <w:u w:val="single"/>
          <w:lang w:val="en-CA"/>
        </w:rPr>
        <w:t xml:space="preserve">Verification reports </w:t>
      </w:r>
    </w:p>
    <w:p w:rsidR="00473E39" w:rsidRPr="009A010C" w:rsidRDefault="00473E39" w:rsidP="00473E39">
      <w:pPr>
        <w:keepNext/>
        <w:widowControl w:val="0"/>
        <w:rPr>
          <w:u w:val="single"/>
          <w:lang w:val="en-CA"/>
        </w:rPr>
      </w:pPr>
    </w:p>
    <w:p w:rsidR="00473E39" w:rsidRPr="009A010C" w:rsidRDefault="00473E39" w:rsidP="00473E39">
      <w:pPr>
        <w:pStyle w:val="Heading1"/>
        <w:keepNext/>
        <w:rPr>
          <w:lang w:val="en-CA"/>
        </w:rPr>
      </w:pPr>
      <w:r w:rsidRPr="009A010C">
        <w:rPr>
          <w:lang w:val="en-CA"/>
        </w:rPr>
        <w:t xml:space="preserve">The verification for controlled uses of MB to audit production and sales in the three MB production enterprises was carried out from 16 to 28 April 2018. The verification team concluded that none of the three enterprises has produced controlled uses of MB exceeding the quotas and production is within the limit of industry plans. </w:t>
      </w:r>
    </w:p>
    <w:p w:rsidR="00473E39" w:rsidRPr="009A010C" w:rsidRDefault="00473E39" w:rsidP="00473E39">
      <w:pPr>
        <w:pStyle w:val="sub-title"/>
        <w:widowControl w:val="0"/>
        <w:spacing w:after="240"/>
        <w:rPr>
          <w:lang w:val="en-CA"/>
        </w:rPr>
      </w:pPr>
      <w:r w:rsidRPr="009A010C">
        <w:rPr>
          <w:lang w:val="en-CA"/>
        </w:rPr>
        <w:t>Secretariat’s comments</w:t>
      </w:r>
    </w:p>
    <w:p w:rsidR="00473E39" w:rsidRPr="009A010C" w:rsidRDefault="00473E39" w:rsidP="00473E39">
      <w:pPr>
        <w:pStyle w:val="Heading1"/>
        <w:rPr>
          <w:lang w:val="en-CA"/>
        </w:rPr>
      </w:pPr>
      <w:r w:rsidRPr="009A010C">
        <w:rPr>
          <w:lang w:val="en-CA"/>
        </w:rPr>
        <w:t xml:space="preserve">While the project budget is in US dollars, FECO issued contracts in </w:t>
      </w:r>
      <w:proofErr w:type="spellStart"/>
      <w:r w:rsidRPr="009A010C">
        <w:rPr>
          <w:lang w:val="en-CA"/>
        </w:rPr>
        <w:t>renminbi</w:t>
      </w:r>
      <w:proofErr w:type="spellEnd"/>
      <w:r w:rsidRPr="009A010C">
        <w:rPr>
          <w:lang w:val="en-CA"/>
        </w:rPr>
        <w:t xml:space="preserve"> (RMB) at different times over the last 10 years. Given changes in the value of the RMB relative to the US dollar, and that disbursements executed at a particular time were based on the currency exchange rate at that time, the value of those contracts has changed, resulting in a difference of US $90,243 between the funds approved by the Executive Committee (US $9.79 million) and the value of the contracts signed by FECO (US $9,699,757). Moreover, the value of previously reported disbursements appears to have changed given changes in the exchange rate between RMB and the US dollar. Notwithstanding the information provided by UNIDO and the Government of China, at the time of finalization of the present document the Secretariat was unable to reconcile the changes in disbursement reported to the 80</w:t>
      </w:r>
      <w:r w:rsidRPr="009A010C">
        <w:rPr>
          <w:vertAlign w:val="superscript"/>
          <w:lang w:val="en-CA"/>
        </w:rPr>
        <w:t>th</w:t>
      </w:r>
      <w:r w:rsidRPr="009A010C">
        <w:rPr>
          <w:lang w:val="en-CA"/>
        </w:rPr>
        <w:t xml:space="preserve"> meeting.</w:t>
      </w:r>
    </w:p>
    <w:p w:rsidR="00473E39" w:rsidRPr="009A010C" w:rsidRDefault="00473E39" w:rsidP="00473E39">
      <w:pPr>
        <w:pStyle w:val="Heading1"/>
        <w:rPr>
          <w:lang w:val="en-CA"/>
        </w:rPr>
      </w:pPr>
      <w:r w:rsidRPr="009A010C">
        <w:rPr>
          <w:lang w:val="en-CA"/>
        </w:rPr>
        <w:lastRenderedPageBreak/>
        <w:t>The Secretariat recalled that the final (2018) payment to the three MB producers was expected to be made after the verification of 2018 production, i.e., in 2019. UNIDO clarified that the payment had already been made, and that FECO would conduct the 2018 production verification in 2019 and, in the event any non</w:t>
      </w:r>
      <w:r w:rsidR="000D54BF">
        <w:rPr>
          <w:lang w:val="en-CA"/>
        </w:rPr>
        <w:noBreakHyphen/>
      </w:r>
      <w:r w:rsidRPr="009A010C">
        <w:rPr>
          <w:lang w:val="en-CA"/>
        </w:rPr>
        <w:t xml:space="preserve">compliance was found, FECO would recall the related payment according to the terms of the contract. The Secretariat notes, however, that paragraph 3(e) of the Agreement between the Government of China and the Executive Committee specified a penalty of US $5,000 per </w:t>
      </w:r>
      <w:proofErr w:type="spellStart"/>
      <w:r w:rsidRPr="009A010C">
        <w:rPr>
          <w:lang w:val="en-CA"/>
        </w:rPr>
        <w:t>mt</w:t>
      </w:r>
      <w:proofErr w:type="spellEnd"/>
      <w:r w:rsidRPr="009A010C">
        <w:rPr>
          <w:lang w:val="en-CA"/>
        </w:rPr>
        <w:t xml:space="preserve"> of reductions not achieved.</w:t>
      </w:r>
    </w:p>
    <w:p w:rsidR="00473E39" w:rsidRPr="009A010C" w:rsidRDefault="00473E39" w:rsidP="00473E39">
      <w:pPr>
        <w:pStyle w:val="Heading1"/>
        <w:rPr>
          <w:lang w:val="en-CA"/>
        </w:rPr>
      </w:pPr>
      <w:r w:rsidRPr="009A010C">
        <w:rPr>
          <w:lang w:val="en-CA"/>
        </w:rPr>
        <w:t>Regarding the funding of US $190,000 associated with the project completion report (PCR), the Secretariat noted that the PCR was UNIDO’s responsibility and, therefore, covered by UNIDO’s support costs. UNIDO clarified that this activity was mislabelled and that the funding was for data collection and assessment, noting that the MB production phase-out project started in 2006 and involved a large number of counterparts and activities. The data that will be gathered will be used by UNIDO in submitting the PCR, and will assist FECO in designing the long-term, sustainable monitoring and supervision of the phase-out. The data collected from MB producers; feedstock users; QPS users, including fumigation companies; custom authorities; and other relevant authorities. Assessment will include a cross-reference between production and consumption data and compliance with national regulation and commitments for production and computation of MB for controlled, feedstock and exempted uses.</w:t>
      </w:r>
    </w:p>
    <w:p w:rsidR="00473E39" w:rsidRPr="009A010C" w:rsidRDefault="00473E39" w:rsidP="00473E39">
      <w:pPr>
        <w:pStyle w:val="Heading1"/>
        <w:rPr>
          <w:lang w:val="en-CA"/>
        </w:rPr>
      </w:pPr>
      <w:r w:rsidRPr="009A010C">
        <w:rPr>
          <w:color w:val="000000" w:themeColor="text1"/>
          <w:lang w:val="en-CA"/>
        </w:rPr>
        <w:t>Given that approximately US $1,603,573 are expected to be disbursed by 30 June 2019, and at least US $470,326 would remain available after the payments for all outstanding activities had been made, the Secretariat suggested that it would be meaningful to extend the project so that those balances could be used for activities that would further ensure the long-term, sustainable monitoring of the phase-out.</w:t>
      </w:r>
    </w:p>
    <w:p w:rsidR="00473E39" w:rsidRPr="009A010C" w:rsidRDefault="00473E39" w:rsidP="00473E39">
      <w:pPr>
        <w:pStyle w:val="Heading1"/>
        <w:rPr>
          <w:color w:val="000000" w:themeColor="text1"/>
          <w:lang w:val="en-CA"/>
        </w:rPr>
      </w:pPr>
      <w:r w:rsidRPr="009A010C">
        <w:rPr>
          <w:color w:val="000000" w:themeColor="text1"/>
          <w:lang w:val="en-CA"/>
        </w:rPr>
        <w:t xml:space="preserve"> Accordingly, the Government of China proposed to allocate US $470,000 for five activities: </w:t>
      </w:r>
    </w:p>
    <w:p w:rsidR="00473E39" w:rsidRPr="009A010C" w:rsidRDefault="00473E39" w:rsidP="00473E39">
      <w:pPr>
        <w:pStyle w:val="Heading2"/>
        <w:rPr>
          <w:lang w:val="en-CA"/>
        </w:rPr>
      </w:pPr>
      <w:r w:rsidRPr="009A010C">
        <w:rPr>
          <w:lang w:val="en-CA"/>
        </w:rPr>
        <w:t>Verification of MB producers in 2019, 2020, and 2021 (US $40,000);</w:t>
      </w:r>
    </w:p>
    <w:p w:rsidR="00473E39" w:rsidRPr="009A010C" w:rsidRDefault="00473E39" w:rsidP="00473E39">
      <w:pPr>
        <w:pStyle w:val="Heading2"/>
        <w:rPr>
          <w:lang w:val="en-CA"/>
        </w:rPr>
      </w:pPr>
      <w:r w:rsidRPr="009A010C">
        <w:rPr>
          <w:lang w:val="en-CA"/>
        </w:rPr>
        <w:t>Verification of MB feedstock uses in 2019, 2020, and 2021 (US $120,000);</w:t>
      </w:r>
    </w:p>
    <w:p w:rsidR="00473E39" w:rsidRPr="009A010C" w:rsidRDefault="00473E39" w:rsidP="00473E39">
      <w:pPr>
        <w:pStyle w:val="Heading2"/>
        <w:rPr>
          <w:lang w:val="en-CA"/>
        </w:rPr>
      </w:pPr>
      <w:r w:rsidRPr="009A010C">
        <w:rPr>
          <w:lang w:val="en-CA"/>
        </w:rPr>
        <w:t>Data collection and assessment in 2019, 2020, and 2021 (US $20,000);</w:t>
      </w:r>
    </w:p>
    <w:p w:rsidR="00473E39" w:rsidRPr="009A010C" w:rsidRDefault="00473E39" w:rsidP="00473E39">
      <w:pPr>
        <w:pStyle w:val="Heading2"/>
        <w:rPr>
          <w:lang w:val="en-CA"/>
        </w:rPr>
      </w:pPr>
      <w:r w:rsidRPr="009A010C">
        <w:rPr>
          <w:lang w:val="en-CA"/>
        </w:rPr>
        <w:t>A monitoring and supervision programme with the Customs Authority (2019-2021) (US $275,000); and</w:t>
      </w:r>
    </w:p>
    <w:p w:rsidR="00473E39" w:rsidRPr="009A010C" w:rsidRDefault="00473E39" w:rsidP="00473E39">
      <w:pPr>
        <w:pStyle w:val="Heading2"/>
        <w:rPr>
          <w:lang w:val="en-CA"/>
        </w:rPr>
      </w:pPr>
      <w:r w:rsidRPr="009A010C">
        <w:rPr>
          <w:lang w:val="en-CA"/>
        </w:rPr>
        <w:t xml:space="preserve">Wrap-up meeting in 2022 (US $15,000).  </w:t>
      </w:r>
    </w:p>
    <w:p w:rsidR="00473E39" w:rsidRPr="009A010C" w:rsidRDefault="00473E39" w:rsidP="00473E39">
      <w:pPr>
        <w:pStyle w:val="Heading1"/>
        <w:rPr>
          <w:lang w:val="en-CA"/>
        </w:rPr>
      </w:pPr>
      <w:r w:rsidRPr="009A010C">
        <w:rPr>
          <w:lang w:val="en-CA"/>
        </w:rPr>
        <w:t xml:space="preserve">The proposed activities will ensure the continued monitoring of the MB production and sales records, including periodically cross-checking and verification of the MB producer records, the continued verification of application documents from MB feedstock users, and the continued monitoring of sales contracts through 2021. </w:t>
      </w:r>
    </w:p>
    <w:p w:rsidR="00473E39" w:rsidRPr="009A010C" w:rsidRDefault="00473E39" w:rsidP="00473E39">
      <w:pPr>
        <w:pStyle w:val="Heading1"/>
        <w:rPr>
          <w:lang w:val="en-CA"/>
        </w:rPr>
      </w:pPr>
      <w:r w:rsidRPr="009A010C">
        <w:rPr>
          <w:lang w:val="en-CA"/>
        </w:rPr>
        <w:t>The Secretariat considers the proposed activities useful and appropriate, but sought additional clarification of how long-term, sustainable monitoring would be ensured after the funding from the project was fully utilized and the project was completed:</w:t>
      </w:r>
    </w:p>
    <w:p w:rsidR="00473E39" w:rsidRPr="009A010C" w:rsidRDefault="00473E39" w:rsidP="00473E39">
      <w:pPr>
        <w:pStyle w:val="Heading2"/>
        <w:rPr>
          <w:lang w:val="en-CA"/>
        </w:rPr>
      </w:pPr>
      <w:r w:rsidRPr="009A010C">
        <w:rPr>
          <w:lang w:val="en-CA"/>
        </w:rPr>
        <w:t xml:space="preserve">While verifications of production and feedstock uses through 2021 will be useful, such verifications will be one-off activities rather than contributing to a long-term, sustainable monitoring programme; </w:t>
      </w:r>
    </w:p>
    <w:p w:rsidR="00473E39" w:rsidRPr="009A010C" w:rsidRDefault="00473E39" w:rsidP="00473E39">
      <w:pPr>
        <w:pStyle w:val="Heading2"/>
        <w:rPr>
          <w:lang w:val="en-CA"/>
        </w:rPr>
      </w:pPr>
      <w:r w:rsidRPr="009A010C">
        <w:rPr>
          <w:lang w:val="en-CA"/>
        </w:rPr>
        <w:t xml:space="preserve">Similarly, it was not clear how US $15,000 for a wrap-up meeting in 2022 would effectively ensure the long-term, sustainable monitoring of the phase-out. </w:t>
      </w:r>
    </w:p>
    <w:p w:rsidR="00473E39" w:rsidRPr="009A010C" w:rsidRDefault="00473E39" w:rsidP="00473E39">
      <w:pPr>
        <w:pStyle w:val="Heading1"/>
        <w:rPr>
          <w:lang w:val="en-CA"/>
        </w:rPr>
      </w:pPr>
      <w:r w:rsidRPr="009A010C">
        <w:rPr>
          <w:lang w:val="en-CA"/>
        </w:rPr>
        <w:lastRenderedPageBreak/>
        <w:t>Accordingly, the Secretariat suggested that the Government of China consider to undertake a single verification for the period 2019-2021 and to allocate US $53,333 for that purpose, and to allocate the remaining US $106,667, plus the US $15,000 for the wrap-up meeting, to the monitoring and supervision programme with the Customs Authority so that sufficient capacity would be built within the relevant institutions to ensure continued monitoring after the completion of the project. The Secretariat also sought additional clarification on the data collection and assessment activity, how it related to the monitoring and supervision activity, and the need for the specified funding level, which appeared high. At the time of finalization of the present document, discussions on these matters continued with UNIDO. The Secretariat will provide an update on those discussions to the 82</w:t>
      </w:r>
      <w:r w:rsidRPr="009A010C">
        <w:rPr>
          <w:vertAlign w:val="superscript"/>
          <w:lang w:val="en-CA"/>
        </w:rPr>
        <w:t>nd</w:t>
      </w:r>
      <w:r w:rsidRPr="009A010C">
        <w:rPr>
          <w:lang w:val="en-CA"/>
        </w:rPr>
        <w:t xml:space="preserve"> meeting.  </w:t>
      </w:r>
    </w:p>
    <w:p w:rsidR="00473E39" w:rsidRPr="009A010C" w:rsidRDefault="00473E39" w:rsidP="00473E39">
      <w:pPr>
        <w:keepNext/>
        <w:keepLines/>
        <w:widowControl w:val="0"/>
        <w:rPr>
          <w:u w:val="single"/>
          <w:lang w:val="en-CA"/>
        </w:rPr>
      </w:pPr>
      <w:r w:rsidRPr="009A010C">
        <w:rPr>
          <w:u w:val="single"/>
          <w:lang w:val="en-CA"/>
        </w:rPr>
        <w:t>Conclusion</w:t>
      </w:r>
    </w:p>
    <w:p w:rsidR="00473E39" w:rsidRPr="009A010C" w:rsidRDefault="00473E39" w:rsidP="00473E39">
      <w:pPr>
        <w:keepNext/>
        <w:keepLines/>
        <w:widowControl w:val="0"/>
        <w:rPr>
          <w:lang w:val="en-CA"/>
        </w:rPr>
      </w:pPr>
    </w:p>
    <w:p w:rsidR="00473E39" w:rsidRPr="009A010C" w:rsidRDefault="00473E39" w:rsidP="00473E39">
      <w:pPr>
        <w:pStyle w:val="Heading1"/>
        <w:rPr>
          <w:lang w:val="en-CA"/>
        </w:rPr>
      </w:pPr>
      <w:r w:rsidRPr="009A010C">
        <w:rPr>
          <w:lang w:val="en-CA"/>
        </w:rPr>
        <w:t xml:space="preserve">The verified MB production and that reported under Article 7 of the Montreal Protocol are consistent with that allowed under the Agreement. A total of US $7,716,101 had been disbursed, with a further US $1,603,573 expected to be disbursed by 30 June 2019. Notwithstanding the significant progress in implementing activities according to the agreed work plan, not all activities will be completed by 31 December 2018. Moreover, given changes in the exchange rate between RMB and the US dollar, there would be remaining balances after all disbursements associated with existing contracts have been made. The Secretariat considers </w:t>
      </w:r>
      <w:r w:rsidRPr="009A010C">
        <w:rPr>
          <w:color w:val="000000" w:themeColor="text1"/>
          <w:lang w:val="en-CA"/>
        </w:rPr>
        <w:t>a meaningful use for those balances would be for activities that would further ensure the long-term, sustainable monitoring of the phase-out after the project has been completed.</w:t>
      </w:r>
      <w:r w:rsidRPr="009A010C">
        <w:rPr>
          <w:lang w:val="en-CA"/>
        </w:rPr>
        <w:t xml:space="preserve"> Establishing a sustainable system for such sustainable monitoring is particularly important for a phase-out project where the production capacity is not permanently dismantled, as in the case of production of MB where QPS and feedstock uses are expected to continue. The Secretariat considers that the activities planned through 2021 will build capacity within FECO and the Customs Authority so that continued monitoring of the phase-out of MB production will persist after the completion of the project in 2021. </w:t>
      </w:r>
    </w:p>
    <w:p w:rsidR="00473E39" w:rsidRPr="009A010C" w:rsidRDefault="00473E39" w:rsidP="00473E39">
      <w:pPr>
        <w:keepNext/>
        <w:keepLines/>
        <w:widowControl w:val="0"/>
        <w:rPr>
          <w:b/>
          <w:lang w:val="en-CA"/>
        </w:rPr>
      </w:pPr>
      <w:r w:rsidRPr="009A010C">
        <w:rPr>
          <w:b/>
          <w:lang w:val="en-CA"/>
        </w:rPr>
        <w:t>Secretariat’s recommendation</w:t>
      </w:r>
    </w:p>
    <w:p w:rsidR="00473E39" w:rsidRPr="009A010C" w:rsidRDefault="00473E39" w:rsidP="00473E39">
      <w:pPr>
        <w:keepNext/>
        <w:keepLines/>
        <w:widowControl w:val="0"/>
        <w:rPr>
          <w:lang w:val="en-CA"/>
        </w:rPr>
      </w:pPr>
    </w:p>
    <w:p w:rsidR="00473E39" w:rsidRPr="009A010C" w:rsidRDefault="00473E39" w:rsidP="00473E39">
      <w:pPr>
        <w:pStyle w:val="Heading1"/>
        <w:keepNext/>
        <w:keepLines/>
        <w:rPr>
          <w:lang w:val="en-CA"/>
        </w:rPr>
      </w:pPr>
      <w:r w:rsidRPr="009A010C">
        <w:rPr>
          <w:lang w:val="en-CA"/>
        </w:rPr>
        <w:t>The Executive Committee may wish:</w:t>
      </w:r>
    </w:p>
    <w:p w:rsidR="00AD221F" w:rsidRPr="00FE5979" w:rsidRDefault="00AD221F" w:rsidP="00AD221F">
      <w:pPr>
        <w:pStyle w:val="Heading2"/>
        <w:keepNext/>
        <w:widowControl/>
        <w:numPr>
          <w:ilvl w:val="1"/>
          <w:numId w:val="13"/>
        </w:numPr>
      </w:pPr>
      <w:r w:rsidRPr="00FE5979">
        <w:t>To note the report on the status of implementation of the sector plan for the phase-out of methyl bromide (MB) production in China, submitted by UNIDO;</w:t>
      </w:r>
    </w:p>
    <w:p w:rsidR="00AD221F" w:rsidRPr="00FE5979" w:rsidRDefault="00AD221F" w:rsidP="00AD221F">
      <w:pPr>
        <w:pStyle w:val="Heading2"/>
        <w:numPr>
          <w:ilvl w:val="1"/>
          <w:numId w:val="13"/>
        </w:numPr>
      </w:pPr>
      <w:r w:rsidRPr="00FE5979">
        <w:t>To request the Government of China, through UNIDO, to provide a progress report to the 84</w:t>
      </w:r>
      <w:r w:rsidRPr="00FE5979">
        <w:rPr>
          <w:vertAlign w:val="superscript"/>
        </w:rPr>
        <w:t>th</w:t>
      </w:r>
      <w:r w:rsidRPr="00FE5979">
        <w:t xml:space="preserve"> meeting on the contract for the development of the management information system and its incorporation in the monitoring and supervision programme that will be implemented by the Custom Authority;</w:t>
      </w:r>
    </w:p>
    <w:p w:rsidR="00AD221F" w:rsidRPr="00FE5979" w:rsidRDefault="00AD221F" w:rsidP="00AD221F">
      <w:pPr>
        <w:pStyle w:val="Heading2"/>
        <w:numPr>
          <w:ilvl w:val="1"/>
          <w:numId w:val="13"/>
        </w:numPr>
      </w:pPr>
      <w:r w:rsidRPr="00FE5979">
        <w:t>To note the proposed 2019-2021 work plan to ensure the long-term, sustained monitoring of MB production in China, and to request the Government of China, through UNIDO, to provide to the 84</w:t>
      </w:r>
      <w:r w:rsidRPr="00FE5979">
        <w:rPr>
          <w:vertAlign w:val="superscript"/>
        </w:rPr>
        <w:t xml:space="preserve">th </w:t>
      </w:r>
      <w:r w:rsidRPr="00FE5979">
        <w:t xml:space="preserve">meeting an update to the work plan to ensure the long-term, sustained monitoring of MB after the </w:t>
      </w:r>
      <w:r w:rsidRPr="00FE5979">
        <w:rPr>
          <w:b/>
        </w:rPr>
        <w:t>sector phase</w:t>
      </w:r>
      <w:r w:rsidRPr="00FE5979">
        <w:rPr>
          <w:b/>
        </w:rPr>
        <w:noBreakHyphen/>
        <w:t>out plan of MB production has been financially completed</w:t>
      </w:r>
      <w:r w:rsidRPr="00FE5979">
        <w:t>;</w:t>
      </w:r>
    </w:p>
    <w:p w:rsidR="00AD221F" w:rsidRPr="00FE5979" w:rsidRDefault="00AD221F" w:rsidP="00AD221F">
      <w:pPr>
        <w:pStyle w:val="Heading2"/>
        <w:numPr>
          <w:ilvl w:val="1"/>
          <w:numId w:val="13"/>
        </w:numPr>
      </w:pPr>
      <w:r w:rsidRPr="00FE5979">
        <w:t xml:space="preserve">To note that the 2019 progress report will include the verification of the 2018 </w:t>
      </w:r>
      <w:r w:rsidRPr="00FE5979">
        <w:rPr>
          <w:b/>
        </w:rPr>
        <w:t xml:space="preserve">MB </w:t>
      </w:r>
      <w:r w:rsidRPr="00FE5979">
        <w:t>production;</w:t>
      </w:r>
    </w:p>
    <w:p w:rsidR="00AD221F" w:rsidRPr="00FE5979" w:rsidRDefault="00AD221F" w:rsidP="00C03716">
      <w:pPr>
        <w:pStyle w:val="Heading2"/>
        <w:numPr>
          <w:ilvl w:val="1"/>
          <w:numId w:val="13"/>
        </w:numPr>
      </w:pPr>
      <w:r w:rsidRPr="00FE5979">
        <w:t xml:space="preserve">To request the Government of China, </w:t>
      </w:r>
      <w:r w:rsidRPr="00FE5979">
        <w:rPr>
          <w:b/>
        </w:rPr>
        <w:t>through UNIDO</w:t>
      </w:r>
      <w:r w:rsidRPr="00FE5979">
        <w:t>, to include in all subsequent progress reports the disbursement in US dollars at the time of the submission of the progress report and the value of contracts signed in the currency in which they were signed; and</w:t>
      </w:r>
    </w:p>
    <w:p w:rsidR="00473E39" w:rsidRPr="009A010C" w:rsidRDefault="00AD221F" w:rsidP="000D54BF">
      <w:pPr>
        <w:pStyle w:val="Heading2"/>
        <w:keepNext/>
        <w:widowControl/>
        <w:numPr>
          <w:ilvl w:val="1"/>
          <w:numId w:val="13"/>
        </w:numPr>
        <w:rPr>
          <w:lang w:val="en-CA"/>
        </w:rPr>
      </w:pPr>
      <w:r w:rsidRPr="00FE5979">
        <w:lastRenderedPageBreak/>
        <w:t>To request the Government of China and UNIDO to submit annual reports on the status of implementation of the sector plan for the phase-out of MB production, and the project completion report, to the Executive Committee no later than the last meeting in 2022.</w:t>
      </w:r>
    </w:p>
    <w:p w:rsidR="00465E2F" w:rsidRPr="009A010C" w:rsidRDefault="001D7B64" w:rsidP="00465E2F">
      <w:pPr>
        <w:spacing w:after="240"/>
        <w:ind w:left="1440" w:hanging="1440"/>
        <w:rPr>
          <w:b/>
          <w:lang w:val="en-CA"/>
        </w:rPr>
      </w:pPr>
      <w:r w:rsidRPr="009A010C">
        <w:rPr>
          <w:b/>
          <w:lang w:val="en-CA"/>
        </w:rPr>
        <w:t>PART III</w:t>
      </w:r>
      <w:r w:rsidR="00465E2F" w:rsidRPr="009A010C">
        <w:rPr>
          <w:b/>
          <w:lang w:val="en-CA"/>
        </w:rPr>
        <w:t>:</w:t>
      </w:r>
      <w:r w:rsidR="00465E2F" w:rsidRPr="009A010C">
        <w:rPr>
          <w:b/>
          <w:lang w:val="en-CA"/>
        </w:rPr>
        <w:tab/>
        <w:t>PHASE-OUT IN CONSUMPTION AND PRODUCTION OF CTC IN INDIA (DECISION 81/23)</w:t>
      </w:r>
    </w:p>
    <w:p w:rsidR="00465E2F" w:rsidRPr="009A010C" w:rsidRDefault="00465E2F" w:rsidP="00465E2F">
      <w:pPr>
        <w:jc w:val="left"/>
        <w:rPr>
          <w:b/>
          <w:lang w:val="en-CA"/>
        </w:rPr>
      </w:pPr>
      <w:r w:rsidRPr="009A010C">
        <w:rPr>
          <w:b/>
          <w:lang w:val="en-CA"/>
        </w:rPr>
        <w:t>Background</w:t>
      </w:r>
    </w:p>
    <w:p w:rsidR="00931A6E" w:rsidRPr="009A010C" w:rsidRDefault="00931A6E" w:rsidP="00931A6E">
      <w:pPr>
        <w:jc w:val="left"/>
        <w:rPr>
          <w:lang w:val="en-CA"/>
        </w:rPr>
      </w:pPr>
    </w:p>
    <w:p w:rsidR="00931A6E" w:rsidRPr="009A010C" w:rsidRDefault="00931A6E" w:rsidP="00931A6E">
      <w:pPr>
        <w:pStyle w:val="Heading1"/>
        <w:rPr>
          <w:lang w:val="en-CA"/>
        </w:rPr>
      </w:pPr>
      <w:r w:rsidRPr="009A010C">
        <w:rPr>
          <w:lang w:val="en-CA"/>
        </w:rPr>
        <w:t>At the 81</w:t>
      </w:r>
      <w:r w:rsidRPr="009A010C">
        <w:rPr>
          <w:vertAlign w:val="superscript"/>
          <w:lang w:val="en-CA"/>
        </w:rPr>
        <w:t>st </w:t>
      </w:r>
      <w:r w:rsidRPr="009A010C">
        <w:rPr>
          <w:lang w:val="en-CA"/>
        </w:rPr>
        <w:t>meeting, the Executive Committee considered a status report on the implementation of the project.</w:t>
      </w:r>
      <w:r w:rsidRPr="009A010C">
        <w:rPr>
          <w:rStyle w:val="FootnoteReference"/>
          <w:lang w:val="en-CA"/>
        </w:rPr>
        <w:footnoteReference w:id="13"/>
      </w:r>
      <w:r w:rsidRPr="009A010C">
        <w:rPr>
          <w:lang w:val="en-CA"/>
        </w:rPr>
        <w:t xml:space="preserve">  The Secretariat received the study on the country’s use of CTC for feedstock applications, submitted by UNDP on behalf of the Government of India, immediately before the 81</w:t>
      </w:r>
      <w:r w:rsidRPr="009A010C">
        <w:rPr>
          <w:vertAlign w:val="superscript"/>
          <w:lang w:val="en-CA"/>
        </w:rPr>
        <w:t>st</w:t>
      </w:r>
      <w:r w:rsidRPr="009A010C">
        <w:rPr>
          <w:lang w:val="en-CA"/>
        </w:rPr>
        <w:t> meeting; accordingly, the Committee requested:</w:t>
      </w:r>
    </w:p>
    <w:p w:rsidR="00931A6E" w:rsidRPr="009A010C" w:rsidRDefault="00931A6E" w:rsidP="00931A6E">
      <w:pPr>
        <w:pStyle w:val="Heading2"/>
        <w:rPr>
          <w:lang w:val="en-CA"/>
        </w:rPr>
      </w:pPr>
      <w:r w:rsidRPr="009A010C">
        <w:rPr>
          <w:lang w:val="en-CA"/>
        </w:rPr>
        <w:t>The Secretariat to submit to the 82</w:t>
      </w:r>
      <w:r w:rsidRPr="009A010C">
        <w:rPr>
          <w:vertAlign w:val="superscript"/>
          <w:lang w:val="en-CA"/>
        </w:rPr>
        <w:t>nd </w:t>
      </w:r>
      <w:r w:rsidRPr="009A010C">
        <w:rPr>
          <w:lang w:val="en-CA"/>
        </w:rPr>
        <w:t>meeting a document on the use by India of CTC for feedstock applications, based on the submitted report; and</w:t>
      </w:r>
    </w:p>
    <w:p w:rsidR="00931A6E" w:rsidRPr="009A010C" w:rsidRDefault="00931A6E" w:rsidP="00931A6E">
      <w:pPr>
        <w:pStyle w:val="Heading2"/>
        <w:rPr>
          <w:lang w:val="en-CA"/>
        </w:rPr>
      </w:pPr>
      <w:r w:rsidRPr="009A010C">
        <w:rPr>
          <w:lang w:val="en-CA"/>
        </w:rPr>
        <w:t>The World Bank, together with the Governments of France, Germany and Japan, and UNDP and UNIDO as cooperating implementing agencies, to submit to the 82</w:t>
      </w:r>
      <w:r w:rsidRPr="009A010C">
        <w:rPr>
          <w:vertAlign w:val="superscript"/>
          <w:lang w:val="en-CA"/>
        </w:rPr>
        <w:t>nd</w:t>
      </w:r>
      <w:r w:rsidRPr="009A010C">
        <w:rPr>
          <w:lang w:val="en-CA"/>
        </w:rPr>
        <w:t xml:space="preserve"> meeting the project completion report on the phase-out of CTC consumption and production (decision 81/23).  </w:t>
      </w:r>
    </w:p>
    <w:p w:rsidR="00931A6E" w:rsidRPr="009A010C" w:rsidRDefault="00931A6E" w:rsidP="00931A6E">
      <w:pPr>
        <w:rPr>
          <w:lang w:val="en-CA"/>
        </w:rPr>
      </w:pPr>
      <w:r w:rsidRPr="009A010C">
        <w:rPr>
          <w:lang w:val="en-CA"/>
        </w:rPr>
        <w:t>This document is prepared in response to decision 81/23.</w:t>
      </w:r>
    </w:p>
    <w:p w:rsidR="00931A6E" w:rsidRPr="009A010C" w:rsidRDefault="00931A6E" w:rsidP="00931A6E">
      <w:pPr>
        <w:rPr>
          <w:lang w:val="en-CA"/>
        </w:rPr>
      </w:pPr>
    </w:p>
    <w:p w:rsidR="00931A6E" w:rsidRPr="009A010C" w:rsidRDefault="00931A6E" w:rsidP="00931A6E">
      <w:pPr>
        <w:rPr>
          <w:b/>
          <w:lang w:val="en-CA"/>
        </w:rPr>
      </w:pPr>
      <w:r w:rsidRPr="009A010C">
        <w:rPr>
          <w:b/>
          <w:lang w:val="en-CA"/>
        </w:rPr>
        <w:t>Summary of the report on the use of CTC for feedstock applications in India</w:t>
      </w:r>
    </w:p>
    <w:p w:rsidR="00931A6E" w:rsidRPr="009A010C" w:rsidRDefault="00931A6E" w:rsidP="00931A6E">
      <w:pPr>
        <w:rPr>
          <w:lang w:val="en-CA"/>
        </w:rPr>
      </w:pPr>
    </w:p>
    <w:p w:rsidR="00931A6E" w:rsidRPr="00F4406E" w:rsidRDefault="00931A6E" w:rsidP="00931A6E">
      <w:pPr>
        <w:pStyle w:val="Heading1"/>
        <w:rPr>
          <w:lang w:val="en-CA"/>
        </w:rPr>
      </w:pPr>
      <w:r w:rsidRPr="009A010C">
        <w:rPr>
          <w:lang w:val="en-CA"/>
        </w:rPr>
        <w:t xml:space="preserve">The main objective of the study was to assess the use of CTC for feedstock applications, including the co-production of CTC during the production of chloromethane and documenting the use of CTC in various feedstock applications. The quantity of CTC produced and its use for feedstock is shown </w:t>
      </w:r>
      <w:r w:rsidRPr="00F4406E">
        <w:rPr>
          <w:lang w:val="en-CA"/>
        </w:rPr>
        <w:t>in Table </w:t>
      </w:r>
      <w:r w:rsidR="00A51632" w:rsidRPr="00F4406E">
        <w:rPr>
          <w:lang w:val="en-CA"/>
        </w:rPr>
        <w:t>6</w:t>
      </w:r>
      <w:r w:rsidRPr="00F4406E">
        <w:rPr>
          <w:lang w:val="en-CA"/>
        </w:rPr>
        <w:t>. The collected data was compared with the data reported under Article 7 of the Montreal Protocol.</w:t>
      </w:r>
    </w:p>
    <w:p w:rsidR="00931A6E" w:rsidRPr="00F4406E" w:rsidRDefault="00931A6E" w:rsidP="00931A6E">
      <w:pPr>
        <w:rPr>
          <w:b/>
          <w:lang w:val="en-CA"/>
        </w:rPr>
      </w:pPr>
      <w:r w:rsidRPr="00F4406E">
        <w:rPr>
          <w:b/>
          <w:lang w:val="en-CA"/>
        </w:rPr>
        <w:t xml:space="preserve">Table </w:t>
      </w:r>
      <w:r w:rsidR="00A51632" w:rsidRPr="00F4406E">
        <w:rPr>
          <w:b/>
          <w:lang w:val="en-CA"/>
        </w:rPr>
        <w:t>6.</w:t>
      </w:r>
      <w:r w:rsidRPr="00F4406E">
        <w:rPr>
          <w:b/>
          <w:lang w:val="en-CA"/>
        </w:rPr>
        <w:t xml:space="preserve"> CTC production data in India for 2013-2016*</w:t>
      </w:r>
    </w:p>
    <w:tbl>
      <w:tblPr>
        <w:tblW w:w="5000" w:type="pct"/>
        <w:tblLook w:val="04A0" w:firstRow="1" w:lastRow="0" w:firstColumn="1" w:lastColumn="0" w:noHBand="0" w:noVBand="1"/>
      </w:tblPr>
      <w:tblGrid>
        <w:gridCol w:w="6534"/>
        <w:gridCol w:w="2996"/>
      </w:tblGrid>
      <w:tr w:rsidR="00931A6E" w:rsidRPr="009A010C" w:rsidTr="00E2754D">
        <w:tc>
          <w:tcPr>
            <w:tcW w:w="34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1A6E" w:rsidRPr="00F4406E" w:rsidRDefault="00931A6E" w:rsidP="00E2754D">
            <w:pPr>
              <w:jc w:val="left"/>
              <w:rPr>
                <w:b/>
                <w:bCs/>
                <w:color w:val="000000"/>
                <w:sz w:val="20"/>
                <w:szCs w:val="20"/>
                <w:lang w:val="en-CA" w:eastAsia="en-CA"/>
              </w:rPr>
            </w:pPr>
            <w:r w:rsidRPr="00F4406E">
              <w:rPr>
                <w:b/>
                <w:bCs/>
                <w:color w:val="000000"/>
                <w:sz w:val="20"/>
                <w:szCs w:val="20"/>
                <w:lang w:val="en-CA" w:eastAsia="en-CA"/>
              </w:rPr>
              <w:t>Production</w:t>
            </w:r>
          </w:p>
        </w:tc>
        <w:tc>
          <w:tcPr>
            <w:tcW w:w="1572" w:type="pct"/>
            <w:tcBorders>
              <w:top w:val="single" w:sz="4" w:space="0" w:color="auto"/>
              <w:left w:val="nil"/>
              <w:bottom w:val="single" w:sz="4" w:space="0" w:color="auto"/>
              <w:right w:val="single" w:sz="4" w:space="0" w:color="auto"/>
            </w:tcBorders>
            <w:shd w:val="clear" w:color="auto" w:fill="auto"/>
            <w:noWrap/>
            <w:vAlign w:val="bottom"/>
            <w:hideMark/>
          </w:tcPr>
          <w:p w:rsidR="00931A6E" w:rsidRPr="009A010C" w:rsidRDefault="00931A6E" w:rsidP="00E2754D">
            <w:pPr>
              <w:jc w:val="center"/>
              <w:rPr>
                <w:b/>
                <w:bCs/>
                <w:color w:val="000000"/>
                <w:sz w:val="20"/>
                <w:szCs w:val="20"/>
                <w:lang w:val="en-CA" w:eastAsia="en-CA"/>
              </w:rPr>
            </w:pPr>
            <w:r w:rsidRPr="00F4406E">
              <w:rPr>
                <w:b/>
                <w:bCs/>
                <w:color w:val="000000"/>
                <w:sz w:val="20"/>
                <w:szCs w:val="20"/>
                <w:lang w:val="en-CA" w:eastAsia="en-CA"/>
              </w:rPr>
              <w:t>Total (metric tonnes)</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b/>
                <w:bCs/>
                <w:color w:val="000000"/>
                <w:sz w:val="20"/>
                <w:szCs w:val="20"/>
                <w:lang w:val="en-CA" w:eastAsia="en-CA"/>
              </w:rPr>
            </w:pPr>
            <w:r w:rsidRPr="009A010C">
              <w:rPr>
                <w:b/>
                <w:bCs/>
                <w:color w:val="000000"/>
                <w:sz w:val="20"/>
                <w:szCs w:val="20"/>
                <w:lang w:val="en-CA" w:eastAsia="en-CA"/>
              </w:rPr>
              <w:t>2013</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17,663.754</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 for feedstock</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17,663.754</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b/>
                <w:bCs/>
                <w:color w:val="000000"/>
                <w:sz w:val="20"/>
                <w:szCs w:val="20"/>
                <w:lang w:val="en-CA" w:eastAsia="en-CA"/>
              </w:rPr>
            </w:pPr>
            <w:r w:rsidRPr="009A010C">
              <w:rPr>
                <w:b/>
                <w:bCs/>
                <w:color w:val="000000"/>
                <w:sz w:val="20"/>
                <w:szCs w:val="20"/>
                <w:lang w:val="en-CA" w:eastAsia="en-CA"/>
              </w:rPr>
              <w:t>2014</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19,621.277</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 for feedstock</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19,621.277</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b/>
                <w:bCs/>
                <w:color w:val="000000"/>
                <w:sz w:val="20"/>
                <w:szCs w:val="20"/>
                <w:lang w:val="en-CA" w:eastAsia="en-CA"/>
              </w:rPr>
            </w:pPr>
            <w:r w:rsidRPr="009A010C">
              <w:rPr>
                <w:b/>
                <w:bCs/>
                <w:color w:val="000000"/>
                <w:sz w:val="20"/>
                <w:szCs w:val="20"/>
                <w:lang w:val="en-CA" w:eastAsia="en-CA"/>
              </w:rPr>
              <w:t>2015</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19,324.792</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 for feedstock</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19,324.792</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b/>
                <w:bCs/>
                <w:color w:val="000000"/>
                <w:sz w:val="20"/>
                <w:szCs w:val="20"/>
                <w:lang w:val="en-CA" w:eastAsia="en-CA"/>
              </w:rPr>
            </w:pPr>
            <w:r w:rsidRPr="009A010C">
              <w:rPr>
                <w:b/>
                <w:bCs/>
                <w:color w:val="000000"/>
                <w:sz w:val="20"/>
                <w:szCs w:val="20"/>
                <w:lang w:val="en-CA" w:eastAsia="en-CA"/>
              </w:rPr>
              <w:t>2016</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18,003.149</w:t>
            </w:r>
          </w:p>
        </w:tc>
      </w:tr>
      <w:tr w:rsidR="00931A6E" w:rsidRPr="009A010C" w:rsidTr="00E2754D">
        <w:tc>
          <w:tcPr>
            <w:tcW w:w="3428" w:type="pct"/>
            <w:tcBorders>
              <w:top w:val="nil"/>
              <w:left w:val="single" w:sz="4" w:space="0" w:color="auto"/>
              <w:bottom w:val="single" w:sz="4" w:space="0" w:color="auto"/>
              <w:right w:val="single" w:sz="4" w:space="0" w:color="auto"/>
            </w:tcBorders>
            <w:shd w:val="clear" w:color="auto" w:fill="auto"/>
            <w:noWrap/>
            <w:vAlign w:val="bottom"/>
            <w:hideMark/>
          </w:tcPr>
          <w:p w:rsidR="00931A6E" w:rsidRPr="009A010C" w:rsidRDefault="00931A6E" w:rsidP="00E2754D">
            <w:pPr>
              <w:jc w:val="left"/>
              <w:rPr>
                <w:color w:val="000000"/>
                <w:sz w:val="20"/>
                <w:szCs w:val="20"/>
                <w:lang w:val="en-CA" w:eastAsia="en-CA"/>
              </w:rPr>
            </w:pPr>
            <w:r w:rsidRPr="009A010C">
              <w:rPr>
                <w:color w:val="000000"/>
                <w:sz w:val="20"/>
                <w:szCs w:val="20"/>
                <w:lang w:val="en-CA" w:eastAsia="en-CA"/>
              </w:rPr>
              <w:t>CTC production for feedstock</w:t>
            </w:r>
          </w:p>
        </w:tc>
        <w:tc>
          <w:tcPr>
            <w:tcW w:w="1572" w:type="pct"/>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18,003.149</w:t>
            </w:r>
          </w:p>
        </w:tc>
      </w:tr>
    </w:tbl>
    <w:p w:rsidR="00931A6E" w:rsidRPr="009A010C" w:rsidRDefault="00931A6E" w:rsidP="00931A6E">
      <w:pPr>
        <w:rPr>
          <w:sz w:val="16"/>
          <w:szCs w:val="16"/>
          <w:lang w:val="en-CA"/>
        </w:rPr>
      </w:pPr>
      <w:r w:rsidRPr="009A010C">
        <w:rPr>
          <w:sz w:val="16"/>
          <w:szCs w:val="16"/>
          <w:lang w:val="en-CA"/>
        </w:rPr>
        <w:t xml:space="preserve">* CTC producers </w:t>
      </w:r>
    </w:p>
    <w:p w:rsidR="00931A6E" w:rsidRPr="009A010C" w:rsidRDefault="00931A6E" w:rsidP="00931A6E">
      <w:pPr>
        <w:rPr>
          <w:lang w:val="en-CA"/>
        </w:rPr>
      </w:pPr>
    </w:p>
    <w:p w:rsidR="00931A6E" w:rsidRPr="009A010C" w:rsidRDefault="00931A6E" w:rsidP="00F36B67">
      <w:pPr>
        <w:pStyle w:val="Heading1"/>
        <w:keepNext/>
        <w:rPr>
          <w:lang w:val="en-CA"/>
        </w:rPr>
      </w:pPr>
      <w:r w:rsidRPr="009A010C">
        <w:rPr>
          <w:lang w:val="en-CA"/>
        </w:rPr>
        <w:lastRenderedPageBreak/>
        <w:t>Key findings of the report are summarized below:</w:t>
      </w:r>
    </w:p>
    <w:p w:rsidR="00931A6E" w:rsidRPr="009A010C" w:rsidRDefault="00931A6E" w:rsidP="00F36B67">
      <w:pPr>
        <w:pStyle w:val="Heading2"/>
        <w:keepNext/>
        <w:widowControl/>
        <w:rPr>
          <w:lang w:val="en-CA"/>
        </w:rPr>
      </w:pPr>
      <w:r w:rsidRPr="009A010C">
        <w:rPr>
          <w:lang w:val="en-CA"/>
        </w:rPr>
        <w:t>CTC is used exclusively as a feedstock in the production of DV acid chloride</w:t>
      </w:r>
      <w:r w:rsidRPr="009A010C">
        <w:rPr>
          <w:rStyle w:val="FootnoteReference"/>
          <w:lang w:val="en-CA"/>
        </w:rPr>
        <w:footnoteReference w:id="14"/>
      </w:r>
      <w:r w:rsidRPr="009A010C">
        <w:rPr>
          <w:lang w:val="en-CA"/>
        </w:rPr>
        <w:t xml:space="preserve"> by eight enterprises and vinyl chloride monomer (VCM) by one enterprise. Production of DV acid chloride accounts for 97 per cent of the feedstock use of CTC, with VCM production accounting for the remainder;</w:t>
      </w:r>
    </w:p>
    <w:p w:rsidR="00931A6E" w:rsidRPr="009A010C" w:rsidRDefault="00931A6E" w:rsidP="00931A6E">
      <w:pPr>
        <w:pStyle w:val="Heading2"/>
        <w:rPr>
          <w:lang w:val="en-CA"/>
        </w:rPr>
      </w:pPr>
      <w:r w:rsidRPr="009A010C">
        <w:rPr>
          <w:lang w:val="en-CA"/>
        </w:rPr>
        <w:t>There are currently five CTC producers in India, one of which started producing CTC in 2016. All five produce CTC exclusively for feedstock use. All production of CTC in India is during the production of chloromethane, where CTC is co-produced;</w:t>
      </w:r>
    </w:p>
    <w:p w:rsidR="00931A6E" w:rsidRPr="009A010C" w:rsidRDefault="00931A6E" w:rsidP="00931A6E">
      <w:pPr>
        <w:pStyle w:val="Heading2"/>
        <w:keepNext/>
        <w:keepLines/>
        <w:rPr>
          <w:lang w:val="en-CA"/>
        </w:rPr>
      </w:pPr>
      <w:r w:rsidRPr="009A010C">
        <w:rPr>
          <w:lang w:val="en-CA"/>
        </w:rPr>
        <w:t xml:space="preserve">The details of CTC production and consumption from 2013 – 2016 as reported under Article 7 are shown below in </w:t>
      </w:r>
      <w:proofErr w:type="spellStart"/>
      <w:r w:rsidRPr="009A010C">
        <w:rPr>
          <w:lang w:val="en-CA"/>
        </w:rPr>
        <w:t>mt</w:t>
      </w:r>
      <w:proofErr w:type="spellEnd"/>
      <w:r w:rsidRPr="009A010C">
        <w:rPr>
          <w:lang w:val="en-CA"/>
        </w:rPr>
        <w:t>:</w:t>
      </w:r>
    </w:p>
    <w:tbl>
      <w:tblPr>
        <w:tblW w:w="7915" w:type="dxa"/>
        <w:tblInd w:w="1440" w:type="dxa"/>
        <w:tblLayout w:type="fixed"/>
        <w:tblLook w:val="04A0" w:firstRow="1" w:lastRow="0" w:firstColumn="1" w:lastColumn="0" w:noHBand="0" w:noVBand="1"/>
      </w:tblPr>
      <w:tblGrid>
        <w:gridCol w:w="1255"/>
        <w:gridCol w:w="1665"/>
        <w:gridCol w:w="1665"/>
        <w:gridCol w:w="1665"/>
        <w:gridCol w:w="1665"/>
      </w:tblGrid>
      <w:tr w:rsidR="00931A6E" w:rsidRPr="009A010C" w:rsidTr="00E2754D">
        <w:trPr>
          <w:tblHeader/>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1A6E" w:rsidRPr="009A010C" w:rsidRDefault="00931A6E" w:rsidP="00E2754D">
            <w:pPr>
              <w:jc w:val="center"/>
              <w:rPr>
                <w:b/>
                <w:bCs/>
                <w:color w:val="000000"/>
                <w:sz w:val="20"/>
                <w:szCs w:val="20"/>
                <w:lang w:val="en-CA" w:eastAsia="en-CA"/>
              </w:rPr>
            </w:pPr>
            <w:r w:rsidRPr="009A010C">
              <w:rPr>
                <w:b/>
                <w:bCs/>
                <w:color w:val="000000"/>
                <w:sz w:val="20"/>
                <w:szCs w:val="20"/>
                <w:lang w:val="en-CA" w:eastAsia="en-CA"/>
              </w:rPr>
              <w:t>Year</w:t>
            </w:r>
          </w:p>
        </w:tc>
        <w:tc>
          <w:tcPr>
            <w:tcW w:w="1665" w:type="dxa"/>
            <w:tcBorders>
              <w:top w:val="single" w:sz="4" w:space="0" w:color="auto"/>
              <w:left w:val="nil"/>
              <w:bottom w:val="single" w:sz="4" w:space="0" w:color="auto"/>
              <w:right w:val="single" w:sz="4" w:space="0" w:color="auto"/>
            </w:tcBorders>
            <w:shd w:val="clear" w:color="auto" w:fill="auto"/>
            <w:noWrap/>
            <w:hideMark/>
          </w:tcPr>
          <w:p w:rsidR="00931A6E" w:rsidRPr="009A010C" w:rsidRDefault="00931A6E" w:rsidP="00E2754D">
            <w:pPr>
              <w:jc w:val="center"/>
              <w:rPr>
                <w:b/>
                <w:bCs/>
                <w:color w:val="000000"/>
                <w:sz w:val="20"/>
                <w:szCs w:val="20"/>
                <w:lang w:val="en-CA" w:eastAsia="en-CA"/>
              </w:rPr>
            </w:pPr>
            <w:r w:rsidRPr="009A010C">
              <w:rPr>
                <w:b/>
                <w:bCs/>
                <w:color w:val="000000"/>
                <w:sz w:val="20"/>
                <w:szCs w:val="20"/>
                <w:lang w:val="en-CA" w:eastAsia="en-CA"/>
              </w:rPr>
              <w:t>Production</w:t>
            </w:r>
          </w:p>
        </w:tc>
        <w:tc>
          <w:tcPr>
            <w:tcW w:w="1665" w:type="dxa"/>
            <w:tcBorders>
              <w:top w:val="single" w:sz="4" w:space="0" w:color="auto"/>
              <w:left w:val="nil"/>
              <w:bottom w:val="single" w:sz="4" w:space="0" w:color="auto"/>
              <w:right w:val="single" w:sz="4" w:space="0" w:color="auto"/>
            </w:tcBorders>
            <w:shd w:val="clear" w:color="auto" w:fill="auto"/>
            <w:noWrap/>
            <w:hideMark/>
          </w:tcPr>
          <w:p w:rsidR="00931A6E" w:rsidRPr="009A010C" w:rsidRDefault="00931A6E" w:rsidP="00E2754D">
            <w:pPr>
              <w:jc w:val="center"/>
              <w:rPr>
                <w:b/>
                <w:bCs/>
                <w:color w:val="000000"/>
                <w:sz w:val="20"/>
                <w:szCs w:val="20"/>
                <w:lang w:val="en-CA" w:eastAsia="en-CA"/>
              </w:rPr>
            </w:pPr>
            <w:r w:rsidRPr="009A010C">
              <w:rPr>
                <w:b/>
                <w:bCs/>
                <w:color w:val="000000"/>
                <w:sz w:val="20"/>
                <w:szCs w:val="20"/>
                <w:lang w:val="en-CA" w:eastAsia="en-CA"/>
              </w:rPr>
              <w:t>Import</w:t>
            </w:r>
          </w:p>
        </w:tc>
        <w:tc>
          <w:tcPr>
            <w:tcW w:w="1665" w:type="dxa"/>
            <w:tcBorders>
              <w:top w:val="single" w:sz="4" w:space="0" w:color="auto"/>
              <w:left w:val="nil"/>
              <w:bottom w:val="single" w:sz="4" w:space="0" w:color="auto"/>
              <w:right w:val="single" w:sz="4" w:space="0" w:color="auto"/>
            </w:tcBorders>
            <w:shd w:val="clear" w:color="auto" w:fill="auto"/>
            <w:noWrap/>
            <w:hideMark/>
          </w:tcPr>
          <w:p w:rsidR="00931A6E" w:rsidRPr="009A010C" w:rsidRDefault="00931A6E" w:rsidP="00E2754D">
            <w:pPr>
              <w:jc w:val="center"/>
              <w:rPr>
                <w:b/>
                <w:bCs/>
                <w:color w:val="000000"/>
                <w:sz w:val="20"/>
                <w:szCs w:val="20"/>
                <w:lang w:val="en-CA" w:eastAsia="en-CA"/>
              </w:rPr>
            </w:pPr>
            <w:r w:rsidRPr="009A010C">
              <w:rPr>
                <w:b/>
                <w:bCs/>
                <w:color w:val="000000"/>
                <w:sz w:val="20"/>
                <w:szCs w:val="20"/>
                <w:lang w:val="en-CA" w:eastAsia="en-CA"/>
              </w:rPr>
              <w:t>Export</w:t>
            </w:r>
          </w:p>
        </w:tc>
        <w:tc>
          <w:tcPr>
            <w:tcW w:w="1665" w:type="dxa"/>
            <w:tcBorders>
              <w:top w:val="single" w:sz="4" w:space="0" w:color="auto"/>
              <w:left w:val="nil"/>
              <w:bottom w:val="single" w:sz="4" w:space="0" w:color="auto"/>
              <w:right w:val="single" w:sz="4" w:space="0" w:color="auto"/>
            </w:tcBorders>
            <w:shd w:val="clear" w:color="auto" w:fill="auto"/>
            <w:noWrap/>
            <w:hideMark/>
          </w:tcPr>
          <w:p w:rsidR="00931A6E" w:rsidRPr="009A010C" w:rsidRDefault="00931A6E" w:rsidP="00E2754D">
            <w:pPr>
              <w:jc w:val="center"/>
              <w:rPr>
                <w:b/>
                <w:bCs/>
                <w:color w:val="000000"/>
                <w:sz w:val="20"/>
                <w:szCs w:val="20"/>
                <w:lang w:val="en-CA" w:eastAsia="en-CA"/>
              </w:rPr>
            </w:pPr>
            <w:r w:rsidRPr="009A010C">
              <w:rPr>
                <w:b/>
                <w:bCs/>
                <w:color w:val="000000"/>
                <w:sz w:val="20"/>
                <w:szCs w:val="20"/>
                <w:lang w:val="en-CA" w:eastAsia="en-CA"/>
              </w:rPr>
              <w:t>Feedstock</w:t>
            </w:r>
          </w:p>
        </w:tc>
      </w:tr>
      <w:tr w:rsidR="00931A6E" w:rsidRPr="009A010C" w:rsidTr="00E2754D">
        <w:tc>
          <w:tcPr>
            <w:tcW w:w="1255" w:type="dxa"/>
            <w:tcBorders>
              <w:top w:val="nil"/>
              <w:left w:val="single" w:sz="4" w:space="0" w:color="auto"/>
              <w:bottom w:val="single" w:sz="4" w:space="0" w:color="auto"/>
              <w:right w:val="single" w:sz="4" w:space="0" w:color="auto"/>
            </w:tcBorders>
            <w:shd w:val="clear" w:color="auto" w:fill="auto"/>
            <w:noWrap/>
            <w:vAlign w:val="center"/>
            <w:hideMark/>
          </w:tcPr>
          <w:p w:rsidR="00931A6E" w:rsidRPr="009A010C" w:rsidRDefault="00931A6E" w:rsidP="00E2754D">
            <w:pPr>
              <w:jc w:val="center"/>
              <w:rPr>
                <w:color w:val="000000"/>
                <w:sz w:val="20"/>
                <w:szCs w:val="20"/>
                <w:lang w:val="en-CA" w:eastAsia="en-CA"/>
              </w:rPr>
            </w:pPr>
            <w:r w:rsidRPr="009A010C">
              <w:rPr>
                <w:color w:val="000000"/>
                <w:sz w:val="20"/>
                <w:szCs w:val="20"/>
                <w:lang w:val="en-CA" w:eastAsia="en-CA"/>
              </w:rPr>
              <w:t>2013</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17,663.754</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17,663.754</w:t>
            </w:r>
          </w:p>
        </w:tc>
      </w:tr>
      <w:tr w:rsidR="00931A6E" w:rsidRPr="009A010C" w:rsidTr="00E2754D">
        <w:tc>
          <w:tcPr>
            <w:tcW w:w="1255" w:type="dxa"/>
            <w:tcBorders>
              <w:top w:val="nil"/>
              <w:left w:val="single" w:sz="4" w:space="0" w:color="auto"/>
              <w:bottom w:val="single" w:sz="4" w:space="0" w:color="auto"/>
              <w:right w:val="single" w:sz="4" w:space="0" w:color="auto"/>
            </w:tcBorders>
            <w:shd w:val="clear" w:color="auto" w:fill="auto"/>
            <w:noWrap/>
            <w:vAlign w:val="center"/>
            <w:hideMark/>
          </w:tcPr>
          <w:p w:rsidR="00931A6E" w:rsidRPr="009A010C" w:rsidRDefault="00931A6E" w:rsidP="00E2754D">
            <w:pPr>
              <w:jc w:val="center"/>
              <w:rPr>
                <w:color w:val="000000"/>
                <w:sz w:val="20"/>
                <w:szCs w:val="20"/>
                <w:lang w:val="en-CA" w:eastAsia="en-CA"/>
              </w:rPr>
            </w:pPr>
            <w:r w:rsidRPr="009A010C">
              <w:rPr>
                <w:color w:val="000000"/>
                <w:sz w:val="20"/>
                <w:szCs w:val="20"/>
                <w:lang w:val="en-CA" w:eastAsia="en-CA"/>
              </w:rPr>
              <w:t>2014</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19,621.277</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944.000</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20,565.277</w:t>
            </w:r>
          </w:p>
        </w:tc>
      </w:tr>
      <w:tr w:rsidR="00931A6E" w:rsidRPr="009A010C" w:rsidTr="00E2754D">
        <w:tc>
          <w:tcPr>
            <w:tcW w:w="1255" w:type="dxa"/>
            <w:tcBorders>
              <w:top w:val="nil"/>
              <w:left w:val="single" w:sz="4" w:space="0" w:color="auto"/>
              <w:bottom w:val="single" w:sz="4" w:space="0" w:color="auto"/>
              <w:right w:val="single" w:sz="4" w:space="0" w:color="auto"/>
            </w:tcBorders>
            <w:shd w:val="clear" w:color="auto" w:fill="auto"/>
            <w:noWrap/>
            <w:vAlign w:val="center"/>
            <w:hideMark/>
          </w:tcPr>
          <w:p w:rsidR="00931A6E" w:rsidRPr="009A010C" w:rsidRDefault="00931A6E" w:rsidP="00E2754D">
            <w:pPr>
              <w:jc w:val="center"/>
              <w:rPr>
                <w:color w:val="000000"/>
                <w:sz w:val="20"/>
                <w:szCs w:val="20"/>
                <w:lang w:val="en-CA" w:eastAsia="en-CA"/>
              </w:rPr>
            </w:pPr>
            <w:r w:rsidRPr="009A010C">
              <w:rPr>
                <w:color w:val="000000"/>
                <w:sz w:val="20"/>
                <w:szCs w:val="20"/>
                <w:lang w:val="en-CA" w:eastAsia="en-CA"/>
              </w:rPr>
              <w:t>2015</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19,324.792</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0.180</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19,324.612</w:t>
            </w:r>
          </w:p>
        </w:tc>
      </w:tr>
      <w:tr w:rsidR="00931A6E" w:rsidRPr="009A010C" w:rsidTr="00E2754D">
        <w:tc>
          <w:tcPr>
            <w:tcW w:w="1255" w:type="dxa"/>
            <w:tcBorders>
              <w:top w:val="nil"/>
              <w:left w:val="single" w:sz="4" w:space="0" w:color="auto"/>
              <w:bottom w:val="single" w:sz="4" w:space="0" w:color="auto"/>
              <w:right w:val="single" w:sz="4" w:space="0" w:color="auto"/>
            </w:tcBorders>
            <w:shd w:val="clear" w:color="auto" w:fill="auto"/>
            <w:noWrap/>
            <w:vAlign w:val="center"/>
            <w:hideMark/>
          </w:tcPr>
          <w:p w:rsidR="00931A6E" w:rsidRPr="009A010C" w:rsidRDefault="00931A6E" w:rsidP="00E2754D">
            <w:pPr>
              <w:jc w:val="center"/>
              <w:rPr>
                <w:color w:val="000000"/>
                <w:sz w:val="20"/>
                <w:szCs w:val="20"/>
                <w:lang w:val="en-CA" w:eastAsia="en-CA"/>
              </w:rPr>
            </w:pPr>
            <w:r w:rsidRPr="009A010C">
              <w:rPr>
                <w:color w:val="000000"/>
                <w:sz w:val="20"/>
                <w:szCs w:val="20"/>
                <w:lang w:val="en-CA" w:eastAsia="en-CA"/>
              </w:rPr>
              <w:t>2016</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18,003.149</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1,037.000</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0.312</w:t>
            </w:r>
          </w:p>
        </w:tc>
        <w:tc>
          <w:tcPr>
            <w:tcW w:w="1665" w:type="dxa"/>
            <w:tcBorders>
              <w:top w:val="nil"/>
              <w:left w:val="nil"/>
              <w:bottom w:val="single" w:sz="4" w:space="0" w:color="auto"/>
              <w:right w:val="single" w:sz="4" w:space="0" w:color="auto"/>
            </w:tcBorders>
            <w:shd w:val="clear" w:color="auto" w:fill="auto"/>
            <w:noWrap/>
            <w:hideMark/>
          </w:tcPr>
          <w:p w:rsidR="00931A6E" w:rsidRPr="009A010C" w:rsidRDefault="00931A6E" w:rsidP="00E2754D">
            <w:pPr>
              <w:jc w:val="right"/>
              <w:rPr>
                <w:color w:val="000000"/>
                <w:sz w:val="20"/>
                <w:szCs w:val="20"/>
                <w:lang w:val="en-CA" w:eastAsia="en-CA"/>
              </w:rPr>
            </w:pPr>
            <w:r w:rsidRPr="009A010C">
              <w:rPr>
                <w:color w:val="000000"/>
                <w:sz w:val="20"/>
                <w:szCs w:val="20"/>
                <w:lang w:val="en-CA" w:eastAsia="en-CA"/>
              </w:rPr>
              <w:t>19,039.837</w:t>
            </w:r>
          </w:p>
        </w:tc>
      </w:tr>
    </w:tbl>
    <w:p w:rsidR="00931A6E" w:rsidRPr="009A010C" w:rsidRDefault="00931A6E" w:rsidP="00931A6E">
      <w:pPr>
        <w:pStyle w:val="ListParagraph"/>
        <w:autoSpaceDE w:val="0"/>
        <w:autoSpaceDN w:val="0"/>
        <w:adjustRightInd w:val="0"/>
        <w:rPr>
          <w:lang w:val="en-CA"/>
        </w:rPr>
      </w:pPr>
    </w:p>
    <w:p w:rsidR="00931A6E" w:rsidRPr="009A010C" w:rsidRDefault="00931A6E" w:rsidP="00931A6E">
      <w:pPr>
        <w:pStyle w:val="Heading2"/>
        <w:rPr>
          <w:lang w:val="en-CA"/>
        </w:rPr>
      </w:pPr>
      <w:r w:rsidRPr="009A010C">
        <w:rPr>
          <w:lang w:val="en-CA"/>
        </w:rPr>
        <w:t>There is no foreseen cessation of CTC production for feedstock applications;</w:t>
      </w:r>
    </w:p>
    <w:p w:rsidR="00931A6E" w:rsidRPr="009A010C" w:rsidRDefault="00931A6E" w:rsidP="00931A6E">
      <w:pPr>
        <w:pStyle w:val="Heading2"/>
        <w:rPr>
          <w:lang w:val="en-CA"/>
        </w:rPr>
      </w:pPr>
      <w:r w:rsidRPr="009A010C">
        <w:rPr>
          <w:lang w:val="en-CA"/>
        </w:rPr>
        <w:t>Under the ODS (Regulation and Control) Rules, 2000 and its amendments,</w:t>
      </w:r>
      <w:r w:rsidRPr="009A010C" w:rsidDel="00354370">
        <w:rPr>
          <w:lang w:val="en-CA"/>
        </w:rPr>
        <w:t xml:space="preserve"> </w:t>
      </w:r>
      <w:r w:rsidRPr="009A010C">
        <w:rPr>
          <w:lang w:val="en-CA"/>
        </w:rPr>
        <w:t>there is an annual statutory reporting requirement for monitoring CTC production and feedstock use that is applicable to all enterprises, and use of CTC is prohibited for non-feedstock applications; and</w:t>
      </w:r>
    </w:p>
    <w:p w:rsidR="00931A6E" w:rsidRPr="009A010C" w:rsidRDefault="00931A6E" w:rsidP="00931A6E">
      <w:pPr>
        <w:pStyle w:val="Heading2"/>
        <w:rPr>
          <w:lang w:val="en-CA"/>
        </w:rPr>
      </w:pPr>
      <w:r w:rsidRPr="009A010C">
        <w:rPr>
          <w:lang w:val="en-CA"/>
        </w:rPr>
        <w:t xml:space="preserve">The monitoring system, which is one of the outputs of technical assistance activities of the National CTC phase-out plan project, requires all enterprises manufacturing CTC for feedstock use to annually report to the Ozone Cell their CTC production, opening and closing stocks. CTC feedstock users are also subjected to statutory reporting requirements on an annual basis. This system allows the Ozone Cell to monitor CTC production and use. </w:t>
      </w:r>
    </w:p>
    <w:p w:rsidR="00931A6E" w:rsidRPr="009A010C" w:rsidRDefault="00931A6E" w:rsidP="00931A6E">
      <w:pPr>
        <w:spacing w:after="240"/>
        <w:rPr>
          <w:rFonts w:eastAsiaTheme="minorHAnsi"/>
          <w:b/>
          <w:bCs/>
          <w:lang w:val="en-CA"/>
        </w:rPr>
      </w:pPr>
      <w:r w:rsidRPr="009A010C">
        <w:rPr>
          <w:b/>
          <w:bCs/>
          <w:lang w:val="en-CA"/>
        </w:rPr>
        <w:t>Comments</w:t>
      </w:r>
    </w:p>
    <w:p w:rsidR="00931A6E" w:rsidRPr="009A010C" w:rsidRDefault="00931A6E" w:rsidP="00931A6E">
      <w:pPr>
        <w:pStyle w:val="Heading1"/>
        <w:rPr>
          <w:lang w:val="en-CA"/>
        </w:rPr>
      </w:pPr>
      <w:r w:rsidRPr="009A010C">
        <w:rPr>
          <w:lang w:val="en-CA"/>
        </w:rPr>
        <w:t xml:space="preserve">Of the five CTC producers, three received funding under the CTC production phase-out plan (i.e., Gujarat </w:t>
      </w:r>
      <w:proofErr w:type="spellStart"/>
      <w:r w:rsidRPr="009A010C">
        <w:rPr>
          <w:lang w:val="en-CA"/>
        </w:rPr>
        <w:t>Alkalies</w:t>
      </w:r>
      <w:proofErr w:type="spellEnd"/>
      <w:r w:rsidRPr="009A010C">
        <w:rPr>
          <w:lang w:val="en-CA"/>
        </w:rPr>
        <w:t xml:space="preserve"> and Chemicals Limited, </w:t>
      </w:r>
      <w:proofErr w:type="spellStart"/>
      <w:r w:rsidRPr="009A010C">
        <w:rPr>
          <w:lang w:val="en-CA"/>
        </w:rPr>
        <w:t>Chemplast</w:t>
      </w:r>
      <w:proofErr w:type="spellEnd"/>
      <w:r w:rsidRPr="009A010C">
        <w:rPr>
          <w:lang w:val="en-CA"/>
        </w:rPr>
        <w:t xml:space="preserve"> Limited, and SRF Limited) and two new enterprises started production after the initiation of the CTC production phase-out plan (i.e., Gujarat </w:t>
      </w:r>
      <w:proofErr w:type="spellStart"/>
      <w:r w:rsidRPr="009A010C">
        <w:rPr>
          <w:bCs/>
          <w:lang w:val="en-CA"/>
        </w:rPr>
        <w:t>Fl</w:t>
      </w:r>
      <w:r w:rsidRPr="009A010C">
        <w:rPr>
          <w:lang w:val="en-CA"/>
        </w:rPr>
        <w:t>uorochemicals</w:t>
      </w:r>
      <w:proofErr w:type="spellEnd"/>
      <w:r w:rsidRPr="009A010C">
        <w:rPr>
          <w:lang w:val="en-CA"/>
        </w:rPr>
        <w:t xml:space="preserve"> Ltd. and </w:t>
      </w:r>
      <w:proofErr w:type="spellStart"/>
      <w:r w:rsidRPr="009A010C">
        <w:rPr>
          <w:lang w:val="en-CA"/>
        </w:rPr>
        <w:t>Sree</w:t>
      </w:r>
      <w:proofErr w:type="spellEnd"/>
      <w:r w:rsidRPr="009A010C">
        <w:rPr>
          <w:lang w:val="en-CA"/>
        </w:rPr>
        <w:t xml:space="preserve"> </w:t>
      </w:r>
      <w:proofErr w:type="spellStart"/>
      <w:r w:rsidRPr="009A010C">
        <w:rPr>
          <w:lang w:val="en-CA"/>
        </w:rPr>
        <w:t>Rayalaseema</w:t>
      </w:r>
      <w:proofErr w:type="spellEnd"/>
      <w:r w:rsidRPr="009A010C">
        <w:rPr>
          <w:lang w:val="en-CA"/>
        </w:rPr>
        <w:t xml:space="preserve"> </w:t>
      </w:r>
      <w:proofErr w:type="spellStart"/>
      <w:r w:rsidRPr="009A010C">
        <w:rPr>
          <w:lang w:val="en-CA"/>
        </w:rPr>
        <w:t>Alkalies</w:t>
      </w:r>
      <w:proofErr w:type="spellEnd"/>
      <w:r w:rsidRPr="009A010C">
        <w:rPr>
          <w:lang w:val="en-CA"/>
        </w:rPr>
        <w:t xml:space="preserve"> and Allied Chemicals Ltd.). The requirement to annually report to the Ozone Cell production, opening and closing stocks applies to all CTC producers, irrespective of whether they received funding under the CTC production phase-out plan; the requirement would also apply to any new CTC producers. However, CTC producers are not required to report technical material use ratios, which a comprehensive monitoring system would also include. Such reporting could be monitored through appropriate mechanisms at national level; such mechanisms would need to ensure confidentiality of reported data.</w:t>
      </w:r>
    </w:p>
    <w:p w:rsidR="00931A6E" w:rsidRPr="009A010C" w:rsidRDefault="00931A6E" w:rsidP="00931A6E">
      <w:pPr>
        <w:pStyle w:val="Heading1"/>
        <w:rPr>
          <w:lang w:val="en-CA"/>
        </w:rPr>
      </w:pPr>
      <w:r w:rsidRPr="009A010C">
        <w:rPr>
          <w:lang w:val="en-CA"/>
        </w:rPr>
        <w:t xml:space="preserve">UNDP clarified that the import of CTC for feedstock is under a license issued by the Directorate General of Foreign Trade, Ministry of Commerce and Industry, based on the recommendations of the Ozone Cell. The application for import details the nature of use and the process to be followed, which is certified by </w:t>
      </w:r>
      <w:r w:rsidRPr="009A010C">
        <w:rPr>
          <w:lang w:val="en-CA"/>
        </w:rPr>
        <w:lastRenderedPageBreak/>
        <w:t xml:space="preserve">a national/accredited laboratory for conformity with the approved feedstock processes (i.e., DV acid chloride and VCM). Prior to making a recommendation for a license for import, the Ozone Cell does the required due diligence in terms of actual need as well as the nature of use, including by assessing any shortfall between domestic production and demand. </w:t>
      </w:r>
    </w:p>
    <w:p w:rsidR="00931A6E" w:rsidRPr="009A010C" w:rsidRDefault="00931A6E" w:rsidP="00931A6E">
      <w:pPr>
        <w:pStyle w:val="Heading1"/>
        <w:rPr>
          <w:lang w:val="en-CA"/>
        </w:rPr>
      </w:pPr>
      <w:r w:rsidRPr="009A010C">
        <w:rPr>
          <w:lang w:val="en-CA"/>
        </w:rPr>
        <w:t xml:space="preserve">Production of chloromethane can result in not only the co-production of CTC, but also of chloroform and methylene chloride. Indeed, it is common to have some contaminated </w:t>
      </w:r>
      <w:proofErr w:type="spellStart"/>
      <w:r w:rsidRPr="009A010C">
        <w:rPr>
          <w:lang w:val="en-CA"/>
        </w:rPr>
        <w:t>chloromethanes</w:t>
      </w:r>
      <w:proofErr w:type="spellEnd"/>
      <w:r w:rsidRPr="009A010C">
        <w:rPr>
          <w:lang w:val="en-CA"/>
        </w:rPr>
        <w:t xml:space="preserve"> containing a combination of methylene chloride, chloroform, and CTC in a production plant due to the technical configuration of the plant. Any such contaminated </w:t>
      </w:r>
      <w:proofErr w:type="spellStart"/>
      <w:r w:rsidRPr="009A010C">
        <w:rPr>
          <w:lang w:val="en-CA"/>
        </w:rPr>
        <w:t>choloromethanes</w:t>
      </w:r>
      <w:proofErr w:type="spellEnd"/>
      <w:r w:rsidRPr="009A010C">
        <w:rPr>
          <w:lang w:val="en-CA"/>
        </w:rPr>
        <w:t xml:space="preserve"> are destroyed. </w:t>
      </w:r>
    </w:p>
    <w:p w:rsidR="00931A6E" w:rsidRPr="009A010C" w:rsidRDefault="00931A6E" w:rsidP="00931A6E">
      <w:pPr>
        <w:pStyle w:val="Heading1"/>
        <w:rPr>
          <w:lang w:val="en-CA"/>
        </w:rPr>
      </w:pPr>
      <w:r w:rsidRPr="009A010C">
        <w:rPr>
          <w:lang w:val="en-CA"/>
        </w:rPr>
        <w:t>Regarding fugitive emissions, UNDP clarified that under the ODS (Regulation and Control) Rules, 2000 and its amendments, the registration by an enterprise for a feedstock use of CTC is independently certified for negligible emissions. Therefore, fugitive emissions of CTC during the production of DV acid chloride and VCM are negligible.</w:t>
      </w:r>
    </w:p>
    <w:p w:rsidR="00931A6E" w:rsidRPr="009A010C" w:rsidRDefault="00931A6E" w:rsidP="00931A6E">
      <w:pPr>
        <w:keepNext/>
        <w:keepLines/>
        <w:rPr>
          <w:u w:val="single"/>
          <w:lang w:val="en-CA"/>
        </w:rPr>
      </w:pPr>
      <w:r w:rsidRPr="009A010C">
        <w:rPr>
          <w:u w:val="single"/>
          <w:lang w:val="en-CA"/>
        </w:rPr>
        <w:t>Project completion report</w:t>
      </w:r>
    </w:p>
    <w:p w:rsidR="00931A6E" w:rsidRPr="009A010C" w:rsidRDefault="00931A6E" w:rsidP="00931A6E">
      <w:pPr>
        <w:keepNext/>
        <w:keepLines/>
        <w:rPr>
          <w:lang w:val="en-CA"/>
        </w:rPr>
      </w:pPr>
    </w:p>
    <w:p w:rsidR="00931A6E" w:rsidRPr="009A010C" w:rsidRDefault="00931A6E" w:rsidP="00931A6E">
      <w:pPr>
        <w:pStyle w:val="Heading1"/>
        <w:keepNext/>
        <w:keepLines/>
        <w:rPr>
          <w:lang w:val="en-CA"/>
        </w:rPr>
      </w:pPr>
      <w:r w:rsidRPr="009A010C">
        <w:rPr>
          <w:lang w:val="en-CA"/>
        </w:rPr>
        <w:t>With regard to decision 81/23(b), the Secretariat notes that at the time of finalization of the present document, the World Bank, together with the Governments of France, Germany and Japan, and UNDP and UNIDO as cooperating implementing agencies, has not submitted the project completion report on the phase</w:t>
      </w:r>
      <w:r w:rsidR="00E2754D" w:rsidRPr="009A010C">
        <w:rPr>
          <w:lang w:val="en-CA"/>
        </w:rPr>
        <w:noBreakHyphen/>
      </w:r>
      <w:r w:rsidRPr="009A010C">
        <w:rPr>
          <w:lang w:val="en-CA"/>
        </w:rPr>
        <w:t xml:space="preserve">out of CTC consumption and production to the present meeting as had been requested. </w:t>
      </w:r>
    </w:p>
    <w:p w:rsidR="00931A6E" w:rsidRPr="009A010C" w:rsidRDefault="00931A6E" w:rsidP="00931A6E">
      <w:pPr>
        <w:spacing w:after="240"/>
        <w:rPr>
          <w:rFonts w:eastAsiaTheme="minorHAnsi"/>
          <w:bCs/>
          <w:u w:val="single"/>
          <w:lang w:val="en-CA"/>
        </w:rPr>
      </w:pPr>
      <w:r w:rsidRPr="009A010C">
        <w:rPr>
          <w:bCs/>
          <w:u w:val="single"/>
          <w:lang w:val="en-CA"/>
        </w:rPr>
        <w:t>Conclusion</w:t>
      </w:r>
    </w:p>
    <w:p w:rsidR="00931A6E" w:rsidRPr="009A010C" w:rsidRDefault="00931A6E" w:rsidP="00931A6E">
      <w:pPr>
        <w:pStyle w:val="Heading1"/>
        <w:rPr>
          <w:lang w:val="en-CA"/>
        </w:rPr>
      </w:pPr>
      <w:r w:rsidRPr="009A010C">
        <w:rPr>
          <w:lang w:val="en-CA"/>
        </w:rPr>
        <w:t xml:space="preserve">Feedstock uses of CTC in India are expected to continue for the foreseeable future; likewise, production for feedstock uses are expected to continue, though some demand may be met through imports. The Secretariat considers that the Government of India has a robust system in place to monitor the production and use of CTC to ensure continued compliance with the phase-out of consumption of CTC and production of CTC for controlled uses. The comprehensive monitoring system currently in place could be further strengthened by including appropriate reporting of technical material use ratios. </w:t>
      </w:r>
    </w:p>
    <w:p w:rsidR="00931A6E" w:rsidRPr="009A010C" w:rsidRDefault="00931A6E" w:rsidP="00931A6E">
      <w:pPr>
        <w:keepNext/>
        <w:spacing w:after="240"/>
        <w:rPr>
          <w:rFonts w:eastAsiaTheme="minorHAnsi"/>
          <w:b/>
          <w:bCs/>
          <w:color w:val="000000"/>
          <w:lang w:val="en-CA"/>
        </w:rPr>
      </w:pPr>
      <w:r w:rsidRPr="009A010C">
        <w:rPr>
          <w:b/>
          <w:bCs/>
          <w:color w:val="000000"/>
          <w:lang w:val="en-CA"/>
        </w:rPr>
        <w:t>Recommendation</w:t>
      </w:r>
    </w:p>
    <w:p w:rsidR="00931A6E" w:rsidRPr="009A010C" w:rsidRDefault="00931A6E" w:rsidP="00931A6E">
      <w:pPr>
        <w:pStyle w:val="Heading1"/>
        <w:rPr>
          <w:lang w:val="en-CA"/>
        </w:rPr>
      </w:pPr>
      <w:r w:rsidRPr="009A010C">
        <w:rPr>
          <w:lang w:val="en-CA"/>
        </w:rPr>
        <w:t>The Executive Committee may wish:</w:t>
      </w:r>
    </w:p>
    <w:p w:rsidR="00AD221F" w:rsidRPr="00FE5979" w:rsidRDefault="00AD221F" w:rsidP="00AD221F">
      <w:pPr>
        <w:pStyle w:val="Heading2"/>
        <w:numPr>
          <w:ilvl w:val="1"/>
          <w:numId w:val="14"/>
        </w:numPr>
        <w:rPr>
          <w:b/>
          <w:lang w:val="en-CA"/>
        </w:rPr>
      </w:pPr>
      <w:r w:rsidRPr="00FE5979">
        <w:rPr>
          <w:b/>
          <w:lang w:val="en-CA"/>
        </w:rPr>
        <w:t xml:space="preserve">To note the document on the use of CTC for feedstock applications in India submitted by UNDP; </w:t>
      </w:r>
    </w:p>
    <w:p w:rsidR="00AD221F" w:rsidRPr="00FE5979" w:rsidRDefault="00AD221F" w:rsidP="00AD221F">
      <w:pPr>
        <w:pStyle w:val="Heading2"/>
        <w:numPr>
          <w:ilvl w:val="1"/>
          <w:numId w:val="14"/>
        </w:numPr>
        <w:ind w:left="1418" w:hanging="709"/>
        <w:rPr>
          <w:lang w:val="en-CA"/>
        </w:rPr>
      </w:pPr>
      <w:r w:rsidRPr="00FE5979">
        <w:rPr>
          <w:lang w:val="en-CA"/>
        </w:rPr>
        <w:t xml:space="preserve">To note the Government of India would continue monitoring the production and use of CTC to ensure continued compliance with the phase-out of consumption of CTC and production of CTC for controlled uses; and </w:t>
      </w:r>
    </w:p>
    <w:p w:rsidR="00931A6E" w:rsidRPr="009A010C" w:rsidRDefault="00AD221F" w:rsidP="00AD221F">
      <w:pPr>
        <w:pStyle w:val="Heading2"/>
        <w:rPr>
          <w:lang w:val="en-CA"/>
        </w:rPr>
      </w:pPr>
      <w:r w:rsidRPr="00FE5979">
        <w:rPr>
          <w:lang w:val="en-CA"/>
        </w:rPr>
        <w:t xml:space="preserve">To urge the World Bank, together with the Governments of France, Germany and Japan, and UNDP and UNIDO as </w:t>
      </w:r>
      <w:r w:rsidRPr="00FE5979">
        <w:rPr>
          <w:b/>
          <w:lang w:val="en-CA"/>
        </w:rPr>
        <w:t>cooperating agencies</w:t>
      </w:r>
      <w:r w:rsidRPr="00FE5979">
        <w:rPr>
          <w:lang w:val="en-CA"/>
        </w:rPr>
        <w:t>, to submit no later than 31 December 2018, the project completion report on the phase-out of CTC consumption and production.</w:t>
      </w:r>
    </w:p>
    <w:p w:rsidR="004D1CB9" w:rsidRPr="009A010C" w:rsidRDefault="004D1CB9" w:rsidP="004D1CB9">
      <w:pPr>
        <w:keepNext/>
        <w:keepLines/>
        <w:spacing w:after="240"/>
        <w:rPr>
          <w:b/>
          <w:lang w:val="en-CA"/>
        </w:rPr>
      </w:pPr>
      <w:r w:rsidRPr="009A010C">
        <w:rPr>
          <w:b/>
          <w:lang w:val="en-CA"/>
        </w:rPr>
        <w:lastRenderedPageBreak/>
        <w:t>PART IV:</w:t>
      </w:r>
      <w:r w:rsidRPr="009A010C">
        <w:rPr>
          <w:b/>
          <w:lang w:val="en-CA"/>
        </w:rPr>
        <w:tab/>
        <w:t>ODS WASTE DISPOSAL PROJECTS</w:t>
      </w:r>
    </w:p>
    <w:p w:rsidR="004D1CB9" w:rsidRPr="009A010C" w:rsidRDefault="004D1CB9" w:rsidP="004D1CB9">
      <w:pPr>
        <w:keepNext/>
        <w:keepLines/>
        <w:spacing w:after="240"/>
        <w:rPr>
          <w:b/>
          <w:lang w:val="en-CA"/>
        </w:rPr>
      </w:pPr>
      <w:r w:rsidRPr="009A010C">
        <w:rPr>
          <w:b/>
          <w:lang w:val="en-CA"/>
        </w:rPr>
        <w:t>Background</w:t>
      </w:r>
    </w:p>
    <w:p w:rsidR="004D1CB9" w:rsidRPr="009A010C" w:rsidRDefault="004D1CB9" w:rsidP="004D1CB9">
      <w:pPr>
        <w:pStyle w:val="Heading1"/>
        <w:rPr>
          <w:rFonts w:ascii="TimesNewRomanPSMT" w:hAnsi="TimesNewRomanPSMT" w:cs="TimesNewRomanPSMT"/>
          <w:lang w:val="en-CA"/>
        </w:rPr>
      </w:pPr>
      <w:r w:rsidRPr="009A010C">
        <w:rPr>
          <w:lang w:val="en-CA"/>
        </w:rPr>
        <w:t>At the 79</w:t>
      </w:r>
      <w:r w:rsidRPr="009A010C">
        <w:rPr>
          <w:vertAlign w:val="superscript"/>
          <w:lang w:val="en-CA"/>
        </w:rPr>
        <w:t>th</w:t>
      </w:r>
      <w:r w:rsidRPr="009A010C">
        <w:rPr>
          <w:lang w:val="en-CA"/>
        </w:rPr>
        <w:t xml:space="preserve"> meeting, the Executive Committee requested, </w:t>
      </w:r>
      <w:r w:rsidRPr="009A010C">
        <w:rPr>
          <w:i/>
          <w:lang w:val="en-CA"/>
        </w:rPr>
        <w:t>inter alia,</w:t>
      </w:r>
      <w:r w:rsidRPr="009A010C">
        <w:rPr>
          <w:lang w:val="en-CA"/>
        </w:rPr>
        <w:t xml:space="preserve"> bilateral and implementing agencies to submit final reports on outstanding </w:t>
      </w:r>
      <w:r w:rsidRPr="009A010C">
        <w:rPr>
          <w:rFonts w:ascii="TimesNewRomanPSMT" w:hAnsi="TimesNewRomanPSMT" w:cs="TimesNewRomanPSMT"/>
          <w:lang w:val="en-CA"/>
        </w:rPr>
        <w:t>ODS disposal pilot projects</w:t>
      </w:r>
      <w:r w:rsidRPr="009A010C">
        <w:rPr>
          <w:rFonts w:ascii="TimesNewRomanPSMT" w:hAnsi="TimesNewRomanPSMT" w:cs="TimesNewRomanPSMT"/>
          <w:vertAlign w:val="superscript"/>
          <w:lang w:val="en-CA"/>
        </w:rPr>
        <w:footnoteReference w:id="15"/>
      </w:r>
      <w:r w:rsidRPr="009A010C">
        <w:rPr>
          <w:rFonts w:ascii="TimesNewRomanPSMT" w:hAnsi="TimesNewRomanPSMT" w:cs="TimesNewRomanPSMT"/>
          <w:lang w:val="en-CA"/>
        </w:rPr>
        <w:t xml:space="preserve"> other than those for Brazil and Colombia, and to return to the 82</w:t>
      </w:r>
      <w:r w:rsidRPr="009A010C">
        <w:rPr>
          <w:rFonts w:ascii="TimesNewRomanPSMT" w:hAnsi="TimesNewRomanPSMT" w:cs="TimesNewRomanPSMT"/>
          <w:vertAlign w:val="superscript"/>
          <w:lang w:val="en-CA"/>
        </w:rPr>
        <w:t>nd</w:t>
      </w:r>
      <w:r w:rsidRPr="009A010C">
        <w:rPr>
          <w:rFonts w:ascii="TimesNewRomanPSMT" w:hAnsi="TimesNewRomanPSMT" w:cs="TimesNewRomanPSMT"/>
          <w:lang w:val="en-CA"/>
        </w:rPr>
        <w:t xml:space="preserve"> meeting the remaining balances for projects for which reports had not been</w:t>
      </w:r>
      <w:r w:rsidRPr="009A010C">
        <w:rPr>
          <w:lang w:val="en-CA"/>
        </w:rPr>
        <w:t xml:space="preserve"> </w:t>
      </w:r>
      <w:r w:rsidRPr="009A010C">
        <w:rPr>
          <w:rFonts w:ascii="TimesNewRomanPSMT" w:hAnsi="TimesNewRomanPSMT" w:cs="TimesNewRomanPSMT"/>
          <w:lang w:val="en-CA"/>
        </w:rPr>
        <w:t>submitted to the 80</w:t>
      </w:r>
      <w:r w:rsidRPr="009A010C">
        <w:rPr>
          <w:rFonts w:ascii="TimesNewRomanPSMT" w:hAnsi="TimesNewRomanPSMT" w:cs="TimesNewRomanPSMT"/>
          <w:vertAlign w:val="superscript"/>
          <w:lang w:val="en-CA"/>
        </w:rPr>
        <w:t>th</w:t>
      </w:r>
      <w:r w:rsidRPr="009A010C">
        <w:rPr>
          <w:rFonts w:ascii="TimesNewRomanPSMT" w:hAnsi="TimesNewRomanPSMT" w:cs="TimesNewRomanPSMT"/>
          <w:lang w:val="en-CA"/>
        </w:rPr>
        <w:t xml:space="preserve"> or 81</w:t>
      </w:r>
      <w:r w:rsidRPr="009A010C">
        <w:rPr>
          <w:rFonts w:ascii="TimesNewRomanPSMT" w:hAnsi="TimesNewRomanPSMT" w:cs="TimesNewRomanPSMT"/>
          <w:vertAlign w:val="superscript"/>
          <w:lang w:val="en-CA"/>
        </w:rPr>
        <w:t>st</w:t>
      </w:r>
      <w:r w:rsidRPr="009A010C">
        <w:rPr>
          <w:rFonts w:ascii="TimesNewRomanPSMT" w:hAnsi="TimesNewRomanPSMT" w:cs="TimesNewRomanPSMT"/>
          <w:sz w:val="14"/>
          <w:szCs w:val="14"/>
          <w:lang w:val="en-CA"/>
        </w:rPr>
        <w:t xml:space="preserve"> </w:t>
      </w:r>
      <w:r w:rsidRPr="009A010C">
        <w:rPr>
          <w:rFonts w:ascii="TimesNewRomanPSMT" w:hAnsi="TimesNewRomanPSMT" w:cs="TimesNewRomanPSMT"/>
          <w:lang w:val="en-CA"/>
        </w:rPr>
        <w:t xml:space="preserve">meetings (decision 79/18(d)). </w:t>
      </w:r>
    </w:p>
    <w:p w:rsidR="004D1CB9" w:rsidRPr="009A010C" w:rsidRDefault="004D1CB9" w:rsidP="004D1CB9">
      <w:pPr>
        <w:pStyle w:val="Heading1"/>
        <w:rPr>
          <w:lang w:val="en-CA"/>
        </w:rPr>
      </w:pPr>
      <w:r w:rsidRPr="009A010C">
        <w:rPr>
          <w:lang w:val="en-CA"/>
        </w:rPr>
        <w:t>With regard to the projects for Brazil and Colombia, the Executive Committee requested UNDP:</w:t>
      </w:r>
    </w:p>
    <w:p w:rsidR="004D1CB9" w:rsidRPr="009A010C" w:rsidRDefault="004D1CB9" w:rsidP="004D1CB9">
      <w:pPr>
        <w:pStyle w:val="Heading2"/>
        <w:rPr>
          <w:lang w:val="en-CA"/>
        </w:rPr>
      </w:pPr>
      <w:r w:rsidRPr="009A010C">
        <w:rPr>
          <w:lang w:val="en-CA"/>
        </w:rPr>
        <w:t xml:space="preserve">To complete the project in Brazil by December 2022; to submit the final report of the project to the first meeting of 2023 and a project completion report no later than July 2023, and to return fund balances no later than December 2023, on the understanding that no further extensions of the completion date of the project would be considered by the Executive Committee; </w:t>
      </w:r>
    </w:p>
    <w:p w:rsidR="004D1CB9" w:rsidRPr="009A010C" w:rsidRDefault="004D1CB9" w:rsidP="004D1CB9">
      <w:pPr>
        <w:pStyle w:val="Heading2"/>
        <w:rPr>
          <w:lang w:val="en-CA"/>
        </w:rPr>
      </w:pPr>
      <w:r w:rsidRPr="009A010C">
        <w:rPr>
          <w:lang w:val="en-CA"/>
        </w:rPr>
        <w:t xml:space="preserve">To complete the project in Colombia in June 2019, to submit the final report of the project to the last meeting of 2019 and a project completion report no later than June 2020, and to return fund balances no later than December 2020, on the understanding that no further extensions of the completion date of the project would be considered by the Executive Committee; and </w:t>
      </w:r>
    </w:p>
    <w:p w:rsidR="004D1CB9" w:rsidRPr="009A010C" w:rsidRDefault="004D1CB9" w:rsidP="004D1CB9">
      <w:pPr>
        <w:pStyle w:val="Heading2"/>
        <w:rPr>
          <w:lang w:val="en-CA"/>
        </w:rPr>
      </w:pPr>
      <w:r w:rsidRPr="009A010C">
        <w:rPr>
          <w:lang w:val="en-CA"/>
        </w:rPr>
        <w:t>To submit annual progress reports for the two projects in sub-paragraphs (a) and (b) above as "projects with specific reporting requirements" until the projects had been completed (decision 79/18(c)).</w:t>
      </w:r>
    </w:p>
    <w:p w:rsidR="004D1CB9" w:rsidRPr="009A010C" w:rsidRDefault="004D1CB9" w:rsidP="004D1CB9">
      <w:pPr>
        <w:pStyle w:val="Heading1"/>
        <w:keepNext/>
      </w:pPr>
      <w:r w:rsidRPr="009A010C">
        <w:rPr>
          <w:lang w:val="en-CA"/>
        </w:rPr>
        <w:t>At the 81</w:t>
      </w:r>
      <w:r w:rsidRPr="009A010C">
        <w:rPr>
          <w:vertAlign w:val="superscript"/>
          <w:lang w:val="en-CA"/>
        </w:rPr>
        <w:t>st</w:t>
      </w:r>
      <w:r w:rsidRPr="009A010C">
        <w:rPr>
          <w:lang w:val="en-CA"/>
        </w:rPr>
        <w:t xml:space="preserve"> meeting, relevant bilateral and implementing agencies submitted, on behalf of the Governments of China, Colombia, Nigeria and Turkey, final reports on the implementation of ODS waste disposal projects.</w:t>
      </w:r>
      <w:r w:rsidRPr="009A010C">
        <w:rPr>
          <w:rStyle w:val="FootnoteReference"/>
          <w:lang w:val="en-CA"/>
        </w:rPr>
        <w:footnoteReference w:id="16"/>
      </w:r>
      <w:r w:rsidRPr="009A010C">
        <w:rPr>
          <w:lang w:val="en-CA"/>
        </w:rPr>
        <w:t xml:space="preserve"> Subsequently, the Executive Committee </w:t>
      </w:r>
      <w:r w:rsidRPr="009A010C">
        <w:rPr>
          <w:i/>
          <w:lang w:val="en-CA"/>
        </w:rPr>
        <w:t xml:space="preserve">inter alia </w:t>
      </w:r>
      <w:r w:rsidRPr="009A010C">
        <w:t>noted, with appreciation, the final reports on the pilot ODS waste management and disposal projects for China, Colombia, Nigeria and Turkey; further noted that a synthesis report on the pilot ODS disposal projects, would be submitted to the 82</w:t>
      </w:r>
      <w:r w:rsidRPr="009A010C">
        <w:rPr>
          <w:vertAlign w:val="superscript"/>
        </w:rPr>
        <w:t>nd</w:t>
      </w:r>
      <w:r w:rsidRPr="009A010C">
        <w:t> meeting; and that balances of all ODS waste disposal projects would be returned to the 82</w:t>
      </w:r>
      <w:r w:rsidRPr="009A010C">
        <w:rPr>
          <w:vertAlign w:val="superscript"/>
        </w:rPr>
        <w:t>nd</w:t>
      </w:r>
      <w:r w:rsidRPr="009A010C">
        <w:t xml:space="preserve"> meeting (decision 81/24). </w:t>
      </w:r>
    </w:p>
    <w:p w:rsidR="004D1CB9" w:rsidRPr="009A010C" w:rsidRDefault="004D1CB9" w:rsidP="004D1CB9">
      <w:pPr>
        <w:pStyle w:val="Heading1"/>
        <w:rPr>
          <w:lang w:val="en-CA"/>
        </w:rPr>
      </w:pPr>
      <w:r w:rsidRPr="009A010C">
        <w:rPr>
          <w:lang w:val="en-CA"/>
        </w:rPr>
        <w:t>The synthesis report on the pilot ODS disposal projects has been submitted to the 82</w:t>
      </w:r>
      <w:r w:rsidRPr="009A010C">
        <w:rPr>
          <w:vertAlign w:val="superscript"/>
          <w:lang w:val="en-CA"/>
        </w:rPr>
        <w:t>nd</w:t>
      </w:r>
      <w:r w:rsidRPr="009A010C">
        <w:rPr>
          <w:lang w:val="en-CA"/>
        </w:rPr>
        <w:t xml:space="preserve"> meeting.</w:t>
      </w:r>
      <w:r w:rsidRPr="009A010C">
        <w:rPr>
          <w:rStyle w:val="FootnoteReference"/>
          <w:lang w:val="en-CA"/>
        </w:rPr>
        <w:footnoteReference w:id="17"/>
      </w:r>
      <w:r w:rsidRPr="009A010C">
        <w:rPr>
          <w:lang w:val="en-CA"/>
        </w:rPr>
        <w:t xml:space="preserve"> </w:t>
      </w:r>
    </w:p>
    <w:p w:rsidR="00A44140" w:rsidRPr="009A010C" w:rsidRDefault="00A44140" w:rsidP="00A44140">
      <w:pPr>
        <w:pStyle w:val="StyleHeader4Para4Left0Firstline0"/>
        <w:keepNext/>
        <w:widowControl/>
        <w:numPr>
          <w:ilvl w:val="0"/>
          <w:numId w:val="0"/>
        </w:numPr>
        <w:rPr>
          <w:sz w:val="22"/>
          <w:lang w:val="en-CA"/>
        </w:rPr>
      </w:pPr>
      <w:r w:rsidRPr="009A010C">
        <w:rPr>
          <w:sz w:val="22"/>
          <w:u w:val="single"/>
          <w:lang w:val="en-CA"/>
        </w:rPr>
        <w:t>Brazil: Progress report on the pilot demonstration project on ODS waste management and disposal</w:t>
      </w:r>
      <w:r w:rsidRPr="009A010C">
        <w:rPr>
          <w:sz w:val="22"/>
          <w:lang w:val="en-CA"/>
        </w:rPr>
        <w:t xml:space="preserve"> (UNDP)</w:t>
      </w:r>
    </w:p>
    <w:p w:rsidR="00A44140" w:rsidRPr="009A010C" w:rsidRDefault="00A44140" w:rsidP="00A44140">
      <w:pPr>
        <w:keepNext/>
        <w:keepLines/>
        <w:spacing w:after="240"/>
        <w:rPr>
          <w:b/>
          <w:lang w:val="en-CA"/>
        </w:rPr>
      </w:pPr>
      <w:r w:rsidRPr="009A010C">
        <w:rPr>
          <w:b/>
          <w:lang w:val="en-CA"/>
        </w:rPr>
        <w:t>Background</w:t>
      </w:r>
    </w:p>
    <w:p w:rsidR="00A44140" w:rsidRPr="009A010C" w:rsidRDefault="00A44140" w:rsidP="00A44140">
      <w:pPr>
        <w:pStyle w:val="Heading1"/>
        <w:rPr>
          <w:lang w:val="en"/>
        </w:rPr>
      </w:pPr>
      <w:r w:rsidRPr="009A010C">
        <w:rPr>
          <w:lang w:val="en"/>
        </w:rPr>
        <w:t>UNDP, as designated implementing agency, submitted the progress report on the implementation of the pilot demonstration project on ODS waste management and disposal in Brazil, in line with decision 79/18(c)(iii).</w:t>
      </w:r>
      <w:r w:rsidRPr="009A010C">
        <w:rPr>
          <w:rStyle w:val="FootnoteReference"/>
          <w:lang w:val="en"/>
        </w:rPr>
        <w:footnoteReference w:id="18"/>
      </w:r>
    </w:p>
    <w:p w:rsidR="00A44140" w:rsidRPr="009A010C" w:rsidRDefault="00A44140" w:rsidP="00A44140">
      <w:pPr>
        <w:spacing w:after="240"/>
        <w:rPr>
          <w:u w:val="single"/>
          <w:lang w:val="en"/>
        </w:rPr>
      </w:pPr>
      <w:r w:rsidRPr="009A010C">
        <w:rPr>
          <w:u w:val="single"/>
          <w:lang w:val="en"/>
        </w:rPr>
        <w:lastRenderedPageBreak/>
        <w:t>Progress report</w:t>
      </w:r>
    </w:p>
    <w:p w:rsidR="00A44140" w:rsidRPr="009A010C" w:rsidRDefault="00A44140" w:rsidP="00A44140">
      <w:pPr>
        <w:pStyle w:val="Heading1"/>
        <w:rPr>
          <w:lang w:val="en"/>
        </w:rPr>
      </w:pPr>
      <w:r w:rsidRPr="009A010C">
        <w:rPr>
          <w:lang w:val="en"/>
        </w:rPr>
        <w:t xml:space="preserve">Implementation of the project included building capacity of the reclaim </w:t>
      </w:r>
      <w:proofErr w:type="spellStart"/>
      <w:r w:rsidRPr="009A010C">
        <w:rPr>
          <w:lang w:val="en"/>
        </w:rPr>
        <w:t>centres</w:t>
      </w:r>
      <w:proofErr w:type="spellEnd"/>
      <w:r w:rsidRPr="009A010C">
        <w:rPr>
          <w:lang w:val="en"/>
        </w:rPr>
        <w:t xml:space="preserve"> by providing </w:t>
      </w:r>
      <w:proofErr w:type="spellStart"/>
      <w:r w:rsidRPr="009A010C">
        <w:rPr>
          <w:lang w:val="en"/>
        </w:rPr>
        <w:t>isotanks</w:t>
      </w:r>
      <w:proofErr w:type="spellEnd"/>
      <w:r w:rsidRPr="009A010C">
        <w:rPr>
          <w:lang w:val="en"/>
        </w:rPr>
        <w:t xml:space="preserve"> to increase storage capacity for collected gases, and laboratory equipment for testing (gas chromatograph) and other materials. Equipment installation will be completed by December 2018, and testing and training will follow. The contract with the incineration facility (</w:t>
      </w:r>
      <w:proofErr w:type="spellStart"/>
      <w:r w:rsidRPr="009A010C">
        <w:rPr>
          <w:lang w:val="en"/>
        </w:rPr>
        <w:t>Essencis</w:t>
      </w:r>
      <w:proofErr w:type="spellEnd"/>
      <w:r w:rsidRPr="009A010C">
        <w:rPr>
          <w:lang w:val="en"/>
        </w:rPr>
        <w:t>) was signed during the first quarter of 2018, and the plan of action and protocols for the environmental requirements for the test burns have been completed. The facility will only be able to make the required installations once CETESB</w:t>
      </w:r>
      <w:r w:rsidRPr="009A010C">
        <w:rPr>
          <w:rStyle w:val="FootnoteReference"/>
          <w:lang w:val="en"/>
        </w:rPr>
        <w:footnoteReference w:id="19"/>
      </w:r>
      <w:r w:rsidRPr="009A010C">
        <w:rPr>
          <w:lang w:val="en"/>
        </w:rPr>
        <w:t xml:space="preserve"> issues the license for both equipment and installation; it is expected to be issued by the end of November 2018. Burn test is scheduled to be carried out in February 2019.</w:t>
      </w:r>
    </w:p>
    <w:p w:rsidR="00A44140" w:rsidRPr="009A010C" w:rsidRDefault="00A44140" w:rsidP="00A44140">
      <w:pPr>
        <w:spacing w:after="240"/>
        <w:rPr>
          <w:b/>
          <w:lang w:val="en"/>
        </w:rPr>
      </w:pPr>
      <w:r w:rsidRPr="009A010C">
        <w:rPr>
          <w:b/>
          <w:lang w:val="en"/>
        </w:rPr>
        <w:t>Comments</w:t>
      </w:r>
    </w:p>
    <w:p w:rsidR="00A44140" w:rsidRPr="009A010C" w:rsidRDefault="00A44140" w:rsidP="00A44140">
      <w:pPr>
        <w:pStyle w:val="Heading1"/>
        <w:rPr>
          <w:lang w:val="en"/>
        </w:rPr>
      </w:pPr>
      <w:r w:rsidRPr="009A010C">
        <w:rPr>
          <w:lang w:val="en"/>
        </w:rPr>
        <w:t>The Secretariat noted that the pilot demonstration project is progressing well. Upon a request for clarification on any challenges that may cause further delays in project implementation, UNDP clarified that the project is being coordinated with CETESB; after test burns are completed, by the beginning of 2020, the incineration facility would have initiated the destruction of the ODS wastes, and the business model for efficient ODS waste management would be established.</w:t>
      </w:r>
    </w:p>
    <w:p w:rsidR="00A44140" w:rsidRPr="009A010C" w:rsidRDefault="00A44140" w:rsidP="00A44140">
      <w:pPr>
        <w:pStyle w:val="Heading1"/>
        <w:keepNext/>
        <w:numPr>
          <w:ilvl w:val="0"/>
          <w:numId w:val="0"/>
        </w:numPr>
        <w:rPr>
          <w:lang w:val="en"/>
        </w:rPr>
      </w:pPr>
      <w:r w:rsidRPr="009A010C">
        <w:rPr>
          <w:b/>
          <w:lang w:val="en-CA"/>
        </w:rPr>
        <w:t>Recommendation</w:t>
      </w:r>
    </w:p>
    <w:p w:rsidR="004D1CB9" w:rsidRPr="009A010C" w:rsidRDefault="00A44140" w:rsidP="00A44140">
      <w:pPr>
        <w:pStyle w:val="Heading1"/>
        <w:rPr>
          <w:lang w:val="en-CA"/>
        </w:rPr>
      </w:pPr>
      <w:r w:rsidRPr="009A010C">
        <w:rPr>
          <w:lang w:val="en"/>
        </w:rPr>
        <w:t>The Executive Committee may wish to note the progress report on the pilot demonstration project on ODS waste management and disposal in Brazil, submitted by UNDP.</w:t>
      </w:r>
    </w:p>
    <w:p w:rsidR="00465E2F" w:rsidRPr="009A010C" w:rsidRDefault="00465E2F" w:rsidP="00465E2F">
      <w:pPr>
        <w:spacing w:after="240"/>
        <w:rPr>
          <w:b/>
          <w:lang w:val="en-CA"/>
        </w:rPr>
      </w:pPr>
      <w:r w:rsidRPr="009A010C">
        <w:rPr>
          <w:b/>
          <w:lang w:val="en-CA"/>
        </w:rPr>
        <w:t xml:space="preserve">PART </w:t>
      </w:r>
      <w:r w:rsidR="001D7B64" w:rsidRPr="009A010C">
        <w:rPr>
          <w:b/>
          <w:lang w:val="en-CA"/>
        </w:rPr>
        <w:t>V</w:t>
      </w:r>
      <w:r w:rsidRPr="009A010C">
        <w:rPr>
          <w:b/>
          <w:lang w:val="en-CA"/>
        </w:rPr>
        <w:t xml:space="preserve">: </w:t>
      </w:r>
      <w:r w:rsidRPr="009A010C">
        <w:rPr>
          <w:b/>
          <w:lang w:val="en-CA"/>
        </w:rPr>
        <w:tab/>
        <w:t>CHILLER PROJECTS</w:t>
      </w:r>
    </w:p>
    <w:p w:rsidR="00465E2F" w:rsidRPr="009A010C" w:rsidRDefault="00465E2F" w:rsidP="00465E2F">
      <w:pPr>
        <w:keepNext/>
        <w:spacing w:after="240"/>
        <w:rPr>
          <w:b/>
          <w:bCs/>
        </w:rPr>
      </w:pPr>
      <w:r w:rsidRPr="009A010C">
        <w:rPr>
          <w:b/>
          <w:bCs/>
        </w:rPr>
        <w:t>Background</w:t>
      </w:r>
    </w:p>
    <w:p w:rsidR="00847384" w:rsidRPr="009A010C" w:rsidRDefault="00847384" w:rsidP="00847384">
      <w:pPr>
        <w:pStyle w:val="Heading1"/>
      </w:pPr>
      <w:r w:rsidRPr="009A010C">
        <w:t>At the 79</w:t>
      </w:r>
      <w:r w:rsidRPr="009A010C">
        <w:rPr>
          <w:vertAlign w:val="superscript"/>
        </w:rPr>
        <w:t>th</w:t>
      </w:r>
      <w:r w:rsidRPr="009A010C">
        <w:t> meeting, the Executive Committee requested bilateral and implementing agencies to submit project completion reports (PCRs) no later than June 2018 and to return fund balances no later than December 2018, for all chiller projects except the global chiller project implemented by the World Bank, for which the PCR should be submitted no later than December 2018 and fund balances returned no later than June 2019 (decision 79/19(b)(ii)). At the 80</w:t>
      </w:r>
      <w:r w:rsidRPr="009A010C">
        <w:rPr>
          <w:vertAlign w:val="superscript"/>
        </w:rPr>
        <w:t>th</w:t>
      </w:r>
      <w:r w:rsidRPr="009A010C">
        <w:t> meeting, the Executive Committee extended the demonstration project for accelerated conversion of CFC chillers in five African countries on an exceptional basis, for completion by April 2018 and submission of the final report to the 82</w:t>
      </w:r>
      <w:r w:rsidRPr="009A010C">
        <w:rPr>
          <w:vertAlign w:val="superscript"/>
        </w:rPr>
        <w:t>nd</w:t>
      </w:r>
      <w:r w:rsidRPr="009A010C">
        <w:t> meeting (decision 80/29(b)).</w:t>
      </w:r>
    </w:p>
    <w:p w:rsidR="00847384" w:rsidRPr="009A010C" w:rsidRDefault="00847384" w:rsidP="00847384">
      <w:pPr>
        <w:pStyle w:val="Heading1"/>
      </w:pPr>
      <w:r w:rsidRPr="009A010C">
        <w:t>The report on the implementation of the projects, excluding the Argentina component of the global chiller project,</w:t>
      </w:r>
      <w:r w:rsidRPr="009A010C">
        <w:rPr>
          <w:rStyle w:val="FootnoteReference"/>
        </w:rPr>
        <w:footnoteReference w:id="20"/>
      </w:r>
      <w:r w:rsidRPr="009A010C">
        <w:t xml:space="preserve"> is given below.</w:t>
      </w:r>
    </w:p>
    <w:p w:rsidR="00847384" w:rsidRPr="009A010C" w:rsidRDefault="00847384" w:rsidP="00847384">
      <w:r w:rsidRPr="009A010C">
        <w:rPr>
          <w:u w:val="single"/>
        </w:rPr>
        <w:t>Brazil: Demonstration project for integrated management of the centrifugal chiller sub</w:t>
      </w:r>
      <w:r w:rsidRPr="009A010C">
        <w:rPr>
          <w:u w:val="single"/>
        </w:rPr>
        <w:noBreakHyphen/>
        <w:t>sector, focusing on application of energy</w:t>
      </w:r>
      <w:r w:rsidRPr="009A010C">
        <w:rPr>
          <w:u w:val="single"/>
        </w:rPr>
        <w:noBreakHyphen/>
        <w:t>efficient CFC</w:t>
      </w:r>
      <w:r w:rsidRPr="009A010C">
        <w:rPr>
          <w:u w:val="single"/>
        </w:rPr>
        <w:noBreakHyphen/>
        <w:t>free technologies for replacement of CFC</w:t>
      </w:r>
      <w:r w:rsidRPr="009A010C">
        <w:rPr>
          <w:u w:val="single"/>
        </w:rPr>
        <w:noBreakHyphen/>
        <w:t>based chillers</w:t>
      </w:r>
      <w:r w:rsidRPr="009A010C">
        <w:t xml:space="preserve"> (UNDP)</w:t>
      </w:r>
    </w:p>
    <w:p w:rsidR="00847384" w:rsidRPr="009A010C" w:rsidRDefault="00847384" w:rsidP="00847384">
      <w:pPr>
        <w:rPr>
          <w:u w:val="single"/>
        </w:rPr>
      </w:pPr>
    </w:p>
    <w:p w:rsidR="00847384" w:rsidRPr="009A010C" w:rsidRDefault="00847384" w:rsidP="00847384">
      <w:pPr>
        <w:pStyle w:val="Heading1"/>
      </w:pPr>
      <w:r w:rsidRPr="009A010C">
        <w:t>The project was approved at the 47</w:t>
      </w:r>
      <w:r w:rsidRPr="009A010C">
        <w:rPr>
          <w:vertAlign w:val="superscript"/>
        </w:rPr>
        <w:t>th</w:t>
      </w:r>
      <w:r w:rsidRPr="009A010C">
        <w:t> meeting at a total funding of US $1,000,000 and was completed in June 2017; the PCR was submitted in July 2018. The main activities accomplished are given below:</w:t>
      </w:r>
    </w:p>
    <w:p w:rsidR="00847384" w:rsidRPr="009A010C" w:rsidRDefault="00847384" w:rsidP="00F36B67">
      <w:pPr>
        <w:pStyle w:val="Heading2"/>
        <w:keepNext/>
        <w:widowControl/>
      </w:pPr>
      <w:r w:rsidRPr="009A010C">
        <w:lastRenderedPageBreak/>
        <w:t>National inventory of chillers was undertaken, indicating a limited number of chillers operating with CFC, and approximately 3.2 million tonnes of refrigeration (TRs) in 130,000 chillers in operation using HCFC</w:t>
      </w:r>
      <w:r w:rsidRPr="009A010C">
        <w:noBreakHyphen/>
        <w:t>22 (ranging from 1 to 700 TRs);</w:t>
      </w:r>
    </w:p>
    <w:p w:rsidR="00847384" w:rsidRPr="009A010C" w:rsidRDefault="00847384" w:rsidP="00847384">
      <w:pPr>
        <w:pStyle w:val="Heading2"/>
      </w:pPr>
      <w:r w:rsidRPr="009A010C">
        <w:t>Conversion of two chillers to HFC</w:t>
      </w:r>
      <w:r w:rsidRPr="009A010C">
        <w:noBreakHyphen/>
        <w:t>134a</w:t>
      </w:r>
      <w:r w:rsidRPr="009A010C">
        <w:noBreakHyphen/>
        <w:t>based technology, resulting in energy efficiency gains of 11.3 per cent. Four studies for retro</w:t>
      </w:r>
      <w:r w:rsidRPr="009A010C">
        <w:noBreakHyphen/>
        <w:t>commissioning of HCFC</w:t>
      </w:r>
      <w:r w:rsidRPr="009A010C">
        <w:noBreakHyphen/>
        <w:t>22</w:t>
      </w:r>
      <w:r w:rsidRPr="009A010C">
        <w:noBreakHyphen/>
        <w:t>based chillers used in buildings were carried out. The chiller in one building is being converted to HFC</w:t>
      </w:r>
      <w:r w:rsidRPr="009A010C">
        <w:noBreakHyphen/>
        <w:t>134a; public resources are sought for renovating chillers in two public buildings; and in another building, the project was not implemented due to change in building ownership;</w:t>
      </w:r>
    </w:p>
    <w:p w:rsidR="00847384" w:rsidRPr="009A010C" w:rsidRDefault="00847384" w:rsidP="00847384">
      <w:pPr>
        <w:pStyle w:val="Heading2"/>
      </w:pPr>
      <w:r w:rsidRPr="009A010C">
        <w:t>Three seminars on ozone layer protection and technical issues relating to new emerging alternatives and retro-commissioning, and two courses covering the theory and practical aspects relating to installation, maintenance and operations of chilled water systems and chillers were conducted; and</w:t>
      </w:r>
    </w:p>
    <w:p w:rsidR="00847384" w:rsidRPr="009A010C" w:rsidRDefault="00847384" w:rsidP="00847384">
      <w:pPr>
        <w:pStyle w:val="Heading2"/>
      </w:pPr>
      <w:r w:rsidRPr="009A010C">
        <w:t>Technical literature on chillers, case study on retro-commissioning, and awareness material on the outcome of the demonstration project were developed and disseminated; Brazil’s retro</w:t>
      </w:r>
      <w:r w:rsidRPr="009A010C">
        <w:noBreakHyphen/>
        <w:t>commissioning process is now adopted in other countries for improving energy efficiency in chillers.</w:t>
      </w:r>
    </w:p>
    <w:p w:rsidR="00847384" w:rsidRPr="009A010C" w:rsidRDefault="00847384" w:rsidP="00847384">
      <w:pPr>
        <w:pStyle w:val="Heading1"/>
      </w:pPr>
      <w:r w:rsidRPr="009A010C">
        <w:t xml:space="preserve">The Government of Brazil and UNDP complemented the project with funds from the Global Environment Facility (GEF) on “Market Transformation for Energy Efficiency in Buildings” in the amount of US $13.5 million. Though specific details are not available, UNDP informed that this project facilitated the replacement of a large number of chillers. </w:t>
      </w:r>
    </w:p>
    <w:p w:rsidR="00847384" w:rsidRPr="009A010C" w:rsidRDefault="00847384" w:rsidP="00847384">
      <w:bookmarkStart w:id="3" w:name="_Hlk527384336"/>
      <w:r w:rsidRPr="009A010C">
        <w:rPr>
          <w:u w:val="single"/>
        </w:rPr>
        <w:t>African region: Strategic demonstration project for accelerated conversion of CFC chillers in five African Countries (Cameroon, Egypt, Namibia, Nigeria and Sudan)</w:t>
      </w:r>
      <w:r w:rsidRPr="009A010C">
        <w:t xml:space="preserve"> (UNIDO and the Governments of France, Germany and Japan)</w:t>
      </w:r>
    </w:p>
    <w:p w:rsidR="00847384" w:rsidRPr="009A010C" w:rsidRDefault="00847384" w:rsidP="00847384">
      <w:r w:rsidRPr="009A010C">
        <w:t xml:space="preserve"> </w:t>
      </w:r>
    </w:p>
    <w:p w:rsidR="00847384" w:rsidRPr="009A010C" w:rsidRDefault="00847384" w:rsidP="00847384">
      <w:pPr>
        <w:pStyle w:val="Heading1"/>
      </w:pPr>
      <w:r w:rsidRPr="009A010C">
        <w:t>The project was approved at the 48</w:t>
      </w:r>
      <w:r w:rsidRPr="009A010C">
        <w:rPr>
          <w:vertAlign w:val="superscript"/>
        </w:rPr>
        <w:t>th</w:t>
      </w:r>
      <w:r w:rsidRPr="009A010C">
        <w:t xml:space="preserve"> meeting at a total funding level of US $1,945,881 (UNIDO: US $693,381; France: US $360,000; Germany: US $192,500; and Japan: US $700,000). </w:t>
      </w:r>
      <w:bookmarkEnd w:id="3"/>
      <w:r w:rsidRPr="009A010C">
        <w:t>The project was implemented in Cameroon, Egypt, Namibia, Nigeria, Senegal</w:t>
      </w:r>
      <w:r w:rsidRPr="009A010C">
        <w:rPr>
          <w:rStyle w:val="FootnoteReference"/>
        </w:rPr>
        <w:footnoteReference w:id="21"/>
      </w:r>
      <w:r w:rsidRPr="009A010C">
        <w:t xml:space="preserve"> and the Sudan. Details of the activities implemented are given below:</w:t>
      </w:r>
    </w:p>
    <w:p w:rsidR="00847384" w:rsidRPr="009A010C" w:rsidRDefault="00847384" w:rsidP="00847384">
      <w:pPr>
        <w:pStyle w:val="Heading2"/>
        <w:numPr>
          <w:ilvl w:val="0"/>
          <w:numId w:val="0"/>
        </w:numPr>
        <w:rPr>
          <w:i/>
        </w:rPr>
      </w:pPr>
      <w:r w:rsidRPr="009A010C">
        <w:rPr>
          <w:i/>
        </w:rPr>
        <w:t xml:space="preserve">Chillers replaced </w:t>
      </w:r>
    </w:p>
    <w:p w:rsidR="00847384" w:rsidRPr="00F36B67" w:rsidRDefault="00847384" w:rsidP="00847384">
      <w:pPr>
        <w:pStyle w:val="Heading1"/>
      </w:pPr>
      <w:r w:rsidRPr="00F36B67">
        <w:t xml:space="preserve">Table </w:t>
      </w:r>
      <w:r w:rsidR="00A51632" w:rsidRPr="00F36B67">
        <w:t>7</w:t>
      </w:r>
      <w:r w:rsidRPr="00F36B67">
        <w:t xml:space="preserve"> presents information on the number of chillers replaced against the planned levels in all countries. The replacement was mostly to HFC</w:t>
      </w:r>
      <w:r w:rsidRPr="00F36B67">
        <w:noBreakHyphen/>
        <w:t>134a, as the buyers considered these chillers as energy efficient and cost</w:t>
      </w:r>
      <w:r w:rsidRPr="00F36B67">
        <w:noBreakHyphen/>
        <w:t>effective compared to CFC</w:t>
      </w:r>
      <w:r w:rsidRPr="00F36B67">
        <w:noBreakHyphen/>
        <w:t>based chillers; the availability of low</w:t>
      </w:r>
      <w:r w:rsidRPr="00F36B67">
        <w:noBreakHyphen/>
        <w:t>GWP</w:t>
      </w:r>
      <w:r w:rsidRPr="00F36B67">
        <w:noBreakHyphen/>
        <w:t>refrigerant</w:t>
      </w:r>
      <w:r w:rsidRPr="00F36B67">
        <w:noBreakHyphen/>
        <w:t>based chillers (e.g., CO</w:t>
      </w:r>
      <w:r w:rsidRPr="00F36B67">
        <w:rPr>
          <w:vertAlign w:val="subscript"/>
        </w:rPr>
        <w:t>2</w:t>
      </w:r>
      <w:r w:rsidRPr="00F36B67">
        <w:t>, low</w:t>
      </w:r>
      <w:r w:rsidRPr="00F36B67">
        <w:noBreakHyphen/>
        <w:t>GWP blends) was limited in the past.</w:t>
      </w:r>
    </w:p>
    <w:p w:rsidR="00847384" w:rsidRPr="009A010C" w:rsidRDefault="00847384" w:rsidP="00847384">
      <w:pPr>
        <w:rPr>
          <w:b/>
        </w:rPr>
      </w:pPr>
      <w:r w:rsidRPr="00F36B67">
        <w:rPr>
          <w:b/>
        </w:rPr>
        <w:t xml:space="preserve">Table </w:t>
      </w:r>
      <w:r w:rsidR="00A51632" w:rsidRPr="00F36B67">
        <w:rPr>
          <w:b/>
        </w:rPr>
        <w:t>7</w:t>
      </w:r>
      <w:r w:rsidRPr="00F36B67">
        <w:rPr>
          <w:b/>
        </w:rPr>
        <w:t>. Number</w:t>
      </w:r>
      <w:r w:rsidRPr="009A010C">
        <w:rPr>
          <w:b/>
        </w:rPr>
        <w:t xml:space="preserve"> of chillers replaced</w:t>
      </w:r>
    </w:p>
    <w:tbl>
      <w:tblPr>
        <w:tblW w:w="5000" w:type="pct"/>
        <w:tblCellMar>
          <w:left w:w="0" w:type="dxa"/>
          <w:right w:w="0" w:type="dxa"/>
        </w:tblCellMar>
        <w:tblLook w:val="04A0" w:firstRow="1" w:lastRow="0" w:firstColumn="1" w:lastColumn="0" w:noHBand="0" w:noVBand="1"/>
      </w:tblPr>
      <w:tblGrid>
        <w:gridCol w:w="2163"/>
        <w:gridCol w:w="1588"/>
        <w:gridCol w:w="1590"/>
        <w:gridCol w:w="4189"/>
      </w:tblGrid>
      <w:tr w:rsidR="00847384" w:rsidRPr="009A010C" w:rsidTr="00572988">
        <w:trPr>
          <w:trHeight w:val="142"/>
          <w:tblHeader/>
        </w:trPr>
        <w:tc>
          <w:tcPr>
            <w:tcW w:w="1135" w:type="pct"/>
            <w:vMerge w:val="restart"/>
            <w:tcBorders>
              <w:top w:val="single" w:sz="4" w:space="0" w:color="auto"/>
              <w:left w:val="single" w:sz="4" w:space="0" w:color="auto"/>
              <w:right w:val="single" w:sz="4" w:space="0" w:color="auto"/>
            </w:tcBorders>
            <w:noWrap/>
            <w:tcMar>
              <w:top w:w="0" w:type="dxa"/>
              <w:left w:w="54" w:type="dxa"/>
              <w:bottom w:w="0" w:type="dxa"/>
              <w:right w:w="54" w:type="dxa"/>
            </w:tcMar>
            <w:vAlign w:val="center"/>
            <w:hideMark/>
          </w:tcPr>
          <w:p w:rsidR="00847384" w:rsidRPr="009A010C" w:rsidRDefault="00847384" w:rsidP="00287C83">
            <w:pPr>
              <w:jc w:val="center"/>
              <w:rPr>
                <w:rFonts w:eastAsia="Calibri"/>
                <w:b/>
                <w:bCs/>
                <w:color w:val="000000"/>
                <w:sz w:val="20"/>
                <w:szCs w:val="20"/>
                <w:lang w:eastAsia="en-CA"/>
              </w:rPr>
            </w:pPr>
            <w:r w:rsidRPr="009A010C">
              <w:rPr>
                <w:rFonts w:eastAsia="Calibri"/>
                <w:b/>
                <w:bCs/>
                <w:color w:val="000000"/>
                <w:sz w:val="20"/>
                <w:szCs w:val="20"/>
                <w:lang w:eastAsia="en-CA"/>
              </w:rPr>
              <w:t>Country</w:t>
            </w:r>
          </w:p>
        </w:tc>
        <w:tc>
          <w:tcPr>
            <w:tcW w:w="1667" w:type="pct"/>
            <w:gridSpan w:val="2"/>
            <w:tcBorders>
              <w:top w:val="single" w:sz="4" w:space="0" w:color="auto"/>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center"/>
              <w:rPr>
                <w:rFonts w:eastAsia="Calibri"/>
                <w:b/>
                <w:bCs/>
                <w:color w:val="000000"/>
                <w:sz w:val="20"/>
                <w:szCs w:val="20"/>
                <w:lang w:eastAsia="en-CA"/>
              </w:rPr>
            </w:pPr>
            <w:r w:rsidRPr="009A010C">
              <w:rPr>
                <w:rFonts w:eastAsia="Calibri"/>
                <w:b/>
                <w:bCs/>
                <w:color w:val="000000"/>
                <w:sz w:val="20"/>
                <w:szCs w:val="20"/>
                <w:lang w:eastAsia="en-CA"/>
              </w:rPr>
              <w:t>Chillers replaced</w:t>
            </w:r>
          </w:p>
        </w:tc>
        <w:tc>
          <w:tcPr>
            <w:tcW w:w="2198" w:type="pct"/>
            <w:vMerge w:val="restart"/>
            <w:tcBorders>
              <w:top w:val="single" w:sz="4" w:space="0" w:color="auto"/>
              <w:left w:val="nil"/>
              <w:right w:val="single" w:sz="4" w:space="0" w:color="auto"/>
            </w:tcBorders>
            <w:tcMar>
              <w:top w:w="0" w:type="dxa"/>
              <w:left w:w="54" w:type="dxa"/>
              <w:bottom w:w="0" w:type="dxa"/>
              <w:right w:w="54" w:type="dxa"/>
            </w:tcMar>
            <w:vAlign w:val="center"/>
            <w:hideMark/>
          </w:tcPr>
          <w:p w:rsidR="00847384" w:rsidRPr="009A010C" w:rsidRDefault="00847384" w:rsidP="00287C83">
            <w:pPr>
              <w:jc w:val="center"/>
              <w:rPr>
                <w:rFonts w:eastAsia="Calibri"/>
                <w:b/>
                <w:bCs/>
                <w:color w:val="000000"/>
                <w:sz w:val="20"/>
                <w:szCs w:val="20"/>
                <w:lang w:eastAsia="en-CA"/>
              </w:rPr>
            </w:pPr>
            <w:r w:rsidRPr="009A010C">
              <w:rPr>
                <w:rFonts w:eastAsia="Calibri"/>
                <w:b/>
                <w:bCs/>
                <w:color w:val="000000"/>
                <w:sz w:val="20"/>
                <w:szCs w:val="20"/>
                <w:lang w:eastAsia="en-CA"/>
              </w:rPr>
              <w:t>Refrigerant used after replacement</w:t>
            </w:r>
          </w:p>
        </w:tc>
      </w:tr>
      <w:tr w:rsidR="00847384" w:rsidRPr="009A010C" w:rsidTr="00572988">
        <w:trPr>
          <w:trHeight w:val="142"/>
          <w:tblHeader/>
        </w:trPr>
        <w:tc>
          <w:tcPr>
            <w:tcW w:w="1135" w:type="pct"/>
            <w:vMerge/>
            <w:tcBorders>
              <w:left w:val="single" w:sz="4" w:space="0" w:color="auto"/>
              <w:bottom w:val="single" w:sz="4" w:space="0" w:color="auto"/>
              <w:right w:val="single" w:sz="4" w:space="0" w:color="auto"/>
            </w:tcBorders>
            <w:noWrap/>
            <w:tcMar>
              <w:top w:w="0" w:type="dxa"/>
              <w:left w:w="54" w:type="dxa"/>
              <w:bottom w:w="0" w:type="dxa"/>
              <w:right w:w="54" w:type="dxa"/>
            </w:tcMar>
          </w:tcPr>
          <w:p w:rsidR="00847384" w:rsidRPr="009A010C" w:rsidRDefault="00847384" w:rsidP="00287C83">
            <w:pPr>
              <w:rPr>
                <w:rFonts w:eastAsia="Calibri"/>
                <w:b/>
                <w:bCs/>
                <w:color w:val="000000"/>
                <w:sz w:val="20"/>
                <w:szCs w:val="20"/>
                <w:lang w:eastAsia="en-CA"/>
              </w:rPr>
            </w:pPr>
          </w:p>
        </w:tc>
        <w:tc>
          <w:tcPr>
            <w:tcW w:w="833" w:type="pct"/>
            <w:tcBorders>
              <w:top w:val="nil"/>
              <w:left w:val="nil"/>
              <w:bottom w:val="single" w:sz="4" w:space="0" w:color="auto"/>
              <w:right w:val="single" w:sz="4" w:space="0" w:color="auto"/>
            </w:tcBorders>
            <w:noWrap/>
            <w:tcMar>
              <w:top w:w="0" w:type="dxa"/>
              <w:left w:w="54" w:type="dxa"/>
              <w:bottom w:w="0" w:type="dxa"/>
              <w:right w:w="54" w:type="dxa"/>
            </w:tcMar>
            <w:vAlign w:val="center"/>
            <w:hideMark/>
          </w:tcPr>
          <w:p w:rsidR="00847384" w:rsidRPr="009A010C" w:rsidRDefault="00847384" w:rsidP="00287C83">
            <w:pPr>
              <w:jc w:val="center"/>
              <w:rPr>
                <w:rFonts w:eastAsia="Calibri"/>
                <w:b/>
                <w:bCs/>
                <w:color w:val="000000"/>
                <w:sz w:val="20"/>
                <w:szCs w:val="20"/>
                <w:lang w:eastAsia="en-CA"/>
              </w:rPr>
            </w:pPr>
            <w:r w:rsidRPr="009A010C">
              <w:rPr>
                <w:rFonts w:eastAsia="Calibri"/>
                <w:b/>
                <w:bCs/>
                <w:color w:val="000000"/>
                <w:sz w:val="20"/>
                <w:szCs w:val="20"/>
                <w:lang w:eastAsia="en-CA"/>
              </w:rPr>
              <w:t>Target</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vAlign w:val="center"/>
            <w:hideMark/>
          </w:tcPr>
          <w:p w:rsidR="00847384" w:rsidRPr="009A010C" w:rsidRDefault="00847384" w:rsidP="00287C83">
            <w:pPr>
              <w:jc w:val="center"/>
              <w:rPr>
                <w:rFonts w:eastAsia="Calibri"/>
                <w:b/>
                <w:bCs/>
                <w:color w:val="000000"/>
                <w:sz w:val="20"/>
                <w:szCs w:val="20"/>
                <w:lang w:eastAsia="en-CA"/>
              </w:rPr>
            </w:pPr>
            <w:r w:rsidRPr="009A010C">
              <w:rPr>
                <w:rFonts w:eastAsia="Calibri"/>
                <w:b/>
                <w:bCs/>
                <w:color w:val="000000"/>
                <w:sz w:val="20"/>
                <w:szCs w:val="20"/>
                <w:lang w:eastAsia="en-CA"/>
              </w:rPr>
              <w:t>Actual</w:t>
            </w:r>
          </w:p>
        </w:tc>
        <w:tc>
          <w:tcPr>
            <w:tcW w:w="2198" w:type="pct"/>
            <w:vMerge/>
            <w:tcBorders>
              <w:left w:val="nil"/>
              <w:bottom w:val="single" w:sz="4" w:space="0" w:color="auto"/>
              <w:right w:val="single" w:sz="4" w:space="0" w:color="auto"/>
            </w:tcBorders>
            <w:tcMar>
              <w:top w:w="0" w:type="dxa"/>
              <w:left w:w="54" w:type="dxa"/>
              <w:bottom w:w="0" w:type="dxa"/>
              <w:right w:w="54" w:type="dxa"/>
            </w:tcMar>
          </w:tcPr>
          <w:p w:rsidR="00847384" w:rsidRPr="009A010C" w:rsidRDefault="00847384" w:rsidP="00287C83">
            <w:pPr>
              <w:jc w:val="center"/>
              <w:rPr>
                <w:rFonts w:eastAsia="Calibri"/>
                <w:b/>
                <w:bCs/>
                <w:color w:val="000000"/>
                <w:sz w:val="20"/>
                <w:szCs w:val="20"/>
                <w:lang w:eastAsia="en-CA"/>
              </w:rPr>
            </w:pPr>
          </w:p>
        </w:tc>
      </w:tr>
      <w:tr w:rsidR="00847384" w:rsidRPr="009A010C" w:rsidTr="00287C83">
        <w:trPr>
          <w:trHeight w:val="172"/>
        </w:trPr>
        <w:tc>
          <w:tcPr>
            <w:tcW w:w="1135" w:type="pct"/>
            <w:tcBorders>
              <w:top w:val="nil"/>
              <w:left w:val="single" w:sz="4" w:space="0" w:color="auto"/>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rPr>
                <w:rFonts w:eastAsia="Calibri"/>
                <w:color w:val="000000"/>
                <w:sz w:val="20"/>
                <w:szCs w:val="20"/>
                <w:lang w:eastAsia="en-CA"/>
              </w:rPr>
            </w:pPr>
            <w:r w:rsidRPr="009A010C">
              <w:rPr>
                <w:rFonts w:eastAsia="Calibri"/>
                <w:color w:val="000000"/>
                <w:sz w:val="20"/>
                <w:szCs w:val="20"/>
                <w:lang w:eastAsia="en-CA"/>
              </w:rPr>
              <w:t>Cameroon</w:t>
            </w:r>
          </w:p>
        </w:tc>
        <w:tc>
          <w:tcPr>
            <w:tcW w:w="833"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jc w:val="right"/>
              <w:rPr>
                <w:rFonts w:eastAsia="Calibri"/>
                <w:color w:val="000000"/>
                <w:sz w:val="20"/>
                <w:szCs w:val="20"/>
                <w:lang w:eastAsia="en-CA"/>
              </w:rPr>
            </w:pPr>
            <w:r w:rsidRPr="009A010C">
              <w:rPr>
                <w:rFonts w:eastAsia="Calibri"/>
                <w:color w:val="000000"/>
                <w:sz w:val="20"/>
                <w:szCs w:val="20"/>
                <w:lang w:eastAsia="en-CA"/>
              </w:rPr>
              <w:t>4</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right"/>
              <w:rPr>
                <w:rFonts w:eastAsia="Calibri"/>
                <w:color w:val="000000"/>
                <w:sz w:val="20"/>
                <w:szCs w:val="20"/>
                <w:lang w:eastAsia="en-CA"/>
              </w:rPr>
            </w:pPr>
            <w:r w:rsidRPr="009A010C">
              <w:rPr>
                <w:rFonts w:eastAsia="Calibri"/>
                <w:color w:val="000000"/>
                <w:sz w:val="20"/>
                <w:szCs w:val="20"/>
                <w:lang w:eastAsia="en-CA"/>
              </w:rPr>
              <w:t>8</w:t>
            </w:r>
          </w:p>
        </w:tc>
        <w:tc>
          <w:tcPr>
            <w:tcW w:w="2198" w:type="pct"/>
            <w:tcBorders>
              <w:top w:val="nil"/>
              <w:left w:val="nil"/>
              <w:bottom w:val="single" w:sz="4" w:space="0" w:color="auto"/>
              <w:right w:val="single" w:sz="4" w:space="0" w:color="auto"/>
            </w:tcBorders>
            <w:tcMar>
              <w:top w:w="0" w:type="dxa"/>
              <w:left w:w="54" w:type="dxa"/>
              <w:bottom w:w="0" w:type="dxa"/>
              <w:right w:w="54" w:type="dxa"/>
            </w:tcMar>
          </w:tcPr>
          <w:p w:rsidR="00847384" w:rsidRPr="009A010C" w:rsidRDefault="00847384" w:rsidP="00287C83">
            <w:pPr>
              <w:jc w:val="left"/>
              <w:rPr>
                <w:rFonts w:eastAsia="Calibri"/>
                <w:color w:val="000000"/>
                <w:sz w:val="20"/>
                <w:szCs w:val="20"/>
                <w:lang w:eastAsia="en-CA"/>
              </w:rPr>
            </w:pPr>
            <w:r w:rsidRPr="009A010C">
              <w:rPr>
                <w:rFonts w:eastAsia="Calibri"/>
                <w:color w:val="000000"/>
                <w:sz w:val="20"/>
                <w:szCs w:val="20"/>
                <w:lang w:eastAsia="en-CA"/>
              </w:rPr>
              <w:t>HFC</w:t>
            </w:r>
            <w:r w:rsidRPr="009A010C">
              <w:rPr>
                <w:rFonts w:eastAsia="Calibri"/>
                <w:color w:val="000000"/>
                <w:sz w:val="20"/>
                <w:szCs w:val="20"/>
                <w:lang w:eastAsia="en-CA"/>
              </w:rPr>
              <w:noBreakHyphen/>
              <w:t>143a; R</w:t>
            </w:r>
            <w:r w:rsidRPr="009A010C">
              <w:rPr>
                <w:rFonts w:eastAsia="Calibri"/>
                <w:color w:val="000000"/>
                <w:sz w:val="20"/>
                <w:szCs w:val="20"/>
                <w:lang w:eastAsia="en-CA"/>
              </w:rPr>
              <w:noBreakHyphen/>
              <w:t>410A; HCFC</w:t>
            </w:r>
            <w:r w:rsidRPr="009A010C">
              <w:rPr>
                <w:rFonts w:eastAsia="Calibri"/>
                <w:color w:val="000000"/>
                <w:sz w:val="20"/>
                <w:szCs w:val="20"/>
                <w:lang w:eastAsia="en-CA"/>
              </w:rPr>
              <w:noBreakHyphen/>
              <w:t>22; HFC</w:t>
            </w:r>
            <w:r w:rsidRPr="009A010C">
              <w:rPr>
                <w:rFonts w:eastAsia="Calibri"/>
                <w:color w:val="000000"/>
                <w:sz w:val="20"/>
                <w:szCs w:val="20"/>
                <w:lang w:eastAsia="en-CA"/>
              </w:rPr>
              <w:noBreakHyphen/>
              <w:t>134a</w:t>
            </w:r>
          </w:p>
        </w:tc>
      </w:tr>
      <w:tr w:rsidR="00847384" w:rsidRPr="009A010C" w:rsidTr="00287C83">
        <w:trPr>
          <w:trHeight w:val="204"/>
        </w:trPr>
        <w:tc>
          <w:tcPr>
            <w:tcW w:w="1135" w:type="pct"/>
            <w:tcBorders>
              <w:top w:val="nil"/>
              <w:left w:val="single" w:sz="4" w:space="0" w:color="auto"/>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rPr>
                <w:rFonts w:eastAsia="Calibri"/>
                <w:color w:val="000000"/>
                <w:sz w:val="20"/>
                <w:szCs w:val="20"/>
                <w:lang w:eastAsia="en-CA"/>
              </w:rPr>
            </w:pPr>
            <w:r w:rsidRPr="009A010C">
              <w:rPr>
                <w:rFonts w:eastAsia="Calibri"/>
                <w:color w:val="000000"/>
                <w:sz w:val="20"/>
                <w:szCs w:val="20"/>
                <w:lang w:eastAsia="en-CA"/>
              </w:rPr>
              <w:t>Egypt</w:t>
            </w:r>
          </w:p>
        </w:tc>
        <w:tc>
          <w:tcPr>
            <w:tcW w:w="833"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right"/>
              <w:rPr>
                <w:rFonts w:eastAsia="Calibri"/>
                <w:color w:val="000000"/>
                <w:sz w:val="20"/>
                <w:szCs w:val="20"/>
                <w:lang w:eastAsia="en-CA"/>
              </w:rPr>
            </w:pPr>
            <w:r w:rsidRPr="009A010C">
              <w:rPr>
                <w:rFonts w:eastAsia="Calibri"/>
                <w:color w:val="000000"/>
                <w:sz w:val="20"/>
                <w:szCs w:val="20"/>
                <w:lang w:eastAsia="en-CA"/>
              </w:rPr>
              <w:t>7</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right"/>
              <w:rPr>
                <w:rFonts w:eastAsia="Calibri"/>
                <w:color w:val="000000"/>
                <w:sz w:val="20"/>
                <w:szCs w:val="20"/>
                <w:lang w:eastAsia="en-CA"/>
              </w:rPr>
            </w:pPr>
            <w:r w:rsidRPr="009A010C">
              <w:rPr>
                <w:rFonts w:eastAsia="Calibri"/>
                <w:color w:val="000000"/>
                <w:sz w:val="20"/>
                <w:szCs w:val="20"/>
                <w:lang w:eastAsia="en-CA"/>
              </w:rPr>
              <w:t>15</w:t>
            </w:r>
          </w:p>
        </w:tc>
        <w:tc>
          <w:tcPr>
            <w:tcW w:w="2198" w:type="pct"/>
            <w:tcBorders>
              <w:top w:val="nil"/>
              <w:left w:val="nil"/>
              <w:bottom w:val="single" w:sz="4" w:space="0" w:color="auto"/>
              <w:right w:val="single" w:sz="4" w:space="0" w:color="auto"/>
            </w:tcBorders>
            <w:tcMar>
              <w:top w:w="0" w:type="dxa"/>
              <w:left w:w="54" w:type="dxa"/>
              <w:bottom w:w="0" w:type="dxa"/>
              <w:right w:w="54" w:type="dxa"/>
            </w:tcMar>
          </w:tcPr>
          <w:p w:rsidR="00847384" w:rsidRPr="009A010C" w:rsidRDefault="00847384" w:rsidP="00287C83">
            <w:pPr>
              <w:jc w:val="left"/>
              <w:rPr>
                <w:rFonts w:eastAsia="Calibri"/>
                <w:color w:val="000000"/>
                <w:sz w:val="20"/>
                <w:szCs w:val="20"/>
                <w:lang w:eastAsia="en-CA"/>
              </w:rPr>
            </w:pPr>
            <w:r w:rsidRPr="009A010C">
              <w:rPr>
                <w:rFonts w:eastAsia="Calibri"/>
                <w:color w:val="000000"/>
                <w:sz w:val="20"/>
                <w:szCs w:val="20"/>
                <w:lang w:eastAsia="en-CA"/>
              </w:rPr>
              <w:t>HFC</w:t>
            </w:r>
            <w:r w:rsidRPr="009A010C">
              <w:rPr>
                <w:rFonts w:eastAsia="Calibri"/>
                <w:color w:val="000000"/>
                <w:sz w:val="20"/>
                <w:szCs w:val="20"/>
                <w:lang w:eastAsia="en-CA"/>
              </w:rPr>
              <w:noBreakHyphen/>
              <w:t>134a</w:t>
            </w:r>
          </w:p>
        </w:tc>
      </w:tr>
      <w:tr w:rsidR="00847384" w:rsidRPr="009A010C" w:rsidTr="00287C83">
        <w:trPr>
          <w:trHeight w:val="209"/>
        </w:trPr>
        <w:tc>
          <w:tcPr>
            <w:tcW w:w="1135" w:type="pct"/>
            <w:tcBorders>
              <w:top w:val="nil"/>
              <w:left w:val="single" w:sz="4" w:space="0" w:color="auto"/>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rPr>
                <w:rFonts w:eastAsia="Calibri"/>
                <w:color w:val="000000"/>
                <w:sz w:val="20"/>
                <w:szCs w:val="20"/>
                <w:lang w:eastAsia="en-CA"/>
              </w:rPr>
            </w:pPr>
            <w:r w:rsidRPr="009A010C">
              <w:rPr>
                <w:rFonts w:eastAsia="Calibri"/>
                <w:color w:val="000000"/>
                <w:sz w:val="20"/>
                <w:szCs w:val="20"/>
                <w:lang w:eastAsia="en-CA"/>
              </w:rPr>
              <w:t>Namibia</w:t>
            </w:r>
          </w:p>
        </w:tc>
        <w:tc>
          <w:tcPr>
            <w:tcW w:w="833"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right"/>
              <w:rPr>
                <w:rFonts w:eastAsia="Calibri"/>
                <w:color w:val="000000"/>
                <w:sz w:val="20"/>
                <w:szCs w:val="20"/>
                <w:lang w:eastAsia="en-CA"/>
              </w:rPr>
            </w:pPr>
            <w:r w:rsidRPr="009A010C">
              <w:rPr>
                <w:rFonts w:eastAsia="Calibri"/>
                <w:color w:val="000000"/>
                <w:sz w:val="20"/>
                <w:szCs w:val="20"/>
                <w:lang w:eastAsia="en-CA"/>
              </w:rPr>
              <w:t>1</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right"/>
              <w:rPr>
                <w:rFonts w:eastAsia="Calibri"/>
                <w:color w:val="000000"/>
                <w:sz w:val="20"/>
                <w:szCs w:val="20"/>
                <w:lang w:eastAsia="en-CA"/>
              </w:rPr>
            </w:pPr>
            <w:r w:rsidRPr="009A010C">
              <w:rPr>
                <w:rFonts w:eastAsia="Calibri"/>
                <w:color w:val="000000"/>
                <w:sz w:val="20"/>
                <w:szCs w:val="20"/>
                <w:lang w:eastAsia="en-CA"/>
              </w:rPr>
              <w:t>2</w:t>
            </w:r>
          </w:p>
        </w:tc>
        <w:tc>
          <w:tcPr>
            <w:tcW w:w="2198" w:type="pct"/>
            <w:tcBorders>
              <w:top w:val="nil"/>
              <w:left w:val="nil"/>
              <w:bottom w:val="single" w:sz="4" w:space="0" w:color="auto"/>
              <w:right w:val="single" w:sz="4" w:space="0" w:color="auto"/>
            </w:tcBorders>
            <w:tcMar>
              <w:top w:w="0" w:type="dxa"/>
              <w:left w:w="54" w:type="dxa"/>
              <w:bottom w:w="0" w:type="dxa"/>
              <w:right w:w="54" w:type="dxa"/>
            </w:tcMar>
          </w:tcPr>
          <w:p w:rsidR="00847384" w:rsidRPr="009A010C" w:rsidRDefault="00847384" w:rsidP="00287C83">
            <w:pPr>
              <w:jc w:val="left"/>
              <w:rPr>
                <w:rFonts w:eastAsia="Calibri"/>
                <w:color w:val="000000"/>
                <w:sz w:val="20"/>
                <w:szCs w:val="20"/>
                <w:lang w:eastAsia="en-CA"/>
              </w:rPr>
            </w:pPr>
            <w:r w:rsidRPr="009A010C">
              <w:rPr>
                <w:rFonts w:eastAsia="Calibri"/>
                <w:color w:val="000000"/>
                <w:sz w:val="20"/>
                <w:szCs w:val="20"/>
                <w:lang w:eastAsia="en-CA"/>
              </w:rPr>
              <w:t>Not available</w:t>
            </w:r>
          </w:p>
        </w:tc>
      </w:tr>
      <w:tr w:rsidR="00847384" w:rsidRPr="009A010C" w:rsidTr="00287C83">
        <w:trPr>
          <w:trHeight w:val="135"/>
        </w:trPr>
        <w:tc>
          <w:tcPr>
            <w:tcW w:w="1135" w:type="pct"/>
            <w:tcBorders>
              <w:top w:val="nil"/>
              <w:left w:val="single" w:sz="4" w:space="0" w:color="auto"/>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rPr>
                <w:rFonts w:eastAsia="Calibri"/>
                <w:color w:val="000000"/>
                <w:sz w:val="20"/>
                <w:szCs w:val="20"/>
                <w:lang w:eastAsia="en-CA"/>
              </w:rPr>
            </w:pPr>
            <w:r w:rsidRPr="009A010C">
              <w:rPr>
                <w:rFonts w:eastAsia="Calibri"/>
                <w:color w:val="000000"/>
                <w:sz w:val="20"/>
                <w:szCs w:val="20"/>
                <w:lang w:eastAsia="en-CA"/>
              </w:rPr>
              <w:t>Nigeria</w:t>
            </w:r>
          </w:p>
        </w:tc>
        <w:tc>
          <w:tcPr>
            <w:tcW w:w="833"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right"/>
              <w:rPr>
                <w:rFonts w:eastAsia="Calibri"/>
                <w:color w:val="000000"/>
                <w:sz w:val="20"/>
                <w:szCs w:val="20"/>
                <w:lang w:eastAsia="en-CA"/>
              </w:rPr>
            </w:pPr>
            <w:r w:rsidRPr="009A010C">
              <w:rPr>
                <w:rFonts w:eastAsia="Calibri"/>
                <w:color w:val="000000"/>
                <w:sz w:val="20"/>
                <w:szCs w:val="20"/>
                <w:lang w:eastAsia="en-CA"/>
              </w:rPr>
              <w:t>5</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287C83">
            <w:pPr>
              <w:jc w:val="right"/>
              <w:rPr>
                <w:rFonts w:eastAsia="Calibri"/>
                <w:color w:val="000000"/>
                <w:sz w:val="20"/>
                <w:szCs w:val="20"/>
                <w:lang w:eastAsia="en-CA"/>
              </w:rPr>
            </w:pPr>
            <w:r w:rsidRPr="009A010C">
              <w:rPr>
                <w:rFonts w:eastAsia="Calibri"/>
                <w:color w:val="000000"/>
                <w:sz w:val="20"/>
                <w:szCs w:val="20"/>
                <w:lang w:eastAsia="en-CA"/>
              </w:rPr>
              <w:t>1</w:t>
            </w:r>
          </w:p>
        </w:tc>
        <w:tc>
          <w:tcPr>
            <w:tcW w:w="2198" w:type="pct"/>
            <w:tcBorders>
              <w:top w:val="nil"/>
              <w:left w:val="nil"/>
              <w:bottom w:val="single" w:sz="4" w:space="0" w:color="auto"/>
              <w:right w:val="single" w:sz="4" w:space="0" w:color="auto"/>
            </w:tcBorders>
            <w:tcMar>
              <w:top w:w="0" w:type="dxa"/>
              <w:left w:w="54" w:type="dxa"/>
              <w:bottom w:w="0" w:type="dxa"/>
              <w:right w:w="54" w:type="dxa"/>
            </w:tcMar>
          </w:tcPr>
          <w:p w:rsidR="00847384" w:rsidRPr="009A010C" w:rsidRDefault="00847384" w:rsidP="00287C83">
            <w:pPr>
              <w:jc w:val="left"/>
              <w:rPr>
                <w:rFonts w:eastAsia="Calibri"/>
                <w:color w:val="000000"/>
                <w:sz w:val="20"/>
                <w:szCs w:val="20"/>
                <w:lang w:eastAsia="en-CA"/>
              </w:rPr>
            </w:pPr>
            <w:r w:rsidRPr="009A010C">
              <w:rPr>
                <w:rFonts w:eastAsia="Calibri"/>
                <w:color w:val="000000"/>
                <w:sz w:val="20"/>
                <w:szCs w:val="20"/>
                <w:lang w:eastAsia="en-CA"/>
              </w:rPr>
              <w:t>HFC</w:t>
            </w:r>
            <w:r w:rsidRPr="009A010C">
              <w:rPr>
                <w:rFonts w:eastAsia="Calibri"/>
                <w:color w:val="000000"/>
                <w:sz w:val="20"/>
                <w:szCs w:val="20"/>
                <w:lang w:eastAsia="en-CA"/>
              </w:rPr>
              <w:noBreakHyphen/>
              <w:t>134a</w:t>
            </w:r>
          </w:p>
        </w:tc>
      </w:tr>
      <w:tr w:rsidR="00847384" w:rsidRPr="009A010C" w:rsidTr="00287C83">
        <w:trPr>
          <w:trHeight w:val="134"/>
        </w:trPr>
        <w:tc>
          <w:tcPr>
            <w:tcW w:w="1135" w:type="pct"/>
            <w:tcBorders>
              <w:top w:val="nil"/>
              <w:left w:val="single" w:sz="4" w:space="0" w:color="auto"/>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keepNext/>
              <w:rPr>
                <w:rFonts w:eastAsia="Calibri"/>
                <w:color w:val="000000"/>
                <w:sz w:val="20"/>
                <w:szCs w:val="20"/>
                <w:lang w:eastAsia="en-CA"/>
              </w:rPr>
            </w:pPr>
            <w:r w:rsidRPr="009A010C">
              <w:rPr>
                <w:rFonts w:eastAsia="Calibri"/>
                <w:color w:val="000000"/>
                <w:sz w:val="20"/>
                <w:szCs w:val="20"/>
                <w:lang w:eastAsia="en-CA"/>
              </w:rPr>
              <w:lastRenderedPageBreak/>
              <w:t>Senegal</w:t>
            </w:r>
          </w:p>
        </w:tc>
        <w:tc>
          <w:tcPr>
            <w:tcW w:w="833"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keepNext/>
              <w:jc w:val="right"/>
              <w:rPr>
                <w:sz w:val="20"/>
                <w:szCs w:val="20"/>
              </w:rPr>
            </w:pPr>
            <w:r w:rsidRPr="009A010C">
              <w:rPr>
                <w:sz w:val="20"/>
                <w:szCs w:val="20"/>
              </w:rPr>
              <w:t>-</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keepNext/>
              <w:jc w:val="right"/>
              <w:rPr>
                <w:rFonts w:eastAsia="Calibri"/>
                <w:color w:val="000000"/>
                <w:sz w:val="20"/>
                <w:szCs w:val="20"/>
                <w:lang w:eastAsia="en-CA"/>
              </w:rPr>
            </w:pPr>
            <w:r w:rsidRPr="009A010C">
              <w:rPr>
                <w:rFonts w:eastAsia="Calibri"/>
                <w:color w:val="000000"/>
                <w:sz w:val="20"/>
                <w:szCs w:val="20"/>
                <w:lang w:eastAsia="en-CA"/>
              </w:rPr>
              <w:t>3</w:t>
            </w:r>
          </w:p>
        </w:tc>
        <w:tc>
          <w:tcPr>
            <w:tcW w:w="2198" w:type="pct"/>
            <w:tcBorders>
              <w:top w:val="nil"/>
              <w:left w:val="nil"/>
              <w:bottom w:val="single" w:sz="4" w:space="0" w:color="auto"/>
              <w:right w:val="single" w:sz="4" w:space="0" w:color="auto"/>
            </w:tcBorders>
            <w:tcMar>
              <w:top w:w="0" w:type="dxa"/>
              <w:left w:w="54" w:type="dxa"/>
              <w:bottom w:w="0" w:type="dxa"/>
              <w:right w:w="54" w:type="dxa"/>
            </w:tcMar>
          </w:tcPr>
          <w:p w:rsidR="00847384" w:rsidRPr="009A010C" w:rsidRDefault="00847384" w:rsidP="00572988">
            <w:pPr>
              <w:keepNext/>
              <w:jc w:val="left"/>
              <w:rPr>
                <w:rFonts w:eastAsia="Calibri"/>
                <w:color w:val="000000"/>
                <w:sz w:val="20"/>
                <w:szCs w:val="20"/>
                <w:lang w:eastAsia="en-CA"/>
              </w:rPr>
            </w:pPr>
            <w:r w:rsidRPr="009A010C">
              <w:rPr>
                <w:rFonts w:eastAsia="Calibri"/>
                <w:color w:val="000000"/>
                <w:sz w:val="20"/>
                <w:szCs w:val="20"/>
                <w:lang w:eastAsia="en-CA"/>
              </w:rPr>
              <w:t>HFC</w:t>
            </w:r>
            <w:r w:rsidRPr="009A010C">
              <w:rPr>
                <w:rFonts w:eastAsia="Calibri"/>
                <w:color w:val="000000"/>
                <w:sz w:val="20"/>
                <w:szCs w:val="20"/>
                <w:lang w:eastAsia="en-CA"/>
              </w:rPr>
              <w:noBreakHyphen/>
              <w:t>134a</w:t>
            </w:r>
          </w:p>
        </w:tc>
      </w:tr>
      <w:tr w:rsidR="00847384" w:rsidRPr="009A010C" w:rsidTr="00287C83">
        <w:trPr>
          <w:trHeight w:val="136"/>
        </w:trPr>
        <w:tc>
          <w:tcPr>
            <w:tcW w:w="1135" w:type="pct"/>
            <w:tcBorders>
              <w:top w:val="nil"/>
              <w:left w:val="single" w:sz="4" w:space="0" w:color="auto"/>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keepNext/>
              <w:rPr>
                <w:rFonts w:eastAsia="Calibri"/>
                <w:color w:val="000000"/>
                <w:sz w:val="20"/>
                <w:szCs w:val="20"/>
                <w:lang w:eastAsia="en-CA"/>
              </w:rPr>
            </w:pPr>
            <w:r w:rsidRPr="009A010C">
              <w:rPr>
                <w:rFonts w:eastAsia="Calibri"/>
                <w:color w:val="000000"/>
                <w:sz w:val="20"/>
                <w:szCs w:val="20"/>
                <w:lang w:eastAsia="en-CA"/>
              </w:rPr>
              <w:t>Sudan</w:t>
            </w:r>
          </w:p>
        </w:tc>
        <w:tc>
          <w:tcPr>
            <w:tcW w:w="833"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keepNext/>
              <w:jc w:val="right"/>
              <w:rPr>
                <w:rFonts w:eastAsia="Calibri"/>
                <w:color w:val="000000"/>
                <w:sz w:val="20"/>
                <w:szCs w:val="20"/>
                <w:lang w:eastAsia="en-CA"/>
              </w:rPr>
            </w:pPr>
            <w:r w:rsidRPr="009A010C">
              <w:rPr>
                <w:rFonts w:eastAsia="Calibri"/>
                <w:color w:val="000000"/>
                <w:sz w:val="20"/>
                <w:szCs w:val="20"/>
                <w:lang w:eastAsia="en-CA"/>
              </w:rPr>
              <w:t>2</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keepNext/>
              <w:jc w:val="right"/>
              <w:rPr>
                <w:rFonts w:eastAsia="Calibri"/>
                <w:color w:val="000000"/>
                <w:sz w:val="20"/>
                <w:szCs w:val="20"/>
                <w:lang w:eastAsia="en-CA"/>
              </w:rPr>
            </w:pPr>
            <w:r w:rsidRPr="009A010C">
              <w:rPr>
                <w:rFonts w:eastAsia="Calibri"/>
                <w:color w:val="000000"/>
                <w:sz w:val="20"/>
                <w:szCs w:val="20"/>
                <w:lang w:eastAsia="en-CA"/>
              </w:rPr>
              <w:t>5</w:t>
            </w:r>
          </w:p>
        </w:tc>
        <w:tc>
          <w:tcPr>
            <w:tcW w:w="2198" w:type="pct"/>
            <w:tcBorders>
              <w:top w:val="nil"/>
              <w:left w:val="nil"/>
              <w:bottom w:val="single" w:sz="4" w:space="0" w:color="auto"/>
              <w:right w:val="single" w:sz="4" w:space="0" w:color="auto"/>
            </w:tcBorders>
            <w:tcMar>
              <w:top w:w="0" w:type="dxa"/>
              <w:left w:w="54" w:type="dxa"/>
              <w:bottom w:w="0" w:type="dxa"/>
              <w:right w:w="54" w:type="dxa"/>
            </w:tcMar>
          </w:tcPr>
          <w:p w:rsidR="00847384" w:rsidRPr="009A010C" w:rsidRDefault="00847384" w:rsidP="00572988">
            <w:pPr>
              <w:keepNext/>
              <w:jc w:val="left"/>
              <w:rPr>
                <w:rFonts w:eastAsia="Calibri"/>
                <w:color w:val="000000"/>
                <w:sz w:val="20"/>
                <w:szCs w:val="20"/>
                <w:lang w:eastAsia="en-CA"/>
              </w:rPr>
            </w:pPr>
            <w:r w:rsidRPr="009A010C">
              <w:rPr>
                <w:rFonts w:eastAsia="Calibri"/>
                <w:color w:val="000000"/>
                <w:sz w:val="20"/>
                <w:szCs w:val="20"/>
                <w:lang w:eastAsia="en-CA"/>
              </w:rPr>
              <w:t>HFC</w:t>
            </w:r>
            <w:r w:rsidRPr="009A010C">
              <w:rPr>
                <w:rFonts w:eastAsia="Calibri"/>
                <w:color w:val="000000"/>
                <w:sz w:val="20"/>
                <w:szCs w:val="20"/>
                <w:lang w:eastAsia="en-CA"/>
              </w:rPr>
              <w:noBreakHyphen/>
              <w:t>134a</w:t>
            </w:r>
          </w:p>
        </w:tc>
      </w:tr>
      <w:tr w:rsidR="00847384" w:rsidRPr="009A010C" w:rsidTr="00287C83">
        <w:trPr>
          <w:trHeight w:val="136"/>
        </w:trPr>
        <w:tc>
          <w:tcPr>
            <w:tcW w:w="1135" w:type="pct"/>
            <w:tcBorders>
              <w:top w:val="nil"/>
              <w:left w:val="single" w:sz="4" w:space="0" w:color="auto"/>
              <w:bottom w:val="single" w:sz="4" w:space="0" w:color="auto"/>
              <w:right w:val="single" w:sz="4" w:space="0" w:color="auto"/>
            </w:tcBorders>
            <w:noWrap/>
            <w:tcMar>
              <w:top w:w="0" w:type="dxa"/>
              <w:left w:w="54" w:type="dxa"/>
              <w:bottom w:w="0" w:type="dxa"/>
              <w:right w:w="54" w:type="dxa"/>
            </w:tcMar>
            <w:hideMark/>
          </w:tcPr>
          <w:p w:rsidR="00847384" w:rsidRPr="009A010C" w:rsidRDefault="00847384" w:rsidP="00572988">
            <w:pPr>
              <w:keepNext/>
              <w:rPr>
                <w:rFonts w:eastAsia="Calibri"/>
                <w:b/>
                <w:bCs/>
                <w:color w:val="000000"/>
                <w:sz w:val="20"/>
                <w:szCs w:val="20"/>
                <w:lang w:eastAsia="en-CA"/>
              </w:rPr>
            </w:pPr>
            <w:r w:rsidRPr="009A010C">
              <w:rPr>
                <w:rFonts w:eastAsia="Calibri"/>
                <w:b/>
                <w:bCs/>
                <w:color w:val="000000"/>
                <w:sz w:val="20"/>
                <w:szCs w:val="20"/>
                <w:lang w:eastAsia="en-CA"/>
              </w:rPr>
              <w:t>Total</w:t>
            </w:r>
          </w:p>
        </w:tc>
        <w:tc>
          <w:tcPr>
            <w:tcW w:w="833" w:type="pct"/>
            <w:tcBorders>
              <w:top w:val="nil"/>
              <w:left w:val="nil"/>
              <w:bottom w:val="single" w:sz="4" w:space="0" w:color="auto"/>
              <w:right w:val="single" w:sz="4" w:space="0" w:color="auto"/>
            </w:tcBorders>
            <w:noWrap/>
            <w:tcMar>
              <w:top w:w="0" w:type="dxa"/>
              <w:left w:w="54" w:type="dxa"/>
              <w:bottom w:w="0" w:type="dxa"/>
              <w:right w:w="54" w:type="dxa"/>
            </w:tcMar>
          </w:tcPr>
          <w:p w:rsidR="00847384" w:rsidRPr="009A010C" w:rsidRDefault="00847384" w:rsidP="00572988">
            <w:pPr>
              <w:keepNext/>
              <w:jc w:val="right"/>
              <w:rPr>
                <w:rFonts w:eastAsia="Calibri"/>
                <w:b/>
                <w:bCs/>
                <w:color w:val="000000"/>
                <w:sz w:val="20"/>
                <w:szCs w:val="20"/>
                <w:lang w:eastAsia="en-CA"/>
              </w:rPr>
            </w:pPr>
            <w:r w:rsidRPr="009A010C">
              <w:rPr>
                <w:rFonts w:eastAsia="Calibri"/>
                <w:b/>
                <w:bCs/>
                <w:color w:val="000000"/>
                <w:sz w:val="20"/>
                <w:szCs w:val="20"/>
                <w:lang w:eastAsia="en-CA"/>
              </w:rPr>
              <w:t>19</w:t>
            </w:r>
          </w:p>
        </w:tc>
        <w:tc>
          <w:tcPr>
            <w:tcW w:w="834" w:type="pct"/>
            <w:tcBorders>
              <w:top w:val="nil"/>
              <w:left w:val="nil"/>
              <w:bottom w:val="single" w:sz="4" w:space="0" w:color="auto"/>
              <w:right w:val="single" w:sz="4" w:space="0" w:color="auto"/>
            </w:tcBorders>
            <w:noWrap/>
            <w:tcMar>
              <w:top w:w="0" w:type="dxa"/>
              <w:left w:w="54" w:type="dxa"/>
              <w:bottom w:w="0" w:type="dxa"/>
              <w:right w:w="54" w:type="dxa"/>
            </w:tcMar>
          </w:tcPr>
          <w:p w:rsidR="00847384" w:rsidRPr="009A010C" w:rsidRDefault="00847384" w:rsidP="00572988">
            <w:pPr>
              <w:keepNext/>
              <w:jc w:val="right"/>
              <w:rPr>
                <w:rFonts w:eastAsia="Calibri"/>
                <w:b/>
                <w:bCs/>
                <w:color w:val="000000"/>
                <w:sz w:val="20"/>
                <w:szCs w:val="20"/>
                <w:lang w:eastAsia="en-CA"/>
              </w:rPr>
            </w:pPr>
            <w:r w:rsidRPr="009A010C">
              <w:rPr>
                <w:rFonts w:eastAsia="Calibri"/>
                <w:b/>
                <w:bCs/>
                <w:color w:val="000000"/>
                <w:sz w:val="20"/>
                <w:szCs w:val="20"/>
                <w:lang w:eastAsia="en-CA"/>
              </w:rPr>
              <w:t>34</w:t>
            </w:r>
          </w:p>
        </w:tc>
        <w:tc>
          <w:tcPr>
            <w:tcW w:w="2198" w:type="pct"/>
            <w:tcBorders>
              <w:top w:val="nil"/>
              <w:left w:val="nil"/>
              <w:bottom w:val="single" w:sz="4" w:space="0" w:color="auto"/>
              <w:right w:val="single" w:sz="4" w:space="0" w:color="auto"/>
            </w:tcBorders>
            <w:tcMar>
              <w:top w:w="0" w:type="dxa"/>
              <w:left w:w="54" w:type="dxa"/>
              <w:bottom w:w="0" w:type="dxa"/>
              <w:right w:w="54" w:type="dxa"/>
            </w:tcMar>
          </w:tcPr>
          <w:p w:rsidR="00847384" w:rsidRPr="009A010C" w:rsidRDefault="00847384" w:rsidP="00572988">
            <w:pPr>
              <w:keepNext/>
              <w:jc w:val="right"/>
              <w:rPr>
                <w:rFonts w:eastAsia="Calibri"/>
                <w:b/>
                <w:bCs/>
                <w:color w:val="000000"/>
                <w:sz w:val="20"/>
                <w:szCs w:val="20"/>
                <w:lang w:eastAsia="en-CA"/>
              </w:rPr>
            </w:pPr>
          </w:p>
        </w:tc>
      </w:tr>
    </w:tbl>
    <w:p w:rsidR="00847384" w:rsidRPr="009A010C" w:rsidRDefault="00847384" w:rsidP="00572988">
      <w:pPr>
        <w:keepNext/>
      </w:pPr>
    </w:p>
    <w:p w:rsidR="00847384" w:rsidRPr="009A010C" w:rsidRDefault="00847384" w:rsidP="00847384">
      <w:pPr>
        <w:pStyle w:val="Heading2"/>
        <w:numPr>
          <w:ilvl w:val="0"/>
          <w:numId w:val="0"/>
        </w:numPr>
        <w:rPr>
          <w:i/>
        </w:rPr>
      </w:pPr>
      <w:r w:rsidRPr="009A010C">
        <w:rPr>
          <w:i/>
        </w:rPr>
        <w:t>Mobilising additional resources</w:t>
      </w:r>
    </w:p>
    <w:p w:rsidR="00847384" w:rsidRPr="009A010C" w:rsidRDefault="00847384" w:rsidP="00847384">
      <w:pPr>
        <w:pStyle w:val="Heading1"/>
      </w:pPr>
      <w:r w:rsidRPr="009A010C">
        <w:t>For most countries covered under this project, direct partial reimbursement to industries for chiller conversion costs was provided; this option was chosen as it was easy to manage, acceptable to the recipients, and did not involve multiple agencies or complicated financial and operational management processes. In the case of Cameroon, the Government also set up a revolving fund which was identified as the best option, keeping in view economic aspects associated with the replacement of chillers. The fund was set up with three companies and was to be held with either a commercial bank or the central bank; a Board was established for managing the fund. Limited details are available on the impact of these projects.</w:t>
      </w:r>
    </w:p>
    <w:p w:rsidR="00847384" w:rsidRPr="009A010C" w:rsidRDefault="00847384" w:rsidP="00847384">
      <w:pPr>
        <w:pStyle w:val="Heading1"/>
      </w:pPr>
      <w:r w:rsidRPr="009A010C">
        <w:t xml:space="preserve">Additional funds amounting to 750,000 Euros were obtained from </w:t>
      </w:r>
      <w:proofErr w:type="spellStart"/>
      <w:r w:rsidRPr="009A010C">
        <w:rPr>
          <w:i/>
        </w:rPr>
        <w:t>Fonds</w:t>
      </w:r>
      <w:proofErr w:type="spellEnd"/>
      <w:r w:rsidRPr="009A010C">
        <w:rPr>
          <w:i/>
        </w:rPr>
        <w:t xml:space="preserve"> </w:t>
      </w:r>
      <w:proofErr w:type="spellStart"/>
      <w:r w:rsidRPr="009A010C">
        <w:rPr>
          <w:i/>
        </w:rPr>
        <w:t>français</w:t>
      </w:r>
      <w:proofErr w:type="spellEnd"/>
      <w:r w:rsidRPr="009A010C">
        <w:rPr>
          <w:i/>
        </w:rPr>
        <w:t xml:space="preserve"> pour </w:t>
      </w:r>
      <w:proofErr w:type="spellStart"/>
      <w:r w:rsidRPr="009A010C">
        <w:rPr>
          <w:i/>
        </w:rPr>
        <w:t>l'environnement</w:t>
      </w:r>
      <w:proofErr w:type="spellEnd"/>
      <w:r w:rsidRPr="009A010C">
        <w:rPr>
          <w:i/>
        </w:rPr>
        <w:t xml:space="preserve"> </w:t>
      </w:r>
      <w:proofErr w:type="spellStart"/>
      <w:r w:rsidRPr="009A010C">
        <w:rPr>
          <w:i/>
        </w:rPr>
        <w:t>mondial</w:t>
      </w:r>
      <w:proofErr w:type="spellEnd"/>
      <w:r w:rsidRPr="009A010C">
        <w:rPr>
          <w:i/>
        </w:rPr>
        <w:t xml:space="preserve"> </w:t>
      </w:r>
      <w:r w:rsidRPr="009A010C">
        <w:t>(FFEM) for complementing Multilateral Fund’s resources, and were used for chiller replacement and setting up a financial mechanism in Cameroon and Egypt.</w:t>
      </w:r>
    </w:p>
    <w:p w:rsidR="00847384" w:rsidRPr="009A010C" w:rsidRDefault="00847384" w:rsidP="00847384">
      <w:pPr>
        <w:pStyle w:val="Heading1"/>
      </w:pPr>
      <w:r w:rsidRPr="009A010C">
        <w:t>The average annual coefficient of performance increased from 3-3.5 to 5.5-5.8 at full-load operations through the replacement project;</w:t>
      </w:r>
    </w:p>
    <w:p w:rsidR="00847384" w:rsidRPr="00F36B67" w:rsidRDefault="00847384" w:rsidP="00847384">
      <w:pPr>
        <w:pStyle w:val="Heading1"/>
      </w:pPr>
      <w:r w:rsidRPr="009A010C">
        <w:t xml:space="preserve">Against the total funds amounting to US $1,945,881 approved for the project, US $1,915,579 was disbursed, as given </w:t>
      </w:r>
      <w:r w:rsidRPr="00F36B67">
        <w:t xml:space="preserve">in Table </w:t>
      </w:r>
      <w:r w:rsidR="00A51632" w:rsidRPr="00F36B67">
        <w:t>8</w:t>
      </w:r>
      <w:r w:rsidRPr="00F36B67">
        <w:t>.</w:t>
      </w:r>
    </w:p>
    <w:p w:rsidR="00847384" w:rsidRPr="009A010C" w:rsidRDefault="00847384" w:rsidP="00847384">
      <w:pPr>
        <w:rPr>
          <w:b/>
        </w:rPr>
      </w:pPr>
      <w:bookmarkStart w:id="4" w:name="_Hlk527387453"/>
      <w:r w:rsidRPr="00F36B67">
        <w:rPr>
          <w:b/>
        </w:rPr>
        <w:t xml:space="preserve">Table </w:t>
      </w:r>
      <w:r w:rsidR="00A51632" w:rsidRPr="00F36B67">
        <w:rPr>
          <w:b/>
        </w:rPr>
        <w:t>8</w:t>
      </w:r>
      <w:r w:rsidRPr="00F36B67">
        <w:rPr>
          <w:b/>
        </w:rPr>
        <w:t>: Financial report of the</w:t>
      </w:r>
      <w:r w:rsidRPr="009A010C">
        <w:rPr>
          <w:b/>
        </w:rPr>
        <w:t xml:space="preserve"> project (US $)</w:t>
      </w:r>
    </w:p>
    <w:tbl>
      <w:tblPr>
        <w:tblW w:w="5000" w:type="pct"/>
        <w:tblInd w:w="-5" w:type="dxa"/>
        <w:tblLayout w:type="fixed"/>
        <w:tblLook w:val="04A0" w:firstRow="1" w:lastRow="0" w:firstColumn="1" w:lastColumn="0" w:noHBand="0" w:noVBand="1"/>
      </w:tblPr>
      <w:tblGrid>
        <w:gridCol w:w="2310"/>
        <w:gridCol w:w="2312"/>
        <w:gridCol w:w="2457"/>
        <w:gridCol w:w="2451"/>
      </w:tblGrid>
      <w:tr w:rsidR="00847384" w:rsidRPr="009A010C" w:rsidTr="00287C83">
        <w:trPr>
          <w:trHeight w:val="285"/>
        </w:trPr>
        <w:tc>
          <w:tcPr>
            <w:tcW w:w="1212" w:type="pct"/>
            <w:tcBorders>
              <w:top w:val="single" w:sz="4" w:space="0" w:color="auto"/>
              <w:left w:val="single" w:sz="4" w:space="0" w:color="auto"/>
              <w:bottom w:val="single" w:sz="4" w:space="0" w:color="auto"/>
              <w:right w:val="single" w:sz="4" w:space="0" w:color="auto"/>
            </w:tcBorders>
            <w:shd w:val="clear" w:color="auto" w:fill="auto"/>
            <w:noWrap/>
            <w:hideMark/>
          </w:tcPr>
          <w:bookmarkEnd w:id="4"/>
          <w:p w:rsidR="00847384" w:rsidRPr="009A010C" w:rsidRDefault="00847384" w:rsidP="00287C83">
            <w:pPr>
              <w:jc w:val="center"/>
              <w:rPr>
                <w:b/>
                <w:bCs/>
                <w:color w:val="000000"/>
                <w:sz w:val="20"/>
                <w:szCs w:val="20"/>
                <w:lang w:eastAsia="en-CA"/>
              </w:rPr>
            </w:pPr>
            <w:r w:rsidRPr="009A010C">
              <w:rPr>
                <w:b/>
                <w:bCs/>
                <w:color w:val="000000"/>
                <w:sz w:val="20"/>
                <w:szCs w:val="20"/>
                <w:lang w:eastAsia="en-CA"/>
              </w:rPr>
              <w:t>Agency</w:t>
            </w:r>
          </w:p>
        </w:tc>
        <w:tc>
          <w:tcPr>
            <w:tcW w:w="1213" w:type="pct"/>
            <w:tcBorders>
              <w:top w:val="single" w:sz="4" w:space="0" w:color="auto"/>
              <w:left w:val="nil"/>
              <w:bottom w:val="single" w:sz="4" w:space="0" w:color="auto"/>
              <w:right w:val="single" w:sz="4" w:space="0" w:color="auto"/>
            </w:tcBorders>
            <w:shd w:val="clear" w:color="auto" w:fill="auto"/>
            <w:noWrap/>
            <w:hideMark/>
          </w:tcPr>
          <w:p w:rsidR="00847384" w:rsidRPr="009A010C" w:rsidRDefault="00847384" w:rsidP="00287C83">
            <w:pPr>
              <w:jc w:val="center"/>
              <w:rPr>
                <w:b/>
                <w:bCs/>
                <w:color w:val="000000"/>
                <w:sz w:val="20"/>
                <w:szCs w:val="20"/>
                <w:lang w:eastAsia="en-CA"/>
              </w:rPr>
            </w:pPr>
            <w:r w:rsidRPr="009A010C">
              <w:rPr>
                <w:b/>
                <w:bCs/>
                <w:color w:val="000000"/>
                <w:sz w:val="20"/>
                <w:szCs w:val="20"/>
                <w:lang w:eastAsia="en-CA"/>
              </w:rPr>
              <w:t>Approved (US $)</w:t>
            </w:r>
          </w:p>
        </w:tc>
        <w:tc>
          <w:tcPr>
            <w:tcW w:w="1289" w:type="pct"/>
            <w:tcBorders>
              <w:top w:val="single" w:sz="4" w:space="0" w:color="auto"/>
              <w:left w:val="nil"/>
              <w:bottom w:val="single" w:sz="4" w:space="0" w:color="auto"/>
              <w:right w:val="single" w:sz="4" w:space="0" w:color="auto"/>
            </w:tcBorders>
            <w:shd w:val="clear" w:color="auto" w:fill="auto"/>
            <w:noWrap/>
            <w:hideMark/>
          </w:tcPr>
          <w:p w:rsidR="00847384" w:rsidRPr="009A010C" w:rsidRDefault="00847384" w:rsidP="00287C83">
            <w:pPr>
              <w:jc w:val="center"/>
              <w:rPr>
                <w:b/>
                <w:bCs/>
                <w:color w:val="000000"/>
                <w:sz w:val="20"/>
                <w:szCs w:val="20"/>
                <w:lang w:eastAsia="en-CA"/>
              </w:rPr>
            </w:pPr>
            <w:r w:rsidRPr="009A010C">
              <w:rPr>
                <w:b/>
                <w:bCs/>
                <w:color w:val="000000"/>
                <w:sz w:val="20"/>
                <w:szCs w:val="20"/>
                <w:lang w:eastAsia="en-CA"/>
              </w:rPr>
              <w:t>Disbursed (US $)</w:t>
            </w:r>
          </w:p>
        </w:tc>
        <w:tc>
          <w:tcPr>
            <w:tcW w:w="1286" w:type="pct"/>
            <w:tcBorders>
              <w:top w:val="single" w:sz="4" w:space="0" w:color="auto"/>
              <w:left w:val="nil"/>
              <w:bottom w:val="single" w:sz="4" w:space="0" w:color="auto"/>
              <w:right w:val="single" w:sz="4" w:space="0" w:color="auto"/>
            </w:tcBorders>
          </w:tcPr>
          <w:p w:rsidR="00847384" w:rsidRPr="009A010C" w:rsidRDefault="00847384" w:rsidP="00287C83">
            <w:pPr>
              <w:jc w:val="center"/>
              <w:rPr>
                <w:b/>
                <w:bCs/>
                <w:color w:val="000000"/>
                <w:sz w:val="20"/>
                <w:szCs w:val="20"/>
                <w:lang w:eastAsia="en-CA"/>
              </w:rPr>
            </w:pPr>
            <w:r w:rsidRPr="009A010C">
              <w:rPr>
                <w:b/>
                <w:bCs/>
                <w:color w:val="000000"/>
                <w:sz w:val="20"/>
                <w:szCs w:val="20"/>
                <w:lang w:eastAsia="en-CA"/>
              </w:rPr>
              <w:t>Disbursement rate (%)</w:t>
            </w:r>
          </w:p>
        </w:tc>
      </w:tr>
      <w:tr w:rsidR="00847384" w:rsidRPr="009A010C" w:rsidTr="00287C83">
        <w:trPr>
          <w:trHeight w:val="285"/>
        </w:trPr>
        <w:tc>
          <w:tcPr>
            <w:tcW w:w="1212" w:type="pct"/>
            <w:tcBorders>
              <w:top w:val="nil"/>
              <w:left w:val="single" w:sz="4" w:space="0" w:color="auto"/>
              <w:bottom w:val="single" w:sz="4" w:space="0" w:color="auto"/>
              <w:right w:val="single" w:sz="4" w:space="0" w:color="auto"/>
            </w:tcBorders>
            <w:shd w:val="clear" w:color="auto" w:fill="auto"/>
            <w:noWrap/>
            <w:vAlign w:val="bottom"/>
            <w:hideMark/>
          </w:tcPr>
          <w:p w:rsidR="00847384" w:rsidRPr="009A010C" w:rsidRDefault="00847384" w:rsidP="00287C83">
            <w:pPr>
              <w:rPr>
                <w:color w:val="000000"/>
                <w:sz w:val="20"/>
                <w:szCs w:val="20"/>
                <w:lang w:eastAsia="en-CA"/>
              </w:rPr>
            </w:pPr>
            <w:r w:rsidRPr="009A010C">
              <w:rPr>
                <w:color w:val="000000"/>
                <w:sz w:val="20"/>
                <w:szCs w:val="20"/>
                <w:lang w:eastAsia="en-CA"/>
              </w:rPr>
              <w:t>UNIDO</w:t>
            </w:r>
          </w:p>
        </w:tc>
        <w:tc>
          <w:tcPr>
            <w:tcW w:w="1213" w:type="pct"/>
            <w:tcBorders>
              <w:top w:val="single" w:sz="4" w:space="0" w:color="auto"/>
              <w:left w:val="nil"/>
              <w:bottom w:val="single" w:sz="4" w:space="0" w:color="auto"/>
              <w:right w:val="single" w:sz="4" w:space="0" w:color="auto"/>
            </w:tcBorders>
            <w:shd w:val="clear" w:color="auto" w:fill="auto"/>
            <w:noWrap/>
          </w:tcPr>
          <w:p w:rsidR="00847384" w:rsidRPr="009A010C" w:rsidRDefault="00847384" w:rsidP="00287C83">
            <w:pPr>
              <w:jc w:val="right"/>
              <w:rPr>
                <w:color w:val="000000"/>
                <w:sz w:val="20"/>
                <w:szCs w:val="20"/>
              </w:rPr>
            </w:pPr>
            <w:r w:rsidRPr="009A010C">
              <w:rPr>
                <w:color w:val="000000"/>
                <w:sz w:val="20"/>
                <w:szCs w:val="20"/>
              </w:rPr>
              <w:t>693,381</w:t>
            </w:r>
          </w:p>
        </w:tc>
        <w:tc>
          <w:tcPr>
            <w:tcW w:w="1289" w:type="pct"/>
            <w:tcBorders>
              <w:top w:val="single" w:sz="4" w:space="0" w:color="auto"/>
              <w:left w:val="single" w:sz="4" w:space="0" w:color="auto"/>
              <w:bottom w:val="single" w:sz="4" w:space="0" w:color="auto"/>
              <w:right w:val="single" w:sz="4" w:space="0" w:color="auto"/>
            </w:tcBorders>
            <w:shd w:val="clear" w:color="auto" w:fill="auto"/>
            <w:noWrap/>
            <w:hideMark/>
          </w:tcPr>
          <w:p w:rsidR="00847384" w:rsidRPr="009A010C" w:rsidRDefault="00847384" w:rsidP="00287C83">
            <w:pPr>
              <w:jc w:val="right"/>
              <w:rPr>
                <w:color w:val="000000"/>
                <w:sz w:val="20"/>
                <w:szCs w:val="20"/>
              </w:rPr>
            </w:pPr>
            <w:r w:rsidRPr="009A010C">
              <w:rPr>
                <w:color w:val="000000"/>
                <w:sz w:val="20"/>
                <w:szCs w:val="20"/>
              </w:rPr>
              <w:t>693,381</w:t>
            </w:r>
          </w:p>
        </w:tc>
        <w:tc>
          <w:tcPr>
            <w:tcW w:w="1286" w:type="pct"/>
            <w:tcBorders>
              <w:top w:val="single" w:sz="4" w:space="0" w:color="auto"/>
              <w:left w:val="single" w:sz="4" w:space="0" w:color="auto"/>
              <w:bottom w:val="single" w:sz="4" w:space="0" w:color="auto"/>
              <w:right w:val="single" w:sz="4" w:space="0" w:color="auto"/>
            </w:tcBorders>
            <w:shd w:val="clear" w:color="auto" w:fill="auto"/>
          </w:tcPr>
          <w:p w:rsidR="00847384" w:rsidRPr="009A010C" w:rsidRDefault="00847384" w:rsidP="00287C83">
            <w:pPr>
              <w:jc w:val="right"/>
              <w:rPr>
                <w:color w:val="000000"/>
                <w:sz w:val="20"/>
                <w:szCs w:val="20"/>
              </w:rPr>
            </w:pPr>
            <w:r w:rsidRPr="009A010C">
              <w:rPr>
                <w:color w:val="000000"/>
                <w:sz w:val="20"/>
                <w:szCs w:val="20"/>
              </w:rPr>
              <w:t>100</w:t>
            </w:r>
          </w:p>
        </w:tc>
      </w:tr>
      <w:tr w:rsidR="00847384" w:rsidRPr="009A010C" w:rsidTr="00287C83">
        <w:trPr>
          <w:trHeight w:val="285"/>
        </w:trPr>
        <w:tc>
          <w:tcPr>
            <w:tcW w:w="1212" w:type="pct"/>
            <w:tcBorders>
              <w:top w:val="nil"/>
              <w:left w:val="single" w:sz="4" w:space="0" w:color="auto"/>
              <w:bottom w:val="single" w:sz="4" w:space="0" w:color="auto"/>
              <w:right w:val="single" w:sz="4" w:space="0" w:color="auto"/>
            </w:tcBorders>
            <w:shd w:val="clear" w:color="auto" w:fill="auto"/>
            <w:noWrap/>
            <w:vAlign w:val="bottom"/>
            <w:hideMark/>
          </w:tcPr>
          <w:p w:rsidR="00847384" w:rsidRPr="009A010C" w:rsidRDefault="00847384" w:rsidP="00287C83">
            <w:pPr>
              <w:rPr>
                <w:color w:val="000000"/>
                <w:sz w:val="20"/>
                <w:szCs w:val="20"/>
                <w:lang w:eastAsia="en-CA"/>
              </w:rPr>
            </w:pPr>
            <w:r w:rsidRPr="009A010C">
              <w:rPr>
                <w:color w:val="000000"/>
                <w:sz w:val="20"/>
                <w:szCs w:val="20"/>
                <w:lang w:eastAsia="en-CA"/>
              </w:rPr>
              <w:t>France</w:t>
            </w:r>
          </w:p>
        </w:tc>
        <w:tc>
          <w:tcPr>
            <w:tcW w:w="1213" w:type="pct"/>
            <w:tcBorders>
              <w:top w:val="single" w:sz="4" w:space="0" w:color="auto"/>
              <w:left w:val="nil"/>
              <w:bottom w:val="single" w:sz="4" w:space="0" w:color="auto"/>
              <w:right w:val="single" w:sz="4" w:space="0" w:color="auto"/>
            </w:tcBorders>
            <w:shd w:val="clear" w:color="auto" w:fill="auto"/>
            <w:noWrap/>
          </w:tcPr>
          <w:p w:rsidR="00847384" w:rsidRPr="009A010C" w:rsidRDefault="00847384" w:rsidP="00287C83">
            <w:pPr>
              <w:jc w:val="right"/>
              <w:rPr>
                <w:color w:val="000000"/>
                <w:sz w:val="20"/>
                <w:szCs w:val="20"/>
                <w:lang w:val="en-CA"/>
              </w:rPr>
            </w:pPr>
            <w:r w:rsidRPr="009A010C">
              <w:rPr>
                <w:color w:val="000000"/>
                <w:sz w:val="20"/>
                <w:szCs w:val="20"/>
              </w:rPr>
              <w:t>360,000</w:t>
            </w:r>
          </w:p>
        </w:tc>
        <w:tc>
          <w:tcPr>
            <w:tcW w:w="1289" w:type="pct"/>
            <w:tcBorders>
              <w:top w:val="single" w:sz="4" w:space="0" w:color="auto"/>
              <w:left w:val="single" w:sz="4" w:space="0" w:color="auto"/>
              <w:bottom w:val="single" w:sz="4" w:space="0" w:color="auto"/>
              <w:right w:val="single" w:sz="4" w:space="0" w:color="auto"/>
            </w:tcBorders>
            <w:shd w:val="clear" w:color="auto" w:fill="auto"/>
            <w:noWrap/>
            <w:hideMark/>
          </w:tcPr>
          <w:p w:rsidR="00847384" w:rsidRPr="009A010C" w:rsidRDefault="00847384" w:rsidP="00287C83">
            <w:pPr>
              <w:jc w:val="right"/>
              <w:rPr>
                <w:color w:val="000000"/>
                <w:sz w:val="20"/>
                <w:szCs w:val="20"/>
              </w:rPr>
            </w:pPr>
            <w:r w:rsidRPr="009A010C">
              <w:rPr>
                <w:color w:val="000000"/>
                <w:sz w:val="20"/>
                <w:szCs w:val="20"/>
              </w:rPr>
              <w:t>329,802</w:t>
            </w:r>
          </w:p>
        </w:tc>
        <w:tc>
          <w:tcPr>
            <w:tcW w:w="1286" w:type="pct"/>
            <w:tcBorders>
              <w:top w:val="single" w:sz="4" w:space="0" w:color="auto"/>
              <w:left w:val="single" w:sz="4" w:space="0" w:color="auto"/>
              <w:bottom w:val="single" w:sz="4" w:space="0" w:color="auto"/>
              <w:right w:val="single" w:sz="4" w:space="0" w:color="auto"/>
            </w:tcBorders>
            <w:shd w:val="clear" w:color="auto" w:fill="auto"/>
          </w:tcPr>
          <w:p w:rsidR="00847384" w:rsidRPr="009A010C" w:rsidRDefault="00847384" w:rsidP="00287C83">
            <w:pPr>
              <w:jc w:val="right"/>
              <w:rPr>
                <w:color w:val="000000"/>
                <w:sz w:val="20"/>
                <w:szCs w:val="20"/>
              </w:rPr>
            </w:pPr>
            <w:r w:rsidRPr="009A010C">
              <w:rPr>
                <w:color w:val="000000"/>
                <w:sz w:val="20"/>
                <w:szCs w:val="20"/>
              </w:rPr>
              <w:t>92</w:t>
            </w:r>
          </w:p>
        </w:tc>
      </w:tr>
      <w:tr w:rsidR="00847384" w:rsidRPr="009A010C" w:rsidTr="00287C83">
        <w:trPr>
          <w:trHeight w:val="285"/>
        </w:trPr>
        <w:tc>
          <w:tcPr>
            <w:tcW w:w="1212" w:type="pct"/>
            <w:tcBorders>
              <w:top w:val="nil"/>
              <w:left w:val="single" w:sz="4" w:space="0" w:color="auto"/>
              <w:bottom w:val="single" w:sz="4" w:space="0" w:color="auto"/>
              <w:right w:val="single" w:sz="4" w:space="0" w:color="auto"/>
            </w:tcBorders>
            <w:shd w:val="clear" w:color="auto" w:fill="auto"/>
            <w:noWrap/>
            <w:vAlign w:val="bottom"/>
            <w:hideMark/>
          </w:tcPr>
          <w:p w:rsidR="00847384" w:rsidRPr="009A010C" w:rsidRDefault="00847384" w:rsidP="00287C83">
            <w:pPr>
              <w:rPr>
                <w:color w:val="000000"/>
                <w:sz w:val="20"/>
                <w:szCs w:val="20"/>
                <w:lang w:eastAsia="en-CA"/>
              </w:rPr>
            </w:pPr>
            <w:r w:rsidRPr="009A010C">
              <w:rPr>
                <w:color w:val="000000"/>
                <w:sz w:val="20"/>
                <w:szCs w:val="20"/>
                <w:lang w:eastAsia="en-CA"/>
              </w:rPr>
              <w:t>Germany</w:t>
            </w:r>
          </w:p>
        </w:tc>
        <w:tc>
          <w:tcPr>
            <w:tcW w:w="1213" w:type="pct"/>
            <w:tcBorders>
              <w:top w:val="single" w:sz="4" w:space="0" w:color="auto"/>
              <w:left w:val="nil"/>
              <w:bottom w:val="single" w:sz="4" w:space="0" w:color="auto"/>
              <w:right w:val="single" w:sz="4" w:space="0" w:color="auto"/>
            </w:tcBorders>
            <w:shd w:val="clear" w:color="auto" w:fill="auto"/>
            <w:noWrap/>
          </w:tcPr>
          <w:p w:rsidR="00847384" w:rsidRPr="009A010C" w:rsidRDefault="00847384" w:rsidP="00287C83">
            <w:pPr>
              <w:jc w:val="right"/>
              <w:rPr>
                <w:color w:val="000000"/>
                <w:sz w:val="20"/>
                <w:szCs w:val="20"/>
              </w:rPr>
            </w:pPr>
            <w:r w:rsidRPr="009A010C">
              <w:rPr>
                <w:color w:val="000000"/>
                <w:sz w:val="20"/>
                <w:szCs w:val="20"/>
              </w:rPr>
              <w:t>192,500</w:t>
            </w:r>
          </w:p>
        </w:tc>
        <w:tc>
          <w:tcPr>
            <w:tcW w:w="1289" w:type="pct"/>
            <w:tcBorders>
              <w:top w:val="single" w:sz="4" w:space="0" w:color="auto"/>
              <w:left w:val="single" w:sz="4" w:space="0" w:color="auto"/>
              <w:bottom w:val="single" w:sz="4" w:space="0" w:color="auto"/>
              <w:right w:val="single" w:sz="4" w:space="0" w:color="auto"/>
            </w:tcBorders>
            <w:shd w:val="clear" w:color="auto" w:fill="auto"/>
            <w:noWrap/>
            <w:hideMark/>
          </w:tcPr>
          <w:p w:rsidR="00847384" w:rsidRPr="009A010C" w:rsidRDefault="00847384" w:rsidP="00287C83">
            <w:pPr>
              <w:jc w:val="right"/>
              <w:rPr>
                <w:color w:val="000000"/>
                <w:sz w:val="20"/>
                <w:szCs w:val="20"/>
              </w:rPr>
            </w:pPr>
            <w:r w:rsidRPr="009A010C">
              <w:rPr>
                <w:color w:val="000000"/>
                <w:sz w:val="20"/>
                <w:szCs w:val="20"/>
              </w:rPr>
              <w:t>192,500</w:t>
            </w:r>
          </w:p>
        </w:tc>
        <w:tc>
          <w:tcPr>
            <w:tcW w:w="1286" w:type="pct"/>
            <w:tcBorders>
              <w:top w:val="single" w:sz="4" w:space="0" w:color="auto"/>
              <w:left w:val="single" w:sz="4" w:space="0" w:color="auto"/>
              <w:bottom w:val="single" w:sz="4" w:space="0" w:color="auto"/>
              <w:right w:val="single" w:sz="4" w:space="0" w:color="auto"/>
            </w:tcBorders>
            <w:shd w:val="clear" w:color="auto" w:fill="auto"/>
          </w:tcPr>
          <w:p w:rsidR="00847384" w:rsidRPr="009A010C" w:rsidRDefault="00847384" w:rsidP="00287C83">
            <w:pPr>
              <w:jc w:val="right"/>
              <w:rPr>
                <w:color w:val="000000"/>
                <w:sz w:val="20"/>
                <w:szCs w:val="20"/>
              </w:rPr>
            </w:pPr>
            <w:r w:rsidRPr="009A010C">
              <w:rPr>
                <w:color w:val="000000"/>
                <w:sz w:val="20"/>
                <w:szCs w:val="20"/>
              </w:rPr>
              <w:t>100</w:t>
            </w:r>
          </w:p>
        </w:tc>
      </w:tr>
      <w:tr w:rsidR="00847384" w:rsidRPr="009A010C" w:rsidTr="00287C83">
        <w:trPr>
          <w:trHeight w:val="285"/>
        </w:trPr>
        <w:tc>
          <w:tcPr>
            <w:tcW w:w="1212" w:type="pct"/>
            <w:tcBorders>
              <w:top w:val="nil"/>
              <w:left w:val="single" w:sz="4" w:space="0" w:color="auto"/>
              <w:bottom w:val="single" w:sz="4" w:space="0" w:color="auto"/>
              <w:right w:val="single" w:sz="4" w:space="0" w:color="auto"/>
            </w:tcBorders>
            <w:shd w:val="clear" w:color="auto" w:fill="auto"/>
            <w:noWrap/>
            <w:vAlign w:val="bottom"/>
            <w:hideMark/>
          </w:tcPr>
          <w:p w:rsidR="00847384" w:rsidRPr="009A010C" w:rsidRDefault="00847384" w:rsidP="00287C83">
            <w:pPr>
              <w:rPr>
                <w:color w:val="000000"/>
                <w:sz w:val="20"/>
                <w:szCs w:val="20"/>
                <w:lang w:eastAsia="en-CA"/>
              </w:rPr>
            </w:pPr>
            <w:r w:rsidRPr="009A010C">
              <w:rPr>
                <w:color w:val="000000"/>
                <w:sz w:val="20"/>
                <w:szCs w:val="20"/>
                <w:lang w:eastAsia="en-CA"/>
              </w:rPr>
              <w:t>Japan</w:t>
            </w:r>
          </w:p>
        </w:tc>
        <w:tc>
          <w:tcPr>
            <w:tcW w:w="1213" w:type="pct"/>
            <w:tcBorders>
              <w:top w:val="single" w:sz="4" w:space="0" w:color="auto"/>
              <w:left w:val="nil"/>
              <w:bottom w:val="single" w:sz="4" w:space="0" w:color="auto"/>
              <w:right w:val="single" w:sz="4" w:space="0" w:color="auto"/>
            </w:tcBorders>
            <w:shd w:val="clear" w:color="auto" w:fill="auto"/>
            <w:noWrap/>
          </w:tcPr>
          <w:p w:rsidR="00847384" w:rsidRPr="009A010C" w:rsidRDefault="00847384" w:rsidP="00287C83">
            <w:pPr>
              <w:jc w:val="right"/>
              <w:rPr>
                <w:color w:val="000000"/>
                <w:sz w:val="20"/>
                <w:szCs w:val="20"/>
              </w:rPr>
            </w:pPr>
            <w:r w:rsidRPr="009A010C">
              <w:rPr>
                <w:color w:val="000000"/>
                <w:sz w:val="20"/>
                <w:szCs w:val="20"/>
              </w:rPr>
              <w:t>700,000</w:t>
            </w:r>
          </w:p>
        </w:tc>
        <w:tc>
          <w:tcPr>
            <w:tcW w:w="1289" w:type="pct"/>
            <w:tcBorders>
              <w:top w:val="single" w:sz="4" w:space="0" w:color="auto"/>
              <w:left w:val="single" w:sz="4" w:space="0" w:color="auto"/>
              <w:bottom w:val="single" w:sz="4" w:space="0" w:color="auto"/>
              <w:right w:val="single" w:sz="4" w:space="0" w:color="auto"/>
            </w:tcBorders>
            <w:shd w:val="clear" w:color="auto" w:fill="auto"/>
            <w:noWrap/>
            <w:hideMark/>
          </w:tcPr>
          <w:p w:rsidR="00847384" w:rsidRPr="009A010C" w:rsidRDefault="00847384" w:rsidP="00287C83">
            <w:pPr>
              <w:jc w:val="right"/>
              <w:rPr>
                <w:color w:val="000000"/>
                <w:sz w:val="20"/>
                <w:szCs w:val="20"/>
              </w:rPr>
            </w:pPr>
            <w:r w:rsidRPr="009A010C">
              <w:rPr>
                <w:color w:val="000000"/>
                <w:sz w:val="20"/>
                <w:szCs w:val="20"/>
              </w:rPr>
              <w:t>699,896</w:t>
            </w:r>
          </w:p>
        </w:tc>
        <w:tc>
          <w:tcPr>
            <w:tcW w:w="1286" w:type="pct"/>
            <w:tcBorders>
              <w:top w:val="single" w:sz="4" w:space="0" w:color="auto"/>
              <w:left w:val="single" w:sz="4" w:space="0" w:color="auto"/>
              <w:bottom w:val="single" w:sz="4" w:space="0" w:color="auto"/>
              <w:right w:val="single" w:sz="4" w:space="0" w:color="auto"/>
            </w:tcBorders>
            <w:shd w:val="clear" w:color="auto" w:fill="auto"/>
          </w:tcPr>
          <w:p w:rsidR="00847384" w:rsidRPr="009A010C" w:rsidRDefault="00847384" w:rsidP="00287C83">
            <w:pPr>
              <w:jc w:val="right"/>
              <w:rPr>
                <w:color w:val="000000"/>
                <w:sz w:val="20"/>
                <w:szCs w:val="20"/>
              </w:rPr>
            </w:pPr>
            <w:r w:rsidRPr="009A010C">
              <w:rPr>
                <w:color w:val="000000"/>
                <w:sz w:val="20"/>
                <w:szCs w:val="20"/>
              </w:rPr>
              <w:t>100</w:t>
            </w:r>
          </w:p>
        </w:tc>
      </w:tr>
      <w:tr w:rsidR="00847384" w:rsidRPr="009A010C" w:rsidTr="00287C83">
        <w:trPr>
          <w:trHeight w:val="285"/>
        </w:trPr>
        <w:tc>
          <w:tcPr>
            <w:tcW w:w="1212" w:type="pct"/>
            <w:tcBorders>
              <w:top w:val="nil"/>
              <w:left w:val="single" w:sz="4" w:space="0" w:color="auto"/>
              <w:bottom w:val="single" w:sz="4" w:space="0" w:color="auto"/>
              <w:right w:val="single" w:sz="4" w:space="0" w:color="auto"/>
            </w:tcBorders>
            <w:shd w:val="clear" w:color="auto" w:fill="auto"/>
            <w:noWrap/>
            <w:hideMark/>
          </w:tcPr>
          <w:p w:rsidR="00847384" w:rsidRPr="009A010C" w:rsidRDefault="00847384" w:rsidP="00287C83">
            <w:pPr>
              <w:rPr>
                <w:b/>
                <w:bCs/>
                <w:color w:val="000000"/>
                <w:sz w:val="20"/>
                <w:szCs w:val="20"/>
                <w:lang w:eastAsia="en-CA"/>
              </w:rPr>
            </w:pPr>
            <w:r w:rsidRPr="009A010C">
              <w:rPr>
                <w:b/>
                <w:bCs/>
                <w:color w:val="000000"/>
                <w:sz w:val="20"/>
                <w:szCs w:val="20"/>
                <w:lang w:eastAsia="en-CA"/>
              </w:rPr>
              <w:t>Total</w:t>
            </w:r>
          </w:p>
        </w:tc>
        <w:tc>
          <w:tcPr>
            <w:tcW w:w="1213" w:type="pct"/>
            <w:tcBorders>
              <w:top w:val="single" w:sz="4" w:space="0" w:color="auto"/>
              <w:left w:val="nil"/>
              <w:bottom w:val="single" w:sz="4" w:space="0" w:color="auto"/>
              <w:right w:val="single" w:sz="4" w:space="0" w:color="auto"/>
            </w:tcBorders>
            <w:shd w:val="clear" w:color="auto" w:fill="auto"/>
          </w:tcPr>
          <w:p w:rsidR="00847384" w:rsidRPr="009A010C" w:rsidRDefault="00847384" w:rsidP="00287C83">
            <w:pPr>
              <w:jc w:val="right"/>
              <w:rPr>
                <w:b/>
                <w:bCs/>
                <w:color w:val="000000"/>
                <w:sz w:val="20"/>
                <w:szCs w:val="20"/>
              </w:rPr>
            </w:pPr>
            <w:r w:rsidRPr="009A010C">
              <w:rPr>
                <w:b/>
                <w:bCs/>
                <w:color w:val="000000"/>
                <w:sz w:val="20"/>
                <w:szCs w:val="20"/>
              </w:rPr>
              <w:t>1,945,881</w:t>
            </w:r>
          </w:p>
        </w:tc>
        <w:tc>
          <w:tcPr>
            <w:tcW w:w="1289" w:type="pct"/>
            <w:tcBorders>
              <w:top w:val="single" w:sz="4" w:space="0" w:color="auto"/>
              <w:left w:val="single" w:sz="4" w:space="0" w:color="auto"/>
              <w:bottom w:val="single" w:sz="4" w:space="0" w:color="auto"/>
              <w:right w:val="single" w:sz="4" w:space="0" w:color="auto"/>
            </w:tcBorders>
            <w:shd w:val="clear" w:color="auto" w:fill="auto"/>
          </w:tcPr>
          <w:p w:rsidR="00847384" w:rsidRPr="009A010C" w:rsidRDefault="00847384" w:rsidP="00287C83">
            <w:pPr>
              <w:jc w:val="right"/>
              <w:rPr>
                <w:b/>
                <w:bCs/>
                <w:color w:val="000000"/>
                <w:sz w:val="20"/>
                <w:szCs w:val="20"/>
              </w:rPr>
            </w:pPr>
            <w:r w:rsidRPr="009A010C">
              <w:rPr>
                <w:b/>
                <w:bCs/>
                <w:color w:val="000000"/>
                <w:sz w:val="20"/>
                <w:szCs w:val="20"/>
              </w:rPr>
              <w:t>1,915,579</w:t>
            </w:r>
          </w:p>
        </w:tc>
        <w:tc>
          <w:tcPr>
            <w:tcW w:w="1286" w:type="pct"/>
            <w:tcBorders>
              <w:top w:val="single" w:sz="4" w:space="0" w:color="auto"/>
              <w:left w:val="single" w:sz="4" w:space="0" w:color="auto"/>
              <w:bottom w:val="single" w:sz="4" w:space="0" w:color="auto"/>
              <w:right w:val="single" w:sz="4" w:space="0" w:color="auto"/>
            </w:tcBorders>
            <w:shd w:val="clear" w:color="auto" w:fill="auto"/>
          </w:tcPr>
          <w:p w:rsidR="00847384" w:rsidRPr="009A010C" w:rsidRDefault="00847384" w:rsidP="00287C83">
            <w:pPr>
              <w:jc w:val="right"/>
              <w:rPr>
                <w:color w:val="000000"/>
                <w:sz w:val="20"/>
                <w:szCs w:val="20"/>
              </w:rPr>
            </w:pPr>
            <w:r w:rsidRPr="009A010C">
              <w:rPr>
                <w:color w:val="000000"/>
                <w:sz w:val="20"/>
                <w:szCs w:val="20"/>
              </w:rPr>
              <w:t>98</w:t>
            </w:r>
          </w:p>
        </w:tc>
      </w:tr>
    </w:tbl>
    <w:p w:rsidR="00847384" w:rsidRPr="009A010C" w:rsidRDefault="00847384" w:rsidP="00847384"/>
    <w:p w:rsidR="00847384" w:rsidRPr="009A010C" w:rsidRDefault="00847384" w:rsidP="00847384">
      <w:pPr>
        <w:pStyle w:val="Heading1"/>
      </w:pPr>
      <w:r w:rsidRPr="009A010C">
        <w:t>The Government of France submitted its PCR in November 2018; the project will be financially closed and remaining balances will be returned by December 2018. The Government of Japan has not submitted the PCR as of date of issue of the document.</w:t>
      </w:r>
    </w:p>
    <w:p w:rsidR="00847384" w:rsidRPr="009A010C" w:rsidRDefault="00847384" w:rsidP="00847384">
      <w:pPr>
        <w:keepNext/>
        <w:rPr>
          <w:u w:val="single"/>
        </w:rPr>
      </w:pPr>
      <w:r w:rsidRPr="009A010C">
        <w:rPr>
          <w:u w:val="single"/>
        </w:rPr>
        <w:t>Global: Global chiller replacement project (China, India, Indonesia, Jordan, Malaysia, Philippines and Tunisia)</w:t>
      </w:r>
      <w:r w:rsidRPr="009A010C">
        <w:t xml:space="preserve"> (World Bank)</w:t>
      </w:r>
      <w:r w:rsidRPr="009A010C">
        <w:rPr>
          <w:u w:val="single"/>
        </w:rPr>
        <w:t xml:space="preserve"> </w:t>
      </w:r>
    </w:p>
    <w:p w:rsidR="00847384" w:rsidRPr="009A010C" w:rsidRDefault="00847384" w:rsidP="00847384">
      <w:pPr>
        <w:keepNext/>
        <w:rPr>
          <w:u w:val="single"/>
        </w:rPr>
      </w:pPr>
    </w:p>
    <w:p w:rsidR="00847384" w:rsidRPr="009A010C" w:rsidRDefault="00847384" w:rsidP="00847384">
      <w:pPr>
        <w:pStyle w:val="Heading1"/>
        <w:keepNext/>
      </w:pPr>
      <w:r w:rsidRPr="009A010C">
        <w:t>The project was approved</w:t>
      </w:r>
      <w:r w:rsidRPr="009A010C">
        <w:rPr>
          <w:rStyle w:val="FootnoteReference"/>
        </w:rPr>
        <w:footnoteReference w:id="22"/>
      </w:r>
      <w:r w:rsidRPr="009A010C">
        <w:t xml:space="preserve"> at the 47</w:t>
      </w:r>
      <w:r w:rsidRPr="009A010C">
        <w:rPr>
          <w:vertAlign w:val="superscript"/>
        </w:rPr>
        <w:t>th</w:t>
      </w:r>
      <w:r w:rsidRPr="009A010C">
        <w:t> meeting at a funding of US $6,884,612. At the 80</w:t>
      </w:r>
      <w:r w:rsidRPr="009A010C">
        <w:rPr>
          <w:vertAlign w:val="superscript"/>
        </w:rPr>
        <w:t>th</w:t>
      </w:r>
      <w:r w:rsidRPr="009A010C">
        <w:t> meeting, the Argentina component of the project, amounting to US $808,438 was transferred to UNIDO.</w:t>
      </w:r>
    </w:p>
    <w:p w:rsidR="00847384" w:rsidRPr="009A010C" w:rsidRDefault="00847384" w:rsidP="00847384">
      <w:pPr>
        <w:pStyle w:val="Heading1"/>
        <w:keepNext/>
      </w:pPr>
      <w:r w:rsidRPr="009A010C">
        <w:t xml:space="preserve">Activities were not undertaken in China, Malaysia and Tunisia as requirements under decision 47/26 on leveraging additional funding and the number of chillers to be replaced could not be fulfilled. In the case </w:t>
      </w:r>
      <w:r w:rsidRPr="009A010C">
        <w:lastRenderedPageBreak/>
        <w:t>of Indonesia, the project was cancelled as it failed to obtain endorsement from the GEF due to use of HFC-based refrigerants in the replacement chillers. The funding relating to these projects was returned by the 80</w:t>
      </w:r>
      <w:r w:rsidRPr="009A010C">
        <w:rPr>
          <w:vertAlign w:val="superscript"/>
        </w:rPr>
        <w:t>th</w:t>
      </w:r>
      <w:r w:rsidRPr="009A010C">
        <w:t> meeting.</w:t>
      </w:r>
    </w:p>
    <w:p w:rsidR="00847384" w:rsidRPr="009A010C" w:rsidRDefault="00847384" w:rsidP="00847384">
      <w:pPr>
        <w:pStyle w:val="Heading1"/>
        <w:keepNext/>
      </w:pPr>
      <w:r w:rsidRPr="009A010C">
        <w:t>The status of implementation of the India, Jordan and the Philippines components is given below:</w:t>
      </w:r>
    </w:p>
    <w:p w:rsidR="00847384" w:rsidRPr="009A010C" w:rsidRDefault="00847384" w:rsidP="00847384">
      <w:pPr>
        <w:pStyle w:val="Heading2"/>
      </w:pPr>
      <w:r w:rsidRPr="009A010C">
        <w:t xml:space="preserve">In India, Jordan and the Philippines, the number of CFC-based chillers replaced amounts to 34, 20 and 72, respectively, against the target of 370, 20 and 53, respectively. The total amount of CFCs recovered and stored in India, Jordan and the Philippines amount to 7 </w:t>
      </w:r>
      <w:proofErr w:type="spellStart"/>
      <w:r w:rsidRPr="009A010C">
        <w:t>mt</w:t>
      </w:r>
      <w:proofErr w:type="spellEnd"/>
      <w:r w:rsidRPr="009A010C">
        <w:t>, 4 </w:t>
      </w:r>
      <w:proofErr w:type="spellStart"/>
      <w:r w:rsidRPr="009A010C">
        <w:t>mt</w:t>
      </w:r>
      <w:proofErr w:type="spellEnd"/>
      <w:r w:rsidRPr="009A010C">
        <w:t xml:space="preserve"> and 6.9 </w:t>
      </w:r>
      <w:proofErr w:type="spellStart"/>
      <w:r w:rsidRPr="009A010C">
        <w:t>mt</w:t>
      </w:r>
      <w:proofErr w:type="spellEnd"/>
      <w:r w:rsidRPr="009A010C">
        <w:t>,</w:t>
      </w:r>
      <w:r w:rsidRPr="009A010C">
        <w:rPr>
          <w:rStyle w:val="FootnoteReference"/>
        </w:rPr>
        <w:footnoteReference w:id="23"/>
      </w:r>
      <w:r w:rsidRPr="009A010C">
        <w:t xml:space="preserve"> respectively, and </w:t>
      </w:r>
    </w:p>
    <w:p w:rsidR="00847384" w:rsidRPr="009A010C" w:rsidRDefault="00847384" w:rsidP="00847384">
      <w:pPr>
        <w:pStyle w:val="Heading2"/>
      </w:pPr>
      <w:r w:rsidRPr="009A010C">
        <w:t>Energy efficiency gains were reported in different ways. In India, 0.63 KW/TR was achieved against 1 KW/TR; in Jordan, based on measurements made at five sites, energy savings were in the range of 17.0 to 24.4 per cent; and in the Philippines, 151.4 Gigawatt hours (</w:t>
      </w:r>
      <w:proofErr w:type="spellStart"/>
      <w:r w:rsidRPr="009A010C">
        <w:t>GWh</w:t>
      </w:r>
      <w:proofErr w:type="spellEnd"/>
      <w:r w:rsidRPr="009A010C">
        <w:t>) of energy savings were achieved.</w:t>
      </w:r>
    </w:p>
    <w:p w:rsidR="00847384" w:rsidRPr="00F36B67" w:rsidRDefault="00847384" w:rsidP="00847384">
      <w:pPr>
        <w:pStyle w:val="Heading1"/>
        <w:keepNext/>
      </w:pPr>
      <w:r w:rsidRPr="009A010C">
        <w:t xml:space="preserve">The status of funds approved and balances is given in </w:t>
      </w:r>
      <w:r w:rsidRPr="00F36B67">
        <w:t xml:space="preserve">Table </w:t>
      </w:r>
      <w:r w:rsidR="00A51632" w:rsidRPr="00F36B67">
        <w:t>9</w:t>
      </w:r>
      <w:r w:rsidRPr="00F36B67">
        <w:t>.</w:t>
      </w:r>
    </w:p>
    <w:p w:rsidR="00847384" w:rsidRPr="00F36B67" w:rsidRDefault="00847384" w:rsidP="00847384">
      <w:r w:rsidRPr="00F36B67">
        <w:rPr>
          <w:b/>
        </w:rPr>
        <w:t xml:space="preserve">Table </w:t>
      </w:r>
      <w:r w:rsidR="00A51632" w:rsidRPr="00F36B67">
        <w:rPr>
          <w:b/>
        </w:rPr>
        <w:t>9</w:t>
      </w:r>
      <w:r w:rsidRPr="00F36B67">
        <w:rPr>
          <w:b/>
        </w:rPr>
        <w:t>: Financial report of the global chiller project</w:t>
      </w:r>
    </w:p>
    <w:tbl>
      <w:tblPr>
        <w:tblW w:w="9356" w:type="dxa"/>
        <w:tblInd w:w="-5" w:type="dxa"/>
        <w:tblLayout w:type="fixed"/>
        <w:tblLook w:val="04A0" w:firstRow="1" w:lastRow="0" w:firstColumn="1" w:lastColumn="0" w:noHBand="0" w:noVBand="1"/>
      </w:tblPr>
      <w:tblGrid>
        <w:gridCol w:w="4678"/>
        <w:gridCol w:w="4678"/>
      </w:tblGrid>
      <w:tr w:rsidR="00847384" w:rsidRPr="009A010C" w:rsidTr="00287C83">
        <w:trPr>
          <w:trHeight w:val="285"/>
          <w:tblHeader/>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7384" w:rsidRPr="00F36B67" w:rsidRDefault="00847384" w:rsidP="00287C83">
            <w:pPr>
              <w:jc w:val="center"/>
              <w:rPr>
                <w:b/>
                <w:bCs/>
                <w:color w:val="000000"/>
                <w:sz w:val="20"/>
                <w:szCs w:val="20"/>
                <w:lang w:eastAsia="en-CA"/>
              </w:rPr>
            </w:pPr>
            <w:r w:rsidRPr="00F36B67">
              <w:rPr>
                <w:b/>
                <w:bCs/>
                <w:color w:val="000000"/>
                <w:sz w:val="20"/>
                <w:szCs w:val="20"/>
                <w:lang w:eastAsia="en-CA"/>
              </w:rPr>
              <w:t>Particulars</w:t>
            </w:r>
          </w:p>
        </w:tc>
        <w:tc>
          <w:tcPr>
            <w:tcW w:w="4678" w:type="dxa"/>
            <w:tcBorders>
              <w:top w:val="single" w:sz="4" w:space="0" w:color="auto"/>
              <w:left w:val="single" w:sz="4" w:space="0" w:color="auto"/>
              <w:bottom w:val="single" w:sz="4" w:space="0" w:color="auto"/>
              <w:right w:val="single" w:sz="4" w:space="0" w:color="auto"/>
            </w:tcBorders>
          </w:tcPr>
          <w:p w:rsidR="00847384" w:rsidRPr="009A010C" w:rsidRDefault="00847384" w:rsidP="00287C83">
            <w:pPr>
              <w:jc w:val="center"/>
              <w:rPr>
                <w:b/>
                <w:bCs/>
                <w:color w:val="000000"/>
                <w:sz w:val="20"/>
                <w:szCs w:val="20"/>
                <w:lang w:eastAsia="en-CA"/>
              </w:rPr>
            </w:pPr>
            <w:r w:rsidRPr="00F36B67">
              <w:rPr>
                <w:b/>
                <w:bCs/>
                <w:color w:val="000000"/>
                <w:sz w:val="20"/>
                <w:szCs w:val="20"/>
                <w:lang w:eastAsia="en-CA"/>
              </w:rPr>
              <w:t>Amount (US $)</w:t>
            </w:r>
          </w:p>
        </w:tc>
      </w:tr>
      <w:tr w:rsidR="00847384" w:rsidRPr="009A010C" w:rsidTr="00287C83">
        <w:trPr>
          <w:trHeight w:val="285"/>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847384" w:rsidRPr="009A010C" w:rsidRDefault="00847384" w:rsidP="00287C83">
            <w:pPr>
              <w:rPr>
                <w:color w:val="000000"/>
                <w:sz w:val="20"/>
                <w:szCs w:val="20"/>
                <w:lang w:eastAsia="en-CA"/>
              </w:rPr>
            </w:pPr>
            <w:r w:rsidRPr="009A010C">
              <w:rPr>
                <w:color w:val="000000"/>
                <w:sz w:val="20"/>
                <w:szCs w:val="20"/>
                <w:lang w:eastAsia="en-CA"/>
              </w:rPr>
              <w:t>Total funds approved at the 47</w:t>
            </w:r>
            <w:r w:rsidRPr="009A010C">
              <w:rPr>
                <w:color w:val="000000"/>
                <w:sz w:val="20"/>
                <w:szCs w:val="20"/>
                <w:vertAlign w:val="superscript"/>
                <w:lang w:eastAsia="en-CA"/>
              </w:rPr>
              <w:t>th</w:t>
            </w:r>
            <w:r w:rsidRPr="009A010C">
              <w:rPr>
                <w:color w:val="000000"/>
                <w:sz w:val="20"/>
                <w:szCs w:val="20"/>
                <w:lang w:eastAsia="en-CA"/>
              </w:rPr>
              <w:t xml:space="preserve"> meeting</w:t>
            </w:r>
          </w:p>
        </w:tc>
        <w:tc>
          <w:tcPr>
            <w:tcW w:w="4678" w:type="dxa"/>
            <w:tcBorders>
              <w:top w:val="nil"/>
              <w:left w:val="single" w:sz="4" w:space="0" w:color="auto"/>
              <w:bottom w:val="single" w:sz="4" w:space="0" w:color="auto"/>
              <w:right w:val="single" w:sz="4" w:space="0" w:color="auto"/>
            </w:tcBorders>
          </w:tcPr>
          <w:p w:rsidR="00847384" w:rsidRPr="009A010C" w:rsidRDefault="00847384" w:rsidP="00287C83">
            <w:pPr>
              <w:jc w:val="right"/>
              <w:rPr>
                <w:color w:val="000000"/>
                <w:sz w:val="20"/>
                <w:szCs w:val="20"/>
                <w:lang w:eastAsia="en-CA"/>
              </w:rPr>
            </w:pPr>
            <w:r w:rsidRPr="009A010C">
              <w:rPr>
                <w:color w:val="000000"/>
                <w:sz w:val="20"/>
                <w:szCs w:val="20"/>
                <w:lang w:eastAsia="en-CA"/>
              </w:rPr>
              <w:t>6,884,612</w:t>
            </w:r>
          </w:p>
        </w:tc>
      </w:tr>
      <w:tr w:rsidR="00847384" w:rsidRPr="009A010C" w:rsidTr="00287C83">
        <w:trPr>
          <w:trHeight w:val="285"/>
        </w:trPr>
        <w:tc>
          <w:tcPr>
            <w:tcW w:w="4678" w:type="dxa"/>
            <w:tcBorders>
              <w:top w:val="nil"/>
              <w:left w:val="single" w:sz="4" w:space="0" w:color="auto"/>
              <w:bottom w:val="single" w:sz="4" w:space="0" w:color="auto"/>
              <w:right w:val="single" w:sz="4" w:space="0" w:color="auto"/>
            </w:tcBorders>
            <w:shd w:val="clear" w:color="auto" w:fill="auto"/>
            <w:noWrap/>
            <w:vAlign w:val="bottom"/>
          </w:tcPr>
          <w:p w:rsidR="00847384" w:rsidRPr="009A010C" w:rsidRDefault="00847384" w:rsidP="00287C83">
            <w:pPr>
              <w:rPr>
                <w:color w:val="000000"/>
                <w:sz w:val="20"/>
                <w:szCs w:val="20"/>
                <w:lang w:eastAsia="en-CA"/>
              </w:rPr>
            </w:pPr>
            <w:r w:rsidRPr="009A010C">
              <w:rPr>
                <w:color w:val="000000"/>
                <w:sz w:val="20"/>
                <w:szCs w:val="20"/>
                <w:lang w:eastAsia="en-CA"/>
              </w:rPr>
              <w:t>Return to the 71</w:t>
            </w:r>
            <w:r w:rsidRPr="009A010C">
              <w:rPr>
                <w:color w:val="000000"/>
                <w:sz w:val="20"/>
                <w:szCs w:val="20"/>
                <w:vertAlign w:val="superscript"/>
                <w:lang w:eastAsia="en-CA"/>
              </w:rPr>
              <w:t>st</w:t>
            </w:r>
            <w:r w:rsidRPr="009A010C">
              <w:rPr>
                <w:color w:val="000000"/>
                <w:sz w:val="20"/>
                <w:szCs w:val="20"/>
                <w:lang w:eastAsia="en-CA"/>
              </w:rPr>
              <w:t xml:space="preserve"> meeting</w:t>
            </w:r>
          </w:p>
        </w:tc>
        <w:tc>
          <w:tcPr>
            <w:tcW w:w="4678" w:type="dxa"/>
            <w:tcBorders>
              <w:top w:val="nil"/>
              <w:left w:val="single" w:sz="4" w:space="0" w:color="auto"/>
              <w:bottom w:val="single" w:sz="4" w:space="0" w:color="auto"/>
              <w:right w:val="single" w:sz="4" w:space="0" w:color="auto"/>
            </w:tcBorders>
          </w:tcPr>
          <w:p w:rsidR="00847384" w:rsidRPr="009A010C" w:rsidRDefault="00847384" w:rsidP="00287C83">
            <w:pPr>
              <w:jc w:val="right"/>
              <w:rPr>
                <w:color w:val="000000"/>
                <w:sz w:val="20"/>
                <w:szCs w:val="20"/>
                <w:lang w:eastAsia="en-CA"/>
              </w:rPr>
            </w:pPr>
            <w:r w:rsidRPr="009A010C">
              <w:rPr>
                <w:color w:val="000000"/>
                <w:sz w:val="20"/>
                <w:szCs w:val="20"/>
                <w:lang w:eastAsia="en-CA"/>
              </w:rPr>
              <w:t>(3,149,056)</w:t>
            </w:r>
          </w:p>
        </w:tc>
      </w:tr>
      <w:tr w:rsidR="00847384" w:rsidRPr="009A010C" w:rsidTr="00287C83">
        <w:trPr>
          <w:trHeight w:val="285"/>
        </w:trPr>
        <w:tc>
          <w:tcPr>
            <w:tcW w:w="4678" w:type="dxa"/>
            <w:tcBorders>
              <w:top w:val="nil"/>
              <w:left w:val="single" w:sz="4" w:space="0" w:color="auto"/>
              <w:bottom w:val="single" w:sz="4" w:space="0" w:color="auto"/>
              <w:right w:val="single" w:sz="4" w:space="0" w:color="auto"/>
            </w:tcBorders>
            <w:shd w:val="clear" w:color="auto" w:fill="auto"/>
            <w:noWrap/>
            <w:vAlign w:val="bottom"/>
          </w:tcPr>
          <w:p w:rsidR="00847384" w:rsidRPr="009A010C" w:rsidRDefault="00847384" w:rsidP="00287C83">
            <w:pPr>
              <w:rPr>
                <w:color w:val="000000"/>
                <w:sz w:val="20"/>
                <w:szCs w:val="20"/>
                <w:lang w:eastAsia="en-CA"/>
              </w:rPr>
            </w:pPr>
            <w:r w:rsidRPr="009A010C">
              <w:rPr>
                <w:color w:val="000000"/>
                <w:sz w:val="20"/>
                <w:szCs w:val="20"/>
                <w:lang w:eastAsia="en-CA"/>
              </w:rPr>
              <w:t>Return to the 76</w:t>
            </w:r>
            <w:r w:rsidRPr="009A010C">
              <w:rPr>
                <w:color w:val="000000"/>
                <w:sz w:val="20"/>
                <w:szCs w:val="20"/>
                <w:vertAlign w:val="superscript"/>
                <w:lang w:eastAsia="en-CA"/>
              </w:rPr>
              <w:t>th</w:t>
            </w:r>
            <w:r w:rsidRPr="009A010C">
              <w:rPr>
                <w:color w:val="000000"/>
                <w:sz w:val="20"/>
                <w:szCs w:val="20"/>
                <w:lang w:eastAsia="en-CA"/>
              </w:rPr>
              <w:t xml:space="preserve"> meeting</w:t>
            </w:r>
          </w:p>
        </w:tc>
        <w:tc>
          <w:tcPr>
            <w:tcW w:w="4678" w:type="dxa"/>
            <w:tcBorders>
              <w:top w:val="nil"/>
              <w:left w:val="single" w:sz="4" w:space="0" w:color="auto"/>
              <w:bottom w:val="single" w:sz="4" w:space="0" w:color="auto"/>
              <w:right w:val="single" w:sz="4" w:space="0" w:color="auto"/>
            </w:tcBorders>
          </w:tcPr>
          <w:p w:rsidR="00847384" w:rsidRPr="009A010C" w:rsidRDefault="00847384" w:rsidP="00287C83">
            <w:pPr>
              <w:jc w:val="right"/>
              <w:rPr>
                <w:color w:val="000000"/>
                <w:sz w:val="20"/>
                <w:szCs w:val="20"/>
                <w:lang w:eastAsia="en-CA"/>
              </w:rPr>
            </w:pPr>
            <w:r w:rsidRPr="009A010C">
              <w:rPr>
                <w:color w:val="000000"/>
                <w:sz w:val="20"/>
                <w:szCs w:val="20"/>
                <w:lang w:eastAsia="en-CA"/>
              </w:rPr>
              <w:t>(481,628)</w:t>
            </w:r>
          </w:p>
        </w:tc>
      </w:tr>
      <w:tr w:rsidR="00847384" w:rsidRPr="009A010C" w:rsidTr="00287C83">
        <w:trPr>
          <w:trHeight w:val="285"/>
        </w:trPr>
        <w:tc>
          <w:tcPr>
            <w:tcW w:w="4678" w:type="dxa"/>
            <w:tcBorders>
              <w:top w:val="nil"/>
              <w:left w:val="single" w:sz="4" w:space="0" w:color="auto"/>
              <w:bottom w:val="single" w:sz="4" w:space="0" w:color="auto"/>
              <w:right w:val="single" w:sz="4" w:space="0" w:color="auto"/>
            </w:tcBorders>
            <w:shd w:val="clear" w:color="auto" w:fill="auto"/>
            <w:noWrap/>
            <w:vAlign w:val="bottom"/>
          </w:tcPr>
          <w:p w:rsidR="00847384" w:rsidRPr="009A010C" w:rsidRDefault="00847384" w:rsidP="00287C83">
            <w:pPr>
              <w:rPr>
                <w:color w:val="000000"/>
                <w:sz w:val="20"/>
                <w:szCs w:val="20"/>
                <w:lang w:eastAsia="en-CA"/>
              </w:rPr>
            </w:pPr>
            <w:r w:rsidRPr="009A010C">
              <w:rPr>
                <w:color w:val="000000"/>
                <w:sz w:val="20"/>
                <w:szCs w:val="20"/>
                <w:lang w:eastAsia="en-CA"/>
              </w:rPr>
              <w:t>Return to the 80</w:t>
            </w:r>
            <w:r w:rsidRPr="009A010C">
              <w:rPr>
                <w:color w:val="000000"/>
                <w:sz w:val="20"/>
                <w:szCs w:val="20"/>
                <w:vertAlign w:val="superscript"/>
                <w:lang w:eastAsia="en-CA"/>
              </w:rPr>
              <w:t>th</w:t>
            </w:r>
            <w:r w:rsidRPr="009A010C">
              <w:rPr>
                <w:color w:val="000000"/>
                <w:sz w:val="20"/>
                <w:szCs w:val="20"/>
                <w:lang w:eastAsia="en-CA"/>
              </w:rPr>
              <w:t xml:space="preserve"> meeting</w:t>
            </w:r>
          </w:p>
        </w:tc>
        <w:tc>
          <w:tcPr>
            <w:tcW w:w="4678" w:type="dxa"/>
            <w:tcBorders>
              <w:top w:val="nil"/>
              <w:left w:val="single" w:sz="4" w:space="0" w:color="auto"/>
              <w:bottom w:val="single" w:sz="4" w:space="0" w:color="auto"/>
              <w:right w:val="single" w:sz="4" w:space="0" w:color="auto"/>
            </w:tcBorders>
          </w:tcPr>
          <w:p w:rsidR="00847384" w:rsidRPr="009A010C" w:rsidRDefault="00847384" w:rsidP="00287C83">
            <w:pPr>
              <w:jc w:val="right"/>
              <w:rPr>
                <w:color w:val="000000"/>
                <w:sz w:val="20"/>
                <w:szCs w:val="20"/>
                <w:lang w:eastAsia="en-CA"/>
              </w:rPr>
            </w:pPr>
            <w:r w:rsidRPr="009A010C">
              <w:rPr>
                <w:color w:val="000000"/>
                <w:sz w:val="20"/>
                <w:szCs w:val="20"/>
                <w:lang w:eastAsia="en-CA"/>
              </w:rPr>
              <w:t>(1,031,031)</w:t>
            </w:r>
          </w:p>
        </w:tc>
      </w:tr>
      <w:tr w:rsidR="00847384" w:rsidRPr="009A010C" w:rsidTr="00287C83">
        <w:trPr>
          <w:trHeight w:val="285"/>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7384" w:rsidRPr="009A010C" w:rsidRDefault="00847384" w:rsidP="00287C83">
            <w:pPr>
              <w:rPr>
                <w:b/>
                <w:color w:val="000000"/>
                <w:sz w:val="20"/>
                <w:szCs w:val="20"/>
                <w:lang w:eastAsia="en-CA"/>
              </w:rPr>
            </w:pPr>
            <w:r w:rsidRPr="009A010C">
              <w:rPr>
                <w:b/>
                <w:color w:val="000000"/>
                <w:sz w:val="20"/>
                <w:szCs w:val="20"/>
                <w:lang w:eastAsia="en-CA"/>
              </w:rPr>
              <w:t>Funds disbursed</w:t>
            </w:r>
          </w:p>
        </w:tc>
        <w:tc>
          <w:tcPr>
            <w:tcW w:w="4678" w:type="dxa"/>
            <w:tcBorders>
              <w:top w:val="single" w:sz="4" w:space="0" w:color="auto"/>
              <w:left w:val="single" w:sz="4" w:space="0" w:color="auto"/>
              <w:bottom w:val="single" w:sz="4" w:space="0" w:color="auto"/>
              <w:right w:val="single" w:sz="4" w:space="0" w:color="auto"/>
            </w:tcBorders>
          </w:tcPr>
          <w:p w:rsidR="00847384" w:rsidRPr="009A010C" w:rsidRDefault="00847384" w:rsidP="00287C83">
            <w:pPr>
              <w:jc w:val="right"/>
              <w:rPr>
                <w:b/>
                <w:color w:val="000000"/>
                <w:sz w:val="20"/>
                <w:szCs w:val="20"/>
                <w:lang w:eastAsia="en-CA"/>
              </w:rPr>
            </w:pPr>
            <w:r w:rsidRPr="009A010C">
              <w:rPr>
                <w:b/>
                <w:color w:val="000000"/>
                <w:sz w:val="20"/>
                <w:szCs w:val="20"/>
                <w:lang w:eastAsia="en-CA"/>
              </w:rPr>
              <w:t>2,222,897</w:t>
            </w:r>
          </w:p>
        </w:tc>
      </w:tr>
    </w:tbl>
    <w:p w:rsidR="00847384" w:rsidRPr="009A010C" w:rsidRDefault="00847384" w:rsidP="00847384">
      <w:pPr>
        <w:pStyle w:val="ListParagraph"/>
        <w:ind w:left="1276"/>
      </w:pPr>
    </w:p>
    <w:p w:rsidR="00847384" w:rsidRPr="009A010C" w:rsidRDefault="00847384" w:rsidP="00847384">
      <w:pPr>
        <w:pStyle w:val="Heading1"/>
      </w:pPr>
      <w:r w:rsidRPr="009A010C">
        <w:t>The PCR would be submitted before the 82</w:t>
      </w:r>
      <w:r w:rsidRPr="009A010C">
        <w:rPr>
          <w:vertAlign w:val="superscript"/>
        </w:rPr>
        <w:t>nd</w:t>
      </w:r>
      <w:r w:rsidRPr="009A010C">
        <w:t xml:space="preserve"> meeting. As of the date of issue of this document, the PCR was not received.</w:t>
      </w:r>
    </w:p>
    <w:p w:rsidR="00847384" w:rsidRPr="009A010C" w:rsidRDefault="00847384" w:rsidP="00847384">
      <w:pPr>
        <w:keepNext/>
        <w:keepLines/>
        <w:rPr>
          <w:b/>
        </w:rPr>
      </w:pPr>
      <w:r w:rsidRPr="009A010C">
        <w:rPr>
          <w:b/>
        </w:rPr>
        <w:t>Secretariat comments</w:t>
      </w:r>
    </w:p>
    <w:p w:rsidR="00847384" w:rsidRPr="009A010C" w:rsidRDefault="00847384" w:rsidP="00847384">
      <w:pPr>
        <w:keepNext/>
        <w:keepLines/>
        <w:rPr>
          <w:b/>
        </w:rPr>
      </w:pPr>
    </w:p>
    <w:p w:rsidR="00847384" w:rsidRPr="009A010C" w:rsidRDefault="00847384" w:rsidP="00847384">
      <w:pPr>
        <w:keepNext/>
        <w:keepLines/>
        <w:rPr>
          <w:u w:val="single"/>
        </w:rPr>
      </w:pPr>
      <w:r w:rsidRPr="009A010C">
        <w:rPr>
          <w:u w:val="single"/>
        </w:rPr>
        <w:t>Inventory of CFC-based chillers and replacement technology</w:t>
      </w:r>
    </w:p>
    <w:p w:rsidR="00847384" w:rsidRPr="009A010C" w:rsidRDefault="00847384" w:rsidP="00847384">
      <w:pPr>
        <w:keepNext/>
        <w:keepLines/>
        <w:rPr>
          <w:u w:val="single"/>
        </w:rPr>
      </w:pPr>
    </w:p>
    <w:p w:rsidR="00847384" w:rsidRPr="009A010C" w:rsidRDefault="00847384" w:rsidP="00847384">
      <w:pPr>
        <w:pStyle w:val="Heading1"/>
        <w:keepNext/>
        <w:keepLines/>
      </w:pPr>
      <w:r w:rsidRPr="009A010C">
        <w:t>UNIDO identified delays in the establishment of the chiller inventory by about seven years (i.e., from the date of approval to the date of validation) as a barrier for all projects, resulting in difficulties in assessing chiller replacement progress and project impact. Moreover, the absence of legislation to monitor the change in number and type of chillers that are removed from service makes quantification of replacement impact difficult.</w:t>
      </w:r>
    </w:p>
    <w:p w:rsidR="00847384" w:rsidRPr="009A010C" w:rsidRDefault="00847384" w:rsidP="00847384">
      <w:pPr>
        <w:pStyle w:val="Heading1"/>
      </w:pPr>
      <w:r w:rsidRPr="009A010C">
        <w:t>The Secretariat also noted that low</w:t>
      </w:r>
      <w:r w:rsidRPr="009A010C">
        <w:noBreakHyphen/>
        <w:t>GWP technologies were in limited use and often not attractive commercially when the chiller project was approved. Therefore, most of the replacement technologies used HFC</w:t>
      </w:r>
      <w:r w:rsidRPr="009A010C">
        <w:noBreakHyphen/>
        <w:t>based refrigerants.</w:t>
      </w:r>
    </w:p>
    <w:p w:rsidR="00847384" w:rsidRPr="009A010C" w:rsidRDefault="00847384" w:rsidP="00572988">
      <w:pPr>
        <w:pStyle w:val="Heading1"/>
        <w:keepNext/>
        <w:numPr>
          <w:ilvl w:val="0"/>
          <w:numId w:val="0"/>
        </w:numPr>
        <w:rPr>
          <w:u w:val="single"/>
        </w:rPr>
      </w:pPr>
      <w:r w:rsidRPr="009A010C">
        <w:rPr>
          <w:u w:val="single"/>
        </w:rPr>
        <w:lastRenderedPageBreak/>
        <w:t>Financing replacement of chillers</w:t>
      </w:r>
    </w:p>
    <w:p w:rsidR="00847384" w:rsidRPr="009A010C" w:rsidRDefault="00847384" w:rsidP="00572988">
      <w:pPr>
        <w:pStyle w:val="Heading1"/>
        <w:keepNext/>
      </w:pPr>
      <w:r w:rsidRPr="009A010C">
        <w:t>The project in Brazil included additional funds secured from GEF; one of the outcomes of the GEF project addressed replacement of CFC-based chillers with energy</w:t>
      </w:r>
      <w:r w:rsidRPr="009A010C">
        <w:noBreakHyphen/>
        <w:t>efficient chillers. The Indonesia component of the global chiller project could not be implemented as GEF funding was not available due to the possibility of use of HFC</w:t>
      </w:r>
      <w:r w:rsidRPr="009A010C">
        <w:noBreakHyphen/>
        <w:t>based refrigerants in the replacement chillers. The Secretariat notes that there would be challenges relating to project implementation if alternate sources of funding were to be secured to complement individual project activities, potentially resulting in project implementation delays.</w:t>
      </w:r>
    </w:p>
    <w:p w:rsidR="00847384" w:rsidRPr="009A010C" w:rsidRDefault="00847384" w:rsidP="00847384">
      <w:pPr>
        <w:pStyle w:val="Heading1"/>
      </w:pPr>
      <w:r w:rsidRPr="009A010C">
        <w:t>UNIDO also mentioned that financial barriers for the implementation of the project were primarily due to the small size of the project for conversion and to the below</w:t>
      </w:r>
      <w:r w:rsidRPr="009A010C">
        <w:noBreakHyphen/>
        <w:t>average credit</w:t>
      </w:r>
      <w:r w:rsidRPr="009A010C">
        <w:noBreakHyphen/>
        <w:t xml:space="preserve">worthiness of potential borrowers. An environment fund dedicated to providing support in replacing chillers and covering certain transaction costs could help in making these projects sustainable and more attractive. The importance of support from the Government and the active, ongoing involvement of the NOU was also highlighted in the report. </w:t>
      </w:r>
    </w:p>
    <w:p w:rsidR="00847384" w:rsidRPr="009A010C" w:rsidRDefault="00847384" w:rsidP="00847384">
      <w:pPr>
        <w:pStyle w:val="Heading1"/>
        <w:numPr>
          <w:ilvl w:val="0"/>
          <w:numId w:val="0"/>
        </w:numPr>
        <w:rPr>
          <w:u w:val="single"/>
        </w:rPr>
      </w:pPr>
      <w:r w:rsidRPr="009A010C">
        <w:rPr>
          <w:u w:val="single"/>
        </w:rPr>
        <w:t>Energy efficiency gain in chiller replacement</w:t>
      </w:r>
    </w:p>
    <w:p w:rsidR="00847384" w:rsidRPr="009A010C" w:rsidRDefault="00847384" w:rsidP="00847384">
      <w:pPr>
        <w:pStyle w:val="Heading1"/>
      </w:pPr>
      <w:r w:rsidRPr="009A010C">
        <w:t>UNIDO informed that baseline energy consumption data was not available during the survey. As a result, energy efficiency gains from the project were difficult to measure and were thus provided at an estimated overall level. In the case of the global chiller replacement projects, energy efficiency gains data were provided in different ways. The Secretariat noted that the chiller project resulted in a greater awareness among end</w:t>
      </w:r>
      <w:r w:rsidRPr="009A010C">
        <w:noBreakHyphen/>
        <w:t>users on the energy</w:t>
      </w:r>
      <w:r w:rsidRPr="009A010C">
        <w:noBreakHyphen/>
        <w:t>efficiency impact of the replacement of CFC</w:t>
      </w:r>
      <w:r w:rsidRPr="009A010C">
        <w:noBreakHyphen/>
        <w:t xml:space="preserve">based chillers.  </w:t>
      </w:r>
    </w:p>
    <w:p w:rsidR="00847384" w:rsidRPr="009A010C" w:rsidRDefault="00847384" w:rsidP="00847384">
      <w:pPr>
        <w:pStyle w:val="Heading1"/>
      </w:pPr>
      <w:r w:rsidRPr="009A010C">
        <w:t>UNIDO requested the extension to December 2020 of the Argentina component of the global chiller project that was transferred at the 80</w:t>
      </w:r>
      <w:r w:rsidRPr="009A010C">
        <w:rPr>
          <w:vertAlign w:val="superscript"/>
        </w:rPr>
        <w:t>th</w:t>
      </w:r>
      <w:r w:rsidRPr="009A010C">
        <w:t> meeting. UNIDO informed that after the project was transferred, about 73 chillers operating with CFCs have been identified and a call for chiller replacement was issued with a deadline of 20 November 2018. After identifying potential participants, the project would take about 24 months to complete. UNIDO also agreed to provide energy efficiency data for the converted chillers for a period of six months after the conversion.</w:t>
      </w:r>
    </w:p>
    <w:p w:rsidR="00847384" w:rsidRPr="009A010C" w:rsidRDefault="00847384" w:rsidP="00847384">
      <w:pPr>
        <w:rPr>
          <w:b/>
        </w:rPr>
      </w:pPr>
      <w:r w:rsidRPr="009A010C">
        <w:rPr>
          <w:b/>
        </w:rPr>
        <w:t>Recommendation</w:t>
      </w:r>
    </w:p>
    <w:p w:rsidR="00847384" w:rsidRPr="009A010C" w:rsidRDefault="00847384" w:rsidP="00847384">
      <w:pPr>
        <w:rPr>
          <w:b/>
        </w:rPr>
      </w:pPr>
    </w:p>
    <w:p w:rsidR="00847384" w:rsidRPr="009A010C" w:rsidRDefault="00847384" w:rsidP="00847384">
      <w:pPr>
        <w:pStyle w:val="Heading1"/>
      </w:pPr>
      <w:r w:rsidRPr="009A010C">
        <w:t>The Executive Committee may wish:</w:t>
      </w:r>
    </w:p>
    <w:p w:rsidR="005C1B6C" w:rsidRPr="00FE5979" w:rsidRDefault="005C1B6C" w:rsidP="005C1B6C">
      <w:pPr>
        <w:pStyle w:val="Heading2"/>
        <w:numPr>
          <w:ilvl w:val="1"/>
          <w:numId w:val="15"/>
        </w:numPr>
      </w:pPr>
      <w:r w:rsidRPr="00FE5979">
        <w:t xml:space="preserve">To note the information on chiller projects submitted by the Governments of France and Japan, UNDP, UNIDO and the World Bank; </w:t>
      </w:r>
    </w:p>
    <w:p w:rsidR="005C1B6C" w:rsidRPr="00FE5979" w:rsidRDefault="005C1B6C" w:rsidP="005C1B6C">
      <w:pPr>
        <w:pStyle w:val="Heading2"/>
        <w:numPr>
          <w:ilvl w:val="1"/>
          <w:numId w:val="15"/>
        </w:numPr>
        <w:ind w:left="1418" w:hanging="709"/>
      </w:pPr>
      <w:r w:rsidRPr="00FE5979">
        <w:t>To request the Government of Japan to submit the project completion report (PCR) and to return the balances for the strategic demonstration project for accelerated conversion of CFC chillers in five African Countries (Cameroon, Egypt, Namibia, Nigeria and Sudan), no later than the 83</w:t>
      </w:r>
      <w:r w:rsidRPr="00FE5979">
        <w:rPr>
          <w:vertAlign w:val="superscript"/>
        </w:rPr>
        <w:t>rd</w:t>
      </w:r>
      <w:r w:rsidRPr="00FE5979">
        <w:t xml:space="preserve"> meeting;</w:t>
      </w:r>
    </w:p>
    <w:p w:rsidR="005C1B6C" w:rsidRPr="00FE5979" w:rsidRDefault="005C1B6C" w:rsidP="005C1B6C">
      <w:pPr>
        <w:pStyle w:val="Heading2"/>
        <w:numPr>
          <w:ilvl w:val="1"/>
          <w:numId w:val="15"/>
        </w:numPr>
      </w:pPr>
      <w:r w:rsidRPr="00FE5979">
        <w:t xml:space="preserve">To request the Government of France to return the balances </w:t>
      </w:r>
      <w:r w:rsidRPr="00FE5979">
        <w:rPr>
          <w:b/>
        </w:rPr>
        <w:t>remaining from for the Strategic demonstration project for accelerated conversion of CFC chillers in five African countries (Cameroon, Egypt, Namibia, Nigeria and Sudan);</w:t>
      </w:r>
    </w:p>
    <w:p w:rsidR="005C1B6C" w:rsidRPr="00FE5979" w:rsidRDefault="005C1B6C" w:rsidP="005C1B6C">
      <w:pPr>
        <w:pStyle w:val="Heading2"/>
        <w:numPr>
          <w:ilvl w:val="1"/>
          <w:numId w:val="15"/>
        </w:numPr>
        <w:ind w:left="1418" w:hanging="709"/>
      </w:pPr>
      <w:r w:rsidRPr="00FE5979">
        <w:t xml:space="preserve">To urge the World Bank to submit the PCR for the global chiller </w:t>
      </w:r>
      <w:r w:rsidRPr="00FE5979">
        <w:rPr>
          <w:b/>
        </w:rPr>
        <w:t>replacement</w:t>
      </w:r>
      <w:r w:rsidRPr="00FE5979">
        <w:t xml:space="preserve"> project to the 82</w:t>
      </w:r>
      <w:r w:rsidRPr="00FE5979">
        <w:rPr>
          <w:vertAlign w:val="superscript"/>
        </w:rPr>
        <w:t>nd</w:t>
      </w:r>
      <w:r w:rsidR="007B4C29">
        <w:rPr>
          <w:vertAlign w:val="superscript"/>
        </w:rPr>
        <w:t xml:space="preserve"> </w:t>
      </w:r>
      <w:r w:rsidRPr="00FE5979">
        <w:t>meeting; and</w:t>
      </w:r>
    </w:p>
    <w:p w:rsidR="00847384" w:rsidRPr="009A010C" w:rsidRDefault="005C1B6C" w:rsidP="00572988">
      <w:pPr>
        <w:pStyle w:val="Heading2"/>
        <w:keepNext/>
        <w:widowControl/>
        <w:numPr>
          <w:ilvl w:val="1"/>
          <w:numId w:val="15"/>
        </w:numPr>
        <w:ind w:left="1418" w:hanging="709"/>
      </w:pPr>
      <w:r w:rsidRPr="00FE5979">
        <w:lastRenderedPageBreak/>
        <w:t xml:space="preserve">To extend </w:t>
      </w:r>
      <w:r w:rsidRPr="00FE5979">
        <w:rPr>
          <w:b/>
        </w:rPr>
        <w:t>the completion date of</w:t>
      </w:r>
      <w:r w:rsidRPr="00FE5979">
        <w:t xml:space="preserve"> the Argentina component of the global chiller replacement project (GLO/REF/80/DEM/344) </w:t>
      </w:r>
      <w:r w:rsidRPr="00FE5979">
        <w:rPr>
          <w:b/>
        </w:rPr>
        <w:t>to end of</w:t>
      </w:r>
      <w:r w:rsidRPr="00FE5979">
        <w:t xml:space="preserve"> December 2020, and </w:t>
      </w:r>
      <w:r w:rsidRPr="00FE5979">
        <w:rPr>
          <w:b/>
        </w:rPr>
        <w:t>to</w:t>
      </w:r>
      <w:r w:rsidRPr="00FE5979">
        <w:t xml:space="preserve"> request UNIDO to submit a final report on implementation and </w:t>
      </w:r>
      <w:r w:rsidRPr="00FE5979">
        <w:rPr>
          <w:b/>
        </w:rPr>
        <w:t>the</w:t>
      </w:r>
      <w:r w:rsidRPr="00FE5979">
        <w:t xml:space="preserve"> PCR no later than the first meeting of 2021.</w:t>
      </w:r>
    </w:p>
    <w:p w:rsidR="00B703EA" w:rsidRPr="009A010C" w:rsidRDefault="00B703EA" w:rsidP="00A51632">
      <w:pPr>
        <w:keepNext/>
        <w:spacing w:after="240"/>
        <w:ind w:left="1440" w:hanging="1440"/>
        <w:rPr>
          <w:b/>
          <w:lang w:val="en-CA"/>
        </w:rPr>
      </w:pPr>
      <w:r w:rsidRPr="009A010C">
        <w:rPr>
          <w:b/>
          <w:lang w:val="en-CA"/>
        </w:rPr>
        <w:t>PART VI:</w:t>
      </w:r>
      <w:r w:rsidRPr="009A010C">
        <w:rPr>
          <w:b/>
          <w:lang w:val="en-CA"/>
        </w:rPr>
        <w:tab/>
        <w:t>DEMONSTRATION PROJECTS FOR LOW-GWP ALTERNATIVES TO HCFCs AND FEASIBILITY STUDIES FOR DISTRICT COOLING (DECISION 72/40)</w:t>
      </w:r>
    </w:p>
    <w:p w:rsidR="00B703EA" w:rsidRPr="009A010C" w:rsidRDefault="00B703EA" w:rsidP="00A51632">
      <w:pPr>
        <w:keepNext/>
        <w:rPr>
          <w:b/>
          <w:lang w:val="en-CA"/>
        </w:rPr>
      </w:pPr>
      <w:r w:rsidRPr="009A010C">
        <w:rPr>
          <w:b/>
          <w:lang w:val="en-CA"/>
        </w:rPr>
        <w:t>Background</w:t>
      </w:r>
    </w:p>
    <w:p w:rsidR="00B703EA" w:rsidRPr="009A010C" w:rsidRDefault="00B703EA" w:rsidP="00A51632">
      <w:pPr>
        <w:keepNext/>
        <w:rPr>
          <w:b/>
          <w:lang w:val="en-CA"/>
        </w:rPr>
      </w:pPr>
    </w:p>
    <w:p w:rsidR="00B703EA" w:rsidRPr="00F4406E" w:rsidRDefault="00B703EA" w:rsidP="00A51632">
      <w:pPr>
        <w:pStyle w:val="Heading1"/>
        <w:keepNext/>
        <w:rPr>
          <w:lang w:val="en-CA"/>
        </w:rPr>
      </w:pPr>
      <w:r w:rsidRPr="009A010C">
        <w:rPr>
          <w:lang w:val="en-CA"/>
        </w:rPr>
        <w:t>At the 74</w:t>
      </w:r>
      <w:r w:rsidRPr="009A010C">
        <w:rPr>
          <w:vertAlign w:val="superscript"/>
          <w:lang w:val="en-CA"/>
        </w:rPr>
        <w:t>th</w:t>
      </w:r>
      <w:r w:rsidRPr="009A010C">
        <w:rPr>
          <w:lang w:val="en-CA"/>
        </w:rPr>
        <w:t>, 75</w:t>
      </w:r>
      <w:r w:rsidRPr="009A010C">
        <w:rPr>
          <w:vertAlign w:val="superscript"/>
          <w:lang w:val="en-CA"/>
        </w:rPr>
        <w:t>th</w:t>
      </w:r>
      <w:r w:rsidRPr="009A010C">
        <w:rPr>
          <w:lang w:val="en-CA"/>
        </w:rPr>
        <w:t xml:space="preserve"> and 76</w:t>
      </w:r>
      <w:r w:rsidRPr="009A010C">
        <w:rPr>
          <w:vertAlign w:val="superscript"/>
          <w:lang w:val="en-CA"/>
        </w:rPr>
        <w:t>th</w:t>
      </w:r>
      <w:r w:rsidRPr="009A010C">
        <w:rPr>
          <w:lang w:val="en-CA"/>
        </w:rPr>
        <w:t> meetings, the Executive Committee approved three feasibility studies for district cooling (Dominican Republic (the), Egypt, and Kuwait) and 17 projects to demonstrate low</w:t>
      </w:r>
      <w:r w:rsidRPr="009A010C">
        <w:rPr>
          <w:lang w:val="en-CA"/>
        </w:rPr>
        <w:noBreakHyphen/>
        <w:t>GWP technologies pursuant to decision XXV/5 and decision 72/40 including: seven projects in the refrigeration and air-conditioning and assembly sub-sector (China, Colombia, Costa Rica, Kuwait, Saudi Arabia (two), a global (Argentina and Tunisia) and a regional (West Asia</w:t>
      </w:r>
      <w:r w:rsidRPr="009A010C">
        <w:rPr>
          <w:rStyle w:val="FootnoteReference"/>
          <w:lang w:val="en-CA"/>
        </w:rPr>
        <w:footnoteReference w:id="24"/>
      </w:r>
      <w:r w:rsidRPr="009A010C">
        <w:rPr>
          <w:lang w:val="en-CA"/>
        </w:rPr>
        <w:t xml:space="preserve">) project; five in the foam sector (Colombia, Egypt, Morocco, Saudi Arabia, South Africa, Thailand); and three in the refrigeration servicing sector (Maldives, Europe and Central Asia region, and a global project (Eastern Africa and Caribbean regions)). The status of those 20 projects is summarized in </w:t>
      </w:r>
      <w:r w:rsidRPr="00F4406E">
        <w:rPr>
          <w:lang w:val="en-CA"/>
        </w:rPr>
        <w:t>Table 1</w:t>
      </w:r>
      <w:r w:rsidR="00A51632" w:rsidRPr="00F4406E">
        <w:rPr>
          <w:lang w:val="en-CA"/>
        </w:rPr>
        <w:t>0</w:t>
      </w:r>
      <w:r w:rsidRPr="00F4406E">
        <w:rPr>
          <w:lang w:val="en-CA"/>
        </w:rPr>
        <w:t>.</w:t>
      </w:r>
    </w:p>
    <w:p w:rsidR="00B703EA" w:rsidRPr="009A010C" w:rsidRDefault="00B703EA" w:rsidP="00B703EA">
      <w:pPr>
        <w:rPr>
          <w:b/>
          <w:lang w:val="en-CA"/>
        </w:rPr>
      </w:pPr>
      <w:r w:rsidRPr="00F4406E">
        <w:rPr>
          <w:b/>
          <w:lang w:val="en-CA"/>
        </w:rPr>
        <w:t>Table 1</w:t>
      </w:r>
      <w:r w:rsidR="00A51632" w:rsidRPr="00F4406E">
        <w:rPr>
          <w:b/>
          <w:lang w:val="en-CA"/>
        </w:rPr>
        <w:t>0</w:t>
      </w:r>
      <w:r w:rsidRPr="00F4406E">
        <w:rPr>
          <w:b/>
          <w:lang w:val="en-CA"/>
        </w:rPr>
        <w:t>. Status of 17 projects to demonstrate low-GWP technologies and three feasibility studies for district cooling</w:t>
      </w:r>
    </w:p>
    <w:tbl>
      <w:tblPr>
        <w:tblStyle w:val="TableGrid"/>
        <w:tblW w:w="0" w:type="auto"/>
        <w:tblLook w:val="04A0" w:firstRow="1" w:lastRow="0" w:firstColumn="1" w:lastColumn="0" w:noHBand="0" w:noVBand="1"/>
      </w:tblPr>
      <w:tblGrid>
        <w:gridCol w:w="1446"/>
        <w:gridCol w:w="2916"/>
        <w:gridCol w:w="991"/>
        <w:gridCol w:w="1242"/>
        <w:gridCol w:w="1294"/>
        <w:gridCol w:w="1461"/>
      </w:tblGrid>
      <w:tr w:rsidR="00B703EA" w:rsidRPr="009A010C" w:rsidTr="00287C83">
        <w:trPr>
          <w:tblHeader/>
        </w:trPr>
        <w:tc>
          <w:tcPr>
            <w:tcW w:w="1446" w:type="dxa"/>
          </w:tcPr>
          <w:p w:rsidR="00B703EA" w:rsidRPr="009A010C" w:rsidRDefault="00B703EA" w:rsidP="00287C83">
            <w:pPr>
              <w:jc w:val="center"/>
              <w:rPr>
                <w:b/>
                <w:sz w:val="18"/>
                <w:szCs w:val="18"/>
              </w:rPr>
            </w:pPr>
            <w:r w:rsidRPr="009A010C">
              <w:rPr>
                <w:b/>
                <w:sz w:val="18"/>
                <w:szCs w:val="18"/>
              </w:rPr>
              <w:t>Country</w:t>
            </w:r>
          </w:p>
        </w:tc>
        <w:tc>
          <w:tcPr>
            <w:tcW w:w="2916" w:type="dxa"/>
          </w:tcPr>
          <w:p w:rsidR="00B703EA" w:rsidRPr="009A010C" w:rsidRDefault="00B703EA" w:rsidP="00287C83">
            <w:pPr>
              <w:jc w:val="center"/>
              <w:rPr>
                <w:b/>
                <w:sz w:val="18"/>
                <w:szCs w:val="18"/>
              </w:rPr>
            </w:pPr>
            <w:r w:rsidRPr="009A010C">
              <w:rPr>
                <w:b/>
                <w:sz w:val="18"/>
                <w:szCs w:val="18"/>
              </w:rPr>
              <w:t>Project title (code)</w:t>
            </w:r>
          </w:p>
        </w:tc>
        <w:tc>
          <w:tcPr>
            <w:tcW w:w="991" w:type="dxa"/>
          </w:tcPr>
          <w:p w:rsidR="00B703EA" w:rsidRPr="009A010C" w:rsidRDefault="00B703EA" w:rsidP="00287C83">
            <w:pPr>
              <w:jc w:val="center"/>
              <w:rPr>
                <w:b/>
                <w:sz w:val="18"/>
                <w:szCs w:val="18"/>
              </w:rPr>
            </w:pPr>
            <w:r w:rsidRPr="009A010C">
              <w:rPr>
                <w:b/>
                <w:sz w:val="18"/>
                <w:szCs w:val="18"/>
              </w:rPr>
              <w:t>Agency</w:t>
            </w:r>
          </w:p>
        </w:tc>
        <w:tc>
          <w:tcPr>
            <w:tcW w:w="1242" w:type="dxa"/>
          </w:tcPr>
          <w:p w:rsidR="00B703EA" w:rsidRPr="009A010C" w:rsidRDefault="00B703EA" w:rsidP="00287C83">
            <w:pPr>
              <w:jc w:val="center"/>
              <w:rPr>
                <w:b/>
                <w:sz w:val="18"/>
                <w:szCs w:val="18"/>
              </w:rPr>
            </w:pPr>
            <w:r w:rsidRPr="009A010C">
              <w:rPr>
                <w:b/>
                <w:sz w:val="18"/>
                <w:szCs w:val="18"/>
              </w:rPr>
              <w:t>Amount approved (US $)</w:t>
            </w:r>
            <w:r w:rsidRPr="009A010C">
              <w:rPr>
                <w:b/>
                <w:sz w:val="18"/>
                <w:szCs w:val="18"/>
                <w:vertAlign w:val="superscript"/>
              </w:rPr>
              <w:t>a</w:t>
            </w:r>
          </w:p>
        </w:tc>
        <w:tc>
          <w:tcPr>
            <w:tcW w:w="1294" w:type="dxa"/>
          </w:tcPr>
          <w:p w:rsidR="00B703EA" w:rsidRPr="009A010C" w:rsidRDefault="00B703EA" w:rsidP="00287C83">
            <w:pPr>
              <w:jc w:val="center"/>
              <w:rPr>
                <w:b/>
                <w:sz w:val="18"/>
                <w:szCs w:val="18"/>
              </w:rPr>
            </w:pPr>
            <w:r w:rsidRPr="009A010C">
              <w:rPr>
                <w:b/>
                <w:sz w:val="18"/>
                <w:szCs w:val="18"/>
              </w:rPr>
              <w:t>Expected completion date</w:t>
            </w:r>
          </w:p>
        </w:tc>
        <w:tc>
          <w:tcPr>
            <w:tcW w:w="1461" w:type="dxa"/>
          </w:tcPr>
          <w:p w:rsidR="00B703EA" w:rsidRPr="009A010C" w:rsidRDefault="00B703EA" w:rsidP="00287C83">
            <w:pPr>
              <w:jc w:val="center"/>
              <w:rPr>
                <w:b/>
                <w:sz w:val="18"/>
                <w:szCs w:val="18"/>
              </w:rPr>
            </w:pPr>
            <w:r w:rsidRPr="009A010C">
              <w:rPr>
                <w:b/>
                <w:sz w:val="18"/>
                <w:szCs w:val="18"/>
              </w:rPr>
              <w:t>Final report</w:t>
            </w:r>
          </w:p>
        </w:tc>
      </w:tr>
      <w:tr w:rsidR="00B703EA" w:rsidRPr="009A010C" w:rsidTr="00287C83">
        <w:tc>
          <w:tcPr>
            <w:tcW w:w="1446" w:type="dxa"/>
          </w:tcPr>
          <w:p w:rsidR="00B703EA" w:rsidRPr="009A010C" w:rsidRDefault="00B703EA" w:rsidP="00287C83">
            <w:pPr>
              <w:rPr>
                <w:sz w:val="18"/>
                <w:szCs w:val="18"/>
              </w:rPr>
            </w:pPr>
            <w:r w:rsidRPr="009A010C">
              <w:rPr>
                <w:sz w:val="18"/>
                <w:szCs w:val="18"/>
              </w:rPr>
              <w:t>China</w:t>
            </w:r>
          </w:p>
        </w:tc>
        <w:tc>
          <w:tcPr>
            <w:tcW w:w="2916" w:type="dxa"/>
          </w:tcPr>
          <w:p w:rsidR="00B703EA" w:rsidRPr="009A010C" w:rsidRDefault="00B703EA" w:rsidP="00287C83">
            <w:pPr>
              <w:jc w:val="left"/>
              <w:rPr>
                <w:sz w:val="18"/>
                <w:szCs w:val="18"/>
              </w:rPr>
            </w:pPr>
            <w:r w:rsidRPr="009A010C">
              <w:rPr>
                <w:sz w:val="18"/>
                <w:szCs w:val="18"/>
              </w:rPr>
              <w:t>Demonstration project for ammonia semi-hermetic frequency convertible screw refrigeration compression unit in the industrial and commercial refrigeration industry at Fujian Snowman Co. Ltd. (CPR/REF/76/DEM/573)</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1,026,815</w:t>
            </w:r>
          </w:p>
        </w:tc>
        <w:tc>
          <w:tcPr>
            <w:tcW w:w="1294" w:type="dxa"/>
          </w:tcPr>
          <w:p w:rsidR="00B703EA" w:rsidRPr="009A010C" w:rsidRDefault="00B703EA" w:rsidP="00287C83">
            <w:pPr>
              <w:jc w:val="right"/>
              <w:rPr>
                <w:sz w:val="18"/>
                <w:szCs w:val="18"/>
              </w:rPr>
            </w:pPr>
            <w:r w:rsidRPr="009A010C">
              <w:rPr>
                <w:sz w:val="18"/>
                <w:szCs w:val="18"/>
              </w:rPr>
              <w:t>30 June 2018</w:t>
            </w:r>
          </w:p>
        </w:tc>
        <w:tc>
          <w:tcPr>
            <w:tcW w:w="1461" w:type="dxa"/>
          </w:tcPr>
          <w:p w:rsidR="00B703EA" w:rsidRPr="009A010C" w:rsidRDefault="00B703EA" w:rsidP="00287C83">
            <w:pPr>
              <w:jc w:val="right"/>
              <w:rPr>
                <w:sz w:val="18"/>
                <w:szCs w:val="18"/>
              </w:rPr>
            </w:pPr>
            <w:r w:rsidRPr="009A010C">
              <w:rPr>
                <w:sz w:val="18"/>
                <w:szCs w:val="18"/>
              </w:rPr>
              <w:t>82</w:t>
            </w:r>
            <w:r w:rsidRPr="009A010C">
              <w:rPr>
                <w:sz w:val="18"/>
                <w:szCs w:val="18"/>
                <w:vertAlign w:val="superscript"/>
              </w:rPr>
              <w:t>nd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Colombia</w:t>
            </w:r>
          </w:p>
        </w:tc>
        <w:tc>
          <w:tcPr>
            <w:tcW w:w="2916" w:type="dxa"/>
          </w:tcPr>
          <w:p w:rsidR="00B703EA" w:rsidRPr="009A010C" w:rsidRDefault="00B703EA" w:rsidP="00287C83">
            <w:pPr>
              <w:jc w:val="left"/>
              <w:rPr>
                <w:sz w:val="18"/>
                <w:szCs w:val="18"/>
              </w:rPr>
            </w:pPr>
            <w:r w:rsidRPr="009A010C">
              <w:rPr>
                <w:sz w:val="18"/>
                <w:szCs w:val="18"/>
              </w:rPr>
              <w:t xml:space="preserve">Demonstration of HC-290 (propane) as an alternative refrigerant in commercial air-conditioning manufacturing at </w:t>
            </w:r>
            <w:proofErr w:type="spellStart"/>
            <w:r w:rsidRPr="009A010C">
              <w:rPr>
                <w:sz w:val="18"/>
                <w:szCs w:val="18"/>
              </w:rPr>
              <w:t>Industrias</w:t>
            </w:r>
            <w:proofErr w:type="spellEnd"/>
            <w:r w:rsidRPr="009A010C">
              <w:rPr>
                <w:sz w:val="18"/>
                <w:szCs w:val="18"/>
              </w:rPr>
              <w:t xml:space="preserve"> </w:t>
            </w:r>
            <w:proofErr w:type="spellStart"/>
            <w:r w:rsidRPr="009A010C">
              <w:rPr>
                <w:sz w:val="18"/>
                <w:szCs w:val="18"/>
              </w:rPr>
              <w:t>Thermotar</w:t>
            </w:r>
            <w:proofErr w:type="spellEnd"/>
            <w:r w:rsidRPr="009A010C">
              <w:rPr>
                <w:sz w:val="18"/>
                <w:szCs w:val="18"/>
              </w:rPr>
              <w:t xml:space="preserve"> ltd (COL/REF/75/DEM/97)</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500,000</w:t>
            </w:r>
          </w:p>
        </w:tc>
        <w:tc>
          <w:tcPr>
            <w:tcW w:w="1294" w:type="dxa"/>
          </w:tcPr>
          <w:p w:rsidR="00B703EA" w:rsidRPr="009A010C" w:rsidRDefault="00B703EA" w:rsidP="00287C83">
            <w:pPr>
              <w:jc w:val="right"/>
              <w:rPr>
                <w:sz w:val="18"/>
                <w:szCs w:val="18"/>
              </w:rPr>
            </w:pPr>
            <w:r w:rsidRPr="009A010C">
              <w:rPr>
                <w:sz w:val="18"/>
                <w:szCs w:val="18"/>
              </w:rPr>
              <w:t>completed</w:t>
            </w:r>
          </w:p>
        </w:tc>
        <w:tc>
          <w:tcPr>
            <w:tcW w:w="1461" w:type="dxa"/>
          </w:tcPr>
          <w:p w:rsidR="00B703EA" w:rsidRPr="009A010C" w:rsidRDefault="00B703EA" w:rsidP="00287C83">
            <w:pPr>
              <w:jc w:val="right"/>
              <w:rPr>
                <w:sz w:val="18"/>
                <w:szCs w:val="18"/>
              </w:rPr>
            </w:pPr>
            <w:r w:rsidRPr="009A010C">
              <w:rPr>
                <w:sz w:val="18"/>
                <w:szCs w:val="18"/>
              </w:rPr>
              <w:t>Submitted to the 81</w:t>
            </w:r>
            <w:r w:rsidRPr="009A010C">
              <w:rPr>
                <w:sz w:val="18"/>
                <w:szCs w:val="18"/>
                <w:vertAlign w:val="superscript"/>
              </w:rPr>
              <w:t>st</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Colombia</w:t>
            </w:r>
          </w:p>
        </w:tc>
        <w:tc>
          <w:tcPr>
            <w:tcW w:w="2916" w:type="dxa"/>
          </w:tcPr>
          <w:p w:rsidR="00B703EA" w:rsidRPr="009A010C" w:rsidRDefault="00B703EA" w:rsidP="00287C83">
            <w:pPr>
              <w:jc w:val="left"/>
              <w:rPr>
                <w:sz w:val="18"/>
                <w:szCs w:val="18"/>
              </w:rPr>
            </w:pPr>
            <w:r w:rsidRPr="009A010C">
              <w:rPr>
                <w:sz w:val="18"/>
                <w:szCs w:val="18"/>
              </w:rPr>
              <w:t xml:space="preserve">Demonstration project to validate the use of </w:t>
            </w:r>
            <w:proofErr w:type="spellStart"/>
            <w:r w:rsidRPr="009A010C">
              <w:rPr>
                <w:sz w:val="18"/>
                <w:szCs w:val="18"/>
              </w:rPr>
              <w:t>hydrofluoro</w:t>
            </w:r>
            <w:proofErr w:type="spellEnd"/>
            <w:r w:rsidRPr="009A010C">
              <w:rPr>
                <w:sz w:val="18"/>
                <w:szCs w:val="18"/>
              </w:rPr>
              <w:t>-olefins for discontinuous panels in Article 5 parties through the development of cost-effective formulations (COL/FOA/76/DEM/100)</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248,380</w:t>
            </w:r>
          </w:p>
        </w:tc>
        <w:tc>
          <w:tcPr>
            <w:tcW w:w="1294" w:type="dxa"/>
          </w:tcPr>
          <w:p w:rsidR="00B703EA" w:rsidRPr="009A010C" w:rsidRDefault="00B703EA" w:rsidP="00287C83">
            <w:pPr>
              <w:jc w:val="right"/>
              <w:rPr>
                <w:sz w:val="18"/>
                <w:szCs w:val="18"/>
              </w:rPr>
            </w:pPr>
            <w:r w:rsidRPr="009A010C">
              <w:rPr>
                <w:sz w:val="18"/>
                <w:szCs w:val="18"/>
              </w:rPr>
              <w:t>completed</w:t>
            </w:r>
          </w:p>
        </w:tc>
        <w:tc>
          <w:tcPr>
            <w:tcW w:w="1461" w:type="dxa"/>
          </w:tcPr>
          <w:p w:rsidR="00B703EA" w:rsidRPr="009A010C" w:rsidRDefault="00B703EA" w:rsidP="00287C83">
            <w:pPr>
              <w:jc w:val="right"/>
              <w:rPr>
                <w:sz w:val="18"/>
                <w:szCs w:val="18"/>
              </w:rPr>
            </w:pPr>
            <w:r w:rsidRPr="009A010C">
              <w:rPr>
                <w:sz w:val="18"/>
                <w:szCs w:val="18"/>
              </w:rPr>
              <w:t>Submitted to the 81</w:t>
            </w:r>
            <w:r w:rsidRPr="009A010C">
              <w:rPr>
                <w:sz w:val="18"/>
                <w:szCs w:val="18"/>
                <w:vertAlign w:val="superscript"/>
              </w:rPr>
              <w:t>st</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Costa Rica</w:t>
            </w:r>
          </w:p>
        </w:tc>
        <w:tc>
          <w:tcPr>
            <w:tcW w:w="2916" w:type="dxa"/>
          </w:tcPr>
          <w:p w:rsidR="00B703EA" w:rsidRPr="009A010C" w:rsidRDefault="00B703EA" w:rsidP="00287C83">
            <w:pPr>
              <w:jc w:val="left"/>
              <w:rPr>
                <w:sz w:val="18"/>
                <w:szCs w:val="18"/>
              </w:rPr>
            </w:pPr>
            <w:r w:rsidRPr="009A010C">
              <w:rPr>
                <w:sz w:val="18"/>
                <w:szCs w:val="18"/>
              </w:rPr>
              <w:t xml:space="preserve">Demonstration of the application of an ammonia/carbon dioxide refrigeration system in replacement of HCFC-22 for the medium-sized producer and retail store of </w:t>
            </w:r>
            <w:proofErr w:type="spellStart"/>
            <w:r w:rsidRPr="009A010C">
              <w:rPr>
                <w:sz w:val="18"/>
                <w:szCs w:val="18"/>
              </w:rPr>
              <w:t>Premezclas</w:t>
            </w:r>
            <w:proofErr w:type="spellEnd"/>
            <w:r w:rsidRPr="009A010C">
              <w:rPr>
                <w:sz w:val="18"/>
                <w:szCs w:val="18"/>
              </w:rPr>
              <w:t xml:space="preserve"> </w:t>
            </w:r>
            <w:proofErr w:type="spellStart"/>
            <w:r w:rsidRPr="009A010C">
              <w:rPr>
                <w:sz w:val="18"/>
                <w:szCs w:val="18"/>
              </w:rPr>
              <w:t>Industriales</w:t>
            </w:r>
            <w:proofErr w:type="spellEnd"/>
            <w:r w:rsidRPr="009A010C">
              <w:rPr>
                <w:sz w:val="18"/>
                <w:szCs w:val="18"/>
              </w:rPr>
              <w:t xml:space="preserve"> S.A. (COS/REF/76/DEM/55)</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524,000</w:t>
            </w:r>
          </w:p>
        </w:tc>
        <w:tc>
          <w:tcPr>
            <w:tcW w:w="1294" w:type="dxa"/>
          </w:tcPr>
          <w:p w:rsidR="00B703EA" w:rsidRPr="009A010C" w:rsidRDefault="00B703EA" w:rsidP="00287C83">
            <w:pPr>
              <w:jc w:val="right"/>
              <w:rPr>
                <w:sz w:val="18"/>
                <w:szCs w:val="18"/>
              </w:rPr>
            </w:pPr>
            <w:r w:rsidRPr="009A010C">
              <w:rPr>
                <w:sz w:val="18"/>
                <w:szCs w:val="18"/>
              </w:rPr>
              <w:t>completed</w:t>
            </w:r>
          </w:p>
        </w:tc>
        <w:tc>
          <w:tcPr>
            <w:tcW w:w="1461" w:type="dxa"/>
          </w:tcPr>
          <w:p w:rsidR="00B703EA" w:rsidRPr="009A010C" w:rsidRDefault="00B703EA" w:rsidP="00287C83">
            <w:pPr>
              <w:jc w:val="right"/>
              <w:rPr>
                <w:sz w:val="18"/>
                <w:szCs w:val="18"/>
              </w:rPr>
            </w:pPr>
            <w:r w:rsidRPr="009A010C">
              <w:rPr>
                <w:sz w:val="18"/>
                <w:szCs w:val="18"/>
              </w:rPr>
              <w:t>Submitted to the 81</w:t>
            </w:r>
            <w:r w:rsidRPr="009A010C">
              <w:rPr>
                <w:sz w:val="18"/>
                <w:szCs w:val="18"/>
                <w:vertAlign w:val="superscript"/>
              </w:rPr>
              <w:t>st</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Egypt</w:t>
            </w:r>
          </w:p>
        </w:tc>
        <w:tc>
          <w:tcPr>
            <w:tcW w:w="2916" w:type="dxa"/>
          </w:tcPr>
          <w:p w:rsidR="00B703EA" w:rsidRPr="009A010C" w:rsidRDefault="00B703EA" w:rsidP="00287C83">
            <w:pPr>
              <w:jc w:val="left"/>
              <w:rPr>
                <w:sz w:val="18"/>
                <w:szCs w:val="18"/>
              </w:rPr>
            </w:pPr>
            <w:r w:rsidRPr="009A010C">
              <w:rPr>
                <w:sz w:val="18"/>
                <w:szCs w:val="18"/>
              </w:rPr>
              <w:t>Demonstration of low-cost options for the conversion to non-ODS technologies in polyurethane foams at very small users (EGY/FOA/76/DEM/129)</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295,000</w:t>
            </w:r>
          </w:p>
        </w:tc>
        <w:tc>
          <w:tcPr>
            <w:tcW w:w="1294" w:type="dxa"/>
          </w:tcPr>
          <w:p w:rsidR="00B703EA" w:rsidRPr="009A010C" w:rsidRDefault="00B703EA" w:rsidP="00287C83">
            <w:pPr>
              <w:jc w:val="right"/>
              <w:rPr>
                <w:sz w:val="18"/>
                <w:szCs w:val="18"/>
              </w:rPr>
            </w:pPr>
            <w:r w:rsidRPr="009A010C">
              <w:rPr>
                <w:sz w:val="18"/>
                <w:szCs w:val="18"/>
              </w:rPr>
              <w:t>31 Dec. 2018</w:t>
            </w:r>
          </w:p>
        </w:tc>
        <w:tc>
          <w:tcPr>
            <w:tcW w:w="1461" w:type="dxa"/>
          </w:tcPr>
          <w:p w:rsidR="00B703EA" w:rsidRPr="009A010C" w:rsidRDefault="00B703EA" w:rsidP="00287C83">
            <w:pPr>
              <w:jc w:val="right"/>
              <w:rPr>
                <w:sz w:val="18"/>
                <w:szCs w:val="18"/>
              </w:rPr>
            </w:pPr>
            <w:r w:rsidRPr="009A010C">
              <w:rPr>
                <w:sz w:val="18"/>
                <w:szCs w:val="18"/>
              </w:rPr>
              <w:t>83</w:t>
            </w:r>
            <w:r w:rsidRPr="009A010C">
              <w:rPr>
                <w:sz w:val="18"/>
                <w:szCs w:val="18"/>
                <w:vertAlign w:val="superscript"/>
              </w:rPr>
              <w:t>rd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lastRenderedPageBreak/>
              <w:t>Kuwait</w:t>
            </w:r>
          </w:p>
        </w:tc>
        <w:tc>
          <w:tcPr>
            <w:tcW w:w="2916" w:type="dxa"/>
          </w:tcPr>
          <w:p w:rsidR="00B703EA" w:rsidRPr="009A010C" w:rsidRDefault="00B703EA" w:rsidP="00287C83">
            <w:pPr>
              <w:jc w:val="left"/>
              <w:rPr>
                <w:sz w:val="18"/>
                <w:szCs w:val="18"/>
              </w:rPr>
            </w:pPr>
            <w:r w:rsidRPr="009A010C">
              <w:rPr>
                <w:sz w:val="18"/>
                <w:szCs w:val="18"/>
              </w:rPr>
              <w:t>Demonstration project for HCFC</w:t>
            </w:r>
            <w:r w:rsidRPr="009A010C">
              <w:rPr>
                <w:sz w:val="18"/>
                <w:szCs w:val="18"/>
              </w:rPr>
              <w:noBreakHyphen/>
              <w:t>free, low-GWP technology performance in air-conditioning applications (KUW/REF/76/DEM/32)</w:t>
            </w:r>
          </w:p>
          <w:p w:rsidR="00B703EA" w:rsidRPr="009A010C" w:rsidRDefault="00B703EA" w:rsidP="00287C83">
            <w:pPr>
              <w:jc w:val="left"/>
              <w:rPr>
                <w:sz w:val="18"/>
                <w:szCs w:val="18"/>
              </w:rPr>
            </w:pP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293,000</w:t>
            </w:r>
          </w:p>
        </w:tc>
        <w:tc>
          <w:tcPr>
            <w:tcW w:w="1294" w:type="dxa"/>
          </w:tcPr>
          <w:p w:rsidR="00B703EA" w:rsidRPr="009A010C" w:rsidRDefault="00B703EA" w:rsidP="00287C83">
            <w:pPr>
              <w:jc w:val="right"/>
              <w:rPr>
                <w:sz w:val="18"/>
                <w:szCs w:val="18"/>
              </w:rPr>
            </w:pPr>
            <w:r w:rsidRPr="009A010C">
              <w:rPr>
                <w:sz w:val="18"/>
                <w:szCs w:val="18"/>
              </w:rPr>
              <w:t>13 May 2019</w:t>
            </w:r>
          </w:p>
        </w:tc>
        <w:tc>
          <w:tcPr>
            <w:tcW w:w="1461" w:type="dxa"/>
          </w:tcPr>
          <w:p w:rsidR="00B703EA" w:rsidRPr="009A010C" w:rsidRDefault="00B703EA" w:rsidP="00287C83">
            <w:pPr>
              <w:jc w:val="right"/>
              <w:rPr>
                <w:sz w:val="18"/>
                <w:szCs w:val="18"/>
              </w:rPr>
            </w:pPr>
            <w:r w:rsidRPr="009A010C">
              <w:rPr>
                <w:sz w:val="18"/>
                <w:szCs w:val="18"/>
              </w:rPr>
              <w:t>84</w:t>
            </w:r>
            <w:r w:rsidRPr="009A010C">
              <w:rPr>
                <w:sz w:val="18"/>
                <w:szCs w:val="18"/>
                <w:vertAlign w:val="superscript"/>
              </w:rPr>
              <w:t>th</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Maldives</w:t>
            </w:r>
          </w:p>
        </w:tc>
        <w:tc>
          <w:tcPr>
            <w:tcW w:w="2916" w:type="dxa"/>
          </w:tcPr>
          <w:p w:rsidR="00B703EA" w:rsidRPr="009A010C" w:rsidRDefault="00B703EA" w:rsidP="00287C83">
            <w:pPr>
              <w:jc w:val="left"/>
              <w:rPr>
                <w:sz w:val="18"/>
                <w:szCs w:val="18"/>
              </w:rPr>
            </w:pPr>
            <w:r w:rsidRPr="009A010C">
              <w:rPr>
                <w:sz w:val="18"/>
                <w:szCs w:val="18"/>
              </w:rPr>
              <w:t>Demonstration project for HCFC</w:t>
            </w:r>
            <w:r w:rsidRPr="009A010C">
              <w:rPr>
                <w:sz w:val="18"/>
                <w:szCs w:val="18"/>
              </w:rPr>
              <w:noBreakHyphen/>
              <w:t>free low-GWP alternatives in refrigeration in the fisheries sector (MDV/REF/76/DEM/30)</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141,000</w:t>
            </w:r>
          </w:p>
        </w:tc>
        <w:tc>
          <w:tcPr>
            <w:tcW w:w="1294" w:type="dxa"/>
          </w:tcPr>
          <w:p w:rsidR="00B703EA" w:rsidRPr="009A010C" w:rsidRDefault="00B703EA" w:rsidP="00287C83">
            <w:pPr>
              <w:jc w:val="right"/>
              <w:rPr>
                <w:sz w:val="18"/>
                <w:szCs w:val="18"/>
              </w:rPr>
            </w:pPr>
            <w:r w:rsidRPr="009A010C">
              <w:rPr>
                <w:sz w:val="18"/>
                <w:szCs w:val="18"/>
              </w:rPr>
              <w:t>completed</w:t>
            </w:r>
          </w:p>
        </w:tc>
        <w:tc>
          <w:tcPr>
            <w:tcW w:w="1461" w:type="dxa"/>
          </w:tcPr>
          <w:p w:rsidR="00B703EA" w:rsidRPr="009A010C" w:rsidRDefault="00B703EA" w:rsidP="00287C83">
            <w:pPr>
              <w:jc w:val="right"/>
              <w:rPr>
                <w:sz w:val="18"/>
                <w:szCs w:val="18"/>
              </w:rPr>
            </w:pPr>
            <w:r w:rsidRPr="009A010C">
              <w:rPr>
                <w:sz w:val="18"/>
                <w:szCs w:val="18"/>
              </w:rPr>
              <w:t>Submitted to the 81</w:t>
            </w:r>
            <w:r w:rsidRPr="009A010C">
              <w:rPr>
                <w:sz w:val="18"/>
                <w:szCs w:val="18"/>
                <w:vertAlign w:val="superscript"/>
              </w:rPr>
              <w:t>st</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Morocco</w:t>
            </w:r>
          </w:p>
        </w:tc>
        <w:tc>
          <w:tcPr>
            <w:tcW w:w="2916" w:type="dxa"/>
          </w:tcPr>
          <w:p w:rsidR="00B703EA" w:rsidRPr="009A010C" w:rsidRDefault="00B703EA" w:rsidP="00287C83">
            <w:pPr>
              <w:jc w:val="left"/>
              <w:rPr>
                <w:sz w:val="18"/>
                <w:szCs w:val="18"/>
              </w:rPr>
            </w:pPr>
            <w:r w:rsidRPr="009A010C">
              <w:rPr>
                <w:sz w:val="18"/>
                <w:szCs w:val="18"/>
              </w:rPr>
              <w:t>Demonstration of the use of low-cost pentane foaming technology for the conversion to non-ODS technologies in polyurethane foams at small and medium-sized enterprises (MOR/FOA/75/DEM/74)</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280,500</w:t>
            </w:r>
          </w:p>
        </w:tc>
        <w:tc>
          <w:tcPr>
            <w:tcW w:w="1294" w:type="dxa"/>
          </w:tcPr>
          <w:p w:rsidR="00B703EA" w:rsidRPr="009A010C" w:rsidRDefault="00B703EA" w:rsidP="00287C83">
            <w:pPr>
              <w:jc w:val="right"/>
              <w:rPr>
                <w:sz w:val="18"/>
                <w:szCs w:val="18"/>
              </w:rPr>
            </w:pPr>
            <w:r w:rsidRPr="009A010C">
              <w:rPr>
                <w:sz w:val="18"/>
                <w:szCs w:val="18"/>
              </w:rPr>
              <w:t>31 Dec. 2018</w:t>
            </w:r>
          </w:p>
        </w:tc>
        <w:tc>
          <w:tcPr>
            <w:tcW w:w="1461" w:type="dxa"/>
          </w:tcPr>
          <w:p w:rsidR="00B703EA" w:rsidRPr="009A010C" w:rsidRDefault="00B703EA" w:rsidP="00287C83">
            <w:pPr>
              <w:jc w:val="right"/>
              <w:rPr>
                <w:sz w:val="18"/>
                <w:szCs w:val="18"/>
              </w:rPr>
            </w:pPr>
            <w:r w:rsidRPr="009A010C">
              <w:rPr>
                <w:sz w:val="18"/>
                <w:szCs w:val="18"/>
              </w:rPr>
              <w:t>83</w:t>
            </w:r>
            <w:r w:rsidRPr="009A010C">
              <w:rPr>
                <w:sz w:val="18"/>
                <w:szCs w:val="18"/>
                <w:vertAlign w:val="superscript"/>
              </w:rPr>
              <w:t>rd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Saudi Arabia</w:t>
            </w:r>
          </w:p>
        </w:tc>
        <w:tc>
          <w:tcPr>
            <w:tcW w:w="2916" w:type="dxa"/>
          </w:tcPr>
          <w:p w:rsidR="00B703EA" w:rsidRPr="009A010C" w:rsidRDefault="00B703EA" w:rsidP="00287C83">
            <w:pPr>
              <w:jc w:val="left"/>
              <w:rPr>
                <w:sz w:val="18"/>
                <w:szCs w:val="18"/>
              </w:rPr>
            </w:pPr>
            <w:r w:rsidRPr="009A010C">
              <w:rPr>
                <w:sz w:val="18"/>
                <w:szCs w:val="18"/>
              </w:rPr>
              <w:t>Demonstration project at air</w:t>
            </w:r>
            <w:r w:rsidRPr="009A010C">
              <w:rPr>
                <w:sz w:val="18"/>
                <w:szCs w:val="18"/>
              </w:rPr>
              <w:noBreakHyphen/>
              <w:t>conditioning manufacturers to develop window and packaged air</w:t>
            </w:r>
            <w:r w:rsidRPr="009A010C">
              <w:rPr>
                <w:sz w:val="18"/>
                <w:szCs w:val="18"/>
              </w:rPr>
              <w:noBreakHyphen/>
              <w:t>conditioners using low-global warming potential refrigerants (SAU/REF/76/DEM/29)</w:t>
            </w:r>
          </w:p>
        </w:tc>
        <w:tc>
          <w:tcPr>
            <w:tcW w:w="991" w:type="dxa"/>
          </w:tcPr>
          <w:p w:rsidR="00B703EA" w:rsidRPr="009A010C" w:rsidRDefault="00B703EA" w:rsidP="00287C83">
            <w:pPr>
              <w:jc w:val="right"/>
              <w:rPr>
                <w:sz w:val="18"/>
                <w:szCs w:val="18"/>
              </w:rPr>
            </w:pPr>
            <w:r w:rsidRPr="009A010C">
              <w:rPr>
                <w:sz w:val="18"/>
                <w:szCs w:val="18"/>
              </w:rPr>
              <w:t>World Bank</w:t>
            </w:r>
          </w:p>
        </w:tc>
        <w:tc>
          <w:tcPr>
            <w:tcW w:w="1242" w:type="dxa"/>
          </w:tcPr>
          <w:p w:rsidR="00B703EA" w:rsidRPr="009A010C" w:rsidRDefault="00B703EA" w:rsidP="00287C83">
            <w:pPr>
              <w:jc w:val="right"/>
              <w:rPr>
                <w:sz w:val="18"/>
                <w:szCs w:val="18"/>
              </w:rPr>
            </w:pPr>
            <w:r w:rsidRPr="009A010C">
              <w:rPr>
                <w:sz w:val="18"/>
                <w:szCs w:val="18"/>
              </w:rPr>
              <w:t>1,300,000</w:t>
            </w:r>
          </w:p>
        </w:tc>
        <w:tc>
          <w:tcPr>
            <w:tcW w:w="1294" w:type="dxa"/>
          </w:tcPr>
          <w:p w:rsidR="00B703EA" w:rsidRPr="009A010C" w:rsidRDefault="00B703EA" w:rsidP="00287C83">
            <w:pPr>
              <w:jc w:val="right"/>
              <w:rPr>
                <w:sz w:val="18"/>
                <w:szCs w:val="18"/>
              </w:rPr>
            </w:pPr>
            <w:r w:rsidRPr="009A010C">
              <w:rPr>
                <w:sz w:val="18"/>
                <w:szCs w:val="18"/>
              </w:rPr>
              <w:t>30 Sep. 2018</w:t>
            </w:r>
            <w:r w:rsidRPr="009A010C">
              <w:rPr>
                <w:sz w:val="18"/>
                <w:szCs w:val="18"/>
                <w:vertAlign w:val="superscript"/>
              </w:rPr>
              <w:t>b</w:t>
            </w:r>
          </w:p>
        </w:tc>
        <w:tc>
          <w:tcPr>
            <w:tcW w:w="1461" w:type="dxa"/>
          </w:tcPr>
          <w:p w:rsidR="00B703EA" w:rsidRPr="009A010C" w:rsidRDefault="00B703EA" w:rsidP="00287C83">
            <w:pPr>
              <w:jc w:val="right"/>
              <w:rPr>
                <w:sz w:val="18"/>
                <w:szCs w:val="18"/>
              </w:rPr>
            </w:pPr>
            <w:r w:rsidRPr="009A010C">
              <w:rPr>
                <w:sz w:val="18"/>
                <w:szCs w:val="18"/>
              </w:rPr>
              <w:t>82</w:t>
            </w:r>
            <w:r w:rsidRPr="009A010C">
              <w:rPr>
                <w:sz w:val="18"/>
                <w:szCs w:val="18"/>
                <w:vertAlign w:val="superscript"/>
              </w:rPr>
              <w:t>nd</w:t>
            </w:r>
            <w:r w:rsidRPr="009A010C">
              <w:rPr>
                <w:sz w:val="18"/>
                <w:szCs w:val="18"/>
              </w:rPr>
              <w:t> </w:t>
            </w:r>
            <w:proofErr w:type="spellStart"/>
            <w:r w:rsidRPr="009A010C">
              <w:rPr>
                <w:sz w:val="18"/>
                <w:szCs w:val="18"/>
              </w:rPr>
              <w:t>meeting</w:t>
            </w:r>
            <w:r w:rsidRPr="009A010C">
              <w:rPr>
                <w:sz w:val="18"/>
                <w:szCs w:val="18"/>
                <w:vertAlign w:val="superscript"/>
              </w:rPr>
              <w:t>b</w:t>
            </w:r>
            <w:proofErr w:type="spellEnd"/>
          </w:p>
        </w:tc>
      </w:tr>
      <w:tr w:rsidR="00B703EA" w:rsidRPr="009A010C" w:rsidTr="00287C83">
        <w:tc>
          <w:tcPr>
            <w:tcW w:w="1446" w:type="dxa"/>
          </w:tcPr>
          <w:p w:rsidR="00B703EA" w:rsidRPr="009A010C" w:rsidRDefault="00B703EA" w:rsidP="00287C83">
            <w:pPr>
              <w:rPr>
                <w:sz w:val="18"/>
                <w:szCs w:val="18"/>
              </w:rPr>
            </w:pPr>
            <w:r w:rsidRPr="009A010C">
              <w:rPr>
                <w:sz w:val="18"/>
                <w:szCs w:val="18"/>
              </w:rPr>
              <w:t>Saudi Arabia</w:t>
            </w:r>
          </w:p>
        </w:tc>
        <w:tc>
          <w:tcPr>
            <w:tcW w:w="2916" w:type="dxa"/>
          </w:tcPr>
          <w:p w:rsidR="00B703EA" w:rsidRPr="009A010C" w:rsidRDefault="00B703EA" w:rsidP="00287C83">
            <w:pPr>
              <w:jc w:val="left"/>
              <w:rPr>
                <w:sz w:val="18"/>
                <w:szCs w:val="18"/>
              </w:rPr>
            </w:pPr>
            <w:r w:rsidRPr="009A010C">
              <w:rPr>
                <w:sz w:val="18"/>
                <w:szCs w:val="18"/>
              </w:rPr>
              <w:t>Demonstration project on promoting HFO-based low-global warming potential refrigerants for air</w:t>
            </w:r>
            <w:r w:rsidRPr="009A010C">
              <w:rPr>
                <w:sz w:val="18"/>
                <w:szCs w:val="18"/>
              </w:rPr>
              <w:noBreakHyphen/>
              <w:t>conditioning sector in high ambient temperatures (SAU/REF/76/DEM/28)</w:t>
            </w:r>
          </w:p>
        </w:tc>
        <w:tc>
          <w:tcPr>
            <w:tcW w:w="991" w:type="dxa"/>
          </w:tcPr>
          <w:p w:rsidR="00B703EA" w:rsidRPr="009A010C" w:rsidRDefault="00B703EA" w:rsidP="00287C83">
            <w:pPr>
              <w:jc w:val="right"/>
              <w:rPr>
                <w:sz w:val="18"/>
                <w:szCs w:val="18"/>
              </w:rPr>
            </w:pPr>
            <w:r w:rsidRPr="009A010C">
              <w:rPr>
                <w:sz w:val="18"/>
                <w:szCs w:val="18"/>
              </w:rPr>
              <w:t>UNIDO</w:t>
            </w:r>
          </w:p>
        </w:tc>
        <w:tc>
          <w:tcPr>
            <w:tcW w:w="1242" w:type="dxa"/>
          </w:tcPr>
          <w:p w:rsidR="00B703EA" w:rsidRPr="009A010C" w:rsidRDefault="00B703EA" w:rsidP="00287C83">
            <w:pPr>
              <w:jc w:val="right"/>
              <w:rPr>
                <w:sz w:val="18"/>
                <w:szCs w:val="18"/>
              </w:rPr>
            </w:pPr>
            <w:r w:rsidRPr="009A010C">
              <w:rPr>
                <w:sz w:val="18"/>
                <w:szCs w:val="18"/>
              </w:rPr>
              <w:t>796,400</w:t>
            </w:r>
          </w:p>
        </w:tc>
        <w:tc>
          <w:tcPr>
            <w:tcW w:w="1294" w:type="dxa"/>
          </w:tcPr>
          <w:p w:rsidR="00B703EA" w:rsidRPr="009A010C" w:rsidRDefault="00B703EA" w:rsidP="00287C83">
            <w:pPr>
              <w:jc w:val="right"/>
              <w:rPr>
                <w:sz w:val="18"/>
                <w:szCs w:val="18"/>
              </w:rPr>
            </w:pPr>
            <w:r w:rsidRPr="009A010C">
              <w:rPr>
                <w:sz w:val="18"/>
                <w:szCs w:val="18"/>
              </w:rPr>
              <w:t>31 Dec. 2018</w:t>
            </w:r>
          </w:p>
        </w:tc>
        <w:tc>
          <w:tcPr>
            <w:tcW w:w="1461" w:type="dxa"/>
          </w:tcPr>
          <w:p w:rsidR="00B703EA" w:rsidRPr="009A010C" w:rsidRDefault="00B703EA" w:rsidP="00287C83">
            <w:pPr>
              <w:jc w:val="right"/>
              <w:rPr>
                <w:sz w:val="18"/>
                <w:szCs w:val="18"/>
              </w:rPr>
            </w:pPr>
            <w:r w:rsidRPr="009A010C">
              <w:rPr>
                <w:sz w:val="18"/>
                <w:szCs w:val="18"/>
              </w:rPr>
              <w:t>83</w:t>
            </w:r>
            <w:r w:rsidRPr="009A010C">
              <w:rPr>
                <w:sz w:val="18"/>
                <w:szCs w:val="18"/>
                <w:vertAlign w:val="superscript"/>
              </w:rPr>
              <w:t>rd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Saudi Arabia</w:t>
            </w:r>
          </w:p>
        </w:tc>
        <w:tc>
          <w:tcPr>
            <w:tcW w:w="2916" w:type="dxa"/>
          </w:tcPr>
          <w:p w:rsidR="00B703EA" w:rsidRPr="009A010C" w:rsidRDefault="00B703EA" w:rsidP="00287C83">
            <w:pPr>
              <w:jc w:val="left"/>
              <w:rPr>
                <w:sz w:val="18"/>
                <w:szCs w:val="18"/>
              </w:rPr>
            </w:pPr>
            <w:r w:rsidRPr="009A010C">
              <w:rPr>
                <w:sz w:val="18"/>
                <w:szCs w:val="18"/>
              </w:rPr>
              <w:t>Demonstration project for the phase</w:t>
            </w:r>
            <w:r w:rsidRPr="009A010C">
              <w:rPr>
                <w:sz w:val="18"/>
                <w:szCs w:val="18"/>
              </w:rPr>
              <w:noBreakHyphen/>
              <w:t>out of HCFCs by using HFO as foam blowing agent in the spray foam applications in high ambient temperatures (SAU/FOA/76/DEM/27)</w:t>
            </w:r>
          </w:p>
        </w:tc>
        <w:tc>
          <w:tcPr>
            <w:tcW w:w="991" w:type="dxa"/>
          </w:tcPr>
          <w:p w:rsidR="00B703EA" w:rsidRPr="009A010C" w:rsidRDefault="00B703EA" w:rsidP="00287C83">
            <w:pPr>
              <w:jc w:val="right"/>
              <w:rPr>
                <w:sz w:val="18"/>
                <w:szCs w:val="18"/>
              </w:rPr>
            </w:pPr>
            <w:r w:rsidRPr="009A010C">
              <w:rPr>
                <w:sz w:val="18"/>
                <w:szCs w:val="18"/>
              </w:rPr>
              <w:t>UNIDO</w:t>
            </w:r>
          </w:p>
        </w:tc>
        <w:tc>
          <w:tcPr>
            <w:tcW w:w="1242" w:type="dxa"/>
          </w:tcPr>
          <w:p w:rsidR="00B703EA" w:rsidRPr="009A010C" w:rsidRDefault="00B703EA" w:rsidP="00287C83">
            <w:pPr>
              <w:jc w:val="right"/>
              <w:rPr>
                <w:sz w:val="18"/>
                <w:szCs w:val="18"/>
              </w:rPr>
            </w:pPr>
            <w:r w:rsidRPr="009A010C">
              <w:rPr>
                <w:sz w:val="18"/>
                <w:szCs w:val="18"/>
              </w:rPr>
              <w:t>96,250</w:t>
            </w:r>
          </w:p>
        </w:tc>
        <w:tc>
          <w:tcPr>
            <w:tcW w:w="1294" w:type="dxa"/>
          </w:tcPr>
          <w:p w:rsidR="00B703EA" w:rsidRPr="009A010C" w:rsidRDefault="00B703EA" w:rsidP="00287C83">
            <w:pPr>
              <w:jc w:val="right"/>
              <w:rPr>
                <w:sz w:val="18"/>
                <w:szCs w:val="18"/>
              </w:rPr>
            </w:pPr>
            <w:r w:rsidRPr="009A010C">
              <w:rPr>
                <w:sz w:val="18"/>
                <w:szCs w:val="18"/>
              </w:rPr>
              <w:t>31 Dec. 2018</w:t>
            </w:r>
          </w:p>
        </w:tc>
        <w:tc>
          <w:tcPr>
            <w:tcW w:w="1461" w:type="dxa"/>
          </w:tcPr>
          <w:p w:rsidR="00B703EA" w:rsidRPr="009A010C" w:rsidRDefault="00B703EA" w:rsidP="00287C83">
            <w:pPr>
              <w:jc w:val="right"/>
              <w:rPr>
                <w:sz w:val="18"/>
                <w:szCs w:val="18"/>
              </w:rPr>
            </w:pPr>
            <w:r w:rsidRPr="009A010C">
              <w:rPr>
                <w:sz w:val="18"/>
                <w:szCs w:val="18"/>
              </w:rPr>
              <w:t>83</w:t>
            </w:r>
            <w:r w:rsidRPr="009A010C">
              <w:rPr>
                <w:sz w:val="18"/>
                <w:szCs w:val="18"/>
                <w:vertAlign w:val="superscript"/>
              </w:rPr>
              <w:t>rd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South Africa</w:t>
            </w:r>
          </w:p>
        </w:tc>
        <w:tc>
          <w:tcPr>
            <w:tcW w:w="2916" w:type="dxa"/>
          </w:tcPr>
          <w:p w:rsidR="00B703EA" w:rsidRPr="009A010C" w:rsidRDefault="00B703EA" w:rsidP="00287C83">
            <w:pPr>
              <w:jc w:val="left"/>
              <w:rPr>
                <w:sz w:val="18"/>
                <w:szCs w:val="18"/>
              </w:rPr>
            </w:pPr>
            <w:r w:rsidRPr="009A010C">
              <w:rPr>
                <w:sz w:val="18"/>
                <w:szCs w:val="18"/>
              </w:rPr>
              <w:t>Demonstration project on the technical and economic advantages of the vacuum assisted injection in discontinuous panels plant retrofitted from HCFC-141b to pentane (SOA/FOA/76/DEM/09)</w:t>
            </w:r>
          </w:p>
        </w:tc>
        <w:tc>
          <w:tcPr>
            <w:tcW w:w="991" w:type="dxa"/>
          </w:tcPr>
          <w:p w:rsidR="00B703EA" w:rsidRPr="009A010C" w:rsidRDefault="00B703EA" w:rsidP="00287C83">
            <w:pPr>
              <w:jc w:val="right"/>
              <w:rPr>
                <w:sz w:val="18"/>
                <w:szCs w:val="18"/>
              </w:rPr>
            </w:pPr>
            <w:r w:rsidRPr="009A010C">
              <w:rPr>
                <w:sz w:val="18"/>
                <w:szCs w:val="18"/>
              </w:rPr>
              <w:t>UNIDO</w:t>
            </w:r>
          </w:p>
        </w:tc>
        <w:tc>
          <w:tcPr>
            <w:tcW w:w="1242" w:type="dxa"/>
          </w:tcPr>
          <w:p w:rsidR="00B703EA" w:rsidRPr="009A010C" w:rsidRDefault="00B703EA" w:rsidP="00287C83">
            <w:pPr>
              <w:jc w:val="right"/>
              <w:rPr>
                <w:sz w:val="18"/>
                <w:szCs w:val="18"/>
              </w:rPr>
            </w:pPr>
            <w:r w:rsidRPr="009A010C">
              <w:rPr>
                <w:sz w:val="18"/>
                <w:szCs w:val="18"/>
              </w:rPr>
              <w:t>222,200</w:t>
            </w:r>
          </w:p>
        </w:tc>
        <w:tc>
          <w:tcPr>
            <w:tcW w:w="1294" w:type="dxa"/>
          </w:tcPr>
          <w:p w:rsidR="00B703EA" w:rsidRPr="009A010C" w:rsidRDefault="00B703EA" w:rsidP="00287C83">
            <w:pPr>
              <w:jc w:val="right"/>
              <w:rPr>
                <w:sz w:val="18"/>
                <w:szCs w:val="18"/>
              </w:rPr>
            </w:pPr>
            <w:r w:rsidRPr="009A010C">
              <w:rPr>
                <w:sz w:val="18"/>
                <w:szCs w:val="18"/>
              </w:rPr>
              <w:t>completed</w:t>
            </w:r>
          </w:p>
        </w:tc>
        <w:tc>
          <w:tcPr>
            <w:tcW w:w="1461" w:type="dxa"/>
          </w:tcPr>
          <w:p w:rsidR="00B703EA" w:rsidRPr="009A010C" w:rsidRDefault="00B703EA" w:rsidP="00287C83">
            <w:pPr>
              <w:jc w:val="right"/>
              <w:rPr>
                <w:sz w:val="18"/>
                <w:szCs w:val="18"/>
              </w:rPr>
            </w:pPr>
            <w:r w:rsidRPr="009A010C">
              <w:rPr>
                <w:sz w:val="18"/>
                <w:szCs w:val="18"/>
              </w:rPr>
              <w:t>Submitted to the 81</w:t>
            </w:r>
            <w:r w:rsidRPr="009A010C">
              <w:rPr>
                <w:sz w:val="18"/>
                <w:szCs w:val="18"/>
                <w:vertAlign w:val="superscript"/>
              </w:rPr>
              <w:t>st</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Thailand</w:t>
            </w:r>
          </w:p>
        </w:tc>
        <w:tc>
          <w:tcPr>
            <w:tcW w:w="2916" w:type="dxa"/>
          </w:tcPr>
          <w:p w:rsidR="00B703EA" w:rsidRPr="009A010C" w:rsidRDefault="00B703EA" w:rsidP="00287C83">
            <w:pPr>
              <w:jc w:val="left"/>
              <w:rPr>
                <w:sz w:val="18"/>
                <w:szCs w:val="18"/>
              </w:rPr>
            </w:pPr>
            <w:r w:rsidRPr="009A010C">
              <w:rPr>
                <w:sz w:val="18"/>
                <w:szCs w:val="18"/>
              </w:rPr>
              <w:t>Demonstration project at foam system houses to formulate pre</w:t>
            </w:r>
            <w:r w:rsidRPr="009A010C">
              <w:rPr>
                <w:sz w:val="18"/>
                <w:szCs w:val="18"/>
              </w:rPr>
              <w:noBreakHyphen/>
              <w:t>blended polyol for spray polyurethane foam applications using low-global warming potential blowing agent (THA/FOA/76/DEM/168)</w:t>
            </w:r>
          </w:p>
        </w:tc>
        <w:tc>
          <w:tcPr>
            <w:tcW w:w="991" w:type="dxa"/>
          </w:tcPr>
          <w:p w:rsidR="00B703EA" w:rsidRPr="009A010C" w:rsidRDefault="00B703EA" w:rsidP="00287C83">
            <w:pPr>
              <w:jc w:val="right"/>
              <w:rPr>
                <w:sz w:val="18"/>
                <w:szCs w:val="18"/>
              </w:rPr>
            </w:pPr>
            <w:r w:rsidRPr="009A010C">
              <w:rPr>
                <w:sz w:val="18"/>
                <w:szCs w:val="18"/>
              </w:rPr>
              <w:t>World Bank</w:t>
            </w:r>
          </w:p>
        </w:tc>
        <w:tc>
          <w:tcPr>
            <w:tcW w:w="1242" w:type="dxa"/>
          </w:tcPr>
          <w:p w:rsidR="00B703EA" w:rsidRPr="009A010C" w:rsidRDefault="00B703EA" w:rsidP="00287C83">
            <w:pPr>
              <w:jc w:val="right"/>
              <w:rPr>
                <w:sz w:val="18"/>
                <w:szCs w:val="18"/>
              </w:rPr>
            </w:pPr>
            <w:r w:rsidRPr="009A010C">
              <w:rPr>
                <w:sz w:val="18"/>
                <w:szCs w:val="18"/>
              </w:rPr>
              <w:t>352,550</w:t>
            </w:r>
          </w:p>
        </w:tc>
        <w:tc>
          <w:tcPr>
            <w:tcW w:w="1294" w:type="dxa"/>
          </w:tcPr>
          <w:p w:rsidR="00B703EA" w:rsidRPr="009A010C" w:rsidRDefault="00B703EA" w:rsidP="00287C83">
            <w:pPr>
              <w:jc w:val="right"/>
              <w:rPr>
                <w:sz w:val="18"/>
                <w:szCs w:val="18"/>
              </w:rPr>
            </w:pPr>
            <w:r w:rsidRPr="009A010C">
              <w:rPr>
                <w:sz w:val="18"/>
                <w:szCs w:val="18"/>
              </w:rPr>
              <w:t>30 Sep. 2018</w:t>
            </w:r>
            <w:r w:rsidRPr="009A010C">
              <w:rPr>
                <w:sz w:val="18"/>
                <w:szCs w:val="18"/>
                <w:vertAlign w:val="superscript"/>
              </w:rPr>
              <w:t>c</w:t>
            </w:r>
          </w:p>
        </w:tc>
        <w:tc>
          <w:tcPr>
            <w:tcW w:w="1461" w:type="dxa"/>
          </w:tcPr>
          <w:p w:rsidR="00B703EA" w:rsidRPr="009A010C" w:rsidRDefault="00B703EA" w:rsidP="00287C83">
            <w:pPr>
              <w:jc w:val="right"/>
              <w:rPr>
                <w:sz w:val="18"/>
                <w:szCs w:val="18"/>
              </w:rPr>
            </w:pPr>
            <w:r w:rsidRPr="009A010C">
              <w:rPr>
                <w:sz w:val="18"/>
                <w:szCs w:val="18"/>
              </w:rPr>
              <w:t>83</w:t>
            </w:r>
            <w:r w:rsidRPr="009A010C">
              <w:rPr>
                <w:sz w:val="18"/>
                <w:szCs w:val="18"/>
                <w:vertAlign w:val="superscript"/>
              </w:rPr>
              <w:t>rd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Regional (West Asia), PRAHA</w:t>
            </w:r>
            <w:r w:rsidRPr="009A010C">
              <w:rPr>
                <w:sz w:val="18"/>
                <w:szCs w:val="18"/>
              </w:rPr>
              <w:noBreakHyphen/>
              <w:t>II</w:t>
            </w:r>
          </w:p>
        </w:tc>
        <w:tc>
          <w:tcPr>
            <w:tcW w:w="2916" w:type="dxa"/>
          </w:tcPr>
          <w:p w:rsidR="00B703EA" w:rsidRPr="009A010C" w:rsidRDefault="00B703EA" w:rsidP="00287C83">
            <w:pPr>
              <w:jc w:val="left"/>
              <w:rPr>
                <w:sz w:val="18"/>
                <w:szCs w:val="18"/>
              </w:rPr>
            </w:pPr>
            <w:r w:rsidRPr="009A010C">
              <w:rPr>
                <w:sz w:val="18"/>
                <w:szCs w:val="18"/>
              </w:rPr>
              <w:t>Promoting alternative refrigerants in air-conditioning for high ambient countries in West Asia (PRAHA-II) (ASP/REF/76/DEM/59 and 60)</w:t>
            </w:r>
          </w:p>
        </w:tc>
        <w:tc>
          <w:tcPr>
            <w:tcW w:w="991" w:type="dxa"/>
          </w:tcPr>
          <w:p w:rsidR="00B703EA" w:rsidRPr="009A010C" w:rsidRDefault="00B703EA" w:rsidP="00287C83">
            <w:pPr>
              <w:jc w:val="right"/>
              <w:rPr>
                <w:sz w:val="18"/>
                <w:szCs w:val="18"/>
              </w:rPr>
            </w:pPr>
            <w:r w:rsidRPr="009A010C">
              <w:rPr>
                <w:sz w:val="18"/>
                <w:szCs w:val="18"/>
              </w:rPr>
              <w:t>UNEP and UNIDO</w:t>
            </w:r>
          </w:p>
        </w:tc>
        <w:tc>
          <w:tcPr>
            <w:tcW w:w="1242" w:type="dxa"/>
          </w:tcPr>
          <w:p w:rsidR="00B703EA" w:rsidRPr="009A010C" w:rsidRDefault="00B703EA" w:rsidP="00287C83">
            <w:pPr>
              <w:jc w:val="right"/>
              <w:rPr>
                <w:sz w:val="18"/>
                <w:szCs w:val="18"/>
              </w:rPr>
            </w:pPr>
            <w:r w:rsidRPr="009A010C">
              <w:rPr>
                <w:sz w:val="18"/>
                <w:szCs w:val="18"/>
              </w:rPr>
              <w:t>700,000</w:t>
            </w:r>
          </w:p>
        </w:tc>
        <w:tc>
          <w:tcPr>
            <w:tcW w:w="1294" w:type="dxa"/>
          </w:tcPr>
          <w:p w:rsidR="00B703EA" w:rsidRPr="009A010C" w:rsidRDefault="00B703EA" w:rsidP="00287C83">
            <w:pPr>
              <w:jc w:val="right"/>
              <w:rPr>
                <w:sz w:val="18"/>
                <w:szCs w:val="18"/>
              </w:rPr>
            </w:pPr>
            <w:r w:rsidRPr="009A010C">
              <w:rPr>
                <w:sz w:val="18"/>
                <w:szCs w:val="18"/>
              </w:rPr>
              <w:t>31 Dec. 2018</w:t>
            </w:r>
          </w:p>
        </w:tc>
        <w:tc>
          <w:tcPr>
            <w:tcW w:w="1461" w:type="dxa"/>
          </w:tcPr>
          <w:p w:rsidR="00B703EA" w:rsidRPr="009A010C" w:rsidRDefault="00B703EA" w:rsidP="00287C83">
            <w:pPr>
              <w:jc w:val="right"/>
              <w:rPr>
                <w:sz w:val="18"/>
                <w:szCs w:val="18"/>
              </w:rPr>
            </w:pPr>
            <w:r w:rsidRPr="009A010C">
              <w:rPr>
                <w:sz w:val="18"/>
                <w:szCs w:val="18"/>
              </w:rPr>
              <w:t>83</w:t>
            </w:r>
            <w:r w:rsidRPr="009A010C">
              <w:rPr>
                <w:sz w:val="18"/>
                <w:szCs w:val="18"/>
                <w:vertAlign w:val="superscript"/>
              </w:rPr>
              <w:t>rd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Regional: Europe and Central Asia</w:t>
            </w:r>
          </w:p>
        </w:tc>
        <w:tc>
          <w:tcPr>
            <w:tcW w:w="2916" w:type="dxa"/>
          </w:tcPr>
          <w:p w:rsidR="00B703EA" w:rsidRPr="009A010C" w:rsidRDefault="00B703EA" w:rsidP="00287C83">
            <w:pPr>
              <w:jc w:val="left"/>
              <w:rPr>
                <w:sz w:val="18"/>
                <w:szCs w:val="18"/>
              </w:rPr>
            </w:pPr>
            <w:r w:rsidRPr="009A010C">
              <w:rPr>
                <w:sz w:val="18"/>
                <w:szCs w:val="18"/>
              </w:rPr>
              <w:t>Development of a regional centre of excellence for training and certification and demonstration of low-GWP alternative refrigerants (EUR/REF/76/DEM/16)</w:t>
            </w:r>
          </w:p>
        </w:tc>
        <w:tc>
          <w:tcPr>
            <w:tcW w:w="991" w:type="dxa"/>
          </w:tcPr>
          <w:p w:rsidR="00B703EA" w:rsidRPr="009A010C" w:rsidRDefault="00B703EA" w:rsidP="00287C83">
            <w:pPr>
              <w:jc w:val="right"/>
              <w:rPr>
                <w:sz w:val="18"/>
                <w:szCs w:val="18"/>
              </w:rPr>
            </w:pPr>
            <w:r w:rsidRPr="009A010C">
              <w:rPr>
                <w:sz w:val="18"/>
                <w:szCs w:val="18"/>
              </w:rPr>
              <w:t>Russian Federation (the)</w:t>
            </w:r>
          </w:p>
        </w:tc>
        <w:tc>
          <w:tcPr>
            <w:tcW w:w="1242" w:type="dxa"/>
          </w:tcPr>
          <w:p w:rsidR="00B703EA" w:rsidRPr="009A010C" w:rsidRDefault="00B703EA" w:rsidP="00287C83">
            <w:pPr>
              <w:jc w:val="right"/>
              <w:rPr>
                <w:sz w:val="18"/>
                <w:szCs w:val="18"/>
              </w:rPr>
            </w:pPr>
            <w:r w:rsidRPr="009A010C">
              <w:rPr>
                <w:sz w:val="18"/>
                <w:szCs w:val="18"/>
              </w:rPr>
              <w:t>591,600</w:t>
            </w:r>
          </w:p>
        </w:tc>
        <w:tc>
          <w:tcPr>
            <w:tcW w:w="1294" w:type="dxa"/>
          </w:tcPr>
          <w:p w:rsidR="00B703EA" w:rsidRPr="009A010C" w:rsidRDefault="00B703EA" w:rsidP="00287C83">
            <w:pPr>
              <w:jc w:val="right"/>
              <w:rPr>
                <w:sz w:val="18"/>
                <w:szCs w:val="18"/>
              </w:rPr>
            </w:pPr>
            <w:r w:rsidRPr="009A010C">
              <w:rPr>
                <w:sz w:val="18"/>
                <w:szCs w:val="18"/>
              </w:rPr>
              <w:t>13 May 2019</w:t>
            </w:r>
          </w:p>
        </w:tc>
        <w:tc>
          <w:tcPr>
            <w:tcW w:w="1461" w:type="dxa"/>
          </w:tcPr>
          <w:p w:rsidR="00B703EA" w:rsidRPr="009A010C" w:rsidRDefault="00B703EA" w:rsidP="00287C83">
            <w:pPr>
              <w:jc w:val="right"/>
              <w:rPr>
                <w:sz w:val="18"/>
                <w:szCs w:val="18"/>
              </w:rPr>
            </w:pPr>
            <w:r w:rsidRPr="009A010C">
              <w:rPr>
                <w:sz w:val="18"/>
                <w:szCs w:val="18"/>
              </w:rPr>
              <w:t>84</w:t>
            </w:r>
            <w:r w:rsidRPr="009A010C">
              <w:rPr>
                <w:sz w:val="18"/>
                <w:szCs w:val="18"/>
                <w:vertAlign w:val="superscript"/>
              </w:rPr>
              <w:t>th</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Global (Argentina and Tunisia)</w:t>
            </w:r>
          </w:p>
        </w:tc>
        <w:tc>
          <w:tcPr>
            <w:tcW w:w="2916" w:type="dxa"/>
          </w:tcPr>
          <w:p w:rsidR="00B703EA" w:rsidRPr="009A010C" w:rsidRDefault="00B703EA" w:rsidP="00287C83">
            <w:pPr>
              <w:jc w:val="left"/>
              <w:rPr>
                <w:sz w:val="18"/>
                <w:szCs w:val="18"/>
              </w:rPr>
            </w:pPr>
            <w:r w:rsidRPr="009A010C">
              <w:rPr>
                <w:sz w:val="18"/>
                <w:szCs w:val="18"/>
              </w:rPr>
              <w:t>Demonstration project for the introduction of trans-critical CO</w:t>
            </w:r>
            <w:r w:rsidRPr="009A010C">
              <w:rPr>
                <w:sz w:val="18"/>
                <w:szCs w:val="18"/>
                <w:vertAlign w:val="subscript"/>
              </w:rPr>
              <w:t xml:space="preserve">2 </w:t>
            </w:r>
            <w:r w:rsidRPr="009A010C">
              <w:rPr>
                <w:sz w:val="18"/>
                <w:szCs w:val="18"/>
              </w:rPr>
              <w:t xml:space="preserve">refrigeration technology for </w:t>
            </w:r>
            <w:r w:rsidRPr="009A010C">
              <w:rPr>
                <w:sz w:val="18"/>
                <w:szCs w:val="18"/>
              </w:rPr>
              <w:lastRenderedPageBreak/>
              <w:t>supermarkets (GLO/REF/76/DEM/335)</w:t>
            </w:r>
          </w:p>
        </w:tc>
        <w:tc>
          <w:tcPr>
            <w:tcW w:w="991" w:type="dxa"/>
          </w:tcPr>
          <w:p w:rsidR="00B703EA" w:rsidRPr="009A010C" w:rsidRDefault="00B703EA" w:rsidP="00287C83">
            <w:pPr>
              <w:jc w:val="right"/>
              <w:rPr>
                <w:sz w:val="18"/>
                <w:szCs w:val="18"/>
              </w:rPr>
            </w:pPr>
            <w:r w:rsidRPr="009A010C">
              <w:rPr>
                <w:sz w:val="18"/>
                <w:szCs w:val="18"/>
              </w:rPr>
              <w:lastRenderedPageBreak/>
              <w:t>UNIDO</w:t>
            </w:r>
          </w:p>
        </w:tc>
        <w:tc>
          <w:tcPr>
            <w:tcW w:w="1242" w:type="dxa"/>
          </w:tcPr>
          <w:p w:rsidR="00B703EA" w:rsidRPr="009A010C" w:rsidRDefault="00B703EA" w:rsidP="00287C83">
            <w:pPr>
              <w:jc w:val="right"/>
              <w:rPr>
                <w:sz w:val="18"/>
                <w:szCs w:val="18"/>
              </w:rPr>
            </w:pPr>
            <w:r w:rsidRPr="009A010C">
              <w:rPr>
                <w:sz w:val="18"/>
                <w:szCs w:val="18"/>
              </w:rPr>
              <w:t>846,300</w:t>
            </w:r>
          </w:p>
        </w:tc>
        <w:tc>
          <w:tcPr>
            <w:tcW w:w="1294" w:type="dxa"/>
          </w:tcPr>
          <w:p w:rsidR="00B703EA" w:rsidRPr="009A010C" w:rsidRDefault="00B703EA" w:rsidP="00287C83">
            <w:pPr>
              <w:jc w:val="right"/>
              <w:rPr>
                <w:sz w:val="18"/>
                <w:szCs w:val="18"/>
              </w:rPr>
            </w:pPr>
            <w:r w:rsidRPr="009A010C">
              <w:rPr>
                <w:sz w:val="18"/>
                <w:szCs w:val="18"/>
              </w:rPr>
              <w:t>13 Nov. 2018</w:t>
            </w:r>
            <w:r w:rsidRPr="009A010C">
              <w:rPr>
                <w:sz w:val="18"/>
                <w:szCs w:val="18"/>
                <w:vertAlign w:val="superscript"/>
              </w:rPr>
              <w:t>d</w:t>
            </w:r>
          </w:p>
        </w:tc>
        <w:tc>
          <w:tcPr>
            <w:tcW w:w="1461" w:type="dxa"/>
          </w:tcPr>
          <w:p w:rsidR="00B703EA" w:rsidRPr="009A010C" w:rsidRDefault="00B703EA" w:rsidP="00287C83">
            <w:pPr>
              <w:jc w:val="right"/>
              <w:rPr>
                <w:sz w:val="18"/>
                <w:szCs w:val="18"/>
              </w:rPr>
            </w:pPr>
            <w:r w:rsidRPr="009A010C">
              <w:rPr>
                <w:sz w:val="18"/>
                <w:szCs w:val="18"/>
              </w:rPr>
              <w:t>83</w:t>
            </w:r>
            <w:r w:rsidRPr="009A010C">
              <w:rPr>
                <w:sz w:val="18"/>
                <w:szCs w:val="18"/>
                <w:vertAlign w:val="superscript"/>
              </w:rPr>
              <w:t>rd</w:t>
            </w:r>
            <w:r w:rsidRPr="009A010C">
              <w:rPr>
                <w:sz w:val="18"/>
                <w:szCs w:val="18"/>
              </w:rPr>
              <w:t> meeting</w:t>
            </w:r>
          </w:p>
        </w:tc>
      </w:tr>
      <w:tr w:rsidR="00B703EA" w:rsidRPr="009A010C" w:rsidTr="00287C83">
        <w:tc>
          <w:tcPr>
            <w:tcW w:w="1446" w:type="dxa"/>
          </w:tcPr>
          <w:p w:rsidR="00B703EA" w:rsidRPr="009A010C" w:rsidRDefault="00B703EA" w:rsidP="00F36B67">
            <w:pPr>
              <w:keepNext/>
              <w:rPr>
                <w:sz w:val="18"/>
                <w:szCs w:val="18"/>
              </w:rPr>
            </w:pPr>
            <w:r w:rsidRPr="009A010C">
              <w:rPr>
                <w:sz w:val="18"/>
                <w:szCs w:val="18"/>
              </w:rPr>
              <w:lastRenderedPageBreak/>
              <w:t>Global (Eastern Africa and Caribbean regions)</w:t>
            </w:r>
          </w:p>
        </w:tc>
        <w:tc>
          <w:tcPr>
            <w:tcW w:w="2916" w:type="dxa"/>
          </w:tcPr>
          <w:p w:rsidR="00B703EA" w:rsidRPr="009A010C" w:rsidRDefault="00B703EA" w:rsidP="00F36B67">
            <w:pPr>
              <w:keepNext/>
              <w:jc w:val="left"/>
              <w:rPr>
                <w:sz w:val="18"/>
                <w:szCs w:val="18"/>
              </w:rPr>
            </w:pPr>
            <w:r w:rsidRPr="009A010C">
              <w:rPr>
                <w:sz w:val="18"/>
                <w:szCs w:val="18"/>
              </w:rPr>
              <w:t>Demonstration projects on refrigerant quality, containment and introduction of low-GWP refrigerants (GLO/REF/76/DEM/333 and 334)</w:t>
            </w:r>
          </w:p>
        </w:tc>
        <w:tc>
          <w:tcPr>
            <w:tcW w:w="991" w:type="dxa"/>
          </w:tcPr>
          <w:p w:rsidR="00B703EA" w:rsidRPr="009A010C" w:rsidRDefault="00B703EA" w:rsidP="00F36B67">
            <w:pPr>
              <w:keepNext/>
              <w:jc w:val="right"/>
              <w:rPr>
                <w:sz w:val="18"/>
                <w:szCs w:val="18"/>
              </w:rPr>
            </w:pPr>
            <w:r w:rsidRPr="009A010C">
              <w:rPr>
                <w:sz w:val="18"/>
                <w:szCs w:val="18"/>
              </w:rPr>
              <w:t>UNEP and UNIDO</w:t>
            </w:r>
          </w:p>
        </w:tc>
        <w:tc>
          <w:tcPr>
            <w:tcW w:w="1242" w:type="dxa"/>
          </w:tcPr>
          <w:p w:rsidR="00B703EA" w:rsidRPr="009A010C" w:rsidRDefault="00B703EA" w:rsidP="00F36B67">
            <w:pPr>
              <w:keepNext/>
              <w:jc w:val="right"/>
              <w:rPr>
                <w:sz w:val="18"/>
                <w:szCs w:val="18"/>
              </w:rPr>
            </w:pPr>
            <w:r w:rsidRPr="009A010C">
              <w:rPr>
                <w:sz w:val="18"/>
                <w:szCs w:val="18"/>
              </w:rPr>
              <w:t>395,000</w:t>
            </w:r>
          </w:p>
        </w:tc>
        <w:tc>
          <w:tcPr>
            <w:tcW w:w="1294" w:type="dxa"/>
          </w:tcPr>
          <w:p w:rsidR="00B703EA" w:rsidRPr="009A010C" w:rsidRDefault="00B703EA" w:rsidP="00F36B67">
            <w:pPr>
              <w:keepNext/>
              <w:jc w:val="right"/>
              <w:rPr>
                <w:sz w:val="18"/>
                <w:szCs w:val="18"/>
              </w:rPr>
            </w:pPr>
            <w:r w:rsidRPr="009A010C">
              <w:rPr>
                <w:sz w:val="18"/>
                <w:szCs w:val="18"/>
              </w:rPr>
              <w:t>13 May 2018</w:t>
            </w:r>
            <w:r w:rsidRPr="009A010C">
              <w:rPr>
                <w:sz w:val="18"/>
                <w:szCs w:val="18"/>
                <w:vertAlign w:val="superscript"/>
              </w:rPr>
              <w:t>e</w:t>
            </w:r>
          </w:p>
        </w:tc>
        <w:tc>
          <w:tcPr>
            <w:tcW w:w="1461" w:type="dxa"/>
          </w:tcPr>
          <w:p w:rsidR="00B703EA" w:rsidRPr="009A010C" w:rsidRDefault="00B703EA" w:rsidP="00F36B67">
            <w:pPr>
              <w:keepNext/>
              <w:jc w:val="right"/>
              <w:rPr>
                <w:sz w:val="18"/>
                <w:szCs w:val="18"/>
              </w:rPr>
            </w:pPr>
            <w:r w:rsidRPr="009A010C">
              <w:rPr>
                <w:sz w:val="18"/>
                <w:szCs w:val="18"/>
              </w:rPr>
              <w:t>82</w:t>
            </w:r>
            <w:r w:rsidRPr="009A010C">
              <w:rPr>
                <w:sz w:val="18"/>
                <w:szCs w:val="18"/>
                <w:vertAlign w:val="superscript"/>
              </w:rPr>
              <w:t>nd</w:t>
            </w:r>
            <w:r w:rsidRPr="009A010C">
              <w:rPr>
                <w:sz w:val="18"/>
                <w:szCs w:val="18"/>
              </w:rPr>
              <w:t> </w:t>
            </w:r>
            <w:proofErr w:type="spellStart"/>
            <w:r w:rsidRPr="009A010C">
              <w:rPr>
                <w:sz w:val="18"/>
                <w:szCs w:val="18"/>
              </w:rPr>
              <w:t>meeting</w:t>
            </w:r>
            <w:r w:rsidRPr="009A010C">
              <w:rPr>
                <w:sz w:val="18"/>
                <w:szCs w:val="18"/>
                <w:vertAlign w:val="superscript"/>
              </w:rPr>
              <w:t>e</w:t>
            </w:r>
            <w:proofErr w:type="spellEnd"/>
          </w:p>
        </w:tc>
      </w:tr>
      <w:tr w:rsidR="00B703EA" w:rsidRPr="009A010C" w:rsidTr="00287C83">
        <w:tc>
          <w:tcPr>
            <w:tcW w:w="1446" w:type="dxa"/>
          </w:tcPr>
          <w:p w:rsidR="00B703EA" w:rsidRPr="009A010C" w:rsidRDefault="00B703EA" w:rsidP="00287C83">
            <w:pPr>
              <w:rPr>
                <w:sz w:val="18"/>
                <w:szCs w:val="18"/>
              </w:rPr>
            </w:pPr>
            <w:r w:rsidRPr="009A010C">
              <w:rPr>
                <w:sz w:val="18"/>
                <w:szCs w:val="18"/>
              </w:rPr>
              <w:t>Dominican Republic (the)</w:t>
            </w:r>
          </w:p>
        </w:tc>
        <w:tc>
          <w:tcPr>
            <w:tcW w:w="2916" w:type="dxa"/>
          </w:tcPr>
          <w:p w:rsidR="00B703EA" w:rsidRPr="009A010C" w:rsidRDefault="00B703EA" w:rsidP="00287C83">
            <w:pPr>
              <w:jc w:val="left"/>
              <w:rPr>
                <w:sz w:val="18"/>
                <w:szCs w:val="18"/>
              </w:rPr>
            </w:pPr>
            <w:r w:rsidRPr="009A010C">
              <w:rPr>
                <w:sz w:val="18"/>
                <w:szCs w:val="18"/>
              </w:rPr>
              <w:t>Feasibility study for district cooling in Punta Cana (DOM/REF/74/TAS/57)</w:t>
            </w:r>
          </w:p>
        </w:tc>
        <w:tc>
          <w:tcPr>
            <w:tcW w:w="991" w:type="dxa"/>
          </w:tcPr>
          <w:p w:rsidR="00B703EA" w:rsidRPr="009A010C" w:rsidRDefault="00B703EA" w:rsidP="00287C83">
            <w:pPr>
              <w:jc w:val="right"/>
              <w:rPr>
                <w:sz w:val="18"/>
                <w:szCs w:val="18"/>
              </w:rPr>
            </w:pPr>
            <w:r w:rsidRPr="009A010C">
              <w:rPr>
                <w:sz w:val="18"/>
                <w:szCs w:val="18"/>
              </w:rPr>
              <w:t>UNDP</w:t>
            </w:r>
          </w:p>
        </w:tc>
        <w:tc>
          <w:tcPr>
            <w:tcW w:w="1242" w:type="dxa"/>
          </w:tcPr>
          <w:p w:rsidR="00B703EA" w:rsidRPr="009A010C" w:rsidRDefault="00B703EA" w:rsidP="00287C83">
            <w:pPr>
              <w:jc w:val="right"/>
              <w:rPr>
                <w:sz w:val="18"/>
                <w:szCs w:val="18"/>
              </w:rPr>
            </w:pPr>
            <w:r w:rsidRPr="009A010C">
              <w:rPr>
                <w:sz w:val="18"/>
                <w:szCs w:val="18"/>
              </w:rPr>
              <w:t>91,743</w:t>
            </w:r>
          </w:p>
        </w:tc>
        <w:tc>
          <w:tcPr>
            <w:tcW w:w="1294" w:type="dxa"/>
          </w:tcPr>
          <w:p w:rsidR="00B703EA" w:rsidRPr="009A010C" w:rsidRDefault="00B703EA" w:rsidP="00287C83">
            <w:pPr>
              <w:jc w:val="right"/>
              <w:rPr>
                <w:sz w:val="18"/>
                <w:szCs w:val="18"/>
              </w:rPr>
            </w:pPr>
            <w:r w:rsidRPr="009A010C">
              <w:rPr>
                <w:sz w:val="18"/>
                <w:szCs w:val="18"/>
              </w:rPr>
              <w:t xml:space="preserve">31 Dec. 2017 </w:t>
            </w:r>
          </w:p>
        </w:tc>
        <w:tc>
          <w:tcPr>
            <w:tcW w:w="1461" w:type="dxa"/>
          </w:tcPr>
          <w:p w:rsidR="00B703EA" w:rsidRPr="009A010C" w:rsidRDefault="00B703EA" w:rsidP="00287C83">
            <w:pPr>
              <w:jc w:val="right"/>
              <w:rPr>
                <w:sz w:val="18"/>
                <w:szCs w:val="18"/>
              </w:rPr>
            </w:pPr>
            <w:r w:rsidRPr="009A010C">
              <w:rPr>
                <w:sz w:val="18"/>
                <w:szCs w:val="18"/>
              </w:rPr>
              <w:t>82</w:t>
            </w:r>
            <w:r w:rsidRPr="009A010C">
              <w:rPr>
                <w:sz w:val="18"/>
                <w:szCs w:val="18"/>
                <w:vertAlign w:val="superscript"/>
              </w:rPr>
              <w:t>nd</w:t>
            </w:r>
            <w:r w:rsidRPr="009A010C">
              <w:rPr>
                <w:sz w:val="18"/>
                <w:szCs w:val="18"/>
              </w:rPr>
              <w:t> meeting</w:t>
            </w:r>
          </w:p>
        </w:tc>
      </w:tr>
      <w:tr w:rsidR="00B703EA" w:rsidRPr="009A010C" w:rsidTr="00287C83">
        <w:tc>
          <w:tcPr>
            <w:tcW w:w="1446" w:type="dxa"/>
          </w:tcPr>
          <w:p w:rsidR="00B703EA" w:rsidRPr="009A010C" w:rsidRDefault="00B703EA" w:rsidP="00287C83">
            <w:pPr>
              <w:rPr>
                <w:sz w:val="18"/>
                <w:szCs w:val="18"/>
              </w:rPr>
            </w:pPr>
            <w:r w:rsidRPr="009A010C">
              <w:rPr>
                <w:sz w:val="18"/>
                <w:szCs w:val="18"/>
              </w:rPr>
              <w:t>Egypt</w:t>
            </w:r>
          </w:p>
        </w:tc>
        <w:tc>
          <w:tcPr>
            <w:tcW w:w="2916" w:type="dxa"/>
          </w:tcPr>
          <w:p w:rsidR="00B703EA" w:rsidRPr="009A010C" w:rsidRDefault="00B703EA" w:rsidP="00287C83">
            <w:pPr>
              <w:jc w:val="left"/>
              <w:rPr>
                <w:sz w:val="18"/>
                <w:szCs w:val="18"/>
              </w:rPr>
            </w:pPr>
            <w:r w:rsidRPr="009A010C">
              <w:rPr>
                <w:sz w:val="18"/>
                <w:szCs w:val="18"/>
              </w:rPr>
              <w:t>Feasibility study for district cooling in New Cairo  (EGY/REF/75/TAS/127 and 128)</w:t>
            </w:r>
          </w:p>
        </w:tc>
        <w:tc>
          <w:tcPr>
            <w:tcW w:w="991" w:type="dxa"/>
          </w:tcPr>
          <w:p w:rsidR="00B703EA" w:rsidRPr="009A010C" w:rsidRDefault="00B703EA" w:rsidP="00287C83">
            <w:pPr>
              <w:jc w:val="right"/>
              <w:rPr>
                <w:sz w:val="18"/>
                <w:szCs w:val="18"/>
              </w:rPr>
            </w:pPr>
            <w:r w:rsidRPr="009A010C">
              <w:rPr>
                <w:sz w:val="18"/>
                <w:szCs w:val="18"/>
              </w:rPr>
              <w:t>UNEP</w:t>
            </w:r>
          </w:p>
        </w:tc>
        <w:tc>
          <w:tcPr>
            <w:tcW w:w="1242" w:type="dxa"/>
          </w:tcPr>
          <w:p w:rsidR="00B703EA" w:rsidRPr="009A010C" w:rsidRDefault="00B703EA" w:rsidP="00287C83">
            <w:pPr>
              <w:jc w:val="right"/>
              <w:rPr>
                <w:sz w:val="18"/>
                <w:szCs w:val="18"/>
              </w:rPr>
            </w:pPr>
            <w:r w:rsidRPr="009A010C">
              <w:rPr>
                <w:sz w:val="18"/>
                <w:szCs w:val="18"/>
              </w:rPr>
              <w:t>27,223</w:t>
            </w:r>
          </w:p>
        </w:tc>
        <w:tc>
          <w:tcPr>
            <w:tcW w:w="1294" w:type="dxa"/>
          </w:tcPr>
          <w:p w:rsidR="00B703EA" w:rsidRPr="009A010C" w:rsidRDefault="00B703EA" w:rsidP="00287C83">
            <w:pPr>
              <w:jc w:val="right"/>
              <w:rPr>
                <w:sz w:val="18"/>
                <w:szCs w:val="18"/>
              </w:rPr>
            </w:pPr>
            <w:r w:rsidRPr="009A010C">
              <w:rPr>
                <w:sz w:val="18"/>
                <w:szCs w:val="18"/>
              </w:rPr>
              <w:t>30 June 2018</w:t>
            </w:r>
          </w:p>
        </w:tc>
        <w:tc>
          <w:tcPr>
            <w:tcW w:w="1461" w:type="dxa"/>
          </w:tcPr>
          <w:p w:rsidR="00B703EA" w:rsidRPr="009A010C" w:rsidRDefault="00B703EA" w:rsidP="00287C83">
            <w:pPr>
              <w:jc w:val="right"/>
              <w:rPr>
                <w:sz w:val="18"/>
                <w:szCs w:val="18"/>
              </w:rPr>
            </w:pPr>
            <w:r w:rsidRPr="009A010C">
              <w:rPr>
                <w:sz w:val="18"/>
                <w:szCs w:val="18"/>
              </w:rPr>
              <w:t>82</w:t>
            </w:r>
            <w:r w:rsidRPr="009A010C">
              <w:rPr>
                <w:sz w:val="18"/>
                <w:szCs w:val="18"/>
                <w:vertAlign w:val="superscript"/>
              </w:rPr>
              <w:t>nd</w:t>
            </w:r>
            <w:r w:rsidRPr="009A010C">
              <w:rPr>
                <w:sz w:val="18"/>
                <w:szCs w:val="18"/>
              </w:rPr>
              <w:t> meeting</w:t>
            </w:r>
          </w:p>
        </w:tc>
      </w:tr>
    </w:tbl>
    <w:p w:rsidR="00B703EA" w:rsidRPr="009A010C" w:rsidRDefault="00B703EA" w:rsidP="00B703EA">
      <w:pPr>
        <w:rPr>
          <w:sz w:val="16"/>
          <w:szCs w:val="16"/>
          <w:lang w:val="en-CA"/>
        </w:rPr>
      </w:pPr>
      <w:r w:rsidRPr="009A010C">
        <w:rPr>
          <w:sz w:val="16"/>
          <w:szCs w:val="16"/>
          <w:vertAlign w:val="superscript"/>
          <w:lang w:val="en-CA"/>
        </w:rPr>
        <w:t>a</w:t>
      </w:r>
      <w:r w:rsidRPr="009A010C">
        <w:rPr>
          <w:sz w:val="16"/>
          <w:szCs w:val="16"/>
          <w:lang w:val="en-CA"/>
        </w:rPr>
        <w:t xml:space="preserve"> This value does not include project preparation fund and agency support costs.</w:t>
      </w:r>
    </w:p>
    <w:p w:rsidR="00B703EA" w:rsidRPr="009A010C" w:rsidRDefault="00B703EA" w:rsidP="00B703EA">
      <w:pPr>
        <w:rPr>
          <w:sz w:val="16"/>
          <w:szCs w:val="16"/>
          <w:lang w:val="en-CA"/>
        </w:rPr>
      </w:pPr>
      <w:r w:rsidRPr="009A010C">
        <w:rPr>
          <w:sz w:val="16"/>
          <w:szCs w:val="16"/>
          <w:vertAlign w:val="superscript"/>
          <w:lang w:val="en-CA"/>
        </w:rPr>
        <w:t>b</w:t>
      </w:r>
      <w:r w:rsidRPr="009A010C">
        <w:rPr>
          <w:sz w:val="16"/>
          <w:szCs w:val="16"/>
          <w:lang w:val="en-CA"/>
        </w:rPr>
        <w:t xml:space="preserve"> One enterprise has dropped out of the project and the associated funds of US $220,000 plus agency support costs of US $15,400 will be returned to the 82</w:t>
      </w:r>
      <w:r w:rsidRPr="009A010C">
        <w:rPr>
          <w:sz w:val="16"/>
          <w:szCs w:val="16"/>
          <w:vertAlign w:val="superscript"/>
          <w:lang w:val="en-CA"/>
        </w:rPr>
        <w:t>nd</w:t>
      </w:r>
      <w:r w:rsidRPr="009A010C">
        <w:rPr>
          <w:sz w:val="16"/>
          <w:szCs w:val="16"/>
          <w:lang w:val="en-CA"/>
        </w:rPr>
        <w:t> meeting. It is expected that project activities at the second enterprise will be completed in November 2018. The final report will be submitted to the 83</w:t>
      </w:r>
      <w:r w:rsidRPr="009A010C">
        <w:rPr>
          <w:sz w:val="16"/>
          <w:szCs w:val="16"/>
          <w:vertAlign w:val="superscript"/>
          <w:lang w:val="en-CA"/>
        </w:rPr>
        <w:t>rd</w:t>
      </w:r>
      <w:r w:rsidRPr="009A010C">
        <w:rPr>
          <w:sz w:val="16"/>
          <w:szCs w:val="16"/>
          <w:lang w:val="en-CA"/>
        </w:rPr>
        <w:t> meeting.</w:t>
      </w:r>
    </w:p>
    <w:p w:rsidR="00B703EA" w:rsidRPr="009A010C" w:rsidRDefault="00B703EA" w:rsidP="00B703EA">
      <w:pPr>
        <w:rPr>
          <w:sz w:val="16"/>
          <w:szCs w:val="16"/>
          <w:lang w:val="en-CA"/>
        </w:rPr>
      </w:pPr>
      <w:r w:rsidRPr="009A010C">
        <w:rPr>
          <w:sz w:val="16"/>
          <w:szCs w:val="16"/>
          <w:vertAlign w:val="superscript"/>
          <w:lang w:val="en-CA"/>
        </w:rPr>
        <w:t>c</w:t>
      </w:r>
      <w:r w:rsidRPr="009A010C">
        <w:rPr>
          <w:sz w:val="16"/>
          <w:szCs w:val="16"/>
          <w:lang w:val="en-CA"/>
        </w:rPr>
        <w:t xml:space="preserve"> The expected date of completion was December 2018. The final report will be submitted to the 83</w:t>
      </w:r>
      <w:r w:rsidRPr="009A010C">
        <w:rPr>
          <w:sz w:val="16"/>
          <w:szCs w:val="16"/>
          <w:vertAlign w:val="superscript"/>
          <w:lang w:val="en-CA"/>
        </w:rPr>
        <w:t>rd</w:t>
      </w:r>
      <w:r w:rsidRPr="009A010C">
        <w:rPr>
          <w:sz w:val="16"/>
          <w:szCs w:val="16"/>
          <w:lang w:val="en-CA"/>
        </w:rPr>
        <w:t> meeting.</w:t>
      </w:r>
    </w:p>
    <w:p w:rsidR="00B703EA" w:rsidRPr="009A010C" w:rsidRDefault="00B703EA" w:rsidP="00B703EA">
      <w:pPr>
        <w:rPr>
          <w:sz w:val="16"/>
          <w:szCs w:val="16"/>
          <w:lang w:val="en-CA"/>
        </w:rPr>
      </w:pPr>
      <w:r w:rsidRPr="009A010C">
        <w:rPr>
          <w:sz w:val="16"/>
          <w:szCs w:val="16"/>
          <w:vertAlign w:val="superscript"/>
          <w:lang w:val="en-CA"/>
        </w:rPr>
        <w:t>d</w:t>
      </w:r>
      <w:r w:rsidRPr="009A010C">
        <w:rPr>
          <w:sz w:val="16"/>
          <w:szCs w:val="16"/>
          <w:lang w:val="en-CA"/>
        </w:rPr>
        <w:t xml:space="preserve"> The project in Argentina was expected to be completed by November 2018 but an extension to 31 March 2019 is recommended; implementation of the project in Tunisia has not yet started and is therefore recommended for cancellation. Funds of approximately US $300,000 plus agency support costs associated with the project in Tunisia, plus any remaining balances associated with the project in Argentina, will be returned by 31 March 2020.</w:t>
      </w:r>
    </w:p>
    <w:p w:rsidR="00B703EA" w:rsidRPr="009A010C" w:rsidRDefault="00B703EA" w:rsidP="00B703EA">
      <w:pPr>
        <w:rPr>
          <w:sz w:val="16"/>
          <w:szCs w:val="16"/>
          <w:lang w:val="en-CA"/>
        </w:rPr>
      </w:pPr>
      <w:r w:rsidRPr="009A010C">
        <w:rPr>
          <w:sz w:val="16"/>
          <w:szCs w:val="16"/>
          <w:vertAlign w:val="superscript"/>
          <w:lang w:val="en-CA"/>
        </w:rPr>
        <w:t>e</w:t>
      </w:r>
      <w:r w:rsidRPr="009A010C">
        <w:rPr>
          <w:sz w:val="16"/>
          <w:szCs w:val="16"/>
          <w:lang w:val="en-CA"/>
        </w:rPr>
        <w:t xml:space="preserve"> UNIDO component has progressed but was not completed in May 2018. It is recommended for extension with the final report to be submitted by the 84</w:t>
      </w:r>
      <w:r w:rsidRPr="009A010C">
        <w:rPr>
          <w:sz w:val="16"/>
          <w:szCs w:val="16"/>
          <w:vertAlign w:val="superscript"/>
          <w:lang w:val="en-CA"/>
        </w:rPr>
        <w:t>th</w:t>
      </w:r>
      <w:r w:rsidRPr="009A010C">
        <w:rPr>
          <w:sz w:val="16"/>
          <w:szCs w:val="16"/>
          <w:lang w:val="en-CA"/>
        </w:rPr>
        <w:t> meeting. UNEP was not yet able to initiate activities and therefore that component is recommended for cancellation. Funds of US $50,000 plus agency support costs of US $6,500 will be returned to the 82</w:t>
      </w:r>
      <w:r w:rsidRPr="009A010C">
        <w:rPr>
          <w:sz w:val="16"/>
          <w:szCs w:val="16"/>
          <w:vertAlign w:val="superscript"/>
          <w:lang w:val="en-CA"/>
        </w:rPr>
        <w:t>nd</w:t>
      </w:r>
      <w:r w:rsidRPr="009A010C">
        <w:rPr>
          <w:sz w:val="16"/>
          <w:szCs w:val="16"/>
          <w:lang w:val="en-CA"/>
        </w:rPr>
        <w:t xml:space="preserve"> meeting.</w:t>
      </w:r>
    </w:p>
    <w:p w:rsidR="00B703EA" w:rsidRPr="009A010C" w:rsidRDefault="00B703EA" w:rsidP="00B703EA">
      <w:pPr>
        <w:rPr>
          <w:lang w:val="en-CA"/>
        </w:rPr>
      </w:pPr>
    </w:p>
    <w:p w:rsidR="00B703EA" w:rsidRPr="00F4406E" w:rsidRDefault="00B703EA" w:rsidP="00B703EA">
      <w:pPr>
        <w:pStyle w:val="Heading1"/>
        <w:rPr>
          <w:lang w:val="en-CA"/>
        </w:rPr>
      </w:pPr>
      <w:r w:rsidRPr="009A010C">
        <w:rPr>
          <w:lang w:val="en-CA"/>
        </w:rPr>
        <w:t>Final reports for the projects in China, and the three feasibility studies for district cooling have been submitted to the 82</w:t>
      </w:r>
      <w:r w:rsidRPr="009A010C">
        <w:rPr>
          <w:vertAlign w:val="superscript"/>
          <w:lang w:val="en-CA"/>
        </w:rPr>
        <w:t>nd</w:t>
      </w:r>
      <w:r w:rsidRPr="009A010C">
        <w:rPr>
          <w:lang w:val="en-CA"/>
        </w:rPr>
        <w:t> meeting in line with decision 80/26. In addition, progress updates for the demonstration projects in Egypt, Morocco, Saudi Arabia (both UNIDO projects), Thailand, and PRAHA</w:t>
      </w:r>
      <w:r w:rsidRPr="009A010C">
        <w:rPr>
          <w:lang w:val="en-CA"/>
        </w:rPr>
        <w:noBreakHyphen/>
        <w:t xml:space="preserve">II </w:t>
      </w:r>
      <w:r w:rsidRPr="00F4406E">
        <w:rPr>
          <w:lang w:val="en-CA"/>
        </w:rPr>
        <w:t>have been submitted to the 82</w:t>
      </w:r>
      <w:r w:rsidRPr="00F4406E">
        <w:rPr>
          <w:vertAlign w:val="superscript"/>
          <w:lang w:val="en-CA"/>
        </w:rPr>
        <w:t>nd</w:t>
      </w:r>
      <w:r w:rsidRPr="00F4406E">
        <w:rPr>
          <w:lang w:val="en-CA"/>
        </w:rPr>
        <w:t> meeting (with the final reports due at the 83</w:t>
      </w:r>
      <w:r w:rsidRPr="00F4406E">
        <w:rPr>
          <w:vertAlign w:val="superscript"/>
          <w:lang w:val="en-CA"/>
        </w:rPr>
        <w:t>rd</w:t>
      </w:r>
      <w:r w:rsidRPr="00F4406E">
        <w:rPr>
          <w:lang w:val="en-CA"/>
        </w:rPr>
        <w:t> meeting), as shown in Table </w:t>
      </w:r>
      <w:r w:rsidR="00A51632" w:rsidRPr="00F4406E">
        <w:rPr>
          <w:lang w:val="en-CA"/>
        </w:rPr>
        <w:t>11</w:t>
      </w:r>
      <w:r w:rsidRPr="00F4406E">
        <w:rPr>
          <w:lang w:val="en-CA"/>
        </w:rPr>
        <w:t xml:space="preserve">. </w:t>
      </w:r>
    </w:p>
    <w:p w:rsidR="00B703EA" w:rsidRPr="009A010C" w:rsidRDefault="00B703EA" w:rsidP="00B703EA">
      <w:pPr>
        <w:rPr>
          <w:b/>
          <w:lang w:val="en-CA"/>
        </w:rPr>
      </w:pPr>
      <w:r w:rsidRPr="00F4406E">
        <w:rPr>
          <w:b/>
          <w:lang w:val="en-CA"/>
        </w:rPr>
        <w:t xml:space="preserve">Table </w:t>
      </w:r>
      <w:r w:rsidR="00A51632" w:rsidRPr="00F4406E">
        <w:rPr>
          <w:b/>
          <w:lang w:val="en-CA"/>
        </w:rPr>
        <w:t>11</w:t>
      </w:r>
      <w:r w:rsidRPr="00F4406E">
        <w:rPr>
          <w:b/>
          <w:lang w:val="en-CA"/>
        </w:rPr>
        <w:t>. Progress updates on low-GWP demonstration projects submitted to the 82</w:t>
      </w:r>
      <w:r w:rsidRPr="00F4406E">
        <w:rPr>
          <w:b/>
          <w:vertAlign w:val="superscript"/>
          <w:lang w:val="en-CA"/>
        </w:rPr>
        <w:t>nd</w:t>
      </w:r>
      <w:r w:rsidRPr="00F4406E">
        <w:rPr>
          <w:b/>
          <w:lang w:val="en-CA"/>
        </w:rPr>
        <w:t> meeting</w:t>
      </w:r>
    </w:p>
    <w:tbl>
      <w:tblPr>
        <w:tblW w:w="52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7"/>
        <w:gridCol w:w="2624"/>
        <w:gridCol w:w="1131"/>
        <w:gridCol w:w="4791"/>
      </w:tblGrid>
      <w:tr w:rsidR="00B703EA" w:rsidRPr="009A010C" w:rsidTr="00D95E95">
        <w:trPr>
          <w:tblHeader/>
        </w:trPr>
        <w:tc>
          <w:tcPr>
            <w:tcW w:w="707" w:type="pct"/>
            <w:shd w:val="clear" w:color="auto" w:fill="auto"/>
            <w:tcMar>
              <w:left w:w="43" w:type="dxa"/>
              <w:right w:w="43" w:type="dxa"/>
            </w:tcMar>
            <w:vAlign w:val="center"/>
            <w:hideMark/>
          </w:tcPr>
          <w:p w:rsidR="00B703EA" w:rsidRPr="009A010C" w:rsidRDefault="00B703EA" w:rsidP="00287C83">
            <w:pPr>
              <w:jc w:val="center"/>
              <w:rPr>
                <w:b/>
                <w:bCs/>
                <w:color w:val="000000"/>
                <w:sz w:val="18"/>
                <w:szCs w:val="18"/>
                <w:lang w:val="en-CA"/>
              </w:rPr>
            </w:pPr>
            <w:r w:rsidRPr="009A010C">
              <w:rPr>
                <w:b/>
                <w:bCs/>
                <w:color w:val="000000"/>
                <w:sz w:val="18"/>
                <w:szCs w:val="18"/>
                <w:lang w:val="en-CA"/>
              </w:rPr>
              <w:t>Country  (Agency)</w:t>
            </w:r>
          </w:p>
        </w:tc>
        <w:tc>
          <w:tcPr>
            <w:tcW w:w="1318" w:type="pct"/>
            <w:shd w:val="clear" w:color="auto" w:fill="auto"/>
            <w:tcMar>
              <w:left w:w="43" w:type="dxa"/>
              <w:right w:w="43" w:type="dxa"/>
            </w:tcMar>
            <w:vAlign w:val="center"/>
            <w:hideMark/>
          </w:tcPr>
          <w:p w:rsidR="00B703EA" w:rsidRPr="009A010C" w:rsidRDefault="00B703EA" w:rsidP="00287C83">
            <w:pPr>
              <w:jc w:val="center"/>
              <w:rPr>
                <w:b/>
                <w:bCs/>
                <w:color w:val="000000"/>
                <w:sz w:val="18"/>
                <w:szCs w:val="18"/>
                <w:lang w:val="en-CA"/>
              </w:rPr>
            </w:pPr>
            <w:r w:rsidRPr="009A010C">
              <w:rPr>
                <w:b/>
                <w:bCs/>
                <w:color w:val="000000"/>
                <w:sz w:val="18"/>
                <w:szCs w:val="18"/>
                <w:lang w:val="en-CA"/>
              </w:rPr>
              <w:t>Project title</w:t>
            </w:r>
          </w:p>
        </w:tc>
        <w:tc>
          <w:tcPr>
            <w:tcW w:w="568" w:type="pct"/>
            <w:shd w:val="clear" w:color="auto" w:fill="auto"/>
            <w:tcMar>
              <w:left w:w="43" w:type="dxa"/>
              <w:right w:w="43" w:type="dxa"/>
            </w:tcMar>
            <w:vAlign w:val="center"/>
            <w:hideMark/>
          </w:tcPr>
          <w:p w:rsidR="00B703EA" w:rsidRPr="009A010C" w:rsidRDefault="00D95E95" w:rsidP="00287C83">
            <w:pPr>
              <w:jc w:val="center"/>
              <w:rPr>
                <w:b/>
                <w:bCs/>
                <w:color w:val="000000"/>
                <w:sz w:val="18"/>
                <w:szCs w:val="18"/>
                <w:lang w:val="en-CA"/>
              </w:rPr>
            </w:pPr>
            <w:r w:rsidRPr="009A010C">
              <w:rPr>
                <w:b/>
                <w:bCs/>
                <w:color w:val="000000"/>
                <w:sz w:val="18"/>
                <w:szCs w:val="18"/>
                <w:lang w:val="en-CA"/>
              </w:rPr>
              <w:t>Comple</w:t>
            </w:r>
            <w:r w:rsidR="00B703EA" w:rsidRPr="009A010C">
              <w:rPr>
                <w:b/>
                <w:bCs/>
                <w:color w:val="000000"/>
                <w:sz w:val="18"/>
                <w:szCs w:val="18"/>
                <w:lang w:val="en-CA"/>
              </w:rPr>
              <w:t>tion date</w:t>
            </w:r>
          </w:p>
        </w:tc>
        <w:tc>
          <w:tcPr>
            <w:tcW w:w="2407" w:type="pct"/>
            <w:shd w:val="clear" w:color="auto" w:fill="auto"/>
            <w:tcMar>
              <w:left w:w="43" w:type="dxa"/>
              <w:right w:w="43" w:type="dxa"/>
            </w:tcMar>
            <w:vAlign w:val="center"/>
            <w:hideMark/>
          </w:tcPr>
          <w:p w:rsidR="00B703EA" w:rsidRPr="009A010C" w:rsidRDefault="00B703EA" w:rsidP="00287C83">
            <w:pPr>
              <w:jc w:val="center"/>
              <w:rPr>
                <w:b/>
                <w:bCs/>
                <w:color w:val="000000"/>
                <w:sz w:val="18"/>
                <w:szCs w:val="18"/>
                <w:lang w:val="en-CA"/>
              </w:rPr>
            </w:pPr>
            <w:r w:rsidRPr="009A010C">
              <w:rPr>
                <w:b/>
                <w:bCs/>
                <w:color w:val="000000"/>
                <w:sz w:val="18"/>
                <w:szCs w:val="18"/>
                <w:lang w:val="en-CA"/>
              </w:rPr>
              <w:t>Progress reported to the 82</w:t>
            </w:r>
            <w:r w:rsidRPr="009A010C">
              <w:rPr>
                <w:b/>
                <w:bCs/>
                <w:color w:val="000000"/>
                <w:sz w:val="18"/>
                <w:szCs w:val="18"/>
                <w:vertAlign w:val="superscript"/>
                <w:lang w:val="en-CA"/>
              </w:rPr>
              <w:t>nd</w:t>
            </w:r>
            <w:r w:rsidRPr="009A010C">
              <w:rPr>
                <w:b/>
                <w:bCs/>
                <w:color w:val="000000"/>
                <w:sz w:val="18"/>
                <w:szCs w:val="18"/>
                <w:lang w:val="en-CA"/>
              </w:rPr>
              <w:t> meeting</w:t>
            </w:r>
          </w:p>
        </w:tc>
      </w:tr>
      <w:tr w:rsidR="00B703EA" w:rsidRPr="009A010C" w:rsidTr="00D95E95">
        <w:tc>
          <w:tcPr>
            <w:tcW w:w="707" w:type="pct"/>
            <w:shd w:val="clear" w:color="auto" w:fill="auto"/>
            <w:tcMar>
              <w:left w:w="43" w:type="dxa"/>
              <w:right w:w="43" w:type="dxa"/>
            </w:tcMar>
          </w:tcPr>
          <w:p w:rsidR="00B703EA" w:rsidRPr="009A010C" w:rsidRDefault="00B703EA" w:rsidP="00287C83">
            <w:pPr>
              <w:jc w:val="left"/>
              <w:rPr>
                <w:color w:val="000000"/>
                <w:sz w:val="18"/>
                <w:szCs w:val="18"/>
                <w:lang w:val="en-CA"/>
              </w:rPr>
            </w:pPr>
            <w:r w:rsidRPr="009A010C">
              <w:rPr>
                <w:color w:val="000000"/>
                <w:sz w:val="18"/>
                <w:szCs w:val="18"/>
                <w:lang w:val="en-CA"/>
              </w:rPr>
              <w:t>Egypt (UNDP)</w:t>
            </w:r>
          </w:p>
        </w:tc>
        <w:tc>
          <w:tcPr>
            <w:tcW w:w="1318" w:type="pct"/>
            <w:shd w:val="clear" w:color="auto" w:fill="auto"/>
            <w:tcMar>
              <w:left w:w="43" w:type="dxa"/>
              <w:right w:w="43" w:type="dxa"/>
            </w:tcMar>
          </w:tcPr>
          <w:p w:rsidR="00B703EA" w:rsidRPr="009A010C" w:rsidRDefault="00B703EA" w:rsidP="00287C83">
            <w:pPr>
              <w:jc w:val="left"/>
              <w:rPr>
                <w:sz w:val="18"/>
                <w:szCs w:val="18"/>
                <w:lang w:val="en-CA"/>
              </w:rPr>
            </w:pPr>
            <w:r w:rsidRPr="009A010C">
              <w:rPr>
                <w:sz w:val="18"/>
                <w:szCs w:val="18"/>
                <w:lang w:val="en-CA"/>
              </w:rPr>
              <w:t>Demonstration of low-cost options for the conversion to non</w:t>
            </w:r>
            <w:r w:rsidRPr="009A010C">
              <w:rPr>
                <w:sz w:val="18"/>
                <w:szCs w:val="18"/>
                <w:lang w:val="en-CA"/>
              </w:rPr>
              <w:noBreakHyphen/>
              <w:t>ODS technologies in polyurethane foams at very small users</w:t>
            </w:r>
          </w:p>
        </w:tc>
        <w:tc>
          <w:tcPr>
            <w:tcW w:w="568" w:type="pct"/>
            <w:shd w:val="clear" w:color="auto" w:fill="auto"/>
            <w:tcMar>
              <w:left w:w="43" w:type="dxa"/>
              <w:right w:w="43" w:type="dxa"/>
            </w:tcMar>
          </w:tcPr>
          <w:p w:rsidR="00B703EA" w:rsidRPr="009A010C" w:rsidRDefault="00B703EA" w:rsidP="00287C83">
            <w:pPr>
              <w:jc w:val="center"/>
              <w:rPr>
                <w:color w:val="000000"/>
                <w:sz w:val="18"/>
                <w:szCs w:val="18"/>
                <w:lang w:val="en-CA"/>
              </w:rPr>
            </w:pPr>
            <w:r w:rsidRPr="009A010C">
              <w:rPr>
                <w:color w:val="000000"/>
                <w:sz w:val="18"/>
                <w:szCs w:val="18"/>
                <w:lang w:val="en-CA"/>
              </w:rPr>
              <w:t>Dec. 2018</w:t>
            </w:r>
          </w:p>
        </w:tc>
        <w:tc>
          <w:tcPr>
            <w:tcW w:w="2407" w:type="pct"/>
            <w:shd w:val="clear" w:color="auto" w:fill="auto"/>
            <w:tcMar>
              <w:left w:w="43" w:type="dxa"/>
              <w:right w:w="43" w:type="dxa"/>
            </w:tcMar>
          </w:tcPr>
          <w:p w:rsidR="00B703EA" w:rsidRPr="009A010C" w:rsidRDefault="00B703EA" w:rsidP="00D95E95">
            <w:pPr>
              <w:tabs>
                <w:tab w:val="left" w:pos="4148"/>
              </w:tabs>
              <w:jc w:val="left"/>
              <w:rPr>
                <w:color w:val="000000"/>
                <w:sz w:val="18"/>
                <w:szCs w:val="18"/>
                <w:lang w:val="en-CA"/>
              </w:rPr>
            </w:pPr>
            <w:r w:rsidRPr="009A010C">
              <w:rPr>
                <w:color w:val="000000"/>
                <w:sz w:val="18"/>
                <w:szCs w:val="18"/>
                <w:lang w:val="en-CA"/>
              </w:rPr>
              <w:t>Budgets have been allocated with specific procurement plans moving forward to optimize equipment models. In line with decision 80/26(e), a final report will be submitted no later than the 83</w:t>
            </w:r>
            <w:r w:rsidRPr="009A010C">
              <w:rPr>
                <w:color w:val="000000"/>
                <w:sz w:val="18"/>
                <w:szCs w:val="18"/>
                <w:vertAlign w:val="superscript"/>
                <w:lang w:val="en-CA"/>
              </w:rPr>
              <w:t>rd</w:t>
            </w:r>
            <w:r w:rsidRPr="009A010C">
              <w:rPr>
                <w:color w:val="000000"/>
                <w:sz w:val="18"/>
                <w:szCs w:val="18"/>
                <w:lang w:val="en-CA"/>
              </w:rPr>
              <w:t> meeting.</w:t>
            </w:r>
          </w:p>
        </w:tc>
      </w:tr>
      <w:tr w:rsidR="00B703EA" w:rsidRPr="009A010C" w:rsidTr="00D95E95">
        <w:tc>
          <w:tcPr>
            <w:tcW w:w="707" w:type="pct"/>
            <w:shd w:val="clear" w:color="auto" w:fill="auto"/>
            <w:tcMar>
              <w:left w:w="43" w:type="dxa"/>
              <w:right w:w="43" w:type="dxa"/>
            </w:tcMar>
          </w:tcPr>
          <w:p w:rsidR="00B703EA" w:rsidRPr="009A010C" w:rsidRDefault="00B703EA" w:rsidP="00287C83">
            <w:pPr>
              <w:rPr>
                <w:color w:val="000000"/>
                <w:sz w:val="18"/>
                <w:szCs w:val="18"/>
                <w:lang w:val="en-CA"/>
              </w:rPr>
            </w:pPr>
            <w:r w:rsidRPr="009A010C">
              <w:rPr>
                <w:color w:val="000000"/>
                <w:sz w:val="18"/>
                <w:szCs w:val="18"/>
                <w:lang w:val="en-CA"/>
              </w:rPr>
              <w:t>Morocco</w:t>
            </w:r>
          </w:p>
        </w:tc>
        <w:tc>
          <w:tcPr>
            <w:tcW w:w="1318" w:type="pct"/>
            <w:shd w:val="clear" w:color="auto" w:fill="auto"/>
            <w:tcMar>
              <w:left w:w="43" w:type="dxa"/>
              <w:right w:w="43" w:type="dxa"/>
            </w:tcMar>
          </w:tcPr>
          <w:p w:rsidR="00B703EA" w:rsidRPr="009A010C" w:rsidRDefault="00B703EA" w:rsidP="00287C83">
            <w:pPr>
              <w:jc w:val="left"/>
              <w:rPr>
                <w:sz w:val="18"/>
                <w:szCs w:val="18"/>
                <w:lang w:val="en-CA"/>
              </w:rPr>
            </w:pPr>
            <w:r w:rsidRPr="009A010C">
              <w:rPr>
                <w:sz w:val="18"/>
                <w:szCs w:val="18"/>
                <w:lang w:val="en-CA"/>
              </w:rPr>
              <w:t>Demonstration of the use of low</w:t>
            </w:r>
            <w:r w:rsidRPr="009A010C">
              <w:rPr>
                <w:sz w:val="18"/>
                <w:szCs w:val="18"/>
                <w:lang w:val="en-CA"/>
              </w:rPr>
              <w:noBreakHyphen/>
              <w:t>cost pentane foaming technology for the conversion to non-ODS technologies in polyurethane foams at small</w:t>
            </w:r>
            <w:r w:rsidRPr="009A010C">
              <w:rPr>
                <w:sz w:val="18"/>
                <w:szCs w:val="18"/>
                <w:lang w:val="en-CA"/>
              </w:rPr>
              <w:noBreakHyphen/>
              <w:t xml:space="preserve"> and medium-sized enterprises)</w:t>
            </w:r>
          </w:p>
        </w:tc>
        <w:tc>
          <w:tcPr>
            <w:tcW w:w="568" w:type="pct"/>
            <w:shd w:val="clear" w:color="auto" w:fill="auto"/>
            <w:tcMar>
              <w:left w:w="43" w:type="dxa"/>
              <w:right w:w="43" w:type="dxa"/>
            </w:tcMar>
          </w:tcPr>
          <w:p w:rsidR="00B703EA" w:rsidRPr="009A010C" w:rsidRDefault="00B703EA" w:rsidP="00287C83">
            <w:pPr>
              <w:jc w:val="center"/>
              <w:rPr>
                <w:color w:val="000000"/>
                <w:sz w:val="18"/>
                <w:szCs w:val="18"/>
                <w:lang w:val="en-CA"/>
              </w:rPr>
            </w:pPr>
            <w:r w:rsidRPr="009A010C">
              <w:rPr>
                <w:color w:val="000000"/>
                <w:sz w:val="18"/>
                <w:szCs w:val="18"/>
                <w:lang w:val="en-CA"/>
              </w:rPr>
              <w:t>Dec. 2018</w:t>
            </w:r>
          </w:p>
        </w:tc>
        <w:tc>
          <w:tcPr>
            <w:tcW w:w="2407" w:type="pct"/>
            <w:shd w:val="clear" w:color="auto" w:fill="auto"/>
            <w:tcMar>
              <w:left w:w="43" w:type="dxa"/>
              <w:right w:w="43" w:type="dxa"/>
            </w:tcMar>
          </w:tcPr>
          <w:p w:rsidR="00B703EA" w:rsidRPr="009A010C" w:rsidRDefault="00B703EA" w:rsidP="00287C83">
            <w:pPr>
              <w:jc w:val="left"/>
              <w:rPr>
                <w:color w:val="000000"/>
                <w:sz w:val="18"/>
                <w:szCs w:val="18"/>
                <w:lang w:val="en-CA"/>
              </w:rPr>
            </w:pPr>
            <w:r w:rsidRPr="009A010C">
              <w:rPr>
                <w:color w:val="000000"/>
                <w:sz w:val="18"/>
                <w:szCs w:val="18"/>
                <w:lang w:val="en-CA"/>
              </w:rPr>
              <w:t>Terms of reference were prepared for the supply of a foaming line; safety system; technical assistance; training of technicians, operators and maintenance personnel. The equipment is expected to be installed in the third quarter of 2018; a workshop will be organized in the fourth quarter; and a detailed project report will be submitted by early 2019.</w:t>
            </w:r>
          </w:p>
        </w:tc>
      </w:tr>
      <w:tr w:rsidR="00B703EA" w:rsidRPr="009A010C" w:rsidTr="00D95E95">
        <w:tc>
          <w:tcPr>
            <w:tcW w:w="707" w:type="pct"/>
            <w:shd w:val="clear" w:color="auto" w:fill="auto"/>
            <w:tcMar>
              <w:left w:w="43" w:type="dxa"/>
              <w:right w:w="43" w:type="dxa"/>
            </w:tcMar>
          </w:tcPr>
          <w:p w:rsidR="00B703EA" w:rsidRPr="009A010C" w:rsidRDefault="00B703EA" w:rsidP="00287C83">
            <w:pPr>
              <w:jc w:val="left"/>
              <w:rPr>
                <w:color w:val="000000"/>
                <w:sz w:val="18"/>
                <w:szCs w:val="18"/>
                <w:lang w:val="en-CA"/>
              </w:rPr>
            </w:pPr>
            <w:r w:rsidRPr="009A010C">
              <w:rPr>
                <w:color w:val="000000"/>
                <w:sz w:val="18"/>
                <w:szCs w:val="18"/>
                <w:lang w:val="en-CA"/>
              </w:rPr>
              <w:t>Saudi Arabia (UNIDO)</w:t>
            </w:r>
          </w:p>
        </w:tc>
        <w:tc>
          <w:tcPr>
            <w:tcW w:w="1318" w:type="pct"/>
            <w:shd w:val="clear" w:color="auto" w:fill="auto"/>
            <w:tcMar>
              <w:left w:w="43" w:type="dxa"/>
              <w:right w:w="43" w:type="dxa"/>
            </w:tcMar>
          </w:tcPr>
          <w:p w:rsidR="00B703EA" w:rsidRPr="009A010C" w:rsidRDefault="00B703EA" w:rsidP="00287C83">
            <w:pPr>
              <w:jc w:val="left"/>
              <w:rPr>
                <w:sz w:val="18"/>
                <w:szCs w:val="18"/>
                <w:lang w:val="en-CA"/>
              </w:rPr>
            </w:pPr>
            <w:r w:rsidRPr="009A010C">
              <w:rPr>
                <w:sz w:val="18"/>
                <w:szCs w:val="18"/>
                <w:lang w:val="en-CA"/>
              </w:rPr>
              <w:t>Demonstration project on promoting HFO-based low</w:t>
            </w:r>
            <w:r w:rsidRPr="009A010C">
              <w:rPr>
                <w:sz w:val="18"/>
                <w:szCs w:val="18"/>
                <w:lang w:val="en-CA"/>
              </w:rPr>
              <w:noBreakHyphen/>
              <w:t>global-warming-potential (GWP) refrigerants for the air</w:t>
            </w:r>
            <w:r w:rsidRPr="009A010C">
              <w:rPr>
                <w:sz w:val="18"/>
                <w:szCs w:val="18"/>
                <w:lang w:val="en-CA"/>
              </w:rPr>
              <w:noBreakHyphen/>
              <w:t>conditioning sector in high ambient temperatures</w:t>
            </w:r>
          </w:p>
        </w:tc>
        <w:tc>
          <w:tcPr>
            <w:tcW w:w="568" w:type="pct"/>
            <w:shd w:val="clear" w:color="auto" w:fill="auto"/>
            <w:tcMar>
              <w:left w:w="43" w:type="dxa"/>
              <w:right w:w="43" w:type="dxa"/>
            </w:tcMar>
          </w:tcPr>
          <w:p w:rsidR="00B703EA" w:rsidRPr="009A010C" w:rsidRDefault="00B703EA" w:rsidP="00287C83">
            <w:pPr>
              <w:jc w:val="center"/>
              <w:rPr>
                <w:color w:val="000000"/>
                <w:sz w:val="18"/>
                <w:szCs w:val="18"/>
                <w:lang w:val="en-CA"/>
              </w:rPr>
            </w:pPr>
            <w:r w:rsidRPr="009A010C">
              <w:rPr>
                <w:color w:val="000000"/>
                <w:sz w:val="18"/>
                <w:szCs w:val="18"/>
                <w:lang w:val="en-CA"/>
              </w:rPr>
              <w:t>Dec. 2018</w:t>
            </w:r>
          </w:p>
        </w:tc>
        <w:tc>
          <w:tcPr>
            <w:tcW w:w="2407" w:type="pct"/>
            <w:shd w:val="clear" w:color="auto" w:fill="auto"/>
            <w:tcMar>
              <w:left w:w="43" w:type="dxa"/>
              <w:right w:w="43" w:type="dxa"/>
            </w:tcMar>
          </w:tcPr>
          <w:p w:rsidR="00B703EA" w:rsidRPr="009A010C" w:rsidRDefault="00B703EA" w:rsidP="00287C83">
            <w:pPr>
              <w:jc w:val="left"/>
              <w:rPr>
                <w:color w:val="000000"/>
                <w:sz w:val="18"/>
                <w:szCs w:val="18"/>
                <w:lang w:val="en-CA"/>
              </w:rPr>
            </w:pPr>
            <w:r w:rsidRPr="009A010C">
              <w:rPr>
                <w:color w:val="000000"/>
                <w:sz w:val="18"/>
                <w:szCs w:val="18"/>
                <w:lang w:val="en-CA"/>
              </w:rPr>
              <w:t>The contract with the supplier has been signed. The development of prototypes is ongoing. Components (e.g., compressors) have been delivered for testing. Visit of engineers from the equipment supplier, the delivery of production equipment and production of first R-290 units are still pending. In line with decision 80/26(g), the final report will be submitted no later than the 83</w:t>
            </w:r>
            <w:r w:rsidRPr="009A010C">
              <w:rPr>
                <w:color w:val="000000"/>
                <w:sz w:val="18"/>
                <w:szCs w:val="18"/>
                <w:vertAlign w:val="superscript"/>
                <w:lang w:val="en-CA"/>
              </w:rPr>
              <w:t>rd</w:t>
            </w:r>
            <w:r w:rsidRPr="009A010C">
              <w:rPr>
                <w:color w:val="000000"/>
                <w:sz w:val="18"/>
                <w:szCs w:val="18"/>
                <w:lang w:val="en-CA"/>
              </w:rPr>
              <w:t> meeting.</w:t>
            </w:r>
          </w:p>
        </w:tc>
      </w:tr>
      <w:tr w:rsidR="00B703EA" w:rsidRPr="009A010C" w:rsidTr="00D95E95">
        <w:tc>
          <w:tcPr>
            <w:tcW w:w="707" w:type="pct"/>
            <w:shd w:val="clear" w:color="auto" w:fill="auto"/>
            <w:tcMar>
              <w:left w:w="43" w:type="dxa"/>
              <w:right w:w="43" w:type="dxa"/>
            </w:tcMar>
          </w:tcPr>
          <w:p w:rsidR="00B703EA" w:rsidRPr="009A010C" w:rsidRDefault="00B703EA" w:rsidP="00287C83">
            <w:pPr>
              <w:jc w:val="left"/>
              <w:rPr>
                <w:color w:val="000000"/>
                <w:sz w:val="18"/>
                <w:szCs w:val="18"/>
                <w:lang w:val="en-CA"/>
              </w:rPr>
            </w:pPr>
            <w:r w:rsidRPr="009A010C">
              <w:rPr>
                <w:color w:val="000000"/>
                <w:sz w:val="18"/>
                <w:szCs w:val="18"/>
                <w:lang w:val="en-CA"/>
              </w:rPr>
              <w:t>Saudi Arabia (UNIDO)</w:t>
            </w:r>
          </w:p>
        </w:tc>
        <w:tc>
          <w:tcPr>
            <w:tcW w:w="1318" w:type="pct"/>
            <w:shd w:val="clear" w:color="auto" w:fill="auto"/>
            <w:tcMar>
              <w:left w:w="43" w:type="dxa"/>
              <w:right w:w="43" w:type="dxa"/>
            </w:tcMar>
          </w:tcPr>
          <w:p w:rsidR="00B703EA" w:rsidRPr="009A010C" w:rsidRDefault="00B703EA" w:rsidP="00287C83">
            <w:pPr>
              <w:jc w:val="left"/>
              <w:rPr>
                <w:sz w:val="18"/>
                <w:szCs w:val="18"/>
                <w:lang w:val="en-CA"/>
              </w:rPr>
            </w:pPr>
            <w:r w:rsidRPr="009A010C">
              <w:rPr>
                <w:sz w:val="18"/>
                <w:szCs w:val="18"/>
                <w:lang w:val="en-CA"/>
              </w:rPr>
              <w:t>Demonstration project for the phase-out of HCFCs by using HFO as a foam blowing agent in the spray foam applications in high ambient temperatures</w:t>
            </w:r>
          </w:p>
        </w:tc>
        <w:tc>
          <w:tcPr>
            <w:tcW w:w="568" w:type="pct"/>
            <w:shd w:val="clear" w:color="auto" w:fill="auto"/>
            <w:tcMar>
              <w:left w:w="43" w:type="dxa"/>
              <w:right w:w="43" w:type="dxa"/>
            </w:tcMar>
          </w:tcPr>
          <w:p w:rsidR="00B703EA" w:rsidRPr="009A010C" w:rsidRDefault="00B703EA" w:rsidP="00287C83">
            <w:pPr>
              <w:jc w:val="center"/>
              <w:rPr>
                <w:color w:val="000000"/>
                <w:sz w:val="18"/>
                <w:szCs w:val="18"/>
                <w:lang w:val="en-CA"/>
              </w:rPr>
            </w:pPr>
            <w:r w:rsidRPr="009A010C">
              <w:rPr>
                <w:color w:val="000000"/>
                <w:sz w:val="18"/>
                <w:szCs w:val="18"/>
                <w:lang w:val="en-CA"/>
              </w:rPr>
              <w:t>Dec. 2018</w:t>
            </w:r>
          </w:p>
        </w:tc>
        <w:tc>
          <w:tcPr>
            <w:tcW w:w="2407" w:type="pct"/>
            <w:shd w:val="clear" w:color="auto" w:fill="auto"/>
            <w:tcMar>
              <w:left w:w="43" w:type="dxa"/>
              <w:right w:w="43" w:type="dxa"/>
            </w:tcMar>
          </w:tcPr>
          <w:p w:rsidR="00B703EA" w:rsidRPr="009A010C" w:rsidRDefault="00B703EA" w:rsidP="00287C83">
            <w:pPr>
              <w:jc w:val="left"/>
              <w:rPr>
                <w:color w:val="000000"/>
                <w:sz w:val="18"/>
                <w:szCs w:val="18"/>
                <w:lang w:val="en-CA"/>
              </w:rPr>
            </w:pPr>
            <w:r w:rsidRPr="009A010C">
              <w:rPr>
                <w:color w:val="000000"/>
                <w:sz w:val="18"/>
                <w:szCs w:val="18"/>
                <w:lang w:val="en-CA"/>
              </w:rPr>
              <w:t>On-site mission was organized in February 2018. Testing of the new HFO-1233zd foam system has been conducted, demonstrating the cost</w:t>
            </w:r>
            <w:r w:rsidRPr="009A010C">
              <w:rPr>
                <w:color w:val="000000"/>
                <w:sz w:val="18"/>
                <w:szCs w:val="18"/>
                <w:lang w:val="en-CA"/>
              </w:rPr>
              <w:noBreakHyphen/>
              <w:t>effectiveness and similar physical properties of the new system as compared to HCFC</w:t>
            </w:r>
            <w:r w:rsidRPr="009A010C">
              <w:rPr>
                <w:color w:val="000000"/>
                <w:sz w:val="18"/>
                <w:szCs w:val="18"/>
                <w:lang w:val="en-CA"/>
              </w:rPr>
              <w:noBreakHyphen/>
              <w:t>141b</w:t>
            </w:r>
            <w:r w:rsidRPr="009A010C">
              <w:rPr>
                <w:color w:val="000000"/>
                <w:sz w:val="18"/>
                <w:szCs w:val="18"/>
                <w:lang w:val="en-CA"/>
              </w:rPr>
              <w:noBreakHyphen/>
              <w:t>based systems. In line with decision 80/26(</w:t>
            </w:r>
            <w:proofErr w:type="spellStart"/>
            <w:r w:rsidRPr="009A010C">
              <w:rPr>
                <w:color w:val="000000"/>
                <w:sz w:val="18"/>
                <w:szCs w:val="18"/>
                <w:lang w:val="en-CA"/>
              </w:rPr>
              <w:t>i</w:t>
            </w:r>
            <w:proofErr w:type="spellEnd"/>
            <w:r w:rsidRPr="009A010C">
              <w:rPr>
                <w:color w:val="000000"/>
                <w:sz w:val="18"/>
                <w:szCs w:val="18"/>
                <w:lang w:val="en-CA"/>
              </w:rPr>
              <w:t>), the final report will be submitted no later than the 83</w:t>
            </w:r>
            <w:r w:rsidRPr="009A010C">
              <w:rPr>
                <w:color w:val="000000"/>
                <w:sz w:val="18"/>
                <w:szCs w:val="18"/>
                <w:vertAlign w:val="superscript"/>
                <w:lang w:val="en-CA"/>
              </w:rPr>
              <w:t>rd</w:t>
            </w:r>
            <w:r w:rsidRPr="009A010C">
              <w:rPr>
                <w:color w:val="000000"/>
                <w:sz w:val="18"/>
                <w:szCs w:val="18"/>
                <w:lang w:val="en-CA"/>
              </w:rPr>
              <w:t> meeting.</w:t>
            </w:r>
          </w:p>
        </w:tc>
      </w:tr>
      <w:tr w:rsidR="00B703EA" w:rsidRPr="009A010C" w:rsidTr="00D95E95">
        <w:tc>
          <w:tcPr>
            <w:tcW w:w="707" w:type="pct"/>
            <w:shd w:val="clear" w:color="auto" w:fill="auto"/>
            <w:tcMar>
              <w:left w:w="43" w:type="dxa"/>
              <w:right w:w="43" w:type="dxa"/>
            </w:tcMar>
            <w:hideMark/>
          </w:tcPr>
          <w:p w:rsidR="00B703EA" w:rsidRPr="009A010C" w:rsidRDefault="00B703EA" w:rsidP="00287C83">
            <w:pPr>
              <w:keepNext/>
              <w:jc w:val="left"/>
              <w:rPr>
                <w:color w:val="000000"/>
                <w:sz w:val="18"/>
                <w:szCs w:val="18"/>
                <w:lang w:val="en-CA"/>
              </w:rPr>
            </w:pPr>
            <w:r w:rsidRPr="009A010C">
              <w:rPr>
                <w:color w:val="000000"/>
                <w:sz w:val="18"/>
                <w:szCs w:val="18"/>
                <w:lang w:val="en-CA"/>
              </w:rPr>
              <w:lastRenderedPageBreak/>
              <w:t>Thailand (World Bank)</w:t>
            </w:r>
          </w:p>
        </w:tc>
        <w:tc>
          <w:tcPr>
            <w:tcW w:w="1318" w:type="pct"/>
            <w:shd w:val="clear" w:color="auto" w:fill="auto"/>
            <w:tcMar>
              <w:left w:w="43" w:type="dxa"/>
              <w:right w:w="43" w:type="dxa"/>
            </w:tcMar>
            <w:hideMark/>
          </w:tcPr>
          <w:p w:rsidR="00B703EA" w:rsidRPr="009A010C" w:rsidRDefault="00B703EA" w:rsidP="00287C83">
            <w:pPr>
              <w:keepNext/>
              <w:jc w:val="left"/>
              <w:rPr>
                <w:sz w:val="18"/>
                <w:szCs w:val="18"/>
                <w:lang w:val="en-CA"/>
              </w:rPr>
            </w:pPr>
            <w:r w:rsidRPr="009A010C">
              <w:rPr>
                <w:sz w:val="18"/>
                <w:szCs w:val="18"/>
                <w:lang w:val="en-CA"/>
              </w:rPr>
              <w:t>Demonstration project at foam system houses to formulate pre</w:t>
            </w:r>
            <w:r w:rsidRPr="009A010C">
              <w:rPr>
                <w:sz w:val="18"/>
                <w:szCs w:val="18"/>
                <w:lang w:val="en-CA"/>
              </w:rPr>
              <w:noBreakHyphen/>
              <w:t>blended polyol for spray polyurethane foam applications using low-global warming potential blowing agent</w:t>
            </w:r>
          </w:p>
        </w:tc>
        <w:tc>
          <w:tcPr>
            <w:tcW w:w="568" w:type="pct"/>
            <w:shd w:val="clear" w:color="auto" w:fill="auto"/>
            <w:tcMar>
              <w:left w:w="43" w:type="dxa"/>
              <w:right w:w="43" w:type="dxa"/>
            </w:tcMar>
            <w:hideMark/>
          </w:tcPr>
          <w:p w:rsidR="00B703EA" w:rsidRPr="009A010C" w:rsidRDefault="00B703EA" w:rsidP="00287C83">
            <w:pPr>
              <w:keepNext/>
              <w:jc w:val="center"/>
              <w:rPr>
                <w:color w:val="000000"/>
                <w:sz w:val="18"/>
                <w:szCs w:val="18"/>
                <w:lang w:val="en-CA"/>
              </w:rPr>
            </w:pPr>
            <w:r w:rsidRPr="009A010C">
              <w:rPr>
                <w:color w:val="000000"/>
                <w:sz w:val="18"/>
                <w:szCs w:val="18"/>
                <w:lang w:val="en-CA"/>
              </w:rPr>
              <w:t>Sep. 2018</w:t>
            </w:r>
          </w:p>
        </w:tc>
        <w:tc>
          <w:tcPr>
            <w:tcW w:w="2407" w:type="pct"/>
            <w:shd w:val="clear" w:color="auto" w:fill="auto"/>
            <w:tcMar>
              <w:left w:w="43" w:type="dxa"/>
              <w:right w:w="43" w:type="dxa"/>
            </w:tcMar>
            <w:hideMark/>
          </w:tcPr>
          <w:p w:rsidR="00B703EA" w:rsidRPr="009A010C" w:rsidRDefault="00B703EA" w:rsidP="00287C83">
            <w:pPr>
              <w:keepNext/>
              <w:jc w:val="left"/>
              <w:rPr>
                <w:color w:val="000000"/>
                <w:sz w:val="18"/>
                <w:szCs w:val="18"/>
                <w:lang w:val="en-CA"/>
              </w:rPr>
            </w:pPr>
            <w:r w:rsidRPr="009A010C">
              <w:rPr>
                <w:color w:val="000000"/>
                <w:sz w:val="18"/>
                <w:szCs w:val="18"/>
                <w:lang w:val="en-CA"/>
              </w:rPr>
              <w:t>Both system houses have installed equipment and have secured an initial supply of HFO-123zd and HFO</w:t>
            </w:r>
            <w:r w:rsidRPr="009A010C">
              <w:rPr>
                <w:color w:val="000000"/>
                <w:sz w:val="18"/>
                <w:szCs w:val="18"/>
                <w:lang w:val="en-CA"/>
              </w:rPr>
              <w:noBreakHyphen/>
              <w:t>1336mzz(Z). Formulation work has begun and one of the two system houses has completed reformulation of one of its polyol systems with satisfactory test results. More formulations are under development. Final test results of the first formulation for the second system house are not yet available. Three additional months are needed to complete reformulation of the full range of polyol systems, therefore the project will be completed by the end of 2018.</w:t>
            </w:r>
          </w:p>
        </w:tc>
      </w:tr>
      <w:tr w:rsidR="00B703EA" w:rsidRPr="009A010C" w:rsidTr="00D95E95">
        <w:tc>
          <w:tcPr>
            <w:tcW w:w="707" w:type="pct"/>
            <w:shd w:val="clear" w:color="auto" w:fill="auto"/>
            <w:tcMar>
              <w:left w:w="43" w:type="dxa"/>
              <w:right w:w="43" w:type="dxa"/>
            </w:tcMar>
          </w:tcPr>
          <w:p w:rsidR="00B703EA" w:rsidRPr="009A010C" w:rsidRDefault="00B703EA" w:rsidP="00287C83">
            <w:pPr>
              <w:jc w:val="left"/>
              <w:rPr>
                <w:color w:val="000000"/>
                <w:sz w:val="18"/>
                <w:szCs w:val="18"/>
                <w:lang w:val="en-CA"/>
              </w:rPr>
            </w:pPr>
            <w:r w:rsidRPr="009A010C">
              <w:rPr>
                <w:color w:val="000000"/>
                <w:sz w:val="18"/>
                <w:szCs w:val="18"/>
                <w:lang w:val="en-CA"/>
              </w:rPr>
              <w:t>Regional (West Asia), PRAHA-II</w:t>
            </w:r>
          </w:p>
        </w:tc>
        <w:tc>
          <w:tcPr>
            <w:tcW w:w="1318" w:type="pct"/>
            <w:shd w:val="clear" w:color="auto" w:fill="auto"/>
            <w:tcMar>
              <w:left w:w="43" w:type="dxa"/>
              <w:right w:w="43" w:type="dxa"/>
            </w:tcMar>
          </w:tcPr>
          <w:p w:rsidR="00B703EA" w:rsidRPr="009A010C" w:rsidRDefault="00B703EA" w:rsidP="00287C83">
            <w:pPr>
              <w:jc w:val="left"/>
              <w:rPr>
                <w:sz w:val="18"/>
                <w:szCs w:val="18"/>
                <w:lang w:val="en-CA"/>
              </w:rPr>
            </w:pPr>
            <w:r w:rsidRPr="009A010C">
              <w:rPr>
                <w:sz w:val="18"/>
                <w:szCs w:val="18"/>
                <w:lang w:val="en-CA"/>
              </w:rPr>
              <w:t>Promoting alternative refrigerants in air-conditioning for high ambient countries in West Asia (PRAHA-II) (ASP/REF/76/DEM/59 and 60)</w:t>
            </w:r>
          </w:p>
        </w:tc>
        <w:tc>
          <w:tcPr>
            <w:tcW w:w="568" w:type="pct"/>
            <w:shd w:val="clear" w:color="auto" w:fill="auto"/>
            <w:tcMar>
              <w:left w:w="43" w:type="dxa"/>
              <w:right w:w="43" w:type="dxa"/>
            </w:tcMar>
          </w:tcPr>
          <w:p w:rsidR="00B703EA" w:rsidRPr="009A010C" w:rsidRDefault="00B703EA" w:rsidP="00287C83">
            <w:pPr>
              <w:jc w:val="center"/>
              <w:rPr>
                <w:color w:val="000000"/>
                <w:sz w:val="18"/>
                <w:szCs w:val="18"/>
                <w:lang w:val="en-CA"/>
              </w:rPr>
            </w:pPr>
            <w:r w:rsidRPr="009A010C">
              <w:rPr>
                <w:color w:val="000000"/>
                <w:sz w:val="18"/>
                <w:szCs w:val="18"/>
                <w:lang w:val="en-CA"/>
              </w:rPr>
              <w:t>Dec. 2018</w:t>
            </w:r>
          </w:p>
        </w:tc>
        <w:tc>
          <w:tcPr>
            <w:tcW w:w="2407" w:type="pct"/>
            <w:shd w:val="clear" w:color="auto" w:fill="auto"/>
            <w:tcMar>
              <w:left w:w="43" w:type="dxa"/>
              <w:right w:w="43" w:type="dxa"/>
            </w:tcMar>
          </w:tcPr>
          <w:p w:rsidR="00B703EA" w:rsidRPr="009A010C" w:rsidRDefault="00B703EA" w:rsidP="00572988">
            <w:pPr>
              <w:jc w:val="left"/>
              <w:rPr>
                <w:color w:val="000000"/>
                <w:sz w:val="18"/>
                <w:szCs w:val="18"/>
                <w:lang w:val="en-CA"/>
              </w:rPr>
            </w:pPr>
            <w:r w:rsidRPr="009A010C">
              <w:rPr>
                <w:color w:val="000000"/>
                <w:sz w:val="18"/>
                <w:szCs w:val="18"/>
                <w:lang w:val="en-CA"/>
              </w:rPr>
              <w:t>Several activities have been implemented including capacity building of the local research and development facilities in high</w:t>
            </w:r>
            <w:r w:rsidR="00572988">
              <w:rPr>
                <w:color w:val="000000"/>
                <w:sz w:val="18"/>
                <w:szCs w:val="18"/>
                <w:lang w:val="en-CA"/>
              </w:rPr>
              <w:noBreakHyphen/>
            </w:r>
            <w:r w:rsidRPr="009A010C">
              <w:rPr>
                <w:color w:val="000000"/>
                <w:sz w:val="18"/>
                <w:szCs w:val="18"/>
                <w:lang w:val="en-CA"/>
              </w:rPr>
              <w:t>ambient temperature countries; for the HFC-32 technology, activities were conducted in cooperation with the Japan Refrigeration and Air Conditioning Industry Association (JRAIA) and Japanese industry; for the R-290 technology, activities were conducted in cooperation with the China Household Electrical Appliances Association (CHEAA) and the Chinese industry; and for the HFO technology, activities were conducted with the Air Conditioning, Heating, and Refrigeration Institute (AHRI) and the technology providers of refrigerant and compressor manufacturers. Risk assessment activities were conducted for designing, developing and examining a risk assessment model suitable for use pattern and operating conditions for high ambient conditions to be completed by October 2018. Activities related to testing and optimization using prototypes that were previously developed under the project PRAHA-I, will be completed by November 2018.</w:t>
            </w:r>
          </w:p>
        </w:tc>
      </w:tr>
    </w:tbl>
    <w:p w:rsidR="00B703EA" w:rsidRPr="009A010C" w:rsidRDefault="00B703EA" w:rsidP="00B703EA">
      <w:pPr>
        <w:rPr>
          <w:lang w:val="en-CA"/>
        </w:rPr>
      </w:pPr>
    </w:p>
    <w:p w:rsidR="00B703EA" w:rsidRPr="009A010C" w:rsidRDefault="00B703EA" w:rsidP="00B703EA">
      <w:pPr>
        <w:pStyle w:val="Heading1"/>
        <w:rPr>
          <w:lang w:val="en-CA"/>
        </w:rPr>
      </w:pPr>
      <w:r w:rsidRPr="009A010C">
        <w:rPr>
          <w:lang w:val="en-CA"/>
        </w:rPr>
        <w:t>Final reports for Saudi Arabia (World Bank) and the global project in the servicing sector (Eastern Africa and Caribbean regions) that were expected at the 82</w:t>
      </w:r>
      <w:r w:rsidRPr="009A010C">
        <w:rPr>
          <w:vertAlign w:val="superscript"/>
          <w:lang w:val="en-CA"/>
        </w:rPr>
        <w:t>nd</w:t>
      </w:r>
      <w:r w:rsidRPr="009A010C">
        <w:rPr>
          <w:lang w:val="en-CA"/>
        </w:rPr>
        <w:t> meeting were not submitted as the projects could not be completed as planned. The reported progress was:</w:t>
      </w:r>
    </w:p>
    <w:p w:rsidR="00B703EA" w:rsidRPr="009A010C" w:rsidRDefault="00B703EA" w:rsidP="00B703EA">
      <w:pPr>
        <w:pStyle w:val="Heading2"/>
        <w:rPr>
          <w:lang w:val="en-CA"/>
        </w:rPr>
      </w:pPr>
      <w:r w:rsidRPr="009A010C">
        <w:rPr>
          <w:lang w:val="en-CA"/>
        </w:rPr>
        <w:t>Saudi Arabia (World Bank): Prototypes are under development by Petra Engineering Industries (KSA) Co. Ltd., one of the two air-conditioning manufacturers participating in the project. Prototypes are expected to be completed by mid-October and testing of the prototypes is expected to be completed in November 2018. The second air-conditioning manufacturer, Saudi Factory for Electrical Appliances Ltd., decided not to participate in the project, resulting in the return of US $220,000, plus US $15,400 in agency support costs for the World Bank, to the 82</w:t>
      </w:r>
      <w:r w:rsidRPr="009A010C">
        <w:rPr>
          <w:vertAlign w:val="superscript"/>
          <w:lang w:val="en-CA"/>
        </w:rPr>
        <w:t>nd</w:t>
      </w:r>
      <w:r w:rsidRPr="009A010C">
        <w:rPr>
          <w:lang w:val="en-CA"/>
        </w:rPr>
        <w:t xml:space="preserve"> meeting;  </w:t>
      </w:r>
    </w:p>
    <w:p w:rsidR="00B703EA" w:rsidRPr="009A010C" w:rsidRDefault="00B703EA" w:rsidP="00B703EA">
      <w:pPr>
        <w:pStyle w:val="Heading2"/>
        <w:rPr>
          <w:lang w:val="en-CA"/>
        </w:rPr>
      </w:pPr>
      <w:r w:rsidRPr="009A010C">
        <w:rPr>
          <w:lang w:val="en-CA"/>
        </w:rPr>
        <w:t>Global (Eastern Africa, UNEP and UNIDO): Local experts were contracted to undertake surveys on refrigerant quality, and two workshops were undertaken: to train trainers where three new HCFC</w:t>
      </w:r>
      <w:r w:rsidRPr="009A010C">
        <w:rPr>
          <w:lang w:val="en-CA"/>
        </w:rPr>
        <w:noBreakHyphen/>
        <w:t>based air-conditioners were evaluated, two of which were charged with locally purchased “HCFC-22,” which was fake refrigerant that included a mixture of HCFC</w:t>
      </w:r>
      <w:r w:rsidR="00A51632" w:rsidRPr="009A010C">
        <w:rPr>
          <w:lang w:val="en-CA"/>
        </w:rPr>
        <w:noBreakHyphen/>
      </w:r>
      <w:r w:rsidRPr="009A010C">
        <w:rPr>
          <w:lang w:val="en-CA"/>
        </w:rPr>
        <w:t>22, HFC-134a, hydrocarbons and other refrigerants, and with refrigerant-quality R</w:t>
      </w:r>
      <w:r w:rsidRPr="009A010C">
        <w:rPr>
          <w:lang w:val="en-CA"/>
        </w:rPr>
        <w:noBreakHyphen/>
        <w:t>290; and to raise awareness of refrigerants currently on the market, fake refrigerants and their effects, as well as the use of equipment to identify refrigerants and their quality. UNIDO’s disbursement was 54 per cent and UNEP’s was zero; and</w:t>
      </w:r>
    </w:p>
    <w:p w:rsidR="00B703EA" w:rsidRPr="009A010C" w:rsidRDefault="00B703EA" w:rsidP="00B703EA">
      <w:pPr>
        <w:pStyle w:val="Heading2"/>
        <w:rPr>
          <w:lang w:val="en-CA"/>
        </w:rPr>
      </w:pPr>
      <w:r w:rsidRPr="009A010C">
        <w:rPr>
          <w:lang w:val="en-CA"/>
        </w:rPr>
        <w:t xml:space="preserve">Global (Caribbean, UNIDO): a regional workshop on curriculum development, technician training, and certification schemes was held in May 2017; tools and equipment suitable for low-GWP flammable refrigerants were provided to the regional training centre in Grenada; a regional train-the-trainers workshop was held in August 2017, including on the safe handling of refrigerants and alternatives, good servicing practices, the differences between </w:t>
      </w:r>
      <w:r w:rsidRPr="009A010C">
        <w:rPr>
          <w:lang w:val="en-CA"/>
        </w:rPr>
        <w:lastRenderedPageBreak/>
        <w:t>retrofit and drop-in and the consequences; and a regional training and certification curriculum was designed to ensure that only qualified technicians are handling and servicing equipment and flammable refrigerants. The curriculum will be adapted by each country in the region for their respective certification schemes. A market assessment is ongoing to estimate the market for low-GWP-based equipment in the region, and procurement of two R-290 AC units per country is ongoing to enable the remaining four countries to continue in-country training sessions, with delivery expected by the end of 2018. UNIDO’s disbursement was 66 per</w:t>
      </w:r>
      <w:r w:rsidR="00572988">
        <w:rPr>
          <w:lang w:val="en-CA"/>
        </w:rPr>
        <w:t> </w:t>
      </w:r>
      <w:r w:rsidRPr="009A010C">
        <w:rPr>
          <w:lang w:val="en-CA"/>
        </w:rPr>
        <w:t>cent and UNEP’s was zero.</w:t>
      </w:r>
    </w:p>
    <w:p w:rsidR="00B703EA" w:rsidRPr="009A010C" w:rsidRDefault="00B703EA" w:rsidP="00B703EA">
      <w:pPr>
        <w:rPr>
          <w:b/>
          <w:lang w:val="en-CA"/>
        </w:rPr>
      </w:pPr>
      <w:r w:rsidRPr="009A010C">
        <w:rPr>
          <w:b/>
          <w:lang w:val="en-CA"/>
        </w:rPr>
        <w:t>Secretariat’s comments</w:t>
      </w:r>
    </w:p>
    <w:p w:rsidR="00B703EA" w:rsidRPr="009A010C" w:rsidRDefault="00B703EA" w:rsidP="00B703EA">
      <w:pPr>
        <w:rPr>
          <w:lang w:val="en-CA"/>
        </w:rPr>
      </w:pPr>
    </w:p>
    <w:p w:rsidR="00B703EA" w:rsidRPr="009A010C" w:rsidRDefault="00B703EA" w:rsidP="00B703EA">
      <w:pPr>
        <w:pStyle w:val="Heading1"/>
        <w:rPr>
          <w:lang w:val="en-CA"/>
        </w:rPr>
      </w:pPr>
      <w:r w:rsidRPr="009A010C">
        <w:rPr>
          <w:lang w:val="en-CA"/>
        </w:rPr>
        <w:t>The Secretariat noted that a number of projects were extended by the agency implementing the project beyond the date of completion specified in a decision of the Executive Committee, notwithstanding decision</w:t>
      </w:r>
      <w:r w:rsidR="00572988">
        <w:rPr>
          <w:lang w:val="en-CA"/>
        </w:rPr>
        <w:t> </w:t>
      </w:r>
      <w:r w:rsidRPr="009A010C">
        <w:rPr>
          <w:lang w:val="en-CA"/>
        </w:rPr>
        <w:t>77/8(l). This issue is further discussed in the consolidated progress report (</w:t>
      </w:r>
      <w:r w:rsidRPr="009A010C">
        <w:t>UNEP/</w:t>
      </w:r>
      <w:proofErr w:type="spellStart"/>
      <w:r w:rsidRPr="009A010C">
        <w:t>OzL.Pro</w:t>
      </w:r>
      <w:proofErr w:type="spellEnd"/>
      <w:r w:rsidRPr="009A010C">
        <w:t>/</w:t>
      </w:r>
      <w:proofErr w:type="spellStart"/>
      <w:r w:rsidRPr="009A010C">
        <w:t>ExCom</w:t>
      </w:r>
      <w:proofErr w:type="spellEnd"/>
      <w:r w:rsidRPr="009A010C">
        <w:t>/82/14</w:t>
      </w:r>
      <w:r w:rsidRPr="009A010C">
        <w:rPr>
          <w:lang w:val="en-CA"/>
        </w:rPr>
        <w:t>) and the document on overview of issues identified during project review (UNEP/</w:t>
      </w:r>
      <w:proofErr w:type="spellStart"/>
      <w:r w:rsidRPr="009A010C">
        <w:rPr>
          <w:lang w:val="en-CA"/>
        </w:rPr>
        <w:t>OzL.Pro</w:t>
      </w:r>
      <w:proofErr w:type="spellEnd"/>
      <w:r w:rsidRPr="009A010C">
        <w:rPr>
          <w:lang w:val="en-CA"/>
        </w:rPr>
        <w:t>/</w:t>
      </w:r>
      <w:proofErr w:type="spellStart"/>
      <w:r w:rsidRPr="009A010C">
        <w:rPr>
          <w:lang w:val="en-CA"/>
        </w:rPr>
        <w:t>ExCom</w:t>
      </w:r>
      <w:proofErr w:type="spellEnd"/>
      <w:r w:rsidRPr="009A010C">
        <w:rPr>
          <w:lang w:val="en-CA"/>
        </w:rPr>
        <w:t xml:space="preserve">/82/31). </w:t>
      </w:r>
    </w:p>
    <w:p w:rsidR="00B703EA" w:rsidRPr="009A010C" w:rsidRDefault="00B703EA" w:rsidP="00B703EA">
      <w:pPr>
        <w:pStyle w:val="Heading1"/>
        <w:rPr>
          <w:lang w:val="en-CA"/>
        </w:rPr>
      </w:pPr>
      <w:r w:rsidRPr="009A010C">
        <w:rPr>
          <w:lang w:val="en-CA"/>
        </w:rPr>
        <w:t xml:space="preserve">Regarding the requested extensions for the demonstration project at air-conditioning manufacturers (SAU/REF/76/DEM/29), the Secretariat noted that the World Bank did not comply with decision 80/26(h), including, </w:t>
      </w:r>
      <w:r w:rsidRPr="009A010C">
        <w:rPr>
          <w:i/>
          <w:lang w:val="en-CA"/>
        </w:rPr>
        <w:t>inter-alia</w:t>
      </w:r>
      <w:r w:rsidRPr="009A010C">
        <w:rPr>
          <w:lang w:val="en-CA"/>
        </w:rPr>
        <w:t>, that the project should be completed by 30 September 2018, that no further extension of the project implementation would be requested, and that the final report would be submitted no later than the 82</w:t>
      </w:r>
      <w:r w:rsidRPr="009A010C">
        <w:rPr>
          <w:vertAlign w:val="superscript"/>
          <w:lang w:val="en-CA"/>
        </w:rPr>
        <w:t>nd</w:t>
      </w:r>
      <w:r w:rsidRPr="009A010C">
        <w:rPr>
          <w:lang w:val="en-CA"/>
        </w:rPr>
        <w:t> meeting. The Secretariat did not consider it meaningful to extend the date of completion of the project as the requested extension was before the 82</w:t>
      </w:r>
      <w:r w:rsidRPr="009A010C">
        <w:rPr>
          <w:vertAlign w:val="superscript"/>
          <w:lang w:val="en-CA"/>
        </w:rPr>
        <w:t>nd</w:t>
      </w:r>
      <w:r w:rsidRPr="009A010C">
        <w:rPr>
          <w:lang w:val="en-CA"/>
        </w:rPr>
        <w:t> meeting. The final report will be submitted to the 83</w:t>
      </w:r>
      <w:r w:rsidRPr="009A010C">
        <w:rPr>
          <w:vertAlign w:val="superscript"/>
          <w:lang w:val="en-CA"/>
        </w:rPr>
        <w:t>rd</w:t>
      </w:r>
      <w:r w:rsidRPr="009A010C">
        <w:rPr>
          <w:lang w:val="en-CA"/>
        </w:rPr>
        <w:t xml:space="preserve"> meeting. </w:t>
      </w:r>
    </w:p>
    <w:p w:rsidR="00B703EA" w:rsidRPr="009A010C" w:rsidRDefault="00B703EA" w:rsidP="00B703EA">
      <w:pPr>
        <w:pStyle w:val="Heading1"/>
        <w:rPr>
          <w:lang w:val="en-CA"/>
        </w:rPr>
      </w:pPr>
      <w:r w:rsidRPr="009A010C">
        <w:rPr>
          <w:lang w:val="en-CA"/>
        </w:rPr>
        <w:t>Regarding the demonstration project at foam system houses in Thailand (THA/FOA/76/DEM/168), the Secretariat recalled decision 80/26(k), which specified that the project should be completed by 30 September 2018 and that no further extension of the project implementation would be requested, and noted that the results of the demonstration project are directly relevant to stage II of the HPMP for Thailand submitted to the 82</w:t>
      </w:r>
      <w:r w:rsidRPr="009A010C">
        <w:rPr>
          <w:vertAlign w:val="superscript"/>
          <w:lang w:val="en-CA"/>
        </w:rPr>
        <w:t>nd</w:t>
      </w:r>
      <w:r w:rsidRPr="009A010C">
        <w:rPr>
          <w:lang w:val="en-CA"/>
        </w:rPr>
        <w:t> meeting. As no detailed results from this project are available, the Secretariat would base its review of the spray foam component of the stage II submission on results available from other projects and other sources of information. The World Bank clarified that the demonstration project could not be completed by the planned date because, while the two system houses had installed all the necessary equipment in early 2018, they were only able to obtain a supply of HFO-1233zd and HFO</w:t>
      </w:r>
      <w:r w:rsidRPr="009A010C">
        <w:rPr>
          <w:lang w:val="en-CA"/>
        </w:rPr>
        <w:noBreakHyphen/>
        <w:t>1336mzz(Z) for testing in July 2018. Since then, both enterprises have been working on the formulations. One systems house has completed the formulation with reduced HFO</w:t>
      </w:r>
      <w:r w:rsidRPr="009A010C">
        <w:rPr>
          <w:lang w:val="en-CA"/>
        </w:rPr>
        <w:noBreakHyphen/>
        <w:t xml:space="preserve">1336mzz(Z), with stability tests still pending. In light of this progress, the Secretariat recommends extending the project, notwithstanding that the Executive Committee had decided that no further extensions of project implementation would be requested.  </w:t>
      </w:r>
    </w:p>
    <w:p w:rsidR="00B703EA" w:rsidRPr="009A010C" w:rsidRDefault="00B703EA" w:rsidP="00B703EA">
      <w:pPr>
        <w:pStyle w:val="Heading1"/>
        <w:rPr>
          <w:lang w:val="en-CA"/>
        </w:rPr>
      </w:pPr>
      <w:r w:rsidRPr="009A010C">
        <w:rPr>
          <w:lang w:val="en-CA"/>
        </w:rPr>
        <w:t>Regarding the global servicing projects in Eastern Africa and the Caribbean (GLO/REF/76/DEM/333 and 334), UNIDO has made considerable progress, though an extension to June 2019 was requested to complete the outstanding activities. In light of the progress and the limited remaining activities, the Secretariat recommends that the project be extended to 30 June 2019 and that final report be submitted to the 84</w:t>
      </w:r>
      <w:r w:rsidRPr="009A010C">
        <w:rPr>
          <w:vertAlign w:val="superscript"/>
          <w:lang w:val="en-CA"/>
        </w:rPr>
        <w:t>th</w:t>
      </w:r>
      <w:r w:rsidRPr="009A010C">
        <w:rPr>
          <w:lang w:val="en-CA"/>
        </w:rPr>
        <w:t> meeting. Notwithstanding best efforts by UNEP, there were unavoidable delays and UNEP’s activities could not be implemented as planned. Given the advanced stage of implementation of the activities by UNIDO in Eastern Africa, and that the project was designed to be jointly implemented through complementary activities by UNIDO and UNEP, it was agreed to cancel UNEP’s component of the project. In order to ensure that countries in the region would benefit from the project, UNEP CAP will include a focus on the results of the demonstration project in regional network meetings and in other assistance it provides to countries in the regions. Funds of US $50,000 plus agency support costs of US $6,500 will be returned to the 82</w:t>
      </w:r>
      <w:r w:rsidRPr="009A010C">
        <w:rPr>
          <w:vertAlign w:val="superscript"/>
          <w:lang w:val="en-CA"/>
        </w:rPr>
        <w:t>nd</w:t>
      </w:r>
      <w:r w:rsidRPr="009A010C">
        <w:rPr>
          <w:lang w:val="en-CA"/>
        </w:rPr>
        <w:t xml:space="preserve"> meeting.  </w:t>
      </w:r>
    </w:p>
    <w:p w:rsidR="00B703EA" w:rsidRPr="009A010C" w:rsidRDefault="00B703EA" w:rsidP="00B703EA">
      <w:pPr>
        <w:pStyle w:val="Heading1"/>
        <w:rPr>
          <w:lang w:val="en-CA"/>
        </w:rPr>
      </w:pPr>
      <w:r w:rsidRPr="009A010C">
        <w:rPr>
          <w:lang w:val="en-CA"/>
        </w:rPr>
        <w:lastRenderedPageBreak/>
        <w:t>The Secretariat asked for an update on the global (Argentina and Tunisia) demonstration project for the introduction of trans-critical CO</w:t>
      </w:r>
      <w:r w:rsidRPr="009A010C">
        <w:rPr>
          <w:vertAlign w:val="subscript"/>
          <w:lang w:val="en-CA"/>
        </w:rPr>
        <w:t>2</w:t>
      </w:r>
      <w:r w:rsidRPr="009A010C">
        <w:rPr>
          <w:lang w:val="en-CA"/>
        </w:rPr>
        <w:t xml:space="preserve"> refrigeration technology for supermarkets (GLO/REF/76/DEM/335) that was to be completed in November 2018. The sub-project in Argentina has seen substantial progress: the equipment was successfully installed, with initial measurements indicating reductions of up to 25 per</w:t>
      </w:r>
      <w:r w:rsidR="00572988">
        <w:rPr>
          <w:lang w:val="en-CA"/>
        </w:rPr>
        <w:t> </w:t>
      </w:r>
      <w:r w:rsidRPr="009A010C">
        <w:rPr>
          <w:lang w:val="en-CA"/>
        </w:rPr>
        <w:t xml:space="preserve">cent of energy consumption. Additional time is required to complete the data gathering and for a </w:t>
      </w:r>
      <w:r w:rsidRPr="009A010C">
        <w:t xml:space="preserve">workshop to present the results, expected to be held in March 2019. Accordingly, the Secretariat recommends extending the project to 31 March 2019, on the understanding that the final report will be submitted by 30 June 2019. </w:t>
      </w:r>
      <w:r w:rsidRPr="009A010C">
        <w:rPr>
          <w:lang w:val="en-CA"/>
        </w:rPr>
        <w:t>In contrast, the sub-project in Tunisia has not yet started as, despite best efforts by the NOU and UNIDO, the identified beneficiary did not decide to proceed with the project due to the required cost-share. Given the completion date specified by the Executive Committee, it was agreed to cancel the sub-project in Tunisia. The disbursement for the project is 59 per cent. The remaining funding of approximately US $300,000, plus any remaining balances associated with the Argentina project, will be returned to the Multilateral Fund by 31</w:t>
      </w:r>
      <w:r w:rsidR="00D95E95" w:rsidRPr="009A010C">
        <w:rPr>
          <w:lang w:val="en-CA"/>
        </w:rPr>
        <w:t> </w:t>
      </w:r>
      <w:r w:rsidRPr="009A010C">
        <w:rPr>
          <w:lang w:val="en-CA"/>
        </w:rPr>
        <w:t>March 2020. The final report will be submitted by June 2019.</w:t>
      </w:r>
    </w:p>
    <w:p w:rsidR="00B703EA" w:rsidRPr="009A010C" w:rsidRDefault="00B703EA" w:rsidP="00B703EA">
      <w:pPr>
        <w:pStyle w:val="Heading1"/>
        <w:rPr>
          <w:lang w:val="en-CA"/>
        </w:rPr>
      </w:pPr>
      <w:r w:rsidRPr="009A010C">
        <w:rPr>
          <w:lang w:val="en-CA"/>
        </w:rPr>
        <w:t>The project on demonstration of low-cost options for the conversion to non-ODS technologies in PU foam at very small users in Egypt (EGY/FOA/76/DEM/129) was experiencing delays with equipment purchase being in process; however, UNDP confirmed that no extension would be requested, that the final report will be submitted to the 83</w:t>
      </w:r>
      <w:r w:rsidRPr="009A010C">
        <w:rPr>
          <w:vertAlign w:val="superscript"/>
          <w:lang w:val="en-CA"/>
        </w:rPr>
        <w:t>rd</w:t>
      </w:r>
      <w:r w:rsidRPr="009A010C">
        <w:rPr>
          <w:lang w:val="en-CA"/>
        </w:rPr>
        <w:t> meeting as per decision 80/26(e), and any remaining balances would be returned no later than to the 84</w:t>
      </w:r>
      <w:r w:rsidRPr="009A010C">
        <w:rPr>
          <w:vertAlign w:val="superscript"/>
          <w:lang w:val="en-CA"/>
        </w:rPr>
        <w:t>th</w:t>
      </w:r>
      <w:r w:rsidRPr="009A010C">
        <w:rPr>
          <w:lang w:val="en-CA"/>
        </w:rPr>
        <w:t xml:space="preserve"> meeting.  </w:t>
      </w:r>
    </w:p>
    <w:p w:rsidR="00B703EA" w:rsidRPr="009A010C" w:rsidRDefault="00B703EA" w:rsidP="00B703EA">
      <w:pPr>
        <w:rPr>
          <w:b/>
          <w:lang w:val="en-CA"/>
        </w:rPr>
      </w:pPr>
      <w:r w:rsidRPr="009A010C">
        <w:rPr>
          <w:b/>
          <w:lang w:val="en-CA"/>
        </w:rPr>
        <w:t xml:space="preserve">Secretariat’s recommendation </w:t>
      </w:r>
    </w:p>
    <w:p w:rsidR="00B703EA" w:rsidRPr="009A010C" w:rsidRDefault="00B703EA" w:rsidP="00B703EA">
      <w:pPr>
        <w:rPr>
          <w:lang w:val="en-CA"/>
        </w:rPr>
      </w:pPr>
    </w:p>
    <w:p w:rsidR="00B703EA" w:rsidRPr="009A010C" w:rsidRDefault="00B703EA" w:rsidP="00B703EA">
      <w:pPr>
        <w:pStyle w:val="Heading1"/>
        <w:rPr>
          <w:lang w:val="en-CA"/>
        </w:rPr>
      </w:pPr>
      <w:r w:rsidRPr="009A010C">
        <w:rPr>
          <w:lang w:val="en-CA"/>
        </w:rPr>
        <w:t>The Executive Committee may wish:</w:t>
      </w:r>
    </w:p>
    <w:p w:rsidR="005C1B6C" w:rsidRPr="00FE5979" w:rsidRDefault="005C1B6C" w:rsidP="005C1B6C">
      <w:pPr>
        <w:pStyle w:val="Heading2"/>
        <w:numPr>
          <w:ilvl w:val="1"/>
          <w:numId w:val="17"/>
        </w:numPr>
      </w:pPr>
      <w:r w:rsidRPr="00FE5979">
        <w:t xml:space="preserve">To note the reports on the progress of implementation of the demonstration projects submitted by the implementing agencies contained in document </w:t>
      </w:r>
      <w:r w:rsidRPr="00FE5979">
        <w:rPr>
          <w:color w:val="000000" w:themeColor="text1"/>
        </w:rPr>
        <w:t>UNEP/</w:t>
      </w:r>
      <w:proofErr w:type="spellStart"/>
      <w:r w:rsidRPr="00FE5979">
        <w:rPr>
          <w:color w:val="000000" w:themeColor="text1"/>
        </w:rPr>
        <w:t>Oz</w:t>
      </w:r>
      <w:r w:rsidRPr="00FE5979">
        <w:rPr>
          <w:color w:val="000000" w:themeColor="text1"/>
          <w:szCs w:val="24"/>
        </w:rPr>
        <w:t>L.Pro</w:t>
      </w:r>
      <w:proofErr w:type="spellEnd"/>
      <w:r w:rsidRPr="00FE5979">
        <w:rPr>
          <w:color w:val="000000" w:themeColor="text1"/>
          <w:szCs w:val="24"/>
        </w:rPr>
        <w:t>/</w:t>
      </w:r>
      <w:proofErr w:type="spellStart"/>
      <w:r w:rsidRPr="00FE5979">
        <w:rPr>
          <w:color w:val="000000" w:themeColor="text1"/>
          <w:szCs w:val="24"/>
        </w:rPr>
        <w:t>ExCom</w:t>
      </w:r>
      <w:proofErr w:type="spellEnd"/>
      <w:r w:rsidRPr="00FE5979">
        <w:rPr>
          <w:color w:val="000000" w:themeColor="text1"/>
          <w:szCs w:val="24"/>
        </w:rPr>
        <w:t>/82/</w:t>
      </w:r>
      <w:r w:rsidRPr="00FE5979">
        <w:rPr>
          <w:color w:val="000000" w:themeColor="text1"/>
        </w:rPr>
        <w:t>20</w:t>
      </w:r>
      <w:r w:rsidRPr="00FE5979">
        <w:t xml:space="preserve">; </w:t>
      </w:r>
    </w:p>
    <w:p w:rsidR="005C1B6C" w:rsidRPr="00FE5979" w:rsidRDefault="005C1B6C" w:rsidP="005C1B6C">
      <w:pPr>
        <w:pStyle w:val="Heading2"/>
        <w:numPr>
          <w:ilvl w:val="1"/>
          <w:numId w:val="17"/>
        </w:numPr>
        <w:ind w:left="1418" w:hanging="709"/>
      </w:pPr>
      <w:r w:rsidRPr="00FE5979">
        <w:t xml:space="preserve">Regarding the demonstration project at air-conditioning manufacturers to develop window and packaged air-conditioners using low-global warming potential (GWP) refrigerants (SAU/REF/76/DEM/29): </w:t>
      </w:r>
    </w:p>
    <w:p w:rsidR="005C1B6C" w:rsidRPr="00FE5979" w:rsidRDefault="005C1B6C" w:rsidP="005C1B6C">
      <w:pPr>
        <w:pStyle w:val="Heading3"/>
        <w:widowControl/>
        <w:numPr>
          <w:ilvl w:val="2"/>
          <w:numId w:val="18"/>
        </w:numPr>
        <w:tabs>
          <w:tab w:val="left" w:pos="1560"/>
        </w:tabs>
        <w:ind w:left="2268" w:hanging="850"/>
      </w:pPr>
      <w:r w:rsidRPr="00FE5979">
        <w:t>To note the return to the 82</w:t>
      </w:r>
      <w:r w:rsidRPr="00FE5979">
        <w:rPr>
          <w:vertAlign w:val="superscript"/>
        </w:rPr>
        <w:t>nd</w:t>
      </w:r>
      <w:r w:rsidRPr="00FE5979">
        <w:t xml:space="preserve"> meeting of US $220,000, plus agency support costs of US $15,400 for the World Bank, associated with the enterprise Saudi Factory for Electrical Appliances Ltd. that had decided to exit the project; and </w:t>
      </w:r>
    </w:p>
    <w:p w:rsidR="005C1B6C" w:rsidRPr="00FE5979" w:rsidRDefault="005C1B6C" w:rsidP="005C1B6C">
      <w:pPr>
        <w:pStyle w:val="Heading3"/>
        <w:widowControl/>
        <w:numPr>
          <w:ilvl w:val="2"/>
          <w:numId w:val="18"/>
        </w:numPr>
        <w:tabs>
          <w:tab w:val="clear" w:pos="0"/>
          <w:tab w:val="left" w:pos="1560"/>
        </w:tabs>
        <w:ind w:left="2268" w:hanging="884"/>
      </w:pPr>
      <w:r w:rsidRPr="00FE5979">
        <w:t>To urge the World Bank to submit the final report as soon as possible so that it can be presented to the 83</w:t>
      </w:r>
      <w:r w:rsidRPr="00FE5979">
        <w:rPr>
          <w:vertAlign w:val="superscript"/>
        </w:rPr>
        <w:t>rd</w:t>
      </w:r>
      <w:r w:rsidRPr="00FE5979">
        <w:t xml:space="preserve"> meeting;</w:t>
      </w:r>
    </w:p>
    <w:p w:rsidR="005C1B6C" w:rsidRPr="00FE5979" w:rsidRDefault="005C1B6C" w:rsidP="005C1B6C">
      <w:pPr>
        <w:pStyle w:val="Heading2"/>
        <w:numPr>
          <w:ilvl w:val="1"/>
          <w:numId w:val="17"/>
        </w:numPr>
        <w:ind w:left="1418" w:hanging="709"/>
        <w:rPr>
          <w:b/>
        </w:rPr>
      </w:pPr>
      <w:r w:rsidRPr="00FE5979">
        <w:rPr>
          <w:b/>
        </w:rPr>
        <w:t xml:space="preserve">Regarding the component of global demonstration project on refrigerant quality, containment and introduction of low-GWP refrigerants in Eastern Africa and the Caribbean implemented by UNEP and UNIDO: </w:t>
      </w:r>
    </w:p>
    <w:p w:rsidR="005C1B6C" w:rsidRPr="00FE5979" w:rsidRDefault="005C1B6C" w:rsidP="005C1B6C">
      <w:pPr>
        <w:pStyle w:val="Heading3"/>
        <w:widowControl/>
        <w:numPr>
          <w:ilvl w:val="2"/>
          <w:numId w:val="20"/>
        </w:numPr>
        <w:tabs>
          <w:tab w:val="left" w:pos="1560"/>
        </w:tabs>
        <w:rPr>
          <w:b/>
        </w:rPr>
      </w:pPr>
      <w:r w:rsidRPr="00FE5979">
        <w:rPr>
          <w:b/>
        </w:rPr>
        <w:t>To cancel the component implemented by UNEP (GLO/REF/76/DEM/334), and to note the return to the 82</w:t>
      </w:r>
      <w:r w:rsidRPr="00FE5979">
        <w:rPr>
          <w:b/>
          <w:vertAlign w:val="superscript"/>
        </w:rPr>
        <w:t xml:space="preserve">nd </w:t>
      </w:r>
      <w:r w:rsidRPr="00FE5979">
        <w:rPr>
          <w:b/>
        </w:rPr>
        <w:t>meeting of US $50,000 plus agency support costs of US $6,500 for UNEP;</w:t>
      </w:r>
    </w:p>
    <w:p w:rsidR="005C1B6C" w:rsidRPr="00FE5979" w:rsidRDefault="005C1B6C" w:rsidP="005C1B6C">
      <w:pPr>
        <w:pStyle w:val="Heading3"/>
        <w:widowControl/>
        <w:numPr>
          <w:ilvl w:val="2"/>
          <w:numId w:val="20"/>
        </w:numPr>
        <w:tabs>
          <w:tab w:val="left" w:pos="1560"/>
        </w:tabs>
        <w:rPr>
          <w:b/>
        </w:rPr>
      </w:pPr>
      <w:r w:rsidRPr="00FE5979">
        <w:rPr>
          <w:b/>
        </w:rPr>
        <w:t>To extend the project completion date to 30 June 2019, of the component implemented by UNIDO (GLO/REF/76/DEM/333) on the understanding that no further extension of project implementation would be requested, and to request UNIDO to submit the final report no later than the 84</w:t>
      </w:r>
      <w:r w:rsidRPr="00FE5979">
        <w:rPr>
          <w:b/>
          <w:vertAlign w:val="superscript"/>
        </w:rPr>
        <w:t>th</w:t>
      </w:r>
      <w:r w:rsidR="009C0DCB">
        <w:rPr>
          <w:b/>
          <w:vertAlign w:val="superscript"/>
        </w:rPr>
        <w:t xml:space="preserve"> </w:t>
      </w:r>
      <w:r w:rsidRPr="00FE5979">
        <w:rPr>
          <w:b/>
        </w:rPr>
        <w:t>meeting;</w:t>
      </w:r>
    </w:p>
    <w:p w:rsidR="005C1B6C" w:rsidRPr="00FE5979" w:rsidRDefault="005C1B6C" w:rsidP="005C1B6C">
      <w:pPr>
        <w:pStyle w:val="Heading2"/>
        <w:numPr>
          <w:ilvl w:val="1"/>
          <w:numId w:val="17"/>
        </w:numPr>
        <w:ind w:left="1418" w:hanging="709"/>
      </w:pPr>
      <w:r w:rsidRPr="00FE5979">
        <w:lastRenderedPageBreak/>
        <w:t>Regarding the global demonstration project for the introduction of trans-critical CO</w:t>
      </w:r>
      <w:r w:rsidRPr="00FE5979">
        <w:rPr>
          <w:vertAlign w:val="subscript"/>
        </w:rPr>
        <w:t>2</w:t>
      </w:r>
      <w:r w:rsidRPr="00FE5979">
        <w:t xml:space="preserve"> refrigeration technology for supermarkets (Argentina, Tunisia) project (GLO/REF/76/DEM/335): </w:t>
      </w:r>
    </w:p>
    <w:p w:rsidR="005C1B6C" w:rsidRPr="00FE5979" w:rsidRDefault="005C1B6C" w:rsidP="005C1B6C">
      <w:pPr>
        <w:pStyle w:val="Heading3"/>
        <w:widowControl/>
        <w:numPr>
          <w:ilvl w:val="2"/>
          <w:numId w:val="19"/>
        </w:numPr>
        <w:tabs>
          <w:tab w:val="left" w:pos="1560"/>
        </w:tabs>
      </w:pPr>
      <w:r w:rsidRPr="00FE5979">
        <w:rPr>
          <w:b/>
        </w:rPr>
        <w:t>To extend</w:t>
      </w:r>
      <w:r w:rsidRPr="00FE5979">
        <w:t xml:space="preserve"> the project completion date to 31 March 2019 </w:t>
      </w:r>
      <w:r w:rsidRPr="00FE5979">
        <w:rPr>
          <w:b/>
        </w:rPr>
        <w:t xml:space="preserve">for the project component for </w:t>
      </w:r>
      <w:r w:rsidRPr="00FE5979">
        <w:t xml:space="preserve">Argentina, on the understanding that no further extension of project implementation would be requested; </w:t>
      </w:r>
    </w:p>
    <w:p w:rsidR="005C1B6C" w:rsidRPr="00FE5979" w:rsidRDefault="005C1B6C" w:rsidP="005C1B6C">
      <w:pPr>
        <w:pStyle w:val="Heading3"/>
        <w:widowControl/>
        <w:numPr>
          <w:ilvl w:val="2"/>
          <w:numId w:val="19"/>
        </w:numPr>
        <w:tabs>
          <w:tab w:val="left" w:pos="1560"/>
        </w:tabs>
        <w:ind w:left="2268" w:hanging="850"/>
        <w:rPr>
          <w:b/>
        </w:rPr>
      </w:pPr>
      <w:r w:rsidRPr="00FE5979">
        <w:t xml:space="preserve">To cancel the project </w:t>
      </w:r>
      <w:r w:rsidRPr="00FE5979">
        <w:rPr>
          <w:b/>
        </w:rPr>
        <w:t>component for</w:t>
      </w:r>
      <w:r w:rsidRPr="00FE5979">
        <w:t xml:space="preserve"> Tunisia </w:t>
      </w:r>
      <w:r w:rsidRPr="00FE5979">
        <w:rPr>
          <w:b/>
        </w:rPr>
        <w:t>and to request UNIDO to return the balances;</w:t>
      </w:r>
    </w:p>
    <w:p w:rsidR="005C1B6C" w:rsidRPr="00FE5979" w:rsidRDefault="005C1B6C" w:rsidP="005C1B6C">
      <w:pPr>
        <w:pStyle w:val="Heading3"/>
        <w:widowControl/>
        <w:numPr>
          <w:ilvl w:val="2"/>
          <w:numId w:val="19"/>
        </w:numPr>
        <w:tabs>
          <w:tab w:val="left" w:pos="1560"/>
        </w:tabs>
        <w:ind w:left="2268" w:hanging="850"/>
      </w:pPr>
      <w:r w:rsidRPr="00FE5979">
        <w:t xml:space="preserve">To request UNIDO to submit the </w:t>
      </w:r>
      <w:r w:rsidRPr="00FE5979">
        <w:rPr>
          <w:b/>
        </w:rPr>
        <w:t>project completion report to the 83</w:t>
      </w:r>
      <w:r w:rsidRPr="00FE5979">
        <w:rPr>
          <w:b/>
          <w:vertAlign w:val="superscript"/>
        </w:rPr>
        <w:t>rd</w:t>
      </w:r>
      <w:r w:rsidRPr="00FE5979">
        <w:rPr>
          <w:b/>
        </w:rPr>
        <w:t> meeting</w:t>
      </w:r>
      <w:r w:rsidRPr="00FE5979">
        <w:t xml:space="preserve"> and to return all remaining balances </w:t>
      </w:r>
      <w:r w:rsidRPr="00FE5979">
        <w:rPr>
          <w:b/>
        </w:rPr>
        <w:t xml:space="preserve">no later than </w:t>
      </w:r>
      <w:r w:rsidRPr="00FE5979">
        <w:t xml:space="preserve">31 March 2020; </w:t>
      </w:r>
    </w:p>
    <w:p w:rsidR="005C1B6C" w:rsidRPr="00FE5979" w:rsidRDefault="005C1B6C" w:rsidP="005C1B6C">
      <w:pPr>
        <w:pStyle w:val="Heading2"/>
        <w:numPr>
          <w:ilvl w:val="1"/>
          <w:numId w:val="17"/>
        </w:numPr>
        <w:ind w:left="1418" w:hanging="709"/>
      </w:pPr>
      <w:r w:rsidRPr="00FE5979">
        <w:t>To request UNDP to provide an update on the progress in implementing the demonstration project for HCFC-free, low-GWP technology performance in air-conditioning applications (KUW/REF/76/DEM/32) to the 83</w:t>
      </w:r>
      <w:r w:rsidRPr="00FE5979">
        <w:rPr>
          <w:vertAlign w:val="superscript"/>
        </w:rPr>
        <w:t>rd</w:t>
      </w:r>
      <w:r w:rsidRPr="00FE5979">
        <w:t xml:space="preserve"> meeting; </w:t>
      </w:r>
    </w:p>
    <w:p w:rsidR="005C1B6C" w:rsidRPr="00FE5979" w:rsidRDefault="005C1B6C" w:rsidP="005C1B6C">
      <w:pPr>
        <w:pStyle w:val="Heading2"/>
        <w:numPr>
          <w:ilvl w:val="1"/>
          <w:numId w:val="17"/>
        </w:numPr>
        <w:ind w:left="1418" w:hanging="709"/>
        <w:rPr>
          <w:b/>
        </w:rPr>
      </w:pPr>
      <w:r w:rsidRPr="00FE5979">
        <w:t>To request the Russian Federation to provide an update on the progress in development of a regional centre of excellence for training and certification and demonstration of low</w:t>
      </w:r>
      <w:r w:rsidR="00572988">
        <w:noBreakHyphen/>
      </w:r>
      <w:r w:rsidRPr="00FE5979">
        <w:t>GWP alternative refrigerants (EUR/REF/76/DEM/16) to the 83</w:t>
      </w:r>
      <w:r w:rsidRPr="00FE5979">
        <w:rPr>
          <w:vertAlign w:val="superscript"/>
        </w:rPr>
        <w:t>rd</w:t>
      </w:r>
      <w:r w:rsidRPr="00FE5979">
        <w:t xml:space="preserve"> meeting; and </w:t>
      </w:r>
    </w:p>
    <w:p w:rsidR="005C1B6C" w:rsidRPr="005C1B6C" w:rsidRDefault="005C1B6C" w:rsidP="005C1B6C">
      <w:pPr>
        <w:pStyle w:val="Heading2"/>
        <w:numPr>
          <w:ilvl w:val="1"/>
          <w:numId w:val="17"/>
        </w:numPr>
        <w:ind w:left="1418" w:hanging="709"/>
        <w:rPr>
          <w:lang w:val="en-CA"/>
        </w:rPr>
      </w:pPr>
      <w:r w:rsidRPr="00FE5979">
        <w:rPr>
          <w:b/>
        </w:rPr>
        <w:t>To reiterate the dates of completion and meetings to which final reports on completed projects will be submitted as specified in Table 10 of document UNEP/</w:t>
      </w:r>
      <w:proofErr w:type="spellStart"/>
      <w:r w:rsidRPr="00FE5979">
        <w:rPr>
          <w:b/>
        </w:rPr>
        <w:t>OzL.Pro</w:t>
      </w:r>
      <w:proofErr w:type="spellEnd"/>
      <w:r w:rsidRPr="00FE5979">
        <w:rPr>
          <w:b/>
        </w:rPr>
        <w:t>/</w:t>
      </w:r>
      <w:proofErr w:type="spellStart"/>
      <w:r w:rsidRPr="00FE5979">
        <w:rPr>
          <w:b/>
        </w:rPr>
        <w:t>ExCom</w:t>
      </w:r>
      <w:proofErr w:type="spellEnd"/>
      <w:r w:rsidRPr="00FE5979">
        <w:rPr>
          <w:b/>
        </w:rPr>
        <w:t>/82/20 and as amended by the present decision, and that all remaining balances on completed projects shall be returned within 12 months of the date of completion of the project unless otherwise specified by the Executive Committee.</w:t>
      </w:r>
    </w:p>
    <w:p w:rsidR="001B5450" w:rsidRPr="009A010C" w:rsidRDefault="001B5450" w:rsidP="005C1B6C">
      <w:pPr>
        <w:pStyle w:val="Heading2"/>
        <w:numPr>
          <w:ilvl w:val="0"/>
          <w:numId w:val="0"/>
        </w:numPr>
        <w:rPr>
          <w:lang w:val="en-CA"/>
        </w:rPr>
      </w:pPr>
      <w:r w:rsidRPr="009A010C">
        <w:rPr>
          <w:u w:val="single"/>
          <w:lang w:val="en-CA"/>
        </w:rPr>
        <w:t>Demonstration project for ammonia semi-hermetic frequency convertible screw refrigeration compression units in the industrial and commercial refrigeration industry at Fujian Snowman Co. Ltd., in China</w:t>
      </w:r>
      <w:r w:rsidRPr="009A010C">
        <w:rPr>
          <w:lang w:val="en-CA"/>
        </w:rPr>
        <w:t xml:space="preserve"> (UNDP)</w:t>
      </w:r>
    </w:p>
    <w:p w:rsidR="001B5450" w:rsidRPr="009A010C" w:rsidRDefault="001B5450" w:rsidP="001B5450">
      <w:pPr>
        <w:rPr>
          <w:b/>
          <w:lang w:val="en-CA"/>
        </w:rPr>
      </w:pPr>
      <w:r w:rsidRPr="009A010C">
        <w:rPr>
          <w:b/>
          <w:lang w:val="en-CA"/>
        </w:rPr>
        <w:t>Background</w:t>
      </w:r>
    </w:p>
    <w:p w:rsidR="001B5450" w:rsidRPr="009A010C" w:rsidRDefault="001B5450" w:rsidP="001B5450">
      <w:pPr>
        <w:rPr>
          <w:lang w:val="en-CA"/>
        </w:rPr>
      </w:pPr>
    </w:p>
    <w:p w:rsidR="001B5450" w:rsidRPr="009A010C" w:rsidRDefault="001B5450" w:rsidP="001B5450">
      <w:pPr>
        <w:pStyle w:val="Heading1"/>
        <w:rPr>
          <w:lang w:val="en-CA"/>
        </w:rPr>
      </w:pPr>
      <w:r w:rsidRPr="009A010C">
        <w:rPr>
          <w:lang w:val="en-CA"/>
        </w:rPr>
        <w:t>At the 76</w:t>
      </w:r>
      <w:r w:rsidRPr="009A010C">
        <w:rPr>
          <w:vertAlign w:val="superscript"/>
          <w:lang w:val="en-CA"/>
        </w:rPr>
        <w:t>th</w:t>
      </w:r>
      <w:r w:rsidRPr="009A010C">
        <w:rPr>
          <w:lang w:val="en-CA"/>
        </w:rPr>
        <w:t> meeting, the Executive Committee approved the demonstration project for ammonia semi-hermetic frequency convertible screw refrigeration compression units in the industrial and commercial refrigeration (ICR) industry at Fujian Snowman Co. Ltd., in China,</w:t>
      </w:r>
      <w:r w:rsidRPr="009A010C">
        <w:rPr>
          <w:rStyle w:val="FootnoteReference"/>
          <w:lang w:val="en-CA"/>
        </w:rPr>
        <w:footnoteReference w:id="25"/>
      </w:r>
      <w:r w:rsidRPr="009A010C">
        <w:rPr>
          <w:lang w:val="en-CA"/>
        </w:rPr>
        <w:t xml:space="preserve"> in the amount of US $1,026,815, plus agency support costs of US $71,877 for UNDP (decision 76/22).</w:t>
      </w:r>
    </w:p>
    <w:p w:rsidR="001B5450" w:rsidRPr="009A010C" w:rsidRDefault="001B5450" w:rsidP="001B5450">
      <w:pPr>
        <w:pStyle w:val="Heading1"/>
        <w:rPr>
          <w:lang w:val="en-CA"/>
        </w:rPr>
      </w:pPr>
      <w:r w:rsidRPr="009A010C">
        <w:rPr>
          <w:lang w:val="en-CA"/>
        </w:rPr>
        <w:t>The project proposed to establish the suitability of NH</w:t>
      </w:r>
      <w:r w:rsidRPr="009A010C">
        <w:rPr>
          <w:vertAlign w:val="subscript"/>
          <w:lang w:val="en-CA"/>
        </w:rPr>
        <w:t>3</w:t>
      </w:r>
      <w:r w:rsidRPr="009A010C">
        <w:rPr>
          <w:lang w:val="en-CA"/>
        </w:rPr>
        <w:t xml:space="preserve"> semi-hermetic frequency convertible screw refrigeration compression units with carbon dioxide (CO</w:t>
      </w:r>
      <w:r w:rsidRPr="009A010C">
        <w:rPr>
          <w:vertAlign w:val="subscript"/>
          <w:lang w:val="en-CA"/>
        </w:rPr>
        <w:t>2</w:t>
      </w:r>
      <w:r w:rsidRPr="009A010C">
        <w:rPr>
          <w:lang w:val="en-CA"/>
        </w:rPr>
        <w:t>) as the secondary heat transfer fluid used in small</w:t>
      </w:r>
      <w:r w:rsidRPr="009A010C">
        <w:rPr>
          <w:lang w:val="en-CA"/>
        </w:rPr>
        <w:noBreakHyphen/>
        <w:t xml:space="preserve"> and medium-sized ICR systems. The use of screw compressors for NH</w:t>
      </w:r>
      <w:r w:rsidRPr="009A010C">
        <w:rPr>
          <w:vertAlign w:val="subscript"/>
          <w:lang w:val="en-CA"/>
        </w:rPr>
        <w:t>3</w:t>
      </w:r>
      <w:r w:rsidRPr="009A010C">
        <w:rPr>
          <w:lang w:val="en-CA"/>
        </w:rPr>
        <w:t>/CO</w:t>
      </w:r>
      <w:r w:rsidRPr="009A010C">
        <w:rPr>
          <w:vertAlign w:val="subscript"/>
          <w:lang w:val="en-CA"/>
        </w:rPr>
        <w:t>2</w:t>
      </w:r>
      <w:r w:rsidRPr="009A010C">
        <w:rPr>
          <w:lang w:val="en-CA"/>
        </w:rPr>
        <w:t xml:space="preserve"> refrigeration systems had not been tested in China. The participating enterprise, Fujian Snowman Co., Ltd., manufactures compressors, ice-making equipment, water-cooling equipment, ice storage, and cooling systems, and has research and development capacity. The production line for ice makers and ice storage was modified to implement the project. The demonstration covered product and process design, development of the prototype of the NH</w:t>
      </w:r>
      <w:r w:rsidRPr="009A010C">
        <w:rPr>
          <w:vertAlign w:val="subscript"/>
          <w:lang w:val="en-CA"/>
        </w:rPr>
        <w:t>3</w:t>
      </w:r>
      <w:r w:rsidRPr="009A010C">
        <w:rPr>
          <w:vertAlign w:val="subscript"/>
          <w:lang w:val="en-CA"/>
        </w:rPr>
        <w:noBreakHyphen/>
      </w:r>
      <w:r w:rsidRPr="009A010C">
        <w:rPr>
          <w:lang w:val="en-CA"/>
        </w:rPr>
        <w:t xml:space="preserve">based compression unit, construction of the testing device for performance evaluation, and training. Documentation of the results and dissemination of technology was also carried out. </w:t>
      </w:r>
    </w:p>
    <w:p w:rsidR="001B5450" w:rsidRPr="009A010C" w:rsidRDefault="001B5450" w:rsidP="001B5450">
      <w:pPr>
        <w:pStyle w:val="Heading1"/>
        <w:rPr>
          <w:lang w:val="en-CA"/>
        </w:rPr>
      </w:pPr>
      <w:r w:rsidRPr="009A010C">
        <w:rPr>
          <w:lang w:val="en-CA"/>
        </w:rPr>
        <w:lastRenderedPageBreak/>
        <w:t xml:space="preserve">On behalf of the Government of China, UNDP has submitted the final report of the demonstration project (the final report is attached to the present document). The following activities were conducted during the demonstration: </w:t>
      </w:r>
    </w:p>
    <w:p w:rsidR="001B5450" w:rsidRPr="009A010C" w:rsidRDefault="001B5450" w:rsidP="001B5450">
      <w:pPr>
        <w:pStyle w:val="Heading2"/>
        <w:rPr>
          <w:lang w:val="en-CA"/>
        </w:rPr>
      </w:pPr>
      <w:r w:rsidRPr="009A010C">
        <w:rPr>
          <w:lang w:val="en-CA"/>
        </w:rPr>
        <w:t>Completed the design of three NH</w:t>
      </w:r>
      <w:r w:rsidRPr="009A010C">
        <w:rPr>
          <w:vertAlign w:val="subscript"/>
          <w:lang w:val="en-CA"/>
        </w:rPr>
        <w:t>3</w:t>
      </w:r>
      <w:r w:rsidRPr="009A010C">
        <w:rPr>
          <w:lang w:val="en-CA"/>
        </w:rPr>
        <w:t xml:space="preserve"> semi-hermetic compressor prototypes and three sets of NH</w:t>
      </w:r>
      <w:r w:rsidRPr="009A010C">
        <w:rPr>
          <w:vertAlign w:val="subscript"/>
          <w:lang w:val="en-CA"/>
        </w:rPr>
        <w:t xml:space="preserve">3 </w:t>
      </w:r>
      <w:r w:rsidRPr="009A010C">
        <w:rPr>
          <w:lang w:val="en-CA"/>
        </w:rPr>
        <w:t>refrigeration systems with CO</w:t>
      </w:r>
      <w:r w:rsidRPr="009A010C">
        <w:rPr>
          <w:vertAlign w:val="subscript"/>
          <w:lang w:val="en-CA"/>
        </w:rPr>
        <w:t>2</w:t>
      </w:r>
      <w:r w:rsidRPr="009A010C">
        <w:rPr>
          <w:lang w:val="en-CA"/>
        </w:rPr>
        <w:t xml:space="preserve"> as secondary refrigerant;</w:t>
      </w:r>
    </w:p>
    <w:p w:rsidR="001B5450" w:rsidRPr="009A010C" w:rsidRDefault="001B5450" w:rsidP="001B5450">
      <w:pPr>
        <w:pStyle w:val="Heading2"/>
        <w:rPr>
          <w:lang w:val="en-CA"/>
        </w:rPr>
      </w:pPr>
      <w:r w:rsidRPr="009A010C">
        <w:rPr>
          <w:lang w:val="en-CA"/>
        </w:rPr>
        <w:t>Manufactured nine prototype compressors and three sets of auxiliary equipment (e.g., including compressor housing, rotor, bearing, sealing gasket, shaft seal);</w:t>
      </w:r>
    </w:p>
    <w:p w:rsidR="001B5450" w:rsidRPr="009A010C" w:rsidRDefault="001B5450" w:rsidP="001B5450">
      <w:pPr>
        <w:pStyle w:val="Heading2"/>
        <w:rPr>
          <w:lang w:val="en-CA"/>
        </w:rPr>
      </w:pPr>
      <w:r w:rsidRPr="009A010C">
        <w:rPr>
          <w:lang w:val="en-CA"/>
        </w:rPr>
        <w:t>Tested the three NH</w:t>
      </w:r>
      <w:r w:rsidRPr="009A010C">
        <w:rPr>
          <w:vertAlign w:val="subscript"/>
          <w:lang w:val="en-CA"/>
        </w:rPr>
        <w:t>3</w:t>
      </w:r>
      <w:r w:rsidRPr="009A010C">
        <w:rPr>
          <w:lang w:val="en-CA"/>
        </w:rPr>
        <w:t xml:space="preserve"> compressors and the three sets of NH</w:t>
      </w:r>
      <w:r w:rsidRPr="009A010C">
        <w:rPr>
          <w:vertAlign w:val="subscript"/>
          <w:lang w:val="en-CA"/>
        </w:rPr>
        <w:t>3</w:t>
      </w:r>
      <w:r w:rsidRPr="009A010C">
        <w:rPr>
          <w:lang w:val="en-CA"/>
        </w:rPr>
        <w:t xml:space="preserve"> refrigeration systems, analyzed the experimental data, and optimized the design parameters of different-sized units to maximize efficiency and performance of the units; </w:t>
      </w:r>
    </w:p>
    <w:p w:rsidR="001B5450" w:rsidRPr="009A010C" w:rsidRDefault="001B5450" w:rsidP="001B5450">
      <w:pPr>
        <w:pStyle w:val="Heading2"/>
        <w:rPr>
          <w:lang w:val="en-CA"/>
        </w:rPr>
      </w:pPr>
      <w:r w:rsidRPr="009A010C">
        <w:rPr>
          <w:lang w:val="en-CA"/>
        </w:rPr>
        <w:t>Converted one HCFC-22 compressor line to an NH</w:t>
      </w:r>
      <w:r w:rsidRPr="009A010C">
        <w:rPr>
          <w:vertAlign w:val="subscript"/>
          <w:lang w:val="en-CA"/>
        </w:rPr>
        <w:t>3</w:t>
      </w:r>
      <w:r w:rsidRPr="009A010C">
        <w:rPr>
          <w:lang w:val="en-CA"/>
        </w:rPr>
        <w:t xml:space="preserve"> compressor manufacturing line with a capacity of 3,000 units per year; and</w:t>
      </w:r>
    </w:p>
    <w:p w:rsidR="001B5450" w:rsidRPr="009A010C" w:rsidRDefault="001B5450" w:rsidP="001B5450">
      <w:pPr>
        <w:pStyle w:val="Heading2"/>
        <w:rPr>
          <w:lang w:val="en-CA"/>
        </w:rPr>
      </w:pPr>
      <w:r w:rsidRPr="009A010C">
        <w:rPr>
          <w:lang w:val="en-CA"/>
        </w:rPr>
        <w:t>Carried out promotional activities for the applications of NH</w:t>
      </w:r>
      <w:r w:rsidRPr="009A010C">
        <w:rPr>
          <w:vertAlign w:val="subscript"/>
          <w:lang w:val="en-CA"/>
        </w:rPr>
        <w:t>3</w:t>
      </w:r>
      <w:r w:rsidRPr="009A010C">
        <w:rPr>
          <w:lang w:val="en-CA"/>
        </w:rPr>
        <w:t xml:space="preserve"> compressors in supermarkets and food processing industries in China.</w:t>
      </w:r>
    </w:p>
    <w:p w:rsidR="001B5450" w:rsidRPr="009A010C" w:rsidRDefault="001B5450" w:rsidP="001B5450">
      <w:pPr>
        <w:pStyle w:val="Heading1"/>
        <w:rPr>
          <w:lang w:val="en-CA"/>
        </w:rPr>
      </w:pPr>
      <w:r w:rsidRPr="009A010C">
        <w:rPr>
          <w:lang w:val="en-CA"/>
        </w:rPr>
        <w:t xml:space="preserve">The demonstration concluded the following: </w:t>
      </w:r>
    </w:p>
    <w:p w:rsidR="001B5450" w:rsidRPr="009A010C" w:rsidRDefault="001B5450" w:rsidP="001B5450">
      <w:pPr>
        <w:pStyle w:val="Heading2"/>
        <w:rPr>
          <w:lang w:val="en-CA"/>
        </w:rPr>
      </w:pPr>
      <w:r w:rsidRPr="009A010C">
        <w:rPr>
          <w:lang w:val="en-CA"/>
        </w:rPr>
        <w:t>The first model (SSSCA50) NH</w:t>
      </w:r>
      <w:r w:rsidRPr="009A010C">
        <w:rPr>
          <w:vertAlign w:val="subscript"/>
          <w:lang w:val="en-CA"/>
        </w:rPr>
        <w:t>3</w:t>
      </w:r>
      <w:r w:rsidRPr="009A010C">
        <w:rPr>
          <w:lang w:val="en-CA"/>
        </w:rPr>
        <w:t xml:space="preserve"> compressor has been validated for cold food storage applications with a capacity of 216.3 kW and cooling temperature of zero degrees. The co</w:t>
      </w:r>
      <w:r w:rsidRPr="009A010C">
        <w:rPr>
          <w:lang w:val="en-CA"/>
        </w:rPr>
        <w:noBreakHyphen/>
        <w:t xml:space="preserve">efficient of performance (COP) of the refrigeration system has been tested at 2.94; </w:t>
      </w:r>
    </w:p>
    <w:p w:rsidR="001B5450" w:rsidRPr="009A010C" w:rsidRDefault="001B5450" w:rsidP="001B5450">
      <w:pPr>
        <w:pStyle w:val="Heading2"/>
        <w:rPr>
          <w:lang w:val="en-CA"/>
        </w:rPr>
      </w:pPr>
      <w:r w:rsidRPr="009A010C">
        <w:rPr>
          <w:lang w:val="en-CA"/>
        </w:rPr>
        <w:t>The second model (SSSCA60) NH</w:t>
      </w:r>
      <w:r w:rsidRPr="009A010C">
        <w:rPr>
          <w:vertAlign w:val="subscript"/>
          <w:lang w:val="en-CA"/>
        </w:rPr>
        <w:t>3</w:t>
      </w:r>
      <w:r w:rsidRPr="009A010C">
        <w:rPr>
          <w:lang w:val="en-CA"/>
        </w:rPr>
        <w:t xml:space="preserve"> compressor has been validated for cold food storage applications with a capacity of 56.7 kW and cooling temperature of -25</w:t>
      </w:r>
      <w:r w:rsidRPr="009A010C">
        <w:rPr>
          <w:vertAlign w:val="superscript"/>
          <w:lang w:val="en-CA"/>
        </w:rPr>
        <w:t>o</w:t>
      </w:r>
      <w:r w:rsidRPr="009A010C">
        <w:rPr>
          <w:lang w:val="en-CA"/>
        </w:rPr>
        <w:t>C. The COP of the refrigeration system has been tested at 1.57; and</w:t>
      </w:r>
    </w:p>
    <w:p w:rsidR="001B5450" w:rsidRPr="009A010C" w:rsidRDefault="001B5450" w:rsidP="001B5450">
      <w:pPr>
        <w:pStyle w:val="Heading2"/>
        <w:keepNext/>
        <w:keepLines/>
        <w:rPr>
          <w:lang w:val="en-CA"/>
        </w:rPr>
      </w:pPr>
      <w:r w:rsidRPr="009A010C">
        <w:rPr>
          <w:lang w:val="en-CA"/>
        </w:rPr>
        <w:t>The third model (SSSCA210) NH</w:t>
      </w:r>
      <w:r w:rsidRPr="009A010C">
        <w:rPr>
          <w:vertAlign w:val="subscript"/>
          <w:lang w:val="en-CA"/>
        </w:rPr>
        <w:t>3</w:t>
      </w:r>
      <w:r w:rsidRPr="009A010C">
        <w:rPr>
          <w:lang w:val="en-CA"/>
        </w:rPr>
        <w:t xml:space="preserve"> compressor has been validated for cold food storage applications with a capacity of 167.1 kW and cooling temperature of -25</w:t>
      </w:r>
      <w:r w:rsidRPr="009A010C">
        <w:rPr>
          <w:vertAlign w:val="superscript"/>
          <w:lang w:val="en-CA"/>
        </w:rPr>
        <w:t>o</w:t>
      </w:r>
      <w:r w:rsidRPr="009A010C">
        <w:rPr>
          <w:lang w:val="en-CA"/>
        </w:rPr>
        <w:t xml:space="preserve">C. The COP of the refrigeration system has been tested at 1.63. </w:t>
      </w:r>
    </w:p>
    <w:p w:rsidR="001B5450" w:rsidRPr="009A010C" w:rsidRDefault="001B5450" w:rsidP="001B5450">
      <w:pPr>
        <w:pStyle w:val="Heading1"/>
        <w:rPr>
          <w:lang w:val="en-CA"/>
        </w:rPr>
      </w:pPr>
      <w:r w:rsidRPr="009A010C">
        <w:rPr>
          <w:lang w:val="en-CA"/>
        </w:rPr>
        <w:t>The demonstration concluded that the NH</w:t>
      </w:r>
      <w:r w:rsidRPr="009A010C">
        <w:rPr>
          <w:vertAlign w:val="subscript"/>
          <w:lang w:val="en-CA"/>
        </w:rPr>
        <w:t>3</w:t>
      </w:r>
      <w:r w:rsidRPr="009A010C">
        <w:rPr>
          <w:lang w:val="en-CA"/>
        </w:rPr>
        <w:t xml:space="preserve"> refrigerant has lower operating pressure than HCFC</w:t>
      </w:r>
      <w:r w:rsidRPr="009A010C">
        <w:rPr>
          <w:lang w:val="en-CA"/>
        </w:rPr>
        <w:noBreakHyphen/>
        <w:t>22, the NH</w:t>
      </w:r>
      <w:r w:rsidRPr="009A010C">
        <w:rPr>
          <w:vertAlign w:val="subscript"/>
          <w:lang w:val="en-CA"/>
        </w:rPr>
        <w:t>3</w:t>
      </w:r>
      <w:r w:rsidRPr="009A010C">
        <w:rPr>
          <w:lang w:val="en-CA"/>
        </w:rPr>
        <w:t xml:space="preserve"> refrigeration system requires less refrigerant charge. The NH</w:t>
      </w:r>
      <w:r w:rsidRPr="009A010C">
        <w:rPr>
          <w:vertAlign w:val="subscript"/>
          <w:lang w:val="en-CA"/>
        </w:rPr>
        <w:t>3</w:t>
      </w:r>
      <w:r w:rsidRPr="009A010C">
        <w:rPr>
          <w:lang w:val="en-CA"/>
        </w:rPr>
        <w:t xml:space="preserve"> compressor is suitable for replacing the HCFC-22 compressor in refrigeration systems and the technology has been validated.</w:t>
      </w:r>
    </w:p>
    <w:p w:rsidR="001B5450" w:rsidRPr="009A010C" w:rsidRDefault="001B5450" w:rsidP="001B5450">
      <w:pPr>
        <w:rPr>
          <w:b/>
          <w:lang w:val="en-CA"/>
        </w:rPr>
      </w:pPr>
      <w:r w:rsidRPr="009A010C">
        <w:rPr>
          <w:b/>
          <w:lang w:val="en-CA"/>
        </w:rPr>
        <w:t>Secretariat’s comments</w:t>
      </w:r>
    </w:p>
    <w:p w:rsidR="001B5450" w:rsidRPr="009A010C" w:rsidRDefault="001B5450" w:rsidP="001B5450">
      <w:pPr>
        <w:rPr>
          <w:lang w:val="en-CA"/>
        </w:rPr>
      </w:pPr>
    </w:p>
    <w:p w:rsidR="001B5450" w:rsidRPr="009A010C" w:rsidRDefault="001B5450" w:rsidP="001B5450">
      <w:pPr>
        <w:pStyle w:val="Heading1"/>
        <w:rPr>
          <w:lang w:val="en-CA"/>
        </w:rPr>
      </w:pPr>
      <w:r w:rsidRPr="009A010C">
        <w:rPr>
          <w:lang w:val="en-CA"/>
        </w:rPr>
        <w:t>The Secretariat noted that the demonstration has validated the use of semi-hermetic NH</w:t>
      </w:r>
      <w:r w:rsidRPr="009A010C">
        <w:rPr>
          <w:vertAlign w:val="subscript"/>
          <w:lang w:val="en-CA"/>
        </w:rPr>
        <w:t>3</w:t>
      </w:r>
      <w:r w:rsidRPr="009A010C">
        <w:rPr>
          <w:lang w:val="en-CA"/>
        </w:rPr>
        <w:t xml:space="preserve"> compressors in cold storage applications. As compared to the open type NH</w:t>
      </w:r>
      <w:r w:rsidRPr="009A010C">
        <w:rPr>
          <w:vertAlign w:val="subscript"/>
          <w:lang w:val="en-CA"/>
        </w:rPr>
        <w:t>3</w:t>
      </w:r>
      <w:r w:rsidRPr="009A010C">
        <w:rPr>
          <w:lang w:val="en-CA"/>
        </w:rPr>
        <w:t xml:space="preserve"> compressor, the demonstrated semi-hermetic NH</w:t>
      </w:r>
      <w:r w:rsidRPr="009A010C">
        <w:rPr>
          <w:vertAlign w:val="subscript"/>
          <w:lang w:val="en-CA"/>
        </w:rPr>
        <w:t>3</w:t>
      </w:r>
      <w:r w:rsidRPr="009A010C">
        <w:rPr>
          <w:lang w:val="en-CA"/>
        </w:rPr>
        <w:t xml:space="preserve"> compressor and refrigeration system reduced the leakage of NH</w:t>
      </w:r>
      <w:r w:rsidRPr="009A010C">
        <w:rPr>
          <w:vertAlign w:val="subscript"/>
          <w:lang w:val="en-CA"/>
        </w:rPr>
        <w:t>3</w:t>
      </w:r>
      <w:r w:rsidRPr="009A010C">
        <w:rPr>
          <w:lang w:val="en-CA"/>
        </w:rPr>
        <w:t xml:space="preserve"> refrigerant, which is toxic and minor flammable, therefore improved the safety of the refrigeration system. UNDP further reported that the NH</w:t>
      </w:r>
      <w:r w:rsidRPr="009A010C">
        <w:rPr>
          <w:vertAlign w:val="subscript"/>
          <w:lang w:val="en-CA"/>
        </w:rPr>
        <w:t>3</w:t>
      </w:r>
      <w:r w:rsidRPr="009A010C">
        <w:rPr>
          <w:lang w:val="en-CA"/>
        </w:rPr>
        <w:t>/CO</w:t>
      </w:r>
      <w:r w:rsidRPr="009A010C">
        <w:rPr>
          <w:vertAlign w:val="subscript"/>
          <w:lang w:val="en-CA"/>
        </w:rPr>
        <w:t>2</w:t>
      </w:r>
      <w:r w:rsidRPr="009A010C">
        <w:rPr>
          <w:lang w:val="en-CA"/>
        </w:rPr>
        <w:t xml:space="preserve"> system has an improved COP as it has improved the design and incorporated energy-saving features. </w:t>
      </w:r>
    </w:p>
    <w:p w:rsidR="001B5450" w:rsidRPr="009A010C" w:rsidRDefault="001B5450" w:rsidP="001B5450">
      <w:pPr>
        <w:pStyle w:val="Heading1"/>
        <w:rPr>
          <w:lang w:val="en-CA"/>
        </w:rPr>
      </w:pPr>
      <w:r w:rsidRPr="009A010C">
        <w:rPr>
          <w:lang w:val="en-CA"/>
        </w:rPr>
        <w:t>The Secretariat further inquired about the dissemination and replicability of the demonstrated technology and how compressor manufacturers in China and other countries can benefit from the demonstration project. UNDP reported that the Fujian Snowman Co. Ltd. is willing to share the technical data and information used in the design and operation of the compressor and cooperate with other companies to further develop and improve the NH</w:t>
      </w:r>
      <w:r w:rsidRPr="009A010C">
        <w:rPr>
          <w:vertAlign w:val="subscript"/>
          <w:lang w:val="en-CA"/>
        </w:rPr>
        <w:t>3</w:t>
      </w:r>
      <w:r w:rsidRPr="009A010C">
        <w:rPr>
          <w:lang w:val="en-CA"/>
        </w:rPr>
        <w:t xml:space="preserve"> semi-hermetic compressor. The test data has been presented in the final </w:t>
      </w:r>
      <w:r w:rsidRPr="009A010C">
        <w:rPr>
          <w:lang w:val="en-CA"/>
        </w:rPr>
        <w:lastRenderedPageBreak/>
        <w:t xml:space="preserve">report. Training was conducted for designers, production engineers and equipment managers. The trained personnel can provide training for other enterprises. </w:t>
      </w:r>
    </w:p>
    <w:p w:rsidR="001B5450" w:rsidRPr="009A010C" w:rsidRDefault="001B5450" w:rsidP="001B5450">
      <w:pPr>
        <w:pStyle w:val="Heading1"/>
        <w:rPr>
          <w:lang w:val="en-CA"/>
        </w:rPr>
      </w:pPr>
      <w:r w:rsidRPr="009A010C">
        <w:rPr>
          <w:lang w:val="en-CA"/>
        </w:rPr>
        <w:t>The Secretariat further noted that one manufacturing line has been converted to produce NH</w:t>
      </w:r>
      <w:r w:rsidRPr="009A010C">
        <w:rPr>
          <w:vertAlign w:val="subscript"/>
          <w:lang w:val="en-CA"/>
        </w:rPr>
        <w:t xml:space="preserve">3 </w:t>
      </w:r>
      <w:r w:rsidRPr="009A010C">
        <w:rPr>
          <w:lang w:val="en-CA"/>
        </w:rPr>
        <w:t>compressors with co-funding from the enterprise. So far 230 units of NH</w:t>
      </w:r>
      <w:r w:rsidRPr="009A010C">
        <w:rPr>
          <w:vertAlign w:val="subscript"/>
          <w:lang w:val="en-CA"/>
        </w:rPr>
        <w:t>3</w:t>
      </w:r>
      <w:r w:rsidRPr="009A010C">
        <w:rPr>
          <w:lang w:val="en-CA"/>
        </w:rPr>
        <w:t xml:space="preserve"> compressors have been sold.  </w:t>
      </w:r>
    </w:p>
    <w:p w:rsidR="001B5450" w:rsidRPr="009A010C" w:rsidRDefault="001B5450" w:rsidP="001B5450">
      <w:pPr>
        <w:keepNext/>
        <w:keepLines/>
        <w:rPr>
          <w:b/>
          <w:lang w:val="en-CA"/>
        </w:rPr>
      </w:pPr>
      <w:r w:rsidRPr="009A010C">
        <w:rPr>
          <w:b/>
          <w:lang w:val="en-CA"/>
        </w:rPr>
        <w:t>Secretariat’s recommendation</w:t>
      </w:r>
    </w:p>
    <w:p w:rsidR="001B5450" w:rsidRPr="009A010C" w:rsidRDefault="001B5450" w:rsidP="001B5450">
      <w:pPr>
        <w:keepNext/>
        <w:keepLines/>
        <w:rPr>
          <w:b/>
          <w:lang w:val="en-CA"/>
        </w:rPr>
      </w:pPr>
    </w:p>
    <w:p w:rsidR="001B5450" w:rsidRPr="009A010C" w:rsidRDefault="001B5450" w:rsidP="001B5450">
      <w:pPr>
        <w:pStyle w:val="Heading1"/>
        <w:keepNext/>
        <w:keepLines/>
        <w:rPr>
          <w:lang w:val="en-CA"/>
        </w:rPr>
      </w:pPr>
      <w:r w:rsidRPr="009A010C">
        <w:rPr>
          <w:lang w:val="en-CA"/>
        </w:rPr>
        <w:t>The Executive Committee may wish:</w:t>
      </w:r>
    </w:p>
    <w:p w:rsidR="005C1B6C" w:rsidRPr="00FE5979" w:rsidRDefault="005C1B6C" w:rsidP="005C1B6C">
      <w:pPr>
        <w:pStyle w:val="Heading2"/>
        <w:numPr>
          <w:ilvl w:val="1"/>
          <w:numId w:val="22"/>
        </w:numPr>
      </w:pPr>
      <w:r w:rsidRPr="00FE5979">
        <w:t xml:space="preserve">To note, with appreciation, the final report, submitted by UNDP, of the demonstration project for ammonia semi-hermetic frequency convertible screw refrigeration compression units in the industrial and commercial refrigeration industry at Fujian Snowman Co. Ltd. in China </w:t>
      </w:r>
      <w:r w:rsidRPr="00FE5979">
        <w:rPr>
          <w:b/>
        </w:rPr>
        <w:t>contained in document UNEP/</w:t>
      </w:r>
      <w:proofErr w:type="spellStart"/>
      <w:r w:rsidRPr="00FE5979">
        <w:rPr>
          <w:b/>
        </w:rPr>
        <w:t>OzL.Pro</w:t>
      </w:r>
      <w:proofErr w:type="spellEnd"/>
      <w:r w:rsidRPr="00FE5979">
        <w:rPr>
          <w:b/>
        </w:rPr>
        <w:t>/</w:t>
      </w:r>
      <w:proofErr w:type="spellStart"/>
      <w:r w:rsidRPr="00FE5979">
        <w:rPr>
          <w:b/>
        </w:rPr>
        <w:t>ExCom</w:t>
      </w:r>
      <w:proofErr w:type="spellEnd"/>
      <w:r w:rsidRPr="00FE5979">
        <w:rPr>
          <w:b/>
        </w:rPr>
        <w:t>/82/20</w:t>
      </w:r>
      <w:r w:rsidRPr="00FE5979">
        <w:t>; and</w:t>
      </w:r>
    </w:p>
    <w:p w:rsidR="001B5450" w:rsidRPr="009A010C" w:rsidRDefault="005C1B6C" w:rsidP="005C1B6C">
      <w:pPr>
        <w:pStyle w:val="Heading2"/>
        <w:rPr>
          <w:lang w:val="en-CA"/>
        </w:rPr>
      </w:pPr>
      <w:r w:rsidRPr="00FE5979">
        <w:t>To invite bilateral and implementing agencies to take into account the report referred to in sub-paragraph (a) above when assisting Article 5 countries in preparing projects for manufacturing ammonia semi-hermetic frequency convertible screw refrigeration compressors.</w:t>
      </w:r>
    </w:p>
    <w:p w:rsidR="00217CF1" w:rsidRPr="009A010C" w:rsidRDefault="00217CF1" w:rsidP="00217CF1">
      <w:pPr>
        <w:rPr>
          <w:b/>
        </w:rPr>
      </w:pPr>
      <w:r w:rsidRPr="009A010C">
        <w:rPr>
          <w:b/>
        </w:rPr>
        <w:t xml:space="preserve">Feasibility study for district cooling </w:t>
      </w:r>
    </w:p>
    <w:p w:rsidR="00217CF1" w:rsidRPr="009A010C" w:rsidRDefault="00217CF1" w:rsidP="00217CF1"/>
    <w:p w:rsidR="00A44140" w:rsidRPr="009A010C" w:rsidRDefault="00A44140" w:rsidP="00A44140">
      <w:pPr>
        <w:keepNext/>
        <w:spacing w:after="240"/>
        <w:ind w:left="1440" w:hanging="1440"/>
        <w:rPr>
          <w:b/>
          <w:lang w:val="en-CA"/>
        </w:rPr>
      </w:pPr>
      <w:r w:rsidRPr="009A010C">
        <w:rPr>
          <w:b/>
          <w:lang w:val="en-CA"/>
        </w:rPr>
        <w:t>Background</w:t>
      </w:r>
    </w:p>
    <w:p w:rsidR="00A44140" w:rsidRPr="009A010C" w:rsidRDefault="00A44140" w:rsidP="00A44140">
      <w:pPr>
        <w:pStyle w:val="Heading1"/>
        <w:widowControl w:val="0"/>
        <w:rPr>
          <w:lang w:val="en-CA"/>
        </w:rPr>
      </w:pPr>
      <w:r w:rsidRPr="009A010C">
        <w:rPr>
          <w:lang w:val="en-CA"/>
        </w:rPr>
        <w:t>At the 72</w:t>
      </w:r>
      <w:r w:rsidRPr="009A010C">
        <w:rPr>
          <w:vertAlign w:val="superscript"/>
          <w:lang w:val="en-CA"/>
        </w:rPr>
        <w:t>nd</w:t>
      </w:r>
      <w:r w:rsidRPr="009A010C">
        <w:rPr>
          <w:lang w:val="en-CA"/>
        </w:rPr>
        <w:t xml:space="preserve"> meeting, the Executive Committee </w:t>
      </w:r>
      <w:r w:rsidRPr="009A010C">
        <w:rPr>
          <w:i/>
          <w:lang w:val="en-CA"/>
        </w:rPr>
        <w:t>inter alia</w:t>
      </w:r>
      <w:r w:rsidRPr="009A010C">
        <w:rPr>
          <w:lang w:val="en-CA"/>
        </w:rPr>
        <w:t xml:space="preserve"> invited bilateral and implementing agencies to submit proposals for feasibility studies, including business cases for district cooling, to assess possible projects, their climate impact, economic feasibility and options for financing such undertakings (decision 72/40(c)).</w:t>
      </w:r>
      <w:r w:rsidRPr="009A010C">
        <w:rPr>
          <w:rStyle w:val="FootnoteReference"/>
          <w:lang w:val="en-CA"/>
        </w:rPr>
        <w:footnoteReference w:id="26"/>
      </w:r>
      <w:r w:rsidRPr="009A010C">
        <w:rPr>
          <w:lang w:val="en-CA"/>
        </w:rPr>
        <w:t xml:space="preserve"> In line with decision 72/40, at the 74</w:t>
      </w:r>
      <w:r w:rsidRPr="009A010C">
        <w:rPr>
          <w:vertAlign w:val="superscript"/>
          <w:lang w:val="en-CA"/>
        </w:rPr>
        <w:t>th</w:t>
      </w:r>
      <w:r w:rsidRPr="009A010C">
        <w:rPr>
          <w:lang w:val="en-CA"/>
        </w:rPr>
        <w:t xml:space="preserve"> and 75</w:t>
      </w:r>
      <w:r w:rsidRPr="009A010C">
        <w:rPr>
          <w:vertAlign w:val="superscript"/>
          <w:lang w:val="en-CA"/>
        </w:rPr>
        <w:t>th</w:t>
      </w:r>
      <w:r w:rsidRPr="009A010C">
        <w:rPr>
          <w:lang w:val="en-CA"/>
        </w:rPr>
        <w:t xml:space="preserve"> meetings, the Executive Committee approved </w:t>
      </w:r>
      <w:r w:rsidRPr="009A010C">
        <w:rPr>
          <w:color w:val="000000" w:themeColor="text1"/>
          <w:lang w:val="en-CA"/>
        </w:rPr>
        <w:t>three feasibility studies for district cooling in the Dominican Republic, Egypt, and Kuwait</w:t>
      </w:r>
      <w:r w:rsidRPr="009A010C">
        <w:rPr>
          <w:lang w:val="en-CA"/>
        </w:rPr>
        <w:t>.</w:t>
      </w:r>
    </w:p>
    <w:p w:rsidR="00A44140" w:rsidRPr="009A010C" w:rsidRDefault="00A44140" w:rsidP="00A44140">
      <w:pPr>
        <w:pStyle w:val="Heading1"/>
        <w:rPr>
          <w:lang w:val="en-CA"/>
        </w:rPr>
      </w:pPr>
      <w:r w:rsidRPr="009A010C">
        <w:rPr>
          <w:lang w:val="en-CA"/>
        </w:rPr>
        <w:t>Relevant implementing agencies submitted, on behalf of the Governments of the Dominican Republic and Egypt, the final reports on the feasibility studies on district cooling; and a draft report for the study in Kuwait. These reports are summarized below. Full reports are attached to the present document.</w:t>
      </w:r>
    </w:p>
    <w:p w:rsidR="00A44140" w:rsidRPr="009A010C" w:rsidRDefault="00A44140" w:rsidP="00A44140">
      <w:pPr>
        <w:pStyle w:val="xmsonormal"/>
        <w:spacing w:after="240" w:afterAutospacing="0"/>
        <w:rPr>
          <w:sz w:val="22"/>
          <w:szCs w:val="22"/>
        </w:rPr>
      </w:pPr>
      <w:r w:rsidRPr="009A010C">
        <w:rPr>
          <w:sz w:val="22"/>
          <w:szCs w:val="22"/>
          <w:u w:val="single"/>
        </w:rPr>
        <w:t xml:space="preserve">Dominican Republic (the): Feasibility study for district cooling in Punta Cana </w:t>
      </w:r>
      <w:r w:rsidRPr="009A010C">
        <w:rPr>
          <w:sz w:val="22"/>
          <w:szCs w:val="22"/>
        </w:rPr>
        <w:t>(UNDP)</w:t>
      </w:r>
    </w:p>
    <w:p w:rsidR="00A44140" w:rsidRPr="009A010C" w:rsidRDefault="00A44140" w:rsidP="00A44140">
      <w:pPr>
        <w:pStyle w:val="Heading1"/>
      </w:pPr>
      <w:r w:rsidRPr="009A010C">
        <w:t>At the 74</w:t>
      </w:r>
      <w:r w:rsidRPr="009A010C">
        <w:rPr>
          <w:vertAlign w:val="superscript"/>
        </w:rPr>
        <w:t>th</w:t>
      </w:r>
      <w:r w:rsidRPr="009A010C">
        <w:t xml:space="preserve"> meeting, the Executive Committee approved the request for funding the feasibility study to develop a business model for district cooling in Punta Cana, the Dominican Republic,</w:t>
      </w:r>
      <w:r w:rsidRPr="009A010C">
        <w:rPr>
          <w:rStyle w:val="FootnoteReference"/>
        </w:rPr>
        <w:footnoteReference w:id="27"/>
      </w:r>
      <w:r w:rsidRPr="009A010C">
        <w:t xml:space="preserve"> in the amount of US $91,743, plus agency support costs of US $8,257 for UNDP. </w:t>
      </w:r>
    </w:p>
    <w:p w:rsidR="00A44140" w:rsidRPr="009A010C" w:rsidRDefault="00A44140" w:rsidP="00A44140">
      <w:pPr>
        <w:pStyle w:val="Heading1"/>
      </w:pPr>
      <w:r w:rsidRPr="009A010C">
        <w:rPr>
          <w:lang w:val="en-US"/>
        </w:rPr>
        <w:t xml:space="preserve">The feasibility study would assess the use of alternative sources of energy generation, such as the use of waste heat from existing waste incineration facility owned by </w:t>
      </w:r>
      <w:proofErr w:type="spellStart"/>
      <w:r w:rsidRPr="009A010C">
        <w:rPr>
          <w:lang w:val="en-US"/>
        </w:rPr>
        <w:t>Grupo</w:t>
      </w:r>
      <w:proofErr w:type="spellEnd"/>
      <w:r w:rsidRPr="009A010C">
        <w:rPr>
          <w:lang w:val="en-US"/>
        </w:rPr>
        <w:t xml:space="preserve"> </w:t>
      </w:r>
      <w:proofErr w:type="spellStart"/>
      <w:r w:rsidRPr="009A010C">
        <w:rPr>
          <w:lang w:val="en-US"/>
        </w:rPr>
        <w:t>Puntacana</w:t>
      </w:r>
      <w:proofErr w:type="spellEnd"/>
      <w:r w:rsidRPr="009A010C">
        <w:rPr>
          <w:lang w:val="en-US"/>
        </w:rPr>
        <w:t xml:space="preserve">, as well as deep seawater from Punta Cana Bay. The district cooling system could potentially reduce by 80 per cent the energy demand (depending on the energy source selected) and achieve large reductions in greenhouse gas (GHG) emissions. </w:t>
      </w:r>
      <w:r w:rsidRPr="009A010C">
        <w:rPr>
          <w:lang w:val="en-US"/>
        </w:rPr>
        <w:lastRenderedPageBreak/>
        <w:t>The expected output of the feasibility study included the identification of different technical and financial options that could be applied to make viable the implementation of a district cooling system in Punta Cana.</w:t>
      </w:r>
    </w:p>
    <w:p w:rsidR="00A44140" w:rsidRPr="009A010C" w:rsidRDefault="00A44140" w:rsidP="00A44140">
      <w:pPr>
        <w:pStyle w:val="Heading1"/>
        <w:rPr>
          <w:rFonts w:eastAsia="MS Mincho"/>
          <w:lang w:eastAsia="ja-JP"/>
        </w:rPr>
      </w:pPr>
      <w:r w:rsidRPr="009A010C">
        <w:t>On behalf of the Government of the Dominican Republic, UNDP submitted the final report on the feasibility study, in line with decision 80/26(m). The report indicates that there are opportunities to develop and implement a district cooling system based on several waste heat sources. A</w:t>
      </w:r>
      <w:r w:rsidRPr="009A010C">
        <w:rPr>
          <w:rFonts w:eastAsia="MS Mincho"/>
          <w:lang w:eastAsia="ja-JP"/>
        </w:rPr>
        <w:t xml:space="preserve"> summary of the study results implemented by DEVCCO</w:t>
      </w:r>
      <w:r w:rsidRPr="009A010C">
        <w:rPr>
          <w:rStyle w:val="FootnoteReference"/>
          <w:rFonts w:eastAsia="MS Mincho"/>
          <w:lang w:eastAsia="ja-JP"/>
        </w:rPr>
        <w:footnoteReference w:id="28"/>
      </w:r>
      <w:r w:rsidRPr="009A010C">
        <w:rPr>
          <w:rFonts w:eastAsia="MS Mincho"/>
          <w:lang w:eastAsia="ja-JP"/>
        </w:rPr>
        <w:t xml:space="preserve"> on behalf of the Government of the Dominican Republic is presented below:</w:t>
      </w:r>
    </w:p>
    <w:p w:rsidR="00A44140" w:rsidRPr="009A010C" w:rsidRDefault="00A44140" w:rsidP="00A44140">
      <w:pPr>
        <w:pStyle w:val="Heading2"/>
        <w:rPr>
          <w:rFonts w:eastAsia="MS Mincho"/>
          <w:lang w:eastAsia="ja-JP"/>
        </w:rPr>
      </w:pPr>
      <w:r w:rsidRPr="009A010C">
        <w:rPr>
          <w:rFonts w:eastAsia="MS Mincho"/>
          <w:lang w:eastAsia="ja-JP"/>
        </w:rPr>
        <w:t>The district cooling facility is expected to have a cooling capacity of approximately 7 megawatt (MW), which could respond to the total peak cooling demand of 10 MW in 2016</w:t>
      </w:r>
      <w:r w:rsidR="00A51632" w:rsidRPr="009A010C">
        <w:rPr>
          <w:rFonts w:eastAsia="MS Mincho"/>
          <w:lang w:eastAsia="ja-JP"/>
        </w:rPr>
        <w:noBreakHyphen/>
      </w:r>
      <w:r w:rsidRPr="009A010C">
        <w:rPr>
          <w:rFonts w:eastAsia="MS Mincho"/>
          <w:lang w:eastAsia="ja-JP"/>
        </w:rPr>
        <w:t>2024. The plant intends to serve as a base load facility with the annual capacity of 45</w:t>
      </w:r>
      <w:r w:rsidR="00572988">
        <w:rPr>
          <w:rFonts w:eastAsia="MS Mincho"/>
          <w:lang w:eastAsia="ja-JP"/>
        </w:rPr>
        <w:t> </w:t>
      </w:r>
      <w:r w:rsidRPr="009A010C">
        <w:rPr>
          <w:rFonts w:eastAsia="MS Mincho"/>
          <w:lang w:eastAsia="ja-JP"/>
        </w:rPr>
        <w:t>gigawatt hours (</w:t>
      </w:r>
      <w:proofErr w:type="spellStart"/>
      <w:r w:rsidRPr="009A010C">
        <w:rPr>
          <w:rFonts w:eastAsia="MS Mincho"/>
          <w:lang w:eastAsia="ja-JP"/>
        </w:rPr>
        <w:t>GWh</w:t>
      </w:r>
      <w:proofErr w:type="spellEnd"/>
      <w:r w:rsidRPr="009A010C">
        <w:rPr>
          <w:rFonts w:eastAsia="MS Mincho"/>
          <w:lang w:eastAsia="ja-JP"/>
        </w:rPr>
        <w:t>) cooling energy, while the existing on-site chiller will serve as peak production in the integrated system when needed, to produce a total of 14 </w:t>
      </w:r>
      <w:proofErr w:type="spellStart"/>
      <w:r w:rsidRPr="009A010C">
        <w:rPr>
          <w:rFonts w:eastAsia="MS Mincho"/>
          <w:lang w:eastAsia="ja-JP"/>
        </w:rPr>
        <w:t>GWh</w:t>
      </w:r>
      <w:proofErr w:type="spellEnd"/>
      <w:r w:rsidRPr="009A010C">
        <w:rPr>
          <w:rFonts w:eastAsia="MS Mincho"/>
          <w:lang w:eastAsia="ja-JP"/>
        </w:rPr>
        <w:t xml:space="preserve"> cooling energy per year;</w:t>
      </w:r>
    </w:p>
    <w:p w:rsidR="00A44140" w:rsidRPr="009A010C" w:rsidRDefault="00A44140" w:rsidP="00A44140">
      <w:pPr>
        <w:pStyle w:val="Heading2"/>
        <w:rPr>
          <w:rFonts w:eastAsia="MS Mincho"/>
          <w:lang w:eastAsia="ja-JP"/>
        </w:rPr>
      </w:pPr>
      <w:r w:rsidRPr="009A010C">
        <w:rPr>
          <w:rFonts w:eastAsia="MS Mincho"/>
          <w:lang w:eastAsia="ja-JP"/>
        </w:rPr>
        <w:t>The facility will use the absorption chiller technology, which would use waste heat from existing sources that can be converted into cooling energy with only a small supply of electricity;</w:t>
      </w:r>
    </w:p>
    <w:p w:rsidR="00A44140" w:rsidRPr="009A010C" w:rsidRDefault="00A44140" w:rsidP="00A44140">
      <w:pPr>
        <w:pStyle w:val="Heading2"/>
        <w:keepNext/>
        <w:keepLines/>
        <w:rPr>
          <w:rFonts w:eastAsia="MS Mincho"/>
          <w:lang w:eastAsia="ja-JP"/>
        </w:rPr>
      </w:pPr>
      <w:r w:rsidRPr="009A010C">
        <w:rPr>
          <w:rFonts w:eastAsia="MS Mincho"/>
          <w:lang w:eastAsia="ja-JP"/>
        </w:rPr>
        <w:t>The facility will have four main sub</w:t>
      </w:r>
      <w:r w:rsidRPr="009A010C">
        <w:rPr>
          <w:rFonts w:eastAsia="MS Mincho"/>
          <w:lang w:eastAsia="ja-JP"/>
        </w:rPr>
        <w:noBreakHyphen/>
        <w:t>systems: sources of waste heat, absorption chillers for cooling, a distribution network, and energy transfer stations;</w:t>
      </w:r>
    </w:p>
    <w:p w:rsidR="00A44140" w:rsidRPr="009A010C" w:rsidRDefault="00A44140" w:rsidP="00A44140">
      <w:pPr>
        <w:pStyle w:val="Heading2"/>
        <w:keepNext/>
        <w:widowControl/>
        <w:rPr>
          <w:rFonts w:eastAsia="MS Mincho"/>
          <w:lang w:eastAsia="ja-JP"/>
        </w:rPr>
      </w:pPr>
      <w:r w:rsidRPr="009A010C">
        <w:rPr>
          <w:rFonts w:eastAsia="MS Mincho"/>
          <w:lang w:eastAsia="ja-JP"/>
        </w:rPr>
        <w:t xml:space="preserve">The facility is expected to cost US $8.9 million; the results from the business model study were summarized and financial projections show </w:t>
      </w:r>
      <w:r w:rsidRPr="009A010C">
        <w:t xml:space="preserve">an internal rate of return of 16 per cent; and </w:t>
      </w:r>
    </w:p>
    <w:p w:rsidR="00A44140" w:rsidRPr="009A010C" w:rsidRDefault="00A44140" w:rsidP="00A44140">
      <w:pPr>
        <w:pStyle w:val="Heading2"/>
        <w:rPr>
          <w:rFonts w:eastAsia="MS Mincho"/>
        </w:rPr>
      </w:pPr>
      <w:r w:rsidRPr="009A010C">
        <w:rPr>
          <w:rFonts w:eastAsia="MS Mincho"/>
        </w:rPr>
        <w:t xml:space="preserve">The challenges that need to be investigated prior to construction of the project include: optimization of the use of two existing </w:t>
      </w:r>
      <w:proofErr w:type="spellStart"/>
      <w:r w:rsidRPr="009A010C">
        <w:rPr>
          <w:rFonts w:eastAsia="MS Mincho"/>
        </w:rPr>
        <w:t>Wartsila</w:t>
      </w:r>
      <w:proofErr w:type="spellEnd"/>
      <w:r w:rsidRPr="009A010C">
        <w:rPr>
          <w:rFonts w:eastAsia="MS Mincho"/>
        </w:rPr>
        <w:t xml:space="preserve"> 32 engines</w:t>
      </w:r>
      <w:r w:rsidRPr="009A010C">
        <w:t xml:space="preserve"> built primarily </w:t>
      </w:r>
      <w:r w:rsidRPr="009A010C">
        <w:rPr>
          <w:rFonts w:eastAsia="MS Mincho"/>
        </w:rPr>
        <w:t>for electricity production, vis-à-vis the introduction of the district cooling system;</w:t>
      </w:r>
      <w:r w:rsidRPr="009A010C">
        <w:t xml:space="preserve"> </w:t>
      </w:r>
      <w:r w:rsidRPr="009A010C">
        <w:rPr>
          <w:rFonts w:eastAsia="MS Mincho"/>
        </w:rPr>
        <w:t xml:space="preserve">optimization of a robust technical system in combination with various scenario analyses of fuel and refrigerant price projections; further analysis of the distribution design temperatures and the possibilities to increase actual operational differential temperatures; assessment of water quality and ground water extraction; and exploring synergies between the distribution pipe system and other installations and utilities, such as water distribution systems and electrical cables in the area. </w:t>
      </w:r>
    </w:p>
    <w:p w:rsidR="00A44140" w:rsidRPr="009A010C" w:rsidRDefault="00A44140" w:rsidP="00A44140">
      <w:pPr>
        <w:rPr>
          <w:rFonts w:eastAsia="MS Mincho"/>
          <w:b/>
        </w:rPr>
      </w:pPr>
      <w:r w:rsidRPr="009A010C">
        <w:rPr>
          <w:rFonts w:eastAsia="MS Mincho"/>
          <w:b/>
        </w:rPr>
        <w:t>Comments</w:t>
      </w:r>
    </w:p>
    <w:p w:rsidR="00A44140" w:rsidRPr="009A010C" w:rsidRDefault="00A44140" w:rsidP="00A44140">
      <w:pPr>
        <w:rPr>
          <w:rFonts w:eastAsia="MS Mincho"/>
          <w:b/>
        </w:rPr>
      </w:pPr>
    </w:p>
    <w:p w:rsidR="00A44140" w:rsidRPr="009A010C" w:rsidRDefault="00A44140" w:rsidP="00A44140">
      <w:pPr>
        <w:pStyle w:val="Heading1"/>
        <w:rPr>
          <w:rFonts w:eastAsia="MS Mincho"/>
        </w:rPr>
      </w:pPr>
      <w:r w:rsidRPr="009A010C">
        <w:rPr>
          <w:rFonts w:eastAsia="MS Mincho"/>
        </w:rPr>
        <w:t xml:space="preserve">The technical report indicates that there are opportunities to develop and implement a district cooling system based on several waste heat sources in the Dominican Republic. UNDP indicated that </w:t>
      </w:r>
      <w:proofErr w:type="spellStart"/>
      <w:r w:rsidRPr="009A010C">
        <w:rPr>
          <w:rFonts w:eastAsia="MS Mincho"/>
        </w:rPr>
        <w:t>Grupo</w:t>
      </w:r>
      <w:proofErr w:type="spellEnd"/>
      <w:r w:rsidRPr="009A010C">
        <w:rPr>
          <w:rFonts w:eastAsia="MS Mincho"/>
        </w:rPr>
        <w:t> </w:t>
      </w:r>
      <w:proofErr w:type="spellStart"/>
      <w:r w:rsidRPr="009A010C">
        <w:rPr>
          <w:rFonts w:eastAsia="MS Mincho"/>
        </w:rPr>
        <w:t>Puntacana</w:t>
      </w:r>
      <w:proofErr w:type="spellEnd"/>
      <w:r w:rsidRPr="009A010C">
        <w:rPr>
          <w:rFonts w:eastAsia="MS Mincho"/>
        </w:rPr>
        <w:t>, which is working closely with the Government in implementing the study, is exploring funding</w:t>
      </w:r>
      <w:r w:rsidRPr="009A010C" w:rsidDel="00C5282C">
        <w:rPr>
          <w:rFonts w:eastAsia="MS Mincho"/>
        </w:rPr>
        <w:t xml:space="preserve"> </w:t>
      </w:r>
      <w:r w:rsidRPr="009A010C">
        <w:rPr>
          <w:rFonts w:eastAsia="MS Mincho"/>
        </w:rPr>
        <w:t xml:space="preserve">options and sources based on the business model to see how the project could be implemented for both new developments and existing buildings in the country. </w:t>
      </w:r>
    </w:p>
    <w:p w:rsidR="00A44140" w:rsidRPr="009A010C" w:rsidRDefault="00A44140" w:rsidP="00A44140">
      <w:pPr>
        <w:pStyle w:val="Heading1"/>
        <w:rPr>
          <w:rFonts w:eastAsia="MS Mincho"/>
        </w:rPr>
      </w:pPr>
      <w:r w:rsidRPr="009A010C">
        <w:rPr>
          <w:rFonts w:eastAsia="MS Mincho"/>
        </w:rPr>
        <w:t xml:space="preserve">The Secretariat noted that the description of the next steps in the development phase, with special focus on the implementation and build-up of the strategy for Punta Cana District Cooling, was not included in the report. UNDP indicated that this is still under consideration, and will be provided at a later stage. </w:t>
      </w:r>
    </w:p>
    <w:p w:rsidR="00A44140" w:rsidRPr="009A010C" w:rsidRDefault="00A44140" w:rsidP="00A44140">
      <w:pPr>
        <w:pStyle w:val="xmsonormal"/>
        <w:keepNext/>
        <w:spacing w:after="240" w:afterAutospacing="0"/>
        <w:rPr>
          <w:sz w:val="22"/>
          <w:szCs w:val="22"/>
          <w:u w:val="single"/>
        </w:rPr>
      </w:pPr>
      <w:r w:rsidRPr="009A010C">
        <w:rPr>
          <w:sz w:val="22"/>
          <w:szCs w:val="22"/>
          <w:u w:val="single"/>
        </w:rPr>
        <w:lastRenderedPageBreak/>
        <w:t>Egypt: Feasibility study for district cooling in New Cairo (UNEP and UNIDO)</w:t>
      </w:r>
    </w:p>
    <w:p w:rsidR="00A44140" w:rsidRPr="009A010C" w:rsidRDefault="00A44140" w:rsidP="00A44140">
      <w:pPr>
        <w:pStyle w:val="Heading1"/>
      </w:pPr>
      <w:r w:rsidRPr="009A010C">
        <w:t>At the 75</w:t>
      </w:r>
      <w:r w:rsidRPr="009A010C">
        <w:rPr>
          <w:vertAlign w:val="superscript"/>
        </w:rPr>
        <w:t>th</w:t>
      </w:r>
      <w:r w:rsidRPr="009A010C">
        <w:t xml:space="preserve"> meeting, the Executive Committee approved the request for funding the feasibility study for district cooling in New Cairo, Egypt, which would include a business model,</w:t>
      </w:r>
      <w:r w:rsidRPr="009A010C">
        <w:rPr>
          <w:rStyle w:val="FootnoteReference"/>
        </w:rPr>
        <w:footnoteReference w:id="29"/>
      </w:r>
      <w:r w:rsidRPr="009A010C">
        <w:t xml:space="preserve"> in the amount of US $27,223, plus agency support costs of US $3,539 for UNEP, and US $63,521, plus agency support costs of US $5,717 for UNIDO. </w:t>
      </w:r>
    </w:p>
    <w:p w:rsidR="00A44140" w:rsidRPr="009A010C" w:rsidRDefault="00A44140" w:rsidP="00A44140">
      <w:pPr>
        <w:pStyle w:val="Heading1"/>
      </w:pPr>
      <w:r w:rsidRPr="009A010C">
        <w:t>The feasibility study was envisaged to focus on one district of the new capital, would include residential and non</w:t>
      </w:r>
      <w:r w:rsidRPr="009A010C">
        <w:noBreakHyphen/>
        <w:t xml:space="preserve">residential districts; and would simulate the dynamic cooling load profile through the chosen district. Design, simulation and optimization of multiple energy inputs powered by natural gas, a solar thermal energy source and a fresh water heat sink would be considered. </w:t>
      </w:r>
    </w:p>
    <w:p w:rsidR="00A44140" w:rsidRPr="009A010C" w:rsidRDefault="00A44140" w:rsidP="00A44140">
      <w:pPr>
        <w:pStyle w:val="Heading1"/>
        <w:rPr>
          <w:rFonts w:eastAsia="MS Mincho"/>
          <w:lang w:eastAsia="ja-JP"/>
        </w:rPr>
      </w:pPr>
      <w:r w:rsidRPr="009A010C">
        <w:t xml:space="preserve">On behalf of the Government of Egypt, UNEP and UNIDO have submitted the final report of the feasibility study, in line with decision 80/26(n). The report described its implementation in three parts: a technical study, a financial study and an institutional regulatory framework study. </w:t>
      </w:r>
    </w:p>
    <w:p w:rsidR="00A44140" w:rsidRPr="009A010C" w:rsidRDefault="00A44140" w:rsidP="00A44140">
      <w:pPr>
        <w:pStyle w:val="Heading1"/>
        <w:rPr>
          <w:rFonts w:eastAsia="MS Mincho"/>
          <w:lang w:eastAsia="ja-JP"/>
        </w:rPr>
      </w:pPr>
      <w:r w:rsidRPr="009A010C">
        <w:t xml:space="preserve">While the original project design was to focus on New Cairo City, during implementation, New Alamein City was also considered. Both locations are part of the country’s development plan and are a priority in terms of new cities to be built. The study </w:t>
      </w:r>
      <w:r w:rsidRPr="009A010C">
        <w:rPr>
          <w:rFonts w:eastAsia="MS Mincho"/>
          <w:lang w:eastAsia="ja-JP"/>
        </w:rPr>
        <w:t xml:space="preserve">examined the possibility of using district cooling with not-in-kind (NIK) technologies (i.e., deep sea cooling system) as compared with conventional cooling for </w:t>
      </w:r>
      <w:r w:rsidRPr="009A010C">
        <w:t>New Alamein City.</w:t>
      </w:r>
      <w:r w:rsidRPr="009A010C">
        <w:rPr>
          <w:rFonts w:eastAsia="MS Mincho"/>
          <w:lang w:eastAsia="ja-JP"/>
        </w:rPr>
        <w:t xml:space="preserve"> Data from available development plans, architectural and building designs, estimated population, utilities required, and other relevant elements were used to complete the technical and financial feasibility for New Alamein City. </w:t>
      </w:r>
    </w:p>
    <w:p w:rsidR="00A44140" w:rsidRPr="009A010C" w:rsidRDefault="00A44140" w:rsidP="00A44140">
      <w:pPr>
        <w:pStyle w:val="Heading1"/>
        <w:rPr>
          <w:rFonts w:eastAsia="MS Mincho"/>
          <w:lang w:eastAsia="ja-JP"/>
        </w:rPr>
      </w:pPr>
      <w:r w:rsidRPr="009A010C">
        <w:rPr>
          <w:rFonts w:eastAsia="MS Mincho"/>
          <w:lang w:eastAsia="ja-JP"/>
        </w:rPr>
        <w:t>With regard to New Cairo City, phase I of the development is already completed and uses district cooling combined with a conventional refrigeration system based on HFC</w:t>
      </w:r>
      <w:r w:rsidRPr="009A010C">
        <w:rPr>
          <w:rFonts w:eastAsia="MS Mincho"/>
          <w:lang w:eastAsia="ja-JP"/>
        </w:rPr>
        <w:noBreakHyphen/>
        <w:t>134a. Therefore, the study focused on phase II, specifically on the future site of the Government centre, using similar data as those collected for New Alamein City. Both cities are expected to be fully constructed and populated by 2022.</w:t>
      </w:r>
    </w:p>
    <w:p w:rsidR="00A44140" w:rsidRPr="009A010C" w:rsidRDefault="00A44140" w:rsidP="00A44140">
      <w:pPr>
        <w:pStyle w:val="Heading1"/>
        <w:rPr>
          <w:rFonts w:eastAsia="MS Mincho"/>
          <w:lang w:eastAsia="ja-JP"/>
        </w:rPr>
      </w:pPr>
      <w:r w:rsidRPr="009A010C">
        <w:t>The following are the main achievements resulting from feasibility study:</w:t>
      </w:r>
    </w:p>
    <w:p w:rsidR="00A44140" w:rsidRPr="009A010C" w:rsidRDefault="00A44140" w:rsidP="00A44140">
      <w:pPr>
        <w:pStyle w:val="Heading2"/>
        <w:keepNext/>
        <w:widowControl/>
        <w:rPr>
          <w:rFonts w:eastAsia="MS Mincho"/>
          <w:lang w:eastAsia="ja-JP"/>
        </w:rPr>
      </w:pPr>
      <w:r w:rsidRPr="009A010C">
        <w:rPr>
          <w:rFonts w:eastAsia="MS Mincho"/>
          <w:lang w:eastAsia="ja-JP"/>
        </w:rPr>
        <w:t>The technical and financial study for New Alamein City has resulted in a business model that has demonstrated the potential for district cooling using NIK technologies;</w:t>
      </w:r>
    </w:p>
    <w:p w:rsidR="00A44140" w:rsidRPr="009A010C" w:rsidRDefault="00A44140" w:rsidP="00A44140">
      <w:pPr>
        <w:pStyle w:val="Heading2"/>
        <w:rPr>
          <w:rFonts w:eastAsia="MS Mincho"/>
          <w:lang w:eastAsia="ja-JP"/>
        </w:rPr>
      </w:pPr>
      <w:r w:rsidRPr="009A010C">
        <w:rPr>
          <w:rFonts w:eastAsia="MS Mincho"/>
          <w:lang w:eastAsia="ja-JP"/>
        </w:rPr>
        <w:t>The economic model assumed that the owner, property developer, or a specialized company, would construct the district cooling system through a build, own and operate (BOO) scheme, and in return collect fees from the users;</w:t>
      </w:r>
    </w:p>
    <w:p w:rsidR="00A44140" w:rsidRPr="009A010C" w:rsidRDefault="00A44140" w:rsidP="00A44140">
      <w:pPr>
        <w:pStyle w:val="Heading2"/>
        <w:rPr>
          <w:rFonts w:eastAsia="MS Mincho"/>
          <w:lang w:eastAsia="ja-JP"/>
        </w:rPr>
      </w:pPr>
      <w:r w:rsidRPr="009A010C">
        <w:rPr>
          <w:rFonts w:eastAsia="MS Mincho"/>
          <w:lang w:eastAsia="ja-JP"/>
        </w:rPr>
        <w:t xml:space="preserve">The technical and financial studies were based on an estimated load capacity of 10,863 tonnes of refrigeration (TR) for New Alamein City, and 60,000 TR stations for New Cairo City; both included a mixed use of absorption chillers and a large thermal storage unit for better efficiency; </w:t>
      </w:r>
    </w:p>
    <w:p w:rsidR="00A44140" w:rsidRPr="009A010C" w:rsidRDefault="00A44140" w:rsidP="00A51632">
      <w:pPr>
        <w:pStyle w:val="Heading2"/>
        <w:keepNext/>
        <w:widowControl/>
        <w:rPr>
          <w:rFonts w:eastAsia="MS Mincho"/>
          <w:lang w:eastAsia="ja-JP"/>
        </w:rPr>
      </w:pPr>
      <w:r w:rsidRPr="009A010C">
        <w:rPr>
          <w:rFonts w:eastAsia="MS Mincho"/>
          <w:lang w:eastAsia="ja-JP"/>
        </w:rPr>
        <w:t xml:space="preserve">The total investment cost, including the construction of the civil and electromechanical works was estimated at US $53.3 million and US $230 million for New Alamein City and New Cairo City, respectively; with a favourable equity internal rate of return (IRR) of 29 per cent and project IRR of 36 per cent for New Alamein City, and an equity IRR of 42 per cent and </w:t>
      </w:r>
      <w:r w:rsidRPr="009A010C">
        <w:rPr>
          <w:rFonts w:eastAsia="MS Mincho"/>
          <w:lang w:eastAsia="ja-JP"/>
        </w:rPr>
        <w:lastRenderedPageBreak/>
        <w:t>project IRR of 30 per cent for New Cairo City, both with payback periods of less than five years; and</w:t>
      </w:r>
    </w:p>
    <w:p w:rsidR="00A44140" w:rsidRPr="009A010C" w:rsidRDefault="00A44140" w:rsidP="00A44140">
      <w:pPr>
        <w:pStyle w:val="Heading2"/>
        <w:keepNext/>
        <w:keepLines/>
        <w:rPr>
          <w:rFonts w:eastAsia="MS Mincho"/>
          <w:lang w:eastAsia="ja-JP"/>
        </w:rPr>
      </w:pPr>
      <w:r w:rsidRPr="009A010C">
        <w:rPr>
          <w:rFonts w:eastAsia="MS Mincho"/>
          <w:lang w:eastAsia="ja-JP"/>
        </w:rPr>
        <w:t>The results of the feasibility study have encouraged the development of national institutional and regulatory framework for district cooling; currently, district cooling codes and guidelines are being developed.</w:t>
      </w:r>
    </w:p>
    <w:p w:rsidR="00A44140" w:rsidRPr="009A010C" w:rsidRDefault="00A44140" w:rsidP="00A44140">
      <w:pPr>
        <w:rPr>
          <w:rFonts w:eastAsia="MS Mincho"/>
          <w:b/>
          <w:lang w:eastAsia="ja-JP"/>
        </w:rPr>
      </w:pPr>
      <w:r w:rsidRPr="009A010C">
        <w:rPr>
          <w:rFonts w:eastAsia="MS Mincho"/>
          <w:b/>
          <w:lang w:eastAsia="ja-JP"/>
        </w:rPr>
        <w:t xml:space="preserve">Comments </w:t>
      </w:r>
    </w:p>
    <w:p w:rsidR="00A44140" w:rsidRPr="009A010C" w:rsidRDefault="00A44140" w:rsidP="00A44140">
      <w:pPr>
        <w:rPr>
          <w:rFonts w:eastAsia="MS Mincho"/>
          <w:lang w:eastAsia="ja-JP"/>
        </w:rPr>
      </w:pPr>
    </w:p>
    <w:p w:rsidR="00A44140" w:rsidRPr="009A010C" w:rsidRDefault="00A44140" w:rsidP="00A44140">
      <w:pPr>
        <w:pStyle w:val="Heading1"/>
        <w:rPr>
          <w:rFonts w:eastAsia="MS Mincho"/>
          <w:lang w:eastAsia="ja-JP"/>
        </w:rPr>
      </w:pPr>
      <w:r w:rsidRPr="009A010C">
        <w:rPr>
          <w:rFonts w:eastAsia="MS Mincho"/>
          <w:lang w:eastAsia="ja-JP"/>
        </w:rPr>
        <w:t xml:space="preserve">Upon request for clarification, UNIDO and UNEP indicated that the information and analyses presented in the study were based on field data and market quotation as well as Government tariff values and banking information. Given the interest shown by financial institutions to fund this approach (deep sea cooling technology), the business model for New Alamein City has generated subsequent funding from the Kigali Cooling Efficiency (KCEP) to advance this study through building the international bidding process. The Government of Egypt considers the project in New Alamein City as a model for future developments in the country, especially new cities and settlements at coastal proximity. </w:t>
      </w:r>
      <w:r w:rsidRPr="009A010C">
        <w:rPr>
          <w:lang w:eastAsia="ja-JP"/>
        </w:rPr>
        <w:t>The study for New Cairo City will also be used as another model for new cities and settlements that can use gas</w:t>
      </w:r>
      <w:r w:rsidRPr="009A010C">
        <w:rPr>
          <w:lang w:eastAsia="ja-JP"/>
        </w:rPr>
        <w:noBreakHyphen/>
        <w:t>fired absorption systems instead of vapour-compression applications.</w:t>
      </w:r>
    </w:p>
    <w:p w:rsidR="00A44140" w:rsidRPr="009A010C" w:rsidRDefault="00A44140" w:rsidP="00A44140">
      <w:pPr>
        <w:pStyle w:val="Heading1"/>
        <w:rPr>
          <w:rFonts w:eastAsia="MS Mincho"/>
          <w:lang w:eastAsia="ja-JP"/>
        </w:rPr>
      </w:pPr>
      <w:r w:rsidRPr="009A010C">
        <w:rPr>
          <w:rFonts w:eastAsia="MS Mincho"/>
          <w:lang w:eastAsia="ja-JP"/>
        </w:rPr>
        <w:t xml:space="preserve">High level meetings held with the ministries responsible for housing and city development are expected to lead to a national policy to reduce dependency on conventional cooling systems, and promote NIK technologies. In November 2018, the Ministry of Housing issued a Ministerial Decree enacting, for the first time, the National District Cooling Code. </w:t>
      </w:r>
    </w:p>
    <w:p w:rsidR="00A44140" w:rsidRPr="009A010C" w:rsidRDefault="00A44140" w:rsidP="00A44140">
      <w:pPr>
        <w:pStyle w:val="Heading1"/>
        <w:rPr>
          <w:rFonts w:eastAsia="MS Mincho"/>
          <w:lang w:eastAsia="ja-JP"/>
        </w:rPr>
      </w:pPr>
      <w:r w:rsidRPr="009A010C">
        <w:rPr>
          <w:rFonts w:eastAsia="MS Mincho"/>
          <w:lang w:eastAsia="ja-JP"/>
        </w:rPr>
        <w:t xml:space="preserve">UNIDO and UNEP also indicated that once the international bidding process and the final selection of the developer is completed, the Government of Egypt may be in a position to provide a further report of the process which would document the steps taken for the activities done after the feasibility study. This report could be useful for other countries that would like to undertake the same analysis in future. </w:t>
      </w:r>
    </w:p>
    <w:p w:rsidR="00A44140" w:rsidRPr="009A010C" w:rsidRDefault="00A44140" w:rsidP="00A44140">
      <w:pPr>
        <w:pStyle w:val="xmsonormal"/>
        <w:keepNext/>
        <w:spacing w:after="240" w:afterAutospacing="0"/>
        <w:jc w:val="both"/>
        <w:rPr>
          <w:sz w:val="22"/>
          <w:szCs w:val="22"/>
        </w:rPr>
      </w:pPr>
      <w:r w:rsidRPr="009A010C">
        <w:rPr>
          <w:sz w:val="22"/>
          <w:szCs w:val="22"/>
          <w:u w:val="single"/>
        </w:rPr>
        <w:t>Kuwait: Feasibility study comparing three not-in-kind (NIK) technologies for use in central air</w:t>
      </w:r>
      <w:r w:rsidRPr="009A010C">
        <w:rPr>
          <w:sz w:val="22"/>
          <w:szCs w:val="22"/>
          <w:u w:val="single"/>
        </w:rPr>
        <w:noBreakHyphen/>
        <w:t>conditioning</w:t>
      </w:r>
      <w:r w:rsidRPr="009A010C">
        <w:rPr>
          <w:sz w:val="22"/>
          <w:szCs w:val="22"/>
        </w:rPr>
        <w:t xml:space="preserve"> (draft final report) (UNEP and UNIDO)</w:t>
      </w:r>
    </w:p>
    <w:p w:rsidR="00A44140" w:rsidRPr="009A010C" w:rsidRDefault="00A44140" w:rsidP="00A44140">
      <w:pPr>
        <w:pStyle w:val="Heading1"/>
      </w:pPr>
      <w:r w:rsidRPr="009A010C">
        <w:t>At the 75</w:t>
      </w:r>
      <w:r w:rsidRPr="009A010C">
        <w:rPr>
          <w:vertAlign w:val="superscript"/>
        </w:rPr>
        <w:t>th</w:t>
      </w:r>
      <w:r w:rsidRPr="009A010C">
        <w:t xml:space="preserve"> meeting, the Executive Committee approved the request for funding the feasibility study comparing three NIK technologies for use in central air</w:t>
      </w:r>
      <w:r w:rsidRPr="009A010C">
        <w:noBreakHyphen/>
        <w:t>conditioning in Kuwait, which would include a business model,</w:t>
      </w:r>
      <w:r w:rsidRPr="009A010C">
        <w:rPr>
          <w:rStyle w:val="FootnoteReference"/>
        </w:rPr>
        <w:footnoteReference w:id="30"/>
      </w:r>
      <w:r w:rsidRPr="009A010C">
        <w:t xml:space="preserve"> in the amount of US $27,223, plus agency support costs of US $3,539 for UNEP and US $63,521, plus agency support costs of US $5,717 for UNIDO. </w:t>
      </w:r>
    </w:p>
    <w:p w:rsidR="00A44140" w:rsidRPr="009A010C" w:rsidRDefault="00A44140" w:rsidP="00A44140">
      <w:pPr>
        <w:pStyle w:val="Heading1"/>
      </w:pPr>
      <w:r w:rsidRPr="009A010C">
        <w:rPr>
          <w:lang w:val="en-US"/>
        </w:rPr>
        <w:t>The original approach of the feasibility study was to present a full comparative analysis of three NIK technologies: deep seawater free cooling, waste heat absorption and solar assisted chilled water absorption systems, to determine the most cost-effective option for central cooling systems. It was expected to include</w:t>
      </w:r>
      <w:r w:rsidRPr="009A010C">
        <w:t xml:space="preserve"> an analysis of renewable energy sources, legal barriers, energy saving mechanisms and environmental benefits; and development of a financial scheme and co-financing mechanisms.</w:t>
      </w:r>
    </w:p>
    <w:p w:rsidR="00A44140" w:rsidRPr="009A010C" w:rsidRDefault="00A44140" w:rsidP="00A44140">
      <w:pPr>
        <w:pStyle w:val="Heading1"/>
        <w:rPr>
          <w:rFonts w:eastAsia="MS Mincho"/>
          <w:lang w:eastAsia="ja-JP"/>
        </w:rPr>
      </w:pPr>
      <w:r w:rsidRPr="009A010C">
        <w:t xml:space="preserve">On behalf of the Government of Kuwait, UNEP and UNIDO have submitted a preliminary report on the feasibility study, in line with decision 80/26(o). </w:t>
      </w:r>
    </w:p>
    <w:p w:rsidR="00A44140" w:rsidRPr="009A010C" w:rsidRDefault="00A44140" w:rsidP="00A51632">
      <w:pPr>
        <w:pStyle w:val="Heading1"/>
        <w:keepNext/>
        <w:rPr>
          <w:rFonts w:eastAsia="MS Mincho"/>
          <w:lang w:eastAsia="ja-JP"/>
        </w:rPr>
      </w:pPr>
      <w:r w:rsidRPr="009A010C">
        <w:lastRenderedPageBreak/>
        <w:t xml:space="preserve">The preliminary report is summarized below: </w:t>
      </w:r>
    </w:p>
    <w:p w:rsidR="00A44140" w:rsidRPr="009A010C" w:rsidRDefault="00A44140" w:rsidP="00A51632">
      <w:pPr>
        <w:pStyle w:val="Heading2"/>
        <w:keepNext/>
        <w:widowControl/>
        <w:rPr>
          <w:rFonts w:eastAsia="MS Mincho"/>
          <w:lang w:eastAsia="ja-JP"/>
        </w:rPr>
      </w:pPr>
      <w:r w:rsidRPr="009A010C">
        <w:t>After consideration of the original NIK technologies, the study decided</w:t>
      </w:r>
      <w:r w:rsidRPr="009A010C" w:rsidDel="00D7035A">
        <w:t xml:space="preserve"> </w:t>
      </w:r>
      <w:r w:rsidRPr="009A010C">
        <w:t>on using chilled water systems combined with evaporative cooling as the best technology for central air</w:t>
      </w:r>
      <w:r w:rsidR="00A309D9">
        <w:noBreakHyphen/>
      </w:r>
      <w:r w:rsidRPr="009A010C">
        <w:t xml:space="preserve">conditioning systems suitable for Kuwait’s climatic conditions; </w:t>
      </w:r>
    </w:p>
    <w:p w:rsidR="00A44140" w:rsidRPr="009A010C" w:rsidRDefault="00A44140" w:rsidP="00A44140">
      <w:pPr>
        <w:pStyle w:val="Heading2"/>
        <w:keepNext/>
        <w:keepLines/>
        <w:rPr>
          <w:rFonts w:eastAsia="MS Mincho"/>
          <w:lang w:eastAsia="ja-JP"/>
        </w:rPr>
      </w:pPr>
      <w:r w:rsidRPr="009A010C">
        <w:rPr>
          <w:rFonts w:eastAsia="MS Mincho"/>
          <w:lang w:eastAsia="ja-JP"/>
        </w:rPr>
        <w:t xml:space="preserve">The study demonstrated the technical feasibility of this option for use in two locations, a school and a mosque, using </w:t>
      </w:r>
      <w:r w:rsidRPr="009A010C">
        <w:t>two</w:t>
      </w:r>
      <w:r w:rsidRPr="009A010C">
        <w:noBreakHyphen/>
        <w:t>stage</w:t>
      </w:r>
      <w:r w:rsidRPr="009A010C">
        <w:rPr>
          <w:rStyle w:val="FootnoteReference"/>
        </w:rPr>
        <w:footnoteReference w:id="31"/>
      </w:r>
      <w:r w:rsidRPr="009A010C">
        <w:t xml:space="preserve"> “direct/indirect” evaporative cooling (TSDI). The </w:t>
      </w:r>
      <w:r w:rsidRPr="009A010C">
        <w:rPr>
          <w:rFonts w:eastAsia="MS Mincho"/>
          <w:lang w:eastAsia="ja-JP"/>
        </w:rPr>
        <w:t>school air</w:t>
      </w:r>
      <w:r w:rsidRPr="009A010C">
        <w:rPr>
          <w:rFonts w:eastAsia="MS Mincho"/>
          <w:lang w:eastAsia="ja-JP"/>
        </w:rPr>
        <w:noBreakHyphen/>
        <w:t xml:space="preserve">conditioning was designed using a chilled water system connected by a chilled water pipeline network to air handling units and fan coil </w:t>
      </w:r>
      <w:proofErr w:type="gramStart"/>
      <w:r w:rsidRPr="009A010C">
        <w:rPr>
          <w:rFonts w:eastAsia="MS Mincho"/>
          <w:lang w:eastAsia="ja-JP"/>
        </w:rPr>
        <w:t>units</w:t>
      </w:r>
      <w:proofErr w:type="gramEnd"/>
      <w:r w:rsidRPr="009A010C">
        <w:rPr>
          <w:rFonts w:eastAsia="MS Mincho"/>
          <w:lang w:eastAsia="ja-JP"/>
        </w:rPr>
        <w:t xml:space="preserve"> system, incorporating a small number of split units and one large packaged unit with an estimated cooling load of approximately 1,000 tonnes of refrigeration (TR); the mosque was designed with a direct expansion air</w:t>
      </w:r>
      <w:r w:rsidRPr="009A010C">
        <w:rPr>
          <w:rFonts w:eastAsia="MS Mincho"/>
          <w:lang w:eastAsia="ja-JP"/>
        </w:rPr>
        <w:noBreakHyphen/>
        <w:t xml:space="preserve">conditioning system; </w:t>
      </w:r>
    </w:p>
    <w:p w:rsidR="00A44140" w:rsidRPr="009A010C" w:rsidRDefault="00A44140" w:rsidP="00A44140">
      <w:pPr>
        <w:pStyle w:val="Heading2"/>
        <w:rPr>
          <w:rFonts w:eastAsia="MS Mincho"/>
          <w:lang w:eastAsia="ja-JP"/>
        </w:rPr>
      </w:pPr>
      <w:r w:rsidRPr="009A010C">
        <w:rPr>
          <w:rFonts w:eastAsia="MS Mincho"/>
          <w:lang w:eastAsia="ja-JP"/>
        </w:rPr>
        <w:t xml:space="preserve">Based on the designs, these systems are being installed with the assistance of technology providers in the form of free equipment and services, in two pilot locations. The project will demonstrate how these systems work for all climatic conditions in the country, and collect data on costs and energy savings; after the pilot phase, an independent evaluation will be done through the Kuwait Institute for Scientific Research (KISR) who will make recommendations to the Government on the feasibility of the approach; and </w:t>
      </w:r>
    </w:p>
    <w:p w:rsidR="00A44140" w:rsidRPr="009A010C" w:rsidRDefault="00A44140" w:rsidP="00A44140">
      <w:pPr>
        <w:pStyle w:val="Heading2"/>
        <w:rPr>
          <w:rFonts w:eastAsia="MS Mincho"/>
          <w:lang w:eastAsia="ja-JP"/>
        </w:rPr>
      </w:pPr>
      <w:r w:rsidRPr="009A010C">
        <w:rPr>
          <w:rFonts w:eastAsia="MS Mincho"/>
          <w:lang w:eastAsia="ja-JP"/>
        </w:rPr>
        <w:t>The pilot implementation will be completed at the end of 2019.</w:t>
      </w:r>
    </w:p>
    <w:p w:rsidR="00A44140" w:rsidRPr="009A010C" w:rsidRDefault="00A44140" w:rsidP="00A44140">
      <w:pPr>
        <w:keepNext/>
        <w:spacing w:after="240"/>
        <w:outlineLvl w:val="0"/>
        <w:rPr>
          <w:b/>
          <w:bCs/>
          <w:lang w:val="en-CA"/>
        </w:rPr>
      </w:pPr>
      <w:r w:rsidRPr="009A010C">
        <w:rPr>
          <w:b/>
          <w:bCs/>
          <w:lang w:val="en-CA"/>
        </w:rPr>
        <w:t>Comments</w:t>
      </w:r>
    </w:p>
    <w:p w:rsidR="00A44140" w:rsidRPr="009A010C" w:rsidRDefault="00A44140" w:rsidP="00A44140">
      <w:pPr>
        <w:pStyle w:val="Heading1"/>
        <w:rPr>
          <w:lang w:val="en-CA"/>
        </w:rPr>
      </w:pPr>
      <w:r w:rsidRPr="009A010C">
        <w:rPr>
          <w:lang w:val="en-CA"/>
        </w:rPr>
        <w:t>The Secretariat sought clarification from UNIDO and UNEP on the reasons for not considering the technologies identified in the proposal. It was explained that there was an initial reluctance to consider district cooling (DC) as an option because most of the country’s infrastructure was already developed, and there was concern that redesigning existing buildings/installations to allow for DC would be costly. Therefore, the feasibility study focused on exploring options for central air</w:t>
      </w:r>
      <w:r w:rsidRPr="009A010C">
        <w:rPr>
          <w:lang w:val="en-CA"/>
        </w:rPr>
        <w:noBreakHyphen/>
        <w:t>conditioning for public facilities (e.g., schools, mosques, social clubs, and similar structures), offered by the Kuwait Public Authority for Housing Welfare (KPAHW). In addition, technical challenges posed by the original options included: deep sea cooling would be very expensive; no accessible deep seawater source; challenges with the temperature gradient; no available downstream natural gas supply nor waste heat sources close by for the absorption using natural gas.</w:t>
      </w:r>
    </w:p>
    <w:p w:rsidR="00A44140" w:rsidRPr="009A010C" w:rsidRDefault="00A44140" w:rsidP="00A44140">
      <w:pPr>
        <w:pStyle w:val="Heading1"/>
        <w:rPr>
          <w:lang w:val="en-CA"/>
        </w:rPr>
      </w:pPr>
      <w:r w:rsidRPr="009A010C">
        <w:rPr>
          <w:lang w:val="en-CA"/>
        </w:rPr>
        <w:t>In further explaining the pilot implementation phase, which is beyond the scope of the feasibility study, the agencies explained that this was necessary to facilitate the acceptance of the use of NIK technologies as compared with conventional cooling. It is expected that the independent evaluation of the pilot project would demonstrate the success of the evaporative cooling applications in the two pilot sites. Based on the outcomes of the evaluation, KPAHW is willing to consider adjusting its bidding process for future public buildings to move towards TSDI evaporative cooling systems. This would then support plans to implement this NIK technology in other selected sites in the city, to be implemented from 2020.</w:t>
      </w:r>
    </w:p>
    <w:p w:rsidR="00A44140" w:rsidRPr="009A010C" w:rsidRDefault="00A44140" w:rsidP="00A44140">
      <w:pPr>
        <w:pStyle w:val="Heading1"/>
        <w:rPr>
          <w:lang w:val="en-CA"/>
        </w:rPr>
      </w:pPr>
      <w:r w:rsidRPr="009A010C">
        <w:rPr>
          <w:lang w:val="en-CA"/>
        </w:rPr>
        <w:t>UNIDO and UNEP also clarified that the final report will be submitted to the 83</w:t>
      </w:r>
      <w:r w:rsidRPr="009A010C">
        <w:rPr>
          <w:vertAlign w:val="superscript"/>
          <w:lang w:val="en-CA"/>
        </w:rPr>
        <w:t>rd</w:t>
      </w:r>
      <w:r w:rsidRPr="009A010C">
        <w:rPr>
          <w:lang w:val="en-CA"/>
        </w:rPr>
        <w:t xml:space="preserve"> meeting, while a later report on the approaches and steps taken for the pilot implementation of the NIK technology may be provided in future, no earlier than the first meeting in 2020. </w:t>
      </w:r>
    </w:p>
    <w:p w:rsidR="00A44140" w:rsidRPr="009A010C" w:rsidRDefault="00A44140" w:rsidP="00A44140">
      <w:pPr>
        <w:pStyle w:val="Heading2"/>
        <w:keepNext/>
        <w:widowControl/>
        <w:numPr>
          <w:ilvl w:val="0"/>
          <w:numId w:val="0"/>
        </w:numPr>
        <w:rPr>
          <w:b/>
          <w:lang w:val="en-CA"/>
        </w:rPr>
      </w:pPr>
      <w:r w:rsidRPr="009A010C">
        <w:rPr>
          <w:b/>
          <w:lang w:val="en-CA"/>
        </w:rPr>
        <w:lastRenderedPageBreak/>
        <w:t xml:space="preserve">Recommendation </w:t>
      </w:r>
    </w:p>
    <w:p w:rsidR="00A44140" w:rsidRPr="009A010C" w:rsidRDefault="00A44140" w:rsidP="00A44140">
      <w:pPr>
        <w:pStyle w:val="Heading1"/>
        <w:keepNext/>
        <w:rPr>
          <w:lang w:val="en-CA"/>
        </w:rPr>
      </w:pPr>
      <w:r w:rsidRPr="009A010C">
        <w:rPr>
          <w:lang w:val="en-CA"/>
        </w:rPr>
        <w:t>The Executive Committee may wish:</w:t>
      </w:r>
    </w:p>
    <w:p w:rsidR="005C1B6C" w:rsidRPr="00FE5979" w:rsidRDefault="005C1B6C" w:rsidP="005C1B6C">
      <w:pPr>
        <w:pStyle w:val="Heading2"/>
        <w:numPr>
          <w:ilvl w:val="1"/>
          <w:numId w:val="23"/>
        </w:numPr>
        <w:rPr>
          <w:color w:val="000000" w:themeColor="text1"/>
        </w:rPr>
      </w:pPr>
      <w:r w:rsidRPr="00FE5979">
        <w:rPr>
          <w:color w:val="000000" w:themeColor="text1"/>
        </w:rPr>
        <w:t xml:space="preserve">To note, with appreciation, the final reports on the feasibility study for district cooling in the Dominican Republic, submitted by UNDP, and for Egypt submitted by UNIDO and UNEP </w:t>
      </w:r>
      <w:r w:rsidRPr="00FE5979">
        <w:rPr>
          <w:b/>
          <w:color w:val="000000" w:themeColor="text1"/>
        </w:rPr>
        <w:t xml:space="preserve">contained in document </w:t>
      </w:r>
      <w:r w:rsidRPr="00FE5979">
        <w:rPr>
          <w:b/>
        </w:rPr>
        <w:t>UNEP/</w:t>
      </w:r>
      <w:proofErr w:type="spellStart"/>
      <w:r w:rsidRPr="00FE5979">
        <w:rPr>
          <w:b/>
        </w:rPr>
        <w:t>OzL.Pro</w:t>
      </w:r>
      <w:proofErr w:type="spellEnd"/>
      <w:r w:rsidRPr="00FE5979">
        <w:rPr>
          <w:b/>
        </w:rPr>
        <w:t>/</w:t>
      </w:r>
      <w:proofErr w:type="spellStart"/>
      <w:r w:rsidRPr="00FE5979">
        <w:rPr>
          <w:b/>
        </w:rPr>
        <w:t>ExCom</w:t>
      </w:r>
      <w:proofErr w:type="spellEnd"/>
      <w:r w:rsidRPr="00FE5979">
        <w:rPr>
          <w:b/>
        </w:rPr>
        <w:t>/82/20</w:t>
      </w:r>
      <w:r w:rsidRPr="00FE5979">
        <w:rPr>
          <w:color w:val="000000" w:themeColor="text1"/>
        </w:rPr>
        <w:t xml:space="preserve">; </w:t>
      </w:r>
    </w:p>
    <w:p w:rsidR="005C1B6C" w:rsidRPr="00FE5979" w:rsidRDefault="005C1B6C" w:rsidP="005C1B6C">
      <w:pPr>
        <w:pStyle w:val="Heading2"/>
        <w:numPr>
          <w:ilvl w:val="1"/>
          <w:numId w:val="23"/>
        </w:numPr>
        <w:rPr>
          <w:color w:val="000000" w:themeColor="text1"/>
        </w:rPr>
      </w:pPr>
      <w:r w:rsidRPr="00FE5979">
        <w:rPr>
          <w:color w:val="000000" w:themeColor="text1"/>
        </w:rPr>
        <w:t xml:space="preserve">To further note the preliminary report for the feasibility study comparing three not-in-kind technologies for use in central air-conditioning in Kuwait, </w:t>
      </w:r>
      <w:r w:rsidRPr="00FE5979">
        <w:rPr>
          <w:b/>
          <w:color w:val="000000" w:themeColor="text1"/>
        </w:rPr>
        <w:t>submitted by UNEP and UNIDO</w:t>
      </w:r>
      <w:r w:rsidRPr="00FE5979">
        <w:rPr>
          <w:color w:val="000000" w:themeColor="text1"/>
        </w:rPr>
        <w:t>, and to request</w:t>
      </w:r>
      <w:r w:rsidRPr="00FE5979">
        <w:rPr>
          <w:b/>
          <w:color w:val="000000" w:themeColor="text1"/>
        </w:rPr>
        <w:t xml:space="preserve"> UNEP and UNIDO </w:t>
      </w:r>
      <w:r w:rsidRPr="00FE5979">
        <w:rPr>
          <w:color w:val="000000" w:themeColor="text1"/>
        </w:rPr>
        <w:t>to submit the final report to the 83</w:t>
      </w:r>
      <w:r w:rsidRPr="00FE5979">
        <w:rPr>
          <w:color w:val="000000" w:themeColor="text1"/>
          <w:vertAlign w:val="superscript"/>
        </w:rPr>
        <w:t>rd</w:t>
      </w:r>
      <w:r w:rsidR="00C03716">
        <w:rPr>
          <w:color w:val="000000" w:themeColor="text1"/>
          <w:vertAlign w:val="superscript"/>
        </w:rPr>
        <w:t xml:space="preserve"> </w:t>
      </w:r>
      <w:r w:rsidRPr="00FE5979">
        <w:rPr>
          <w:color w:val="000000" w:themeColor="text1"/>
        </w:rPr>
        <w:t xml:space="preserve">meeting; </w:t>
      </w:r>
    </w:p>
    <w:p w:rsidR="005C1B6C" w:rsidRPr="00FE5979" w:rsidRDefault="005C1B6C" w:rsidP="005C1B6C">
      <w:pPr>
        <w:pStyle w:val="Heading2"/>
        <w:numPr>
          <w:ilvl w:val="1"/>
          <w:numId w:val="23"/>
        </w:numPr>
        <w:rPr>
          <w:color w:val="000000" w:themeColor="text1"/>
        </w:rPr>
      </w:pPr>
      <w:r w:rsidRPr="00FE5979">
        <w:rPr>
          <w:color w:val="000000" w:themeColor="text1"/>
        </w:rPr>
        <w:t>To request:</w:t>
      </w:r>
    </w:p>
    <w:p w:rsidR="005C1B6C" w:rsidRPr="00FE5979" w:rsidRDefault="005C1B6C" w:rsidP="005C1B6C">
      <w:pPr>
        <w:pStyle w:val="Heading3"/>
        <w:widowControl/>
        <w:numPr>
          <w:ilvl w:val="2"/>
          <w:numId w:val="24"/>
        </w:numPr>
        <w:tabs>
          <w:tab w:val="left" w:pos="1560"/>
        </w:tabs>
        <w:rPr>
          <w:color w:val="000000" w:themeColor="text1"/>
        </w:rPr>
      </w:pPr>
      <w:r w:rsidRPr="00FE5979">
        <w:rPr>
          <w:color w:val="000000" w:themeColor="text1"/>
        </w:rPr>
        <w:t>UNDP to submit the project completion report for the feasibility study for district cooling in the Dominican Republic to the 83</w:t>
      </w:r>
      <w:r w:rsidRPr="00FE5979">
        <w:rPr>
          <w:color w:val="000000" w:themeColor="text1"/>
          <w:vertAlign w:val="superscript"/>
        </w:rPr>
        <w:t>rd</w:t>
      </w:r>
      <w:r w:rsidRPr="00FE5979">
        <w:rPr>
          <w:color w:val="000000" w:themeColor="text1"/>
        </w:rPr>
        <w:t xml:space="preserve"> meeting; and return any balances from the project no later than the 84</w:t>
      </w:r>
      <w:r w:rsidRPr="00FE5979">
        <w:rPr>
          <w:color w:val="000000" w:themeColor="text1"/>
          <w:vertAlign w:val="superscript"/>
        </w:rPr>
        <w:t>th</w:t>
      </w:r>
      <w:r w:rsidRPr="00FE5979">
        <w:rPr>
          <w:color w:val="000000" w:themeColor="text1"/>
        </w:rPr>
        <w:t xml:space="preserve"> meeting;</w:t>
      </w:r>
    </w:p>
    <w:p w:rsidR="005C1B6C" w:rsidRPr="00FE5979" w:rsidRDefault="005C1B6C" w:rsidP="005C1B6C">
      <w:pPr>
        <w:pStyle w:val="Heading3"/>
        <w:widowControl/>
        <w:numPr>
          <w:ilvl w:val="2"/>
          <w:numId w:val="24"/>
        </w:numPr>
        <w:tabs>
          <w:tab w:val="left" w:pos="1560"/>
        </w:tabs>
        <w:ind w:left="2268" w:hanging="850"/>
        <w:rPr>
          <w:color w:val="000000" w:themeColor="text1"/>
        </w:rPr>
      </w:pPr>
      <w:r w:rsidRPr="00FE5979">
        <w:rPr>
          <w:color w:val="000000" w:themeColor="text1"/>
        </w:rPr>
        <w:t>UNEP and UNIDO to submit the project completion report for the feasibility study for district cooling in Egypt to the 83</w:t>
      </w:r>
      <w:r w:rsidRPr="00FE5979">
        <w:rPr>
          <w:color w:val="000000" w:themeColor="text1"/>
          <w:vertAlign w:val="superscript"/>
        </w:rPr>
        <w:t>rd</w:t>
      </w:r>
      <w:r w:rsidRPr="00FE5979">
        <w:rPr>
          <w:color w:val="000000" w:themeColor="text1"/>
        </w:rPr>
        <w:t xml:space="preserve"> meeting, and the project completion report for the feasibility study comparing three not-in-kind technologies for use in central air-conditioning in Kuwait to the 84</w:t>
      </w:r>
      <w:r w:rsidRPr="00FE5979">
        <w:rPr>
          <w:color w:val="000000" w:themeColor="text1"/>
          <w:vertAlign w:val="superscript"/>
        </w:rPr>
        <w:t>th</w:t>
      </w:r>
      <w:r w:rsidRPr="00FE5979">
        <w:rPr>
          <w:color w:val="000000" w:themeColor="text1"/>
        </w:rPr>
        <w:t xml:space="preserve"> meeting, and return any balances from these projects no later than the 84</w:t>
      </w:r>
      <w:r w:rsidRPr="00FE5979">
        <w:rPr>
          <w:color w:val="000000" w:themeColor="text1"/>
          <w:vertAlign w:val="superscript"/>
        </w:rPr>
        <w:t>th</w:t>
      </w:r>
      <w:r w:rsidRPr="00FE5979">
        <w:rPr>
          <w:color w:val="000000" w:themeColor="text1"/>
        </w:rPr>
        <w:t xml:space="preserve"> meeting; and </w:t>
      </w:r>
    </w:p>
    <w:p w:rsidR="00A44140" w:rsidRPr="009A010C" w:rsidRDefault="005C1B6C" w:rsidP="005C1B6C">
      <w:pPr>
        <w:pStyle w:val="Heading2"/>
        <w:numPr>
          <w:ilvl w:val="1"/>
          <w:numId w:val="23"/>
        </w:numPr>
        <w:rPr>
          <w:lang w:val="en-CA"/>
        </w:rPr>
      </w:pPr>
      <w:r w:rsidRPr="00FE5979">
        <w:rPr>
          <w:color w:val="000000" w:themeColor="text1"/>
        </w:rPr>
        <w:t xml:space="preserve">To encourage the Governments of Egypt and Kuwait through UNEP and UNIDO to provide updated information on the actions taken as a result of the feasibility studies to a future meeting of the Executive Committee. </w:t>
      </w:r>
      <w:r w:rsidR="00A44140" w:rsidRPr="009A010C">
        <w:rPr>
          <w:lang w:val="en-CA"/>
        </w:rPr>
        <w:t xml:space="preserve"> </w:t>
      </w:r>
    </w:p>
    <w:p w:rsidR="00D376BE" w:rsidRPr="009A010C" w:rsidRDefault="00D376BE" w:rsidP="002A31F4">
      <w:pPr>
        <w:spacing w:after="240"/>
        <w:ind w:left="1440" w:hanging="1440"/>
        <w:rPr>
          <w:b/>
          <w:lang w:val="en-CA"/>
        </w:rPr>
      </w:pPr>
      <w:r w:rsidRPr="009A010C">
        <w:rPr>
          <w:b/>
          <w:lang w:val="en-CA"/>
        </w:rPr>
        <w:t xml:space="preserve">PART </w:t>
      </w:r>
      <w:r w:rsidR="00F50ABA" w:rsidRPr="009A010C">
        <w:rPr>
          <w:b/>
          <w:lang w:val="en-CA"/>
        </w:rPr>
        <w:t>VI</w:t>
      </w:r>
      <w:r w:rsidR="004D1CB9" w:rsidRPr="009A010C">
        <w:rPr>
          <w:b/>
          <w:lang w:val="en-CA"/>
        </w:rPr>
        <w:t>I</w:t>
      </w:r>
      <w:r w:rsidRPr="009A010C">
        <w:rPr>
          <w:b/>
          <w:lang w:val="en-CA"/>
        </w:rPr>
        <w:t>:</w:t>
      </w:r>
      <w:r w:rsidRPr="009A010C">
        <w:rPr>
          <w:b/>
          <w:lang w:val="en-CA"/>
        </w:rPr>
        <w:tab/>
      </w:r>
      <w:r w:rsidR="00F50ABA" w:rsidRPr="009A010C">
        <w:rPr>
          <w:b/>
          <w:lang w:val="en-CA"/>
        </w:rPr>
        <w:t>TEMPORARY USE OF A HIGH-GWP TECHNOLOGY IN APPROVED PROJECTS</w:t>
      </w:r>
    </w:p>
    <w:p w:rsidR="00FF523F" w:rsidRPr="009A010C" w:rsidRDefault="00CA7576" w:rsidP="000862E9">
      <w:pPr>
        <w:pStyle w:val="Heading1"/>
        <w:rPr>
          <w:lang w:val="en-CA"/>
        </w:rPr>
      </w:pPr>
      <w:r w:rsidRPr="009A010C">
        <w:rPr>
          <w:lang w:val="en-CA"/>
        </w:rPr>
        <w:t xml:space="preserve">Relevant bilateral and implementing agencies submitted, on behalf of the Governments of </w:t>
      </w:r>
      <w:r w:rsidR="00474C83" w:rsidRPr="009A010C">
        <w:rPr>
          <w:lang w:val="en-CA"/>
        </w:rPr>
        <w:t xml:space="preserve">Lebanon </w:t>
      </w:r>
      <w:r w:rsidRPr="009A010C">
        <w:rPr>
          <w:lang w:val="en-CA"/>
        </w:rPr>
        <w:t xml:space="preserve">and </w:t>
      </w:r>
      <w:r w:rsidR="00A51632" w:rsidRPr="009A010C">
        <w:rPr>
          <w:lang w:val="en-CA"/>
        </w:rPr>
        <w:t>Mexico</w:t>
      </w:r>
      <w:r w:rsidRPr="009A010C">
        <w:rPr>
          <w:lang w:val="en-CA"/>
        </w:rPr>
        <w:t xml:space="preserve">, reports on the implementation of projects under stage I or stage II of HPMPs with specific reporting requirements. </w:t>
      </w:r>
    </w:p>
    <w:p w:rsidR="00E257C3" w:rsidRPr="009A010C" w:rsidRDefault="00E257C3" w:rsidP="00B107FB">
      <w:pPr>
        <w:keepNext/>
        <w:spacing w:after="240"/>
        <w:rPr>
          <w:lang w:val="en-CA"/>
        </w:rPr>
      </w:pPr>
      <w:r w:rsidRPr="009A010C">
        <w:rPr>
          <w:u w:val="single"/>
          <w:lang w:val="en-CA"/>
        </w:rPr>
        <w:t>Stage II of the HPMP for Lebanon (use of interim technology by Iceberg SARL, progress report)</w:t>
      </w:r>
      <w:r w:rsidRPr="009A010C">
        <w:rPr>
          <w:lang w:val="en-CA"/>
        </w:rPr>
        <w:t xml:space="preserve"> (UNDP)</w:t>
      </w:r>
    </w:p>
    <w:p w:rsidR="00E257C3" w:rsidRPr="009A010C" w:rsidRDefault="00E257C3" w:rsidP="00B107FB">
      <w:pPr>
        <w:keepNext/>
        <w:spacing w:after="240"/>
        <w:rPr>
          <w:b/>
          <w:lang w:val="en-CA"/>
        </w:rPr>
      </w:pPr>
      <w:r w:rsidRPr="009A010C">
        <w:rPr>
          <w:b/>
          <w:lang w:val="en-CA"/>
        </w:rPr>
        <w:t>Background</w:t>
      </w:r>
    </w:p>
    <w:p w:rsidR="00E257C3" w:rsidRPr="009A010C" w:rsidRDefault="00E257C3" w:rsidP="00AE453D">
      <w:pPr>
        <w:pStyle w:val="Heading1"/>
        <w:widowControl w:val="0"/>
        <w:rPr>
          <w:lang w:val="en-CA"/>
        </w:rPr>
      </w:pPr>
      <w:r w:rsidRPr="009A010C">
        <w:t>On behalf of the Government of Lebanon, UNDP as designated implementing agency, has submitted the progress report on the implementation of the conversion at the enterprises in the refrigeration and air</w:t>
      </w:r>
      <w:r w:rsidR="00B107FB" w:rsidRPr="009A010C">
        <w:noBreakHyphen/>
      </w:r>
      <w:r w:rsidRPr="009A010C">
        <w:t xml:space="preserve">conditioning manufacturing sector, in the context of stage II of the HPMP, </w:t>
      </w:r>
      <w:r w:rsidRPr="009A010C">
        <w:rPr>
          <w:lang w:val="en-CA"/>
        </w:rPr>
        <w:t>in line with decisions 81/50(d)(ii)</w:t>
      </w:r>
      <w:r w:rsidRPr="009A010C">
        <w:rPr>
          <w:rStyle w:val="FootnoteReference"/>
          <w:lang w:val="en-CA"/>
        </w:rPr>
        <w:footnoteReference w:id="32"/>
      </w:r>
      <w:r w:rsidRPr="009A010C">
        <w:rPr>
          <w:lang w:val="en-CA"/>
        </w:rPr>
        <w:t xml:space="preserve"> and (iii).</w:t>
      </w:r>
      <w:r w:rsidRPr="009A010C">
        <w:rPr>
          <w:rStyle w:val="FootnoteReference"/>
          <w:lang w:val="en-CA"/>
        </w:rPr>
        <w:footnoteReference w:id="33"/>
      </w:r>
    </w:p>
    <w:p w:rsidR="00E257C3" w:rsidRPr="009A010C" w:rsidRDefault="00E257C3" w:rsidP="00B107FB">
      <w:pPr>
        <w:widowControl w:val="0"/>
        <w:spacing w:after="240"/>
        <w:rPr>
          <w:u w:val="single"/>
          <w:lang w:val="en-CA"/>
        </w:rPr>
      </w:pPr>
      <w:r w:rsidRPr="009A010C">
        <w:rPr>
          <w:u w:val="single"/>
          <w:lang w:val="en-CA"/>
        </w:rPr>
        <w:lastRenderedPageBreak/>
        <w:t>Progress report</w:t>
      </w:r>
    </w:p>
    <w:p w:rsidR="00E257C3" w:rsidRPr="009A010C" w:rsidRDefault="00E257C3" w:rsidP="00B107FB">
      <w:pPr>
        <w:pStyle w:val="Heading1"/>
        <w:widowControl w:val="0"/>
        <w:rPr>
          <w:lang w:val="en-CA"/>
        </w:rPr>
      </w:pPr>
      <w:r w:rsidRPr="009A010C">
        <w:rPr>
          <w:lang w:val="en-CA"/>
        </w:rPr>
        <w:t xml:space="preserve">UNDP reported that the conversion of the enterprise Iceberg SARL has been completed and the enterprise has phased out 12.60 </w:t>
      </w:r>
      <w:proofErr w:type="spellStart"/>
      <w:r w:rsidRPr="009A010C">
        <w:rPr>
          <w:lang w:val="en-CA"/>
        </w:rPr>
        <w:t>mt</w:t>
      </w:r>
      <w:proofErr w:type="spellEnd"/>
      <w:r w:rsidRPr="009A010C">
        <w:rPr>
          <w:lang w:val="en-CA"/>
        </w:rPr>
        <w:t xml:space="preserve"> (0.69 ODP tonnes) of HCFC-22 and 14.00 </w:t>
      </w:r>
      <w:proofErr w:type="spellStart"/>
      <w:r w:rsidRPr="009A010C">
        <w:rPr>
          <w:lang w:val="en-CA"/>
        </w:rPr>
        <w:t>mt</w:t>
      </w:r>
      <w:proofErr w:type="spellEnd"/>
      <w:r w:rsidRPr="009A010C">
        <w:rPr>
          <w:lang w:val="en-CA"/>
        </w:rPr>
        <w:t xml:space="preserve"> (1.54 ODP tonnes) of HCFC-141b and converted to the alternatives of HFC-32 and HFC-365mfc, respectively, where HFC</w:t>
      </w:r>
      <w:r w:rsidRPr="009A010C">
        <w:rPr>
          <w:lang w:val="en-CA"/>
        </w:rPr>
        <w:noBreakHyphen/>
        <w:t>365mfc is used as an interim substitute technology. Availability of HFO systems in the country remains a challenge. The Government through the NOU is working closely with technical consultants and suppliers of HFOs in order to have this technology available as soon as possible. However, UNDP cannot confirm a date for the commercial availability of the technology in the country.</w:t>
      </w:r>
    </w:p>
    <w:p w:rsidR="00E257C3" w:rsidRPr="009A010C" w:rsidRDefault="00E257C3" w:rsidP="00E257C3">
      <w:pPr>
        <w:pStyle w:val="Heading1"/>
      </w:pPr>
      <w:r w:rsidRPr="009A010C">
        <w:rPr>
          <w:lang w:val="en-CA"/>
        </w:rPr>
        <w:t xml:space="preserve">With regard to the air-conditioning manufacturing sector, conversion of the enterprise </w:t>
      </w:r>
      <w:proofErr w:type="spellStart"/>
      <w:r w:rsidRPr="009A010C">
        <w:rPr>
          <w:lang w:val="en-CA"/>
        </w:rPr>
        <w:t>Frigo</w:t>
      </w:r>
      <w:proofErr w:type="spellEnd"/>
      <w:r w:rsidRPr="009A010C">
        <w:rPr>
          <w:lang w:val="en-CA"/>
        </w:rPr>
        <w:t> </w:t>
      </w:r>
      <w:proofErr w:type="spellStart"/>
      <w:r w:rsidRPr="009A010C">
        <w:rPr>
          <w:lang w:val="en-CA"/>
        </w:rPr>
        <w:t>Liban</w:t>
      </w:r>
      <w:proofErr w:type="spellEnd"/>
      <w:r w:rsidRPr="009A010C">
        <w:rPr>
          <w:lang w:val="en-CA"/>
        </w:rPr>
        <w:t xml:space="preserve"> is progressing well, and will be completed at the end of 2018. The agreements with the other enterprises (CGI</w:t>
      </w:r>
      <w:r w:rsidRPr="009A010C">
        <w:t> </w:t>
      </w:r>
      <w:proofErr w:type="spellStart"/>
      <w:r w:rsidRPr="009A010C">
        <w:t>Halawany</w:t>
      </w:r>
      <w:proofErr w:type="spellEnd"/>
      <w:r w:rsidRPr="009A010C">
        <w:t xml:space="preserve">, Industrial and Commercial Refrigerators and </w:t>
      </w:r>
      <w:r w:rsidRPr="009A010C">
        <w:rPr>
          <w:lang w:val="en-CA"/>
        </w:rPr>
        <w:t>UNIC</w:t>
      </w:r>
      <w:r w:rsidRPr="009A010C">
        <w:t>) will be signed only in 2019. It is noted that the other small commercial air</w:t>
      </w:r>
      <w:r w:rsidRPr="009A010C">
        <w:noBreakHyphen/>
        <w:t xml:space="preserve">conditioning enterprise (CGI </w:t>
      </w:r>
      <w:proofErr w:type="spellStart"/>
      <w:r w:rsidRPr="009A010C">
        <w:t>Halawany</w:t>
      </w:r>
      <w:proofErr w:type="spellEnd"/>
      <w:r w:rsidRPr="009A010C">
        <w:t>) might also temporarily use HFC</w:t>
      </w:r>
      <w:r w:rsidR="00572988">
        <w:noBreakHyphen/>
      </w:r>
      <w:r w:rsidRPr="009A010C">
        <w:t>365mfc as a blowing agent for the foam component owing to the lack of availability of HFOs at this time.</w:t>
      </w:r>
    </w:p>
    <w:p w:rsidR="00E257C3" w:rsidRPr="009A010C" w:rsidRDefault="00E257C3" w:rsidP="00E257C3">
      <w:pPr>
        <w:pStyle w:val="Heading1"/>
        <w:keepNext/>
        <w:numPr>
          <w:ilvl w:val="0"/>
          <w:numId w:val="0"/>
        </w:numPr>
        <w:rPr>
          <w:b/>
          <w:lang w:val="en-CA"/>
        </w:rPr>
      </w:pPr>
      <w:r w:rsidRPr="009A010C">
        <w:rPr>
          <w:b/>
          <w:lang w:val="en-CA"/>
        </w:rPr>
        <w:t>Comments</w:t>
      </w:r>
    </w:p>
    <w:p w:rsidR="00E257C3" w:rsidRPr="009A010C" w:rsidRDefault="00E257C3" w:rsidP="00E257C3">
      <w:pPr>
        <w:pStyle w:val="Heading1"/>
        <w:rPr>
          <w:lang w:val="en-CA"/>
        </w:rPr>
      </w:pPr>
      <w:r w:rsidRPr="009A010C">
        <w:rPr>
          <w:lang w:val="en-CA"/>
        </w:rPr>
        <w:t>The Secretariat noted the efforts taken by UNDP to assist especially Iceberg SARL to facilitate the availability of HFO systems so that the enterprise can finally convert to this technology when available. It also noted the status of the conversion of the remaining air-conditioning enterprises in relation to the concerns expressed by the Secretariat at the 81</w:t>
      </w:r>
      <w:r w:rsidRPr="009A010C">
        <w:rPr>
          <w:vertAlign w:val="superscript"/>
          <w:lang w:val="en-CA"/>
        </w:rPr>
        <w:t>st</w:t>
      </w:r>
      <w:r w:rsidRPr="009A010C">
        <w:rPr>
          <w:lang w:val="en-CA"/>
        </w:rPr>
        <w:t xml:space="preserve"> meeting on the funding allocations for these enterprises, and encouraged UNDP to ensure that when these are completed any balances would be returned in line with decision 81/50. </w:t>
      </w:r>
    </w:p>
    <w:p w:rsidR="00E257C3" w:rsidRPr="009A010C" w:rsidRDefault="00E257C3" w:rsidP="00E257C3">
      <w:pPr>
        <w:pStyle w:val="Heading1"/>
        <w:keepNext/>
        <w:numPr>
          <w:ilvl w:val="0"/>
          <w:numId w:val="0"/>
        </w:numPr>
        <w:tabs>
          <w:tab w:val="left" w:pos="720"/>
        </w:tabs>
        <w:rPr>
          <w:b/>
          <w:lang w:val="en-CA"/>
        </w:rPr>
      </w:pPr>
      <w:r w:rsidRPr="009A010C">
        <w:rPr>
          <w:b/>
          <w:lang w:val="en-CA"/>
        </w:rPr>
        <w:t>Recommendation</w:t>
      </w:r>
    </w:p>
    <w:p w:rsidR="00E257C3" w:rsidRPr="009A010C" w:rsidRDefault="00E257C3" w:rsidP="00E257C3">
      <w:pPr>
        <w:pStyle w:val="Heading1"/>
        <w:keepNext/>
        <w:rPr>
          <w:lang w:val="en-CA"/>
        </w:rPr>
      </w:pPr>
      <w:r w:rsidRPr="009A010C">
        <w:rPr>
          <w:lang w:val="en-CA"/>
        </w:rPr>
        <w:t>The Executive Committee may wish:</w:t>
      </w:r>
    </w:p>
    <w:p w:rsidR="00E257C3" w:rsidRPr="009A010C" w:rsidRDefault="00E257C3" w:rsidP="00E257C3">
      <w:pPr>
        <w:pStyle w:val="Heading2"/>
        <w:keepNext/>
        <w:widowControl/>
        <w:rPr>
          <w:lang w:val="en-CA"/>
        </w:rPr>
      </w:pPr>
      <w:r w:rsidRPr="009A010C">
        <w:rPr>
          <w:lang w:val="en-CA"/>
        </w:rPr>
        <w:t>To note with appreciation, the report provided by UNDP, and the efforts made to facilitate the supply of technology with low global-warming potential (GWP) to the enterprise Iceberg SARL in Lebanon; and</w:t>
      </w:r>
    </w:p>
    <w:p w:rsidR="00E257C3" w:rsidRPr="009A010C" w:rsidRDefault="00E257C3" w:rsidP="00E257C3">
      <w:pPr>
        <w:pStyle w:val="Heading2"/>
        <w:keepNext/>
        <w:widowControl/>
        <w:rPr>
          <w:lang w:val="en-CA"/>
        </w:rPr>
      </w:pPr>
      <w:r w:rsidRPr="009A010C">
        <w:rPr>
          <w:lang w:val="en-CA"/>
        </w:rPr>
        <w:t>To request UNDP:</w:t>
      </w:r>
    </w:p>
    <w:p w:rsidR="00E257C3" w:rsidRPr="009A010C" w:rsidRDefault="00E257C3" w:rsidP="00E257C3">
      <w:pPr>
        <w:pStyle w:val="Heading3"/>
        <w:keepNext/>
        <w:widowControl/>
        <w:rPr>
          <w:lang w:val="en-CA"/>
        </w:rPr>
      </w:pPr>
      <w:r w:rsidRPr="009A010C">
        <w:rPr>
          <w:lang w:val="en-CA"/>
        </w:rPr>
        <w:t>To continue assisting the Government of Lebanon in securing the supply of low</w:t>
      </w:r>
      <w:r w:rsidRPr="009A010C">
        <w:rPr>
          <w:lang w:val="en-CA"/>
        </w:rPr>
        <w:noBreakHyphen/>
        <w:t xml:space="preserve">GWP alternative technology and to provide a report on the status of the conversion of Iceberg SARL and CGI </w:t>
      </w:r>
      <w:proofErr w:type="spellStart"/>
      <w:r w:rsidRPr="009A010C">
        <w:rPr>
          <w:lang w:val="en-CA"/>
        </w:rPr>
        <w:t>Halawany</w:t>
      </w:r>
      <w:proofErr w:type="spellEnd"/>
      <w:r w:rsidRPr="009A010C">
        <w:rPr>
          <w:lang w:val="en-CA"/>
        </w:rPr>
        <w:t xml:space="preserve">, to each meeting, until the technology originally selected or another technology with a low-GWP has been fully introduced; and </w:t>
      </w:r>
    </w:p>
    <w:p w:rsidR="00E257C3" w:rsidRPr="009A010C" w:rsidRDefault="00E257C3" w:rsidP="00E257C3">
      <w:pPr>
        <w:pStyle w:val="Heading3"/>
        <w:keepNext/>
        <w:widowControl/>
      </w:pPr>
      <w:r w:rsidRPr="009A010C">
        <w:rPr>
          <w:lang w:val="en-CA"/>
        </w:rPr>
        <w:t>To report to the 83</w:t>
      </w:r>
      <w:r w:rsidRPr="009A010C">
        <w:rPr>
          <w:vertAlign w:val="superscript"/>
          <w:lang w:val="en-CA"/>
        </w:rPr>
        <w:t>rd</w:t>
      </w:r>
      <w:r w:rsidRPr="009A010C">
        <w:rPr>
          <w:lang w:val="en-CA"/>
        </w:rPr>
        <w:t xml:space="preserve"> meeting on the progress and status of implementation of the conversion at the remaining enterprises, including funding distribution – </w:t>
      </w:r>
      <w:proofErr w:type="spellStart"/>
      <w:r w:rsidRPr="009A010C">
        <w:rPr>
          <w:lang w:val="en-CA"/>
        </w:rPr>
        <w:t>Frigo</w:t>
      </w:r>
      <w:proofErr w:type="spellEnd"/>
      <w:r w:rsidRPr="009A010C">
        <w:rPr>
          <w:lang w:val="en-CA"/>
        </w:rPr>
        <w:t xml:space="preserve"> </w:t>
      </w:r>
      <w:proofErr w:type="spellStart"/>
      <w:r w:rsidRPr="009A010C">
        <w:rPr>
          <w:lang w:val="en-CA"/>
        </w:rPr>
        <w:t>Liban</w:t>
      </w:r>
      <w:proofErr w:type="spellEnd"/>
      <w:r w:rsidRPr="009A010C">
        <w:rPr>
          <w:lang w:val="en-CA"/>
        </w:rPr>
        <w:t xml:space="preserve">, UNIC, CGI </w:t>
      </w:r>
      <w:proofErr w:type="spellStart"/>
      <w:r w:rsidRPr="009A010C">
        <w:rPr>
          <w:lang w:val="en-CA"/>
        </w:rPr>
        <w:t>Halawany</w:t>
      </w:r>
      <w:proofErr w:type="spellEnd"/>
      <w:r w:rsidRPr="009A010C">
        <w:rPr>
          <w:lang w:val="en-CA"/>
        </w:rPr>
        <w:t xml:space="preserve"> and Industrial and Commercial Refrigerators.</w:t>
      </w:r>
    </w:p>
    <w:p w:rsidR="00E257C3" w:rsidRPr="009A010C" w:rsidRDefault="00E257C3" w:rsidP="00474C83">
      <w:pPr>
        <w:rPr>
          <w:lang w:val="en-CA"/>
        </w:rPr>
      </w:pPr>
    </w:p>
    <w:p w:rsidR="00E257C3" w:rsidRPr="009A010C" w:rsidRDefault="00E257C3" w:rsidP="00F36B67">
      <w:pPr>
        <w:keepNext/>
        <w:rPr>
          <w:u w:val="single"/>
        </w:rPr>
      </w:pPr>
      <w:r w:rsidRPr="009A010C">
        <w:rPr>
          <w:u w:val="single"/>
        </w:rPr>
        <w:lastRenderedPageBreak/>
        <w:t>Stage II of the HPMP in Mexico (temporary use of a high-GWP technology by an aerosol enterprise that had been converted to a low-GWP technology) (UNIDO/UNEP/Germany/Italy/Spain)</w:t>
      </w:r>
    </w:p>
    <w:p w:rsidR="00E257C3" w:rsidRPr="009A010C" w:rsidRDefault="00E257C3" w:rsidP="00F36B67">
      <w:pPr>
        <w:keepNext/>
      </w:pPr>
    </w:p>
    <w:p w:rsidR="00E257C3" w:rsidRPr="009A010C" w:rsidRDefault="00E257C3" w:rsidP="00F36B67">
      <w:pPr>
        <w:keepNext/>
        <w:rPr>
          <w:b/>
        </w:rPr>
      </w:pPr>
      <w:r w:rsidRPr="009A010C">
        <w:rPr>
          <w:b/>
        </w:rPr>
        <w:t>Background</w:t>
      </w:r>
    </w:p>
    <w:p w:rsidR="00E257C3" w:rsidRPr="009A010C" w:rsidRDefault="00E257C3" w:rsidP="00F36B67">
      <w:pPr>
        <w:keepNext/>
      </w:pPr>
    </w:p>
    <w:p w:rsidR="00E257C3" w:rsidRPr="009A010C" w:rsidRDefault="00E257C3" w:rsidP="00F36B67">
      <w:pPr>
        <w:pStyle w:val="Heading1"/>
        <w:keepNext/>
      </w:pPr>
      <w:r w:rsidRPr="009A010C">
        <w:t>At the 81</w:t>
      </w:r>
      <w:r w:rsidRPr="009A010C">
        <w:rPr>
          <w:vertAlign w:val="superscript"/>
        </w:rPr>
        <w:t>st</w:t>
      </w:r>
      <w:r w:rsidRPr="009A010C">
        <w:t xml:space="preserve"> meeting, the Government of Mexico submitted a request for approval of the third tranche of stage II of its HPMP,</w:t>
      </w:r>
      <w:r w:rsidRPr="009A010C">
        <w:rPr>
          <w:rStyle w:val="FootnoteReference"/>
        </w:rPr>
        <w:footnoteReference w:id="34"/>
      </w:r>
      <w:r w:rsidRPr="009A010C">
        <w:t xml:space="preserve"> indicating that in 2017, one enterprise in the aerosol sector, </w:t>
      </w:r>
      <w:proofErr w:type="spellStart"/>
      <w:r w:rsidRPr="009A010C">
        <w:t>Tecnosol</w:t>
      </w:r>
      <w:proofErr w:type="spellEnd"/>
      <w:r w:rsidRPr="009A010C">
        <w:t>, consumed on an interim basis two metric tonnes (</w:t>
      </w:r>
      <w:proofErr w:type="spellStart"/>
      <w:r w:rsidRPr="009A010C">
        <w:t>mt</w:t>
      </w:r>
      <w:proofErr w:type="spellEnd"/>
      <w:r w:rsidRPr="009A010C">
        <w:t xml:space="preserve">) (of its total consumption of 117.3 </w:t>
      </w:r>
      <w:proofErr w:type="spellStart"/>
      <w:r w:rsidRPr="009A010C">
        <w:t>mt</w:t>
      </w:r>
      <w:proofErr w:type="spellEnd"/>
      <w:r w:rsidRPr="009A010C">
        <w:t>) of a blend of HFC</w:t>
      </w:r>
      <w:r w:rsidRPr="009A010C">
        <w:noBreakHyphen/>
        <w:t>365mfc (93 per cent) and HFC</w:t>
      </w:r>
      <w:r w:rsidRPr="009A010C">
        <w:noBreakHyphen/>
        <w:t>227ea (7 per cent) for very specific automotive applications where only non</w:t>
      </w:r>
      <w:r w:rsidRPr="009A010C">
        <w:noBreakHyphen/>
        <w:t xml:space="preserve">flammable substances can be used, and where </w:t>
      </w:r>
      <w:proofErr w:type="spellStart"/>
      <w:r w:rsidRPr="009A010C">
        <w:t>perchloroethylene</w:t>
      </w:r>
      <w:proofErr w:type="spellEnd"/>
      <w:r w:rsidRPr="009A010C">
        <w:t xml:space="preserve"> cannot be used as it is corrosive. </w:t>
      </w:r>
      <w:proofErr w:type="spellStart"/>
      <w:r w:rsidRPr="009A010C">
        <w:t>Tecnosol</w:t>
      </w:r>
      <w:proofErr w:type="spellEnd"/>
      <w:r w:rsidRPr="009A010C">
        <w:t xml:space="preserve"> was also developing other alternatives for this application with the assistance of UNIDO.</w:t>
      </w:r>
    </w:p>
    <w:p w:rsidR="00E257C3" w:rsidRPr="009A010C" w:rsidRDefault="00E257C3" w:rsidP="00E257C3">
      <w:pPr>
        <w:pStyle w:val="Heading1"/>
      </w:pPr>
      <w:r w:rsidRPr="009A010C">
        <w:t xml:space="preserve">Accordingly, in approving the third tranche, the Executive Committee requested UNIDO to report on the status of use by </w:t>
      </w:r>
      <w:proofErr w:type="spellStart"/>
      <w:r w:rsidRPr="009A010C">
        <w:t>Tecnosol</w:t>
      </w:r>
      <w:proofErr w:type="spellEnd"/>
      <w:r w:rsidRPr="009A010C">
        <w:t xml:space="preserve"> of the interim HFC</w:t>
      </w:r>
      <w:r w:rsidRPr="009A010C">
        <w:noBreakHyphen/>
        <w:t>365mfc and HFC</w:t>
      </w:r>
      <w:r w:rsidRPr="009A010C">
        <w:noBreakHyphen/>
        <w:t>227ea blend technology in the cleaning application at each meeting, until the technology originally selected or another low</w:t>
      </w:r>
      <w:r w:rsidRPr="009A010C">
        <w:noBreakHyphen/>
        <w:t>GWP technology has been fully introduced (decision 81/34(a) on blanket approval of projects).</w:t>
      </w:r>
    </w:p>
    <w:p w:rsidR="00E257C3" w:rsidRPr="009A010C" w:rsidRDefault="00E257C3" w:rsidP="00E257C3">
      <w:pPr>
        <w:pStyle w:val="Heading1"/>
        <w:rPr>
          <w:lang w:val="en-CA"/>
        </w:rPr>
      </w:pPr>
      <w:r w:rsidRPr="009A010C">
        <w:rPr>
          <w:lang w:val="en-CA"/>
        </w:rPr>
        <w:t>In line with decision 81/34(c), UNIDO has reported that the interim technology HFC</w:t>
      </w:r>
      <w:r w:rsidRPr="009A010C">
        <w:rPr>
          <w:lang w:val="en-CA"/>
        </w:rPr>
        <w:noBreakHyphen/>
        <w:t>365mfc/HFC</w:t>
      </w:r>
      <w:r w:rsidRPr="009A010C">
        <w:rPr>
          <w:lang w:val="en-CA"/>
        </w:rPr>
        <w:noBreakHyphen/>
        <w:t xml:space="preserve">227ea is no longer being used at </w:t>
      </w:r>
      <w:proofErr w:type="spellStart"/>
      <w:r w:rsidRPr="009A010C">
        <w:rPr>
          <w:lang w:val="en-CA"/>
        </w:rPr>
        <w:t>Tecnosol</w:t>
      </w:r>
      <w:proofErr w:type="spellEnd"/>
      <w:r w:rsidRPr="009A010C">
        <w:rPr>
          <w:lang w:val="en-CA"/>
        </w:rPr>
        <w:t>. The enterprise has started to use the originally approved technology (</w:t>
      </w:r>
      <w:proofErr w:type="spellStart"/>
      <w:r w:rsidRPr="009A010C">
        <w:rPr>
          <w:lang w:val="en-CA"/>
        </w:rPr>
        <w:t>perchloroetylene</w:t>
      </w:r>
      <w:proofErr w:type="spellEnd"/>
      <w:r w:rsidRPr="009A010C">
        <w:rPr>
          <w:lang w:val="en-CA"/>
        </w:rPr>
        <w:t>/HFC</w:t>
      </w:r>
      <w:r w:rsidRPr="009A010C">
        <w:rPr>
          <w:lang w:val="en-CA"/>
        </w:rPr>
        <w:noBreakHyphen/>
        <w:t>134a) for all its clients, except for one where the issue of corrosiveness prevails. A low</w:t>
      </w:r>
      <w:r w:rsidRPr="009A010C">
        <w:rPr>
          <w:lang w:val="en-CA"/>
        </w:rPr>
        <w:noBreakHyphen/>
        <w:t>GWP alternative technology considered was based on HFOs, but their cost is US $110/kg for HFO</w:t>
      </w:r>
      <w:r w:rsidRPr="009A010C">
        <w:rPr>
          <w:lang w:val="en-CA"/>
        </w:rPr>
        <w:noBreakHyphen/>
        <w:t>1234yf used as propellant, and US $30/kg for HFO</w:t>
      </w:r>
      <w:r w:rsidRPr="009A010C">
        <w:rPr>
          <w:lang w:val="en-CA"/>
        </w:rPr>
        <w:noBreakHyphen/>
        <w:t>1234ze used as solvent. In view of the lack of an affordable low</w:t>
      </w:r>
      <w:r w:rsidRPr="009A010C">
        <w:rPr>
          <w:lang w:val="en-CA"/>
        </w:rPr>
        <w:noBreakHyphen/>
        <w:t>GWP alternative, the enterprise is no longer supplying that client. The project has been completed.</w:t>
      </w:r>
    </w:p>
    <w:p w:rsidR="00E257C3" w:rsidRPr="009A010C" w:rsidRDefault="00E257C3" w:rsidP="00E257C3">
      <w:pPr>
        <w:pStyle w:val="Heading1"/>
        <w:rPr>
          <w:lang w:val="en-CA"/>
        </w:rPr>
      </w:pPr>
      <w:r w:rsidRPr="009A010C">
        <w:rPr>
          <w:lang w:val="en-CA"/>
        </w:rPr>
        <w:t>UNIDO informed that if the price of HFC</w:t>
      </w:r>
      <w:r w:rsidRPr="009A010C">
        <w:rPr>
          <w:lang w:val="en-CA"/>
        </w:rPr>
        <w:noBreakHyphen/>
        <w:t>365mfc/HFC</w:t>
      </w:r>
      <w:r w:rsidRPr="009A010C">
        <w:rPr>
          <w:lang w:val="en-CA"/>
        </w:rPr>
        <w:noBreakHyphen/>
        <w:t xml:space="preserve">227ea is reduced in the future while the price of HFOs remains high, other enterprises might request temporary use of the blend for specific uses. </w:t>
      </w:r>
    </w:p>
    <w:p w:rsidR="00E257C3" w:rsidRPr="009A010C" w:rsidRDefault="00E257C3" w:rsidP="00E257C3">
      <w:pPr>
        <w:pStyle w:val="Heading1"/>
        <w:numPr>
          <w:ilvl w:val="0"/>
          <w:numId w:val="0"/>
        </w:numPr>
        <w:rPr>
          <w:b/>
          <w:lang w:val="en-CA"/>
        </w:rPr>
      </w:pPr>
      <w:r w:rsidRPr="009A010C">
        <w:rPr>
          <w:b/>
          <w:lang w:val="en-CA"/>
        </w:rPr>
        <w:t>Comments</w:t>
      </w:r>
    </w:p>
    <w:p w:rsidR="00E257C3" w:rsidRPr="009A010C" w:rsidRDefault="00E257C3" w:rsidP="00E257C3">
      <w:pPr>
        <w:pStyle w:val="Heading1"/>
      </w:pPr>
      <w:r w:rsidRPr="009A010C">
        <w:t>The Secretariat noted with appreciation the efforts of the Government of Mexico and UNIDO to introduce the approved technology and to discontinue the temporary use of a high</w:t>
      </w:r>
      <w:r w:rsidRPr="009A010C">
        <w:noBreakHyphen/>
        <w:t>GWP alternative in the beneficiary enterprise. On this basis, no further reporting on this matter is required.</w:t>
      </w:r>
    </w:p>
    <w:p w:rsidR="00E257C3" w:rsidRPr="009A010C" w:rsidRDefault="00E257C3" w:rsidP="00E257C3">
      <w:pPr>
        <w:pStyle w:val="Heading1"/>
      </w:pPr>
      <w:r w:rsidRPr="009A010C">
        <w:t>The Secretariat also noted the information provided by UNIDO on the potential risk of other enterprises facing difficulties in introducing HFO</w:t>
      </w:r>
      <w:r w:rsidRPr="009A010C">
        <w:noBreakHyphen/>
        <w:t>based technology, given current prices.</w:t>
      </w:r>
    </w:p>
    <w:p w:rsidR="00E257C3" w:rsidRPr="009A010C" w:rsidRDefault="00E257C3" w:rsidP="00E257C3">
      <w:pPr>
        <w:rPr>
          <w:b/>
        </w:rPr>
      </w:pPr>
      <w:r w:rsidRPr="009A010C">
        <w:rPr>
          <w:b/>
        </w:rPr>
        <w:t>Recommendation</w:t>
      </w:r>
    </w:p>
    <w:p w:rsidR="00E257C3" w:rsidRPr="009A010C" w:rsidRDefault="00E257C3" w:rsidP="00E257C3"/>
    <w:p w:rsidR="00E257C3" w:rsidRPr="009A010C" w:rsidRDefault="00E257C3" w:rsidP="00E257C3">
      <w:pPr>
        <w:pStyle w:val="Heading1"/>
        <w:rPr>
          <w:lang w:val="en-CA"/>
        </w:rPr>
      </w:pPr>
      <w:r w:rsidRPr="009A010C">
        <w:rPr>
          <w:lang w:val="en-CA"/>
        </w:rPr>
        <w:t>The Executive Committee may wish to note, with appreciation, the report provided by UNIDO and the efforts made by the Government of Mexico and UNIDO to discontinue the temporary use of a high</w:t>
      </w:r>
      <w:r w:rsidRPr="009A010C">
        <w:rPr>
          <w:lang w:val="en-CA"/>
        </w:rPr>
        <w:noBreakHyphen/>
        <w:t>global warming potential (GWP) technology and to introduce the approved low</w:t>
      </w:r>
      <w:r w:rsidRPr="009A010C">
        <w:rPr>
          <w:lang w:val="en-CA"/>
        </w:rPr>
        <w:noBreakHyphen/>
        <w:t>GWP technology in all the applications at the beneficiary enterprise.</w:t>
      </w:r>
    </w:p>
    <w:p w:rsidR="007D177C" w:rsidRPr="009A010C" w:rsidRDefault="007D177C" w:rsidP="007D177C">
      <w:pPr>
        <w:pStyle w:val="Style2"/>
        <w:keepNext/>
        <w:jc w:val="left"/>
        <w:rPr>
          <w:b w:val="0"/>
        </w:rPr>
      </w:pPr>
      <w:r w:rsidRPr="009A010C">
        <w:rPr>
          <w:b w:val="0"/>
          <w:u w:val="single"/>
        </w:rPr>
        <w:t>Trinidad and Tobago: HCFC phase-out management plan (stage I – fourth tranche)</w:t>
      </w:r>
      <w:r w:rsidRPr="009A010C">
        <w:rPr>
          <w:b w:val="0"/>
        </w:rPr>
        <w:t xml:space="preserve"> (UNDP)</w:t>
      </w:r>
    </w:p>
    <w:p w:rsidR="007D177C" w:rsidRPr="009A010C" w:rsidRDefault="007D177C" w:rsidP="007D177C">
      <w:pPr>
        <w:pStyle w:val="Heading1"/>
        <w:numPr>
          <w:ilvl w:val="0"/>
          <w:numId w:val="0"/>
        </w:numPr>
        <w:rPr>
          <w:b/>
        </w:rPr>
      </w:pPr>
      <w:r w:rsidRPr="009A010C">
        <w:rPr>
          <w:b/>
        </w:rPr>
        <w:t>Background</w:t>
      </w:r>
    </w:p>
    <w:p w:rsidR="007D177C" w:rsidRPr="009A010C" w:rsidRDefault="007D177C" w:rsidP="007D177C">
      <w:pPr>
        <w:pStyle w:val="Heading1"/>
      </w:pPr>
      <w:r w:rsidRPr="009A010C">
        <w:t>At the 81</w:t>
      </w:r>
      <w:r w:rsidRPr="009A010C">
        <w:rPr>
          <w:vertAlign w:val="superscript"/>
        </w:rPr>
        <w:t>st</w:t>
      </w:r>
      <w:r w:rsidRPr="009A010C">
        <w:t xml:space="preserve"> meeting, the Executive Committee considered the request for the fourth tranche of stage I of the HPMP for Trinidad and Tobago and noted that one of the enterprises in the foam sector was using a </w:t>
      </w:r>
      <w:r w:rsidRPr="009A010C">
        <w:lastRenderedPageBreak/>
        <w:t>different alternative foam blowing agent from the one that had been approved by the Executive Committee. In light of this, the Executive Committee decided to request UNDP to provide, to the 82</w:t>
      </w:r>
      <w:r w:rsidRPr="009A010C">
        <w:rPr>
          <w:vertAlign w:val="superscript"/>
        </w:rPr>
        <w:t>nd </w:t>
      </w:r>
      <w:r w:rsidRPr="009A010C">
        <w:t xml:space="preserve">meeting, a status report on the use of methyl </w:t>
      </w:r>
      <w:proofErr w:type="spellStart"/>
      <w:r w:rsidRPr="009A010C">
        <w:t>formate</w:t>
      </w:r>
      <w:proofErr w:type="spellEnd"/>
      <w:r w:rsidRPr="009A010C">
        <w:t xml:space="preserve"> and the alternative blowing agent being used, under stage I of the HPMP, in the enterprise being assisted by the Multilateral Fund (decision 81/52(b)).</w:t>
      </w:r>
    </w:p>
    <w:p w:rsidR="007D177C" w:rsidRPr="009A010C" w:rsidRDefault="007D177C" w:rsidP="007D177C">
      <w:pPr>
        <w:pStyle w:val="Heading1"/>
      </w:pPr>
      <w:r w:rsidRPr="009A010C">
        <w:t xml:space="preserve">UNDP informed that due to inability in scheduling the expert mission, it was not possible to further </w:t>
      </w:r>
      <w:proofErr w:type="spellStart"/>
      <w:r w:rsidRPr="009A010C">
        <w:t>analyze</w:t>
      </w:r>
      <w:proofErr w:type="spellEnd"/>
      <w:r w:rsidRPr="009A010C">
        <w:t xml:space="preserve"> the situation in the enterprise; therefore, they are unable to provide the update on the status of use of the substance at the enterprise.</w:t>
      </w:r>
    </w:p>
    <w:p w:rsidR="007D177C" w:rsidRPr="009A010C" w:rsidRDefault="007D177C" w:rsidP="007D177C">
      <w:pPr>
        <w:spacing w:after="240"/>
        <w:rPr>
          <w:rFonts w:eastAsiaTheme="minorHAnsi"/>
          <w:b/>
          <w:bCs/>
        </w:rPr>
      </w:pPr>
      <w:r w:rsidRPr="009A010C">
        <w:rPr>
          <w:b/>
          <w:bCs/>
        </w:rPr>
        <w:t>Comments</w:t>
      </w:r>
    </w:p>
    <w:p w:rsidR="007D177C" w:rsidRPr="009A010C" w:rsidRDefault="007D177C" w:rsidP="007D177C">
      <w:pPr>
        <w:pStyle w:val="Heading1"/>
      </w:pPr>
      <w:r w:rsidRPr="009A010C">
        <w:t xml:space="preserve">The Secretariat noted with concern that update on the use of methyl </w:t>
      </w:r>
      <w:proofErr w:type="spellStart"/>
      <w:r w:rsidRPr="009A010C">
        <w:t>formate</w:t>
      </w:r>
      <w:proofErr w:type="spellEnd"/>
      <w:r w:rsidRPr="009A010C">
        <w:t xml:space="preserve"> and the alternative blowing agent at the enterprise is not available as this information would be useful for the Executive Committee to be informed of the situation in Trinidad and Tobago in line with decision 74/20(a)(ii).</w:t>
      </w:r>
    </w:p>
    <w:p w:rsidR="007D177C" w:rsidRPr="009A010C" w:rsidRDefault="007D177C" w:rsidP="007D177C">
      <w:pPr>
        <w:keepNext/>
        <w:spacing w:after="240"/>
        <w:rPr>
          <w:rFonts w:eastAsiaTheme="minorHAnsi"/>
          <w:b/>
          <w:bCs/>
          <w:color w:val="000000"/>
        </w:rPr>
      </w:pPr>
      <w:r w:rsidRPr="009A010C">
        <w:rPr>
          <w:b/>
          <w:bCs/>
          <w:color w:val="000000"/>
        </w:rPr>
        <w:t>Recommendation</w:t>
      </w:r>
    </w:p>
    <w:p w:rsidR="007D177C" w:rsidRPr="009A010C" w:rsidRDefault="007D177C" w:rsidP="00B107FB">
      <w:pPr>
        <w:pStyle w:val="Heading1"/>
        <w:rPr>
          <w:lang w:val="en-CA"/>
        </w:rPr>
      </w:pPr>
      <w:r w:rsidRPr="009A010C">
        <w:t>The Executive Committee may wish to reiterate decision 81/52(b), and to urge UNDP to provide, to the 83</w:t>
      </w:r>
      <w:r w:rsidRPr="009A010C">
        <w:rPr>
          <w:vertAlign w:val="superscript"/>
        </w:rPr>
        <w:t>rd</w:t>
      </w:r>
      <w:r w:rsidRPr="009A010C">
        <w:t xml:space="preserve"> meeting, a status report on the use of methyl </w:t>
      </w:r>
      <w:proofErr w:type="spellStart"/>
      <w:r w:rsidRPr="009A010C">
        <w:t>formate</w:t>
      </w:r>
      <w:proofErr w:type="spellEnd"/>
      <w:r w:rsidRPr="009A010C">
        <w:t xml:space="preserve"> and the alternative blowing agent being used, under stage I of the </w:t>
      </w:r>
      <w:r w:rsidRPr="00F36B67">
        <w:t>HPMP</w:t>
      </w:r>
      <w:r w:rsidR="00BD1025" w:rsidRPr="00F36B67">
        <w:t xml:space="preserve"> for Trinidad and Tobago</w:t>
      </w:r>
      <w:r w:rsidRPr="009A010C">
        <w:t>, in the enterprise being assisted by the Multilateral Fund.</w:t>
      </w:r>
    </w:p>
    <w:p w:rsidR="00623992" w:rsidRPr="009A010C" w:rsidRDefault="001D7B64" w:rsidP="009B5A8A">
      <w:pPr>
        <w:rPr>
          <w:b/>
        </w:rPr>
      </w:pPr>
      <w:r w:rsidRPr="009A010C">
        <w:rPr>
          <w:b/>
        </w:rPr>
        <w:t>PART VII</w:t>
      </w:r>
      <w:r w:rsidR="004D1CB9" w:rsidRPr="009A010C">
        <w:rPr>
          <w:b/>
        </w:rPr>
        <w:t>I</w:t>
      </w:r>
      <w:r w:rsidR="00623992" w:rsidRPr="009A010C">
        <w:rPr>
          <w:b/>
        </w:rPr>
        <w:t>:</w:t>
      </w:r>
      <w:r w:rsidR="00623992" w:rsidRPr="009A010C">
        <w:rPr>
          <w:b/>
        </w:rPr>
        <w:tab/>
        <w:t xml:space="preserve">REPORTS RELATED TO HCFC PHASE-OUT MANAGEMENT PLANS </w:t>
      </w:r>
    </w:p>
    <w:p w:rsidR="00623992" w:rsidRPr="009A010C" w:rsidRDefault="00623992" w:rsidP="009B5A8A"/>
    <w:p w:rsidR="00623992" w:rsidRPr="009A010C" w:rsidRDefault="00D91D16" w:rsidP="00623992">
      <w:pPr>
        <w:pStyle w:val="Heading1"/>
      </w:pPr>
      <w:r w:rsidRPr="009A010C">
        <w:t xml:space="preserve">This part consists of progress reports of stages I or II of HPMPs for </w:t>
      </w:r>
      <w:r w:rsidR="00C347F9" w:rsidRPr="009A010C">
        <w:t>Bangladesh</w:t>
      </w:r>
      <w:r w:rsidRPr="009A010C">
        <w:t>, Honduras</w:t>
      </w:r>
      <w:r w:rsidR="00C347F9" w:rsidRPr="009A010C">
        <w:t xml:space="preserve">, </w:t>
      </w:r>
      <w:r w:rsidR="00E04A95" w:rsidRPr="009A010C">
        <w:t xml:space="preserve">Indonesia, </w:t>
      </w:r>
      <w:r w:rsidR="00C347F9" w:rsidRPr="009A010C">
        <w:t>Jordan, Malaysia,</w:t>
      </w:r>
      <w:r w:rsidR="007A4B7C">
        <w:t xml:space="preserve"> </w:t>
      </w:r>
      <w:r w:rsidR="007A4B7C" w:rsidRPr="007A4B7C">
        <w:rPr>
          <w:b/>
        </w:rPr>
        <w:t>Maldives,</w:t>
      </w:r>
      <w:r w:rsidR="00C347F9" w:rsidRPr="009A010C">
        <w:t xml:space="preserve"> Mexico</w:t>
      </w:r>
      <w:r w:rsidR="00E04A95" w:rsidRPr="009A010C">
        <w:t>, Qatar</w:t>
      </w:r>
      <w:r w:rsidR="00B107FB" w:rsidRPr="009A010C">
        <w:t xml:space="preserve">, </w:t>
      </w:r>
      <w:r w:rsidR="00E04A95" w:rsidRPr="009A010C">
        <w:t>Venezuela (Bolivarian Republic of)</w:t>
      </w:r>
      <w:r w:rsidR="00B107FB" w:rsidRPr="009A010C">
        <w:t xml:space="preserve"> and Viet Nam</w:t>
      </w:r>
      <w:r w:rsidR="007E783A" w:rsidRPr="009A010C">
        <w:t>.</w:t>
      </w:r>
      <w:r w:rsidR="00C347F9" w:rsidRPr="009A010C">
        <w:t xml:space="preserve"> </w:t>
      </w:r>
    </w:p>
    <w:p w:rsidR="009121CD" w:rsidRPr="009A010C" w:rsidRDefault="009121CD" w:rsidP="007A4B7C">
      <w:pPr>
        <w:pStyle w:val="Style2"/>
        <w:keepNext/>
        <w:jc w:val="left"/>
        <w:rPr>
          <w:b w:val="0"/>
        </w:rPr>
      </w:pPr>
      <w:r w:rsidRPr="009A010C">
        <w:rPr>
          <w:b w:val="0"/>
          <w:u w:val="single"/>
        </w:rPr>
        <w:t xml:space="preserve">Bahamas: HCFC phase-out management plan (stage I – third tranche) </w:t>
      </w:r>
      <w:r w:rsidRPr="009A010C">
        <w:rPr>
          <w:b w:val="0"/>
        </w:rPr>
        <w:t>(UNEP)</w:t>
      </w:r>
    </w:p>
    <w:p w:rsidR="009121CD" w:rsidRPr="009A010C" w:rsidRDefault="009121CD" w:rsidP="007A4B7C">
      <w:pPr>
        <w:pStyle w:val="Heading1"/>
        <w:keepNext/>
        <w:numPr>
          <w:ilvl w:val="0"/>
          <w:numId w:val="0"/>
        </w:numPr>
        <w:rPr>
          <w:b/>
        </w:rPr>
      </w:pPr>
      <w:r w:rsidRPr="009A010C">
        <w:rPr>
          <w:b/>
        </w:rPr>
        <w:t>Background</w:t>
      </w:r>
    </w:p>
    <w:p w:rsidR="009121CD" w:rsidRPr="009A010C" w:rsidRDefault="009121CD" w:rsidP="007A4B7C">
      <w:pPr>
        <w:pStyle w:val="Heading1"/>
        <w:keepNext/>
      </w:pPr>
      <w:r w:rsidRPr="009A010C">
        <w:t>At the 80</w:t>
      </w:r>
      <w:r w:rsidRPr="009A010C">
        <w:rPr>
          <w:vertAlign w:val="superscript"/>
        </w:rPr>
        <w:t>th</w:t>
      </w:r>
      <w:r w:rsidRPr="009A010C">
        <w:t xml:space="preserve"> meeting, the Executive Committee considered the request for the third tranche of stage I of the HPMP for Bahamas.  It noted that the Secretariat had drawn attention to safety concerns associated with the use of R-22a for the retrofitting of appliances using HCFC-22, and that UNEP would conduct a study to explore the best available options.  In light of this, the Executive Committee requested UNEP to provide an update at the 82</w:t>
      </w:r>
      <w:r w:rsidRPr="009A010C">
        <w:rPr>
          <w:vertAlign w:val="superscript"/>
        </w:rPr>
        <w:t>nd</w:t>
      </w:r>
      <w:r w:rsidRPr="009A010C">
        <w:t xml:space="preserve"> meeting on the findings of the study to explore the best available options for the pilot project to assess, monitor, and retrofit two air-conditioning systems (decision 80/62(b)).</w:t>
      </w:r>
    </w:p>
    <w:p w:rsidR="009121CD" w:rsidRPr="009A010C" w:rsidRDefault="009121CD" w:rsidP="009121CD">
      <w:pPr>
        <w:pStyle w:val="Heading1"/>
      </w:pPr>
      <w:r w:rsidRPr="009A010C">
        <w:t>A report on the study was not provided by UNEP.</w:t>
      </w:r>
    </w:p>
    <w:p w:rsidR="009121CD" w:rsidRPr="009A010C" w:rsidRDefault="009121CD" w:rsidP="009121CD">
      <w:pPr>
        <w:spacing w:after="240"/>
        <w:rPr>
          <w:rFonts w:eastAsiaTheme="minorHAnsi"/>
          <w:b/>
          <w:bCs/>
        </w:rPr>
      </w:pPr>
      <w:r w:rsidRPr="009A010C">
        <w:rPr>
          <w:b/>
          <w:bCs/>
        </w:rPr>
        <w:t>Comments</w:t>
      </w:r>
    </w:p>
    <w:p w:rsidR="009121CD" w:rsidRPr="009A010C" w:rsidRDefault="009121CD" w:rsidP="009121CD">
      <w:pPr>
        <w:pStyle w:val="Heading1"/>
      </w:pPr>
      <w:r w:rsidRPr="009A010C">
        <w:t>The Secretariat noted with concern that the findings of the study was not provided.</w:t>
      </w:r>
    </w:p>
    <w:p w:rsidR="009121CD" w:rsidRPr="009A010C" w:rsidRDefault="009121CD" w:rsidP="009121CD">
      <w:pPr>
        <w:keepNext/>
        <w:spacing w:after="240"/>
        <w:rPr>
          <w:rFonts w:eastAsiaTheme="minorHAnsi"/>
          <w:b/>
          <w:bCs/>
        </w:rPr>
      </w:pPr>
      <w:r w:rsidRPr="009A010C">
        <w:rPr>
          <w:b/>
          <w:bCs/>
        </w:rPr>
        <w:t>Recommendation</w:t>
      </w:r>
    </w:p>
    <w:p w:rsidR="009121CD" w:rsidRPr="009A010C" w:rsidRDefault="009121CD" w:rsidP="009121CD">
      <w:pPr>
        <w:pStyle w:val="Heading1"/>
      </w:pPr>
      <w:r w:rsidRPr="009A010C">
        <w:t>The Executive Committee may wish to urge UNEP to provide, to the 83</w:t>
      </w:r>
      <w:r w:rsidRPr="009A010C">
        <w:rPr>
          <w:vertAlign w:val="superscript"/>
        </w:rPr>
        <w:t>rd</w:t>
      </w:r>
      <w:r w:rsidRPr="009A010C">
        <w:t xml:space="preserve"> meeting, an update on the findings of the study to explore the best available options for the pilot project to assess, monitor, and retrofit two air-conditioning systems</w:t>
      </w:r>
      <w:r w:rsidR="00412BEC">
        <w:t xml:space="preserve"> </w:t>
      </w:r>
      <w:r w:rsidR="00412BEC" w:rsidRPr="00FF0C82">
        <w:t>in the Bahamas</w:t>
      </w:r>
      <w:r w:rsidRPr="009A010C">
        <w:t>, in line with decision 80/62(b).</w:t>
      </w:r>
    </w:p>
    <w:p w:rsidR="009121CD" w:rsidRPr="009A010C" w:rsidRDefault="009121CD" w:rsidP="009121CD">
      <w:pPr>
        <w:keepNext/>
        <w:keepLines/>
        <w:spacing w:after="240"/>
      </w:pPr>
      <w:r w:rsidRPr="009A010C">
        <w:rPr>
          <w:u w:val="single"/>
        </w:rPr>
        <w:lastRenderedPageBreak/>
        <w:t>Stage I of the HPMP of Bangladesh (progress and verification reports)</w:t>
      </w:r>
      <w:r w:rsidRPr="009A010C">
        <w:t xml:space="preserve"> (UNDP and UNEP) </w:t>
      </w:r>
    </w:p>
    <w:p w:rsidR="009121CD" w:rsidRPr="009A010C" w:rsidRDefault="009121CD" w:rsidP="009121CD">
      <w:pPr>
        <w:pStyle w:val="Heading1"/>
        <w:keepNext/>
        <w:numPr>
          <w:ilvl w:val="0"/>
          <w:numId w:val="0"/>
        </w:numPr>
        <w:tabs>
          <w:tab w:val="left" w:pos="720"/>
        </w:tabs>
        <w:rPr>
          <w:b/>
          <w:lang w:val="en-CA"/>
        </w:rPr>
      </w:pPr>
      <w:r w:rsidRPr="009A010C">
        <w:rPr>
          <w:b/>
          <w:lang w:val="en-CA"/>
        </w:rPr>
        <w:t>Background</w:t>
      </w:r>
    </w:p>
    <w:p w:rsidR="009121CD" w:rsidRPr="009A010C" w:rsidRDefault="009121CD" w:rsidP="009121CD">
      <w:pPr>
        <w:pStyle w:val="Heading1"/>
        <w:rPr>
          <w:lang w:val="en-CA"/>
        </w:rPr>
      </w:pPr>
      <w:r w:rsidRPr="009A010C">
        <w:rPr>
          <w:lang w:val="en-CA"/>
        </w:rPr>
        <w:t>On behalf of the Government of Bangladesh, UNDP, as lead implementing agency, has submitted the 2017 verification report and annual progress report on implementation of the work programme associated with the third and fourth tranches of stage I of the HPMP,</w:t>
      </w:r>
      <w:r w:rsidRPr="009A010C">
        <w:rPr>
          <w:rStyle w:val="FootnoteReference"/>
          <w:lang w:val="en-CA"/>
        </w:rPr>
        <w:footnoteReference w:id="35"/>
      </w:r>
      <w:r w:rsidRPr="009A010C">
        <w:rPr>
          <w:lang w:val="en-CA"/>
        </w:rPr>
        <w:t xml:space="preserve"> in line with decision 80/63(b). The annual progress report submitted by UNDP also included a request from the Government for an extension of the implementation period for stage I until March 2019 due to delays related to administrative procedures.</w:t>
      </w:r>
    </w:p>
    <w:p w:rsidR="009121CD" w:rsidRPr="009A010C" w:rsidRDefault="009121CD" w:rsidP="009121CD">
      <w:pPr>
        <w:keepNext/>
        <w:spacing w:after="240"/>
        <w:rPr>
          <w:u w:val="single"/>
          <w:lang w:val="en-CA"/>
        </w:rPr>
      </w:pPr>
      <w:r w:rsidRPr="009A010C">
        <w:rPr>
          <w:u w:val="single"/>
          <w:lang w:val="en-CA"/>
        </w:rPr>
        <w:t>HCFC consumption</w:t>
      </w:r>
    </w:p>
    <w:p w:rsidR="009121CD" w:rsidRPr="009A010C" w:rsidRDefault="009121CD" w:rsidP="009121CD">
      <w:pPr>
        <w:pStyle w:val="Heading1"/>
        <w:rPr>
          <w:lang w:val="en-CA"/>
        </w:rPr>
      </w:pPr>
      <w:r w:rsidRPr="009A010C">
        <w:rPr>
          <w:lang w:val="en-CA"/>
        </w:rPr>
        <w:t>The verification report confirmed the consumption of 1,154.74 </w:t>
      </w:r>
      <w:proofErr w:type="spellStart"/>
      <w:r w:rsidRPr="009A010C">
        <w:rPr>
          <w:lang w:val="en-CA"/>
        </w:rPr>
        <w:t>mt</w:t>
      </w:r>
      <w:proofErr w:type="spellEnd"/>
      <w:r w:rsidRPr="009A010C">
        <w:rPr>
          <w:lang w:val="en-CA"/>
        </w:rPr>
        <w:t xml:space="preserve"> (63.33 ODP tonnes) of HCFCs in 2017, which was 12.8 per cent below the consumption baseline and 3 </w:t>
      </w:r>
      <w:r w:rsidRPr="009A010C">
        <w:t>per cent</w:t>
      </w:r>
      <w:r w:rsidRPr="009A010C">
        <w:rPr>
          <w:lang w:val="en-CA"/>
        </w:rPr>
        <w:t xml:space="preserve"> below the allowable consumption (65.39 ODP tonnes) stipulated in the Agreement between the Government and the Executive Committee. The licensing and quota system for HCFC imports and exports continues to be enforced. </w:t>
      </w:r>
    </w:p>
    <w:p w:rsidR="009121CD" w:rsidRPr="009A010C" w:rsidRDefault="009121CD" w:rsidP="009121CD">
      <w:pPr>
        <w:keepNext/>
        <w:spacing w:after="240"/>
        <w:rPr>
          <w:u w:val="single"/>
          <w:lang w:val="en-CA"/>
        </w:rPr>
      </w:pPr>
      <w:r w:rsidRPr="009A010C">
        <w:rPr>
          <w:u w:val="single"/>
          <w:lang w:val="en-CA"/>
        </w:rPr>
        <w:t xml:space="preserve">Progress report on the implementation of the third and fourth tranches of the HPMP </w:t>
      </w:r>
    </w:p>
    <w:p w:rsidR="009121CD" w:rsidRPr="009A010C" w:rsidRDefault="009121CD" w:rsidP="009121CD">
      <w:pPr>
        <w:keepNext/>
        <w:spacing w:after="240"/>
        <w:rPr>
          <w:i/>
          <w:lang w:val="en-CA"/>
        </w:rPr>
      </w:pPr>
      <w:r w:rsidRPr="009A010C">
        <w:rPr>
          <w:i/>
          <w:lang w:val="en-CA"/>
        </w:rPr>
        <w:t>Activities in the manufacturing sector and other capacity building activities (UNDP)</w:t>
      </w:r>
    </w:p>
    <w:p w:rsidR="009121CD" w:rsidRPr="009A010C" w:rsidRDefault="009121CD" w:rsidP="009121CD">
      <w:pPr>
        <w:pStyle w:val="Heading1"/>
        <w:rPr>
          <w:lang w:val="en-CA"/>
        </w:rPr>
      </w:pPr>
      <w:r w:rsidRPr="009A010C">
        <w:rPr>
          <w:lang w:val="en-CA"/>
        </w:rPr>
        <w:t xml:space="preserve">The planned activities under stage I of the HPMP have been completed with a phase-out of 20.2 ODP tonnes of HCFC-141b used in foam production at Walton Hi-Tech Industries. </w:t>
      </w:r>
    </w:p>
    <w:p w:rsidR="009121CD" w:rsidRPr="009A010C" w:rsidRDefault="009121CD" w:rsidP="009121CD">
      <w:pPr>
        <w:pStyle w:val="Heading1"/>
        <w:rPr>
          <w:lang w:val="en-CA"/>
        </w:rPr>
      </w:pPr>
      <w:r w:rsidRPr="009A010C">
        <w:rPr>
          <w:lang w:val="en-CA"/>
        </w:rPr>
        <w:t>In addition, other non-investment activities (US $55,000) that were transferred from the completed national ODS phase-out plan to stage I of the HPMP, related to building capacity for regulatory actions, amendment of the ODS regulations (updated harmonized system codes for all ODS including HCFCs, requirement of permit for the sale of compressors for manufacturing equipment that use HCFC including record keeping and penalties for violations), are yet to be implemented. No disbursements from this reallocated funding has been made since the 65</w:t>
      </w:r>
      <w:r w:rsidRPr="009A010C">
        <w:rPr>
          <w:vertAlign w:val="superscript"/>
          <w:lang w:val="en-CA"/>
        </w:rPr>
        <w:t>th</w:t>
      </w:r>
      <w:r w:rsidRPr="009A010C">
        <w:rPr>
          <w:lang w:val="en-CA"/>
        </w:rPr>
        <w:t xml:space="preserve"> meeting. </w:t>
      </w:r>
    </w:p>
    <w:p w:rsidR="009121CD" w:rsidRPr="009A010C" w:rsidRDefault="009121CD" w:rsidP="009121CD">
      <w:pPr>
        <w:keepNext/>
        <w:spacing w:after="240"/>
        <w:rPr>
          <w:i/>
          <w:lang w:val="en-CA"/>
        </w:rPr>
      </w:pPr>
      <w:r w:rsidRPr="009A010C">
        <w:rPr>
          <w:i/>
          <w:lang w:val="en-CA"/>
        </w:rPr>
        <w:t>Activities in the refrigeration servicing sector (UNEP)</w:t>
      </w:r>
    </w:p>
    <w:p w:rsidR="009121CD" w:rsidRPr="009A010C" w:rsidRDefault="009121CD" w:rsidP="009121CD">
      <w:pPr>
        <w:pStyle w:val="Heading1"/>
        <w:rPr>
          <w:lang w:val="en-CA"/>
        </w:rPr>
      </w:pPr>
      <w:r w:rsidRPr="009A010C">
        <w:rPr>
          <w:lang w:val="en-CA"/>
        </w:rPr>
        <w:t>Activities implemented since the final tranche approved at the 80</w:t>
      </w:r>
      <w:r w:rsidRPr="009A010C">
        <w:rPr>
          <w:vertAlign w:val="superscript"/>
          <w:lang w:val="en-CA"/>
        </w:rPr>
        <w:t>th</w:t>
      </w:r>
      <w:r w:rsidRPr="009A010C">
        <w:rPr>
          <w:lang w:val="en-CA"/>
        </w:rPr>
        <w:t xml:space="preserve"> meeting include:</w:t>
      </w:r>
    </w:p>
    <w:p w:rsidR="009121CD" w:rsidRPr="009A010C" w:rsidRDefault="009121CD" w:rsidP="009121CD">
      <w:pPr>
        <w:pStyle w:val="Heading2"/>
        <w:rPr>
          <w:lang w:val="en-CA"/>
        </w:rPr>
      </w:pPr>
      <w:r w:rsidRPr="009A010C">
        <w:rPr>
          <w:lang w:val="en-CA"/>
        </w:rPr>
        <w:t>The funding agreement was signed between the Government of Bangladesh and UNEP in June 2018 and the first payment of US $17,000 was disbursed to the Government in July 2018. Technicians training on good servicing practices will start in March 2019;</w:t>
      </w:r>
    </w:p>
    <w:p w:rsidR="009121CD" w:rsidRPr="009A010C" w:rsidRDefault="009121CD" w:rsidP="009121CD">
      <w:pPr>
        <w:pStyle w:val="Heading2"/>
        <w:rPr>
          <w:lang w:val="en-CA"/>
        </w:rPr>
      </w:pPr>
      <w:r w:rsidRPr="009A010C">
        <w:rPr>
          <w:lang w:val="en-CA"/>
        </w:rPr>
        <w:t xml:space="preserve">Discussions to revise national technical and vocational training system to include ODS issues and good servicing practices were carried out and these revisions will be completed by December 2018; the refrigeration and air-conditioning syllabus for a diploma degree in engineering was revised by the Technical Education Board of Bangladesh </w:t>
      </w:r>
      <w:r w:rsidRPr="009A010C">
        <w:t xml:space="preserve">to </w:t>
      </w:r>
      <w:r w:rsidRPr="009A010C">
        <w:rPr>
          <w:lang w:val="en-CA"/>
        </w:rPr>
        <w:t>include information related to alternative technologies and Montreal Protocol requirements concerning the servicing sector;</w:t>
      </w:r>
    </w:p>
    <w:p w:rsidR="009121CD" w:rsidRPr="009A010C" w:rsidRDefault="009121CD" w:rsidP="009121CD">
      <w:pPr>
        <w:pStyle w:val="Heading2"/>
        <w:rPr>
          <w:lang w:val="en-CA"/>
        </w:rPr>
      </w:pPr>
      <w:r w:rsidRPr="009A010C">
        <w:rPr>
          <w:lang w:val="en-CA"/>
        </w:rPr>
        <w:t xml:space="preserve">A meeting with the Customs representatives, national ozone units, and border security personnel of neighbouring countries (Bhutan, China, India, Myanmar and Nepal) to strengthen cooperation between bordering countries on issues related to potential illegal trade </w:t>
      </w:r>
      <w:r w:rsidRPr="009A010C">
        <w:rPr>
          <w:lang w:val="en-CA"/>
        </w:rPr>
        <w:lastRenderedPageBreak/>
        <w:t>and enhance monitoring and control of ODS import and export, and accurate data reporting was held; and</w:t>
      </w:r>
    </w:p>
    <w:p w:rsidR="009121CD" w:rsidRPr="009A010C" w:rsidRDefault="009121CD" w:rsidP="009121CD">
      <w:pPr>
        <w:pStyle w:val="Heading2"/>
        <w:rPr>
          <w:lang w:val="en-CA"/>
        </w:rPr>
      </w:pPr>
      <w:r w:rsidRPr="009A010C">
        <w:rPr>
          <w:lang w:val="en-CA"/>
        </w:rPr>
        <w:t>Distribution of information materials and publications on Montreal Protocol and HCFC phase-out continued.</w:t>
      </w:r>
    </w:p>
    <w:p w:rsidR="009121CD" w:rsidRPr="009A010C" w:rsidRDefault="009121CD" w:rsidP="009121CD">
      <w:pPr>
        <w:keepNext/>
        <w:spacing w:after="240"/>
        <w:rPr>
          <w:i/>
          <w:lang w:val="en-CA"/>
        </w:rPr>
      </w:pPr>
      <w:r w:rsidRPr="009A010C">
        <w:rPr>
          <w:i/>
          <w:lang w:val="en-CA"/>
        </w:rPr>
        <w:t xml:space="preserve">Level of fund disbursement </w:t>
      </w:r>
    </w:p>
    <w:p w:rsidR="009121CD" w:rsidRPr="00F4406E" w:rsidRDefault="009121CD" w:rsidP="009121CD">
      <w:pPr>
        <w:pStyle w:val="Heading1"/>
        <w:keepNext/>
        <w:rPr>
          <w:u w:val="single"/>
          <w:lang w:val="en-CA"/>
        </w:rPr>
      </w:pPr>
      <w:r w:rsidRPr="009A010C">
        <w:rPr>
          <w:lang w:val="en-CA"/>
        </w:rPr>
        <w:t xml:space="preserve">As at August 2018, of the US $1,556,074 approved, US $1,479,033 had been disbursed, as shown in </w:t>
      </w:r>
      <w:bookmarkStart w:id="5" w:name="_GoBack"/>
      <w:r w:rsidRPr="00F4406E">
        <w:rPr>
          <w:lang w:val="en-CA"/>
        </w:rPr>
        <w:t>Table</w:t>
      </w:r>
      <w:bookmarkEnd w:id="5"/>
      <w:r w:rsidRPr="00F4406E">
        <w:rPr>
          <w:lang w:val="en-CA"/>
        </w:rPr>
        <w:t> </w:t>
      </w:r>
      <w:r w:rsidR="00B107FB" w:rsidRPr="00F4406E">
        <w:rPr>
          <w:lang w:val="en-CA"/>
        </w:rPr>
        <w:t>12</w:t>
      </w:r>
      <w:r w:rsidRPr="00F4406E">
        <w:rPr>
          <w:lang w:val="en-CA"/>
        </w:rPr>
        <w:t xml:space="preserve">. </w:t>
      </w:r>
    </w:p>
    <w:p w:rsidR="009121CD" w:rsidRPr="009A010C" w:rsidRDefault="009121CD" w:rsidP="009121CD">
      <w:pPr>
        <w:rPr>
          <w:lang w:val="en-CA"/>
        </w:rPr>
      </w:pPr>
      <w:r w:rsidRPr="00F4406E">
        <w:rPr>
          <w:b/>
          <w:lang w:val="en-CA"/>
        </w:rPr>
        <w:t>Table 1</w:t>
      </w:r>
      <w:r w:rsidR="00B107FB" w:rsidRPr="00F4406E">
        <w:rPr>
          <w:b/>
          <w:lang w:val="en-CA"/>
        </w:rPr>
        <w:t>2</w:t>
      </w:r>
      <w:r w:rsidRPr="00F4406E">
        <w:rPr>
          <w:b/>
          <w:lang w:val="en-CA"/>
        </w:rPr>
        <w:t>.</w:t>
      </w:r>
      <w:r w:rsidRPr="009A010C">
        <w:rPr>
          <w:b/>
          <w:lang w:val="en-CA"/>
        </w:rPr>
        <w:t xml:space="preserve"> Financial report of stage I of the HPMP for Bangladesh</w:t>
      </w:r>
    </w:p>
    <w:tbl>
      <w:tblPr>
        <w:tblW w:w="5000" w:type="pct"/>
        <w:tblLook w:val="04A0" w:firstRow="1" w:lastRow="0" w:firstColumn="1" w:lastColumn="0" w:noHBand="0" w:noVBand="1"/>
      </w:tblPr>
      <w:tblGrid>
        <w:gridCol w:w="2382"/>
        <w:gridCol w:w="2382"/>
        <w:gridCol w:w="2383"/>
        <w:gridCol w:w="2383"/>
      </w:tblGrid>
      <w:tr w:rsidR="009121CD" w:rsidRPr="009A010C" w:rsidTr="00A51632">
        <w:trPr>
          <w:tblHeader/>
        </w:trPr>
        <w:tc>
          <w:tcPr>
            <w:tcW w:w="125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121CD" w:rsidRPr="009A010C" w:rsidRDefault="009121CD" w:rsidP="00A51632">
            <w:pPr>
              <w:jc w:val="left"/>
              <w:rPr>
                <w:b/>
                <w:bCs/>
                <w:color w:val="000000"/>
                <w:sz w:val="20"/>
                <w:szCs w:val="20"/>
                <w:lang w:val="en-CA" w:eastAsia="en-CA"/>
              </w:rPr>
            </w:pPr>
            <w:r w:rsidRPr="009A010C">
              <w:rPr>
                <w:b/>
                <w:bCs/>
                <w:color w:val="000000"/>
                <w:sz w:val="20"/>
                <w:szCs w:val="20"/>
                <w:lang w:val="en-CA" w:eastAsia="en-CA"/>
              </w:rPr>
              <w:t>Agency</w:t>
            </w:r>
          </w:p>
        </w:tc>
        <w:tc>
          <w:tcPr>
            <w:tcW w:w="1250" w:type="pct"/>
            <w:tcBorders>
              <w:top w:val="single" w:sz="4" w:space="0" w:color="auto"/>
              <w:left w:val="single" w:sz="4" w:space="0" w:color="auto"/>
              <w:right w:val="single" w:sz="4" w:space="0" w:color="auto"/>
            </w:tcBorders>
            <w:shd w:val="clear" w:color="auto" w:fill="auto"/>
            <w:noWrap/>
            <w:vAlign w:val="center"/>
            <w:hideMark/>
          </w:tcPr>
          <w:p w:rsidR="009121CD" w:rsidRPr="009A010C" w:rsidRDefault="009121CD" w:rsidP="00A51632">
            <w:pPr>
              <w:jc w:val="center"/>
              <w:rPr>
                <w:b/>
                <w:color w:val="000000"/>
                <w:sz w:val="20"/>
                <w:szCs w:val="20"/>
                <w:lang w:val="en-CA" w:eastAsia="en-CA"/>
              </w:rPr>
            </w:pPr>
            <w:r w:rsidRPr="009A010C">
              <w:rPr>
                <w:b/>
                <w:color w:val="000000"/>
                <w:sz w:val="20"/>
                <w:szCs w:val="20"/>
                <w:lang w:val="en-CA" w:eastAsia="en-CA"/>
              </w:rPr>
              <w:t>Approved (US $)</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rsidR="009121CD" w:rsidRPr="009A010C" w:rsidRDefault="009121CD" w:rsidP="00A51632">
            <w:pPr>
              <w:jc w:val="center"/>
              <w:rPr>
                <w:b/>
                <w:color w:val="000000"/>
                <w:sz w:val="20"/>
                <w:szCs w:val="20"/>
                <w:lang w:val="en-CA" w:eastAsia="en-CA"/>
              </w:rPr>
            </w:pPr>
            <w:r w:rsidRPr="009A010C">
              <w:rPr>
                <w:b/>
                <w:color w:val="000000"/>
                <w:sz w:val="20"/>
                <w:szCs w:val="20"/>
                <w:lang w:val="en-CA" w:eastAsia="en-CA"/>
              </w:rPr>
              <w:t>Disbursed (US $)</w:t>
            </w:r>
          </w:p>
        </w:tc>
        <w:tc>
          <w:tcPr>
            <w:tcW w:w="1250" w:type="pct"/>
            <w:tcBorders>
              <w:top w:val="single" w:sz="4" w:space="0" w:color="auto"/>
              <w:left w:val="single" w:sz="4" w:space="0" w:color="auto"/>
              <w:bottom w:val="single" w:sz="4" w:space="0" w:color="auto"/>
              <w:right w:val="single" w:sz="4" w:space="0" w:color="auto"/>
            </w:tcBorders>
          </w:tcPr>
          <w:p w:rsidR="009121CD" w:rsidRPr="009A010C" w:rsidRDefault="009121CD" w:rsidP="00A51632">
            <w:pPr>
              <w:jc w:val="center"/>
              <w:rPr>
                <w:b/>
                <w:color w:val="000000"/>
                <w:sz w:val="20"/>
                <w:szCs w:val="20"/>
                <w:lang w:val="en-CA" w:eastAsia="en-CA"/>
              </w:rPr>
            </w:pPr>
            <w:r w:rsidRPr="009A010C">
              <w:rPr>
                <w:b/>
                <w:color w:val="000000"/>
                <w:sz w:val="20"/>
                <w:szCs w:val="20"/>
                <w:lang w:val="en-CA" w:eastAsia="en-CA"/>
              </w:rPr>
              <w:t>Disbursement rate (%)</w:t>
            </w:r>
          </w:p>
        </w:tc>
      </w:tr>
      <w:tr w:rsidR="009121CD" w:rsidRPr="009A010C" w:rsidTr="00A51632">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9121CD" w:rsidRPr="009A010C" w:rsidRDefault="009121CD" w:rsidP="00A51632">
            <w:pPr>
              <w:jc w:val="left"/>
              <w:rPr>
                <w:bCs/>
                <w:color w:val="000000"/>
                <w:sz w:val="20"/>
                <w:szCs w:val="20"/>
                <w:lang w:val="en-CA" w:eastAsia="en-CA"/>
              </w:rPr>
            </w:pPr>
            <w:r w:rsidRPr="009A010C">
              <w:rPr>
                <w:bCs/>
                <w:color w:val="000000"/>
                <w:sz w:val="20"/>
                <w:szCs w:val="20"/>
                <w:lang w:val="en-CA" w:eastAsia="en-CA"/>
              </w:rPr>
              <w:t>UNDP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9121CD" w:rsidRPr="009A010C" w:rsidRDefault="009121CD" w:rsidP="00A51632">
            <w:pPr>
              <w:jc w:val="right"/>
              <w:rPr>
                <w:color w:val="000000"/>
                <w:sz w:val="20"/>
                <w:szCs w:val="20"/>
                <w:lang w:val="en-CA"/>
              </w:rPr>
            </w:pPr>
            <w:r w:rsidRPr="009A010C">
              <w:rPr>
                <w:color w:val="000000"/>
                <w:sz w:val="20"/>
                <w:szCs w:val="20"/>
                <w:lang w:val="en-CA"/>
              </w:rPr>
              <w:t>1,201,074</w:t>
            </w:r>
          </w:p>
        </w:tc>
        <w:tc>
          <w:tcPr>
            <w:tcW w:w="12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2" w:type="dxa"/>
            </w:tcMar>
            <w:vAlign w:val="bottom"/>
          </w:tcPr>
          <w:p w:rsidR="009121CD" w:rsidRPr="009A010C" w:rsidRDefault="009121CD" w:rsidP="00A51632">
            <w:pPr>
              <w:jc w:val="right"/>
              <w:rPr>
                <w:color w:val="000000"/>
                <w:sz w:val="20"/>
                <w:szCs w:val="20"/>
                <w:lang w:val="en-CA"/>
              </w:rPr>
            </w:pPr>
            <w:r w:rsidRPr="009A010C">
              <w:rPr>
                <w:color w:val="000000"/>
                <w:sz w:val="20"/>
                <w:szCs w:val="20"/>
                <w:lang w:val="en-CA"/>
              </w:rPr>
              <w:t>1,146,074</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rsidR="009121CD" w:rsidRPr="009A010C" w:rsidRDefault="009121CD" w:rsidP="00A51632">
            <w:pPr>
              <w:jc w:val="right"/>
              <w:rPr>
                <w:color w:val="000000"/>
                <w:sz w:val="20"/>
                <w:szCs w:val="20"/>
                <w:lang w:val="en-CA"/>
              </w:rPr>
            </w:pPr>
            <w:r w:rsidRPr="009A010C">
              <w:rPr>
                <w:color w:val="000000"/>
                <w:sz w:val="20"/>
                <w:szCs w:val="20"/>
                <w:lang w:val="en-CA"/>
              </w:rPr>
              <w:t>95.4</w:t>
            </w:r>
          </w:p>
        </w:tc>
      </w:tr>
      <w:tr w:rsidR="009121CD" w:rsidRPr="009A010C" w:rsidTr="00A51632">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9121CD" w:rsidRPr="009A010C" w:rsidRDefault="009121CD" w:rsidP="00A51632">
            <w:pPr>
              <w:jc w:val="left"/>
              <w:rPr>
                <w:bCs/>
                <w:color w:val="000000"/>
                <w:sz w:val="20"/>
                <w:szCs w:val="20"/>
                <w:lang w:val="en-CA" w:eastAsia="en-CA"/>
              </w:rPr>
            </w:pPr>
            <w:r w:rsidRPr="009A010C">
              <w:rPr>
                <w:bCs/>
                <w:color w:val="000000"/>
                <w:sz w:val="20"/>
                <w:szCs w:val="20"/>
                <w:lang w:val="en-CA" w:eastAsia="en-CA"/>
              </w:rPr>
              <w:t>UNEP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9121CD" w:rsidRPr="009A010C" w:rsidRDefault="009121CD" w:rsidP="00A51632">
            <w:pPr>
              <w:jc w:val="right"/>
              <w:rPr>
                <w:color w:val="000000"/>
                <w:sz w:val="20"/>
                <w:szCs w:val="20"/>
                <w:lang w:val="en-CA"/>
              </w:rPr>
            </w:pPr>
            <w:r w:rsidRPr="009A010C">
              <w:rPr>
                <w:color w:val="000000"/>
                <w:sz w:val="20"/>
                <w:szCs w:val="20"/>
                <w:lang w:val="en-CA"/>
              </w:rPr>
              <w:t>355,000</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432" w:type="dxa"/>
            </w:tcMar>
            <w:vAlign w:val="bottom"/>
          </w:tcPr>
          <w:p w:rsidR="009121CD" w:rsidRPr="009A010C" w:rsidRDefault="009121CD" w:rsidP="00A51632">
            <w:pPr>
              <w:jc w:val="right"/>
              <w:rPr>
                <w:color w:val="000000"/>
                <w:sz w:val="20"/>
                <w:szCs w:val="20"/>
                <w:lang w:val="en-CA"/>
              </w:rPr>
            </w:pPr>
            <w:r w:rsidRPr="009A010C">
              <w:rPr>
                <w:color w:val="000000"/>
                <w:sz w:val="20"/>
                <w:szCs w:val="20"/>
                <w:lang w:val="en-CA"/>
              </w:rPr>
              <w:t>332,959</w:t>
            </w:r>
          </w:p>
        </w:tc>
        <w:tc>
          <w:tcPr>
            <w:tcW w:w="1250" w:type="pct"/>
            <w:tcBorders>
              <w:top w:val="nil"/>
              <w:left w:val="single" w:sz="4" w:space="0" w:color="auto"/>
              <w:bottom w:val="single" w:sz="4" w:space="0" w:color="auto"/>
              <w:right w:val="single" w:sz="4" w:space="0" w:color="auto"/>
            </w:tcBorders>
            <w:tcMar>
              <w:left w:w="115" w:type="dxa"/>
              <w:right w:w="864" w:type="dxa"/>
            </w:tcMar>
          </w:tcPr>
          <w:p w:rsidR="009121CD" w:rsidRPr="009A010C" w:rsidRDefault="009121CD" w:rsidP="00A51632">
            <w:pPr>
              <w:jc w:val="right"/>
              <w:rPr>
                <w:sz w:val="20"/>
                <w:szCs w:val="20"/>
                <w:lang w:val="en-CA"/>
              </w:rPr>
            </w:pPr>
            <w:r w:rsidRPr="009A010C">
              <w:rPr>
                <w:sz w:val="20"/>
                <w:szCs w:val="20"/>
                <w:lang w:val="en-CA"/>
              </w:rPr>
              <w:t>93.8</w:t>
            </w:r>
          </w:p>
        </w:tc>
      </w:tr>
      <w:tr w:rsidR="009121CD" w:rsidRPr="009A010C" w:rsidTr="00A51632">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9121CD" w:rsidRPr="009A010C" w:rsidRDefault="009121CD" w:rsidP="00A51632">
            <w:pPr>
              <w:jc w:val="left"/>
              <w:rPr>
                <w:b/>
                <w:bCs/>
                <w:color w:val="000000"/>
                <w:sz w:val="20"/>
                <w:szCs w:val="20"/>
                <w:lang w:val="en-CA" w:eastAsia="en-CA"/>
              </w:rPr>
            </w:pPr>
            <w:r w:rsidRPr="009A010C">
              <w:rPr>
                <w:b/>
                <w:bCs/>
                <w:color w:val="000000"/>
                <w:sz w:val="20"/>
                <w:szCs w:val="20"/>
                <w:lang w:val="en-CA" w:eastAsia="en-CA"/>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9121CD" w:rsidRPr="009A010C" w:rsidRDefault="009121CD" w:rsidP="00A51632">
            <w:pPr>
              <w:jc w:val="right"/>
              <w:rPr>
                <w:b/>
                <w:bCs/>
                <w:color w:val="000000"/>
                <w:sz w:val="20"/>
                <w:szCs w:val="20"/>
                <w:lang w:val="en-CA"/>
              </w:rPr>
            </w:pPr>
            <w:r w:rsidRPr="009A010C">
              <w:rPr>
                <w:b/>
                <w:bCs/>
                <w:color w:val="000000"/>
                <w:sz w:val="20"/>
                <w:szCs w:val="20"/>
                <w:lang w:val="en-CA"/>
              </w:rPr>
              <w:t>1,556,074</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432" w:type="dxa"/>
            </w:tcMar>
            <w:vAlign w:val="bottom"/>
          </w:tcPr>
          <w:p w:rsidR="009121CD" w:rsidRPr="009A010C" w:rsidRDefault="009121CD" w:rsidP="00A51632">
            <w:pPr>
              <w:jc w:val="right"/>
              <w:rPr>
                <w:b/>
                <w:color w:val="000000"/>
                <w:sz w:val="20"/>
                <w:szCs w:val="20"/>
                <w:lang w:val="en-CA"/>
              </w:rPr>
            </w:pPr>
            <w:r w:rsidRPr="009A010C">
              <w:rPr>
                <w:b/>
                <w:color w:val="000000"/>
                <w:sz w:val="20"/>
                <w:szCs w:val="20"/>
                <w:lang w:val="en-CA"/>
              </w:rPr>
              <w:t>1,479,033</w:t>
            </w:r>
          </w:p>
        </w:tc>
        <w:tc>
          <w:tcPr>
            <w:tcW w:w="1250" w:type="pct"/>
            <w:tcBorders>
              <w:top w:val="nil"/>
              <w:left w:val="single" w:sz="4" w:space="0" w:color="auto"/>
              <w:bottom w:val="single" w:sz="4" w:space="0" w:color="auto"/>
              <w:right w:val="single" w:sz="4" w:space="0" w:color="auto"/>
            </w:tcBorders>
            <w:tcMar>
              <w:left w:w="115" w:type="dxa"/>
              <w:right w:w="864" w:type="dxa"/>
            </w:tcMar>
          </w:tcPr>
          <w:p w:rsidR="009121CD" w:rsidRPr="009A010C" w:rsidRDefault="009121CD" w:rsidP="00A51632">
            <w:pPr>
              <w:jc w:val="right"/>
              <w:rPr>
                <w:b/>
                <w:color w:val="000000"/>
                <w:sz w:val="20"/>
                <w:szCs w:val="20"/>
                <w:lang w:val="en-CA"/>
              </w:rPr>
            </w:pPr>
            <w:r w:rsidRPr="009A010C">
              <w:rPr>
                <w:b/>
                <w:color w:val="000000"/>
                <w:sz w:val="20"/>
                <w:szCs w:val="20"/>
                <w:lang w:val="en-CA"/>
              </w:rPr>
              <w:t>95.0</w:t>
            </w:r>
          </w:p>
        </w:tc>
      </w:tr>
    </w:tbl>
    <w:p w:rsidR="009121CD" w:rsidRPr="009A010C" w:rsidRDefault="009121CD" w:rsidP="009121CD">
      <w:pPr>
        <w:keepNext/>
        <w:outlineLvl w:val="0"/>
        <w:rPr>
          <w:b/>
          <w:bCs/>
          <w:lang w:val="en-CA"/>
        </w:rPr>
      </w:pPr>
    </w:p>
    <w:p w:rsidR="009121CD" w:rsidRPr="009A010C" w:rsidRDefault="009121CD" w:rsidP="009121CD">
      <w:pPr>
        <w:keepNext/>
        <w:spacing w:after="240"/>
        <w:outlineLvl w:val="0"/>
        <w:rPr>
          <w:u w:val="single"/>
          <w:lang w:val="en-CA"/>
        </w:rPr>
      </w:pPr>
      <w:r w:rsidRPr="009A010C">
        <w:rPr>
          <w:b/>
          <w:bCs/>
          <w:lang w:val="en-CA"/>
        </w:rPr>
        <w:t>Comments</w:t>
      </w:r>
    </w:p>
    <w:p w:rsidR="009121CD" w:rsidRPr="009A010C" w:rsidRDefault="009121CD" w:rsidP="009121CD">
      <w:pPr>
        <w:pStyle w:val="Heading1"/>
        <w:rPr>
          <w:lang w:val="en-CA"/>
        </w:rPr>
      </w:pPr>
      <w:r w:rsidRPr="009A010C">
        <w:rPr>
          <w:lang w:val="en-CA"/>
        </w:rPr>
        <w:t>In discussion with UNDP, the Secretariat sought clarification on the need to extend the project for additional three months until the end of March 2019, noting that no progress or disbursement had been made since the 65</w:t>
      </w:r>
      <w:r w:rsidRPr="009A010C">
        <w:rPr>
          <w:vertAlign w:val="superscript"/>
          <w:lang w:val="en-CA"/>
        </w:rPr>
        <w:t>th</w:t>
      </w:r>
      <w:r w:rsidRPr="009A010C">
        <w:rPr>
          <w:lang w:val="en-CA"/>
        </w:rPr>
        <w:t xml:space="preserve"> meeting in the UNDP component of the non-investment project, and the postponement of training activities until the beginning of 2019. The Secretariat also asked UNDP to explain why funds should not be returned for those activities where no disbursements were made. </w:t>
      </w:r>
    </w:p>
    <w:p w:rsidR="009121CD" w:rsidRPr="009A010C" w:rsidRDefault="009121CD" w:rsidP="009121CD">
      <w:pPr>
        <w:pStyle w:val="Heading1"/>
        <w:keepNext/>
        <w:rPr>
          <w:lang w:val="en-CA"/>
        </w:rPr>
      </w:pPr>
      <w:r w:rsidRPr="009A010C">
        <w:rPr>
          <w:lang w:val="en-CA"/>
        </w:rPr>
        <w:t>UNDP explained that the initial focus of the HPMP was to complete the foam investment component and enable the country’s compliance with its targets; in addition, administrative issues related to fund transfers (i.e. difficulty in transferring funds from an earlier approved project) contributed to the delayed implementation of capacity building activities. With regard to UNEP’s component, for training workshops, funds were transferred only in middle of 2018.</w:t>
      </w:r>
    </w:p>
    <w:p w:rsidR="009121CD" w:rsidRPr="009A010C" w:rsidRDefault="009121CD" w:rsidP="009121CD">
      <w:pPr>
        <w:pStyle w:val="Heading1"/>
        <w:keepNext/>
        <w:rPr>
          <w:lang w:val="en-CA"/>
        </w:rPr>
      </w:pPr>
      <w:r w:rsidRPr="009A010C">
        <w:rPr>
          <w:lang w:val="en-CA"/>
        </w:rPr>
        <w:t xml:space="preserve">Further to discussions, UNDP submitted a work plan for the remaining activities with their corresponding budget until project completion and indicated the commitment of the Government to complete all activities, and return any balances remaining at the end of March 2019. The Secretariat notes that the request for a three-month extension of stage I of the HPMP is justified. </w:t>
      </w:r>
    </w:p>
    <w:p w:rsidR="009121CD" w:rsidRPr="009A010C" w:rsidRDefault="009121CD" w:rsidP="009121CD">
      <w:pPr>
        <w:pStyle w:val="Heading1"/>
        <w:keepNext/>
        <w:rPr>
          <w:lang w:val="en-CA"/>
        </w:rPr>
      </w:pPr>
      <w:r w:rsidRPr="009A010C">
        <w:rPr>
          <w:lang w:val="en-CA"/>
        </w:rPr>
        <w:t>UNDP committed to submit the final progress report and project completion report submitted to the 83</w:t>
      </w:r>
      <w:r w:rsidRPr="009A010C">
        <w:rPr>
          <w:vertAlign w:val="superscript"/>
          <w:lang w:val="en-CA"/>
        </w:rPr>
        <w:t>rd </w:t>
      </w:r>
      <w:r w:rsidRPr="009A010C">
        <w:rPr>
          <w:lang w:val="en-CA"/>
        </w:rPr>
        <w:t>meeting.</w:t>
      </w:r>
    </w:p>
    <w:p w:rsidR="009121CD" w:rsidRPr="009A010C" w:rsidRDefault="009121CD" w:rsidP="009121CD">
      <w:pPr>
        <w:keepNext/>
        <w:autoSpaceDE w:val="0"/>
        <w:autoSpaceDN w:val="0"/>
        <w:adjustRightInd w:val="0"/>
        <w:spacing w:after="240"/>
        <w:jc w:val="left"/>
        <w:rPr>
          <w:b/>
          <w:lang w:val="en-CA"/>
        </w:rPr>
      </w:pPr>
      <w:r w:rsidRPr="009A010C">
        <w:rPr>
          <w:b/>
          <w:lang w:val="en-CA"/>
        </w:rPr>
        <w:t>Recommendation</w:t>
      </w:r>
    </w:p>
    <w:p w:rsidR="009121CD" w:rsidRPr="009A010C" w:rsidRDefault="009121CD" w:rsidP="009121CD">
      <w:pPr>
        <w:pStyle w:val="Heading1"/>
        <w:rPr>
          <w:lang w:val="en-CA"/>
        </w:rPr>
      </w:pPr>
      <w:r w:rsidRPr="009A010C">
        <w:rPr>
          <w:lang w:val="en-CA"/>
        </w:rPr>
        <w:t>The Executive Committee may wish:</w:t>
      </w:r>
    </w:p>
    <w:p w:rsidR="009121CD" w:rsidRPr="009A010C" w:rsidRDefault="009121CD" w:rsidP="009121CD">
      <w:pPr>
        <w:pStyle w:val="Heading2"/>
        <w:rPr>
          <w:lang w:val="en-CA"/>
        </w:rPr>
      </w:pPr>
      <w:r w:rsidRPr="009A010C">
        <w:rPr>
          <w:lang w:val="en-CA"/>
        </w:rPr>
        <w:t>To note the 2017 verification and progress reports on the implementation of stage I of the HCFC phase</w:t>
      </w:r>
      <w:r w:rsidRPr="009A010C">
        <w:rPr>
          <w:lang w:val="en-CA"/>
        </w:rPr>
        <w:noBreakHyphen/>
        <w:t>out management plan (HPMP) for Bangladesh, submitted by UNDP;</w:t>
      </w:r>
    </w:p>
    <w:p w:rsidR="007E783A" w:rsidRPr="009A010C" w:rsidRDefault="009121CD" w:rsidP="009121CD">
      <w:pPr>
        <w:pStyle w:val="Heading2"/>
        <w:rPr>
          <w:lang w:val="en-CA"/>
        </w:rPr>
      </w:pPr>
      <w:r w:rsidRPr="009A010C">
        <w:rPr>
          <w:lang w:val="en-CA"/>
        </w:rPr>
        <w:t>To approve the request for the extension of stage I of the HPMP until 31 March 2019, on the understanding that no further extensions for stage I will be considered, that the final report for stage I of the HPMP and the project completion report will be submitted to the 83</w:t>
      </w:r>
      <w:r w:rsidRPr="009A010C">
        <w:rPr>
          <w:vertAlign w:val="superscript"/>
          <w:lang w:val="en-CA"/>
        </w:rPr>
        <w:t>rd </w:t>
      </w:r>
      <w:r w:rsidRPr="009A010C">
        <w:rPr>
          <w:lang w:val="en-CA"/>
        </w:rPr>
        <w:t>meeting; and that the balances from stage I of the HPMP will be returned no later than the 84</w:t>
      </w:r>
      <w:r w:rsidRPr="009A010C">
        <w:rPr>
          <w:vertAlign w:val="superscript"/>
          <w:lang w:val="en-CA"/>
        </w:rPr>
        <w:t>th</w:t>
      </w:r>
      <w:r w:rsidRPr="009A010C">
        <w:rPr>
          <w:lang w:val="en-CA"/>
        </w:rPr>
        <w:t xml:space="preserve"> meeting.</w:t>
      </w:r>
    </w:p>
    <w:p w:rsidR="00903168" w:rsidRPr="009A010C" w:rsidRDefault="00B24EBC" w:rsidP="00903168">
      <w:pPr>
        <w:rPr>
          <w:b/>
          <w:lang w:val="en-US"/>
        </w:rPr>
      </w:pPr>
      <w:r w:rsidRPr="009A010C">
        <w:rPr>
          <w:u w:val="single"/>
          <w:lang w:val="en-CA"/>
        </w:rPr>
        <w:lastRenderedPageBreak/>
        <w:t>Progress report on stage I of the HPMP for Honduras</w:t>
      </w:r>
      <w:r w:rsidRPr="009A010C">
        <w:rPr>
          <w:lang w:val="en-CA"/>
        </w:rPr>
        <w:t xml:space="preserve"> (UNEP)</w:t>
      </w:r>
    </w:p>
    <w:p w:rsidR="00903168" w:rsidRPr="009A010C" w:rsidRDefault="00903168" w:rsidP="00903168">
      <w:pPr>
        <w:rPr>
          <w:lang w:val="en-US"/>
        </w:rPr>
      </w:pPr>
    </w:p>
    <w:p w:rsidR="00BF4958" w:rsidRPr="009A010C" w:rsidRDefault="00BF4958" w:rsidP="00BF4958">
      <w:pPr>
        <w:pStyle w:val="Heading1"/>
        <w:rPr>
          <w:lang w:val="en-CA"/>
        </w:rPr>
      </w:pPr>
      <w:r w:rsidRPr="009A010C">
        <w:rPr>
          <w:lang w:val="en-US"/>
        </w:rPr>
        <w:t>At the 81</w:t>
      </w:r>
      <w:r w:rsidRPr="009A010C">
        <w:rPr>
          <w:vertAlign w:val="superscript"/>
          <w:lang w:val="en-US"/>
        </w:rPr>
        <w:t>st</w:t>
      </w:r>
      <w:r w:rsidRPr="009A010C">
        <w:rPr>
          <w:lang w:val="en-US"/>
        </w:rPr>
        <w:t xml:space="preserve"> meeting, the Executive Committee approved (under the list of blanket approval projects) the fourth tranche of stage I of the HPMP for Honduras, and the corresponding 2018-2020 tranche implementation plan on the understanding: </w:t>
      </w:r>
    </w:p>
    <w:p w:rsidR="00BF4958" w:rsidRPr="009A010C" w:rsidRDefault="00BF4958" w:rsidP="00BF4958">
      <w:pPr>
        <w:pStyle w:val="Heading2"/>
        <w:rPr>
          <w:lang w:val="en-CA"/>
        </w:rPr>
      </w:pPr>
      <w:r w:rsidRPr="009A010C">
        <w:rPr>
          <w:lang w:val="en-US"/>
        </w:rPr>
        <w:t xml:space="preserve">That UNEP and the Government of Honduras will intensify efforts to implement the training activities for refrigeration technicians associated with stage I of the HPMP; </w:t>
      </w:r>
    </w:p>
    <w:p w:rsidR="00BF4958" w:rsidRPr="009A010C" w:rsidRDefault="00BF4958" w:rsidP="00BF4958">
      <w:pPr>
        <w:pStyle w:val="Heading2"/>
        <w:rPr>
          <w:lang w:val="en-CA"/>
        </w:rPr>
      </w:pPr>
      <w:r w:rsidRPr="009A010C">
        <w:rPr>
          <w:lang w:val="en-US"/>
        </w:rPr>
        <w:t xml:space="preserve">That UNEP would submit a progress report to each meeting on the implementation of activities under UNEP’s components associated with stage I of the HPMP, including disbursements achieved, until the submission of the fifth and final tranche of stage I of the HPMP; and </w:t>
      </w:r>
    </w:p>
    <w:p w:rsidR="00BF4958" w:rsidRPr="009A010C" w:rsidRDefault="00BF4958" w:rsidP="00BF4958">
      <w:pPr>
        <w:pStyle w:val="Heading2"/>
        <w:rPr>
          <w:lang w:val="en-US"/>
        </w:rPr>
      </w:pPr>
      <w:r w:rsidRPr="009A010C">
        <w:rPr>
          <w:lang w:val="en-CA"/>
        </w:rPr>
        <w:t>T</w:t>
      </w:r>
      <w:r w:rsidRPr="009A010C">
        <w:rPr>
          <w:lang w:val="en-US"/>
        </w:rPr>
        <w:t>hat the disbursement targets for the total amount of funds approved for the UNEP components of the first, second and third tranches of stage I of the HPMP for Honduras are 50 per cent by 30 September 2018, 80 per cent by 31 March 2019, and 100 per cent by December 2019, and for the UNEP component of the fourth tranche are 20 per cent disbursement by 31 March 2019 and 50 per cent disbursement by December 2019.</w:t>
      </w:r>
    </w:p>
    <w:p w:rsidR="00BF4958" w:rsidRPr="009A010C" w:rsidRDefault="00BF4958" w:rsidP="00BF4958">
      <w:pPr>
        <w:pStyle w:val="Heading1"/>
        <w:rPr>
          <w:lang w:val="en-US"/>
        </w:rPr>
      </w:pPr>
      <w:r w:rsidRPr="009A010C">
        <w:rPr>
          <w:lang w:val="en-US"/>
        </w:rPr>
        <w:t>In line with the above request, UNEP has submitted to the 82</w:t>
      </w:r>
      <w:r w:rsidRPr="009A010C">
        <w:rPr>
          <w:vertAlign w:val="superscript"/>
          <w:lang w:val="en-US"/>
        </w:rPr>
        <w:t>nd</w:t>
      </w:r>
      <w:r w:rsidRPr="009A010C">
        <w:rPr>
          <w:lang w:val="en-US"/>
        </w:rPr>
        <w:t xml:space="preserve"> meeting a progress and financial report on the implementation of the UNEP’s activities under stage I of the HPMP for Honduras.</w:t>
      </w:r>
    </w:p>
    <w:p w:rsidR="00BF4958" w:rsidRPr="009A010C" w:rsidRDefault="00BF4958" w:rsidP="00BF4958">
      <w:pPr>
        <w:keepNext/>
        <w:keepLines/>
        <w:spacing w:after="240"/>
        <w:rPr>
          <w:b/>
        </w:rPr>
      </w:pPr>
      <w:r w:rsidRPr="009A010C">
        <w:rPr>
          <w:b/>
        </w:rPr>
        <w:t xml:space="preserve">Progress report on the implementation of stage I of the HPMP </w:t>
      </w:r>
    </w:p>
    <w:p w:rsidR="00BF4958" w:rsidRPr="009A010C" w:rsidRDefault="00BF4958" w:rsidP="00BF4958">
      <w:pPr>
        <w:pStyle w:val="Heading1"/>
      </w:pPr>
      <w:r w:rsidRPr="009A010C">
        <w:t>The following activities have been implemented since the 81</w:t>
      </w:r>
      <w:r w:rsidRPr="009A010C">
        <w:rPr>
          <w:vertAlign w:val="superscript"/>
        </w:rPr>
        <w:t>st</w:t>
      </w:r>
      <w:r w:rsidRPr="009A010C">
        <w:t xml:space="preserve"> meeting:</w:t>
      </w:r>
    </w:p>
    <w:p w:rsidR="00BF4958" w:rsidRPr="009A010C" w:rsidRDefault="00BF4958" w:rsidP="00BF4958">
      <w:pPr>
        <w:pStyle w:val="Heading2"/>
        <w:rPr>
          <w:lang w:val="en-US"/>
        </w:rPr>
      </w:pPr>
      <w:r w:rsidRPr="009A010C">
        <w:rPr>
          <w:lang w:val="en-US"/>
        </w:rPr>
        <w:t>Six dissemination and awareness-raising sessions were carried out for a total of 478 refrigeration and air</w:t>
      </w:r>
      <w:r w:rsidRPr="009A010C">
        <w:rPr>
          <w:lang w:val="en-US"/>
        </w:rPr>
        <w:noBreakHyphen/>
        <w:t xml:space="preserve">conditioning (RAC) technicians and RAC students to promote the evaluation and certification of good refrigeration practices; </w:t>
      </w:r>
    </w:p>
    <w:p w:rsidR="00BF4958" w:rsidRPr="009A010C" w:rsidRDefault="00BF4958" w:rsidP="00BF4958">
      <w:pPr>
        <w:pStyle w:val="Heading2"/>
        <w:rPr>
          <w:lang w:val="en-US"/>
        </w:rPr>
      </w:pPr>
      <w:r w:rsidRPr="009A010C">
        <w:rPr>
          <w:lang w:val="en-US"/>
        </w:rPr>
        <w:t>A memorandum of understanding between UNEP, the national ozone unit (UTOH), the Environment Ministry (MI AMBIENTE), and the national training institute (INFOP) was drafted with the purpose of advancing the revision of the training and certification processes for good practices in the RAC servicing sector; and</w:t>
      </w:r>
    </w:p>
    <w:p w:rsidR="00BF4958" w:rsidRPr="009A010C" w:rsidRDefault="00BF4958" w:rsidP="00BF4958">
      <w:pPr>
        <w:pStyle w:val="Heading2"/>
        <w:rPr>
          <w:lang w:val="en-US"/>
        </w:rPr>
      </w:pPr>
      <w:r w:rsidRPr="009A010C">
        <w:rPr>
          <w:lang w:val="en-US"/>
        </w:rPr>
        <w:t xml:space="preserve">Eight seminars-workshops were carried out in different cities in which 536 technicians were trained on the theory and practice of safe-handling of flammable refrigerants. </w:t>
      </w:r>
    </w:p>
    <w:p w:rsidR="00BF4958" w:rsidRPr="009A010C" w:rsidRDefault="00BF4958" w:rsidP="00BF4958">
      <w:pPr>
        <w:rPr>
          <w:i/>
        </w:rPr>
      </w:pPr>
      <w:r w:rsidRPr="009A010C">
        <w:rPr>
          <w:i/>
        </w:rPr>
        <w:t>Level of fund disbursement</w:t>
      </w:r>
    </w:p>
    <w:p w:rsidR="00BF4958" w:rsidRPr="009A010C" w:rsidRDefault="00BF4958" w:rsidP="00BF4958"/>
    <w:p w:rsidR="00BF4958" w:rsidRPr="00F4406E" w:rsidRDefault="00BF4958" w:rsidP="00BF4958">
      <w:pPr>
        <w:pStyle w:val="Heading1"/>
      </w:pPr>
      <w:r w:rsidRPr="009A010C">
        <w:t xml:space="preserve">As at 30 September 2018, of the total amount of US $175,000 of funds approved for the first, second and third tranches for UNEP, US $76,848 (44 per cent) had been disbursed as shown </w:t>
      </w:r>
      <w:r w:rsidRPr="00F4406E">
        <w:t>in Table 1</w:t>
      </w:r>
      <w:r w:rsidR="00B107FB" w:rsidRPr="00F4406E">
        <w:t>3</w:t>
      </w:r>
      <w:r w:rsidRPr="00F4406E">
        <w:t xml:space="preserve">.  UNEP had advanced US $30,000 from the first tranche to the Government of Honduras on 23 August 2018, bringing the total amount of funds advanced for the first, second and third tranches to US $106,848 (61 per cent).  </w:t>
      </w:r>
    </w:p>
    <w:p w:rsidR="00BF4958" w:rsidRPr="00F4406E" w:rsidRDefault="00BF4958" w:rsidP="00F36B67">
      <w:pPr>
        <w:keepNext/>
        <w:rPr>
          <w:b/>
        </w:rPr>
      </w:pPr>
      <w:r w:rsidRPr="00F4406E">
        <w:rPr>
          <w:b/>
        </w:rPr>
        <w:lastRenderedPageBreak/>
        <w:t>Table 1</w:t>
      </w:r>
      <w:r w:rsidR="00B107FB" w:rsidRPr="00F4406E">
        <w:rPr>
          <w:b/>
        </w:rPr>
        <w:t>3</w:t>
      </w:r>
      <w:r w:rsidRPr="00F4406E">
        <w:rPr>
          <w:b/>
        </w:rPr>
        <w:t xml:space="preserve">. Financial report of stage I of the HPMP for Honduras </w:t>
      </w:r>
    </w:p>
    <w:tbl>
      <w:tblPr>
        <w:tblStyle w:val="TableGrid"/>
        <w:tblW w:w="5051" w:type="pct"/>
        <w:tblLook w:val="04A0" w:firstRow="1" w:lastRow="0" w:firstColumn="1" w:lastColumn="0" w:noHBand="0" w:noVBand="1"/>
      </w:tblPr>
      <w:tblGrid>
        <w:gridCol w:w="1014"/>
        <w:gridCol w:w="1072"/>
        <w:gridCol w:w="865"/>
        <w:gridCol w:w="987"/>
        <w:gridCol w:w="835"/>
        <w:gridCol w:w="1381"/>
        <w:gridCol w:w="1373"/>
        <w:gridCol w:w="1061"/>
        <w:gridCol w:w="1039"/>
      </w:tblGrid>
      <w:tr w:rsidR="00265170" w:rsidRPr="00F4406E" w:rsidTr="00265170">
        <w:trPr>
          <w:trHeight w:val="408"/>
        </w:trPr>
        <w:tc>
          <w:tcPr>
            <w:tcW w:w="527" w:type="pct"/>
            <w:vMerge w:val="restart"/>
            <w:shd w:val="clear" w:color="auto" w:fill="auto"/>
          </w:tcPr>
          <w:p w:rsidR="00BF4958" w:rsidRPr="00F4406E" w:rsidRDefault="00BF4958" w:rsidP="00F36B67">
            <w:pPr>
              <w:keepNext/>
              <w:contextualSpacing/>
              <w:rPr>
                <w:b/>
                <w:color w:val="000000"/>
                <w:sz w:val="20"/>
                <w:szCs w:val="20"/>
                <w:lang w:val="en-US"/>
              </w:rPr>
            </w:pPr>
            <w:r w:rsidRPr="00F4406E">
              <w:rPr>
                <w:b/>
                <w:color w:val="000000"/>
                <w:sz w:val="20"/>
                <w:szCs w:val="20"/>
                <w:lang w:val="en-US"/>
              </w:rPr>
              <w:br w:type="page"/>
              <w:t>Tranche</w:t>
            </w:r>
          </w:p>
        </w:tc>
        <w:tc>
          <w:tcPr>
            <w:tcW w:w="557" w:type="pct"/>
            <w:vMerge w:val="restart"/>
            <w:shd w:val="clear" w:color="auto" w:fill="auto"/>
          </w:tcPr>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Approved</w:t>
            </w:r>
          </w:p>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(US $)</w:t>
            </w:r>
          </w:p>
        </w:tc>
        <w:tc>
          <w:tcPr>
            <w:tcW w:w="1396" w:type="pct"/>
            <w:gridSpan w:val="3"/>
            <w:shd w:val="clear" w:color="auto" w:fill="auto"/>
            <w:vAlign w:val="center"/>
          </w:tcPr>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Expenditures recorded in UMOJA in 2018 (US $)</w:t>
            </w:r>
          </w:p>
        </w:tc>
        <w:tc>
          <w:tcPr>
            <w:tcW w:w="718" w:type="pct"/>
            <w:vMerge w:val="restart"/>
            <w:shd w:val="clear" w:color="auto" w:fill="auto"/>
          </w:tcPr>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Actual disbursement rate (%)</w:t>
            </w:r>
          </w:p>
        </w:tc>
        <w:tc>
          <w:tcPr>
            <w:tcW w:w="713" w:type="pct"/>
            <w:vMerge w:val="restart"/>
          </w:tcPr>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Target disbursement rate (%)</w:t>
            </w:r>
          </w:p>
        </w:tc>
        <w:tc>
          <w:tcPr>
            <w:tcW w:w="551" w:type="pct"/>
            <w:vMerge w:val="restart"/>
            <w:shd w:val="clear" w:color="auto" w:fill="auto"/>
          </w:tcPr>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Advances</w:t>
            </w:r>
          </w:p>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(US $)</w:t>
            </w:r>
          </w:p>
          <w:p w:rsidR="00BF4958" w:rsidRPr="00F4406E" w:rsidRDefault="00BF4958" w:rsidP="00F36B67">
            <w:pPr>
              <w:keepNext/>
              <w:contextualSpacing/>
              <w:jc w:val="center"/>
              <w:rPr>
                <w:b/>
                <w:color w:val="000000"/>
                <w:sz w:val="20"/>
                <w:szCs w:val="20"/>
                <w:lang w:val="en-US"/>
              </w:rPr>
            </w:pPr>
          </w:p>
        </w:tc>
        <w:tc>
          <w:tcPr>
            <w:tcW w:w="540" w:type="pct"/>
            <w:vMerge w:val="restart"/>
            <w:shd w:val="clear" w:color="auto" w:fill="auto"/>
          </w:tcPr>
          <w:p w:rsidR="00BF4958" w:rsidRPr="00F4406E" w:rsidRDefault="00BF4958" w:rsidP="00F36B67">
            <w:pPr>
              <w:keepNext/>
              <w:contextualSpacing/>
              <w:jc w:val="center"/>
              <w:rPr>
                <w:b/>
                <w:color w:val="000000"/>
                <w:sz w:val="20"/>
                <w:szCs w:val="20"/>
                <w:lang w:val="en-US"/>
              </w:rPr>
            </w:pPr>
            <w:r w:rsidRPr="00F4406E">
              <w:rPr>
                <w:b/>
                <w:color w:val="000000"/>
                <w:sz w:val="20"/>
                <w:szCs w:val="20"/>
                <w:lang w:val="en-US"/>
              </w:rPr>
              <w:t>Advances (%)</w:t>
            </w:r>
          </w:p>
        </w:tc>
      </w:tr>
      <w:tr w:rsidR="00265170" w:rsidRPr="00F4406E" w:rsidTr="00265170">
        <w:tc>
          <w:tcPr>
            <w:tcW w:w="527" w:type="pct"/>
            <w:vMerge/>
            <w:shd w:val="clear" w:color="auto" w:fill="auto"/>
          </w:tcPr>
          <w:p w:rsidR="00BF4958" w:rsidRPr="00F4406E" w:rsidRDefault="00BF4958" w:rsidP="00F36B67">
            <w:pPr>
              <w:keepNext/>
              <w:contextualSpacing/>
              <w:rPr>
                <w:b/>
                <w:color w:val="000000"/>
                <w:sz w:val="20"/>
                <w:szCs w:val="20"/>
                <w:lang w:val="en-US"/>
              </w:rPr>
            </w:pPr>
          </w:p>
        </w:tc>
        <w:tc>
          <w:tcPr>
            <w:tcW w:w="557" w:type="pct"/>
            <w:vMerge/>
            <w:shd w:val="clear" w:color="auto" w:fill="auto"/>
          </w:tcPr>
          <w:p w:rsidR="00BF4958" w:rsidRPr="00F4406E" w:rsidRDefault="00BF4958" w:rsidP="00F36B67">
            <w:pPr>
              <w:keepNext/>
              <w:contextualSpacing/>
              <w:rPr>
                <w:b/>
                <w:color w:val="000000"/>
                <w:sz w:val="20"/>
                <w:szCs w:val="20"/>
                <w:lang w:val="en-US"/>
              </w:rPr>
            </w:pPr>
          </w:p>
        </w:tc>
        <w:tc>
          <w:tcPr>
            <w:tcW w:w="449" w:type="pct"/>
            <w:shd w:val="clear" w:color="auto" w:fill="auto"/>
            <w:vAlign w:val="center"/>
          </w:tcPr>
          <w:p w:rsidR="00BF4958" w:rsidRPr="00F4406E" w:rsidRDefault="00BF4958" w:rsidP="00F36B67">
            <w:pPr>
              <w:keepNext/>
              <w:contextualSpacing/>
              <w:jc w:val="center"/>
              <w:rPr>
                <w:b/>
                <w:color w:val="000000"/>
                <w:sz w:val="16"/>
                <w:szCs w:val="16"/>
                <w:lang w:val="en-US"/>
              </w:rPr>
            </w:pPr>
            <w:r w:rsidRPr="00F4406E">
              <w:rPr>
                <w:b/>
                <w:color w:val="000000"/>
                <w:sz w:val="16"/>
                <w:szCs w:val="16"/>
                <w:lang w:val="en-US"/>
              </w:rPr>
              <w:t>As at</w:t>
            </w:r>
          </w:p>
          <w:p w:rsidR="00BF4958" w:rsidRPr="00F4406E" w:rsidRDefault="00BF4958" w:rsidP="00F36B67">
            <w:pPr>
              <w:keepNext/>
              <w:contextualSpacing/>
              <w:jc w:val="center"/>
              <w:rPr>
                <w:b/>
                <w:color w:val="000000"/>
                <w:sz w:val="16"/>
                <w:szCs w:val="16"/>
                <w:lang w:val="en-US"/>
              </w:rPr>
            </w:pPr>
            <w:r w:rsidRPr="00F4406E">
              <w:rPr>
                <w:b/>
                <w:color w:val="000000"/>
                <w:sz w:val="16"/>
                <w:szCs w:val="16"/>
                <w:lang w:val="en-US"/>
              </w:rPr>
              <w:t>15/4/2018</w:t>
            </w:r>
          </w:p>
        </w:tc>
        <w:tc>
          <w:tcPr>
            <w:tcW w:w="513" w:type="pct"/>
            <w:shd w:val="clear" w:color="auto" w:fill="auto"/>
          </w:tcPr>
          <w:p w:rsidR="00BF4958" w:rsidRPr="00F4406E" w:rsidRDefault="00BF4958" w:rsidP="00F36B67">
            <w:pPr>
              <w:keepNext/>
              <w:contextualSpacing/>
              <w:jc w:val="center"/>
              <w:rPr>
                <w:b/>
                <w:color w:val="000000"/>
                <w:sz w:val="16"/>
                <w:szCs w:val="16"/>
                <w:lang w:val="en-US"/>
              </w:rPr>
            </w:pPr>
            <w:r w:rsidRPr="00F4406E">
              <w:rPr>
                <w:b/>
                <w:color w:val="000000"/>
                <w:sz w:val="16"/>
                <w:szCs w:val="16"/>
                <w:lang w:val="en-US"/>
              </w:rPr>
              <w:t>From 15/4/2018 to 30/9/2018</w:t>
            </w:r>
          </w:p>
        </w:tc>
        <w:tc>
          <w:tcPr>
            <w:tcW w:w="434" w:type="pct"/>
            <w:shd w:val="clear" w:color="auto" w:fill="auto"/>
          </w:tcPr>
          <w:p w:rsidR="00BF4958" w:rsidRPr="00F4406E" w:rsidRDefault="00BF4958" w:rsidP="00F36B67">
            <w:pPr>
              <w:keepNext/>
              <w:contextualSpacing/>
              <w:jc w:val="center"/>
              <w:rPr>
                <w:b/>
                <w:color w:val="000000"/>
                <w:sz w:val="16"/>
                <w:szCs w:val="16"/>
                <w:lang w:val="en-US"/>
              </w:rPr>
            </w:pPr>
            <w:r w:rsidRPr="00F4406E">
              <w:rPr>
                <w:b/>
                <w:color w:val="000000"/>
                <w:sz w:val="16"/>
                <w:szCs w:val="16"/>
                <w:lang w:val="en-US"/>
              </w:rPr>
              <w:t>Total</w:t>
            </w:r>
          </w:p>
        </w:tc>
        <w:tc>
          <w:tcPr>
            <w:tcW w:w="718" w:type="pct"/>
            <w:vMerge/>
            <w:shd w:val="clear" w:color="auto" w:fill="auto"/>
          </w:tcPr>
          <w:p w:rsidR="00BF4958" w:rsidRPr="00F4406E" w:rsidRDefault="00BF4958" w:rsidP="00F36B67">
            <w:pPr>
              <w:keepNext/>
              <w:contextualSpacing/>
              <w:rPr>
                <w:b/>
                <w:color w:val="000000"/>
                <w:sz w:val="20"/>
                <w:szCs w:val="20"/>
                <w:lang w:val="en-US"/>
              </w:rPr>
            </w:pPr>
          </w:p>
        </w:tc>
        <w:tc>
          <w:tcPr>
            <w:tcW w:w="713" w:type="pct"/>
            <w:vMerge/>
          </w:tcPr>
          <w:p w:rsidR="00BF4958" w:rsidRPr="00F4406E" w:rsidRDefault="00BF4958" w:rsidP="00F36B67">
            <w:pPr>
              <w:keepNext/>
              <w:contextualSpacing/>
              <w:rPr>
                <w:b/>
                <w:color w:val="000000"/>
                <w:sz w:val="20"/>
                <w:szCs w:val="20"/>
                <w:lang w:val="en-US"/>
              </w:rPr>
            </w:pPr>
          </w:p>
        </w:tc>
        <w:tc>
          <w:tcPr>
            <w:tcW w:w="551" w:type="pct"/>
            <w:vMerge/>
            <w:shd w:val="clear" w:color="auto" w:fill="auto"/>
          </w:tcPr>
          <w:p w:rsidR="00BF4958" w:rsidRPr="00F4406E" w:rsidRDefault="00BF4958" w:rsidP="00F36B67">
            <w:pPr>
              <w:keepNext/>
              <w:contextualSpacing/>
              <w:rPr>
                <w:b/>
                <w:color w:val="000000"/>
                <w:sz w:val="20"/>
                <w:szCs w:val="20"/>
                <w:lang w:val="en-US"/>
              </w:rPr>
            </w:pPr>
          </w:p>
        </w:tc>
        <w:tc>
          <w:tcPr>
            <w:tcW w:w="540" w:type="pct"/>
            <w:vMerge/>
            <w:shd w:val="clear" w:color="auto" w:fill="auto"/>
          </w:tcPr>
          <w:p w:rsidR="00BF4958" w:rsidRPr="00F4406E" w:rsidRDefault="00BF4958" w:rsidP="00F36B67">
            <w:pPr>
              <w:keepNext/>
              <w:contextualSpacing/>
              <w:rPr>
                <w:b/>
                <w:color w:val="000000"/>
                <w:sz w:val="20"/>
                <w:szCs w:val="20"/>
                <w:lang w:val="en-US"/>
              </w:rPr>
            </w:pPr>
          </w:p>
        </w:tc>
      </w:tr>
      <w:tr w:rsidR="00265170" w:rsidRPr="00F4406E" w:rsidTr="00265170">
        <w:tc>
          <w:tcPr>
            <w:tcW w:w="527" w:type="pct"/>
            <w:shd w:val="clear" w:color="auto" w:fill="auto"/>
            <w:vAlign w:val="center"/>
          </w:tcPr>
          <w:p w:rsidR="00BF4958" w:rsidRPr="00F4406E" w:rsidRDefault="00BF4958" w:rsidP="00F36B67">
            <w:pPr>
              <w:keepNext/>
              <w:rPr>
                <w:color w:val="000000"/>
                <w:sz w:val="20"/>
                <w:szCs w:val="20"/>
                <w:lang w:val="en-US"/>
              </w:rPr>
            </w:pPr>
            <w:r w:rsidRPr="00F4406E">
              <w:rPr>
                <w:color w:val="000000"/>
                <w:sz w:val="20"/>
                <w:szCs w:val="20"/>
                <w:lang w:val="en-US"/>
              </w:rPr>
              <w:t xml:space="preserve">First </w:t>
            </w:r>
          </w:p>
        </w:tc>
        <w:tc>
          <w:tcPr>
            <w:tcW w:w="557"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75,000</w:t>
            </w:r>
          </w:p>
        </w:tc>
        <w:tc>
          <w:tcPr>
            <w:tcW w:w="449"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7,047</w:t>
            </w:r>
          </w:p>
        </w:tc>
        <w:tc>
          <w:tcPr>
            <w:tcW w:w="513"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30,000</w:t>
            </w:r>
          </w:p>
        </w:tc>
        <w:tc>
          <w:tcPr>
            <w:tcW w:w="434"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37,047</w:t>
            </w:r>
          </w:p>
        </w:tc>
        <w:tc>
          <w:tcPr>
            <w:tcW w:w="718"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49.4</w:t>
            </w:r>
          </w:p>
        </w:tc>
        <w:tc>
          <w:tcPr>
            <w:tcW w:w="713" w:type="pct"/>
          </w:tcPr>
          <w:p w:rsidR="00BF4958" w:rsidRPr="00F4406E" w:rsidRDefault="00BF4958" w:rsidP="00F36B67">
            <w:pPr>
              <w:keepNext/>
              <w:jc w:val="right"/>
              <w:rPr>
                <w:color w:val="000000"/>
                <w:sz w:val="20"/>
                <w:szCs w:val="20"/>
                <w:lang w:val="en-US"/>
              </w:rPr>
            </w:pPr>
          </w:p>
        </w:tc>
        <w:tc>
          <w:tcPr>
            <w:tcW w:w="551"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30,000</w:t>
            </w:r>
          </w:p>
        </w:tc>
        <w:tc>
          <w:tcPr>
            <w:tcW w:w="540"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89.4</w:t>
            </w:r>
          </w:p>
        </w:tc>
      </w:tr>
      <w:tr w:rsidR="00265170" w:rsidRPr="00F4406E" w:rsidTr="00265170">
        <w:tc>
          <w:tcPr>
            <w:tcW w:w="527" w:type="pct"/>
            <w:shd w:val="clear" w:color="auto" w:fill="auto"/>
            <w:vAlign w:val="center"/>
          </w:tcPr>
          <w:p w:rsidR="00BF4958" w:rsidRPr="00F4406E" w:rsidRDefault="00BF4958" w:rsidP="00F36B67">
            <w:pPr>
              <w:keepNext/>
              <w:rPr>
                <w:color w:val="000000"/>
                <w:sz w:val="20"/>
                <w:szCs w:val="20"/>
                <w:lang w:val="en-US"/>
              </w:rPr>
            </w:pPr>
            <w:r w:rsidRPr="00F4406E">
              <w:rPr>
                <w:color w:val="000000"/>
                <w:sz w:val="20"/>
                <w:szCs w:val="20"/>
                <w:lang w:val="en-US"/>
              </w:rPr>
              <w:t xml:space="preserve">Second </w:t>
            </w:r>
          </w:p>
        </w:tc>
        <w:tc>
          <w:tcPr>
            <w:tcW w:w="557"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50,000</w:t>
            </w:r>
          </w:p>
        </w:tc>
        <w:tc>
          <w:tcPr>
            <w:tcW w:w="449"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33,529</w:t>
            </w:r>
          </w:p>
        </w:tc>
        <w:tc>
          <w:tcPr>
            <w:tcW w:w="513"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0</w:t>
            </w:r>
          </w:p>
        </w:tc>
        <w:tc>
          <w:tcPr>
            <w:tcW w:w="434"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33,529</w:t>
            </w:r>
          </w:p>
        </w:tc>
        <w:tc>
          <w:tcPr>
            <w:tcW w:w="718"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67.1</w:t>
            </w:r>
          </w:p>
        </w:tc>
        <w:tc>
          <w:tcPr>
            <w:tcW w:w="713" w:type="pct"/>
          </w:tcPr>
          <w:p w:rsidR="00BF4958" w:rsidRPr="00F4406E" w:rsidRDefault="00BF4958" w:rsidP="00F36B67">
            <w:pPr>
              <w:keepNext/>
              <w:jc w:val="right"/>
              <w:rPr>
                <w:color w:val="000000"/>
                <w:sz w:val="20"/>
                <w:szCs w:val="20"/>
                <w:lang w:val="en-US"/>
              </w:rPr>
            </w:pPr>
          </w:p>
        </w:tc>
        <w:tc>
          <w:tcPr>
            <w:tcW w:w="551" w:type="pct"/>
            <w:shd w:val="clear" w:color="auto" w:fill="auto"/>
          </w:tcPr>
          <w:p w:rsidR="00BF4958" w:rsidRPr="00F4406E" w:rsidRDefault="00BF4958" w:rsidP="00F36B67">
            <w:pPr>
              <w:keepNext/>
              <w:jc w:val="right"/>
              <w:rPr>
                <w:color w:val="000000"/>
                <w:sz w:val="20"/>
                <w:szCs w:val="20"/>
                <w:lang w:val="en-US"/>
              </w:rPr>
            </w:pPr>
          </w:p>
        </w:tc>
        <w:tc>
          <w:tcPr>
            <w:tcW w:w="540" w:type="pct"/>
            <w:shd w:val="clear" w:color="auto" w:fill="auto"/>
          </w:tcPr>
          <w:p w:rsidR="00BF4958" w:rsidRPr="00F4406E" w:rsidRDefault="00BF4958" w:rsidP="00F36B67">
            <w:pPr>
              <w:keepNext/>
              <w:jc w:val="right"/>
              <w:rPr>
                <w:color w:val="000000"/>
                <w:sz w:val="20"/>
                <w:szCs w:val="20"/>
                <w:lang w:val="en-US"/>
              </w:rPr>
            </w:pPr>
          </w:p>
        </w:tc>
      </w:tr>
      <w:tr w:rsidR="00265170" w:rsidRPr="00F4406E" w:rsidTr="00265170">
        <w:tc>
          <w:tcPr>
            <w:tcW w:w="527" w:type="pct"/>
            <w:shd w:val="clear" w:color="auto" w:fill="auto"/>
            <w:vAlign w:val="center"/>
          </w:tcPr>
          <w:p w:rsidR="00BF4958" w:rsidRPr="00F4406E" w:rsidRDefault="00BF4958" w:rsidP="00F36B67">
            <w:pPr>
              <w:keepNext/>
              <w:rPr>
                <w:color w:val="000000"/>
                <w:sz w:val="20"/>
                <w:szCs w:val="20"/>
                <w:lang w:val="en-US"/>
              </w:rPr>
            </w:pPr>
            <w:r w:rsidRPr="00F4406E">
              <w:rPr>
                <w:color w:val="000000"/>
                <w:sz w:val="20"/>
                <w:szCs w:val="20"/>
                <w:lang w:val="en-US"/>
              </w:rPr>
              <w:t xml:space="preserve">Third </w:t>
            </w:r>
          </w:p>
        </w:tc>
        <w:tc>
          <w:tcPr>
            <w:tcW w:w="557"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50,000</w:t>
            </w:r>
          </w:p>
        </w:tc>
        <w:tc>
          <w:tcPr>
            <w:tcW w:w="449"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5,000</w:t>
            </w:r>
          </w:p>
        </w:tc>
        <w:tc>
          <w:tcPr>
            <w:tcW w:w="513"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1,272</w:t>
            </w:r>
          </w:p>
        </w:tc>
        <w:tc>
          <w:tcPr>
            <w:tcW w:w="434"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6,272</w:t>
            </w:r>
          </w:p>
        </w:tc>
        <w:tc>
          <w:tcPr>
            <w:tcW w:w="718" w:type="pct"/>
            <w:shd w:val="clear" w:color="auto" w:fill="auto"/>
          </w:tcPr>
          <w:p w:rsidR="00BF4958" w:rsidRPr="00F4406E" w:rsidRDefault="00BF4958" w:rsidP="00F36B67">
            <w:pPr>
              <w:keepNext/>
              <w:jc w:val="right"/>
              <w:rPr>
                <w:color w:val="000000"/>
                <w:sz w:val="20"/>
                <w:szCs w:val="20"/>
                <w:lang w:val="en-US"/>
              </w:rPr>
            </w:pPr>
            <w:r w:rsidRPr="00F4406E">
              <w:rPr>
                <w:color w:val="000000"/>
                <w:sz w:val="20"/>
                <w:szCs w:val="20"/>
                <w:lang w:val="en-US"/>
              </w:rPr>
              <w:t>12.5</w:t>
            </w:r>
          </w:p>
        </w:tc>
        <w:tc>
          <w:tcPr>
            <w:tcW w:w="713" w:type="pct"/>
          </w:tcPr>
          <w:p w:rsidR="00BF4958" w:rsidRPr="00F4406E" w:rsidRDefault="00BF4958" w:rsidP="00F36B67">
            <w:pPr>
              <w:keepNext/>
              <w:jc w:val="right"/>
              <w:rPr>
                <w:color w:val="000000"/>
                <w:sz w:val="20"/>
                <w:szCs w:val="20"/>
                <w:lang w:val="en-US"/>
              </w:rPr>
            </w:pPr>
          </w:p>
        </w:tc>
        <w:tc>
          <w:tcPr>
            <w:tcW w:w="551" w:type="pct"/>
            <w:shd w:val="clear" w:color="auto" w:fill="auto"/>
          </w:tcPr>
          <w:p w:rsidR="00BF4958" w:rsidRPr="00F4406E" w:rsidRDefault="00BF4958" w:rsidP="00F36B67">
            <w:pPr>
              <w:keepNext/>
              <w:jc w:val="right"/>
              <w:rPr>
                <w:color w:val="000000"/>
                <w:sz w:val="20"/>
                <w:szCs w:val="20"/>
                <w:lang w:val="en-US"/>
              </w:rPr>
            </w:pPr>
          </w:p>
        </w:tc>
        <w:tc>
          <w:tcPr>
            <w:tcW w:w="540" w:type="pct"/>
            <w:shd w:val="clear" w:color="auto" w:fill="auto"/>
          </w:tcPr>
          <w:p w:rsidR="00BF4958" w:rsidRPr="00F4406E" w:rsidRDefault="00BF4958" w:rsidP="00F36B67">
            <w:pPr>
              <w:keepNext/>
              <w:jc w:val="right"/>
              <w:rPr>
                <w:color w:val="000000"/>
                <w:sz w:val="20"/>
                <w:szCs w:val="20"/>
                <w:lang w:val="en-US"/>
              </w:rPr>
            </w:pPr>
          </w:p>
        </w:tc>
      </w:tr>
      <w:tr w:rsidR="00265170" w:rsidRPr="00F4406E" w:rsidTr="00265170">
        <w:tc>
          <w:tcPr>
            <w:tcW w:w="527" w:type="pct"/>
            <w:shd w:val="clear" w:color="auto" w:fill="auto"/>
            <w:vAlign w:val="center"/>
          </w:tcPr>
          <w:p w:rsidR="00BF4958" w:rsidRPr="00F4406E" w:rsidRDefault="00BF4958" w:rsidP="00B24EBC">
            <w:pPr>
              <w:rPr>
                <w:b/>
                <w:color w:val="000000"/>
                <w:sz w:val="20"/>
                <w:szCs w:val="20"/>
                <w:lang w:val="en-US"/>
              </w:rPr>
            </w:pPr>
            <w:r w:rsidRPr="00F4406E">
              <w:rPr>
                <w:b/>
                <w:color w:val="000000"/>
                <w:sz w:val="20"/>
                <w:szCs w:val="20"/>
                <w:lang w:val="en-US"/>
              </w:rPr>
              <w:t>Sub-total</w:t>
            </w:r>
          </w:p>
        </w:tc>
        <w:tc>
          <w:tcPr>
            <w:tcW w:w="557" w:type="pct"/>
            <w:shd w:val="clear" w:color="auto" w:fill="auto"/>
          </w:tcPr>
          <w:p w:rsidR="00BF4958" w:rsidRPr="00F4406E" w:rsidRDefault="00BF4958" w:rsidP="00B24EBC">
            <w:pPr>
              <w:jc w:val="right"/>
              <w:rPr>
                <w:b/>
                <w:color w:val="000000"/>
                <w:sz w:val="20"/>
                <w:szCs w:val="20"/>
                <w:lang w:val="en-US"/>
              </w:rPr>
            </w:pPr>
            <w:r w:rsidRPr="00F4406E">
              <w:rPr>
                <w:b/>
                <w:color w:val="000000"/>
                <w:sz w:val="20"/>
                <w:szCs w:val="20"/>
                <w:lang w:val="en-US"/>
              </w:rPr>
              <w:t>175,000</w:t>
            </w:r>
          </w:p>
        </w:tc>
        <w:tc>
          <w:tcPr>
            <w:tcW w:w="449" w:type="pct"/>
            <w:shd w:val="clear" w:color="auto" w:fill="auto"/>
          </w:tcPr>
          <w:p w:rsidR="00BF4958" w:rsidRPr="00F4406E" w:rsidRDefault="00BF4958" w:rsidP="00B24EBC">
            <w:pPr>
              <w:jc w:val="right"/>
              <w:rPr>
                <w:b/>
                <w:color w:val="000000"/>
                <w:sz w:val="20"/>
                <w:szCs w:val="20"/>
                <w:lang w:val="en-US"/>
              </w:rPr>
            </w:pPr>
            <w:r w:rsidRPr="00F4406E">
              <w:rPr>
                <w:b/>
                <w:color w:val="000000"/>
                <w:sz w:val="20"/>
                <w:szCs w:val="20"/>
                <w:lang w:val="en-US"/>
              </w:rPr>
              <w:t>45,576</w:t>
            </w:r>
          </w:p>
        </w:tc>
        <w:tc>
          <w:tcPr>
            <w:tcW w:w="513" w:type="pct"/>
            <w:shd w:val="clear" w:color="auto" w:fill="auto"/>
          </w:tcPr>
          <w:p w:rsidR="00BF4958" w:rsidRPr="00F4406E" w:rsidRDefault="00BF4958" w:rsidP="00B24EBC">
            <w:pPr>
              <w:jc w:val="right"/>
              <w:rPr>
                <w:b/>
                <w:color w:val="000000"/>
                <w:sz w:val="20"/>
                <w:szCs w:val="20"/>
                <w:lang w:val="en-US"/>
              </w:rPr>
            </w:pPr>
            <w:r w:rsidRPr="00F4406E">
              <w:rPr>
                <w:b/>
                <w:color w:val="000000"/>
                <w:sz w:val="20"/>
                <w:szCs w:val="20"/>
                <w:lang w:val="en-US"/>
              </w:rPr>
              <w:t>31,272</w:t>
            </w:r>
          </w:p>
        </w:tc>
        <w:tc>
          <w:tcPr>
            <w:tcW w:w="434" w:type="pct"/>
            <w:shd w:val="clear" w:color="auto" w:fill="auto"/>
          </w:tcPr>
          <w:p w:rsidR="00BF4958" w:rsidRPr="00F4406E" w:rsidRDefault="00BF4958" w:rsidP="00B24EBC">
            <w:pPr>
              <w:jc w:val="right"/>
              <w:rPr>
                <w:b/>
                <w:color w:val="000000"/>
                <w:sz w:val="20"/>
                <w:szCs w:val="20"/>
                <w:lang w:val="en-US"/>
              </w:rPr>
            </w:pPr>
            <w:r w:rsidRPr="00F4406E">
              <w:rPr>
                <w:b/>
                <w:color w:val="000000"/>
                <w:sz w:val="20"/>
                <w:szCs w:val="20"/>
                <w:lang w:val="en-US"/>
              </w:rPr>
              <w:t>76,848</w:t>
            </w:r>
          </w:p>
        </w:tc>
        <w:tc>
          <w:tcPr>
            <w:tcW w:w="718" w:type="pct"/>
            <w:shd w:val="clear" w:color="auto" w:fill="auto"/>
          </w:tcPr>
          <w:p w:rsidR="00BF4958" w:rsidRPr="00F4406E" w:rsidRDefault="00BF4958" w:rsidP="00B24EBC">
            <w:pPr>
              <w:jc w:val="right"/>
              <w:rPr>
                <w:b/>
                <w:color w:val="000000"/>
                <w:sz w:val="20"/>
                <w:szCs w:val="20"/>
                <w:lang w:val="en-US"/>
              </w:rPr>
            </w:pPr>
            <w:r w:rsidRPr="00F4406E">
              <w:rPr>
                <w:b/>
                <w:color w:val="000000"/>
                <w:sz w:val="20"/>
                <w:szCs w:val="20"/>
                <w:lang w:val="en-US"/>
              </w:rPr>
              <w:t>43.9</w:t>
            </w:r>
          </w:p>
        </w:tc>
        <w:tc>
          <w:tcPr>
            <w:tcW w:w="713" w:type="pct"/>
          </w:tcPr>
          <w:p w:rsidR="00BF4958" w:rsidRPr="00F4406E" w:rsidRDefault="00BF4958" w:rsidP="00B24EBC">
            <w:pPr>
              <w:jc w:val="right"/>
              <w:rPr>
                <w:b/>
                <w:color w:val="000000"/>
                <w:sz w:val="20"/>
                <w:szCs w:val="20"/>
                <w:lang w:val="en-US"/>
              </w:rPr>
            </w:pPr>
            <w:r w:rsidRPr="00F4406E">
              <w:rPr>
                <w:b/>
                <w:color w:val="000000"/>
                <w:sz w:val="20"/>
                <w:szCs w:val="20"/>
                <w:lang w:val="en-US"/>
              </w:rPr>
              <w:t>50</w:t>
            </w:r>
          </w:p>
        </w:tc>
        <w:tc>
          <w:tcPr>
            <w:tcW w:w="551" w:type="pct"/>
            <w:shd w:val="clear" w:color="auto" w:fill="auto"/>
          </w:tcPr>
          <w:p w:rsidR="00BF4958" w:rsidRPr="00F4406E" w:rsidRDefault="00BF4958" w:rsidP="00B24EBC">
            <w:pPr>
              <w:jc w:val="right"/>
              <w:rPr>
                <w:b/>
                <w:color w:val="000000"/>
                <w:sz w:val="20"/>
                <w:szCs w:val="20"/>
                <w:lang w:val="en-US"/>
              </w:rPr>
            </w:pPr>
            <w:r w:rsidRPr="00F4406E">
              <w:rPr>
                <w:b/>
                <w:color w:val="000000"/>
                <w:sz w:val="20"/>
                <w:szCs w:val="20"/>
                <w:lang w:val="en-US"/>
              </w:rPr>
              <w:t>106,848</w:t>
            </w:r>
          </w:p>
        </w:tc>
        <w:tc>
          <w:tcPr>
            <w:tcW w:w="540" w:type="pct"/>
            <w:shd w:val="clear" w:color="auto" w:fill="auto"/>
          </w:tcPr>
          <w:p w:rsidR="00BF4958" w:rsidRPr="00F4406E" w:rsidRDefault="00BF4958" w:rsidP="00B24EBC">
            <w:pPr>
              <w:jc w:val="right"/>
              <w:rPr>
                <w:b/>
                <w:color w:val="000000"/>
                <w:sz w:val="20"/>
                <w:szCs w:val="20"/>
                <w:lang w:val="en-US"/>
              </w:rPr>
            </w:pPr>
            <w:r w:rsidRPr="00F4406E">
              <w:rPr>
                <w:b/>
                <w:color w:val="000000"/>
                <w:sz w:val="20"/>
                <w:szCs w:val="20"/>
                <w:lang w:val="en-US"/>
              </w:rPr>
              <w:t>61.1</w:t>
            </w:r>
          </w:p>
        </w:tc>
      </w:tr>
      <w:tr w:rsidR="00265170" w:rsidRPr="00F4406E" w:rsidTr="00265170">
        <w:tc>
          <w:tcPr>
            <w:tcW w:w="527" w:type="pct"/>
            <w:vAlign w:val="center"/>
          </w:tcPr>
          <w:p w:rsidR="00BF4958" w:rsidRPr="00F4406E" w:rsidRDefault="00BF4958" w:rsidP="00B24EBC">
            <w:pPr>
              <w:rPr>
                <w:color w:val="000000"/>
                <w:sz w:val="20"/>
                <w:szCs w:val="20"/>
                <w:lang w:val="en-US"/>
              </w:rPr>
            </w:pPr>
            <w:r w:rsidRPr="00F4406E">
              <w:rPr>
                <w:color w:val="000000"/>
                <w:sz w:val="20"/>
                <w:szCs w:val="20"/>
                <w:lang w:val="en-US"/>
              </w:rPr>
              <w:t xml:space="preserve">Fourth </w:t>
            </w:r>
          </w:p>
        </w:tc>
        <w:tc>
          <w:tcPr>
            <w:tcW w:w="557" w:type="pct"/>
          </w:tcPr>
          <w:p w:rsidR="00BF4958" w:rsidRPr="00F4406E" w:rsidRDefault="00BF4958" w:rsidP="00B24EBC">
            <w:pPr>
              <w:jc w:val="right"/>
              <w:rPr>
                <w:color w:val="000000"/>
                <w:sz w:val="20"/>
                <w:szCs w:val="20"/>
                <w:lang w:val="en-US"/>
              </w:rPr>
            </w:pPr>
            <w:r w:rsidRPr="00F4406E">
              <w:rPr>
                <w:color w:val="000000"/>
                <w:sz w:val="20"/>
                <w:szCs w:val="20"/>
                <w:lang w:val="en-US"/>
              </w:rPr>
              <w:t>50,000</w:t>
            </w:r>
          </w:p>
        </w:tc>
        <w:tc>
          <w:tcPr>
            <w:tcW w:w="449" w:type="pct"/>
          </w:tcPr>
          <w:p w:rsidR="00BF4958" w:rsidRPr="00F4406E" w:rsidRDefault="00BF4958" w:rsidP="00B24EBC">
            <w:pPr>
              <w:jc w:val="right"/>
              <w:rPr>
                <w:color w:val="000000"/>
                <w:sz w:val="20"/>
                <w:szCs w:val="20"/>
                <w:lang w:val="en-US"/>
              </w:rPr>
            </w:pPr>
            <w:r w:rsidRPr="00F4406E">
              <w:rPr>
                <w:color w:val="000000"/>
                <w:sz w:val="20"/>
                <w:szCs w:val="20"/>
                <w:lang w:val="en-US"/>
              </w:rPr>
              <w:t>0</w:t>
            </w:r>
          </w:p>
        </w:tc>
        <w:tc>
          <w:tcPr>
            <w:tcW w:w="513" w:type="pct"/>
          </w:tcPr>
          <w:p w:rsidR="00BF4958" w:rsidRPr="00F4406E" w:rsidRDefault="00BF4958" w:rsidP="00B24EBC">
            <w:pPr>
              <w:jc w:val="right"/>
              <w:rPr>
                <w:color w:val="000000"/>
                <w:sz w:val="20"/>
                <w:szCs w:val="20"/>
                <w:lang w:val="en-US"/>
              </w:rPr>
            </w:pPr>
            <w:r w:rsidRPr="00F4406E">
              <w:rPr>
                <w:color w:val="000000"/>
                <w:sz w:val="20"/>
                <w:szCs w:val="20"/>
                <w:lang w:val="en-US"/>
              </w:rPr>
              <w:t>0</w:t>
            </w:r>
          </w:p>
        </w:tc>
        <w:tc>
          <w:tcPr>
            <w:tcW w:w="434" w:type="pct"/>
          </w:tcPr>
          <w:p w:rsidR="00BF4958" w:rsidRPr="00F4406E" w:rsidRDefault="00BF4958" w:rsidP="00B24EBC">
            <w:pPr>
              <w:jc w:val="right"/>
              <w:rPr>
                <w:color w:val="000000"/>
                <w:sz w:val="20"/>
                <w:szCs w:val="20"/>
                <w:lang w:val="en-US"/>
              </w:rPr>
            </w:pPr>
            <w:r w:rsidRPr="00F4406E">
              <w:rPr>
                <w:color w:val="000000"/>
                <w:sz w:val="20"/>
                <w:szCs w:val="20"/>
                <w:lang w:val="en-US"/>
              </w:rPr>
              <w:t>0</w:t>
            </w:r>
          </w:p>
        </w:tc>
        <w:tc>
          <w:tcPr>
            <w:tcW w:w="718" w:type="pct"/>
          </w:tcPr>
          <w:p w:rsidR="00BF4958" w:rsidRPr="00F4406E" w:rsidRDefault="00BF4958" w:rsidP="00B24EBC">
            <w:pPr>
              <w:jc w:val="right"/>
              <w:rPr>
                <w:color w:val="000000"/>
                <w:sz w:val="20"/>
                <w:szCs w:val="20"/>
                <w:lang w:val="en-US"/>
              </w:rPr>
            </w:pPr>
            <w:r w:rsidRPr="00F4406E">
              <w:rPr>
                <w:color w:val="000000"/>
                <w:sz w:val="20"/>
                <w:szCs w:val="20"/>
                <w:lang w:val="en-US"/>
              </w:rPr>
              <w:t>0</w:t>
            </w:r>
          </w:p>
        </w:tc>
        <w:tc>
          <w:tcPr>
            <w:tcW w:w="713" w:type="pct"/>
          </w:tcPr>
          <w:p w:rsidR="00BF4958" w:rsidRPr="00F4406E" w:rsidRDefault="00BF4958" w:rsidP="00B24EBC">
            <w:pPr>
              <w:jc w:val="right"/>
              <w:rPr>
                <w:color w:val="000000"/>
                <w:sz w:val="20"/>
                <w:szCs w:val="20"/>
                <w:lang w:val="en-US"/>
              </w:rPr>
            </w:pPr>
            <w:proofErr w:type="spellStart"/>
            <w:r w:rsidRPr="00F4406E">
              <w:rPr>
                <w:color w:val="000000"/>
                <w:sz w:val="20"/>
                <w:szCs w:val="20"/>
                <w:lang w:val="en-US"/>
              </w:rPr>
              <w:t>n.a</w:t>
            </w:r>
            <w:proofErr w:type="spellEnd"/>
            <w:r w:rsidRPr="00F4406E">
              <w:rPr>
                <w:color w:val="000000"/>
                <w:sz w:val="20"/>
                <w:szCs w:val="20"/>
                <w:lang w:val="en-US"/>
              </w:rPr>
              <w:t>.</w:t>
            </w:r>
          </w:p>
        </w:tc>
        <w:tc>
          <w:tcPr>
            <w:tcW w:w="551" w:type="pct"/>
          </w:tcPr>
          <w:p w:rsidR="00BF4958" w:rsidRPr="00F4406E" w:rsidRDefault="00BF4958" w:rsidP="00B24EBC">
            <w:pPr>
              <w:jc w:val="right"/>
              <w:rPr>
                <w:color w:val="000000"/>
                <w:sz w:val="20"/>
                <w:szCs w:val="20"/>
                <w:lang w:val="en-US"/>
              </w:rPr>
            </w:pPr>
            <w:r w:rsidRPr="00F4406E">
              <w:rPr>
                <w:color w:val="000000"/>
                <w:sz w:val="20"/>
                <w:szCs w:val="20"/>
                <w:lang w:val="en-US"/>
              </w:rPr>
              <w:t>0</w:t>
            </w:r>
          </w:p>
        </w:tc>
        <w:tc>
          <w:tcPr>
            <w:tcW w:w="540" w:type="pct"/>
          </w:tcPr>
          <w:p w:rsidR="00BF4958" w:rsidRPr="00F4406E" w:rsidRDefault="00BF4958" w:rsidP="00B24EBC">
            <w:pPr>
              <w:jc w:val="right"/>
              <w:rPr>
                <w:color w:val="000000"/>
                <w:sz w:val="20"/>
                <w:szCs w:val="20"/>
                <w:lang w:val="en-US"/>
              </w:rPr>
            </w:pPr>
            <w:r w:rsidRPr="00F4406E">
              <w:rPr>
                <w:color w:val="000000"/>
                <w:sz w:val="20"/>
                <w:szCs w:val="20"/>
                <w:lang w:val="en-US"/>
              </w:rPr>
              <w:t>0</w:t>
            </w:r>
          </w:p>
        </w:tc>
      </w:tr>
    </w:tbl>
    <w:p w:rsidR="00BF4958" w:rsidRPr="00F4406E" w:rsidRDefault="00BF4958" w:rsidP="00BF4958"/>
    <w:p w:rsidR="00BF4958" w:rsidRPr="00F4406E" w:rsidRDefault="00BF4958" w:rsidP="00BF4958">
      <w:pPr>
        <w:pStyle w:val="Heading1"/>
        <w:numPr>
          <w:ilvl w:val="0"/>
          <w:numId w:val="0"/>
        </w:numPr>
        <w:rPr>
          <w:b/>
        </w:rPr>
      </w:pPr>
      <w:r w:rsidRPr="00F4406E">
        <w:rPr>
          <w:b/>
        </w:rPr>
        <w:t>Update on the implementation plan for stage I of the HPMP</w:t>
      </w:r>
    </w:p>
    <w:p w:rsidR="00BF4958" w:rsidRPr="00F4406E" w:rsidRDefault="00BF4958" w:rsidP="00BF4958">
      <w:pPr>
        <w:pStyle w:val="Heading1"/>
        <w:rPr>
          <w:color w:val="000000" w:themeColor="text1"/>
        </w:rPr>
      </w:pPr>
      <w:r w:rsidRPr="00F4406E">
        <w:rPr>
          <w:color w:val="000000" w:themeColor="text1"/>
          <w:lang w:val="en-CA"/>
        </w:rPr>
        <w:t xml:space="preserve">The following activities are planned for the period October 2018 to March 2019: </w:t>
      </w:r>
    </w:p>
    <w:p w:rsidR="00BF4958" w:rsidRPr="00F4406E" w:rsidRDefault="00BF4958" w:rsidP="00BF4958">
      <w:pPr>
        <w:pStyle w:val="Heading2"/>
        <w:rPr>
          <w:color w:val="000000" w:themeColor="text1"/>
        </w:rPr>
      </w:pPr>
      <w:r w:rsidRPr="00F4406E">
        <w:rPr>
          <w:color w:val="000000" w:themeColor="text1"/>
        </w:rPr>
        <w:t>Training of 100 customs and enforcement officers on import controls for HCFCs and HCFC</w:t>
      </w:r>
      <w:r w:rsidR="00BE230B" w:rsidRPr="00F4406E">
        <w:rPr>
          <w:color w:val="000000" w:themeColor="text1"/>
        </w:rPr>
        <w:noBreakHyphen/>
      </w:r>
      <w:r w:rsidRPr="00F4406E">
        <w:rPr>
          <w:color w:val="000000" w:themeColor="text1"/>
        </w:rPr>
        <w:t>based equipment;</w:t>
      </w:r>
    </w:p>
    <w:p w:rsidR="00BF4958" w:rsidRPr="00F4406E" w:rsidRDefault="00BF4958" w:rsidP="00BF4958">
      <w:pPr>
        <w:pStyle w:val="Heading2"/>
        <w:rPr>
          <w:color w:val="000000" w:themeColor="text1"/>
        </w:rPr>
      </w:pPr>
      <w:r w:rsidRPr="00F4406E">
        <w:rPr>
          <w:color w:val="000000" w:themeColor="text1"/>
        </w:rPr>
        <w:t>Design of the electronic register of HCFC importers, suppliers and end</w:t>
      </w:r>
      <w:r w:rsidRPr="00F4406E">
        <w:rPr>
          <w:color w:val="000000" w:themeColor="text1"/>
        </w:rPr>
        <w:noBreakHyphen/>
        <w:t>users;</w:t>
      </w:r>
    </w:p>
    <w:p w:rsidR="00BF4958" w:rsidRPr="00F4406E" w:rsidRDefault="00BF4958" w:rsidP="00BF4958">
      <w:pPr>
        <w:pStyle w:val="Heading2"/>
        <w:rPr>
          <w:color w:val="000000" w:themeColor="text1"/>
        </w:rPr>
      </w:pPr>
      <w:r w:rsidRPr="00F4406E">
        <w:rPr>
          <w:color w:val="000000" w:themeColor="text1"/>
        </w:rPr>
        <w:t>Reformulation of the certification scheme for refrigeration technicians, including the certification of 10 certifiers from INFOP and the approval of criteria and methods for launching the certification scheme of technicians; and</w:t>
      </w:r>
    </w:p>
    <w:p w:rsidR="00BF4958" w:rsidRPr="00F4406E" w:rsidRDefault="00BF4958" w:rsidP="00BF4958">
      <w:pPr>
        <w:pStyle w:val="Heading2"/>
        <w:rPr>
          <w:color w:val="000000" w:themeColor="text1"/>
        </w:rPr>
      </w:pPr>
      <w:r w:rsidRPr="00F4406E">
        <w:rPr>
          <w:color w:val="000000" w:themeColor="text1"/>
        </w:rPr>
        <w:t>Training workshops for RAC technicians and students on good practices and safe</w:t>
      </w:r>
      <w:r w:rsidR="00BE230B" w:rsidRPr="00F4406E">
        <w:rPr>
          <w:color w:val="000000" w:themeColor="text1"/>
        </w:rPr>
        <w:noBreakHyphen/>
      </w:r>
      <w:r w:rsidRPr="00F4406E">
        <w:rPr>
          <w:color w:val="000000" w:themeColor="text1"/>
        </w:rPr>
        <w:t>handling of ODS alternatives.</w:t>
      </w:r>
    </w:p>
    <w:p w:rsidR="00903168" w:rsidRPr="00F4406E" w:rsidRDefault="00903168" w:rsidP="00903168">
      <w:pPr>
        <w:pStyle w:val="Heading1"/>
        <w:numPr>
          <w:ilvl w:val="0"/>
          <w:numId w:val="0"/>
        </w:numPr>
        <w:tabs>
          <w:tab w:val="left" w:pos="720"/>
        </w:tabs>
        <w:rPr>
          <w:b/>
          <w:lang w:val="en-CA"/>
        </w:rPr>
      </w:pPr>
      <w:r w:rsidRPr="00F4406E">
        <w:rPr>
          <w:b/>
          <w:lang w:val="en-CA"/>
        </w:rPr>
        <w:t>Secretariat’s comments</w:t>
      </w:r>
    </w:p>
    <w:p w:rsidR="00BF4958" w:rsidRPr="00F4406E" w:rsidRDefault="00BF4958" w:rsidP="00BF4958">
      <w:pPr>
        <w:pStyle w:val="Heading1"/>
      </w:pPr>
      <w:r w:rsidRPr="00F4406E">
        <w:t xml:space="preserve">The Secretariat noted that Honduras restarted training for the RAC servicing sector, and had taken steps to initiate the revision of the curricula and to reformulate the certification scheme for RAC technicians to integrate new technology and skills required by RAC technicians. </w:t>
      </w:r>
    </w:p>
    <w:p w:rsidR="00BF4958" w:rsidRPr="00F4406E" w:rsidRDefault="00BF4958" w:rsidP="00BF4958">
      <w:pPr>
        <w:pStyle w:val="Heading1"/>
      </w:pPr>
      <w:r w:rsidRPr="00F4406E">
        <w:rPr>
          <w:lang w:val="en-US"/>
        </w:rPr>
        <w:t>UNEP indicated that the new curriculum for INFOP courses should be finalized by December</w:t>
      </w:r>
      <w:r w:rsidR="00BE230B" w:rsidRPr="00F4406E">
        <w:rPr>
          <w:lang w:val="en-US"/>
        </w:rPr>
        <w:t> </w:t>
      </w:r>
      <w:r w:rsidRPr="00F4406E">
        <w:rPr>
          <w:lang w:val="en-US"/>
        </w:rPr>
        <w:t xml:space="preserve">2019, and that the workshops that had taken place had been based on the new trial curriculum. The </w:t>
      </w:r>
      <w:r w:rsidRPr="00F4406E">
        <w:t>revision of standards for flammable low</w:t>
      </w:r>
      <w:r w:rsidRPr="00F4406E">
        <w:noBreakHyphen/>
        <w:t>global</w:t>
      </w:r>
      <w:r w:rsidRPr="00F4406E">
        <w:noBreakHyphen/>
        <w:t>GWP refrigerants had been postponed pending discussions on international standards, awareness on safety standards had been included in workshop programmes.</w:t>
      </w:r>
    </w:p>
    <w:p w:rsidR="00BF4958" w:rsidRPr="00F4406E" w:rsidRDefault="00BF4958" w:rsidP="00BF4958">
      <w:pPr>
        <w:rPr>
          <w:i/>
        </w:rPr>
      </w:pPr>
      <w:r w:rsidRPr="00F4406E">
        <w:rPr>
          <w:i/>
        </w:rPr>
        <w:t xml:space="preserve">Disbursement targets and schedule of advances </w:t>
      </w:r>
    </w:p>
    <w:p w:rsidR="00BF4958" w:rsidRPr="00F4406E" w:rsidRDefault="00BF4958" w:rsidP="00BF4958"/>
    <w:p w:rsidR="00BF4958" w:rsidRPr="00F4406E" w:rsidRDefault="00BF4958" w:rsidP="00BF4958">
      <w:pPr>
        <w:pStyle w:val="Heading1"/>
      </w:pPr>
      <w:r w:rsidRPr="00F4406E">
        <w:t>The Secretariat noted that the country achieved a disbursement rate of 44 per cent against the target of 50 per cent for the UNEP components of the first, second and third tranches by 30 </w:t>
      </w:r>
      <w:r w:rsidRPr="00F4406E">
        <w:rPr>
          <w:color w:val="000000" w:themeColor="text1"/>
        </w:rPr>
        <w:t>September 2018. UNEP explained that US $30,000 of funds advanced to the country would also be recorded as disbursements by 1</w:t>
      </w:r>
      <w:r w:rsidR="00BE230B" w:rsidRPr="00F4406E">
        <w:rPr>
          <w:color w:val="000000" w:themeColor="text1"/>
        </w:rPr>
        <w:t> </w:t>
      </w:r>
      <w:r w:rsidRPr="00F4406E">
        <w:rPr>
          <w:color w:val="000000" w:themeColor="text1"/>
        </w:rPr>
        <w:t>December</w:t>
      </w:r>
      <w:r w:rsidR="00BE230B" w:rsidRPr="00F4406E">
        <w:rPr>
          <w:color w:val="000000" w:themeColor="text1"/>
        </w:rPr>
        <w:t> </w:t>
      </w:r>
      <w:r w:rsidRPr="00F4406E">
        <w:rPr>
          <w:color w:val="000000" w:themeColor="text1"/>
        </w:rPr>
        <w:t>2018 bringing the disbursement rate to 61</w:t>
      </w:r>
      <w:r w:rsidR="00BE230B" w:rsidRPr="00F4406E">
        <w:rPr>
          <w:color w:val="000000" w:themeColor="text1"/>
        </w:rPr>
        <w:t> </w:t>
      </w:r>
      <w:r w:rsidRPr="00F4406E">
        <w:rPr>
          <w:color w:val="000000" w:themeColor="text1"/>
        </w:rPr>
        <w:t>per</w:t>
      </w:r>
      <w:r w:rsidR="00BE230B" w:rsidRPr="00F4406E">
        <w:rPr>
          <w:color w:val="000000" w:themeColor="text1"/>
        </w:rPr>
        <w:t> </w:t>
      </w:r>
      <w:r w:rsidRPr="00F4406E">
        <w:rPr>
          <w:color w:val="000000" w:themeColor="text1"/>
        </w:rPr>
        <w:t>cent. In addition, a</w:t>
      </w:r>
      <w:r w:rsidRPr="00F4406E">
        <w:rPr>
          <w:color w:val="000000" w:themeColor="text1"/>
          <w:lang w:val="en-CA"/>
        </w:rPr>
        <w:t xml:space="preserve"> cash advance of US $7,952 would be released by 15</w:t>
      </w:r>
      <w:r w:rsidR="00BE230B" w:rsidRPr="00F4406E">
        <w:rPr>
          <w:color w:val="000000" w:themeColor="text1"/>
          <w:lang w:val="en-CA"/>
        </w:rPr>
        <w:t> </w:t>
      </w:r>
      <w:r w:rsidRPr="00F4406E">
        <w:rPr>
          <w:color w:val="000000" w:themeColor="text1"/>
          <w:lang w:val="en-CA"/>
        </w:rPr>
        <w:t>December</w:t>
      </w:r>
      <w:r w:rsidR="00BE230B" w:rsidRPr="00F4406E">
        <w:rPr>
          <w:color w:val="000000" w:themeColor="text1"/>
          <w:lang w:val="en-CA"/>
        </w:rPr>
        <w:t> </w:t>
      </w:r>
      <w:r w:rsidRPr="00F4406E">
        <w:rPr>
          <w:color w:val="000000" w:themeColor="text1"/>
          <w:lang w:val="en-CA"/>
        </w:rPr>
        <w:t xml:space="preserve">2018. Furthermore, UNEP will directly hire </w:t>
      </w:r>
      <w:r w:rsidRPr="00F4406E">
        <w:t xml:space="preserve">three experts, using the budget of </w:t>
      </w:r>
      <w:r w:rsidRPr="00F4406E">
        <w:rPr>
          <w:lang w:val="en-CA"/>
        </w:rPr>
        <w:t xml:space="preserve">the first, second, and third tranches, </w:t>
      </w:r>
      <w:r w:rsidRPr="00F4406E">
        <w:t>to provide the NOU with technical support to implement the planned activities.</w:t>
      </w:r>
    </w:p>
    <w:p w:rsidR="00BF4958" w:rsidRPr="00F4406E" w:rsidRDefault="00BF4958" w:rsidP="00BF4958">
      <w:pPr>
        <w:pStyle w:val="Heading1"/>
      </w:pPr>
      <w:r w:rsidRPr="00F4406E">
        <w:rPr>
          <w:lang w:val="en-CA"/>
        </w:rPr>
        <w:t xml:space="preserve">UNEP informed that following discussions with the Government of Honduras, the agreement for the fourth tranche would be signed and implementation initiated in January 2019.  </w:t>
      </w:r>
      <w:r w:rsidRPr="00F4406E">
        <w:rPr>
          <w:color w:val="000000" w:themeColor="text1"/>
          <w:lang w:val="en-CA"/>
        </w:rPr>
        <w:t>UNEP expects to achieve the 50</w:t>
      </w:r>
      <w:r w:rsidR="00931A6E" w:rsidRPr="00F4406E">
        <w:rPr>
          <w:color w:val="000000" w:themeColor="text1"/>
          <w:lang w:val="en-CA"/>
        </w:rPr>
        <w:t> </w:t>
      </w:r>
      <w:r w:rsidRPr="00F4406E">
        <w:rPr>
          <w:color w:val="000000" w:themeColor="text1"/>
          <w:lang w:val="en-CA"/>
        </w:rPr>
        <w:t>per</w:t>
      </w:r>
      <w:r w:rsidR="00931A6E" w:rsidRPr="00F4406E">
        <w:rPr>
          <w:color w:val="000000" w:themeColor="text1"/>
          <w:lang w:val="en-CA"/>
        </w:rPr>
        <w:t> </w:t>
      </w:r>
      <w:r w:rsidRPr="00F4406E">
        <w:rPr>
          <w:color w:val="000000" w:themeColor="text1"/>
          <w:lang w:val="en-CA"/>
        </w:rPr>
        <w:t>cent disbursement of the fourth tranche by December 2019.</w:t>
      </w:r>
    </w:p>
    <w:p w:rsidR="00903168" w:rsidRPr="009A010C" w:rsidRDefault="00903168" w:rsidP="00903168">
      <w:pPr>
        <w:pStyle w:val="Heading1"/>
        <w:numPr>
          <w:ilvl w:val="0"/>
          <w:numId w:val="0"/>
        </w:numPr>
        <w:tabs>
          <w:tab w:val="left" w:pos="720"/>
        </w:tabs>
        <w:rPr>
          <w:b/>
          <w:lang w:val="en-CA"/>
        </w:rPr>
      </w:pPr>
      <w:r w:rsidRPr="00F4406E">
        <w:rPr>
          <w:b/>
          <w:lang w:val="en-CA"/>
        </w:rPr>
        <w:lastRenderedPageBreak/>
        <w:t>Secretariat’s recommendation</w:t>
      </w:r>
    </w:p>
    <w:p w:rsidR="00BF4958" w:rsidRPr="009A010C" w:rsidRDefault="00BF4958" w:rsidP="00BF4958">
      <w:pPr>
        <w:pStyle w:val="Heading1"/>
        <w:rPr>
          <w:lang w:val="en-CA"/>
        </w:rPr>
      </w:pPr>
      <w:r w:rsidRPr="009A010C">
        <w:rPr>
          <w:lang w:val="en-CA"/>
        </w:rPr>
        <w:t>The Executive Committee may wish:</w:t>
      </w:r>
    </w:p>
    <w:p w:rsidR="00BF4958" w:rsidRPr="009A010C" w:rsidRDefault="00BF4958" w:rsidP="00BF4958">
      <w:pPr>
        <w:pStyle w:val="Heading2"/>
        <w:rPr>
          <w:lang w:val="en-CA"/>
        </w:rPr>
      </w:pPr>
      <w:r w:rsidRPr="009A010C">
        <w:rPr>
          <w:lang w:val="en-CA"/>
        </w:rPr>
        <w:t>To note the progress report provided by UNEP on the implementation of activities under UNEP’s components associated with stage I of the HCFC phase-out management plan (HPMP) for Honduras;</w:t>
      </w:r>
      <w:r w:rsidR="005F330C">
        <w:rPr>
          <w:lang w:val="en-CA"/>
        </w:rPr>
        <w:t xml:space="preserve"> and</w:t>
      </w:r>
    </w:p>
    <w:p w:rsidR="00BF4958" w:rsidRPr="009A010C" w:rsidRDefault="00BF4958" w:rsidP="00BF4958">
      <w:pPr>
        <w:pStyle w:val="Heading2"/>
        <w:rPr>
          <w:lang w:val="en-CA"/>
        </w:rPr>
      </w:pPr>
      <w:r w:rsidRPr="009A010C">
        <w:rPr>
          <w:lang w:val="en-CA"/>
        </w:rPr>
        <w:t>To request UNEP to continue submitting a progress report to each meeting on the implementation of activities under UNEP’s components associated with stage I of the HPMP, including disbursements achieved, until the submission of the fifth and final tranche of stage I of the HPMP.</w:t>
      </w:r>
    </w:p>
    <w:p w:rsidR="00E04A95" w:rsidRPr="009A010C" w:rsidRDefault="00E04A95" w:rsidP="00E04A95">
      <w:pPr>
        <w:rPr>
          <w:lang w:val="en-CA"/>
        </w:rPr>
      </w:pPr>
      <w:r w:rsidRPr="009A010C">
        <w:rPr>
          <w:u w:val="single"/>
          <w:lang w:val="en-CA"/>
        </w:rPr>
        <w:t>Indonesia: HCFC phase-out management plan – stage I: 2017-2018 progress report and update on enterprise conversion of technology</w:t>
      </w:r>
      <w:r w:rsidRPr="009A010C">
        <w:rPr>
          <w:lang w:val="en-CA"/>
        </w:rPr>
        <w:t xml:space="preserve"> (UNDP, UNIDO, World Bank, and the Government of Australia)</w:t>
      </w:r>
    </w:p>
    <w:p w:rsidR="00E04A95" w:rsidRPr="009A010C" w:rsidRDefault="00E04A95" w:rsidP="00E04A95">
      <w:pPr>
        <w:rPr>
          <w:lang w:val="en-CA"/>
        </w:rPr>
      </w:pPr>
    </w:p>
    <w:p w:rsidR="00E04A95" w:rsidRPr="009A010C" w:rsidRDefault="00E04A95" w:rsidP="00E04A95">
      <w:pPr>
        <w:pStyle w:val="Heading1"/>
        <w:keepNext/>
        <w:numPr>
          <w:ilvl w:val="0"/>
          <w:numId w:val="0"/>
        </w:numPr>
        <w:tabs>
          <w:tab w:val="left" w:pos="720"/>
        </w:tabs>
        <w:rPr>
          <w:b/>
          <w:lang w:val="en-CA"/>
        </w:rPr>
      </w:pPr>
      <w:r w:rsidRPr="009A010C">
        <w:rPr>
          <w:b/>
          <w:lang w:val="en-CA"/>
        </w:rPr>
        <w:t>Background</w:t>
      </w:r>
    </w:p>
    <w:p w:rsidR="00E04A95" w:rsidRPr="009A010C" w:rsidRDefault="00E04A95" w:rsidP="00E04A95">
      <w:pPr>
        <w:pStyle w:val="Heading1"/>
        <w:keepNext/>
        <w:rPr>
          <w:lang w:val="en-CA"/>
        </w:rPr>
      </w:pPr>
      <w:r w:rsidRPr="009A010C">
        <w:rPr>
          <w:lang w:val="en-CA"/>
        </w:rPr>
        <w:t>On behalf of the Government of Indonesia, UNDP as the lead implementing agency, has submitted to the 82</w:t>
      </w:r>
      <w:r w:rsidRPr="009A010C">
        <w:rPr>
          <w:vertAlign w:val="superscript"/>
          <w:lang w:val="en-CA"/>
        </w:rPr>
        <w:t>nd </w:t>
      </w:r>
      <w:r w:rsidRPr="009A010C">
        <w:rPr>
          <w:lang w:val="en-CA"/>
        </w:rPr>
        <w:t>meeting the annual progress report on the implementation of the work programme associated with the third and final tranche of the HCFC phase</w:t>
      </w:r>
      <w:r w:rsidRPr="009A010C">
        <w:rPr>
          <w:lang w:val="en-CA"/>
        </w:rPr>
        <w:noBreakHyphen/>
        <w:t>out management plan (HPMP),</w:t>
      </w:r>
      <w:r w:rsidRPr="009A010C">
        <w:rPr>
          <w:rStyle w:val="FootnoteReference"/>
          <w:lang w:val="en-CA"/>
        </w:rPr>
        <w:footnoteReference w:id="36"/>
      </w:r>
      <w:r w:rsidRPr="009A010C">
        <w:rPr>
          <w:lang w:val="en-CA"/>
        </w:rPr>
        <w:t xml:space="preserve"> in line with decision 76/47(d), and a report on the status of enterprises temporarily manufacturing high global</w:t>
      </w:r>
      <w:r w:rsidRPr="009A010C">
        <w:rPr>
          <w:lang w:val="en-CA"/>
        </w:rPr>
        <w:noBreakHyphen/>
        <w:t>warming potential (GWP)</w:t>
      </w:r>
      <w:r w:rsidRPr="009A010C">
        <w:rPr>
          <w:lang w:val="en-CA"/>
        </w:rPr>
        <w:noBreakHyphen/>
        <w:t>based refrigeration and air</w:t>
      </w:r>
      <w:r w:rsidRPr="009A010C">
        <w:rPr>
          <w:lang w:val="en-CA"/>
        </w:rPr>
        <w:noBreakHyphen/>
        <w:t>conditioning (RAC) equipment at enterprises that received funding to convert to low</w:t>
      </w:r>
      <w:r w:rsidRPr="009A010C">
        <w:rPr>
          <w:lang w:val="en-CA"/>
        </w:rPr>
        <w:noBreakHyphen/>
        <w:t>GWP alternatives in line with decisions 77/35 and 81/11(c).</w:t>
      </w:r>
    </w:p>
    <w:p w:rsidR="00E04A95" w:rsidRPr="009A010C" w:rsidRDefault="00E04A95" w:rsidP="00E04A95">
      <w:pPr>
        <w:spacing w:after="240"/>
        <w:rPr>
          <w:u w:val="single"/>
          <w:lang w:val="en-CA"/>
        </w:rPr>
      </w:pPr>
      <w:r w:rsidRPr="009A010C">
        <w:rPr>
          <w:u w:val="single"/>
          <w:lang w:val="en-CA"/>
        </w:rPr>
        <w:t>HCFC consumption</w:t>
      </w:r>
    </w:p>
    <w:p w:rsidR="00E04A95" w:rsidRPr="009A010C" w:rsidRDefault="00E04A95" w:rsidP="00E04A95">
      <w:pPr>
        <w:pStyle w:val="Heading1"/>
        <w:rPr>
          <w:lang w:val="en-CA"/>
        </w:rPr>
      </w:pPr>
      <w:r w:rsidRPr="009A010C">
        <w:rPr>
          <w:lang w:val="en-CA"/>
        </w:rPr>
        <w:t>The Government of Indonesia reported a consumption of 239.79 ODP tonnes of HCFC in 2017,</w:t>
      </w:r>
      <w:r w:rsidRPr="009A010C">
        <w:rPr>
          <w:rStyle w:val="FootnoteReference"/>
          <w:lang w:val="en-CA"/>
        </w:rPr>
        <w:footnoteReference w:id="37"/>
      </w:r>
      <w:r w:rsidRPr="009A010C">
        <w:rPr>
          <w:lang w:val="en-CA"/>
        </w:rPr>
        <w:t xml:space="preserve"> which is 34 per cent below the HPMP target of 363.51 ODP tonnes for 2017, and 41 per cent lower than the established baseline of 403.9 ODP tonnes. The Government submitted sector consumption data under the 2017 country programme implementation report consistent with the data reported under Article 7 of the Montreal Protocol.</w:t>
      </w:r>
    </w:p>
    <w:p w:rsidR="00E04A95" w:rsidRPr="009A010C" w:rsidRDefault="00E04A95" w:rsidP="00E04A95">
      <w:pPr>
        <w:spacing w:after="240"/>
        <w:rPr>
          <w:u w:val="single"/>
          <w:lang w:val="en-CA"/>
        </w:rPr>
      </w:pPr>
      <w:r w:rsidRPr="009A010C">
        <w:rPr>
          <w:u w:val="single"/>
          <w:lang w:val="en-CA"/>
        </w:rPr>
        <w:t>Progress report on the implementation of the third and final tranche of the HPMP</w:t>
      </w:r>
    </w:p>
    <w:p w:rsidR="00E04A95" w:rsidRPr="009A010C" w:rsidRDefault="00E04A95" w:rsidP="00E04A95">
      <w:pPr>
        <w:spacing w:after="240"/>
        <w:rPr>
          <w:i/>
          <w:u w:val="single"/>
          <w:lang w:val="en-CA"/>
        </w:rPr>
      </w:pPr>
      <w:r w:rsidRPr="009A010C">
        <w:rPr>
          <w:i/>
          <w:lang w:val="en-CA"/>
        </w:rPr>
        <w:t>Polyurethane (PU) foam sector</w:t>
      </w:r>
    </w:p>
    <w:p w:rsidR="00E04A95" w:rsidRPr="009A010C" w:rsidRDefault="00E04A95" w:rsidP="00E04A95">
      <w:pPr>
        <w:pStyle w:val="Heading1"/>
        <w:rPr>
          <w:lang w:val="en-CA"/>
        </w:rPr>
      </w:pPr>
      <w:r w:rsidRPr="009A010C">
        <w:rPr>
          <w:lang w:val="en-CA"/>
        </w:rPr>
        <w:t xml:space="preserve">In the foam sector, one systems house (PT. </w:t>
      </w:r>
      <w:proofErr w:type="spellStart"/>
      <w:r w:rsidRPr="009A010C">
        <w:rPr>
          <w:lang w:val="en-CA"/>
        </w:rPr>
        <w:t>Sutindo</w:t>
      </w:r>
      <w:proofErr w:type="spellEnd"/>
      <w:r w:rsidRPr="009A010C">
        <w:rPr>
          <w:lang w:val="en-CA"/>
        </w:rPr>
        <w:t xml:space="preserve"> Chemical Indonesia) completed its conversion, while the other systems house (PT. TSG Chemical, with a funding allocation of US $301,539, plus agency support costs of US $22,615 for the World Bank), is still considering whether to withdraw from the project. In addition, the NOU has initiated discussions with relevant ministries and stakeholders to prepare the policy to ban the use and import of HCFC</w:t>
      </w:r>
      <w:r w:rsidRPr="009A010C">
        <w:rPr>
          <w:lang w:val="en-CA"/>
        </w:rPr>
        <w:noBreakHyphen/>
        <w:t>141b in bulk and pre</w:t>
      </w:r>
      <w:r w:rsidRPr="009A010C">
        <w:rPr>
          <w:lang w:val="en-CA"/>
        </w:rPr>
        <w:noBreakHyphen/>
        <w:t>blended form for all sectors. It is expected that the policy and regulation would be issued by 1 January 2021.</w:t>
      </w:r>
      <w:r w:rsidRPr="009A010C">
        <w:t xml:space="preserve"> </w:t>
      </w:r>
      <w:r w:rsidRPr="009A010C">
        <w:rPr>
          <w:lang w:val="en-CA"/>
        </w:rPr>
        <w:t xml:space="preserve">UNIDO completed the umbrella project to phase </w:t>
      </w:r>
      <w:r w:rsidRPr="009A010C">
        <w:rPr>
          <w:lang w:val="en-CA"/>
        </w:rPr>
        <w:lastRenderedPageBreak/>
        <w:t xml:space="preserve">out HCFC-141b used at </w:t>
      </w:r>
      <w:proofErr w:type="spellStart"/>
      <w:r w:rsidRPr="009A010C">
        <w:rPr>
          <w:lang w:val="en-CA"/>
        </w:rPr>
        <w:t>Isotech</w:t>
      </w:r>
      <w:proofErr w:type="spellEnd"/>
      <w:r w:rsidRPr="009A010C">
        <w:rPr>
          <w:lang w:val="en-CA"/>
        </w:rPr>
        <w:t xml:space="preserve"> Jaya </w:t>
      </w:r>
      <w:proofErr w:type="spellStart"/>
      <w:r w:rsidRPr="009A010C">
        <w:rPr>
          <w:lang w:val="en-CA"/>
        </w:rPr>
        <w:t>Makmur</w:t>
      </w:r>
      <w:proofErr w:type="spellEnd"/>
      <w:r w:rsidRPr="009A010C">
        <w:rPr>
          <w:lang w:val="en-CA"/>
        </w:rPr>
        <w:t xml:space="preserve">, </w:t>
      </w:r>
      <w:proofErr w:type="spellStart"/>
      <w:r w:rsidRPr="009A010C">
        <w:rPr>
          <w:lang w:val="en-CA"/>
        </w:rPr>
        <w:t>Airtekindo</w:t>
      </w:r>
      <w:proofErr w:type="spellEnd"/>
      <w:r w:rsidRPr="009A010C">
        <w:rPr>
          <w:lang w:val="en-CA"/>
        </w:rPr>
        <w:t xml:space="preserve">, </w:t>
      </w:r>
      <w:proofErr w:type="spellStart"/>
      <w:r w:rsidRPr="009A010C">
        <w:rPr>
          <w:lang w:val="en-CA"/>
        </w:rPr>
        <w:t>Sinar</w:t>
      </w:r>
      <w:proofErr w:type="spellEnd"/>
      <w:r w:rsidRPr="009A010C">
        <w:rPr>
          <w:lang w:val="en-CA"/>
        </w:rPr>
        <w:t xml:space="preserve"> </w:t>
      </w:r>
      <w:proofErr w:type="spellStart"/>
      <w:r w:rsidRPr="009A010C">
        <w:rPr>
          <w:lang w:val="en-CA"/>
        </w:rPr>
        <w:t>Lentera</w:t>
      </w:r>
      <w:proofErr w:type="spellEnd"/>
      <w:r w:rsidRPr="009A010C">
        <w:rPr>
          <w:lang w:val="en-CA"/>
        </w:rPr>
        <w:t xml:space="preserve"> </w:t>
      </w:r>
      <w:proofErr w:type="spellStart"/>
      <w:r w:rsidRPr="009A010C">
        <w:rPr>
          <w:lang w:val="en-CA"/>
        </w:rPr>
        <w:t>Kencana</w:t>
      </w:r>
      <w:proofErr w:type="spellEnd"/>
      <w:r w:rsidRPr="009A010C">
        <w:rPr>
          <w:lang w:val="en-CA"/>
        </w:rPr>
        <w:t xml:space="preserve"> and Mayer Jaya in January</w:t>
      </w:r>
      <w:r w:rsidR="00975714" w:rsidRPr="009A010C">
        <w:rPr>
          <w:lang w:val="en-CA"/>
        </w:rPr>
        <w:t> </w:t>
      </w:r>
      <w:r w:rsidRPr="009A010C">
        <w:rPr>
          <w:lang w:val="en-CA"/>
        </w:rPr>
        <w:t>2017 (IDS/PHA/64/INV/194).</w:t>
      </w:r>
    </w:p>
    <w:p w:rsidR="00E04A95" w:rsidRPr="009A010C" w:rsidRDefault="00E04A95" w:rsidP="00E04A95">
      <w:pPr>
        <w:spacing w:after="240"/>
        <w:rPr>
          <w:i/>
          <w:u w:val="single"/>
          <w:lang w:val="en-CA"/>
        </w:rPr>
      </w:pPr>
      <w:r w:rsidRPr="009A010C">
        <w:rPr>
          <w:i/>
          <w:lang w:val="en-CA"/>
        </w:rPr>
        <w:t>RAC manufacturing sector</w:t>
      </w:r>
    </w:p>
    <w:p w:rsidR="00E04A95" w:rsidRPr="009A010C" w:rsidRDefault="00E04A95" w:rsidP="00E04A95">
      <w:pPr>
        <w:pStyle w:val="Heading1"/>
        <w:rPr>
          <w:lang w:val="en-CA"/>
        </w:rPr>
      </w:pPr>
      <w:r w:rsidRPr="009A010C">
        <w:rPr>
          <w:lang w:val="en-CA"/>
        </w:rPr>
        <w:t>Stage I of the HPMP included conversion of 48 enterprises in the RAC manufacturing sector to low</w:t>
      </w:r>
      <w:r w:rsidRPr="009A010C">
        <w:rPr>
          <w:lang w:val="en-CA"/>
        </w:rPr>
        <w:noBreakHyphen/>
        <w:t>GWP technologies. However, during implementation, 28 enterprises (16 in the air</w:t>
      </w:r>
      <w:r w:rsidRPr="009A010C">
        <w:rPr>
          <w:lang w:val="en-CA"/>
        </w:rPr>
        <w:noBreakHyphen/>
        <w:t>conditioning sector and 12 in the commercial refrigeration sector) decided to convert to high</w:t>
      </w:r>
      <w:r w:rsidRPr="009A010C">
        <w:rPr>
          <w:lang w:val="en-CA"/>
        </w:rPr>
        <w:noBreakHyphen/>
        <w:t>GWP technology with their own resources and returned US $3,134,216, plus agency support costs, to the Multilateral Fund.</w:t>
      </w:r>
      <w:r w:rsidRPr="009A010C" w:rsidDel="00D15F58">
        <w:rPr>
          <w:lang w:val="en-CA"/>
        </w:rPr>
        <w:t xml:space="preserve"> </w:t>
      </w:r>
    </w:p>
    <w:p w:rsidR="00E04A95" w:rsidRPr="009A010C" w:rsidRDefault="00E04A95" w:rsidP="00E04A95">
      <w:pPr>
        <w:pStyle w:val="Heading1"/>
        <w:rPr>
          <w:lang w:val="en-CA"/>
        </w:rPr>
      </w:pPr>
      <w:r w:rsidRPr="009A010C">
        <w:rPr>
          <w:lang w:val="en-CA"/>
        </w:rPr>
        <w:t>Of the remaining 20 enterprises, only one (Panasonic) is currently manufacturing air</w:t>
      </w:r>
      <w:r w:rsidRPr="009A010C">
        <w:rPr>
          <w:lang w:val="en-CA"/>
        </w:rPr>
        <w:noBreakHyphen/>
        <w:t>conditioners based on HFC</w:t>
      </w:r>
      <w:r w:rsidRPr="009A010C">
        <w:rPr>
          <w:lang w:val="en-CA"/>
        </w:rPr>
        <w:noBreakHyphen/>
        <w:t>32 technology. Eight large- and medium</w:t>
      </w:r>
      <w:r w:rsidRPr="009A010C">
        <w:rPr>
          <w:lang w:val="en-CA"/>
        </w:rPr>
        <w:noBreakHyphen/>
        <w:t>sized enterprises have manufactured HFC</w:t>
      </w:r>
      <w:r w:rsidRPr="009A010C">
        <w:rPr>
          <w:lang w:val="en-CA"/>
        </w:rPr>
        <w:noBreakHyphen/>
        <w:t>32</w:t>
      </w:r>
      <w:r w:rsidRPr="009A010C">
        <w:rPr>
          <w:lang w:val="en-CA"/>
        </w:rPr>
        <w:noBreakHyphen/>
        <w:t>based prototype equipment, while eight small</w:t>
      </w:r>
      <w:r w:rsidRPr="009A010C">
        <w:rPr>
          <w:lang w:val="en-CA"/>
        </w:rPr>
        <w:noBreakHyphen/>
        <w:t>sized enterprises are assemblers that work based on custom</w:t>
      </w:r>
      <w:r w:rsidRPr="009A010C">
        <w:rPr>
          <w:lang w:val="en-CA"/>
        </w:rPr>
        <w:noBreakHyphen/>
        <w:t>made orders; to date, no orders for HFC</w:t>
      </w:r>
      <w:r w:rsidRPr="009A010C">
        <w:rPr>
          <w:lang w:val="en-CA"/>
        </w:rPr>
        <w:noBreakHyphen/>
        <w:t>32</w:t>
      </w:r>
      <w:r w:rsidRPr="009A010C">
        <w:rPr>
          <w:lang w:val="en-CA"/>
        </w:rPr>
        <w:noBreakHyphen/>
        <w:t>based equipment have been received. Three additional enterprises were still waiting for the market for HFC</w:t>
      </w:r>
      <w:r w:rsidRPr="009A010C">
        <w:rPr>
          <w:lang w:val="en-CA"/>
        </w:rPr>
        <w:noBreakHyphen/>
        <w:t>32</w:t>
      </w:r>
      <w:r w:rsidRPr="009A010C">
        <w:rPr>
          <w:lang w:val="en-CA"/>
        </w:rPr>
        <w:noBreakHyphen/>
        <w:t>based equipment to improve before undertaking their conversion. Currently, all these enterprises are manufacturing equipment based on high</w:t>
      </w:r>
      <w:r w:rsidRPr="009A010C">
        <w:rPr>
          <w:lang w:val="en-CA"/>
        </w:rPr>
        <w:noBreakHyphen/>
        <w:t>GWP (principally R</w:t>
      </w:r>
      <w:r w:rsidRPr="009A010C">
        <w:rPr>
          <w:lang w:val="en-CA"/>
        </w:rPr>
        <w:noBreakHyphen/>
        <w:t>410A, R</w:t>
      </w:r>
      <w:r w:rsidRPr="009A010C">
        <w:rPr>
          <w:lang w:val="en-CA"/>
        </w:rPr>
        <w:noBreakHyphen/>
        <w:t>404A, and HFC</w:t>
      </w:r>
      <w:r w:rsidRPr="009A010C">
        <w:rPr>
          <w:lang w:val="en-CA"/>
        </w:rPr>
        <w:noBreakHyphen/>
        <w:t>134a) refrigerants.</w:t>
      </w:r>
    </w:p>
    <w:p w:rsidR="00E04A95" w:rsidRPr="009A010C" w:rsidRDefault="00E04A95" w:rsidP="00E04A95">
      <w:pPr>
        <w:pStyle w:val="Heading1"/>
        <w:keepNext/>
        <w:keepLines/>
        <w:rPr>
          <w:lang w:val="en-CA"/>
        </w:rPr>
      </w:pPr>
      <w:r w:rsidRPr="009A010C">
        <w:rPr>
          <w:lang w:val="en-CA"/>
        </w:rPr>
        <w:t>The reasons for the delay in the conversion and manufacturing of RAC equipment with the agreed technology by 19 enterprises are: limited commercial availability of HFC</w:t>
      </w:r>
      <w:r w:rsidRPr="009A010C">
        <w:rPr>
          <w:lang w:val="en-CA"/>
        </w:rPr>
        <w:noBreakHyphen/>
        <w:t>32</w:t>
      </w:r>
      <w:r w:rsidRPr="009A010C">
        <w:rPr>
          <w:lang w:val="en-CA"/>
        </w:rPr>
        <w:noBreakHyphen/>
        <w:t>based compressors and components at affordable prices; lack of demand in the local market for HFC</w:t>
      </w:r>
      <w:r w:rsidRPr="009A010C">
        <w:rPr>
          <w:lang w:val="en-CA"/>
        </w:rPr>
        <w:noBreakHyphen/>
        <w:t>32</w:t>
      </w:r>
      <w:r w:rsidRPr="009A010C">
        <w:rPr>
          <w:lang w:val="en-CA"/>
        </w:rPr>
        <w:noBreakHyphen/>
        <w:t>based equipment; and higher cost of HFC</w:t>
      </w:r>
      <w:r w:rsidRPr="009A010C">
        <w:rPr>
          <w:lang w:val="en-CA"/>
        </w:rPr>
        <w:noBreakHyphen/>
        <w:t>32</w:t>
      </w:r>
      <w:r w:rsidRPr="009A010C">
        <w:rPr>
          <w:lang w:val="en-CA"/>
        </w:rPr>
        <w:noBreakHyphen/>
        <w:t>based equipment compared to other equipment available in the country (e.g. based on the R</w:t>
      </w:r>
      <w:r w:rsidRPr="009A010C">
        <w:rPr>
          <w:lang w:val="en-CA"/>
        </w:rPr>
        <w:noBreakHyphen/>
        <w:t>410A refrigerant).</w:t>
      </w:r>
    </w:p>
    <w:p w:rsidR="00E04A95" w:rsidRPr="009A010C" w:rsidRDefault="00E04A95" w:rsidP="00E04A95">
      <w:pPr>
        <w:pStyle w:val="Heading1"/>
        <w:rPr>
          <w:lang w:val="en-CA"/>
        </w:rPr>
      </w:pPr>
      <w:r w:rsidRPr="009A010C">
        <w:rPr>
          <w:lang w:val="en-CA"/>
        </w:rPr>
        <w:t>To enable these manufacturing enterprises to start manufacturing using the technology for which the funding had been approved, the national ozone unit (NOU) together with UNDP conducted awareness activities and a study tour to China in October 2017. From the study tour, enterprises learnt that compressor manufacturers in China were waiting for the approval of safety standards to initiate mass production of HFC</w:t>
      </w:r>
      <w:r w:rsidRPr="009A010C">
        <w:rPr>
          <w:lang w:val="en-CA"/>
        </w:rPr>
        <w:noBreakHyphen/>
        <w:t>32</w:t>
      </w:r>
      <w:r w:rsidRPr="009A010C">
        <w:rPr>
          <w:lang w:val="en-CA"/>
        </w:rPr>
        <w:noBreakHyphen/>
        <w:t>based commercial compressors. Those standards were approved in July 2018; given their recent approval, national demand in China has not yet materialized. UNDP informed the Secretariat that under these market conditions, the Chinese compressor manufacturers are still not able to provide the HFC</w:t>
      </w:r>
      <w:r w:rsidR="00975714" w:rsidRPr="009A010C">
        <w:rPr>
          <w:lang w:val="en-CA"/>
        </w:rPr>
        <w:noBreakHyphen/>
      </w:r>
      <w:r w:rsidRPr="009A010C">
        <w:rPr>
          <w:lang w:val="en-CA"/>
        </w:rPr>
        <w:t>32 compressors to Indonesia, and therefore the Indonesian RAC enterprises cannot complete their projects at this time.</w:t>
      </w:r>
    </w:p>
    <w:p w:rsidR="00E04A95" w:rsidRPr="009A010C" w:rsidRDefault="00E04A95" w:rsidP="00E04A95">
      <w:pPr>
        <w:pStyle w:val="Heading1"/>
        <w:rPr>
          <w:lang w:val="en-CA"/>
        </w:rPr>
      </w:pPr>
      <w:r w:rsidRPr="009A010C">
        <w:rPr>
          <w:lang w:val="en-CA"/>
        </w:rPr>
        <w:t>UNDP also consulted a compressor manufacturer in Thailand, as suggested by the Secretariat at the 81</w:t>
      </w:r>
      <w:r w:rsidRPr="009A010C">
        <w:rPr>
          <w:vertAlign w:val="superscript"/>
          <w:lang w:val="en-CA"/>
        </w:rPr>
        <w:t>st </w:t>
      </w:r>
      <w:r w:rsidRPr="009A010C">
        <w:rPr>
          <w:lang w:val="en-CA"/>
        </w:rPr>
        <w:t>meeting. The enterprise manufactures smaller HFC</w:t>
      </w:r>
      <w:r w:rsidRPr="009A010C">
        <w:rPr>
          <w:lang w:val="en-CA"/>
        </w:rPr>
        <w:noBreakHyphen/>
        <w:t>32</w:t>
      </w:r>
      <w:r w:rsidRPr="009A010C">
        <w:rPr>
          <w:lang w:val="en-CA"/>
        </w:rPr>
        <w:noBreakHyphen/>
        <w:t>based compressors, which are mostly used in room air</w:t>
      </w:r>
      <w:r w:rsidRPr="009A010C">
        <w:rPr>
          <w:lang w:val="en-CA"/>
        </w:rPr>
        <w:noBreakHyphen/>
        <w:t>conditioners. The compressors required by the Indonesian RAC manufacturers (of more than eight horsepower) are still under development, with first testing units expected to be available by February 2019. Given the need for those units to be tested by prospective clients in order to verify acceptance and performance, February 2019 cannot be considered the target date for commercial</w:t>
      </w:r>
      <w:r w:rsidRPr="009A010C">
        <w:rPr>
          <w:lang w:val="en-CA"/>
        </w:rPr>
        <w:noBreakHyphen/>
        <w:t>scale supply.</w:t>
      </w:r>
    </w:p>
    <w:p w:rsidR="00E04A95" w:rsidRPr="009A010C" w:rsidRDefault="00E04A95" w:rsidP="00E04A95">
      <w:pPr>
        <w:pStyle w:val="Heading1"/>
        <w:rPr>
          <w:lang w:val="en-CA"/>
        </w:rPr>
      </w:pPr>
      <w:r w:rsidRPr="009A010C">
        <w:rPr>
          <w:lang w:val="en-CA"/>
        </w:rPr>
        <w:t>UNDP informed that the RAC manufacturers depend on the commercial</w:t>
      </w:r>
      <w:r w:rsidRPr="009A010C">
        <w:rPr>
          <w:lang w:val="en-CA"/>
        </w:rPr>
        <w:noBreakHyphen/>
        <w:t>scale supply from the compressor manufacturers. The current supply</w:t>
      </w:r>
      <w:r w:rsidRPr="009A010C">
        <w:rPr>
          <w:lang w:val="en-CA"/>
        </w:rPr>
        <w:noBreakHyphen/>
        <w:t>chain scenario for HFC</w:t>
      </w:r>
      <w:r w:rsidRPr="009A010C">
        <w:rPr>
          <w:lang w:val="en-CA"/>
        </w:rPr>
        <w:noBreakHyphen/>
        <w:t>32 compressors of the required size is still unclear, and therefore the enterprises cannot yet commit to the completion of the project. Accordingly, UNDP proposed to extend the completion of the RAC manufacturing sector plan to December 2020 (i.e., in two years) to allow manufacturers to test the recently developed HFC</w:t>
      </w:r>
      <w:r w:rsidRPr="009A010C">
        <w:rPr>
          <w:lang w:val="en-CA"/>
        </w:rPr>
        <w:noBreakHyphen/>
        <w:t>32 compressor, to initiate commercial manufacturing of the HFC</w:t>
      </w:r>
      <w:r w:rsidRPr="009A010C">
        <w:rPr>
          <w:lang w:val="en-CA"/>
        </w:rPr>
        <w:noBreakHyphen/>
        <w:t xml:space="preserve">32 equipment, and to allow the payment of incremental operating costs (IOCs) to the manufacturers. </w:t>
      </w:r>
    </w:p>
    <w:p w:rsidR="00E04A95" w:rsidRPr="009A010C" w:rsidRDefault="00E04A95" w:rsidP="00B107FB">
      <w:pPr>
        <w:keepNext/>
        <w:spacing w:after="240"/>
        <w:rPr>
          <w:i/>
          <w:u w:val="single"/>
          <w:lang w:val="en-CA"/>
        </w:rPr>
      </w:pPr>
      <w:r w:rsidRPr="009A010C">
        <w:rPr>
          <w:i/>
          <w:lang w:val="en-CA"/>
        </w:rPr>
        <w:lastRenderedPageBreak/>
        <w:t>Servicing sector</w:t>
      </w:r>
    </w:p>
    <w:p w:rsidR="00E04A95" w:rsidRPr="009A010C" w:rsidRDefault="00E04A95" w:rsidP="00B107FB">
      <w:pPr>
        <w:pStyle w:val="Heading1"/>
        <w:keepNext/>
        <w:rPr>
          <w:lang w:val="en-CA"/>
        </w:rPr>
      </w:pPr>
      <w:r w:rsidRPr="009A010C">
        <w:rPr>
          <w:lang w:val="en-CA"/>
        </w:rPr>
        <w:t>Activities in the refrigeration servicing sector were initiated and will continue through stage II of the HPMP. Finalization of the implementation modalities of the product stewardship programme, upgrade of the training curriculum and awareness activities are ongoing. A study tour to Australia was conducted in August 2018 to assess the technicians’ licensing system and to collect lessons that could help Indonesia replicate such a scheme. The Government is reviewing the qualifications and skills system for licensing or certifying technicians. The Indonesia National Standard agency adopted as a national standard ISO 817/2014 for designating refrigerants, including a safety classification to refrigerants based on toxicity and flammability, and a means of determining the refrigerant concentration limit.</w:t>
      </w:r>
      <w:r w:rsidRPr="009A010C">
        <w:t xml:space="preserve"> </w:t>
      </w:r>
      <w:r w:rsidRPr="009A010C">
        <w:rPr>
          <w:lang w:val="en-CA"/>
        </w:rPr>
        <w:t>The Government of Australia will complete the technical assistance for refrigerant management project (IDS/PHA/64/TAS/196) by 31</w:t>
      </w:r>
      <w:r w:rsidR="00975714" w:rsidRPr="009A010C">
        <w:rPr>
          <w:lang w:val="en-CA"/>
        </w:rPr>
        <w:t> </w:t>
      </w:r>
      <w:r w:rsidRPr="009A010C">
        <w:rPr>
          <w:lang w:val="en-CA"/>
        </w:rPr>
        <w:t>December</w:t>
      </w:r>
      <w:r w:rsidR="00975714" w:rsidRPr="009A010C">
        <w:rPr>
          <w:lang w:val="en-CA"/>
        </w:rPr>
        <w:t> </w:t>
      </w:r>
      <w:r w:rsidRPr="009A010C">
        <w:rPr>
          <w:lang w:val="en-CA"/>
        </w:rPr>
        <w:t xml:space="preserve">2018. </w:t>
      </w:r>
    </w:p>
    <w:p w:rsidR="00E04A95" w:rsidRPr="009A010C" w:rsidRDefault="00E04A95" w:rsidP="00E04A95">
      <w:pPr>
        <w:spacing w:after="240"/>
        <w:rPr>
          <w:i/>
          <w:u w:val="single"/>
          <w:lang w:val="en-CA"/>
        </w:rPr>
      </w:pPr>
      <w:r w:rsidRPr="009A010C">
        <w:rPr>
          <w:i/>
          <w:lang w:val="en-CA"/>
        </w:rPr>
        <w:t>Project management unit (PMU)</w:t>
      </w:r>
    </w:p>
    <w:p w:rsidR="00E04A95" w:rsidRPr="009A010C" w:rsidRDefault="00E04A95" w:rsidP="00E04A95">
      <w:pPr>
        <w:pStyle w:val="Heading1"/>
        <w:rPr>
          <w:lang w:val="en-CA"/>
        </w:rPr>
      </w:pPr>
      <w:r w:rsidRPr="009A010C">
        <w:rPr>
          <w:lang w:val="en-CA"/>
        </w:rPr>
        <w:t>The PMU organized the study tour to Australia, assisted in the follow-up to the RAC investment activities required in decision 81/11(c), and supported the NOU in liaising with training centres to facilitate the implementation of the servicing activities.</w:t>
      </w:r>
    </w:p>
    <w:p w:rsidR="00E04A95" w:rsidRPr="009A010C" w:rsidRDefault="00E04A95" w:rsidP="00E04A95">
      <w:pPr>
        <w:keepNext/>
        <w:keepLines/>
        <w:widowControl w:val="0"/>
        <w:spacing w:after="240"/>
        <w:rPr>
          <w:i/>
          <w:lang w:val="en-CA"/>
        </w:rPr>
      </w:pPr>
      <w:r w:rsidRPr="009A010C">
        <w:rPr>
          <w:i/>
          <w:lang w:val="en-CA"/>
        </w:rPr>
        <w:t>Level of fund disbursement</w:t>
      </w:r>
    </w:p>
    <w:p w:rsidR="00E04A95" w:rsidRPr="00F4406E" w:rsidRDefault="00E04A95" w:rsidP="00E04A95">
      <w:pPr>
        <w:pStyle w:val="Heading1"/>
        <w:keepNext/>
        <w:keepLines/>
        <w:rPr>
          <w:u w:val="single"/>
          <w:lang w:val="en-CA"/>
        </w:rPr>
      </w:pPr>
      <w:r w:rsidRPr="009A010C">
        <w:rPr>
          <w:lang w:val="en-CA"/>
        </w:rPr>
        <w:t xml:space="preserve">As of September 2018, of the US $12,692,684 approved, US $11,038,267 (87 per cent) had been disbursed (US $7,981,905 for UNDP, US $777,285 for UNIDO, US $2,088,042 for the World Bank, and US $191,035 for the Government of Australia) as shown in </w:t>
      </w:r>
      <w:r w:rsidRPr="00F4406E">
        <w:rPr>
          <w:lang w:val="en-CA"/>
        </w:rPr>
        <w:t xml:space="preserve">Table </w:t>
      </w:r>
      <w:r w:rsidR="00B107FB" w:rsidRPr="00F4406E">
        <w:rPr>
          <w:lang w:val="en-CA"/>
        </w:rPr>
        <w:t>14</w:t>
      </w:r>
      <w:r w:rsidRPr="00F4406E">
        <w:rPr>
          <w:lang w:val="en-CA"/>
        </w:rPr>
        <w:t>.</w:t>
      </w:r>
    </w:p>
    <w:p w:rsidR="00E04A95" w:rsidRPr="009A010C" w:rsidRDefault="00E04A95" w:rsidP="00E04A95">
      <w:pPr>
        <w:keepNext/>
        <w:rPr>
          <w:lang w:val="en-CA"/>
        </w:rPr>
      </w:pPr>
      <w:r w:rsidRPr="00F4406E">
        <w:rPr>
          <w:b/>
          <w:lang w:val="en-CA"/>
        </w:rPr>
        <w:t xml:space="preserve">Table </w:t>
      </w:r>
      <w:r w:rsidR="00B107FB" w:rsidRPr="00F4406E">
        <w:rPr>
          <w:b/>
          <w:lang w:val="en-CA"/>
        </w:rPr>
        <w:t>14</w:t>
      </w:r>
      <w:r w:rsidRPr="00F4406E">
        <w:rPr>
          <w:b/>
          <w:lang w:val="en-CA"/>
        </w:rPr>
        <w:t>. Financial report of stage I of the HPMP for Indonesia</w:t>
      </w:r>
      <w:r w:rsidRPr="009A010C">
        <w:rPr>
          <w:b/>
          <w:lang w:val="en-CA"/>
        </w:rPr>
        <w:t xml:space="preserve"> (US $)</w:t>
      </w:r>
    </w:p>
    <w:tbl>
      <w:tblPr>
        <w:tblW w:w="5000" w:type="pct"/>
        <w:tblLook w:val="04A0" w:firstRow="1" w:lastRow="0" w:firstColumn="1" w:lastColumn="0" w:noHBand="0" w:noVBand="1"/>
      </w:tblPr>
      <w:tblGrid>
        <w:gridCol w:w="2623"/>
        <w:gridCol w:w="2301"/>
        <w:gridCol w:w="2302"/>
        <w:gridCol w:w="2304"/>
      </w:tblGrid>
      <w:tr w:rsidR="00E04A95" w:rsidRPr="009A010C" w:rsidTr="00E04A95">
        <w:trPr>
          <w:tblHeader/>
        </w:trPr>
        <w:tc>
          <w:tcPr>
            <w:tcW w:w="137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04A95" w:rsidRPr="009A010C" w:rsidRDefault="00E04A95" w:rsidP="00E04A95">
            <w:pPr>
              <w:keepNext/>
              <w:jc w:val="left"/>
              <w:rPr>
                <w:b/>
                <w:bCs/>
                <w:color w:val="000000"/>
                <w:sz w:val="20"/>
                <w:szCs w:val="20"/>
                <w:lang w:val="en-CA" w:eastAsia="en-CA"/>
              </w:rPr>
            </w:pPr>
            <w:r w:rsidRPr="009A010C">
              <w:rPr>
                <w:b/>
                <w:bCs/>
                <w:color w:val="000000"/>
                <w:sz w:val="20"/>
                <w:szCs w:val="20"/>
                <w:lang w:val="en-CA" w:eastAsia="en-CA"/>
              </w:rPr>
              <w:t>Agency</w:t>
            </w:r>
          </w:p>
        </w:tc>
        <w:tc>
          <w:tcPr>
            <w:tcW w:w="1207" w:type="pct"/>
            <w:tcBorders>
              <w:top w:val="single" w:sz="4" w:space="0" w:color="auto"/>
              <w:left w:val="single" w:sz="4" w:space="0" w:color="auto"/>
              <w:right w:val="single" w:sz="4" w:space="0" w:color="auto"/>
            </w:tcBorders>
            <w:shd w:val="clear" w:color="auto" w:fill="auto"/>
            <w:noWrap/>
            <w:vAlign w:val="center"/>
            <w:hideMark/>
          </w:tcPr>
          <w:p w:rsidR="00E04A95" w:rsidRPr="009A010C" w:rsidRDefault="00E04A95" w:rsidP="00E04A95">
            <w:pPr>
              <w:keepNext/>
              <w:jc w:val="center"/>
              <w:rPr>
                <w:b/>
                <w:color w:val="000000"/>
                <w:sz w:val="20"/>
                <w:szCs w:val="20"/>
                <w:lang w:val="en-CA" w:eastAsia="en-CA"/>
              </w:rPr>
            </w:pPr>
            <w:r w:rsidRPr="009A010C">
              <w:rPr>
                <w:b/>
                <w:color w:val="000000"/>
                <w:sz w:val="20"/>
                <w:szCs w:val="20"/>
                <w:lang w:val="en-CA" w:eastAsia="en-CA"/>
              </w:rPr>
              <w:t>Approved (US $)</w:t>
            </w:r>
          </w:p>
        </w:tc>
        <w:tc>
          <w:tcPr>
            <w:tcW w:w="1208" w:type="pct"/>
            <w:tcBorders>
              <w:top w:val="single" w:sz="4" w:space="0" w:color="auto"/>
              <w:left w:val="single" w:sz="4" w:space="0" w:color="auto"/>
              <w:bottom w:val="single" w:sz="4" w:space="0" w:color="auto"/>
              <w:right w:val="single" w:sz="4" w:space="0" w:color="auto"/>
            </w:tcBorders>
            <w:shd w:val="clear" w:color="auto" w:fill="auto"/>
            <w:vAlign w:val="center"/>
          </w:tcPr>
          <w:p w:rsidR="00E04A95" w:rsidRPr="009A010C" w:rsidRDefault="00E04A95" w:rsidP="00E04A95">
            <w:pPr>
              <w:keepNext/>
              <w:jc w:val="center"/>
              <w:rPr>
                <w:b/>
                <w:color w:val="000000"/>
                <w:sz w:val="20"/>
                <w:szCs w:val="20"/>
                <w:lang w:val="en-CA" w:eastAsia="en-CA"/>
              </w:rPr>
            </w:pPr>
            <w:r w:rsidRPr="009A010C">
              <w:rPr>
                <w:b/>
                <w:color w:val="000000"/>
                <w:sz w:val="20"/>
                <w:szCs w:val="20"/>
                <w:lang w:val="en-CA" w:eastAsia="en-CA"/>
              </w:rPr>
              <w:t>Disbursed (US $)</w:t>
            </w:r>
          </w:p>
        </w:tc>
        <w:tc>
          <w:tcPr>
            <w:tcW w:w="1209" w:type="pct"/>
            <w:tcBorders>
              <w:top w:val="single" w:sz="4" w:space="0" w:color="auto"/>
              <w:left w:val="single" w:sz="4" w:space="0" w:color="auto"/>
              <w:bottom w:val="single" w:sz="4" w:space="0" w:color="auto"/>
              <w:right w:val="single" w:sz="4" w:space="0" w:color="auto"/>
            </w:tcBorders>
          </w:tcPr>
          <w:p w:rsidR="00E04A95" w:rsidRPr="009A010C" w:rsidRDefault="00E04A95" w:rsidP="00E04A95">
            <w:pPr>
              <w:keepNext/>
              <w:jc w:val="center"/>
              <w:rPr>
                <w:b/>
                <w:color w:val="000000"/>
                <w:sz w:val="20"/>
                <w:szCs w:val="20"/>
                <w:lang w:val="en-CA" w:eastAsia="en-CA"/>
              </w:rPr>
            </w:pPr>
            <w:r w:rsidRPr="009A010C">
              <w:rPr>
                <w:b/>
                <w:color w:val="000000"/>
                <w:sz w:val="20"/>
                <w:szCs w:val="20"/>
                <w:lang w:val="en-CA" w:eastAsia="en-CA"/>
              </w:rPr>
              <w:t>Disbursement rate (%)</w:t>
            </w:r>
          </w:p>
        </w:tc>
      </w:tr>
      <w:tr w:rsidR="00E04A95" w:rsidRPr="009A010C" w:rsidTr="00E04A95">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04A95" w:rsidRPr="009A010C" w:rsidRDefault="00E04A95" w:rsidP="00E04A95">
            <w:pPr>
              <w:keepNext/>
              <w:jc w:val="left"/>
              <w:rPr>
                <w:bCs/>
                <w:color w:val="000000"/>
                <w:sz w:val="20"/>
                <w:szCs w:val="20"/>
                <w:lang w:val="en-CA" w:eastAsia="en-CA"/>
              </w:rPr>
            </w:pPr>
            <w:r w:rsidRPr="009A010C">
              <w:rPr>
                <w:bCs/>
                <w:color w:val="000000"/>
                <w:sz w:val="20"/>
                <w:szCs w:val="20"/>
                <w:lang w:val="en-CA" w:eastAsia="en-CA"/>
              </w:rPr>
              <w:t>UNDP</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04A95" w:rsidRPr="009A010C" w:rsidRDefault="00E04A95" w:rsidP="00E04A95">
            <w:pPr>
              <w:keepNext/>
              <w:jc w:val="right"/>
              <w:rPr>
                <w:color w:val="000000"/>
                <w:sz w:val="20"/>
                <w:szCs w:val="20"/>
                <w:lang w:val="en-CA"/>
              </w:rPr>
            </w:pPr>
            <w:r w:rsidRPr="009A010C">
              <w:rPr>
                <w:color w:val="000000"/>
                <w:sz w:val="20"/>
                <w:szCs w:val="20"/>
                <w:lang w:val="en-CA"/>
              </w:rPr>
              <w:t>8,901,102*</w:t>
            </w:r>
          </w:p>
        </w:tc>
        <w:tc>
          <w:tcPr>
            <w:tcW w:w="12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 xml:space="preserve"> 7,981,905* </w:t>
            </w:r>
          </w:p>
        </w:tc>
        <w:tc>
          <w:tcPr>
            <w:tcW w:w="1209" w:type="pct"/>
            <w:tcBorders>
              <w:top w:val="single" w:sz="4" w:space="0" w:color="auto"/>
              <w:left w:val="single" w:sz="4" w:space="0" w:color="auto"/>
              <w:bottom w:val="single" w:sz="4" w:space="0" w:color="auto"/>
              <w:right w:val="single" w:sz="4" w:space="0" w:color="auto"/>
            </w:tcBorders>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90</w:t>
            </w:r>
          </w:p>
        </w:tc>
      </w:tr>
      <w:tr w:rsidR="00E04A95" w:rsidRPr="009A010C" w:rsidTr="00E04A95">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04A95" w:rsidRPr="009A010C" w:rsidRDefault="00E04A95" w:rsidP="00E04A95">
            <w:pPr>
              <w:keepNext/>
              <w:jc w:val="left"/>
              <w:rPr>
                <w:bCs/>
                <w:color w:val="000000"/>
                <w:sz w:val="20"/>
                <w:szCs w:val="20"/>
                <w:lang w:val="en-CA" w:eastAsia="en-CA"/>
              </w:rPr>
            </w:pPr>
            <w:r w:rsidRPr="009A010C">
              <w:rPr>
                <w:bCs/>
                <w:color w:val="000000"/>
                <w:sz w:val="20"/>
                <w:szCs w:val="20"/>
                <w:lang w:val="en-CA" w:eastAsia="en-CA"/>
              </w:rPr>
              <w:t>UNIDO</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04A95" w:rsidRPr="009A010C" w:rsidRDefault="00E04A95" w:rsidP="00E04A95">
            <w:pPr>
              <w:keepNext/>
              <w:jc w:val="right"/>
              <w:rPr>
                <w:color w:val="000000"/>
                <w:sz w:val="20"/>
                <w:szCs w:val="20"/>
                <w:lang w:val="en-CA"/>
              </w:rPr>
            </w:pPr>
            <w:r w:rsidRPr="009A010C">
              <w:rPr>
                <w:color w:val="000000"/>
                <w:sz w:val="20"/>
                <w:szCs w:val="20"/>
                <w:lang w:val="en-CA"/>
              </w:rPr>
              <w:t>777,395</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 xml:space="preserve"> 777,285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100</w:t>
            </w:r>
          </w:p>
        </w:tc>
      </w:tr>
      <w:tr w:rsidR="00E04A95" w:rsidRPr="009A010C" w:rsidTr="00E04A95">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04A95" w:rsidRPr="009A010C" w:rsidRDefault="00E04A95" w:rsidP="00E04A95">
            <w:pPr>
              <w:keepNext/>
              <w:jc w:val="left"/>
              <w:rPr>
                <w:bCs/>
                <w:color w:val="000000"/>
                <w:sz w:val="20"/>
                <w:szCs w:val="20"/>
                <w:lang w:val="en-CA" w:eastAsia="en-CA"/>
              </w:rPr>
            </w:pPr>
            <w:r w:rsidRPr="009A010C">
              <w:rPr>
                <w:bCs/>
                <w:color w:val="000000"/>
                <w:sz w:val="20"/>
                <w:szCs w:val="20"/>
                <w:lang w:val="en-CA" w:eastAsia="en-CA"/>
              </w:rPr>
              <w:t>World Bank</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04A95" w:rsidRPr="009A010C" w:rsidRDefault="00E04A95" w:rsidP="00E04A95">
            <w:pPr>
              <w:keepNext/>
              <w:jc w:val="right"/>
              <w:rPr>
                <w:color w:val="000000"/>
                <w:sz w:val="20"/>
                <w:szCs w:val="20"/>
                <w:lang w:val="en-CA"/>
              </w:rPr>
            </w:pPr>
            <w:r w:rsidRPr="009A010C">
              <w:rPr>
                <w:color w:val="000000"/>
                <w:sz w:val="20"/>
                <w:szCs w:val="20"/>
                <w:lang w:val="en-CA"/>
              </w:rPr>
              <w:t>2,714,187**</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 xml:space="preserve"> 2,088,042**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77</w:t>
            </w:r>
          </w:p>
        </w:tc>
      </w:tr>
      <w:tr w:rsidR="00E04A95" w:rsidRPr="009A010C" w:rsidTr="00E04A95">
        <w:tc>
          <w:tcPr>
            <w:tcW w:w="1376" w:type="pct"/>
            <w:tcBorders>
              <w:top w:val="nil"/>
              <w:left w:val="single" w:sz="4" w:space="0" w:color="auto"/>
              <w:bottom w:val="single" w:sz="4" w:space="0" w:color="auto"/>
              <w:right w:val="single" w:sz="4" w:space="0" w:color="auto"/>
            </w:tcBorders>
            <w:shd w:val="clear" w:color="auto" w:fill="auto"/>
            <w:noWrap/>
            <w:vAlign w:val="center"/>
          </w:tcPr>
          <w:p w:rsidR="00E04A95" w:rsidRPr="009A010C" w:rsidRDefault="00E04A95" w:rsidP="00E04A95">
            <w:pPr>
              <w:keepNext/>
              <w:jc w:val="left"/>
              <w:rPr>
                <w:bCs/>
                <w:color w:val="000000"/>
                <w:sz w:val="20"/>
                <w:szCs w:val="20"/>
                <w:lang w:val="en-CA" w:eastAsia="en-CA"/>
              </w:rPr>
            </w:pPr>
            <w:r w:rsidRPr="009A010C">
              <w:rPr>
                <w:bCs/>
                <w:color w:val="000000"/>
                <w:sz w:val="20"/>
                <w:szCs w:val="20"/>
                <w:lang w:val="en-CA" w:eastAsia="en-CA"/>
              </w:rPr>
              <w:t>Government of Australia</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04A95" w:rsidRPr="009A010C" w:rsidRDefault="00E04A95" w:rsidP="00E04A95">
            <w:pPr>
              <w:keepNext/>
              <w:jc w:val="right"/>
              <w:rPr>
                <w:color w:val="000000"/>
                <w:sz w:val="20"/>
                <w:szCs w:val="20"/>
                <w:lang w:val="en-CA"/>
              </w:rPr>
            </w:pPr>
            <w:r w:rsidRPr="009A010C">
              <w:rPr>
                <w:color w:val="000000"/>
                <w:sz w:val="20"/>
                <w:szCs w:val="20"/>
                <w:lang w:val="en-CA"/>
              </w:rPr>
              <w:t>300,000</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 xml:space="preserve"> 191,035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04A95" w:rsidRPr="009A010C" w:rsidRDefault="00E04A95" w:rsidP="00E04A95">
            <w:pPr>
              <w:jc w:val="right"/>
              <w:rPr>
                <w:sz w:val="20"/>
                <w:szCs w:val="20"/>
                <w:lang w:val="en-CA"/>
              </w:rPr>
            </w:pPr>
            <w:r w:rsidRPr="009A010C">
              <w:rPr>
                <w:sz w:val="20"/>
                <w:szCs w:val="20"/>
                <w:lang w:val="en-CA"/>
              </w:rPr>
              <w:t>64</w:t>
            </w:r>
          </w:p>
        </w:tc>
      </w:tr>
      <w:tr w:rsidR="00E04A95" w:rsidRPr="009A010C" w:rsidTr="00E04A95">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04A95" w:rsidRPr="009A010C" w:rsidRDefault="00E04A95" w:rsidP="00E04A95">
            <w:pPr>
              <w:jc w:val="left"/>
              <w:rPr>
                <w:b/>
                <w:bCs/>
                <w:color w:val="000000"/>
                <w:sz w:val="20"/>
                <w:szCs w:val="20"/>
                <w:lang w:val="en-CA" w:eastAsia="en-CA"/>
              </w:rPr>
            </w:pPr>
            <w:r w:rsidRPr="009A010C">
              <w:rPr>
                <w:b/>
                <w:bCs/>
                <w:color w:val="000000"/>
                <w:sz w:val="20"/>
                <w:szCs w:val="20"/>
                <w:lang w:val="en-CA" w:eastAsia="en-CA"/>
              </w:rPr>
              <w:t>Total</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04A95" w:rsidRPr="009A010C" w:rsidRDefault="00E04A95" w:rsidP="00E04A95">
            <w:pPr>
              <w:jc w:val="right"/>
              <w:rPr>
                <w:b/>
                <w:color w:val="000000"/>
                <w:sz w:val="20"/>
                <w:szCs w:val="20"/>
                <w:lang w:val="en-CA"/>
              </w:rPr>
            </w:pPr>
            <w:r w:rsidRPr="009A010C">
              <w:rPr>
                <w:b/>
                <w:color w:val="000000"/>
                <w:sz w:val="20"/>
                <w:szCs w:val="20"/>
                <w:lang w:val="en-CA"/>
              </w:rPr>
              <w:fldChar w:fldCharType="begin"/>
            </w:r>
            <w:r w:rsidRPr="009A010C">
              <w:rPr>
                <w:b/>
                <w:color w:val="000000"/>
                <w:sz w:val="20"/>
                <w:szCs w:val="20"/>
                <w:lang w:val="en-CA"/>
              </w:rPr>
              <w:instrText xml:space="preserve"> =SUM(ABOVE) </w:instrText>
            </w:r>
            <w:r w:rsidRPr="009A010C">
              <w:rPr>
                <w:b/>
                <w:color w:val="000000"/>
                <w:sz w:val="20"/>
                <w:szCs w:val="20"/>
                <w:lang w:val="en-CA"/>
              </w:rPr>
              <w:fldChar w:fldCharType="separate"/>
            </w:r>
            <w:r w:rsidRPr="009A010C">
              <w:rPr>
                <w:b/>
                <w:noProof/>
                <w:color w:val="000000"/>
                <w:sz w:val="20"/>
                <w:szCs w:val="20"/>
                <w:lang w:val="en-CA"/>
              </w:rPr>
              <w:t>12,692,684</w:t>
            </w:r>
            <w:r w:rsidRPr="009A010C">
              <w:rPr>
                <w:b/>
                <w:color w:val="000000"/>
                <w:sz w:val="20"/>
                <w:szCs w:val="20"/>
                <w:lang w:val="en-CA"/>
              </w:rPr>
              <w:fldChar w:fldCharType="end"/>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04A95" w:rsidRPr="009A010C" w:rsidRDefault="00E04A95" w:rsidP="00E04A95">
            <w:pPr>
              <w:jc w:val="right"/>
              <w:rPr>
                <w:b/>
                <w:sz w:val="20"/>
                <w:szCs w:val="20"/>
                <w:lang w:val="en-CA"/>
              </w:rPr>
            </w:pPr>
            <w:r w:rsidRPr="009A010C">
              <w:rPr>
                <w:b/>
                <w:sz w:val="20"/>
                <w:szCs w:val="20"/>
                <w:lang w:val="en-CA"/>
              </w:rPr>
              <w:t xml:space="preserve"> 11,038,267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04A95" w:rsidRPr="009A010C" w:rsidRDefault="00E04A95" w:rsidP="00E04A95">
            <w:pPr>
              <w:jc w:val="right"/>
              <w:rPr>
                <w:b/>
                <w:sz w:val="20"/>
                <w:szCs w:val="20"/>
                <w:lang w:val="en-CA"/>
              </w:rPr>
            </w:pPr>
            <w:r w:rsidRPr="009A010C">
              <w:rPr>
                <w:b/>
                <w:sz w:val="20"/>
                <w:szCs w:val="20"/>
                <w:lang w:val="en-CA"/>
              </w:rPr>
              <w:t>87</w:t>
            </w:r>
          </w:p>
        </w:tc>
      </w:tr>
    </w:tbl>
    <w:p w:rsidR="00E04A95" w:rsidRPr="009A010C" w:rsidRDefault="00E04A95" w:rsidP="00E04A95">
      <w:pPr>
        <w:rPr>
          <w:sz w:val="16"/>
          <w:szCs w:val="16"/>
          <w:lang w:val="en-CA"/>
        </w:rPr>
      </w:pPr>
      <w:r w:rsidRPr="009A010C">
        <w:rPr>
          <w:sz w:val="16"/>
          <w:szCs w:val="16"/>
          <w:lang w:val="en-CA"/>
        </w:rPr>
        <w:t>* Including US $3,134,216 returned at the 76</w:t>
      </w:r>
      <w:r w:rsidRPr="009A010C">
        <w:rPr>
          <w:sz w:val="16"/>
          <w:szCs w:val="16"/>
          <w:vertAlign w:val="superscript"/>
          <w:lang w:val="en-CA"/>
        </w:rPr>
        <w:t>th</w:t>
      </w:r>
      <w:r w:rsidRPr="009A010C">
        <w:rPr>
          <w:sz w:val="16"/>
          <w:szCs w:val="16"/>
          <w:lang w:val="en-CA"/>
        </w:rPr>
        <w:t xml:space="preserve"> meeting.</w:t>
      </w:r>
    </w:p>
    <w:p w:rsidR="00E04A95" w:rsidRPr="009A010C" w:rsidRDefault="00E04A95" w:rsidP="00E04A95">
      <w:pPr>
        <w:rPr>
          <w:sz w:val="16"/>
          <w:szCs w:val="16"/>
          <w:lang w:val="en-CA"/>
        </w:rPr>
      </w:pPr>
      <w:r w:rsidRPr="009A010C">
        <w:rPr>
          <w:sz w:val="16"/>
          <w:szCs w:val="16"/>
          <w:lang w:val="en-CA"/>
        </w:rPr>
        <w:t>** Including US $35,000 returned at the 81</w:t>
      </w:r>
      <w:r w:rsidRPr="009A010C">
        <w:rPr>
          <w:sz w:val="16"/>
          <w:szCs w:val="16"/>
          <w:vertAlign w:val="superscript"/>
          <w:lang w:val="en-CA"/>
        </w:rPr>
        <w:t>st</w:t>
      </w:r>
      <w:r w:rsidRPr="009A010C">
        <w:rPr>
          <w:sz w:val="16"/>
          <w:szCs w:val="16"/>
          <w:lang w:val="en-CA"/>
        </w:rPr>
        <w:t xml:space="preserve"> meeting.</w:t>
      </w:r>
    </w:p>
    <w:p w:rsidR="00E04A95" w:rsidRPr="009A010C" w:rsidRDefault="00E04A95" w:rsidP="00E04A95">
      <w:pPr>
        <w:rPr>
          <w:lang w:val="en-CA"/>
        </w:rPr>
      </w:pPr>
    </w:p>
    <w:p w:rsidR="00E04A95" w:rsidRPr="009A010C" w:rsidRDefault="00E04A95" w:rsidP="00E04A95">
      <w:pPr>
        <w:keepNext/>
        <w:keepLines/>
        <w:spacing w:after="240"/>
        <w:outlineLvl w:val="0"/>
        <w:rPr>
          <w:b/>
          <w:bCs/>
          <w:lang w:val="en-CA"/>
        </w:rPr>
      </w:pPr>
      <w:r w:rsidRPr="009A010C">
        <w:rPr>
          <w:b/>
          <w:bCs/>
          <w:lang w:val="en-CA"/>
        </w:rPr>
        <w:t>Secretariat’s comments</w:t>
      </w:r>
    </w:p>
    <w:p w:rsidR="00E04A95" w:rsidRPr="009A010C" w:rsidRDefault="00E04A95" w:rsidP="00E04A95">
      <w:pPr>
        <w:pStyle w:val="Heading1"/>
        <w:rPr>
          <w:lang w:val="en-CA"/>
        </w:rPr>
      </w:pPr>
      <w:r w:rsidRPr="009A010C">
        <w:rPr>
          <w:lang w:val="en-CA"/>
        </w:rPr>
        <w:t>The Government of Indonesia is requesting an additional extension for the completion of stage I of the HPMP from 31 December 2018 to 31 December 2020, to allow the payment of the IOCs associated with the conversion of the RAC manufacturing sector to HFC-32 technology, and the completion of the conversion of the foam enterprises and the systems houses. Issues discussed between the Secretariat and the implementing agencies on the request for the extension of the completion date are presented below.</w:t>
      </w:r>
    </w:p>
    <w:p w:rsidR="00E04A95" w:rsidRPr="009A010C" w:rsidRDefault="00E04A95" w:rsidP="00E04A95">
      <w:pPr>
        <w:keepNext/>
        <w:keepLines/>
        <w:spacing w:after="240"/>
        <w:outlineLvl w:val="0"/>
        <w:rPr>
          <w:u w:val="single"/>
          <w:lang w:val="en-CA"/>
        </w:rPr>
      </w:pPr>
      <w:r w:rsidRPr="009A010C">
        <w:rPr>
          <w:u w:val="single"/>
          <w:lang w:val="en-CA"/>
        </w:rPr>
        <w:t>Extension of the RAC manufacturing sector</w:t>
      </w:r>
    </w:p>
    <w:p w:rsidR="00E04A95" w:rsidRPr="009A010C" w:rsidRDefault="00E04A95" w:rsidP="00E04A95">
      <w:pPr>
        <w:pStyle w:val="Heading1"/>
        <w:rPr>
          <w:lang w:val="en-CA"/>
        </w:rPr>
      </w:pPr>
      <w:r w:rsidRPr="009A010C">
        <w:rPr>
          <w:lang w:val="en-CA"/>
        </w:rPr>
        <w:t>In decision 64/42(a), the Executive Committee acknowledged with appreciation the commendable efforts made by Indonesia towards establishing forward</w:t>
      </w:r>
      <w:r w:rsidRPr="009A010C">
        <w:rPr>
          <w:lang w:val="en-CA"/>
        </w:rPr>
        <w:noBreakHyphen/>
        <w:t>looking regulatory and policy action to sustain the HCFC phase</w:t>
      </w:r>
      <w:r w:rsidRPr="009A010C">
        <w:rPr>
          <w:lang w:val="en-CA"/>
        </w:rPr>
        <w:noBreakHyphen/>
        <w:t xml:space="preserve">out. The Secretariat also noted with appreciation the efforts made by the Government, with the support of UNDP, industry and other stakeholders, to ensure the conversion to the agreed technology of the RAC manufacturing enterprises in stage I of the HPMP. Notwithstanding those efforts, the Government requested to extend the completion of the RAC manufacturing sector plan from December 2018 (with the </w:t>
      </w:r>
      <w:r w:rsidRPr="009A010C">
        <w:rPr>
          <w:lang w:val="en-CA"/>
        </w:rPr>
        <w:lastRenderedPageBreak/>
        <w:t>project completion report to be submitted to the first meeting of 2019 in line with decision 76/47(d)) to December 2020, given the challenges in introducing the HFC</w:t>
      </w:r>
      <w:r w:rsidRPr="009A010C">
        <w:rPr>
          <w:lang w:val="en-CA"/>
        </w:rPr>
        <w:noBreakHyphen/>
        <w:t xml:space="preserve">32 technology (as previously explained). </w:t>
      </w:r>
    </w:p>
    <w:p w:rsidR="00E04A95" w:rsidRPr="009A010C" w:rsidRDefault="00E04A95" w:rsidP="00E04A95">
      <w:pPr>
        <w:pStyle w:val="Heading1"/>
        <w:rPr>
          <w:lang w:val="en-CA"/>
        </w:rPr>
      </w:pPr>
      <w:r w:rsidRPr="009A010C">
        <w:rPr>
          <w:lang w:val="en-CA"/>
        </w:rPr>
        <w:t xml:space="preserve">Noting the challenges in introducing the HFC-32 technology and the activities being undertaken by the Government on this matter, the Secretariat suggested additional measures that could be considered, namely introducing financial incentives for HFC-32-based RAC equipment (i.e., a subsidy) and/or disincentives on high-GWP-based RAC equipment (i.e., a tax); and/or bulk procurement that could reduce the cost of the equipment (due to economies of scale) and build consumer confidence in the new technology. However, UNDP indicated that the Government was currently unable to put in place such measures; in addition, it would depend on a complex coordination process amongst stakeholders with varied interests. Recalling that </w:t>
      </w:r>
      <w:r w:rsidRPr="009A010C">
        <w:t>funding was approved at the 81</w:t>
      </w:r>
      <w:r w:rsidRPr="009A010C">
        <w:rPr>
          <w:vertAlign w:val="superscript"/>
        </w:rPr>
        <w:t>st</w:t>
      </w:r>
      <w:r w:rsidRPr="009A010C">
        <w:t xml:space="preserve"> meeting for enabling activities,</w:t>
      </w:r>
      <w:r w:rsidRPr="009A010C">
        <w:rPr>
          <w:rStyle w:val="FootnoteReference"/>
        </w:rPr>
        <w:footnoteReference w:id="38"/>
      </w:r>
      <w:r w:rsidRPr="009A010C">
        <w:t xml:space="preserve"> the Secretariat invited the Government and UNDP to continue exploring mechanisms and implementing actions favouring the introduction of low-GWP alternatives in the RAC manufacturing sector</w:t>
      </w:r>
      <w:r w:rsidRPr="009A010C">
        <w:rPr>
          <w:lang w:val="en-CA"/>
        </w:rPr>
        <w:t xml:space="preserve">. </w:t>
      </w:r>
    </w:p>
    <w:p w:rsidR="00E04A95" w:rsidRPr="009A010C" w:rsidRDefault="00E04A95" w:rsidP="00E04A95">
      <w:pPr>
        <w:pStyle w:val="Heading1"/>
        <w:rPr>
          <w:lang w:val="en-CA"/>
        </w:rPr>
      </w:pPr>
      <w:r w:rsidRPr="009A010C">
        <w:rPr>
          <w:lang w:val="en-CA"/>
        </w:rPr>
        <w:t xml:space="preserve">In approving the </w:t>
      </w:r>
      <w:proofErr w:type="gramStart"/>
      <w:r w:rsidRPr="009A010C">
        <w:rPr>
          <w:lang w:val="en-CA"/>
        </w:rPr>
        <w:t>stage</w:t>
      </w:r>
      <w:proofErr w:type="gramEnd"/>
      <w:r w:rsidRPr="009A010C">
        <w:rPr>
          <w:lang w:val="en-CA"/>
        </w:rPr>
        <w:t xml:space="preserve"> I of the HPMP, the Executive Committee acknowledged with appreciation the commendable efforts made by Indonesia towards establishing forward-looking regulatory and policy action to sustain the HCFC phase-out (decision 64/42(a)). The Government of Indonesia, with the support of UNDP, industry and other stakeholders, is making its best efforts to ensure the conversion to the agreed technology. Accordingly, the Secretariat recommends an extension of the RAC manufacturing sector. </w:t>
      </w:r>
    </w:p>
    <w:p w:rsidR="00E04A95" w:rsidRPr="009A010C" w:rsidRDefault="00E04A95" w:rsidP="00E04A95">
      <w:pPr>
        <w:pStyle w:val="Heading1"/>
        <w:keepNext/>
        <w:keepLines/>
        <w:rPr>
          <w:lang w:val="en-CA"/>
        </w:rPr>
      </w:pPr>
      <w:r w:rsidRPr="009A010C">
        <w:rPr>
          <w:lang w:val="en-CA"/>
        </w:rPr>
        <w:t>Given the current constraints in introducing the HFC</w:t>
      </w:r>
      <w:r w:rsidRPr="009A010C">
        <w:rPr>
          <w:lang w:val="en-CA"/>
        </w:rPr>
        <w:noBreakHyphen/>
        <w:t>32 technology in the local market, regardless of the efforts undertaken by the Government and the stakeholders, the Secretariat proposed that if by 1 January 2020 the enterprises were not manufacturing equipment with the agreed (i.e., HFC</w:t>
      </w:r>
      <w:r w:rsidRPr="009A010C">
        <w:rPr>
          <w:lang w:val="en-CA"/>
        </w:rPr>
        <w:noBreakHyphen/>
        <w:t>32) technology, to deduct the quantity of R-410A charged in equipment manufactured by the converted enterprises after 1 January 2020 from the country’s starting point for aggregate reduction on HFC consumption, after taking into account the quantity of HFC</w:t>
      </w:r>
      <w:r w:rsidRPr="009A010C">
        <w:rPr>
          <w:lang w:val="en-CA"/>
        </w:rPr>
        <w:noBreakHyphen/>
        <w:t>32 that would have been phased in and would be included in the starting point, until the enterprises were manufacturing equipment based on the agreed alternative technology. In presenting this proposal, the Secretariat noted that, in line with paragraph 18(b) of decision XXVIII/2,</w:t>
      </w:r>
      <w:r w:rsidRPr="009A010C">
        <w:rPr>
          <w:rStyle w:val="FootnoteReference"/>
          <w:lang w:val="en-CA"/>
        </w:rPr>
        <w:footnoteReference w:id="39"/>
      </w:r>
      <w:r w:rsidRPr="009A010C">
        <w:rPr>
          <w:lang w:val="en-CA"/>
        </w:rPr>
        <w:t xml:space="preserve"> the RAC enterprises that were manufacturing with HFC-32 would be eligible for funding under the HFC phase</w:t>
      </w:r>
      <w:r w:rsidRPr="009A010C">
        <w:rPr>
          <w:lang w:val="en-CA"/>
        </w:rPr>
        <w:noBreakHyphen/>
        <w:t>down, while any consumption of R-410A by those enterprises would not be eligible for funding. The Secretariat considers that the proposed path forward is consistent with those principles.</w:t>
      </w:r>
    </w:p>
    <w:p w:rsidR="00E04A95" w:rsidRPr="009A010C" w:rsidRDefault="00E04A95" w:rsidP="00E04A95">
      <w:pPr>
        <w:pStyle w:val="Heading1"/>
        <w:rPr>
          <w:lang w:val="en-CA"/>
        </w:rPr>
      </w:pPr>
      <w:r w:rsidRPr="009A010C">
        <w:rPr>
          <w:lang w:val="en-CA"/>
        </w:rPr>
        <w:t>On behalf of the Government, UNDP expressed the following concerns about this proposal: it was unclear how the starting point would be established; even if enterprises were to start manufacturing HFC</w:t>
      </w:r>
      <w:r w:rsidRPr="009A010C">
        <w:rPr>
          <w:lang w:val="en-CA"/>
        </w:rPr>
        <w:noBreakHyphen/>
        <w:t>32</w:t>
      </w:r>
      <w:r w:rsidRPr="009A010C">
        <w:rPr>
          <w:lang w:val="en-CA"/>
        </w:rPr>
        <w:noBreakHyphen/>
        <w:t>based equipment in time, the starting point would need to cope with the tail for servicing of the R</w:t>
      </w:r>
      <w:r w:rsidRPr="009A010C">
        <w:rPr>
          <w:lang w:val="en-CA"/>
        </w:rPr>
        <w:noBreakHyphen/>
        <w:t>410A</w:t>
      </w:r>
      <w:r w:rsidRPr="009A010C">
        <w:rPr>
          <w:lang w:val="en-CA"/>
        </w:rPr>
        <w:noBreakHyphen/>
        <w:t xml:space="preserve">based equipment already deployed in the market; and that there was currently no decision that would fully take into account the special case of Indonesia. The proposal could be seen as penalizing the enterprises and the country for factors that are external to the HPMP implementation, and could discourage ongoing efforts in the country to ratify the Kigali Amendment. Subsequent to a discussion, it was agreed to extend the date of completion of stage I of the HPMP to 31 December 2019, on the understanding that the Government of Indonesia could submit a further request to extend stage I of the HPMP to the last meeting of 2019 and, in </w:t>
      </w:r>
      <w:r w:rsidRPr="009A010C">
        <w:rPr>
          <w:lang w:val="en-CA"/>
        </w:rPr>
        <w:lastRenderedPageBreak/>
        <w:t xml:space="preserve">such case, the Executive Committee could consider a possible deduction from the starting point for sustained aggregate reductions for HFC consumption at that time. </w:t>
      </w:r>
    </w:p>
    <w:p w:rsidR="00E04A95" w:rsidRPr="009A010C" w:rsidRDefault="00E04A95" w:rsidP="00E04A95">
      <w:pPr>
        <w:pStyle w:val="Heading1"/>
        <w:rPr>
          <w:lang w:val="en-CA"/>
        </w:rPr>
      </w:pPr>
      <w:r w:rsidRPr="009A010C">
        <w:rPr>
          <w:lang w:val="en-CA"/>
        </w:rPr>
        <w:t>In addition, and noting the challenges in ensuring the uptake of the agreed technology in the market, it was agreed to allow, on an exceptional basis, the reallocation of the savings associated with the conversion at Panasonic, in the amount of US $23,000, to technical support activities to facilitate the manufacturing of HFC</w:t>
      </w:r>
      <w:r w:rsidRPr="009A010C">
        <w:rPr>
          <w:lang w:val="en-CA"/>
        </w:rPr>
        <w:noBreakHyphen/>
        <w:t>32</w:t>
      </w:r>
      <w:r w:rsidRPr="009A010C">
        <w:rPr>
          <w:lang w:val="en-CA"/>
        </w:rPr>
        <w:noBreakHyphen/>
        <w:t>based equipment at the enterprises assisted under stage I.</w:t>
      </w:r>
    </w:p>
    <w:p w:rsidR="00E04A95" w:rsidRPr="009A010C" w:rsidRDefault="00E04A95" w:rsidP="00E04A95">
      <w:pPr>
        <w:rPr>
          <w:u w:val="single"/>
          <w:lang w:val="en-CA"/>
        </w:rPr>
      </w:pPr>
      <w:r w:rsidRPr="009A010C">
        <w:rPr>
          <w:u w:val="single"/>
          <w:lang w:val="en-CA"/>
        </w:rPr>
        <w:t>Extension of the PU foam sector</w:t>
      </w:r>
    </w:p>
    <w:p w:rsidR="00E04A95" w:rsidRPr="009A010C" w:rsidRDefault="00E04A95" w:rsidP="00E04A95">
      <w:pPr>
        <w:pStyle w:val="Heading1"/>
        <w:numPr>
          <w:ilvl w:val="0"/>
          <w:numId w:val="0"/>
        </w:numPr>
        <w:spacing w:after="0"/>
        <w:rPr>
          <w:lang w:val="en-CA"/>
        </w:rPr>
      </w:pPr>
    </w:p>
    <w:p w:rsidR="00E04A95" w:rsidRPr="009A010C" w:rsidRDefault="00E04A95" w:rsidP="00E04A95">
      <w:pPr>
        <w:pStyle w:val="Heading1"/>
        <w:rPr>
          <w:lang w:val="en-CA"/>
        </w:rPr>
      </w:pPr>
      <w:r w:rsidRPr="009A010C">
        <w:rPr>
          <w:lang w:val="en-CA"/>
        </w:rPr>
        <w:t>At the 76</w:t>
      </w:r>
      <w:r w:rsidRPr="009A010C">
        <w:rPr>
          <w:vertAlign w:val="superscript"/>
          <w:lang w:val="en-CA"/>
        </w:rPr>
        <w:t>th </w:t>
      </w:r>
      <w:r w:rsidRPr="009A010C">
        <w:rPr>
          <w:lang w:val="en-CA"/>
        </w:rPr>
        <w:t xml:space="preserve">meeting, the Executive Committee revised the Agreement for stage I of the HPMP to combine the third (2015) and fourth (2018) tranches to </w:t>
      </w:r>
      <w:r w:rsidRPr="009A010C">
        <w:rPr>
          <w:i/>
          <w:lang w:val="en-CA"/>
        </w:rPr>
        <w:t xml:space="preserve">inter alia </w:t>
      </w:r>
      <w:r w:rsidRPr="009A010C">
        <w:rPr>
          <w:lang w:val="en-CA"/>
        </w:rPr>
        <w:t xml:space="preserve">allow the assistance to the two systems houses to be provided as early as possible, facilitating the introduction of low-GWP alternatives in the foam sector and to minimize the overlap between stage I and stage II of the HPMP. However, additional time is required to complete the phase-out. The lack of steady supply and the high cost of blowing agents in the country are preventing one systems house from finalizing special formulations for small clients in the integral skin sector. Concurrently, discussions with the second systems house will continue with the objective that it will be converted rather than withdraw from the project and return the associated funding (US $301,538, plus agency support costs of US $22,615) to the Multilateral Fund. </w:t>
      </w:r>
    </w:p>
    <w:p w:rsidR="00E04A95" w:rsidRPr="00F4406E" w:rsidRDefault="00E04A95" w:rsidP="00E04A95">
      <w:pPr>
        <w:pStyle w:val="Heading1"/>
        <w:rPr>
          <w:lang w:val="en-CA"/>
        </w:rPr>
      </w:pPr>
      <w:r w:rsidRPr="009A010C">
        <w:rPr>
          <w:lang w:val="en-CA"/>
        </w:rPr>
        <w:t xml:space="preserve">The total funding remaining from PU foam sector amounts to US $492,104 as shown in </w:t>
      </w:r>
      <w:r w:rsidRPr="00F4406E">
        <w:rPr>
          <w:lang w:val="en-CA"/>
        </w:rPr>
        <w:t>Table </w:t>
      </w:r>
      <w:r w:rsidR="00B107FB" w:rsidRPr="00F4406E">
        <w:rPr>
          <w:lang w:val="en-CA"/>
        </w:rPr>
        <w:t>15</w:t>
      </w:r>
      <w:r w:rsidRPr="00F4406E">
        <w:rPr>
          <w:lang w:val="en-CA"/>
        </w:rPr>
        <w:t>. Savings associated with the three rigid foam enterprises that converted to hydrocarbons in 2014 and 2015 in the amount of US $134,041, plus agency support costs of US $10,053 for the World Bank, will be returned to the 82</w:t>
      </w:r>
      <w:r w:rsidRPr="00F4406E">
        <w:rPr>
          <w:vertAlign w:val="superscript"/>
          <w:lang w:val="en-CA"/>
        </w:rPr>
        <w:t>nd</w:t>
      </w:r>
      <w:r w:rsidRPr="00F4406E">
        <w:rPr>
          <w:lang w:val="en-CA"/>
        </w:rPr>
        <w:t xml:space="preserve"> meeting. Furthermore, any additional balances from the PU foam sector would be returned to the Multilateral Fund upon financial completion of the project.</w:t>
      </w:r>
    </w:p>
    <w:p w:rsidR="00E04A95" w:rsidRPr="009A010C" w:rsidRDefault="00E04A95" w:rsidP="00E04A95">
      <w:pPr>
        <w:keepNext/>
        <w:keepLines/>
        <w:rPr>
          <w:b/>
          <w:lang w:val="en-CA"/>
        </w:rPr>
      </w:pPr>
      <w:r w:rsidRPr="00F4406E">
        <w:rPr>
          <w:b/>
          <w:lang w:val="en-CA"/>
        </w:rPr>
        <w:t xml:space="preserve">Table </w:t>
      </w:r>
      <w:r w:rsidR="00B107FB" w:rsidRPr="00F4406E">
        <w:rPr>
          <w:b/>
          <w:lang w:val="en-CA"/>
        </w:rPr>
        <w:t>15</w:t>
      </w:r>
      <w:r w:rsidRPr="00F4406E">
        <w:rPr>
          <w:b/>
          <w:lang w:val="en-CA"/>
        </w:rPr>
        <w:t>.  Remaining funding in the foam sector</w:t>
      </w:r>
    </w:p>
    <w:tbl>
      <w:tblPr>
        <w:tblW w:w="5000" w:type="pct"/>
        <w:tblLook w:val="04A0" w:firstRow="1" w:lastRow="0" w:firstColumn="1" w:lastColumn="0" w:noHBand="0" w:noVBand="1"/>
      </w:tblPr>
      <w:tblGrid>
        <w:gridCol w:w="6170"/>
        <w:gridCol w:w="3360"/>
      </w:tblGrid>
      <w:tr w:rsidR="00E04A95" w:rsidRPr="009A010C" w:rsidTr="00E04A95">
        <w:trPr>
          <w:trHeight w:val="39"/>
        </w:trPr>
        <w:tc>
          <w:tcPr>
            <w:tcW w:w="3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04A95" w:rsidRPr="009A010C" w:rsidRDefault="00E04A95" w:rsidP="00E04A95">
            <w:pPr>
              <w:keepNext/>
              <w:keepLines/>
              <w:jc w:val="center"/>
              <w:rPr>
                <w:b/>
                <w:color w:val="000000"/>
                <w:sz w:val="20"/>
                <w:szCs w:val="20"/>
                <w:lang w:val="en-CA" w:eastAsia="en-CA"/>
              </w:rPr>
            </w:pPr>
            <w:r w:rsidRPr="009A010C">
              <w:rPr>
                <w:b/>
                <w:color w:val="000000"/>
                <w:sz w:val="20"/>
                <w:szCs w:val="20"/>
                <w:lang w:val="en-CA" w:eastAsia="en-CA"/>
              </w:rPr>
              <w:t>Activity</w:t>
            </w:r>
          </w:p>
        </w:tc>
        <w:tc>
          <w:tcPr>
            <w:tcW w:w="1763" w:type="pct"/>
            <w:tcBorders>
              <w:top w:val="single" w:sz="4" w:space="0" w:color="auto"/>
              <w:left w:val="nil"/>
              <w:bottom w:val="single" w:sz="4" w:space="0" w:color="auto"/>
              <w:right w:val="single" w:sz="4" w:space="0" w:color="auto"/>
            </w:tcBorders>
            <w:shd w:val="clear" w:color="auto" w:fill="auto"/>
            <w:noWrap/>
            <w:vAlign w:val="bottom"/>
          </w:tcPr>
          <w:p w:rsidR="00E04A95" w:rsidRPr="009A010C" w:rsidRDefault="00E04A95" w:rsidP="00E04A95">
            <w:pPr>
              <w:keepNext/>
              <w:keepLines/>
              <w:jc w:val="center"/>
              <w:rPr>
                <w:b/>
                <w:color w:val="000000"/>
                <w:sz w:val="20"/>
                <w:szCs w:val="20"/>
                <w:lang w:val="en-CA" w:eastAsia="en-CA"/>
              </w:rPr>
            </w:pPr>
            <w:r w:rsidRPr="009A010C">
              <w:rPr>
                <w:b/>
                <w:color w:val="000000"/>
                <w:sz w:val="20"/>
                <w:szCs w:val="20"/>
                <w:lang w:val="en-CA" w:eastAsia="en-CA"/>
              </w:rPr>
              <w:t>Budget (US $)</w:t>
            </w:r>
          </w:p>
        </w:tc>
      </w:tr>
      <w:tr w:rsidR="00E04A95" w:rsidRPr="009A010C" w:rsidTr="00E04A95">
        <w:trPr>
          <w:trHeight w:val="54"/>
        </w:trPr>
        <w:tc>
          <w:tcPr>
            <w:tcW w:w="3237" w:type="pct"/>
            <w:tcBorders>
              <w:top w:val="single" w:sz="4" w:space="0" w:color="auto"/>
              <w:left w:val="single" w:sz="4" w:space="0" w:color="auto"/>
              <w:bottom w:val="single" w:sz="4" w:space="0" w:color="auto"/>
              <w:right w:val="single" w:sz="4" w:space="0" w:color="auto"/>
            </w:tcBorders>
            <w:shd w:val="clear" w:color="auto" w:fill="auto"/>
            <w:noWrap/>
            <w:hideMark/>
          </w:tcPr>
          <w:p w:rsidR="00E04A95" w:rsidRPr="009A010C" w:rsidRDefault="00E04A95" w:rsidP="00E04A95">
            <w:pPr>
              <w:keepNext/>
              <w:keepLines/>
              <w:jc w:val="left"/>
              <w:rPr>
                <w:color w:val="000000"/>
                <w:sz w:val="20"/>
                <w:szCs w:val="20"/>
                <w:lang w:val="en-CA" w:eastAsia="en-CA"/>
              </w:rPr>
            </w:pPr>
            <w:r w:rsidRPr="009A010C">
              <w:rPr>
                <w:color w:val="000000"/>
                <w:sz w:val="20"/>
                <w:szCs w:val="20"/>
                <w:lang w:val="en-CA" w:eastAsia="en-CA"/>
              </w:rPr>
              <w:t>Integral skin sector</w:t>
            </w:r>
          </w:p>
        </w:tc>
        <w:tc>
          <w:tcPr>
            <w:tcW w:w="1763" w:type="pct"/>
            <w:tcBorders>
              <w:top w:val="single" w:sz="4" w:space="0" w:color="auto"/>
              <w:left w:val="nil"/>
              <w:bottom w:val="single" w:sz="4" w:space="0" w:color="auto"/>
              <w:right w:val="single" w:sz="4" w:space="0" w:color="auto"/>
            </w:tcBorders>
            <w:shd w:val="clear" w:color="auto" w:fill="auto"/>
            <w:noWrap/>
            <w:hideMark/>
          </w:tcPr>
          <w:p w:rsidR="00E04A95" w:rsidRPr="009A010C" w:rsidRDefault="00E04A95" w:rsidP="00E04A95">
            <w:pPr>
              <w:keepNext/>
              <w:keepLines/>
              <w:jc w:val="right"/>
              <w:rPr>
                <w:color w:val="000000"/>
                <w:sz w:val="20"/>
                <w:szCs w:val="20"/>
                <w:lang w:val="en-CA" w:eastAsia="en-CA"/>
              </w:rPr>
            </w:pPr>
            <w:r w:rsidRPr="009A010C">
              <w:rPr>
                <w:color w:val="000000"/>
                <w:sz w:val="20"/>
                <w:szCs w:val="20"/>
                <w:lang w:val="en-CA" w:eastAsia="en-CA"/>
              </w:rPr>
              <w:t>130,565</w:t>
            </w:r>
          </w:p>
        </w:tc>
      </w:tr>
      <w:tr w:rsidR="00E04A95" w:rsidRPr="009A010C" w:rsidTr="00E04A95">
        <w:trPr>
          <w:trHeight w:val="101"/>
        </w:trPr>
        <w:tc>
          <w:tcPr>
            <w:tcW w:w="3237" w:type="pct"/>
            <w:tcBorders>
              <w:top w:val="nil"/>
              <w:left w:val="single" w:sz="4" w:space="0" w:color="auto"/>
              <w:bottom w:val="single" w:sz="4" w:space="0" w:color="auto"/>
              <w:right w:val="single" w:sz="4" w:space="0" w:color="auto"/>
            </w:tcBorders>
            <w:shd w:val="clear" w:color="auto" w:fill="auto"/>
            <w:noWrap/>
            <w:hideMark/>
          </w:tcPr>
          <w:p w:rsidR="00E04A95" w:rsidRPr="009A010C" w:rsidRDefault="00E04A95" w:rsidP="00E04A95">
            <w:pPr>
              <w:jc w:val="left"/>
              <w:rPr>
                <w:color w:val="000000"/>
                <w:sz w:val="20"/>
                <w:szCs w:val="20"/>
                <w:lang w:val="en-CA" w:eastAsia="en-CA"/>
              </w:rPr>
            </w:pPr>
            <w:r w:rsidRPr="009A010C">
              <w:rPr>
                <w:color w:val="000000"/>
                <w:sz w:val="20"/>
                <w:szCs w:val="20"/>
                <w:lang w:val="en-CA" w:eastAsia="en-CA"/>
              </w:rPr>
              <w:t>Systems house (TSG)</w:t>
            </w:r>
          </w:p>
        </w:tc>
        <w:tc>
          <w:tcPr>
            <w:tcW w:w="1763" w:type="pct"/>
            <w:tcBorders>
              <w:top w:val="nil"/>
              <w:left w:val="nil"/>
              <w:bottom w:val="single" w:sz="4" w:space="0" w:color="auto"/>
              <w:right w:val="single" w:sz="4" w:space="0" w:color="auto"/>
            </w:tcBorders>
            <w:shd w:val="clear" w:color="auto" w:fill="auto"/>
            <w:noWrap/>
            <w:hideMark/>
          </w:tcPr>
          <w:p w:rsidR="00E04A95" w:rsidRPr="009A010C" w:rsidRDefault="00E04A95" w:rsidP="00E04A95">
            <w:pPr>
              <w:jc w:val="right"/>
              <w:rPr>
                <w:color w:val="000000"/>
                <w:sz w:val="20"/>
                <w:szCs w:val="20"/>
                <w:lang w:val="en-CA" w:eastAsia="en-CA"/>
              </w:rPr>
            </w:pPr>
            <w:r w:rsidRPr="009A010C">
              <w:rPr>
                <w:color w:val="000000"/>
                <w:sz w:val="20"/>
                <w:szCs w:val="20"/>
                <w:lang w:val="en-CA" w:eastAsia="en-CA"/>
              </w:rPr>
              <w:t>301,539</w:t>
            </w:r>
          </w:p>
        </w:tc>
      </w:tr>
      <w:tr w:rsidR="00E04A95" w:rsidRPr="009A010C" w:rsidTr="00E04A95">
        <w:trPr>
          <w:trHeight w:val="39"/>
        </w:trPr>
        <w:tc>
          <w:tcPr>
            <w:tcW w:w="3237" w:type="pct"/>
            <w:tcBorders>
              <w:top w:val="nil"/>
              <w:left w:val="single" w:sz="4" w:space="0" w:color="auto"/>
              <w:bottom w:val="single" w:sz="4" w:space="0" w:color="auto"/>
              <w:right w:val="single" w:sz="4" w:space="0" w:color="auto"/>
            </w:tcBorders>
            <w:shd w:val="clear" w:color="auto" w:fill="auto"/>
            <w:hideMark/>
          </w:tcPr>
          <w:p w:rsidR="00E04A95" w:rsidRPr="009A010C" w:rsidRDefault="00E04A95" w:rsidP="00E04A95">
            <w:pPr>
              <w:jc w:val="left"/>
              <w:rPr>
                <w:color w:val="000000"/>
                <w:sz w:val="20"/>
                <w:szCs w:val="20"/>
                <w:lang w:val="en-CA" w:eastAsia="en-CA"/>
              </w:rPr>
            </w:pPr>
            <w:r w:rsidRPr="009A010C">
              <w:rPr>
                <w:color w:val="000000"/>
                <w:sz w:val="20"/>
                <w:szCs w:val="20"/>
                <w:lang w:val="en-CA" w:eastAsia="en-CA"/>
              </w:rPr>
              <w:t>TA</w:t>
            </w:r>
          </w:p>
        </w:tc>
        <w:tc>
          <w:tcPr>
            <w:tcW w:w="1763" w:type="pct"/>
            <w:tcBorders>
              <w:top w:val="nil"/>
              <w:left w:val="nil"/>
              <w:bottom w:val="single" w:sz="4" w:space="0" w:color="auto"/>
              <w:right w:val="single" w:sz="4" w:space="0" w:color="auto"/>
            </w:tcBorders>
            <w:shd w:val="clear" w:color="auto" w:fill="auto"/>
            <w:noWrap/>
            <w:hideMark/>
          </w:tcPr>
          <w:p w:rsidR="00E04A95" w:rsidRPr="009A010C" w:rsidRDefault="00E04A95" w:rsidP="00E04A95">
            <w:pPr>
              <w:jc w:val="right"/>
              <w:rPr>
                <w:color w:val="000000"/>
                <w:sz w:val="20"/>
                <w:szCs w:val="20"/>
                <w:lang w:val="en-CA" w:eastAsia="en-CA"/>
              </w:rPr>
            </w:pPr>
            <w:r w:rsidRPr="009A010C">
              <w:rPr>
                <w:color w:val="000000"/>
                <w:sz w:val="20"/>
                <w:szCs w:val="20"/>
                <w:lang w:val="en-CA" w:eastAsia="en-CA"/>
              </w:rPr>
              <w:t>30,000</w:t>
            </w:r>
          </w:p>
        </w:tc>
      </w:tr>
      <w:tr w:rsidR="00E04A95" w:rsidRPr="009A010C" w:rsidTr="00E04A95">
        <w:trPr>
          <w:trHeight w:val="50"/>
        </w:trPr>
        <w:tc>
          <w:tcPr>
            <w:tcW w:w="3237" w:type="pct"/>
            <w:tcBorders>
              <w:top w:val="nil"/>
              <w:left w:val="single" w:sz="4" w:space="0" w:color="auto"/>
              <w:bottom w:val="single" w:sz="4" w:space="0" w:color="auto"/>
              <w:right w:val="single" w:sz="4" w:space="0" w:color="auto"/>
            </w:tcBorders>
            <w:shd w:val="clear" w:color="auto" w:fill="auto"/>
            <w:hideMark/>
          </w:tcPr>
          <w:p w:rsidR="00E04A95" w:rsidRPr="009A010C" w:rsidRDefault="00E04A95" w:rsidP="00E04A95">
            <w:pPr>
              <w:jc w:val="left"/>
              <w:rPr>
                <w:color w:val="000000"/>
                <w:sz w:val="20"/>
                <w:szCs w:val="20"/>
                <w:lang w:val="en-CA" w:eastAsia="en-CA"/>
              </w:rPr>
            </w:pPr>
            <w:r w:rsidRPr="009A010C">
              <w:rPr>
                <w:color w:val="000000"/>
                <w:sz w:val="20"/>
                <w:szCs w:val="20"/>
                <w:lang w:val="en-CA" w:eastAsia="en-CA"/>
              </w:rPr>
              <w:t>PMU</w:t>
            </w:r>
          </w:p>
        </w:tc>
        <w:tc>
          <w:tcPr>
            <w:tcW w:w="1763" w:type="pct"/>
            <w:tcBorders>
              <w:top w:val="nil"/>
              <w:left w:val="nil"/>
              <w:bottom w:val="single" w:sz="4" w:space="0" w:color="auto"/>
              <w:right w:val="single" w:sz="4" w:space="0" w:color="auto"/>
            </w:tcBorders>
            <w:shd w:val="clear" w:color="auto" w:fill="auto"/>
            <w:noWrap/>
            <w:hideMark/>
          </w:tcPr>
          <w:p w:rsidR="00E04A95" w:rsidRPr="009A010C" w:rsidRDefault="00E04A95" w:rsidP="00E04A95">
            <w:pPr>
              <w:jc w:val="right"/>
              <w:rPr>
                <w:color w:val="000000"/>
                <w:sz w:val="20"/>
                <w:szCs w:val="20"/>
                <w:lang w:val="en-CA" w:eastAsia="en-CA"/>
              </w:rPr>
            </w:pPr>
            <w:r w:rsidRPr="009A010C">
              <w:rPr>
                <w:color w:val="000000"/>
                <w:sz w:val="20"/>
                <w:szCs w:val="20"/>
                <w:lang w:val="en-CA" w:eastAsia="en-CA"/>
              </w:rPr>
              <w:t>30,000</w:t>
            </w:r>
          </w:p>
        </w:tc>
      </w:tr>
      <w:tr w:rsidR="00E04A95" w:rsidRPr="009A010C" w:rsidTr="00E04A95">
        <w:trPr>
          <w:trHeight w:val="97"/>
        </w:trPr>
        <w:tc>
          <w:tcPr>
            <w:tcW w:w="3237" w:type="pct"/>
            <w:tcBorders>
              <w:top w:val="nil"/>
              <w:left w:val="single" w:sz="4" w:space="0" w:color="auto"/>
              <w:bottom w:val="single" w:sz="4" w:space="0" w:color="auto"/>
              <w:right w:val="single" w:sz="4" w:space="0" w:color="auto"/>
            </w:tcBorders>
            <w:shd w:val="clear" w:color="auto" w:fill="auto"/>
            <w:noWrap/>
            <w:hideMark/>
          </w:tcPr>
          <w:p w:rsidR="00E04A95" w:rsidRPr="009A010C" w:rsidRDefault="00E04A95" w:rsidP="00E04A95">
            <w:pPr>
              <w:jc w:val="left"/>
              <w:rPr>
                <w:b/>
                <w:color w:val="000000"/>
                <w:sz w:val="20"/>
                <w:szCs w:val="20"/>
                <w:lang w:val="en-CA" w:eastAsia="en-CA"/>
              </w:rPr>
            </w:pPr>
            <w:r w:rsidRPr="009A010C">
              <w:rPr>
                <w:b/>
                <w:color w:val="000000"/>
                <w:sz w:val="20"/>
                <w:szCs w:val="20"/>
                <w:lang w:val="en-CA" w:eastAsia="en-CA"/>
              </w:rPr>
              <w:t>Total</w:t>
            </w:r>
          </w:p>
        </w:tc>
        <w:tc>
          <w:tcPr>
            <w:tcW w:w="1763" w:type="pct"/>
            <w:tcBorders>
              <w:top w:val="nil"/>
              <w:left w:val="nil"/>
              <w:bottom w:val="single" w:sz="4" w:space="0" w:color="auto"/>
              <w:right w:val="single" w:sz="4" w:space="0" w:color="auto"/>
            </w:tcBorders>
            <w:shd w:val="clear" w:color="auto" w:fill="auto"/>
            <w:noWrap/>
            <w:hideMark/>
          </w:tcPr>
          <w:p w:rsidR="00E04A95" w:rsidRPr="009A010C" w:rsidRDefault="00E04A95" w:rsidP="00E04A95">
            <w:pPr>
              <w:jc w:val="right"/>
              <w:rPr>
                <w:b/>
                <w:color w:val="000000"/>
                <w:sz w:val="20"/>
                <w:szCs w:val="20"/>
                <w:lang w:val="en-CA" w:eastAsia="en-CA"/>
              </w:rPr>
            </w:pPr>
            <w:r w:rsidRPr="009A010C">
              <w:rPr>
                <w:b/>
                <w:color w:val="000000"/>
                <w:sz w:val="20"/>
                <w:szCs w:val="20"/>
                <w:lang w:val="en-CA" w:eastAsia="en-CA"/>
              </w:rPr>
              <w:t>492,104</w:t>
            </w:r>
          </w:p>
        </w:tc>
      </w:tr>
    </w:tbl>
    <w:p w:rsidR="00E04A95" w:rsidRPr="009A010C" w:rsidRDefault="00E04A95" w:rsidP="00E04A95">
      <w:pPr>
        <w:rPr>
          <w:lang w:val="en-CA"/>
        </w:rPr>
      </w:pPr>
    </w:p>
    <w:p w:rsidR="00E04A95" w:rsidRPr="009A010C" w:rsidRDefault="00E04A95" w:rsidP="00E04A95">
      <w:pPr>
        <w:pStyle w:val="Heading1"/>
        <w:numPr>
          <w:ilvl w:val="0"/>
          <w:numId w:val="0"/>
        </w:numPr>
        <w:rPr>
          <w:u w:val="single"/>
          <w:lang w:val="en-CA"/>
        </w:rPr>
      </w:pPr>
      <w:r w:rsidRPr="009A010C">
        <w:rPr>
          <w:u w:val="single"/>
          <w:lang w:val="en-CA"/>
        </w:rPr>
        <w:t>Actions required for extending the completion date of stage I of the HPMP</w:t>
      </w:r>
    </w:p>
    <w:p w:rsidR="00E04A95" w:rsidRPr="009A010C" w:rsidRDefault="00E04A95" w:rsidP="00E04A95">
      <w:pPr>
        <w:pStyle w:val="Heading1"/>
        <w:rPr>
          <w:b/>
          <w:lang w:val="en-CA"/>
        </w:rPr>
      </w:pPr>
      <w:r w:rsidRPr="009A010C">
        <w:rPr>
          <w:lang w:val="en-CA"/>
        </w:rPr>
        <w:t xml:space="preserve">The Government of Indonesia, UNDP, and the World Bank would continue to submit progress reports on a yearly basis on the implementation of stage I of the HPMP through the completion of the project, progress reports would continue to be provided to the Executive Committee through the completion of stage I, and the project completion report by 30 June 2020, unless a further extension of the stage I of the HPMP were requested at the last meeting of 2019. </w:t>
      </w:r>
    </w:p>
    <w:p w:rsidR="00E04A95" w:rsidRPr="009A010C" w:rsidRDefault="00E04A95" w:rsidP="00E04A95">
      <w:pPr>
        <w:pStyle w:val="Heading1"/>
        <w:numPr>
          <w:ilvl w:val="0"/>
          <w:numId w:val="0"/>
        </w:numPr>
        <w:rPr>
          <w:b/>
          <w:lang w:val="en-CA"/>
        </w:rPr>
      </w:pPr>
      <w:r w:rsidRPr="009A010C">
        <w:rPr>
          <w:b/>
          <w:lang w:val="en-CA"/>
        </w:rPr>
        <w:t>Recommendation</w:t>
      </w:r>
    </w:p>
    <w:p w:rsidR="00E04A95" w:rsidRPr="009A010C" w:rsidRDefault="00E04A95" w:rsidP="00E04A95">
      <w:pPr>
        <w:pStyle w:val="Heading1"/>
        <w:rPr>
          <w:lang w:val="en-CA"/>
        </w:rPr>
      </w:pPr>
      <w:r w:rsidRPr="009A010C">
        <w:rPr>
          <w:lang w:val="en-CA"/>
        </w:rPr>
        <w:t>The Executive Committee may wish:</w:t>
      </w:r>
    </w:p>
    <w:p w:rsidR="005F330C" w:rsidRPr="00FE5979" w:rsidRDefault="005F330C" w:rsidP="005F330C">
      <w:pPr>
        <w:pStyle w:val="Heading2"/>
        <w:keepNext/>
        <w:widowControl/>
        <w:rPr>
          <w:lang w:val="en-CA"/>
        </w:rPr>
      </w:pPr>
      <w:r w:rsidRPr="00FE5979">
        <w:rPr>
          <w:lang w:val="en-CA"/>
        </w:rPr>
        <w:t>To note:</w:t>
      </w:r>
    </w:p>
    <w:p w:rsidR="005F330C" w:rsidRPr="00FE5979" w:rsidRDefault="005F330C" w:rsidP="005F330C">
      <w:pPr>
        <w:pStyle w:val="Heading3"/>
        <w:rPr>
          <w:lang w:val="en-CA"/>
        </w:rPr>
      </w:pPr>
      <w:r w:rsidRPr="00FE5979">
        <w:rPr>
          <w:lang w:val="en-CA"/>
        </w:rPr>
        <w:t>The update on enterprise conversion of technology and the progress report on the implementation of stage I of the HCFC phase</w:t>
      </w:r>
      <w:r w:rsidRPr="00FE5979">
        <w:rPr>
          <w:lang w:val="en-CA"/>
        </w:rPr>
        <w:noBreakHyphen/>
        <w:t>out management plan (HPMP) for Indonesia, submitted by UNDP;</w:t>
      </w:r>
    </w:p>
    <w:p w:rsidR="005F330C" w:rsidRPr="00FE5979" w:rsidRDefault="005F330C" w:rsidP="005F330C">
      <w:pPr>
        <w:pStyle w:val="Heading3"/>
        <w:rPr>
          <w:lang w:val="en-CA"/>
        </w:rPr>
      </w:pPr>
      <w:r w:rsidRPr="00FE5979">
        <w:rPr>
          <w:lang w:val="en-CA"/>
        </w:rPr>
        <w:lastRenderedPageBreak/>
        <w:t>With appreciation the efforts by the Government of Indonesia and UNDP to facilitate the introduction of the low-global warming potential (GWP) technology selected by the refrigeration and air</w:t>
      </w:r>
      <w:r w:rsidRPr="00FE5979">
        <w:rPr>
          <w:lang w:val="en-CA"/>
        </w:rPr>
        <w:noBreakHyphen/>
        <w:t xml:space="preserve">conditioning (RAC) manufacturing enterprises funded under stage I of the HPMP; </w:t>
      </w:r>
    </w:p>
    <w:p w:rsidR="005F330C" w:rsidRPr="00FE5979" w:rsidRDefault="005F330C" w:rsidP="005F330C">
      <w:pPr>
        <w:pStyle w:val="Heading2"/>
        <w:rPr>
          <w:lang w:val="en-CA"/>
        </w:rPr>
      </w:pPr>
      <w:r w:rsidRPr="00FE5979">
        <w:t>To request the Government of Indonesia and UNDP to continue exploring mechanisms and implementing actions favouring the introduction of low-GWP alternatives in the RAC manufacturing sector, noting that funding was approved at the 81</w:t>
      </w:r>
      <w:r w:rsidRPr="00FE5979">
        <w:rPr>
          <w:vertAlign w:val="superscript"/>
        </w:rPr>
        <w:t>st</w:t>
      </w:r>
      <w:r w:rsidRPr="00FE5979">
        <w:t xml:space="preserve"> meeting for enabling activities; </w:t>
      </w:r>
    </w:p>
    <w:p w:rsidR="005F330C" w:rsidRPr="00FE5979" w:rsidRDefault="005F330C" w:rsidP="005F330C">
      <w:pPr>
        <w:pStyle w:val="Heading2"/>
        <w:rPr>
          <w:lang w:val="en-CA"/>
        </w:rPr>
      </w:pPr>
      <w:r w:rsidRPr="00FE5979">
        <w:rPr>
          <w:lang w:val="en-CA"/>
        </w:rPr>
        <w:t xml:space="preserve">To approve, on an exceptional basis, the reallocation of US $23,000, representing the savings from the conversion at Panasonic, to technical assistance to facilitate the manufacturing of HFC-32-based equipment at the enterprises assisted under stage I; </w:t>
      </w:r>
    </w:p>
    <w:p w:rsidR="005F330C" w:rsidRPr="00FE5979" w:rsidRDefault="005F330C" w:rsidP="005F330C">
      <w:pPr>
        <w:pStyle w:val="Heading2"/>
        <w:rPr>
          <w:lang w:val="en-CA"/>
        </w:rPr>
      </w:pPr>
      <w:r w:rsidRPr="00FE5979">
        <w:rPr>
          <w:lang w:val="en-CA"/>
        </w:rPr>
        <w:t>To note the return, to the 82</w:t>
      </w:r>
      <w:r w:rsidRPr="00FE5979">
        <w:rPr>
          <w:vertAlign w:val="superscript"/>
          <w:lang w:val="en-CA"/>
        </w:rPr>
        <w:t>nd </w:t>
      </w:r>
      <w:r w:rsidRPr="00FE5979">
        <w:rPr>
          <w:lang w:val="en-CA"/>
        </w:rPr>
        <w:t>meeting, of:</w:t>
      </w:r>
    </w:p>
    <w:p w:rsidR="005F330C" w:rsidRPr="00FE5979" w:rsidRDefault="005F330C" w:rsidP="005F330C">
      <w:pPr>
        <w:pStyle w:val="Heading3"/>
        <w:rPr>
          <w:lang w:val="en-CA"/>
        </w:rPr>
      </w:pPr>
      <w:r w:rsidRPr="00FE5979">
        <w:rPr>
          <w:lang w:val="en-CA"/>
        </w:rPr>
        <w:t>US $134,041, plus agency support costs of US $10,053 for the World Bank, associated with savings at the three rigid foam enterprises that converted to hydrocarbons; and</w:t>
      </w:r>
    </w:p>
    <w:p w:rsidR="005F330C" w:rsidRPr="00FE5979" w:rsidRDefault="005F330C" w:rsidP="005F330C">
      <w:pPr>
        <w:pStyle w:val="Heading3"/>
        <w:rPr>
          <w:lang w:val="en-CA"/>
        </w:rPr>
      </w:pPr>
      <w:r w:rsidRPr="00FE5979">
        <w:rPr>
          <w:lang w:val="en-CA"/>
        </w:rPr>
        <w:t>[US $301,538, plus agency support costs of US $22,615 for the World Bank, associated with the withdrawal of the PT. TSG Chemical from stage I of the HPMP;] or [to allow PT. TSG Chemical until the 83</w:t>
      </w:r>
      <w:r w:rsidRPr="00FE5979">
        <w:rPr>
          <w:vertAlign w:val="superscript"/>
          <w:lang w:val="en-CA"/>
        </w:rPr>
        <w:t>rd </w:t>
      </w:r>
      <w:r w:rsidRPr="00FE5979">
        <w:rPr>
          <w:lang w:val="en-CA"/>
        </w:rPr>
        <w:t xml:space="preserve">meeting to decide whether it wishes to participate in stage I of the HPMP]; </w:t>
      </w:r>
    </w:p>
    <w:p w:rsidR="005F330C" w:rsidRPr="00FE5979" w:rsidRDefault="005F330C" w:rsidP="005F330C">
      <w:pPr>
        <w:pStyle w:val="Heading2"/>
        <w:keepNext/>
        <w:keepLines/>
        <w:rPr>
          <w:lang w:val="en-CA"/>
        </w:rPr>
      </w:pPr>
      <w:r w:rsidRPr="00FE5979">
        <w:rPr>
          <w:lang w:val="en-CA"/>
        </w:rPr>
        <w:t>To note that the servicing sector plan would be completed by 31 December 2018, and that all remaining balances from the sector would be returned no later than 31 December 2019; and</w:t>
      </w:r>
    </w:p>
    <w:p w:rsidR="005F330C" w:rsidRPr="00FE5979" w:rsidRDefault="005F330C" w:rsidP="005F330C">
      <w:pPr>
        <w:pStyle w:val="Heading2"/>
        <w:rPr>
          <w:lang w:val="en-CA"/>
        </w:rPr>
      </w:pPr>
      <w:r w:rsidRPr="00FE5979">
        <w:rPr>
          <w:lang w:val="en-CA"/>
        </w:rPr>
        <w:t>To agree to extend the completion date of stage I of the HPMP for Indonesia until 31 December 2019, on the understanding that:</w:t>
      </w:r>
    </w:p>
    <w:p w:rsidR="005F330C" w:rsidRPr="00FE5979" w:rsidRDefault="005F330C" w:rsidP="005F330C">
      <w:pPr>
        <w:pStyle w:val="Heading3"/>
        <w:rPr>
          <w:lang w:val="en-CA"/>
        </w:rPr>
      </w:pPr>
      <w:r w:rsidRPr="00FE5979">
        <w:rPr>
          <w:lang w:val="en-CA"/>
        </w:rPr>
        <w:t>The Government of Indonesia could submit a further request to extend stage I of the HPMP to the last meeting of 2019;</w:t>
      </w:r>
    </w:p>
    <w:p w:rsidR="005F330C" w:rsidRPr="00FE5979" w:rsidRDefault="005F330C" w:rsidP="005F330C">
      <w:pPr>
        <w:pStyle w:val="Heading3"/>
        <w:rPr>
          <w:lang w:val="en-CA"/>
        </w:rPr>
      </w:pPr>
      <w:r w:rsidRPr="00FE5979">
        <w:rPr>
          <w:lang w:val="en-CA"/>
        </w:rPr>
        <w:t>That, if the Government of Indonesia were to submit the request in sub</w:t>
      </w:r>
      <w:r w:rsidRPr="00FE5979">
        <w:rPr>
          <w:lang w:val="en-CA"/>
        </w:rPr>
        <w:noBreakHyphen/>
        <w:t>paragraph (f)(</w:t>
      </w:r>
      <w:proofErr w:type="spellStart"/>
      <w:r w:rsidRPr="00FE5979">
        <w:rPr>
          <w:lang w:val="en-CA"/>
        </w:rPr>
        <w:t>i</w:t>
      </w:r>
      <w:proofErr w:type="spellEnd"/>
      <w:r w:rsidRPr="00FE5979">
        <w:rPr>
          <w:lang w:val="en-CA"/>
        </w:rPr>
        <w:t xml:space="preserve">) above, the Executive Committee could consider at the last meeting of 2019 the further extension and its potential impact to the starting point for sustained aggregate reductions for HFC consumption for the country; </w:t>
      </w:r>
    </w:p>
    <w:p w:rsidR="005F330C" w:rsidRPr="00FE5979" w:rsidRDefault="005F330C" w:rsidP="005F330C">
      <w:pPr>
        <w:pStyle w:val="Heading3"/>
        <w:rPr>
          <w:lang w:val="en-CA"/>
        </w:rPr>
      </w:pPr>
      <w:r w:rsidRPr="00FE5979">
        <w:rPr>
          <w:lang w:val="en-CA"/>
        </w:rPr>
        <w:t>That, absent the submission of the request in sub-paragraph (f)(</w:t>
      </w:r>
      <w:proofErr w:type="spellStart"/>
      <w:r w:rsidRPr="00FE5979">
        <w:rPr>
          <w:lang w:val="en-CA"/>
        </w:rPr>
        <w:t>i</w:t>
      </w:r>
      <w:proofErr w:type="spellEnd"/>
      <w:r w:rsidRPr="00FE5979">
        <w:rPr>
          <w:lang w:val="en-CA"/>
        </w:rPr>
        <w:t>) above:</w:t>
      </w:r>
    </w:p>
    <w:p w:rsidR="005F330C" w:rsidRPr="00FE5979" w:rsidRDefault="005F330C" w:rsidP="005F330C">
      <w:pPr>
        <w:pStyle w:val="Header4"/>
        <w:numPr>
          <w:ilvl w:val="0"/>
          <w:numId w:val="26"/>
        </w:numPr>
        <w:tabs>
          <w:tab w:val="num" w:pos="2520"/>
        </w:tabs>
        <w:ind w:left="2520"/>
        <w:rPr>
          <w:lang w:val="en-CA"/>
        </w:rPr>
      </w:pPr>
      <w:r w:rsidRPr="00FE5979">
        <w:rPr>
          <w:lang w:val="en-CA"/>
        </w:rPr>
        <w:t xml:space="preserve">All remaining balances from the </w:t>
      </w:r>
      <w:r w:rsidRPr="00FE5979">
        <w:rPr>
          <w:b/>
          <w:lang w:val="en-CA"/>
        </w:rPr>
        <w:t>polyurethane</w:t>
      </w:r>
      <w:r w:rsidRPr="00FE5979">
        <w:rPr>
          <w:lang w:val="en-CA"/>
        </w:rPr>
        <w:t xml:space="preserve"> foam and the RAC manufacturing sectors would be returned to the Multilateral Fund by the last meeting of 2020; and </w:t>
      </w:r>
    </w:p>
    <w:p w:rsidR="00E04A95" w:rsidRPr="009A010C" w:rsidRDefault="005F330C" w:rsidP="005F330C">
      <w:pPr>
        <w:pStyle w:val="Header4"/>
        <w:rPr>
          <w:lang w:val="en-CA"/>
        </w:rPr>
      </w:pPr>
      <w:r w:rsidRPr="00FE5979">
        <w:rPr>
          <w:lang w:val="en-CA"/>
        </w:rPr>
        <w:t>The Government of Indonesia, UNDP, and the World Bank would continue to submit progress reports on a yearly basis on the implementation of stage I of the HPMP through the completion of the project, and the project completion report by 30 June 2020</w:t>
      </w:r>
    </w:p>
    <w:p w:rsidR="00D018F7" w:rsidRPr="009A010C" w:rsidRDefault="00D018F7" w:rsidP="00D018F7">
      <w:pPr>
        <w:keepNext/>
        <w:spacing w:after="240"/>
        <w:outlineLvl w:val="0"/>
      </w:pPr>
      <w:r w:rsidRPr="009A010C">
        <w:rPr>
          <w:u w:val="single"/>
        </w:rPr>
        <w:lastRenderedPageBreak/>
        <w:t>Stage I of the HPMP for Jordan (annual progress report)</w:t>
      </w:r>
      <w:r w:rsidRPr="009A010C">
        <w:t xml:space="preserve"> (UNIDO)</w:t>
      </w:r>
    </w:p>
    <w:p w:rsidR="00D018F7" w:rsidRPr="009A010C" w:rsidRDefault="00D018F7" w:rsidP="00D018F7">
      <w:pPr>
        <w:keepNext/>
        <w:tabs>
          <w:tab w:val="left" w:pos="720"/>
        </w:tabs>
        <w:spacing w:after="240"/>
        <w:outlineLvl w:val="0"/>
        <w:rPr>
          <w:b/>
        </w:rPr>
      </w:pPr>
      <w:r w:rsidRPr="009A010C">
        <w:rPr>
          <w:b/>
        </w:rPr>
        <w:t>Background</w:t>
      </w:r>
    </w:p>
    <w:p w:rsidR="00D018F7" w:rsidRPr="009A010C" w:rsidRDefault="00D018F7" w:rsidP="00D018F7">
      <w:pPr>
        <w:numPr>
          <w:ilvl w:val="0"/>
          <w:numId w:val="1"/>
        </w:numPr>
        <w:spacing w:after="240"/>
        <w:outlineLvl w:val="0"/>
      </w:pPr>
      <w:r w:rsidRPr="009A010C">
        <w:t>On behalf of the Government of Jordan, UNIDO as the lead implementing agency, has submitted the annual progress report on the implementation of the work programme of stage I of the HPMP, in line with decision 75/60(c). This project should have been completed by December 2017 and the project completion report should have been submitted to the 81</w:t>
      </w:r>
      <w:r w:rsidRPr="009A010C">
        <w:rPr>
          <w:vertAlign w:val="superscript"/>
        </w:rPr>
        <w:t>st</w:t>
      </w:r>
      <w:r w:rsidRPr="009A010C">
        <w:t> meeting; however, the project was not completed as the bidding for equipment and tools could not be completed by 2017 due to lack of response.</w:t>
      </w:r>
    </w:p>
    <w:p w:rsidR="00D018F7" w:rsidRPr="009A010C" w:rsidRDefault="00D018F7" w:rsidP="00D018F7">
      <w:pPr>
        <w:keepNext/>
        <w:keepLines/>
        <w:spacing w:after="240"/>
        <w:rPr>
          <w:u w:val="single"/>
        </w:rPr>
      </w:pPr>
      <w:r w:rsidRPr="009A010C">
        <w:rPr>
          <w:u w:val="single"/>
        </w:rPr>
        <w:t xml:space="preserve">HCFC consumption </w:t>
      </w:r>
    </w:p>
    <w:p w:rsidR="00D018F7" w:rsidRPr="009A010C" w:rsidRDefault="00D018F7" w:rsidP="00D018F7">
      <w:pPr>
        <w:numPr>
          <w:ilvl w:val="0"/>
          <w:numId w:val="1"/>
        </w:numPr>
        <w:spacing w:after="240"/>
        <w:outlineLvl w:val="0"/>
      </w:pPr>
      <w:r w:rsidRPr="009A010C">
        <w:t>The Government of Jordan reported HCFC consumption of 25.21 ODP tonnes in 2017, which is 62 per cent below the HPMP target of 66.4 ODP tonnes for 2017, and 70 per cent lower than the established baseline of 83.0 ODP tonnes. The Government also submitted sectoral consumption data for 2017 under the country programme (CP) implementation report (33.55 ODP tonnes), which is different from the data reported under Article 7. This issue is being addressed in the document on CP data and prospects for compliance.</w:t>
      </w:r>
      <w:r w:rsidRPr="009A010C">
        <w:rPr>
          <w:rStyle w:val="FootnoteReference"/>
        </w:rPr>
        <w:footnoteReference w:id="40"/>
      </w:r>
      <w:r w:rsidRPr="009A010C">
        <w:t xml:space="preserve"> The maximum quota for the year 2018 is 33 ODP tonnes of HCFC-22. </w:t>
      </w:r>
    </w:p>
    <w:p w:rsidR="00D018F7" w:rsidRPr="009A010C" w:rsidRDefault="00D018F7" w:rsidP="00D018F7">
      <w:pPr>
        <w:numPr>
          <w:ilvl w:val="0"/>
          <w:numId w:val="1"/>
        </w:numPr>
        <w:spacing w:after="240"/>
        <w:outlineLvl w:val="0"/>
      </w:pPr>
      <w:r w:rsidRPr="009A010C">
        <w:t>There was a significant decrease in HCFC consumption in Jordan during the period from 2015 to 2017 (73.99 ODP tonnes in 2015 and 25.21 ODP tonnes in 2017); this was mainly due to the reduction in manufacturing of HCFC</w:t>
      </w:r>
      <w:r w:rsidRPr="009A010C">
        <w:noBreakHyphen/>
        <w:t>22</w:t>
      </w:r>
      <w:r w:rsidRPr="009A010C">
        <w:noBreakHyphen/>
        <w:t>based air</w:t>
      </w:r>
      <w:r w:rsidRPr="009A010C">
        <w:noBreakHyphen/>
        <w:t>conditioners; UNIDO informed that HCFC</w:t>
      </w:r>
      <w:r w:rsidRPr="009A010C">
        <w:noBreakHyphen/>
        <w:t>22 consumption in the service sector may increase in the future due to the growing demand for servicing of the ageing population of existing equipment. They also clarified that the increase in consumption of HCFC</w:t>
      </w:r>
      <w:r w:rsidRPr="009A010C">
        <w:noBreakHyphen/>
        <w:t>141b contained in imported pre</w:t>
      </w:r>
      <w:r w:rsidRPr="009A010C">
        <w:noBreakHyphen/>
        <w:t>blended polyols (from 19.8 ODP tonnes in 2015 to 26.07 ODP tonnes in 2017) was due to the growing demand for building insulation caused by the inflow of refugees and was temporary. The situation has now stabilised and, as a result, the consumption is expected to decrease.</w:t>
      </w:r>
    </w:p>
    <w:p w:rsidR="00D018F7" w:rsidRPr="009A010C" w:rsidRDefault="00D018F7" w:rsidP="00D018F7">
      <w:pPr>
        <w:keepNext/>
        <w:spacing w:after="240"/>
        <w:rPr>
          <w:u w:val="single"/>
        </w:rPr>
      </w:pPr>
      <w:r w:rsidRPr="009A010C">
        <w:rPr>
          <w:u w:val="single"/>
        </w:rPr>
        <w:t>Progress report on the implementation of the second tranche of the HPMP</w:t>
      </w:r>
    </w:p>
    <w:p w:rsidR="00D018F7" w:rsidRPr="009A010C" w:rsidRDefault="00D018F7" w:rsidP="00D018F7">
      <w:pPr>
        <w:numPr>
          <w:ilvl w:val="0"/>
          <w:numId w:val="1"/>
        </w:numPr>
        <w:spacing w:after="240"/>
        <w:outlineLvl w:val="0"/>
      </w:pPr>
      <w:r w:rsidRPr="009A010C">
        <w:t>The Government continued to implement the licensing system and national regulations, particularly the prohibition of manufacturing and import of HCFC</w:t>
      </w:r>
      <w:r w:rsidRPr="009A010C">
        <w:noBreakHyphen/>
        <w:t>22</w:t>
      </w:r>
      <w:r w:rsidRPr="009A010C">
        <w:noBreakHyphen/>
        <w:t>based air</w:t>
      </w:r>
      <w:r w:rsidRPr="009A010C">
        <w:noBreakHyphen/>
        <w:t>conditioning (AC) units and the mandatory minimum energy performance standard (MEPS) for AC equipment (as of December 2016), which prohibits marketing of equipment below the most energy</w:t>
      </w:r>
      <w:r w:rsidRPr="009A010C">
        <w:noBreakHyphen/>
        <w:t>efficient category. As of September 2018, all enterprises covered under the AC sector plan completed conversions and phased out 162.36 </w:t>
      </w:r>
      <w:proofErr w:type="spellStart"/>
      <w:r w:rsidRPr="009A010C">
        <w:t>mt</w:t>
      </w:r>
      <w:proofErr w:type="spellEnd"/>
      <w:r w:rsidRPr="009A010C">
        <w:t xml:space="preserve"> (9.53 ODP tonnes) of HCFC</w:t>
      </w:r>
      <w:r w:rsidRPr="009A010C">
        <w:noBreakHyphen/>
        <w:t>22 and HCFC</w:t>
      </w:r>
      <w:r w:rsidRPr="009A010C">
        <w:noBreakHyphen/>
        <w:t>141b in manufacturing, and funds amounting to US $2,921,533 were disbursed. The timing of the AC sector conversion in stage I was complementary to the Government’s policy on energy efficiency.</w:t>
      </w:r>
    </w:p>
    <w:p w:rsidR="00D018F7" w:rsidRPr="009A010C" w:rsidRDefault="00D018F7" w:rsidP="00D018F7">
      <w:pPr>
        <w:spacing w:after="240"/>
        <w:rPr>
          <w:i/>
        </w:rPr>
      </w:pPr>
      <w:r w:rsidRPr="009A010C">
        <w:rPr>
          <w:i/>
        </w:rPr>
        <w:t>Technical assistance (TA) component</w:t>
      </w:r>
    </w:p>
    <w:p w:rsidR="00D018F7" w:rsidRPr="009A010C" w:rsidRDefault="00D018F7" w:rsidP="00D018F7">
      <w:pPr>
        <w:numPr>
          <w:ilvl w:val="0"/>
          <w:numId w:val="1"/>
        </w:numPr>
        <w:spacing w:after="240"/>
        <w:outlineLvl w:val="0"/>
      </w:pPr>
      <w:r w:rsidRPr="009A010C">
        <w:t xml:space="preserve">Two procurement activities for equipment and tools for the training </w:t>
      </w:r>
      <w:proofErr w:type="spellStart"/>
      <w:r w:rsidRPr="009A010C">
        <w:t>center</w:t>
      </w:r>
      <w:proofErr w:type="spellEnd"/>
      <w:r w:rsidRPr="009A010C">
        <w:t xml:space="preserve"> and for larger shops that service air-conditioners were undertaken in 2017 and early 2018. However, due to non</w:t>
      </w:r>
      <w:r w:rsidRPr="009A010C">
        <w:noBreakHyphen/>
        <w:t xml:space="preserve">responsive bids and lack of offers, the procurement activities had to be redone; this is proposed to be completed by December 2018. </w:t>
      </w:r>
    </w:p>
    <w:p w:rsidR="00D018F7" w:rsidRPr="009A010C" w:rsidRDefault="00D018F7" w:rsidP="00D018F7">
      <w:pPr>
        <w:numPr>
          <w:ilvl w:val="0"/>
          <w:numId w:val="1"/>
        </w:numPr>
        <w:spacing w:after="240"/>
        <w:outlineLvl w:val="0"/>
      </w:pPr>
      <w:r w:rsidRPr="009A010C">
        <w:t xml:space="preserve">Under the TA component, outreach activities are planned for the fourth quarter of 2018 and in early 2019, including a final workshop to share experiences, outcomes of the conversion and new ODS regulations in October 2018; a final workshop for the Customs department and the Jordan Standards and Metrology Organisation (JSMO) in November 2018; and a workshop for the service sector in </w:t>
      </w:r>
      <w:r w:rsidRPr="009A010C">
        <w:lastRenderedPageBreak/>
        <w:t>December 2018. TA-related activities for servicing, Customs and enforcement training were completed before December 2017.</w:t>
      </w:r>
    </w:p>
    <w:p w:rsidR="00D018F7" w:rsidRPr="009A010C" w:rsidRDefault="00D018F7" w:rsidP="00D018F7">
      <w:pPr>
        <w:outlineLvl w:val="0"/>
        <w:rPr>
          <w:i/>
        </w:rPr>
      </w:pPr>
      <w:r w:rsidRPr="009A010C">
        <w:rPr>
          <w:i/>
        </w:rPr>
        <w:t>Project implementation and monitoring unit (PMU)</w:t>
      </w:r>
    </w:p>
    <w:p w:rsidR="00D018F7" w:rsidRPr="009A010C" w:rsidRDefault="00D018F7" w:rsidP="00D018F7">
      <w:pPr>
        <w:outlineLvl w:val="0"/>
        <w:rPr>
          <w:i/>
        </w:rPr>
      </w:pPr>
    </w:p>
    <w:p w:rsidR="00D018F7" w:rsidRPr="009A010C" w:rsidRDefault="00D018F7" w:rsidP="00D018F7">
      <w:pPr>
        <w:numPr>
          <w:ilvl w:val="0"/>
          <w:numId w:val="1"/>
        </w:numPr>
        <w:outlineLvl w:val="0"/>
      </w:pPr>
      <w:r w:rsidRPr="009A010C">
        <w:t xml:space="preserve">In 2018, activities for project monitoring and implementation included monitoring the completion of investment projects through site visits and consultations, and organization of workshops for technical outreach and support, including for the servicing sector. A project implementation manual that specifies the procedures, processes, procurement plans and terms of references for project activities was completed by the Ministry of Environment with the assistance from the World Bank, and serves as a guide for project management. </w:t>
      </w:r>
    </w:p>
    <w:p w:rsidR="00D018F7" w:rsidRPr="009A010C" w:rsidRDefault="00D018F7" w:rsidP="00D018F7">
      <w:pPr>
        <w:keepNext/>
        <w:rPr>
          <w:i/>
        </w:rPr>
      </w:pPr>
    </w:p>
    <w:p w:rsidR="00D018F7" w:rsidRPr="009A010C" w:rsidRDefault="00D018F7" w:rsidP="00D018F7">
      <w:pPr>
        <w:keepNext/>
        <w:rPr>
          <w:i/>
        </w:rPr>
      </w:pPr>
      <w:r w:rsidRPr="009A010C">
        <w:rPr>
          <w:i/>
        </w:rPr>
        <w:t>Level of fund disbursement</w:t>
      </w:r>
    </w:p>
    <w:p w:rsidR="00D018F7" w:rsidRPr="009A010C" w:rsidRDefault="00D018F7" w:rsidP="00D018F7">
      <w:pPr>
        <w:keepNext/>
        <w:rPr>
          <w:i/>
        </w:rPr>
      </w:pPr>
    </w:p>
    <w:p w:rsidR="00D018F7" w:rsidRPr="00F4406E" w:rsidRDefault="00D018F7" w:rsidP="00D018F7">
      <w:pPr>
        <w:numPr>
          <w:ilvl w:val="0"/>
          <w:numId w:val="1"/>
        </w:numPr>
        <w:spacing w:after="240"/>
        <w:outlineLvl w:val="0"/>
      </w:pPr>
      <w:r w:rsidRPr="009A010C">
        <w:t xml:space="preserve">As of August 2018, of the US $3,366,017 approved, US $3,193,745 had been disbursed as shown in </w:t>
      </w:r>
      <w:r w:rsidRPr="00F4406E">
        <w:t>Table </w:t>
      </w:r>
      <w:r w:rsidR="00B107FB" w:rsidRPr="00F4406E">
        <w:t>16</w:t>
      </w:r>
      <w:r w:rsidRPr="00F4406E">
        <w:t>. The balance of US $172,272 is planned to be disbursed by March 2019, once the extension request is approved.</w:t>
      </w:r>
    </w:p>
    <w:p w:rsidR="00D018F7" w:rsidRPr="009A010C" w:rsidRDefault="00D018F7" w:rsidP="00D018F7">
      <w:pPr>
        <w:keepNext/>
        <w:outlineLvl w:val="0"/>
      </w:pPr>
      <w:r w:rsidRPr="00F4406E">
        <w:rPr>
          <w:b/>
        </w:rPr>
        <w:t xml:space="preserve">Table </w:t>
      </w:r>
      <w:r w:rsidR="00B107FB" w:rsidRPr="00F4406E">
        <w:rPr>
          <w:b/>
        </w:rPr>
        <w:t>16</w:t>
      </w:r>
      <w:r w:rsidRPr="00F4406E">
        <w:rPr>
          <w:b/>
        </w:rPr>
        <w:t>. Financial</w:t>
      </w:r>
      <w:r w:rsidRPr="009A010C">
        <w:rPr>
          <w:b/>
        </w:rPr>
        <w:t xml:space="preserve"> report of stage I of the HPMP for Jordan</w:t>
      </w:r>
    </w:p>
    <w:tbl>
      <w:tblPr>
        <w:tblW w:w="5000" w:type="pct"/>
        <w:tblInd w:w="-5" w:type="dxa"/>
        <w:tblLook w:val="04A0" w:firstRow="1" w:lastRow="0" w:firstColumn="1" w:lastColumn="0" w:noHBand="0" w:noVBand="1"/>
      </w:tblPr>
      <w:tblGrid>
        <w:gridCol w:w="2382"/>
        <w:gridCol w:w="2382"/>
        <w:gridCol w:w="2383"/>
        <w:gridCol w:w="2383"/>
      </w:tblGrid>
      <w:tr w:rsidR="00D018F7" w:rsidRPr="009A010C" w:rsidTr="00287C83">
        <w:tc>
          <w:tcPr>
            <w:tcW w:w="125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018F7" w:rsidRPr="009A010C" w:rsidRDefault="00D018F7" w:rsidP="00287C83">
            <w:pPr>
              <w:rPr>
                <w:b/>
                <w:bCs/>
                <w:color w:val="000000"/>
                <w:sz w:val="20"/>
                <w:szCs w:val="20"/>
                <w:lang w:eastAsia="en-CA"/>
              </w:rPr>
            </w:pPr>
            <w:r w:rsidRPr="009A010C">
              <w:rPr>
                <w:b/>
                <w:bCs/>
                <w:color w:val="000000"/>
                <w:sz w:val="20"/>
                <w:szCs w:val="20"/>
                <w:lang w:eastAsia="en-CA"/>
              </w:rPr>
              <w:t>Agency</w:t>
            </w:r>
          </w:p>
        </w:tc>
        <w:tc>
          <w:tcPr>
            <w:tcW w:w="1250" w:type="pct"/>
            <w:tcBorders>
              <w:top w:val="single" w:sz="4" w:space="0" w:color="auto"/>
              <w:left w:val="single" w:sz="4" w:space="0" w:color="auto"/>
              <w:right w:val="single" w:sz="4" w:space="0" w:color="auto"/>
            </w:tcBorders>
            <w:shd w:val="clear" w:color="auto" w:fill="auto"/>
            <w:noWrap/>
            <w:vAlign w:val="center"/>
            <w:hideMark/>
          </w:tcPr>
          <w:p w:rsidR="00D018F7" w:rsidRPr="009A010C" w:rsidRDefault="00D018F7" w:rsidP="00287C83">
            <w:pPr>
              <w:jc w:val="center"/>
              <w:rPr>
                <w:b/>
                <w:color w:val="000000"/>
                <w:sz w:val="20"/>
                <w:szCs w:val="20"/>
                <w:lang w:eastAsia="en-CA"/>
              </w:rPr>
            </w:pPr>
            <w:r w:rsidRPr="009A010C">
              <w:rPr>
                <w:b/>
                <w:color w:val="000000"/>
                <w:sz w:val="20"/>
                <w:szCs w:val="20"/>
                <w:lang w:eastAsia="en-CA"/>
              </w:rPr>
              <w:t>Approved (US $)</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rsidR="00D018F7" w:rsidRPr="009A010C" w:rsidRDefault="00D018F7" w:rsidP="00287C83">
            <w:pPr>
              <w:jc w:val="center"/>
              <w:rPr>
                <w:b/>
                <w:color w:val="000000"/>
                <w:sz w:val="20"/>
                <w:szCs w:val="20"/>
                <w:lang w:eastAsia="en-CA"/>
              </w:rPr>
            </w:pPr>
            <w:r w:rsidRPr="009A010C">
              <w:rPr>
                <w:b/>
                <w:color w:val="000000"/>
                <w:sz w:val="20"/>
                <w:szCs w:val="20"/>
                <w:lang w:eastAsia="en-CA"/>
              </w:rPr>
              <w:t>Disbursed (US $)</w:t>
            </w:r>
          </w:p>
        </w:tc>
        <w:tc>
          <w:tcPr>
            <w:tcW w:w="1250" w:type="pct"/>
            <w:tcBorders>
              <w:top w:val="single" w:sz="4" w:space="0" w:color="auto"/>
              <w:left w:val="single" w:sz="4" w:space="0" w:color="auto"/>
              <w:bottom w:val="single" w:sz="4" w:space="0" w:color="auto"/>
              <w:right w:val="single" w:sz="4" w:space="0" w:color="auto"/>
            </w:tcBorders>
          </w:tcPr>
          <w:p w:rsidR="00D018F7" w:rsidRPr="009A010C" w:rsidRDefault="00D018F7" w:rsidP="00287C83">
            <w:pPr>
              <w:jc w:val="center"/>
              <w:rPr>
                <w:b/>
                <w:color w:val="000000"/>
                <w:sz w:val="20"/>
                <w:szCs w:val="20"/>
                <w:lang w:eastAsia="en-CA"/>
              </w:rPr>
            </w:pPr>
            <w:r w:rsidRPr="009A010C">
              <w:rPr>
                <w:b/>
                <w:color w:val="000000"/>
                <w:sz w:val="20"/>
                <w:szCs w:val="20"/>
                <w:lang w:eastAsia="en-CA"/>
              </w:rPr>
              <w:t>Disbursement rate (%)</w:t>
            </w:r>
          </w:p>
        </w:tc>
      </w:tr>
      <w:tr w:rsidR="00D018F7" w:rsidRPr="009A010C" w:rsidTr="00287C83">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D018F7" w:rsidRPr="009A010C" w:rsidRDefault="00D018F7" w:rsidP="00287C83">
            <w:pPr>
              <w:rPr>
                <w:bCs/>
                <w:color w:val="000000"/>
                <w:sz w:val="20"/>
                <w:szCs w:val="20"/>
                <w:lang w:eastAsia="en-CA"/>
              </w:rPr>
            </w:pPr>
            <w:r w:rsidRPr="009A010C">
              <w:rPr>
                <w:bCs/>
                <w:color w:val="000000"/>
                <w:sz w:val="20"/>
                <w:szCs w:val="20"/>
                <w:lang w:eastAsia="en-CA"/>
              </w:rPr>
              <w:t>UNIDO</w:t>
            </w:r>
          </w:p>
        </w:tc>
        <w:tc>
          <w:tcPr>
            <w:tcW w:w="1250" w:type="pct"/>
            <w:tcBorders>
              <w:top w:val="single" w:sz="4" w:space="0" w:color="auto"/>
              <w:left w:val="single" w:sz="4" w:space="0" w:color="auto"/>
              <w:bottom w:val="single" w:sz="4" w:space="0" w:color="auto"/>
              <w:right w:val="single" w:sz="4" w:space="0" w:color="auto"/>
            </w:tcBorders>
            <w:tcMar>
              <w:left w:w="115" w:type="dxa"/>
              <w:right w:w="360" w:type="dxa"/>
            </w:tcMar>
            <w:vAlign w:val="bottom"/>
          </w:tcPr>
          <w:p w:rsidR="00D018F7" w:rsidRPr="009A010C" w:rsidRDefault="00D018F7" w:rsidP="00287C83">
            <w:pPr>
              <w:keepNext/>
              <w:keepLines/>
              <w:jc w:val="right"/>
              <w:rPr>
                <w:color w:val="000000"/>
                <w:sz w:val="20"/>
                <w:szCs w:val="20"/>
              </w:rPr>
            </w:pPr>
            <w:r w:rsidRPr="009A010C">
              <w:rPr>
                <w:color w:val="000000"/>
                <w:sz w:val="20"/>
                <w:szCs w:val="20"/>
              </w:rPr>
              <w:t>2,385,717</w:t>
            </w:r>
          </w:p>
        </w:tc>
        <w:tc>
          <w:tcPr>
            <w:tcW w:w="12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360" w:type="dxa"/>
            </w:tcMar>
            <w:vAlign w:val="bottom"/>
          </w:tcPr>
          <w:p w:rsidR="00D018F7" w:rsidRPr="009A010C" w:rsidRDefault="00D018F7" w:rsidP="00287C83">
            <w:pPr>
              <w:keepNext/>
              <w:keepLines/>
              <w:jc w:val="right"/>
              <w:rPr>
                <w:color w:val="000000"/>
                <w:sz w:val="20"/>
                <w:szCs w:val="20"/>
              </w:rPr>
            </w:pPr>
            <w:r w:rsidRPr="009A010C">
              <w:rPr>
                <w:color w:val="000000"/>
                <w:sz w:val="20"/>
                <w:szCs w:val="20"/>
              </w:rPr>
              <w:t>2,385,717</w:t>
            </w:r>
          </w:p>
        </w:tc>
        <w:tc>
          <w:tcPr>
            <w:tcW w:w="1250" w:type="pct"/>
            <w:tcBorders>
              <w:top w:val="single" w:sz="4" w:space="0" w:color="auto"/>
              <w:left w:val="single" w:sz="4" w:space="0" w:color="auto"/>
              <w:bottom w:val="single" w:sz="4" w:space="0" w:color="auto"/>
              <w:right w:val="single" w:sz="4" w:space="0" w:color="auto"/>
            </w:tcBorders>
            <w:tcMar>
              <w:left w:w="115" w:type="dxa"/>
              <w:right w:w="360" w:type="dxa"/>
            </w:tcMar>
          </w:tcPr>
          <w:p w:rsidR="00D018F7" w:rsidRPr="009A010C" w:rsidRDefault="00D018F7" w:rsidP="00287C83">
            <w:pPr>
              <w:keepNext/>
              <w:keepLines/>
              <w:jc w:val="right"/>
              <w:rPr>
                <w:color w:val="000000"/>
                <w:sz w:val="20"/>
                <w:szCs w:val="20"/>
              </w:rPr>
            </w:pPr>
            <w:r w:rsidRPr="009A010C">
              <w:rPr>
                <w:color w:val="000000"/>
                <w:sz w:val="20"/>
                <w:szCs w:val="20"/>
              </w:rPr>
              <w:t>100.0</w:t>
            </w:r>
          </w:p>
        </w:tc>
      </w:tr>
      <w:tr w:rsidR="00D018F7" w:rsidRPr="009A010C" w:rsidTr="00287C83">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D018F7" w:rsidRPr="009A010C" w:rsidRDefault="00D018F7" w:rsidP="00287C83">
            <w:pPr>
              <w:rPr>
                <w:bCs/>
                <w:color w:val="000000"/>
                <w:sz w:val="20"/>
                <w:szCs w:val="20"/>
                <w:lang w:eastAsia="en-CA"/>
              </w:rPr>
            </w:pPr>
            <w:r w:rsidRPr="009A010C">
              <w:rPr>
                <w:bCs/>
                <w:color w:val="000000"/>
                <w:sz w:val="20"/>
                <w:szCs w:val="20"/>
                <w:lang w:eastAsia="en-CA"/>
              </w:rPr>
              <w:t>World Bank</w:t>
            </w:r>
          </w:p>
        </w:tc>
        <w:tc>
          <w:tcPr>
            <w:tcW w:w="1250" w:type="pct"/>
            <w:tcBorders>
              <w:top w:val="single" w:sz="4" w:space="0" w:color="auto"/>
              <w:left w:val="single" w:sz="4" w:space="0" w:color="auto"/>
              <w:bottom w:val="single" w:sz="4" w:space="0" w:color="auto"/>
              <w:right w:val="single" w:sz="4" w:space="0" w:color="auto"/>
            </w:tcBorders>
            <w:tcMar>
              <w:left w:w="115" w:type="dxa"/>
              <w:right w:w="360" w:type="dxa"/>
            </w:tcMar>
            <w:vAlign w:val="bottom"/>
          </w:tcPr>
          <w:p w:rsidR="00D018F7" w:rsidRPr="009A010C" w:rsidRDefault="00D018F7" w:rsidP="00287C83">
            <w:pPr>
              <w:keepNext/>
              <w:keepLines/>
              <w:jc w:val="right"/>
              <w:rPr>
                <w:color w:val="000000"/>
                <w:sz w:val="20"/>
                <w:szCs w:val="20"/>
              </w:rPr>
            </w:pPr>
            <w:r w:rsidRPr="009A010C">
              <w:rPr>
                <w:color w:val="000000"/>
                <w:sz w:val="20"/>
                <w:szCs w:val="20"/>
              </w:rPr>
              <w:t>980,300</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360" w:type="dxa"/>
            </w:tcMar>
            <w:vAlign w:val="bottom"/>
          </w:tcPr>
          <w:p w:rsidR="00D018F7" w:rsidRPr="009A010C" w:rsidRDefault="00D018F7" w:rsidP="00287C83">
            <w:pPr>
              <w:keepNext/>
              <w:keepLines/>
              <w:jc w:val="right"/>
              <w:rPr>
                <w:color w:val="000000"/>
                <w:sz w:val="20"/>
                <w:szCs w:val="20"/>
              </w:rPr>
            </w:pPr>
            <w:r w:rsidRPr="009A010C">
              <w:rPr>
                <w:color w:val="000000"/>
                <w:sz w:val="20"/>
                <w:szCs w:val="20"/>
              </w:rPr>
              <w:t>808,028</w:t>
            </w:r>
          </w:p>
        </w:tc>
        <w:tc>
          <w:tcPr>
            <w:tcW w:w="1250" w:type="pct"/>
            <w:tcBorders>
              <w:top w:val="nil"/>
              <w:left w:val="single" w:sz="4" w:space="0" w:color="auto"/>
              <w:bottom w:val="single" w:sz="4" w:space="0" w:color="auto"/>
              <w:right w:val="single" w:sz="4" w:space="0" w:color="auto"/>
            </w:tcBorders>
            <w:tcMar>
              <w:left w:w="115" w:type="dxa"/>
              <w:right w:w="360" w:type="dxa"/>
            </w:tcMar>
          </w:tcPr>
          <w:p w:rsidR="00D018F7" w:rsidRPr="009A010C" w:rsidRDefault="00D018F7" w:rsidP="00287C83">
            <w:pPr>
              <w:keepNext/>
              <w:keepLines/>
              <w:jc w:val="right"/>
              <w:rPr>
                <w:sz w:val="20"/>
                <w:szCs w:val="20"/>
              </w:rPr>
            </w:pPr>
            <w:r w:rsidRPr="009A010C">
              <w:rPr>
                <w:sz w:val="20"/>
                <w:szCs w:val="20"/>
              </w:rPr>
              <w:t>82.4</w:t>
            </w:r>
          </w:p>
        </w:tc>
      </w:tr>
      <w:tr w:rsidR="00D018F7" w:rsidRPr="009A010C" w:rsidTr="00287C83">
        <w:tc>
          <w:tcPr>
            <w:tcW w:w="1250" w:type="pct"/>
            <w:tcBorders>
              <w:top w:val="nil"/>
              <w:left w:val="single" w:sz="4" w:space="0" w:color="auto"/>
              <w:bottom w:val="single" w:sz="4" w:space="0" w:color="auto"/>
              <w:right w:val="single" w:sz="4" w:space="0" w:color="auto"/>
            </w:tcBorders>
            <w:shd w:val="clear" w:color="auto" w:fill="auto"/>
            <w:noWrap/>
            <w:vAlign w:val="center"/>
            <w:hideMark/>
          </w:tcPr>
          <w:p w:rsidR="00D018F7" w:rsidRPr="009A010C" w:rsidRDefault="00D018F7" w:rsidP="00287C83">
            <w:pPr>
              <w:rPr>
                <w:b/>
                <w:bCs/>
                <w:color w:val="000000"/>
                <w:sz w:val="20"/>
                <w:szCs w:val="20"/>
                <w:lang w:eastAsia="en-CA"/>
              </w:rPr>
            </w:pPr>
            <w:r w:rsidRPr="009A010C">
              <w:rPr>
                <w:b/>
                <w:bCs/>
                <w:color w:val="000000"/>
                <w:sz w:val="20"/>
                <w:szCs w:val="20"/>
                <w:lang w:eastAsia="en-CA"/>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360" w:type="dxa"/>
            </w:tcMar>
            <w:vAlign w:val="center"/>
          </w:tcPr>
          <w:p w:rsidR="00D018F7" w:rsidRPr="009A010C" w:rsidRDefault="00D018F7" w:rsidP="00287C83">
            <w:pPr>
              <w:keepNext/>
              <w:keepLines/>
              <w:jc w:val="right"/>
              <w:rPr>
                <w:b/>
                <w:bCs/>
                <w:color w:val="000000"/>
                <w:sz w:val="20"/>
                <w:szCs w:val="20"/>
              </w:rPr>
            </w:pPr>
            <w:r w:rsidRPr="009A010C">
              <w:rPr>
                <w:b/>
                <w:bCs/>
                <w:color w:val="000000"/>
                <w:sz w:val="20"/>
                <w:szCs w:val="20"/>
              </w:rPr>
              <w:t>3,366,017</w:t>
            </w:r>
          </w:p>
        </w:tc>
        <w:tc>
          <w:tcPr>
            <w:tcW w:w="1250" w:type="pct"/>
            <w:tcBorders>
              <w:top w:val="nil"/>
              <w:left w:val="single" w:sz="4" w:space="0" w:color="auto"/>
              <w:bottom w:val="single" w:sz="4" w:space="0" w:color="auto"/>
              <w:right w:val="single" w:sz="4" w:space="0" w:color="auto"/>
            </w:tcBorders>
            <w:shd w:val="clear" w:color="auto" w:fill="auto"/>
            <w:noWrap/>
            <w:tcMar>
              <w:left w:w="115" w:type="dxa"/>
              <w:right w:w="360" w:type="dxa"/>
            </w:tcMar>
            <w:vAlign w:val="bottom"/>
          </w:tcPr>
          <w:p w:rsidR="00D018F7" w:rsidRPr="009A010C" w:rsidRDefault="00D018F7" w:rsidP="00287C83">
            <w:pPr>
              <w:keepNext/>
              <w:keepLines/>
              <w:jc w:val="right"/>
              <w:rPr>
                <w:b/>
                <w:color w:val="000000"/>
                <w:sz w:val="20"/>
                <w:szCs w:val="20"/>
              </w:rPr>
            </w:pPr>
            <w:r w:rsidRPr="009A010C">
              <w:rPr>
                <w:b/>
                <w:color w:val="000000"/>
                <w:sz w:val="20"/>
                <w:szCs w:val="20"/>
              </w:rPr>
              <w:t>3,193,745</w:t>
            </w:r>
          </w:p>
        </w:tc>
        <w:tc>
          <w:tcPr>
            <w:tcW w:w="1250" w:type="pct"/>
            <w:tcBorders>
              <w:top w:val="nil"/>
              <w:left w:val="single" w:sz="4" w:space="0" w:color="auto"/>
              <w:bottom w:val="single" w:sz="4" w:space="0" w:color="auto"/>
              <w:right w:val="single" w:sz="4" w:space="0" w:color="auto"/>
            </w:tcBorders>
            <w:tcMar>
              <w:left w:w="115" w:type="dxa"/>
              <w:right w:w="360" w:type="dxa"/>
            </w:tcMar>
          </w:tcPr>
          <w:p w:rsidR="00D018F7" w:rsidRPr="009A010C" w:rsidRDefault="00D018F7" w:rsidP="00287C83">
            <w:pPr>
              <w:keepNext/>
              <w:keepLines/>
              <w:jc w:val="right"/>
              <w:rPr>
                <w:b/>
                <w:color w:val="000000"/>
                <w:sz w:val="20"/>
                <w:szCs w:val="20"/>
              </w:rPr>
            </w:pPr>
            <w:r w:rsidRPr="009A010C">
              <w:rPr>
                <w:b/>
                <w:color w:val="000000"/>
                <w:sz w:val="20"/>
                <w:szCs w:val="20"/>
              </w:rPr>
              <w:t>94.9</w:t>
            </w:r>
          </w:p>
        </w:tc>
      </w:tr>
    </w:tbl>
    <w:p w:rsidR="00D018F7" w:rsidRPr="009A010C" w:rsidRDefault="00D018F7" w:rsidP="00D018F7">
      <w:pPr>
        <w:keepNext/>
      </w:pPr>
      <w:r w:rsidRPr="009A010C">
        <w:t xml:space="preserve"> </w:t>
      </w:r>
    </w:p>
    <w:p w:rsidR="00D018F7" w:rsidRPr="009A010C" w:rsidRDefault="00D018F7" w:rsidP="00D018F7">
      <w:pPr>
        <w:spacing w:after="240"/>
        <w:outlineLvl w:val="0"/>
        <w:rPr>
          <w:u w:val="single"/>
        </w:rPr>
      </w:pPr>
      <w:r w:rsidRPr="009A010C">
        <w:rPr>
          <w:b/>
          <w:bCs/>
        </w:rPr>
        <w:t>Comments</w:t>
      </w:r>
    </w:p>
    <w:p w:rsidR="00D018F7" w:rsidRPr="009A010C" w:rsidRDefault="00D018F7" w:rsidP="00D018F7">
      <w:pPr>
        <w:pStyle w:val="ListParagraph"/>
        <w:numPr>
          <w:ilvl w:val="0"/>
          <w:numId w:val="1"/>
        </w:numPr>
        <w:spacing w:after="160"/>
      </w:pPr>
      <w:r w:rsidRPr="009A010C">
        <w:t>The Secretariat noted the submission of a comprehensive report on progress on the activities of stage I of the HPMP and reviewed the information submitted in light of decision 75/60(c), noting that the project should have been completed by December 2017, and that no extension request was submitted to the 80</w:t>
      </w:r>
      <w:r w:rsidRPr="009A010C">
        <w:rPr>
          <w:vertAlign w:val="superscript"/>
        </w:rPr>
        <w:t>th</w:t>
      </w:r>
      <w:r w:rsidRPr="009A010C">
        <w:t xml:space="preserve"> or the 81</w:t>
      </w:r>
      <w:r w:rsidRPr="009A010C">
        <w:rPr>
          <w:vertAlign w:val="superscript"/>
        </w:rPr>
        <w:t>st</w:t>
      </w:r>
      <w:r w:rsidRPr="009A010C">
        <w:t xml:space="preserve"> meeting. The lead implementing agency should request an extension of the date of completion of a project prior to that date. This issue will be considered in the Overview of issues identified during project review document.</w:t>
      </w:r>
      <w:r w:rsidRPr="009A010C">
        <w:rPr>
          <w:rStyle w:val="FootnoteReference"/>
        </w:rPr>
        <w:footnoteReference w:id="41"/>
      </w:r>
    </w:p>
    <w:p w:rsidR="00D018F7" w:rsidRPr="009A010C" w:rsidRDefault="00D018F7" w:rsidP="00D018F7">
      <w:pPr>
        <w:numPr>
          <w:ilvl w:val="0"/>
          <w:numId w:val="1"/>
        </w:numPr>
        <w:spacing w:after="240"/>
        <w:outlineLvl w:val="0"/>
      </w:pPr>
      <w:r w:rsidRPr="009A010C">
        <w:t>Regarding the difference between HCFC</w:t>
      </w:r>
      <w:r w:rsidRPr="009A010C">
        <w:noBreakHyphen/>
        <w:t xml:space="preserve">22 consumption reported for 2017 under Article 7 and the CP data (25.21 and 33.55 ODP tonnes, respectively), the World Bank indicated that data reported under the CP is the best estimate, but that the Government would revise the CP data at the time of the World Bank’s mission to the country in early 2019, at which time the CP data for the years 2013, 2014 and 2015 would also be revised. The Secretariat noted that, while sectoral consumption is indeed based on best estimates, that accurate reporting of data under both Article 7 and CP is critical, and that the imports reported under Article 7 and CP data should be the same. Accordingly, the Secretariat urged the Government to ensure that the CP data was complete, that the imports reported under Article 7 and the CP were consistent, and that the sectoral consumption reflected the HCFCs consumed by each sector in the country in the respective year. </w:t>
      </w:r>
    </w:p>
    <w:p w:rsidR="00D018F7" w:rsidRPr="00F36B67" w:rsidRDefault="00D018F7" w:rsidP="00D018F7">
      <w:pPr>
        <w:numPr>
          <w:ilvl w:val="0"/>
          <w:numId w:val="1"/>
        </w:numPr>
        <w:spacing w:after="240"/>
        <w:outlineLvl w:val="0"/>
      </w:pPr>
      <w:r w:rsidRPr="009A010C">
        <w:t xml:space="preserve">The Secretariat requested clarifications on why some TA activities and the procurement of equipment were expected to continue in 2018. The World Bank informed that the bidding for equipment and tools could not be completed by 2017 due to lack of response from potential equipment suppliers, and that staffing changes in the national ozone unit (NOU) contributed to the delays. However, these issues have been addressed, the NOU is fully operational, and the remaining activities could be completed by the end of June </w:t>
      </w:r>
      <w:r w:rsidRPr="009A010C">
        <w:lastRenderedPageBreak/>
        <w:t xml:space="preserve">2019, according to the plan summarized in </w:t>
      </w:r>
      <w:r w:rsidRPr="00F36B67">
        <w:t xml:space="preserve">Table </w:t>
      </w:r>
      <w:r w:rsidR="00F36B67" w:rsidRPr="00F36B67">
        <w:t>17</w:t>
      </w:r>
      <w:r w:rsidRPr="00F36B67">
        <w:t xml:space="preserve">. The World Bank proposed that the remaining balance of US $172,272 be allocated as shown in Table </w:t>
      </w:r>
      <w:r w:rsidR="00B107FB" w:rsidRPr="00F36B67">
        <w:t>17</w:t>
      </w:r>
      <w:r w:rsidRPr="00F36B67">
        <w:t xml:space="preserve"> below.</w:t>
      </w:r>
    </w:p>
    <w:p w:rsidR="00D018F7" w:rsidRPr="009A010C" w:rsidRDefault="00D018F7" w:rsidP="00D018F7">
      <w:pPr>
        <w:outlineLvl w:val="0"/>
        <w:rPr>
          <w:b/>
        </w:rPr>
      </w:pPr>
      <w:r w:rsidRPr="00F4406E">
        <w:rPr>
          <w:b/>
        </w:rPr>
        <w:t xml:space="preserve">Table </w:t>
      </w:r>
      <w:r w:rsidR="00B107FB" w:rsidRPr="00F4406E">
        <w:rPr>
          <w:b/>
        </w:rPr>
        <w:t>17</w:t>
      </w:r>
      <w:r w:rsidRPr="009A010C">
        <w:rPr>
          <w:b/>
        </w:rPr>
        <w:t>. Plan for the utilisation of remaining funds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22"/>
        <w:gridCol w:w="3323"/>
        <w:gridCol w:w="932"/>
        <w:gridCol w:w="1875"/>
      </w:tblGrid>
      <w:tr w:rsidR="00D018F7" w:rsidRPr="009A010C" w:rsidTr="00A75012">
        <w:trPr>
          <w:trHeight w:val="555"/>
        </w:trPr>
        <w:tc>
          <w:tcPr>
            <w:tcW w:w="1757" w:type="pct"/>
            <w:shd w:val="clear" w:color="auto" w:fill="auto"/>
            <w:tcMar>
              <w:top w:w="0" w:type="dxa"/>
              <w:left w:w="108" w:type="dxa"/>
              <w:bottom w:w="0" w:type="dxa"/>
              <w:right w:w="108" w:type="dxa"/>
            </w:tcMar>
            <w:vAlign w:val="center"/>
            <w:hideMark/>
          </w:tcPr>
          <w:p w:rsidR="00D018F7" w:rsidRPr="009A010C" w:rsidRDefault="00D018F7" w:rsidP="00287C83">
            <w:pPr>
              <w:jc w:val="center"/>
              <w:rPr>
                <w:b/>
                <w:bCs/>
                <w:sz w:val="20"/>
                <w:szCs w:val="20"/>
              </w:rPr>
            </w:pPr>
            <w:r w:rsidRPr="009A010C">
              <w:rPr>
                <w:b/>
                <w:bCs/>
                <w:sz w:val="20"/>
                <w:szCs w:val="20"/>
              </w:rPr>
              <w:t>Project activities</w:t>
            </w:r>
          </w:p>
        </w:tc>
        <w:tc>
          <w:tcPr>
            <w:tcW w:w="1758" w:type="pct"/>
            <w:shd w:val="clear" w:color="auto" w:fill="auto"/>
            <w:tcMar>
              <w:top w:w="0" w:type="dxa"/>
              <w:left w:w="108" w:type="dxa"/>
              <w:bottom w:w="0" w:type="dxa"/>
              <w:right w:w="108" w:type="dxa"/>
            </w:tcMar>
            <w:vAlign w:val="center"/>
            <w:hideMark/>
          </w:tcPr>
          <w:p w:rsidR="00D018F7" w:rsidRPr="009A010C" w:rsidRDefault="00D018F7" w:rsidP="00287C83">
            <w:pPr>
              <w:jc w:val="center"/>
              <w:rPr>
                <w:b/>
                <w:bCs/>
                <w:sz w:val="20"/>
                <w:szCs w:val="20"/>
              </w:rPr>
            </w:pPr>
            <w:r w:rsidRPr="009A010C">
              <w:rPr>
                <w:b/>
                <w:bCs/>
                <w:sz w:val="20"/>
                <w:szCs w:val="20"/>
              </w:rPr>
              <w:t>Impact</w:t>
            </w:r>
          </w:p>
        </w:tc>
        <w:tc>
          <w:tcPr>
            <w:tcW w:w="493" w:type="pct"/>
            <w:shd w:val="clear" w:color="auto" w:fill="auto"/>
            <w:vAlign w:val="center"/>
          </w:tcPr>
          <w:p w:rsidR="00D018F7" w:rsidRPr="009A010C" w:rsidRDefault="00D018F7" w:rsidP="00287C83">
            <w:pPr>
              <w:jc w:val="center"/>
              <w:rPr>
                <w:b/>
                <w:bCs/>
                <w:sz w:val="20"/>
                <w:szCs w:val="20"/>
              </w:rPr>
            </w:pPr>
            <w:r w:rsidRPr="009A010C">
              <w:rPr>
                <w:b/>
                <w:bCs/>
                <w:sz w:val="20"/>
                <w:szCs w:val="20"/>
              </w:rPr>
              <w:t>Budget (US $)</w:t>
            </w:r>
          </w:p>
        </w:tc>
        <w:tc>
          <w:tcPr>
            <w:tcW w:w="992" w:type="pct"/>
            <w:shd w:val="clear" w:color="auto" w:fill="auto"/>
            <w:tcMar>
              <w:top w:w="0" w:type="dxa"/>
              <w:left w:w="108" w:type="dxa"/>
              <w:bottom w:w="0" w:type="dxa"/>
              <w:right w:w="108" w:type="dxa"/>
            </w:tcMar>
            <w:vAlign w:val="center"/>
            <w:hideMark/>
          </w:tcPr>
          <w:p w:rsidR="00D018F7" w:rsidRPr="009A010C" w:rsidRDefault="00D018F7" w:rsidP="00287C83">
            <w:pPr>
              <w:jc w:val="center"/>
              <w:rPr>
                <w:b/>
                <w:bCs/>
                <w:sz w:val="20"/>
                <w:szCs w:val="20"/>
              </w:rPr>
            </w:pPr>
            <w:r w:rsidRPr="009A010C">
              <w:rPr>
                <w:b/>
                <w:bCs/>
                <w:sz w:val="20"/>
                <w:szCs w:val="20"/>
              </w:rPr>
              <w:t>Expected completion date (month/year)</w:t>
            </w:r>
          </w:p>
        </w:tc>
      </w:tr>
      <w:tr w:rsidR="00D018F7" w:rsidRPr="009A010C" w:rsidTr="00A75012">
        <w:trPr>
          <w:trHeight w:val="286"/>
        </w:trPr>
        <w:tc>
          <w:tcPr>
            <w:tcW w:w="5000" w:type="pct"/>
            <w:gridSpan w:val="4"/>
            <w:shd w:val="clear" w:color="auto" w:fill="auto"/>
            <w:tcMar>
              <w:top w:w="0" w:type="dxa"/>
              <w:left w:w="108" w:type="dxa"/>
              <w:bottom w:w="0" w:type="dxa"/>
              <w:right w:w="108" w:type="dxa"/>
            </w:tcMar>
          </w:tcPr>
          <w:p w:rsidR="00D018F7" w:rsidRPr="009A010C" w:rsidRDefault="00D018F7" w:rsidP="00287C83">
            <w:pPr>
              <w:rPr>
                <w:b/>
                <w:bCs/>
                <w:sz w:val="20"/>
                <w:szCs w:val="20"/>
              </w:rPr>
            </w:pPr>
            <w:r w:rsidRPr="009A010C">
              <w:rPr>
                <w:b/>
                <w:bCs/>
                <w:sz w:val="20"/>
                <w:szCs w:val="20"/>
              </w:rPr>
              <w:t>Procurement of equipment</w:t>
            </w:r>
          </w:p>
        </w:tc>
      </w:tr>
      <w:tr w:rsidR="00D018F7" w:rsidRPr="009A010C" w:rsidTr="00A75012">
        <w:trPr>
          <w:trHeight w:val="716"/>
        </w:trPr>
        <w:tc>
          <w:tcPr>
            <w:tcW w:w="1757"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 xml:space="preserve">Procurement and distribution of equipment and tools to training </w:t>
            </w:r>
            <w:proofErr w:type="spellStart"/>
            <w:r w:rsidRPr="009A010C">
              <w:rPr>
                <w:sz w:val="20"/>
                <w:szCs w:val="20"/>
              </w:rPr>
              <w:t>centers</w:t>
            </w:r>
            <w:proofErr w:type="spellEnd"/>
            <w:r w:rsidRPr="009A010C">
              <w:rPr>
                <w:sz w:val="20"/>
                <w:szCs w:val="20"/>
              </w:rPr>
              <w:t xml:space="preserve"> and servicing shops</w:t>
            </w:r>
          </w:p>
        </w:tc>
        <w:tc>
          <w:tcPr>
            <w:tcW w:w="1758"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AC servicing sector is capable of handling multiple refrigerants</w:t>
            </w:r>
          </w:p>
        </w:tc>
        <w:tc>
          <w:tcPr>
            <w:tcW w:w="493" w:type="pct"/>
            <w:shd w:val="clear" w:color="auto" w:fill="auto"/>
          </w:tcPr>
          <w:p w:rsidR="00D018F7" w:rsidRPr="009A010C" w:rsidRDefault="00D018F7" w:rsidP="00287C83">
            <w:pPr>
              <w:jc w:val="right"/>
              <w:rPr>
                <w:sz w:val="20"/>
                <w:szCs w:val="20"/>
              </w:rPr>
            </w:pPr>
            <w:r w:rsidRPr="009A010C">
              <w:rPr>
                <w:sz w:val="20"/>
                <w:szCs w:val="20"/>
              </w:rPr>
              <w:t>89,000</w:t>
            </w:r>
          </w:p>
        </w:tc>
        <w:tc>
          <w:tcPr>
            <w:tcW w:w="992"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January 2019</w:t>
            </w:r>
          </w:p>
        </w:tc>
      </w:tr>
      <w:tr w:rsidR="00D018F7" w:rsidRPr="009A010C" w:rsidTr="00A75012">
        <w:trPr>
          <w:trHeight w:val="272"/>
        </w:trPr>
        <w:tc>
          <w:tcPr>
            <w:tcW w:w="1757"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Training of service technicians</w:t>
            </w:r>
          </w:p>
        </w:tc>
        <w:tc>
          <w:tcPr>
            <w:tcW w:w="1758" w:type="pct"/>
            <w:shd w:val="clear" w:color="auto" w:fill="auto"/>
            <w:tcMar>
              <w:top w:w="0" w:type="dxa"/>
              <w:left w:w="108" w:type="dxa"/>
              <w:bottom w:w="0" w:type="dxa"/>
              <w:right w:w="108" w:type="dxa"/>
            </w:tcMar>
            <w:hideMark/>
          </w:tcPr>
          <w:p w:rsidR="00D018F7" w:rsidRPr="009A010C" w:rsidRDefault="00D018F7" w:rsidP="00287C83">
            <w:pPr>
              <w:rPr>
                <w:sz w:val="20"/>
                <w:szCs w:val="20"/>
              </w:rPr>
            </w:pPr>
          </w:p>
        </w:tc>
        <w:tc>
          <w:tcPr>
            <w:tcW w:w="493" w:type="pct"/>
            <w:shd w:val="clear" w:color="auto" w:fill="auto"/>
          </w:tcPr>
          <w:p w:rsidR="00D018F7" w:rsidRPr="009A010C" w:rsidRDefault="00D018F7" w:rsidP="00287C83">
            <w:pPr>
              <w:jc w:val="right"/>
              <w:rPr>
                <w:sz w:val="20"/>
                <w:szCs w:val="20"/>
              </w:rPr>
            </w:pPr>
            <w:r w:rsidRPr="009A010C">
              <w:rPr>
                <w:sz w:val="20"/>
                <w:szCs w:val="20"/>
              </w:rPr>
              <w:t>20,044</w:t>
            </w:r>
          </w:p>
        </w:tc>
        <w:tc>
          <w:tcPr>
            <w:tcW w:w="992"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February 2019</w:t>
            </w:r>
          </w:p>
        </w:tc>
      </w:tr>
      <w:tr w:rsidR="00D018F7" w:rsidRPr="009A010C" w:rsidTr="00A75012">
        <w:trPr>
          <w:trHeight w:val="258"/>
        </w:trPr>
        <w:tc>
          <w:tcPr>
            <w:tcW w:w="5000" w:type="pct"/>
            <w:gridSpan w:val="4"/>
            <w:shd w:val="clear" w:color="auto" w:fill="auto"/>
            <w:tcMar>
              <w:top w:w="0" w:type="dxa"/>
              <w:left w:w="108" w:type="dxa"/>
              <w:bottom w:w="0" w:type="dxa"/>
              <w:right w:w="108" w:type="dxa"/>
            </w:tcMar>
          </w:tcPr>
          <w:p w:rsidR="00D018F7" w:rsidRPr="009A010C" w:rsidRDefault="00D018F7" w:rsidP="00287C83">
            <w:pPr>
              <w:rPr>
                <w:b/>
                <w:sz w:val="20"/>
                <w:szCs w:val="20"/>
              </w:rPr>
            </w:pPr>
            <w:r w:rsidRPr="009A010C">
              <w:rPr>
                <w:b/>
                <w:sz w:val="20"/>
                <w:szCs w:val="20"/>
              </w:rPr>
              <w:t xml:space="preserve">Awareness, information outreach and project management </w:t>
            </w:r>
          </w:p>
        </w:tc>
      </w:tr>
      <w:tr w:rsidR="00D018F7" w:rsidRPr="009A010C" w:rsidTr="00A75012">
        <w:trPr>
          <w:trHeight w:val="555"/>
        </w:trPr>
        <w:tc>
          <w:tcPr>
            <w:tcW w:w="1757"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 xml:space="preserve">Workshop on lessons learned (good practices, management of the trade of refrigerant gases, legislation and regulations) </w:t>
            </w:r>
          </w:p>
        </w:tc>
        <w:tc>
          <w:tcPr>
            <w:tcW w:w="1758"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Sustainable conversion of AC manufacturers and ensuring that the ban in HCFC</w:t>
            </w:r>
            <w:r w:rsidRPr="009A010C">
              <w:rPr>
                <w:sz w:val="20"/>
                <w:szCs w:val="20"/>
              </w:rPr>
              <w:noBreakHyphen/>
              <w:t>22</w:t>
            </w:r>
            <w:r w:rsidRPr="009A010C">
              <w:rPr>
                <w:sz w:val="20"/>
                <w:szCs w:val="20"/>
              </w:rPr>
              <w:noBreakHyphen/>
              <w:t>based AC imports and manufacturing is upheld</w:t>
            </w:r>
          </w:p>
        </w:tc>
        <w:tc>
          <w:tcPr>
            <w:tcW w:w="493" w:type="pct"/>
            <w:shd w:val="clear" w:color="auto" w:fill="auto"/>
          </w:tcPr>
          <w:p w:rsidR="00D018F7" w:rsidRPr="009A010C" w:rsidRDefault="00D018F7" w:rsidP="00287C83">
            <w:pPr>
              <w:jc w:val="right"/>
              <w:rPr>
                <w:sz w:val="20"/>
                <w:szCs w:val="20"/>
              </w:rPr>
            </w:pPr>
            <w:r w:rsidRPr="009A010C">
              <w:rPr>
                <w:sz w:val="20"/>
                <w:szCs w:val="20"/>
              </w:rPr>
              <w:t>21,000</w:t>
            </w:r>
          </w:p>
        </w:tc>
        <w:tc>
          <w:tcPr>
            <w:tcW w:w="992"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October 2018</w:t>
            </w:r>
          </w:p>
        </w:tc>
      </w:tr>
      <w:tr w:rsidR="00D018F7" w:rsidRPr="009A010C" w:rsidTr="00A75012">
        <w:trPr>
          <w:trHeight w:val="555"/>
        </w:trPr>
        <w:tc>
          <w:tcPr>
            <w:tcW w:w="1757"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 xml:space="preserve">Workshop for Customs and JSMO on enforcement of the HCFC-22 ban in the AC sector </w:t>
            </w:r>
          </w:p>
        </w:tc>
        <w:tc>
          <w:tcPr>
            <w:tcW w:w="1758" w:type="pct"/>
            <w:shd w:val="clear" w:color="auto" w:fill="auto"/>
            <w:tcMar>
              <w:top w:w="0" w:type="dxa"/>
              <w:left w:w="108" w:type="dxa"/>
              <w:bottom w:w="0" w:type="dxa"/>
              <w:right w:w="108" w:type="dxa"/>
            </w:tcMar>
            <w:hideMark/>
          </w:tcPr>
          <w:p w:rsidR="00D018F7" w:rsidRPr="009A010C" w:rsidRDefault="00D018F7" w:rsidP="00287C83">
            <w:pPr>
              <w:rPr>
                <w:sz w:val="20"/>
                <w:szCs w:val="20"/>
              </w:rPr>
            </w:pPr>
          </w:p>
        </w:tc>
        <w:tc>
          <w:tcPr>
            <w:tcW w:w="493" w:type="pct"/>
            <w:shd w:val="clear" w:color="auto" w:fill="auto"/>
          </w:tcPr>
          <w:p w:rsidR="00D018F7" w:rsidRPr="009A010C" w:rsidRDefault="00D018F7" w:rsidP="00287C83">
            <w:pPr>
              <w:jc w:val="right"/>
              <w:rPr>
                <w:sz w:val="20"/>
                <w:szCs w:val="20"/>
              </w:rPr>
            </w:pPr>
            <w:r w:rsidRPr="009A010C">
              <w:rPr>
                <w:sz w:val="20"/>
                <w:szCs w:val="20"/>
              </w:rPr>
              <w:t>15,000</w:t>
            </w:r>
          </w:p>
        </w:tc>
        <w:tc>
          <w:tcPr>
            <w:tcW w:w="992" w:type="pct"/>
            <w:shd w:val="clear" w:color="auto" w:fill="auto"/>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November 2018</w:t>
            </w:r>
          </w:p>
        </w:tc>
      </w:tr>
      <w:tr w:rsidR="00D018F7" w:rsidRPr="009A010C" w:rsidTr="00A75012">
        <w:trPr>
          <w:trHeight w:val="285"/>
        </w:trPr>
        <w:tc>
          <w:tcPr>
            <w:tcW w:w="1757" w:type="pct"/>
            <w:shd w:val="clear" w:color="auto" w:fill="auto"/>
            <w:noWrap/>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Project management unit</w:t>
            </w:r>
          </w:p>
        </w:tc>
        <w:tc>
          <w:tcPr>
            <w:tcW w:w="1758" w:type="pct"/>
            <w:shd w:val="clear" w:color="auto" w:fill="auto"/>
            <w:noWrap/>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 xml:space="preserve">Stage I is effectively implemented and managed until completion. </w:t>
            </w:r>
          </w:p>
        </w:tc>
        <w:tc>
          <w:tcPr>
            <w:tcW w:w="493" w:type="pct"/>
            <w:shd w:val="clear" w:color="auto" w:fill="auto"/>
          </w:tcPr>
          <w:p w:rsidR="00D018F7" w:rsidRPr="009A010C" w:rsidRDefault="00D018F7" w:rsidP="00287C83">
            <w:pPr>
              <w:jc w:val="right"/>
              <w:rPr>
                <w:sz w:val="20"/>
                <w:szCs w:val="20"/>
              </w:rPr>
            </w:pPr>
            <w:r w:rsidRPr="009A010C">
              <w:rPr>
                <w:sz w:val="20"/>
                <w:szCs w:val="20"/>
              </w:rPr>
              <w:t>27,228</w:t>
            </w:r>
          </w:p>
        </w:tc>
        <w:tc>
          <w:tcPr>
            <w:tcW w:w="992" w:type="pct"/>
            <w:shd w:val="clear" w:color="auto" w:fill="auto"/>
            <w:noWrap/>
            <w:tcMar>
              <w:top w:w="0" w:type="dxa"/>
              <w:left w:w="108" w:type="dxa"/>
              <w:bottom w:w="0" w:type="dxa"/>
              <w:right w:w="108" w:type="dxa"/>
            </w:tcMar>
            <w:hideMark/>
          </w:tcPr>
          <w:p w:rsidR="00D018F7" w:rsidRPr="009A010C" w:rsidRDefault="00D018F7" w:rsidP="00287C83">
            <w:pPr>
              <w:rPr>
                <w:sz w:val="20"/>
                <w:szCs w:val="20"/>
              </w:rPr>
            </w:pPr>
            <w:r w:rsidRPr="009A010C">
              <w:rPr>
                <w:sz w:val="20"/>
                <w:szCs w:val="20"/>
              </w:rPr>
              <w:t>June 2019</w:t>
            </w:r>
          </w:p>
        </w:tc>
      </w:tr>
      <w:tr w:rsidR="00D018F7" w:rsidRPr="009A010C" w:rsidTr="00A75012">
        <w:trPr>
          <w:trHeight w:val="285"/>
        </w:trPr>
        <w:tc>
          <w:tcPr>
            <w:tcW w:w="3515" w:type="pct"/>
            <w:gridSpan w:val="2"/>
            <w:shd w:val="clear" w:color="auto" w:fill="auto"/>
            <w:noWrap/>
            <w:tcMar>
              <w:top w:w="0" w:type="dxa"/>
              <w:left w:w="108" w:type="dxa"/>
              <w:bottom w:w="0" w:type="dxa"/>
              <w:right w:w="108" w:type="dxa"/>
            </w:tcMar>
            <w:hideMark/>
          </w:tcPr>
          <w:p w:rsidR="00D018F7" w:rsidRPr="009A010C" w:rsidRDefault="00D018F7" w:rsidP="00287C83">
            <w:pPr>
              <w:rPr>
                <w:b/>
                <w:bCs/>
                <w:sz w:val="20"/>
                <w:szCs w:val="20"/>
              </w:rPr>
            </w:pPr>
            <w:r w:rsidRPr="009A010C">
              <w:rPr>
                <w:b/>
                <w:bCs/>
                <w:sz w:val="20"/>
                <w:szCs w:val="20"/>
              </w:rPr>
              <w:t>Total</w:t>
            </w:r>
          </w:p>
        </w:tc>
        <w:tc>
          <w:tcPr>
            <w:tcW w:w="493" w:type="pct"/>
            <w:shd w:val="clear" w:color="auto" w:fill="auto"/>
          </w:tcPr>
          <w:p w:rsidR="00D018F7" w:rsidRPr="009A010C" w:rsidRDefault="00D018F7" w:rsidP="00287C83">
            <w:pPr>
              <w:jc w:val="right"/>
              <w:rPr>
                <w:b/>
                <w:bCs/>
                <w:sz w:val="20"/>
                <w:szCs w:val="20"/>
              </w:rPr>
            </w:pPr>
            <w:r w:rsidRPr="009A010C">
              <w:rPr>
                <w:b/>
                <w:bCs/>
                <w:sz w:val="20"/>
                <w:szCs w:val="20"/>
              </w:rPr>
              <w:t>172,272</w:t>
            </w:r>
          </w:p>
        </w:tc>
        <w:tc>
          <w:tcPr>
            <w:tcW w:w="992" w:type="pct"/>
            <w:shd w:val="clear" w:color="auto" w:fill="auto"/>
            <w:noWrap/>
            <w:tcMar>
              <w:top w:w="0" w:type="dxa"/>
              <w:left w:w="108" w:type="dxa"/>
              <w:bottom w:w="0" w:type="dxa"/>
              <w:right w:w="108" w:type="dxa"/>
            </w:tcMar>
            <w:hideMark/>
          </w:tcPr>
          <w:p w:rsidR="00D018F7" w:rsidRPr="009A010C" w:rsidRDefault="00D018F7" w:rsidP="00287C83">
            <w:pPr>
              <w:rPr>
                <w:b/>
                <w:bCs/>
                <w:sz w:val="20"/>
                <w:szCs w:val="20"/>
              </w:rPr>
            </w:pPr>
          </w:p>
        </w:tc>
      </w:tr>
    </w:tbl>
    <w:p w:rsidR="00D018F7" w:rsidRPr="009A010C" w:rsidRDefault="00D018F7" w:rsidP="00D018F7">
      <w:pPr>
        <w:outlineLvl w:val="0"/>
      </w:pPr>
    </w:p>
    <w:p w:rsidR="00D018F7" w:rsidRPr="009A010C" w:rsidRDefault="00D018F7" w:rsidP="00D018F7">
      <w:pPr>
        <w:numPr>
          <w:ilvl w:val="0"/>
          <w:numId w:val="1"/>
        </w:numPr>
        <w:spacing w:after="240"/>
        <w:outlineLvl w:val="0"/>
      </w:pPr>
      <w:r w:rsidRPr="009A010C">
        <w:t>The Secretariat noted that the awareness information outreach and project management activities could be undertaken under stage II of the HPMP, which would result in the return of US $63,228. The World Bank informed that these activities were planned for implementation under stage I and had been committed. Implementation of PMU activities under stage II was limited as the Government was in the process of recruiting PMU staff.</w:t>
      </w:r>
    </w:p>
    <w:p w:rsidR="00D018F7" w:rsidRPr="009A010C" w:rsidRDefault="00D018F7" w:rsidP="00D018F7">
      <w:pPr>
        <w:numPr>
          <w:ilvl w:val="0"/>
          <w:numId w:val="1"/>
        </w:numPr>
        <w:spacing w:after="240"/>
        <w:outlineLvl w:val="0"/>
      </w:pPr>
      <w:r w:rsidRPr="009A010C">
        <w:t xml:space="preserve">The Secretariat noted the process and organisational level difficulties that resulted in the delays as highlighted above and considers that the project could be extended to ensure completion of activities by no later than June 2019. </w:t>
      </w:r>
    </w:p>
    <w:p w:rsidR="00D018F7" w:rsidRPr="009A010C" w:rsidRDefault="00D018F7" w:rsidP="00D018F7">
      <w:pPr>
        <w:keepNext/>
        <w:autoSpaceDE w:val="0"/>
        <w:autoSpaceDN w:val="0"/>
        <w:adjustRightInd w:val="0"/>
        <w:spacing w:after="240"/>
        <w:rPr>
          <w:b/>
        </w:rPr>
      </w:pPr>
      <w:r w:rsidRPr="009A010C">
        <w:rPr>
          <w:b/>
        </w:rPr>
        <w:t>Recommendation</w:t>
      </w:r>
    </w:p>
    <w:p w:rsidR="00D018F7" w:rsidRPr="009A010C" w:rsidRDefault="00D018F7" w:rsidP="00D018F7">
      <w:pPr>
        <w:numPr>
          <w:ilvl w:val="0"/>
          <w:numId w:val="1"/>
        </w:numPr>
        <w:spacing w:after="240"/>
        <w:outlineLvl w:val="0"/>
      </w:pPr>
      <w:r w:rsidRPr="009A010C">
        <w:t xml:space="preserve">The Executive Committee may wish: </w:t>
      </w:r>
    </w:p>
    <w:p w:rsidR="005F330C" w:rsidRPr="00FE5979" w:rsidRDefault="005F330C" w:rsidP="005F330C">
      <w:pPr>
        <w:pStyle w:val="Heading2"/>
        <w:numPr>
          <w:ilvl w:val="0"/>
          <w:numId w:val="8"/>
        </w:numPr>
        <w:tabs>
          <w:tab w:val="num" w:pos="0"/>
        </w:tabs>
        <w:ind w:left="1440" w:hanging="720"/>
      </w:pPr>
      <w:r w:rsidRPr="00FE5979">
        <w:t>To take note of the 2018 progress report on the implementation of stage I of the HCFC phase</w:t>
      </w:r>
      <w:r>
        <w:noBreakHyphen/>
      </w:r>
      <w:r w:rsidRPr="00FE5979">
        <w:t xml:space="preserve">out management plan (HPMP) </w:t>
      </w:r>
      <w:r w:rsidRPr="00FE5979">
        <w:rPr>
          <w:b/>
        </w:rPr>
        <w:t xml:space="preserve">for </w:t>
      </w:r>
      <w:r w:rsidRPr="00FE5979">
        <w:t xml:space="preserve">Jordan, submitted by UNIDO; </w:t>
      </w:r>
    </w:p>
    <w:p w:rsidR="005F330C" w:rsidRPr="00FE5979" w:rsidRDefault="005F330C" w:rsidP="005F330C">
      <w:pPr>
        <w:pStyle w:val="Heading2"/>
        <w:numPr>
          <w:ilvl w:val="0"/>
          <w:numId w:val="8"/>
        </w:numPr>
        <w:tabs>
          <w:tab w:val="num" w:pos="0"/>
        </w:tabs>
        <w:ind w:left="1440" w:hanging="720"/>
      </w:pPr>
      <w:r w:rsidRPr="00FE5979">
        <w:t xml:space="preserve">To consider the request for extension of the duration of stage I of the HPMP of Jordan up to 30 June 2019, on the understanding that no further extension of project implementation </w:t>
      </w:r>
      <w:r w:rsidRPr="00FE5979">
        <w:rPr>
          <w:b/>
        </w:rPr>
        <w:t>of stage</w:t>
      </w:r>
      <w:r>
        <w:rPr>
          <w:b/>
        </w:rPr>
        <w:t> </w:t>
      </w:r>
      <w:r w:rsidRPr="00FE5979">
        <w:rPr>
          <w:b/>
        </w:rPr>
        <w:t xml:space="preserve">I </w:t>
      </w:r>
      <w:r w:rsidRPr="00FE5979">
        <w:t>would be requested, that the project completion report would be submitted by the 84</w:t>
      </w:r>
      <w:r w:rsidRPr="00FE5979">
        <w:rPr>
          <w:vertAlign w:val="superscript"/>
        </w:rPr>
        <w:t>th</w:t>
      </w:r>
      <w:r w:rsidRPr="00FE5979">
        <w:t xml:space="preserve"> meeting, and that the remaining balances </w:t>
      </w:r>
      <w:r w:rsidRPr="00FE5979">
        <w:rPr>
          <w:b/>
        </w:rPr>
        <w:t>would be returned to the 84</w:t>
      </w:r>
      <w:r w:rsidRPr="00FE5979">
        <w:rPr>
          <w:b/>
          <w:vertAlign w:val="superscript"/>
        </w:rPr>
        <w:t>th</w:t>
      </w:r>
      <w:r w:rsidRPr="00FE5979">
        <w:rPr>
          <w:b/>
        </w:rPr>
        <w:t xml:space="preserve"> meeting; </w:t>
      </w:r>
      <w:r w:rsidRPr="00FE5979">
        <w:t>and</w:t>
      </w:r>
    </w:p>
    <w:p w:rsidR="00F53D8E" w:rsidRPr="009A010C" w:rsidRDefault="005F330C" w:rsidP="005F330C">
      <w:pPr>
        <w:pStyle w:val="Heading2"/>
        <w:numPr>
          <w:ilvl w:val="0"/>
          <w:numId w:val="8"/>
        </w:numPr>
        <w:tabs>
          <w:tab w:val="num" w:pos="0"/>
        </w:tabs>
        <w:ind w:left="1440" w:hanging="720"/>
      </w:pPr>
      <w:r w:rsidRPr="00FE5979">
        <w:t>To urge the World Bank to work with the Government of Jordan on revising the country programme data for the years 2013, 2014, 2015 and 2017 in order to ensure that they are consistent with the data reported under Article 7 of the Montreal Protocol</w:t>
      </w:r>
      <w:r w:rsidRPr="00FE5979">
        <w:rPr>
          <w:b/>
        </w:rPr>
        <w:t>, and to submit revised country programme data reports to the Secretariat as soon as possible.</w:t>
      </w:r>
    </w:p>
    <w:p w:rsidR="00521F0F" w:rsidRPr="009A010C" w:rsidRDefault="00521F0F" w:rsidP="00B107FB">
      <w:pPr>
        <w:keepNext/>
        <w:rPr>
          <w:u w:val="single"/>
          <w:lang w:val="en-CA"/>
        </w:rPr>
      </w:pPr>
      <w:r w:rsidRPr="009A010C">
        <w:rPr>
          <w:u w:val="single"/>
        </w:rPr>
        <w:lastRenderedPageBreak/>
        <w:t xml:space="preserve">Stage I of the HPMP for Malaysia </w:t>
      </w:r>
      <w:r w:rsidR="00676841" w:rsidRPr="009A010C">
        <w:rPr>
          <w:u w:val="single"/>
        </w:rPr>
        <w:t>(</w:t>
      </w:r>
      <w:r w:rsidR="002464DD" w:rsidRPr="009A010C">
        <w:rPr>
          <w:u w:val="single"/>
        </w:rPr>
        <w:t>2017-2018 progress report and</w:t>
      </w:r>
      <w:r w:rsidRPr="009A010C">
        <w:rPr>
          <w:u w:val="single"/>
        </w:rPr>
        <w:t xml:space="preserve"> 2017 verification report</w:t>
      </w:r>
      <w:r w:rsidR="002464DD" w:rsidRPr="009A010C">
        <w:rPr>
          <w:u w:val="single"/>
        </w:rPr>
        <w:t>)</w:t>
      </w:r>
      <w:r w:rsidR="00676841" w:rsidRPr="009A010C">
        <w:t xml:space="preserve"> </w:t>
      </w:r>
      <w:r w:rsidR="0015553B" w:rsidRPr="009A010C">
        <w:t>(UNDP)</w:t>
      </w:r>
    </w:p>
    <w:p w:rsidR="00521F0F" w:rsidRPr="009A010C" w:rsidRDefault="00521F0F" w:rsidP="00B107FB">
      <w:pPr>
        <w:keepNext/>
        <w:rPr>
          <w:lang w:val="en-CA"/>
        </w:rPr>
      </w:pPr>
    </w:p>
    <w:p w:rsidR="0015553B" w:rsidRPr="009A010C" w:rsidRDefault="0015553B" w:rsidP="00B107FB">
      <w:pPr>
        <w:keepNext/>
        <w:rPr>
          <w:b/>
          <w:lang w:val="en-CA"/>
        </w:rPr>
      </w:pPr>
      <w:r w:rsidRPr="009A010C">
        <w:rPr>
          <w:b/>
          <w:lang w:val="en-CA"/>
        </w:rPr>
        <w:t>Background</w:t>
      </w:r>
    </w:p>
    <w:p w:rsidR="0015553B" w:rsidRPr="009A010C" w:rsidRDefault="0015553B" w:rsidP="0015553B">
      <w:pPr>
        <w:rPr>
          <w:b/>
          <w:lang w:val="en-CA"/>
        </w:rPr>
      </w:pPr>
    </w:p>
    <w:p w:rsidR="0015553B" w:rsidRPr="009A010C" w:rsidRDefault="0015553B" w:rsidP="0015553B">
      <w:pPr>
        <w:pStyle w:val="Heading1"/>
        <w:rPr>
          <w:lang w:val="en-CA"/>
        </w:rPr>
      </w:pPr>
      <w:r w:rsidRPr="009A010C">
        <w:rPr>
          <w:lang w:val="en-CA"/>
        </w:rPr>
        <w:t>On behalf of the Government of Malaysia, UNDP as the designated implementing agency, has submitted to the 82</w:t>
      </w:r>
      <w:r w:rsidRPr="009A010C">
        <w:rPr>
          <w:vertAlign w:val="superscript"/>
          <w:lang w:val="en-CA"/>
        </w:rPr>
        <w:t>nd</w:t>
      </w:r>
      <w:r w:rsidRPr="009A010C">
        <w:rPr>
          <w:lang w:val="en-CA"/>
        </w:rPr>
        <w:t> meeting the annual progress report on the implementation of the work programme associated with the fourth and final tranche of the HPMP</w:t>
      </w:r>
      <w:r w:rsidRPr="009A010C">
        <w:rPr>
          <w:rStyle w:val="FootnoteReference"/>
          <w:lang w:val="en-CA"/>
        </w:rPr>
        <w:footnoteReference w:id="42"/>
      </w:r>
      <w:r w:rsidRPr="009A010C">
        <w:rPr>
          <w:lang w:val="en-CA"/>
        </w:rPr>
        <w:t>, in line with decision 77/36.</w:t>
      </w:r>
    </w:p>
    <w:p w:rsidR="0015553B" w:rsidRPr="009A010C" w:rsidRDefault="0015553B" w:rsidP="0015553B">
      <w:pPr>
        <w:rPr>
          <w:u w:val="single"/>
          <w:lang w:val="en-CA"/>
        </w:rPr>
      </w:pPr>
      <w:r w:rsidRPr="009A010C">
        <w:rPr>
          <w:u w:val="single"/>
          <w:lang w:val="en-CA"/>
        </w:rPr>
        <w:t>HCFC consumption</w:t>
      </w:r>
    </w:p>
    <w:p w:rsidR="0015553B" w:rsidRPr="009A010C" w:rsidRDefault="0015553B" w:rsidP="0015553B">
      <w:pPr>
        <w:rPr>
          <w:lang w:val="en-CA"/>
        </w:rPr>
      </w:pPr>
    </w:p>
    <w:p w:rsidR="0015553B" w:rsidRPr="009A010C" w:rsidRDefault="0015553B" w:rsidP="0015553B">
      <w:pPr>
        <w:pStyle w:val="Heading1"/>
        <w:rPr>
          <w:lang w:val="en-CA"/>
        </w:rPr>
      </w:pPr>
      <w:r w:rsidRPr="009A010C">
        <w:rPr>
          <w:lang w:val="en-CA"/>
        </w:rPr>
        <w:t xml:space="preserve">The Government of Malaysia reported HCFC consumption of 235.78 ODP tonnes in 2017, which is 46 per cent below the HPMP target of 438.40 ODP tonnes for 2017, and 54 per cent lower than the established baseline of 515.8 ODP tonnes. The Government submitted sector consumption data under the 2017 country programme implementation report consistent with the data reported under Article 7 of the Montreal Protocol.  </w:t>
      </w:r>
    </w:p>
    <w:p w:rsidR="0015553B" w:rsidRPr="009A010C" w:rsidRDefault="0015553B" w:rsidP="0015553B">
      <w:pPr>
        <w:rPr>
          <w:u w:val="single"/>
          <w:lang w:val="en-CA"/>
        </w:rPr>
      </w:pPr>
      <w:r w:rsidRPr="009A010C">
        <w:rPr>
          <w:u w:val="single"/>
          <w:lang w:val="en-CA"/>
        </w:rPr>
        <w:t>Progress report on the implementation of the fourth and final tranche of the HPMP</w:t>
      </w:r>
    </w:p>
    <w:p w:rsidR="0015553B" w:rsidRPr="009A010C" w:rsidRDefault="0015553B" w:rsidP="0015553B">
      <w:pPr>
        <w:rPr>
          <w:lang w:val="en-CA"/>
        </w:rPr>
      </w:pPr>
    </w:p>
    <w:p w:rsidR="0015553B" w:rsidRPr="009A010C" w:rsidRDefault="0015553B" w:rsidP="0015553B">
      <w:pPr>
        <w:pStyle w:val="Heading1"/>
        <w:rPr>
          <w:lang w:val="en-CA"/>
        </w:rPr>
      </w:pPr>
      <w:r w:rsidRPr="009A010C">
        <w:rPr>
          <w:lang w:val="en-CA"/>
        </w:rPr>
        <w:t>The following activities were undertaken:</w:t>
      </w:r>
    </w:p>
    <w:p w:rsidR="0015553B" w:rsidRPr="009A010C" w:rsidRDefault="0015553B" w:rsidP="0015553B">
      <w:pPr>
        <w:pStyle w:val="Heading2"/>
        <w:rPr>
          <w:lang w:val="en-CA"/>
        </w:rPr>
      </w:pPr>
      <w:r w:rsidRPr="009A010C">
        <w:rPr>
          <w:lang w:val="en-CA"/>
        </w:rPr>
        <w:t>A four-day study tour in China for foam enterprises and a systems house, and development of a guidance document on technical and economic aspects of alternative blowing agents to assist in the selection of blowing agents based on specific applications;</w:t>
      </w:r>
    </w:p>
    <w:p w:rsidR="0015553B" w:rsidRPr="009A010C" w:rsidRDefault="0015553B" w:rsidP="0015553B">
      <w:pPr>
        <w:pStyle w:val="Heading2"/>
        <w:rPr>
          <w:lang w:val="en-CA"/>
        </w:rPr>
      </w:pPr>
      <w:r w:rsidRPr="009A010C">
        <w:rPr>
          <w:lang w:val="en-CA"/>
        </w:rPr>
        <w:t>Six technical assistance workshops for 2,000 technicians and continued information dissemination and seminars on flammable refrigerants; refresher courses for 150 technicians and 113 trainers on good refrigeration servicing practices; 23 sets of recovery and recycling machines distributed to training centers; continued online certification of technicians, with 2,268 technicians certified through June 2018; a hands</w:t>
      </w:r>
      <w:r w:rsidRPr="009A010C">
        <w:rPr>
          <w:lang w:val="en-CA"/>
        </w:rPr>
        <w:noBreakHyphen/>
        <w:t>on training for 20 trainers on HFC</w:t>
      </w:r>
      <w:r w:rsidRPr="009A010C">
        <w:rPr>
          <w:lang w:val="en-CA"/>
        </w:rPr>
        <w:noBreakHyphen/>
        <w:t>32, distribution of 168 HFC-32 air-conditioners and training display racks to 44 training centres, and training on installation and servicing of HFC-32-based equipment at seven training centres; and training of 48 customs officers; and</w:t>
      </w:r>
    </w:p>
    <w:p w:rsidR="0015553B" w:rsidRPr="009A010C" w:rsidRDefault="0015553B" w:rsidP="0015553B">
      <w:pPr>
        <w:pStyle w:val="Heading2"/>
        <w:rPr>
          <w:lang w:val="en-CA"/>
        </w:rPr>
      </w:pPr>
      <w:r w:rsidRPr="009A010C">
        <w:rPr>
          <w:lang w:val="en-CA"/>
        </w:rPr>
        <w:t>Project coordination and monitoring.</w:t>
      </w:r>
    </w:p>
    <w:p w:rsidR="0015553B" w:rsidRPr="009A010C" w:rsidRDefault="0015553B" w:rsidP="0015553B">
      <w:pPr>
        <w:rPr>
          <w:i/>
          <w:lang w:val="en-CA"/>
        </w:rPr>
      </w:pPr>
      <w:r w:rsidRPr="009A010C">
        <w:rPr>
          <w:i/>
          <w:lang w:val="en-CA"/>
        </w:rPr>
        <w:t>Level of fund disbursement</w:t>
      </w:r>
    </w:p>
    <w:p w:rsidR="0015553B" w:rsidRPr="009A010C" w:rsidRDefault="0015553B" w:rsidP="0015553B">
      <w:pPr>
        <w:rPr>
          <w:lang w:val="en-CA"/>
        </w:rPr>
      </w:pPr>
    </w:p>
    <w:p w:rsidR="0015553B" w:rsidRPr="009A010C" w:rsidRDefault="0015553B" w:rsidP="0015553B">
      <w:pPr>
        <w:pStyle w:val="Heading1"/>
        <w:rPr>
          <w:lang w:val="en-CA"/>
        </w:rPr>
      </w:pPr>
      <w:r w:rsidRPr="009A010C">
        <w:rPr>
          <w:lang w:val="en-CA"/>
        </w:rPr>
        <w:t xml:space="preserve">As of September 2018, of the US $9,587,470 approved, US $9,370,016 (98 per cent) had been disbursed. </w:t>
      </w:r>
    </w:p>
    <w:p w:rsidR="0015553B" w:rsidRPr="009A010C" w:rsidRDefault="0015553B" w:rsidP="0015553B">
      <w:pPr>
        <w:rPr>
          <w:b/>
          <w:lang w:val="en-CA"/>
        </w:rPr>
      </w:pPr>
      <w:r w:rsidRPr="009A010C">
        <w:rPr>
          <w:b/>
          <w:lang w:val="en-CA"/>
        </w:rPr>
        <w:t>Comments</w:t>
      </w:r>
    </w:p>
    <w:p w:rsidR="0015553B" w:rsidRPr="009A010C" w:rsidRDefault="0015553B" w:rsidP="0015553B">
      <w:pPr>
        <w:rPr>
          <w:lang w:val="en-CA"/>
        </w:rPr>
      </w:pPr>
    </w:p>
    <w:p w:rsidR="0015553B" w:rsidRPr="009A010C" w:rsidRDefault="0015553B" w:rsidP="0015553B">
      <w:pPr>
        <w:pStyle w:val="Heading1"/>
        <w:rPr>
          <w:lang w:val="en-CA"/>
        </w:rPr>
      </w:pPr>
      <w:r w:rsidRPr="009A010C">
        <w:rPr>
          <w:lang w:val="en-CA"/>
        </w:rPr>
        <w:t>The Executive Committee decided to approve the extension of the duration of stage I of the HPMP to 1 June 2018, on the understanding that no further extension of project implementation would be requested and that the project completion report would be submitted to the second meeting in 2018 (decision 80/22(b)). In line with that decision, all project activities have been completed and the project completion report was submitted.</w:t>
      </w:r>
    </w:p>
    <w:p w:rsidR="0015553B" w:rsidRPr="00F4406E" w:rsidRDefault="0015553B" w:rsidP="0015553B">
      <w:pPr>
        <w:pStyle w:val="Heading1"/>
        <w:rPr>
          <w:lang w:val="en-CA"/>
        </w:rPr>
      </w:pPr>
      <w:r w:rsidRPr="009A010C">
        <w:rPr>
          <w:lang w:val="en-CA"/>
        </w:rPr>
        <w:lastRenderedPageBreak/>
        <w:t xml:space="preserve">With regard to the remaining balance of US $217,454, UNDP indicated that it had been committed and was expected to be disbursed soon, as shown </w:t>
      </w:r>
      <w:r w:rsidRPr="00F4406E">
        <w:rPr>
          <w:lang w:val="en-CA"/>
        </w:rPr>
        <w:t xml:space="preserve">in Table </w:t>
      </w:r>
      <w:r w:rsidR="002464DD" w:rsidRPr="00F4406E">
        <w:rPr>
          <w:lang w:val="en-CA"/>
        </w:rPr>
        <w:t>18</w:t>
      </w:r>
      <w:r w:rsidRPr="00F4406E">
        <w:rPr>
          <w:lang w:val="en-CA"/>
        </w:rPr>
        <w:t>.</w:t>
      </w:r>
    </w:p>
    <w:p w:rsidR="0015553B" w:rsidRPr="00F4406E" w:rsidRDefault="0015553B" w:rsidP="0015553B">
      <w:pPr>
        <w:rPr>
          <w:b/>
          <w:lang w:val="en-CA"/>
        </w:rPr>
      </w:pPr>
      <w:r w:rsidRPr="00F4406E">
        <w:rPr>
          <w:b/>
          <w:lang w:val="en-CA"/>
        </w:rPr>
        <w:t xml:space="preserve">Table </w:t>
      </w:r>
      <w:r w:rsidR="002464DD" w:rsidRPr="00F4406E">
        <w:rPr>
          <w:b/>
          <w:lang w:val="en-CA"/>
        </w:rPr>
        <w:t>18</w:t>
      </w:r>
      <w:r w:rsidRPr="00F4406E">
        <w:rPr>
          <w:b/>
          <w:lang w:val="en-CA"/>
        </w:rPr>
        <w:t>. Budget, disbursement and commitment by component as of October 2018</w:t>
      </w:r>
    </w:p>
    <w:tbl>
      <w:tblPr>
        <w:tblStyle w:val="TableGrid"/>
        <w:tblW w:w="9634" w:type="dxa"/>
        <w:tblLook w:val="04A0" w:firstRow="1" w:lastRow="0" w:firstColumn="1" w:lastColumn="0" w:noHBand="0" w:noVBand="1"/>
      </w:tblPr>
      <w:tblGrid>
        <w:gridCol w:w="1413"/>
        <w:gridCol w:w="1559"/>
        <w:gridCol w:w="1701"/>
        <w:gridCol w:w="1701"/>
        <w:gridCol w:w="3260"/>
      </w:tblGrid>
      <w:tr w:rsidR="0015553B" w:rsidRPr="00F4406E" w:rsidTr="0015553B">
        <w:tc>
          <w:tcPr>
            <w:tcW w:w="1413" w:type="dxa"/>
          </w:tcPr>
          <w:p w:rsidR="0015553B" w:rsidRPr="00F4406E" w:rsidRDefault="0015553B" w:rsidP="0010320D">
            <w:pPr>
              <w:jc w:val="center"/>
              <w:rPr>
                <w:b/>
                <w:sz w:val="20"/>
                <w:szCs w:val="20"/>
                <w:lang w:val="en-CA"/>
              </w:rPr>
            </w:pPr>
          </w:p>
        </w:tc>
        <w:tc>
          <w:tcPr>
            <w:tcW w:w="1559" w:type="dxa"/>
          </w:tcPr>
          <w:p w:rsidR="0015553B" w:rsidRPr="00F4406E" w:rsidRDefault="0015553B" w:rsidP="0010320D">
            <w:pPr>
              <w:jc w:val="center"/>
              <w:rPr>
                <w:b/>
                <w:sz w:val="20"/>
                <w:szCs w:val="20"/>
                <w:lang w:val="en-CA"/>
              </w:rPr>
            </w:pPr>
            <w:r w:rsidRPr="00F4406E">
              <w:rPr>
                <w:b/>
                <w:sz w:val="20"/>
                <w:szCs w:val="20"/>
                <w:lang w:val="en-CA"/>
              </w:rPr>
              <w:t>Budget (US $)</w:t>
            </w:r>
          </w:p>
        </w:tc>
        <w:tc>
          <w:tcPr>
            <w:tcW w:w="1701" w:type="dxa"/>
          </w:tcPr>
          <w:p w:rsidR="0015553B" w:rsidRPr="00F4406E" w:rsidRDefault="0015553B" w:rsidP="0010320D">
            <w:pPr>
              <w:jc w:val="center"/>
              <w:rPr>
                <w:b/>
                <w:sz w:val="20"/>
                <w:szCs w:val="20"/>
                <w:lang w:val="en-CA"/>
              </w:rPr>
            </w:pPr>
            <w:r w:rsidRPr="00F4406E">
              <w:rPr>
                <w:b/>
                <w:sz w:val="20"/>
                <w:szCs w:val="20"/>
                <w:lang w:val="en-CA"/>
              </w:rPr>
              <w:t>Disbursement (US $)</w:t>
            </w:r>
          </w:p>
        </w:tc>
        <w:tc>
          <w:tcPr>
            <w:tcW w:w="1701" w:type="dxa"/>
          </w:tcPr>
          <w:p w:rsidR="0015553B" w:rsidRPr="00F4406E" w:rsidRDefault="0015553B" w:rsidP="0010320D">
            <w:pPr>
              <w:jc w:val="center"/>
              <w:rPr>
                <w:b/>
                <w:sz w:val="20"/>
                <w:szCs w:val="20"/>
                <w:lang w:val="en-CA"/>
              </w:rPr>
            </w:pPr>
            <w:r w:rsidRPr="00F4406E">
              <w:rPr>
                <w:b/>
                <w:sz w:val="20"/>
                <w:szCs w:val="20"/>
                <w:lang w:val="en-CA"/>
              </w:rPr>
              <w:t>Commitment (US $)</w:t>
            </w:r>
          </w:p>
        </w:tc>
        <w:tc>
          <w:tcPr>
            <w:tcW w:w="3260" w:type="dxa"/>
          </w:tcPr>
          <w:p w:rsidR="0015553B" w:rsidRPr="00F4406E" w:rsidRDefault="0015553B" w:rsidP="0010320D">
            <w:pPr>
              <w:jc w:val="center"/>
              <w:rPr>
                <w:b/>
                <w:sz w:val="20"/>
                <w:szCs w:val="20"/>
                <w:lang w:val="en-CA"/>
              </w:rPr>
            </w:pPr>
            <w:r w:rsidRPr="00F4406E">
              <w:rPr>
                <w:b/>
                <w:sz w:val="20"/>
                <w:szCs w:val="20"/>
                <w:lang w:val="en-CA"/>
              </w:rPr>
              <w:t>Description</w:t>
            </w:r>
          </w:p>
        </w:tc>
      </w:tr>
      <w:tr w:rsidR="0015553B" w:rsidRPr="00F4406E" w:rsidTr="0015553B">
        <w:tc>
          <w:tcPr>
            <w:tcW w:w="1413" w:type="dxa"/>
          </w:tcPr>
          <w:p w:rsidR="0015553B" w:rsidRPr="00F4406E" w:rsidRDefault="0015553B" w:rsidP="0010320D">
            <w:pPr>
              <w:rPr>
                <w:sz w:val="20"/>
                <w:szCs w:val="20"/>
                <w:lang w:val="en-CA"/>
              </w:rPr>
            </w:pPr>
            <w:r w:rsidRPr="00F4406E">
              <w:rPr>
                <w:sz w:val="20"/>
                <w:szCs w:val="20"/>
                <w:lang w:val="en-CA"/>
              </w:rPr>
              <w:t>Foam sector</w:t>
            </w:r>
          </w:p>
        </w:tc>
        <w:tc>
          <w:tcPr>
            <w:tcW w:w="1559" w:type="dxa"/>
          </w:tcPr>
          <w:p w:rsidR="0015553B" w:rsidRPr="00F4406E" w:rsidRDefault="0015553B" w:rsidP="0010320D">
            <w:pPr>
              <w:jc w:val="right"/>
              <w:rPr>
                <w:sz w:val="20"/>
                <w:szCs w:val="20"/>
                <w:lang w:val="en-CA"/>
              </w:rPr>
            </w:pPr>
            <w:r w:rsidRPr="00F4406E">
              <w:rPr>
                <w:sz w:val="20"/>
                <w:szCs w:val="20"/>
                <w:lang w:val="en-CA"/>
              </w:rPr>
              <w:t>35,000</w:t>
            </w:r>
          </w:p>
        </w:tc>
        <w:tc>
          <w:tcPr>
            <w:tcW w:w="1701" w:type="dxa"/>
          </w:tcPr>
          <w:p w:rsidR="0015553B" w:rsidRPr="00F4406E" w:rsidRDefault="0015553B" w:rsidP="0010320D">
            <w:pPr>
              <w:jc w:val="right"/>
              <w:rPr>
                <w:sz w:val="20"/>
                <w:szCs w:val="20"/>
                <w:lang w:val="en-CA"/>
              </w:rPr>
            </w:pPr>
            <w:r w:rsidRPr="00F4406E">
              <w:rPr>
                <w:sz w:val="20"/>
                <w:szCs w:val="20"/>
                <w:lang w:val="en-CA"/>
              </w:rPr>
              <w:t xml:space="preserve"> 35,000</w:t>
            </w:r>
          </w:p>
        </w:tc>
        <w:tc>
          <w:tcPr>
            <w:tcW w:w="1701" w:type="dxa"/>
          </w:tcPr>
          <w:p w:rsidR="0015553B" w:rsidRPr="00F4406E" w:rsidRDefault="0015553B" w:rsidP="0010320D">
            <w:pPr>
              <w:jc w:val="right"/>
              <w:rPr>
                <w:sz w:val="20"/>
                <w:szCs w:val="20"/>
                <w:lang w:val="en-CA"/>
              </w:rPr>
            </w:pPr>
            <w:r w:rsidRPr="00F4406E">
              <w:rPr>
                <w:sz w:val="20"/>
                <w:szCs w:val="20"/>
                <w:lang w:val="en-CA"/>
              </w:rPr>
              <w:t>0</w:t>
            </w:r>
          </w:p>
        </w:tc>
        <w:tc>
          <w:tcPr>
            <w:tcW w:w="3260" w:type="dxa"/>
          </w:tcPr>
          <w:p w:rsidR="0015553B" w:rsidRPr="00F4406E" w:rsidRDefault="0015553B" w:rsidP="0010320D">
            <w:pPr>
              <w:rPr>
                <w:sz w:val="20"/>
                <w:szCs w:val="20"/>
                <w:lang w:val="en-CA"/>
              </w:rPr>
            </w:pPr>
            <w:r w:rsidRPr="00F4406E">
              <w:rPr>
                <w:sz w:val="20"/>
                <w:szCs w:val="20"/>
                <w:lang w:val="en-CA"/>
              </w:rPr>
              <w:t>Not applicable</w:t>
            </w:r>
          </w:p>
        </w:tc>
      </w:tr>
      <w:tr w:rsidR="0015553B" w:rsidRPr="00F4406E" w:rsidTr="0015553B">
        <w:tc>
          <w:tcPr>
            <w:tcW w:w="1413" w:type="dxa"/>
          </w:tcPr>
          <w:p w:rsidR="0015553B" w:rsidRPr="00F4406E" w:rsidRDefault="0015553B" w:rsidP="0010320D">
            <w:pPr>
              <w:rPr>
                <w:sz w:val="20"/>
                <w:szCs w:val="20"/>
                <w:lang w:val="en-CA"/>
              </w:rPr>
            </w:pPr>
            <w:r w:rsidRPr="00F4406E">
              <w:rPr>
                <w:sz w:val="20"/>
                <w:szCs w:val="20"/>
                <w:lang w:val="en-CA"/>
              </w:rPr>
              <w:t>Servicing sector</w:t>
            </w:r>
          </w:p>
        </w:tc>
        <w:tc>
          <w:tcPr>
            <w:tcW w:w="1559" w:type="dxa"/>
          </w:tcPr>
          <w:p w:rsidR="0015553B" w:rsidRPr="00F4406E" w:rsidRDefault="0015553B" w:rsidP="0010320D">
            <w:pPr>
              <w:jc w:val="right"/>
              <w:rPr>
                <w:sz w:val="20"/>
                <w:szCs w:val="20"/>
                <w:lang w:val="en-CA"/>
              </w:rPr>
            </w:pPr>
            <w:r w:rsidRPr="00F4406E">
              <w:rPr>
                <w:sz w:val="20"/>
                <w:szCs w:val="20"/>
                <w:lang w:val="en-CA"/>
              </w:rPr>
              <w:t>651,276</w:t>
            </w:r>
          </w:p>
        </w:tc>
        <w:tc>
          <w:tcPr>
            <w:tcW w:w="1701" w:type="dxa"/>
          </w:tcPr>
          <w:p w:rsidR="0015553B" w:rsidRPr="00F4406E" w:rsidRDefault="0015553B" w:rsidP="0010320D">
            <w:pPr>
              <w:jc w:val="right"/>
              <w:rPr>
                <w:sz w:val="20"/>
                <w:szCs w:val="20"/>
                <w:lang w:val="en-CA"/>
              </w:rPr>
            </w:pPr>
            <w:r w:rsidRPr="00F4406E">
              <w:rPr>
                <w:sz w:val="20"/>
                <w:szCs w:val="20"/>
                <w:lang w:val="en-CA"/>
              </w:rPr>
              <w:t xml:space="preserve">455,794 </w:t>
            </w:r>
          </w:p>
        </w:tc>
        <w:tc>
          <w:tcPr>
            <w:tcW w:w="1701" w:type="dxa"/>
          </w:tcPr>
          <w:p w:rsidR="0015553B" w:rsidRPr="00F4406E" w:rsidRDefault="0015553B" w:rsidP="0010320D">
            <w:pPr>
              <w:jc w:val="right"/>
              <w:rPr>
                <w:sz w:val="20"/>
                <w:szCs w:val="20"/>
                <w:lang w:val="en-CA"/>
              </w:rPr>
            </w:pPr>
            <w:r w:rsidRPr="00F4406E">
              <w:rPr>
                <w:sz w:val="20"/>
                <w:szCs w:val="20"/>
                <w:lang w:val="en-CA"/>
              </w:rPr>
              <w:t>195,482</w:t>
            </w:r>
          </w:p>
        </w:tc>
        <w:tc>
          <w:tcPr>
            <w:tcW w:w="3260" w:type="dxa"/>
          </w:tcPr>
          <w:p w:rsidR="0015553B" w:rsidRPr="00F4406E" w:rsidRDefault="0015553B" w:rsidP="0010320D">
            <w:pPr>
              <w:rPr>
                <w:sz w:val="20"/>
                <w:szCs w:val="20"/>
                <w:lang w:val="en-CA"/>
              </w:rPr>
            </w:pPr>
            <w:r w:rsidRPr="00F4406E">
              <w:rPr>
                <w:sz w:val="20"/>
                <w:szCs w:val="20"/>
                <w:lang w:val="en-CA"/>
              </w:rPr>
              <w:t>Payment to vendors for equipment and tools, printing of manuals, payment for workshops</w:t>
            </w:r>
          </w:p>
        </w:tc>
      </w:tr>
      <w:tr w:rsidR="0015553B" w:rsidRPr="00F4406E" w:rsidTr="0015553B">
        <w:tc>
          <w:tcPr>
            <w:tcW w:w="1413" w:type="dxa"/>
          </w:tcPr>
          <w:p w:rsidR="0015553B" w:rsidRPr="00F4406E" w:rsidRDefault="0015553B" w:rsidP="0010320D">
            <w:pPr>
              <w:rPr>
                <w:sz w:val="20"/>
                <w:szCs w:val="20"/>
                <w:lang w:val="en-CA"/>
              </w:rPr>
            </w:pPr>
            <w:r w:rsidRPr="00F4406E">
              <w:rPr>
                <w:sz w:val="20"/>
                <w:szCs w:val="20"/>
                <w:lang w:val="en-CA"/>
              </w:rPr>
              <w:t>PMU</w:t>
            </w:r>
          </w:p>
        </w:tc>
        <w:tc>
          <w:tcPr>
            <w:tcW w:w="1559" w:type="dxa"/>
          </w:tcPr>
          <w:p w:rsidR="0015553B" w:rsidRPr="00F4406E" w:rsidRDefault="0015553B" w:rsidP="0010320D">
            <w:pPr>
              <w:jc w:val="right"/>
              <w:rPr>
                <w:sz w:val="20"/>
                <w:szCs w:val="20"/>
                <w:lang w:val="en-CA"/>
              </w:rPr>
            </w:pPr>
            <w:r w:rsidRPr="00F4406E">
              <w:rPr>
                <w:sz w:val="20"/>
                <w:szCs w:val="20"/>
                <w:lang w:val="en-CA"/>
              </w:rPr>
              <w:t>210,149</w:t>
            </w:r>
          </w:p>
        </w:tc>
        <w:tc>
          <w:tcPr>
            <w:tcW w:w="1701" w:type="dxa"/>
          </w:tcPr>
          <w:p w:rsidR="0015553B" w:rsidRPr="00F4406E" w:rsidRDefault="0015553B" w:rsidP="0010320D">
            <w:pPr>
              <w:jc w:val="right"/>
              <w:rPr>
                <w:sz w:val="20"/>
                <w:szCs w:val="20"/>
                <w:lang w:val="en-CA"/>
              </w:rPr>
            </w:pPr>
            <w:r w:rsidRPr="00F4406E">
              <w:rPr>
                <w:sz w:val="20"/>
                <w:szCs w:val="20"/>
                <w:lang w:val="en-CA"/>
              </w:rPr>
              <w:t xml:space="preserve">188,177 </w:t>
            </w:r>
          </w:p>
        </w:tc>
        <w:tc>
          <w:tcPr>
            <w:tcW w:w="1701" w:type="dxa"/>
          </w:tcPr>
          <w:p w:rsidR="0015553B" w:rsidRPr="00F4406E" w:rsidRDefault="0015553B" w:rsidP="0010320D">
            <w:pPr>
              <w:jc w:val="right"/>
              <w:rPr>
                <w:sz w:val="20"/>
                <w:szCs w:val="20"/>
                <w:lang w:val="en-CA"/>
              </w:rPr>
            </w:pPr>
            <w:r w:rsidRPr="00F4406E">
              <w:rPr>
                <w:sz w:val="20"/>
                <w:szCs w:val="20"/>
                <w:lang w:val="en-CA"/>
              </w:rPr>
              <w:t>21,972</w:t>
            </w:r>
          </w:p>
        </w:tc>
        <w:tc>
          <w:tcPr>
            <w:tcW w:w="3260" w:type="dxa"/>
          </w:tcPr>
          <w:p w:rsidR="0015553B" w:rsidRPr="00F4406E" w:rsidRDefault="0015553B" w:rsidP="0010320D">
            <w:pPr>
              <w:rPr>
                <w:sz w:val="20"/>
                <w:szCs w:val="20"/>
                <w:lang w:val="en-CA"/>
              </w:rPr>
            </w:pPr>
            <w:r w:rsidRPr="00F4406E">
              <w:rPr>
                <w:sz w:val="20"/>
                <w:szCs w:val="20"/>
                <w:lang w:val="en-CA"/>
              </w:rPr>
              <w:t>Payment to consultant and for missions already undertaken and other meeting and office expenses</w:t>
            </w:r>
          </w:p>
        </w:tc>
      </w:tr>
      <w:tr w:rsidR="0015553B" w:rsidRPr="00F4406E" w:rsidTr="0015553B">
        <w:tc>
          <w:tcPr>
            <w:tcW w:w="1413" w:type="dxa"/>
          </w:tcPr>
          <w:p w:rsidR="0015553B" w:rsidRPr="00F4406E" w:rsidRDefault="0015553B" w:rsidP="0010320D">
            <w:pPr>
              <w:rPr>
                <w:b/>
                <w:sz w:val="20"/>
                <w:szCs w:val="20"/>
                <w:lang w:val="en-CA"/>
              </w:rPr>
            </w:pPr>
            <w:r w:rsidRPr="00F4406E">
              <w:rPr>
                <w:b/>
                <w:sz w:val="20"/>
                <w:szCs w:val="20"/>
                <w:lang w:val="en-CA"/>
              </w:rPr>
              <w:t>Total</w:t>
            </w:r>
          </w:p>
        </w:tc>
        <w:tc>
          <w:tcPr>
            <w:tcW w:w="1559" w:type="dxa"/>
          </w:tcPr>
          <w:p w:rsidR="0015553B" w:rsidRPr="00F4406E" w:rsidRDefault="0015553B" w:rsidP="0010320D">
            <w:pPr>
              <w:jc w:val="right"/>
              <w:rPr>
                <w:b/>
                <w:sz w:val="20"/>
                <w:szCs w:val="20"/>
                <w:lang w:val="en-CA"/>
              </w:rPr>
            </w:pPr>
            <w:r w:rsidRPr="00F4406E">
              <w:rPr>
                <w:b/>
                <w:sz w:val="20"/>
                <w:szCs w:val="20"/>
                <w:lang w:val="en-CA"/>
              </w:rPr>
              <w:t>896,425</w:t>
            </w:r>
          </w:p>
        </w:tc>
        <w:tc>
          <w:tcPr>
            <w:tcW w:w="1701" w:type="dxa"/>
          </w:tcPr>
          <w:p w:rsidR="0015553B" w:rsidRPr="00F4406E" w:rsidRDefault="0015553B" w:rsidP="0010320D">
            <w:pPr>
              <w:jc w:val="right"/>
              <w:rPr>
                <w:b/>
                <w:sz w:val="20"/>
                <w:szCs w:val="20"/>
                <w:lang w:val="en-CA"/>
              </w:rPr>
            </w:pPr>
            <w:r w:rsidRPr="00F4406E">
              <w:rPr>
                <w:b/>
                <w:sz w:val="20"/>
                <w:szCs w:val="20"/>
                <w:lang w:val="en-CA"/>
              </w:rPr>
              <w:t xml:space="preserve">678,971 </w:t>
            </w:r>
          </w:p>
        </w:tc>
        <w:tc>
          <w:tcPr>
            <w:tcW w:w="1701" w:type="dxa"/>
          </w:tcPr>
          <w:p w:rsidR="0015553B" w:rsidRPr="00F4406E" w:rsidRDefault="0015553B" w:rsidP="0010320D">
            <w:pPr>
              <w:jc w:val="right"/>
              <w:rPr>
                <w:b/>
                <w:sz w:val="20"/>
                <w:szCs w:val="20"/>
                <w:lang w:val="en-CA"/>
              </w:rPr>
            </w:pPr>
            <w:r w:rsidRPr="00F4406E">
              <w:rPr>
                <w:b/>
                <w:sz w:val="20"/>
                <w:szCs w:val="20"/>
                <w:lang w:val="en-CA"/>
              </w:rPr>
              <w:t>217,454</w:t>
            </w:r>
          </w:p>
        </w:tc>
        <w:tc>
          <w:tcPr>
            <w:tcW w:w="3260" w:type="dxa"/>
          </w:tcPr>
          <w:p w:rsidR="0015553B" w:rsidRPr="00F4406E" w:rsidRDefault="0015553B" w:rsidP="0010320D">
            <w:pPr>
              <w:rPr>
                <w:b/>
                <w:sz w:val="20"/>
                <w:szCs w:val="20"/>
                <w:lang w:val="en-CA"/>
              </w:rPr>
            </w:pPr>
          </w:p>
        </w:tc>
      </w:tr>
    </w:tbl>
    <w:p w:rsidR="0015553B" w:rsidRPr="00F4406E" w:rsidRDefault="0015553B" w:rsidP="0015553B">
      <w:pPr>
        <w:rPr>
          <w:lang w:val="en-CA"/>
        </w:rPr>
      </w:pPr>
    </w:p>
    <w:p w:rsidR="0015553B" w:rsidRPr="00F4406E" w:rsidRDefault="0015553B" w:rsidP="0015553B">
      <w:pPr>
        <w:pStyle w:val="Heading1"/>
        <w:rPr>
          <w:lang w:val="en-CA"/>
        </w:rPr>
      </w:pPr>
      <w:r w:rsidRPr="00F4406E">
        <w:rPr>
          <w:lang w:val="en-CA"/>
        </w:rPr>
        <w:t>Regarding the difficulty in distinguishing between the activities in the servicing sector supported by stage I with those supported under stage II, UNDP provided Table </w:t>
      </w:r>
      <w:r w:rsidR="002464DD" w:rsidRPr="00F4406E">
        <w:rPr>
          <w:lang w:val="en-CA"/>
        </w:rPr>
        <w:t>19</w:t>
      </w:r>
      <w:r w:rsidRPr="00F4406E">
        <w:rPr>
          <w:lang w:val="en-CA"/>
        </w:rPr>
        <w:t xml:space="preserve"> summarizing the different activities supported under each stage. </w:t>
      </w:r>
    </w:p>
    <w:p w:rsidR="0015553B" w:rsidRPr="009A010C" w:rsidRDefault="0015553B" w:rsidP="0015553B">
      <w:pPr>
        <w:rPr>
          <w:b/>
          <w:lang w:val="en-CA"/>
        </w:rPr>
      </w:pPr>
      <w:r w:rsidRPr="00F4406E">
        <w:rPr>
          <w:b/>
          <w:lang w:val="en-CA"/>
        </w:rPr>
        <w:t xml:space="preserve">Table </w:t>
      </w:r>
      <w:r w:rsidR="002464DD" w:rsidRPr="00F4406E">
        <w:rPr>
          <w:b/>
          <w:lang w:val="en-CA"/>
        </w:rPr>
        <w:t>19</w:t>
      </w:r>
      <w:r w:rsidRPr="00F4406E">
        <w:rPr>
          <w:b/>
          <w:lang w:val="en-CA"/>
        </w:rPr>
        <w:t>. Activities in the servicing sector in stage I and in stage II</w:t>
      </w:r>
    </w:p>
    <w:tbl>
      <w:tblPr>
        <w:tblStyle w:val="TableGrid"/>
        <w:tblW w:w="9634" w:type="dxa"/>
        <w:tblLook w:val="04A0" w:firstRow="1" w:lastRow="0" w:firstColumn="1" w:lastColumn="0" w:noHBand="0" w:noVBand="1"/>
      </w:tblPr>
      <w:tblGrid>
        <w:gridCol w:w="2263"/>
        <w:gridCol w:w="3970"/>
        <w:gridCol w:w="3401"/>
      </w:tblGrid>
      <w:tr w:rsidR="0015553B" w:rsidRPr="009A010C" w:rsidTr="007A0A0B">
        <w:tc>
          <w:tcPr>
            <w:tcW w:w="2263" w:type="dxa"/>
          </w:tcPr>
          <w:p w:rsidR="0015553B" w:rsidRPr="009A010C" w:rsidRDefault="0015553B" w:rsidP="0010320D">
            <w:pPr>
              <w:jc w:val="center"/>
              <w:rPr>
                <w:b/>
                <w:sz w:val="20"/>
                <w:szCs w:val="20"/>
                <w:lang w:val="en-CA"/>
              </w:rPr>
            </w:pPr>
          </w:p>
        </w:tc>
        <w:tc>
          <w:tcPr>
            <w:tcW w:w="3970" w:type="dxa"/>
          </w:tcPr>
          <w:p w:rsidR="0015553B" w:rsidRPr="009A010C" w:rsidRDefault="0015553B" w:rsidP="0010320D">
            <w:pPr>
              <w:jc w:val="center"/>
              <w:rPr>
                <w:b/>
                <w:sz w:val="20"/>
                <w:szCs w:val="20"/>
                <w:lang w:val="en-CA"/>
              </w:rPr>
            </w:pPr>
            <w:r w:rsidRPr="009A010C">
              <w:rPr>
                <w:b/>
                <w:sz w:val="20"/>
                <w:szCs w:val="20"/>
                <w:lang w:val="en-CA"/>
              </w:rPr>
              <w:t>Activities under stage I</w:t>
            </w:r>
          </w:p>
        </w:tc>
        <w:tc>
          <w:tcPr>
            <w:tcW w:w="3401" w:type="dxa"/>
          </w:tcPr>
          <w:p w:rsidR="0015553B" w:rsidRPr="009A010C" w:rsidRDefault="0015553B" w:rsidP="0010320D">
            <w:pPr>
              <w:jc w:val="center"/>
              <w:rPr>
                <w:b/>
                <w:sz w:val="20"/>
                <w:szCs w:val="20"/>
                <w:lang w:val="en-CA"/>
              </w:rPr>
            </w:pPr>
            <w:r w:rsidRPr="009A010C">
              <w:rPr>
                <w:b/>
                <w:sz w:val="20"/>
                <w:szCs w:val="20"/>
                <w:lang w:val="en-CA"/>
              </w:rPr>
              <w:t>Activities under stage II</w:t>
            </w:r>
          </w:p>
        </w:tc>
      </w:tr>
      <w:tr w:rsidR="0015553B" w:rsidRPr="009A010C" w:rsidTr="007A0A0B">
        <w:tc>
          <w:tcPr>
            <w:tcW w:w="2263" w:type="dxa"/>
          </w:tcPr>
          <w:p w:rsidR="0015553B" w:rsidRPr="009A010C" w:rsidRDefault="0015553B" w:rsidP="0010320D">
            <w:pPr>
              <w:rPr>
                <w:sz w:val="20"/>
                <w:szCs w:val="20"/>
                <w:lang w:val="en-CA"/>
              </w:rPr>
            </w:pPr>
            <w:r w:rsidRPr="009A010C">
              <w:rPr>
                <w:sz w:val="20"/>
                <w:szCs w:val="20"/>
                <w:lang w:val="en-CA"/>
              </w:rPr>
              <w:t>Training</w:t>
            </w:r>
          </w:p>
        </w:tc>
        <w:tc>
          <w:tcPr>
            <w:tcW w:w="3970" w:type="dxa"/>
          </w:tcPr>
          <w:p w:rsidR="0015553B" w:rsidRPr="009A010C" w:rsidRDefault="0015553B" w:rsidP="0010320D">
            <w:pPr>
              <w:rPr>
                <w:sz w:val="20"/>
                <w:szCs w:val="20"/>
                <w:lang w:val="en-CA"/>
              </w:rPr>
            </w:pPr>
            <w:r w:rsidRPr="009A010C">
              <w:rPr>
                <w:sz w:val="20"/>
                <w:szCs w:val="20"/>
                <w:lang w:val="en-CA"/>
              </w:rPr>
              <w:t>Authorised Training Centres (ATC) capacities were strengthened:</w:t>
            </w:r>
          </w:p>
          <w:p w:rsidR="0015553B" w:rsidRPr="009A010C" w:rsidRDefault="0015553B" w:rsidP="0010320D">
            <w:pPr>
              <w:rPr>
                <w:sz w:val="20"/>
                <w:szCs w:val="20"/>
                <w:lang w:val="en-CA"/>
              </w:rPr>
            </w:pPr>
            <w:r w:rsidRPr="009A010C">
              <w:rPr>
                <w:sz w:val="20"/>
                <w:szCs w:val="20"/>
                <w:lang w:val="en-CA"/>
              </w:rPr>
              <w:t>-Good practices training delivered</w:t>
            </w:r>
          </w:p>
          <w:p w:rsidR="0015553B" w:rsidRPr="009A010C" w:rsidRDefault="0015553B" w:rsidP="0010320D">
            <w:pPr>
              <w:rPr>
                <w:sz w:val="20"/>
                <w:szCs w:val="20"/>
                <w:lang w:val="en-CA"/>
              </w:rPr>
            </w:pPr>
            <w:r w:rsidRPr="009A010C">
              <w:rPr>
                <w:sz w:val="20"/>
                <w:szCs w:val="20"/>
                <w:lang w:val="en-CA"/>
              </w:rPr>
              <w:t>-51 ATCs received training tools and materials</w:t>
            </w:r>
          </w:p>
          <w:p w:rsidR="0015553B" w:rsidRPr="009A010C" w:rsidRDefault="0015553B" w:rsidP="0010320D">
            <w:pPr>
              <w:rPr>
                <w:sz w:val="20"/>
                <w:szCs w:val="20"/>
                <w:lang w:val="en-CA"/>
              </w:rPr>
            </w:pPr>
            <w:r w:rsidRPr="009A010C">
              <w:rPr>
                <w:sz w:val="20"/>
                <w:szCs w:val="20"/>
                <w:lang w:val="en-CA"/>
              </w:rPr>
              <w:t>-All ATCs required to use training module for management purpose.</w:t>
            </w:r>
          </w:p>
        </w:tc>
        <w:tc>
          <w:tcPr>
            <w:tcW w:w="3401" w:type="dxa"/>
          </w:tcPr>
          <w:p w:rsidR="0015553B" w:rsidRPr="009A010C" w:rsidRDefault="0015553B" w:rsidP="0010320D">
            <w:pPr>
              <w:rPr>
                <w:sz w:val="20"/>
                <w:szCs w:val="20"/>
                <w:lang w:val="en-CA"/>
              </w:rPr>
            </w:pPr>
            <w:r w:rsidRPr="009A010C">
              <w:rPr>
                <w:sz w:val="20"/>
                <w:szCs w:val="20"/>
                <w:lang w:val="en-CA"/>
              </w:rPr>
              <w:t>-Two centres of excellence strengthened with a focus on flammable refrigerants</w:t>
            </w:r>
          </w:p>
          <w:p w:rsidR="0015553B" w:rsidRPr="009A010C" w:rsidRDefault="0015553B" w:rsidP="0010320D">
            <w:pPr>
              <w:rPr>
                <w:sz w:val="20"/>
                <w:szCs w:val="20"/>
                <w:lang w:val="en-CA"/>
              </w:rPr>
            </w:pPr>
            <w:r w:rsidRPr="009A010C">
              <w:rPr>
                <w:sz w:val="20"/>
                <w:szCs w:val="20"/>
                <w:lang w:val="en-CA"/>
              </w:rPr>
              <w:t>-Hands-on training and capacity building for technicians and master trainers, focusing on flammable refrigerants handling</w:t>
            </w:r>
          </w:p>
        </w:tc>
      </w:tr>
      <w:tr w:rsidR="0015553B" w:rsidRPr="009A010C" w:rsidTr="007A0A0B">
        <w:tc>
          <w:tcPr>
            <w:tcW w:w="2263" w:type="dxa"/>
          </w:tcPr>
          <w:p w:rsidR="0015553B" w:rsidRPr="009A010C" w:rsidRDefault="0015553B" w:rsidP="0010320D">
            <w:pPr>
              <w:rPr>
                <w:sz w:val="20"/>
                <w:szCs w:val="20"/>
                <w:lang w:val="en-CA"/>
              </w:rPr>
            </w:pPr>
            <w:r w:rsidRPr="009A010C">
              <w:rPr>
                <w:sz w:val="20"/>
                <w:szCs w:val="20"/>
                <w:lang w:val="en-CA"/>
              </w:rPr>
              <w:t>Certification</w:t>
            </w:r>
          </w:p>
        </w:tc>
        <w:tc>
          <w:tcPr>
            <w:tcW w:w="3970" w:type="dxa"/>
          </w:tcPr>
          <w:p w:rsidR="0015553B" w:rsidRPr="009A010C" w:rsidRDefault="0015553B" w:rsidP="0010320D">
            <w:pPr>
              <w:rPr>
                <w:sz w:val="20"/>
                <w:szCs w:val="20"/>
                <w:lang w:val="en-CA"/>
              </w:rPr>
            </w:pPr>
            <w:r w:rsidRPr="009A010C">
              <w:rPr>
                <w:sz w:val="20"/>
                <w:szCs w:val="20"/>
                <w:lang w:val="en-CA"/>
              </w:rPr>
              <w:t>On-line system Electronic Certification for Servicing Technicians Programme (</w:t>
            </w:r>
            <w:proofErr w:type="spellStart"/>
            <w:r w:rsidRPr="009A010C">
              <w:rPr>
                <w:sz w:val="20"/>
                <w:szCs w:val="20"/>
                <w:lang w:val="en-CA"/>
              </w:rPr>
              <w:t>eCSTP</w:t>
            </w:r>
            <w:proofErr w:type="spellEnd"/>
            <w:r w:rsidRPr="009A010C">
              <w:rPr>
                <w:sz w:val="20"/>
                <w:szCs w:val="20"/>
                <w:lang w:val="en-CA"/>
              </w:rPr>
              <w:t>) developed</w:t>
            </w:r>
          </w:p>
        </w:tc>
        <w:tc>
          <w:tcPr>
            <w:tcW w:w="3401" w:type="dxa"/>
          </w:tcPr>
          <w:p w:rsidR="0015553B" w:rsidRPr="009A010C" w:rsidRDefault="0015553B" w:rsidP="0010320D">
            <w:pPr>
              <w:rPr>
                <w:sz w:val="20"/>
                <w:szCs w:val="20"/>
                <w:lang w:val="en-CA"/>
              </w:rPr>
            </w:pPr>
            <w:r w:rsidRPr="009A010C">
              <w:rPr>
                <w:sz w:val="20"/>
                <w:szCs w:val="20"/>
                <w:lang w:val="en-CA"/>
              </w:rPr>
              <w:t xml:space="preserve">Upgrading the </w:t>
            </w:r>
            <w:proofErr w:type="spellStart"/>
            <w:r w:rsidRPr="009A010C">
              <w:rPr>
                <w:sz w:val="20"/>
                <w:szCs w:val="20"/>
                <w:lang w:val="en-CA"/>
              </w:rPr>
              <w:t>eCSTP</w:t>
            </w:r>
            <w:proofErr w:type="spellEnd"/>
            <w:r w:rsidRPr="009A010C">
              <w:rPr>
                <w:sz w:val="20"/>
                <w:szCs w:val="20"/>
                <w:lang w:val="en-CA"/>
              </w:rPr>
              <w:t xml:space="preserve"> programme</w:t>
            </w:r>
          </w:p>
        </w:tc>
      </w:tr>
      <w:tr w:rsidR="0015553B" w:rsidRPr="009A010C" w:rsidTr="007A0A0B">
        <w:tc>
          <w:tcPr>
            <w:tcW w:w="2263" w:type="dxa"/>
          </w:tcPr>
          <w:p w:rsidR="0015553B" w:rsidRPr="009A010C" w:rsidRDefault="0015553B" w:rsidP="0010320D">
            <w:pPr>
              <w:rPr>
                <w:sz w:val="20"/>
                <w:szCs w:val="20"/>
                <w:lang w:val="en-CA"/>
              </w:rPr>
            </w:pPr>
            <w:r w:rsidRPr="009A010C">
              <w:rPr>
                <w:sz w:val="20"/>
                <w:szCs w:val="20"/>
                <w:lang w:val="en-CA"/>
              </w:rPr>
              <w:t>Private-public sector cooperation</w:t>
            </w:r>
          </w:p>
        </w:tc>
        <w:tc>
          <w:tcPr>
            <w:tcW w:w="3970" w:type="dxa"/>
          </w:tcPr>
          <w:p w:rsidR="0015553B" w:rsidRPr="009A010C" w:rsidRDefault="0015553B" w:rsidP="0010320D">
            <w:pPr>
              <w:rPr>
                <w:sz w:val="20"/>
                <w:szCs w:val="20"/>
                <w:lang w:val="en-CA"/>
              </w:rPr>
            </w:pPr>
            <w:r w:rsidRPr="009A010C">
              <w:rPr>
                <w:sz w:val="20"/>
                <w:szCs w:val="20"/>
                <w:lang w:val="en-CA"/>
              </w:rPr>
              <w:t>Hands-on training for master trainers with technical assistance from Daikin Japan</w:t>
            </w:r>
          </w:p>
        </w:tc>
        <w:tc>
          <w:tcPr>
            <w:tcW w:w="3401" w:type="dxa"/>
          </w:tcPr>
          <w:p w:rsidR="0015553B" w:rsidRPr="009A010C" w:rsidRDefault="0015553B" w:rsidP="0010320D">
            <w:pPr>
              <w:rPr>
                <w:sz w:val="20"/>
                <w:szCs w:val="20"/>
                <w:lang w:val="en-CA"/>
              </w:rPr>
            </w:pPr>
            <w:r w:rsidRPr="009A010C">
              <w:rPr>
                <w:sz w:val="20"/>
                <w:szCs w:val="20"/>
                <w:lang w:val="en-CA"/>
              </w:rPr>
              <w:t>Technical assistance from technology providers involved in stage I and other technology providers</w:t>
            </w:r>
          </w:p>
        </w:tc>
      </w:tr>
      <w:tr w:rsidR="0015553B" w:rsidRPr="009A010C" w:rsidTr="007A0A0B">
        <w:tc>
          <w:tcPr>
            <w:tcW w:w="2263" w:type="dxa"/>
          </w:tcPr>
          <w:p w:rsidR="0015553B" w:rsidRPr="009A010C" w:rsidRDefault="0015553B" w:rsidP="0010320D">
            <w:pPr>
              <w:rPr>
                <w:sz w:val="20"/>
                <w:szCs w:val="20"/>
                <w:lang w:val="en-CA"/>
              </w:rPr>
            </w:pPr>
            <w:r w:rsidRPr="009A010C">
              <w:rPr>
                <w:sz w:val="20"/>
                <w:szCs w:val="20"/>
                <w:lang w:val="en-CA"/>
              </w:rPr>
              <w:t>Regulatory and legal framework and standardization</w:t>
            </w:r>
          </w:p>
        </w:tc>
        <w:tc>
          <w:tcPr>
            <w:tcW w:w="3970" w:type="dxa"/>
          </w:tcPr>
          <w:p w:rsidR="0015553B" w:rsidRPr="009A010C" w:rsidRDefault="0015553B" w:rsidP="0010320D">
            <w:pPr>
              <w:rPr>
                <w:sz w:val="20"/>
                <w:szCs w:val="20"/>
                <w:lang w:val="en-CA"/>
              </w:rPr>
            </w:pPr>
            <w:r w:rsidRPr="009A010C">
              <w:rPr>
                <w:sz w:val="20"/>
                <w:szCs w:val="20"/>
                <w:lang w:val="en-CA"/>
              </w:rPr>
              <w:t>-Hands-on training conducted by ATCs were supervised and certified by Department of Environment</w:t>
            </w:r>
          </w:p>
          <w:p w:rsidR="0015553B" w:rsidRPr="009A010C" w:rsidRDefault="0015553B" w:rsidP="0010320D">
            <w:pPr>
              <w:rPr>
                <w:sz w:val="20"/>
                <w:szCs w:val="20"/>
                <w:lang w:val="en-CA"/>
              </w:rPr>
            </w:pPr>
            <w:r w:rsidRPr="009A010C">
              <w:rPr>
                <w:sz w:val="20"/>
                <w:szCs w:val="20"/>
                <w:lang w:val="en-CA"/>
              </w:rPr>
              <w:t>-Syllabus and training manual revised in 2017 to include flammable refrigerants such as HFC-32 and hydrocarbons</w:t>
            </w:r>
          </w:p>
        </w:tc>
        <w:tc>
          <w:tcPr>
            <w:tcW w:w="3401" w:type="dxa"/>
          </w:tcPr>
          <w:p w:rsidR="0015553B" w:rsidRPr="009A010C" w:rsidRDefault="0015553B" w:rsidP="0010320D">
            <w:pPr>
              <w:rPr>
                <w:sz w:val="20"/>
                <w:szCs w:val="20"/>
                <w:lang w:val="en-CA"/>
              </w:rPr>
            </w:pPr>
            <w:r w:rsidRPr="009A010C">
              <w:rPr>
                <w:sz w:val="20"/>
                <w:szCs w:val="20"/>
                <w:lang w:val="en-CA"/>
              </w:rPr>
              <w:t>Regulatory requirement will be followed</w:t>
            </w:r>
          </w:p>
        </w:tc>
      </w:tr>
    </w:tbl>
    <w:p w:rsidR="0015553B" w:rsidRPr="009A010C" w:rsidRDefault="0015553B" w:rsidP="0015553B">
      <w:pPr>
        <w:rPr>
          <w:lang w:val="en-CA"/>
        </w:rPr>
      </w:pPr>
    </w:p>
    <w:p w:rsidR="0015553B" w:rsidRPr="009A010C" w:rsidRDefault="0015553B" w:rsidP="0015553B">
      <w:pPr>
        <w:pStyle w:val="Heading1"/>
        <w:rPr>
          <w:lang w:val="en-CA"/>
        </w:rPr>
      </w:pPr>
      <w:r w:rsidRPr="009A010C">
        <w:rPr>
          <w:lang w:val="en-CA"/>
        </w:rPr>
        <w:t>Regarding the support provided to the PMU under stage I versus that under stage II, UNDP clarified that the national implementation modality used by UNDP to implement the projects in Malaysia entails that funds are kept within UNDP accounts and the expenses are incurred as ordered by the national ozone unit. Those funds are controlled under different project numbers, which budgets are kept completely separated and cannot be crossed. In addition, two verifications are conducted, by the Government and by UNDP, to ensure that payments are not charged against the wrong projects and budget lines.</w:t>
      </w:r>
    </w:p>
    <w:p w:rsidR="0015553B" w:rsidRPr="009A010C" w:rsidRDefault="0015553B" w:rsidP="00F36B67">
      <w:pPr>
        <w:rPr>
          <w:b/>
          <w:lang w:val="en-CA"/>
        </w:rPr>
      </w:pPr>
      <w:r w:rsidRPr="009A010C">
        <w:rPr>
          <w:b/>
          <w:lang w:val="en-CA"/>
        </w:rPr>
        <w:t>Recommendation</w:t>
      </w:r>
    </w:p>
    <w:p w:rsidR="0015553B" w:rsidRPr="009A010C" w:rsidRDefault="0015553B" w:rsidP="00F36B67">
      <w:pPr>
        <w:rPr>
          <w:lang w:val="en-CA"/>
        </w:rPr>
      </w:pPr>
    </w:p>
    <w:p w:rsidR="0015553B" w:rsidRPr="009A010C" w:rsidRDefault="0015553B" w:rsidP="00F36B67">
      <w:pPr>
        <w:pStyle w:val="Heading1"/>
        <w:rPr>
          <w:lang w:val="en-CA"/>
        </w:rPr>
      </w:pPr>
      <w:r w:rsidRPr="009A010C">
        <w:rPr>
          <w:lang w:val="en-CA"/>
        </w:rPr>
        <w:t>The Executive Committee may wish:</w:t>
      </w:r>
    </w:p>
    <w:p w:rsidR="0015553B" w:rsidRPr="009A010C" w:rsidRDefault="0015553B" w:rsidP="00F36B67">
      <w:pPr>
        <w:pStyle w:val="Heading2"/>
        <w:rPr>
          <w:lang w:val="en-CA"/>
        </w:rPr>
      </w:pPr>
      <w:r w:rsidRPr="009A010C">
        <w:rPr>
          <w:lang w:val="en-CA"/>
        </w:rPr>
        <w:t>To note the 2017-2018 progress report on the implementation of stage I of the HCFC phase</w:t>
      </w:r>
      <w:r w:rsidRPr="009A010C">
        <w:rPr>
          <w:lang w:val="en-CA"/>
        </w:rPr>
        <w:noBreakHyphen/>
        <w:t xml:space="preserve">out management plan (HPMP) for Malaysia, submitted by UNDP; </w:t>
      </w:r>
    </w:p>
    <w:p w:rsidR="0015553B" w:rsidRPr="009A010C" w:rsidRDefault="0015553B" w:rsidP="0015553B">
      <w:pPr>
        <w:pStyle w:val="Heading2"/>
        <w:rPr>
          <w:lang w:val="en-CA"/>
        </w:rPr>
      </w:pPr>
      <w:r w:rsidRPr="009A010C">
        <w:rPr>
          <w:lang w:val="en-CA"/>
        </w:rPr>
        <w:lastRenderedPageBreak/>
        <w:t>To note that US $217,454 had been committed but not yet disbursed, and to request UNDP to return any remaining balances to the 83</w:t>
      </w:r>
      <w:r w:rsidRPr="009A010C">
        <w:rPr>
          <w:vertAlign w:val="superscript"/>
          <w:lang w:val="en-CA"/>
        </w:rPr>
        <w:t>rd</w:t>
      </w:r>
      <w:r w:rsidRPr="009A010C">
        <w:rPr>
          <w:lang w:val="en-CA"/>
        </w:rPr>
        <w:t xml:space="preserve"> meeting; and </w:t>
      </w:r>
    </w:p>
    <w:p w:rsidR="0015553B" w:rsidRPr="009A010C" w:rsidRDefault="0015553B" w:rsidP="0015553B">
      <w:pPr>
        <w:pStyle w:val="Heading2"/>
        <w:rPr>
          <w:lang w:val="en-CA"/>
        </w:rPr>
      </w:pPr>
      <w:r w:rsidRPr="009A010C">
        <w:rPr>
          <w:lang w:val="en-CA"/>
        </w:rPr>
        <w:t>To note that the Government of Malaysia had completed the implementation of stage I of the HPMP by 1 June 2018, and had submitted the project completion report to the 82</w:t>
      </w:r>
      <w:r w:rsidRPr="009A010C">
        <w:rPr>
          <w:vertAlign w:val="superscript"/>
          <w:lang w:val="en-CA"/>
        </w:rPr>
        <w:t>nd</w:t>
      </w:r>
      <w:r w:rsidRPr="009A010C">
        <w:rPr>
          <w:lang w:val="en-CA"/>
        </w:rPr>
        <w:t> meeting, in line with decision 80/22(b).</w:t>
      </w:r>
    </w:p>
    <w:p w:rsidR="009121CD" w:rsidRPr="009A010C" w:rsidRDefault="009121CD" w:rsidP="009121CD">
      <w:pPr>
        <w:keepNext/>
        <w:keepLines/>
        <w:spacing w:after="240"/>
        <w:rPr>
          <w:lang w:val="en-CA"/>
        </w:rPr>
      </w:pPr>
      <w:r w:rsidRPr="009A010C">
        <w:rPr>
          <w:u w:val="single"/>
          <w:lang w:val="en-CA"/>
        </w:rPr>
        <w:t>Stage I of the HPMP for Maldives (transition from use of interim technology to low</w:t>
      </w:r>
      <w:r w:rsidRPr="009A010C">
        <w:rPr>
          <w:u w:val="single"/>
          <w:lang w:val="en-CA"/>
        </w:rPr>
        <w:noBreakHyphen/>
        <w:t xml:space="preserve">GWP refrigerants and 2018 progress report) </w:t>
      </w:r>
      <w:r w:rsidRPr="009A010C">
        <w:rPr>
          <w:lang w:val="en-CA"/>
        </w:rPr>
        <w:t>(UNEP and UNDP)</w:t>
      </w:r>
    </w:p>
    <w:p w:rsidR="009121CD" w:rsidRPr="009A010C" w:rsidRDefault="009121CD" w:rsidP="009121CD">
      <w:pPr>
        <w:keepNext/>
        <w:keepLines/>
        <w:rPr>
          <w:b/>
          <w:lang w:val="en-CA"/>
        </w:rPr>
      </w:pPr>
      <w:r w:rsidRPr="009A010C">
        <w:rPr>
          <w:b/>
          <w:lang w:val="en-CA"/>
        </w:rPr>
        <w:t>Background</w:t>
      </w:r>
    </w:p>
    <w:p w:rsidR="009121CD" w:rsidRPr="009A010C" w:rsidRDefault="009121CD" w:rsidP="009121CD">
      <w:pPr>
        <w:keepNext/>
        <w:keepLines/>
        <w:rPr>
          <w:u w:val="single"/>
          <w:lang w:val="en-CA"/>
        </w:rPr>
      </w:pPr>
    </w:p>
    <w:p w:rsidR="009121CD" w:rsidRPr="009A010C" w:rsidRDefault="009121CD" w:rsidP="009121CD">
      <w:pPr>
        <w:pStyle w:val="Heading1"/>
        <w:rPr>
          <w:lang w:val="en-CA"/>
        </w:rPr>
      </w:pPr>
      <w:r w:rsidRPr="009A010C">
        <w:rPr>
          <w:lang w:val="en-CA"/>
        </w:rPr>
        <w:t>On behalf of the Government of Maldives, UNEP, as lead implementing agency, has submitted the 2018 annual progress report on implementation of the work programme associated with the fourth (final) tranche of stage I of the HPMP,</w:t>
      </w:r>
      <w:r w:rsidRPr="009A010C">
        <w:rPr>
          <w:rStyle w:val="FootnoteReference"/>
          <w:lang w:val="en-CA"/>
        </w:rPr>
        <w:footnoteReference w:id="43"/>
      </w:r>
      <w:r w:rsidRPr="009A010C">
        <w:rPr>
          <w:lang w:val="en-CA"/>
        </w:rPr>
        <w:t xml:space="preserve"> for the country, in line with decision 80/70(b). </w:t>
      </w:r>
    </w:p>
    <w:p w:rsidR="009121CD" w:rsidRPr="009A010C" w:rsidRDefault="009121CD" w:rsidP="009121CD">
      <w:pPr>
        <w:pStyle w:val="Heading1"/>
        <w:numPr>
          <w:ilvl w:val="0"/>
          <w:numId w:val="0"/>
        </w:numPr>
        <w:rPr>
          <w:u w:val="single"/>
          <w:lang w:val="en-CA"/>
        </w:rPr>
      </w:pPr>
      <w:r w:rsidRPr="009A010C">
        <w:rPr>
          <w:u w:val="single"/>
          <w:lang w:val="en-CA"/>
        </w:rPr>
        <w:t>Progress report on the implementation of the fourth tranche of the HPMP</w:t>
      </w:r>
    </w:p>
    <w:p w:rsidR="009121CD" w:rsidRPr="009A010C" w:rsidRDefault="009121CD" w:rsidP="009121CD">
      <w:pPr>
        <w:pStyle w:val="Heading1"/>
        <w:numPr>
          <w:ilvl w:val="0"/>
          <w:numId w:val="0"/>
        </w:numPr>
        <w:rPr>
          <w:i/>
          <w:lang w:val="en-CA"/>
        </w:rPr>
      </w:pPr>
      <w:r w:rsidRPr="009A010C">
        <w:rPr>
          <w:i/>
          <w:lang w:val="en-CA"/>
        </w:rPr>
        <w:t>Legal framework</w:t>
      </w:r>
    </w:p>
    <w:p w:rsidR="009121CD" w:rsidRPr="009A010C" w:rsidRDefault="009121CD" w:rsidP="009121CD">
      <w:pPr>
        <w:pStyle w:val="Heading1"/>
        <w:rPr>
          <w:lang w:val="en-CA"/>
        </w:rPr>
      </w:pPr>
      <w:r w:rsidRPr="009A010C">
        <w:rPr>
          <w:lang w:val="en-CA"/>
        </w:rPr>
        <w:t xml:space="preserve">The quota and licensing system for HCFC imports continues to operate; the Government of Maldives has issued HCFC import quotas for 2018 at 22 </w:t>
      </w:r>
      <w:proofErr w:type="spellStart"/>
      <w:r w:rsidRPr="009A010C">
        <w:rPr>
          <w:lang w:val="en-CA"/>
        </w:rPr>
        <w:t>mt</w:t>
      </w:r>
      <w:proofErr w:type="spellEnd"/>
      <w:r w:rsidRPr="009A010C">
        <w:rPr>
          <w:lang w:val="en-CA"/>
        </w:rPr>
        <w:t xml:space="preserve"> (1.2 ODP tonnes), which is the same as the maximum allowable consumption under its Agreement with the Executive Committee. The Government also introduced tax incentives for imports of HCFC alternatives and disincentives for HCFC-containing equipment through its Import and Export Act (i.e., import tax was reduced from 10 </w:t>
      </w:r>
      <w:r w:rsidRPr="009A010C">
        <w:t>per cent</w:t>
      </w:r>
      <w:r w:rsidRPr="009A010C">
        <w:rPr>
          <w:lang w:val="en-CA"/>
        </w:rPr>
        <w:t xml:space="preserve"> to five per cent for ammonia to provide incentive for adoption of low</w:t>
      </w:r>
      <w:r w:rsidRPr="009A010C">
        <w:rPr>
          <w:lang w:val="en-CA"/>
        </w:rPr>
        <w:noBreakHyphen/>
        <w:t>GWP alternatives; and import tax was increased from 10 per cent to 100 per cent for HCFC and HCFC blends). Three training workshops on ODS identification and ODS trade control were conducted for 76 Customs officers; three Customs officers participated in an international workshop on risk profiling and prevention of illegal ODS trade.</w:t>
      </w:r>
    </w:p>
    <w:p w:rsidR="009121CD" w:rsidRPr="009A010C" w:rsidRDefault="009121CD" w:rsidP="009121CD">
      <w:pPr>
        <w:keepNext/>
        <w:spacing w:after="240"/>
        <w:rPr>
          <w:lang w:val="en-CA"/>
        </w:rPr>
      </w:pPr>
      <w:r w:rsidRPr="009A010C">
        <w:rPr>
          <w:i/>
          <w:lang w:val="en-CA"/>
        </w:rPr>
        <w:t xml:space="preserve">Activities in the refrigeration </w:t>
      </w:r>
    </w:p>
    <w:p w:rsidR="009121CD" w:rsidRPr="009A010C" w:rsidRDefault="009121CD" w:rsidP="009121CD">
      <w:pPr>
        <w:pStyle w:val="Heading1"/>
        <w:keepNext/>
        <w:rPr>
          <w:lang w:val="en-CA"/>
        </w:rPr>
      </w:pPr>
      <w:r w:rsidRPr="009A010C">
        <w:rPr>
          <w:lang w:val="en-CA"/>
        </w:rPr>
        <w:t>Five RAC technicians were trained on the use of flammable refrigerants (i.e. HC-based refrigerants) for room air-conditioning systems; 30 participants attended consultation workshops on RAC technician certification, where good servicing practices training programme will be integrated into the national vocational and technical training and education curriculum; training was conducted for technicians engaged in daily maintenance of refrigeration and air-conditioning units in the fisheries sector, and those service technicians participated in an inception workshop on the demonstration project for HCFC-free low-GWP alternatives in the fisheries sector.</w:t>
      </w:r>
    </w:p>
    <w:p w:rsidR="009121CD" w:rsidRPr="009A010C" w:rsidRDefault="009121CD" w:rsidP="009121CD">
      <w:pPr>
        <w:pStyle w:val="Heading2"/>
        <w:numPr>
          <w:ilvl w:val="0"/>
          <w:numId w:val="0"/>
        </w:numPr>
        <w:rPr>
          <w:i/>
          <w:lang w:val="en-CA"/>
        </w:rPr>
      </w:pPr>
      <w:r w:rsidRPr="009A010C">
        <w:rPr>
          <w:i/>
          <w:lang w:val="en-CA"/>
        </w:rPr>
        <w:t xml:space="preserve">Technical assistance </w:t>
      </w:r>
    </w:p>
    <w:p w:rsidR="009121CD" w:rsidRPr="009A010C" w:rsidRDefault="009121CD" w:rsidP="009121CD">
      <w:pPr>
        <w:pStyle w:val="Heading1"/>
        <w:rPr>
          <w:lang w:val="en-CA"/>
        </w:rPr>
      </w:pPr>
      <w:r w:rsidRPr="009A010C">
        <w:rPr>
          <w:lang w:val="en-CA"/>
        </w:rPr>
        <w:t>The recovery, recycling and reclamation unit will be transferred by the Government of the Maldives to the Maldives Industrial Fisheries Co (MIFCO), a semi</w:t>
      </w:r>
      <w:r w:rsidRPr="009A010C">
        <w:rPr>
          <w:lang w:val="en-CA"/>
        </w:rPr>
        <w:noBreakHyphen/>
        <w:t>government organization which had been selected to be the provider of these services. Under the pilot retrofit/replacement incentive scheme, the Government has signed an agreement with MIFCO in October 2017, making them responsible for the project on the replacement of HCFC-22</w:t>
      </w:r>
      <w:r w:rsidRPr="009A010C">
        <w:rPr>
          <w:lang w:val="en-CA"/>
        </w:rPr>
        <w:noBreakHyphen/>
        <w:t xml:space="preserve">based equipment, including the recovery of HCFC-22 from the replaced equipment, </w:t>
      </w:r>
      <w:r w:rsidRPr="009A010C">
        <w:rPr>
          <w:lang w:val="en-CA"/>
        </w:rPr>
        <w:lastRenderedPageBreak/>
        <w:t xml:space="preserve">and sending the refrigerant to the reclamation centre for re-use. For this project, </w:t>
      </w:r>
      <w:r w:rsidRPr="009A010C">
        <w:t>101 HFC</w:t>
      </w:r>
      <w:r w:rsidRPr="009A010C">
        <w:rPr>
          <w:lang w:val="en-CA"/>
        </w:rPr>
        <w:noBreakHyphen/>
        <w:t>32</w:t>
      </w:r>
      <w:r w:rsidRPr="009A010C">
        <w:rPr>
          <w:lang w:val="en-CA"/>
        </w:rPr>
        <w:noBreakHyphen/>
        <w:t xml:space="preserve">based air-conditioners with different cooling capacities will be purchased by MIFCO and distributed to beneficiaries. </w:t>
      </w:r>
    </w:p>
    <w:p w:rsidR="009121CD" w:rsidRPr="009A010C" w:rsidRDefault="009121CD" w:rsidP="009121CD">
      <w:pPr>
        <w:pStyle w:val="Heading1"/>
        <w:keepNext/>
        <w:numPr>
          <w:ilvl w:val="0"/>
          <w:numId w:val="0"/>
        </w:numPr>
      </w:pPr>
      <w:r w:rsidRPr="009A010C">
        <w:rPr>
          <w:i/>
          <w:lang w:val="en-CA"/>
        </w:rPr>
        <w:t>Status of use of the interim technology, including the availability of low-GWP refrigerants in the fisheries sector</w:t>
      </w:r>
    </w:p>
    <w:p w:rsidR="009121CD" w:rsidRPr="009A010C" w:rsidRDefault="009121CD" w:rsidP="009121CD">
      <w:pPr>
        <w:pStyle w:val="Heading1"/>
        <w:keepNext/>
      </w:pPr>
      <w:r w:rsidRPr="009A010C">
        <w:rPr>
          <w:lang w:val="en-CA"/>
        </w:rPr>
        <w:t xml:space="preserve">In line with </w:t>
      </w:r>
      <w:r w:rsidRPr="009A010C">
        <w:t>decision 75/62(c),</w:t>
      </w:r>
      <w:r w:rsidRPr="009A010C">
        <w:rPr>
          <w:rStyle w:val="FootnoteReference"/>
        </w:rPr>
        <w:footnoteReference w:id="44"/>
      </w:r>
      <w:r w:rsidRPr="009A010C">
        <w:t xml:space="preserve"> UNEP reported that the interim technology, which is used in fisheries sector, is R-438A.</w:t>
      </w:r>
      <w:r w:rsidRPr="009A010C">
        <w:rPr>
          <w:rStyle w:val="FootnoteReference"/>
        </w:rPr>
        <w:footnoteReference w:id="45"/>
      </w:r>
      <w:r w:rsidRPr="009A010C">
        <w:t xml:space="preserve"> One of the options being explored is R-448A</w:t>
      </w:r>
      <w:r w:rsidRPr="009A010C">
        <w:rPr>
          <w:rStyle w:val="FootnoteReference"/>
        </w:rPr>
        <w:footnoteReference w:id="46"/>
      </w:r>
      <w:r w:rsidRPr="009A010C">
        <w:t xml:space="preserve">, which is not yet commercially available in the Asian market, making procurement challenging. Following discussions with beneficiaries, the fisheries sector is unwilling to adopt the use of flammable refrigerants (i.e., HC-based) in fishing vessels because of fire risk. The country is waiting for a new non-flammable alternative refrigerant to be available that could be used to retrofit equipment. </w:t>
      </w:r>
    </w:p>
    <w:p w:rsidR="009121CD" w:rsidRPr="009A010C" w:rsidRDefault="009121CD" w:rsidP="009121CD">
      <w:pPr>
        <w:pStyle w:val="Heading1"/>
        <w:keepNext/>
        <w:numPr>
          <w:ilvl w:val="0"/>
          <w:numId w:val="0"/>
        </w:numPr>
        <w:rPr>
          <w:i/>
          <w:lang w:val="en-CA"/>
        </w:rPr>
      </w:pPr>
      <w:r w:rsidRPr="009A010C">
        <w:rPr>
          <w:i/>
          <w:lang w:val="en-CA"/>
        </w:rPr>
        <w:t xml:space="preserve">Level of fund disbursement </w:t>
      </w:r>
    </w:p>
    <w:p w:rsidR="009121CD" w:rsidRPr="00F4406E" w:rsidRDefault="009121CD" w:rsidP="009121CD">
      <w:pPr>
        <w:pStyle w:val="Heading1"/>
        <w:keepNext/>
        <w:rPr>
          <w:u w:val="single"/>
          <w:lang w:val="en-CA"/>
        </w:rPr>
      </w:pPr>
      <w:r w:rsidRPr="009A010C">
        <w:rPr>
          <w:lang w:val="en-CA"/>
        </w:rPr>
        <w:t xml:space="preserve">As at September 2018, of the US $1,100,000 approved, US $937,372 (85 per cent) had been disbursed, as shown in </w:t>
      </w:r>
      <w:r w:rsidRPr="00F4406E">
        <w:rPr>
          <w:lang w:val="en-CA"/>
        </w:rPr>
        <w:t>Table </w:t>
      </w:r>
      <w:r w:rsidR="002464DD" w:rsidRPr="00F4406E">
        <w:rPr>
          <w:lang w:val="en-CA"/>
        </w:rPr>
        <w:t>20</w:t>
      </w:r>
      <w:r w:rsidRPr="00F4406E">
        <w:rPr>
          <w:lang w:val="en-CA"/>
        </w:rPr>
        <w:t xml:space="preserve">. </w:t>
      </w:r>
    </w:p>
    <w:p w:rsidR="009121CD" w:rsidRPr="009A010C" w:rsidRDefault="009121CD" w:rsidP="009121CD">
      <w:pPr>
        <w:keepNext/>
        <w:rPr>
          <w:b/>
          <w:lang w:val="en-CA"/>
        </w:rPr>
      </w:pPr>
      <w:r w:rsidRPr="00F4406E">
        <w:rPr>
          <w:b/>
          <w:lang w:val="en-CA"/>
        </w:rPr>
        <w:t xml:space="preserve">Table </w:t>
      </w:r>
      <w:r w:rsidR="002464DD" w:rsidRPr="00F4406E">
        <w:rPr>
          <w:b/>
          <w:lang w:val="en-CA"/>
        </w:rPr>
        <w:t>20</w:t>
      </w:r>
      <w:r w:rsidRPr="00F4406E">
        <w:rPr>
          <w:b/>
          <w:lang w:val="en-CA"/>
        </w:rPr>
        <w:t>. Financial repo</w:t>
      </w:r>
      <w:r w:rsidRPr="009A010C">
        <w:rPr>
          <w:b/>
          <w:lang w:val="en-CA"/>
        </w:rPr>
        <w:t>rt of stage I of the HPMP for Maldives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9121CD" w:rsidRPr="009A010C" w:rsidTr="00A51632">
        <w:trPr>
          <w:trHeight w:val="404"/>
          <w:tblHeader/>
        </w:trPr>
        <w:tc>
          <w:tcPr>
            <w:tcW w:w="2671" w:type="dxa"/>
            <w:gridSpan w:val="2"/>
            <w:shd w:val="clear" w:color="auto" w:fill="auto"/>
            <w:noWrap/>
            <w:vAlign w:val="center"/>
            <w:hideMark/>
          </w:tcPr>
          <w:p w:rsidR="009121CD" w:rsidRPr="009A010C" w:rsidRDefault="009121CD" w:rsidP="00A51632">
            <w:pPr>
              <w:keepNext/>
              <w:rPr>
                <w:b/>
                <w:bCs/>
                <w:color w:val="000000"/>
                <w:sz w:val="20"/>
                <w:szCs w:val="20"/>
                <w:lang w:val="en-CA" w:eastAsia="en-CA"/>
              </w:rPr>
            </w:pPr>
            <w:r w:rsidRPr="009A010C">
              <w:rPr>
                <w:b/>
                <w:bCs/>
                <w:color w:val="000000"/>
                <w:sz w:val="20"/>
                <w:szCs w:val="20"/>
                <w:lang w:val="en-CA" w:eastAsia="en-CA"/>
              </w:rPr>
              <w:t>Tranche</w:t>
            </w:r>
          </w:p>
        </w:tc>
        <w:tc>
          <w:tcPr>
            <w:tcW w:w="1417" w:type="dxa"/>
            <w:shd w:val="clear" w:color="auto" w:fill="auto"/>
            <w:noWrap/>
            <w:vAlign w:val="center"/>
            <w:hideMark/>
          </w:tcPr>
          <w:p w:rsidR="009121CD" w:rsidRPr="009A010C" w:rsidRDefault="009121CD" w:rsidP="00A51632">
            <w:pPr>
              <w:keepNext/>
              <w:jc w:val="center"/>
              <w:rPr>
                <w:b/>
                <w:color w:val="000000"/>
                <w:sz w:val="20"/>
                <w:szCs w:val="20"/>
                <w:lang w:val="en-CA" w:eastAsia="en-CA"/>
              </w:rPr>
            </w:pPr>
            <w:r w:rsidRPr="009A010C">
              <w:rPr>
                <w:b/>
                <w:color w:val="000000"/>
                <w:sz w:val="20"/>
                <w:szCs w:val="20"/>
                <w:lang w:val="en-CA" w:eastAsia="en-CA"/>
              </w:rPr>
              <w:t>UNEP</w:t>
            </w:r>
          </w:p>
        </w:tc>
        <w:tc>
          <w:tcPr>
            <w:tcW w:w="1417" w:type="dxa"/>
            <w:vAlign w:val="center"/>
          </w:tcPr>
          <w:p w:rsidR="009121CD" w:rsidRPr="009A010C" w:rsidRDefault="009121CD" w:rsidP="00A51632">
            <w:pPr>
              <w:keepNext/>
              <w:jc w:val="center"/>
              <w:rPr>
                <w:b/>
                <w:color w:val="000000"/>
                <w:sz w:val="20"/>
                <w:szCs w:val="20"/>
                <w:lang w:val="en-CA" w:eastAsia="en-CA"/>
              </w:rPr>
            </w:pPr>
            <w:r w:rsidRPr="009A010C">
              <w:rPr>
                <w:b/>
                <w:color w:val="000000"/>
                <w:sz w:val="20"/>
                <w:szCs w:val="20"/>
                <w:lang w:val="en-CA" w:eastAsia="en-CA"/>
              </w:rPr>
              <w:t>UNDP</w:t>
            </w:r>
          </w:p>
        </w:tc>
        <w:tc>
          <w:tcPr>
            <w:tcW w:w="1418" w:type="dxa"/>
            <w:shd w:val="clear" w:color="auto" w:fill="auto"/>
            <w:noWrap/>
            <w:vAlign w:val="center"/>
            <w:hideMark/>
          </w:tcPr>
          <w:p w:rsidR="009121CD" w:rsidRPr="009A010C" w:rsidRDefault="009121CD" w:rsidP="00A51632">
            <w:pPr>
              <w:keepNext/>
              <w:jc w:val="center"/>
              <w:rPr>
                <w:b/>
                <w:color w:val="000000"/>
                <w:sz w:val="20"/>
                <w:szCs w:val="20"/>
                <w:lang w:val="en-CA" w:eastAsia="en-CA"/>
              </w:rPr>
            </w:pPr>
            <w:r w:rsidRPr="009A010C">
              <w:rPr>
                <w:b/>
                <w:color w:val="000000"/>
                <w:sz w:val="20"/>
                <w:szCs w:val="20"/>
                <w:lang w:val="en-CA" w:eastAsia="en-CA"/>
              </w:rPr>
              <w:t>Total</w:t>
            </w:r>
          </w:p>
        </w:tc>
        <w:tc>
          <w:tcPr>
            <w:tcW w:w="2410" w:type="dxa"/>
            <w:shd w:val="clear" w:color="auto" w:fill="auto"/>
            <w:noWrap/>
            <w:vAlign w:val="center"/>
            <w:hideMark/>
          </w:tcPr>
          <w:p w:rsidR="009121CD" w:rsidRPr="009A010C" w:rsidRDefault="009121CD" w:rsidP="00A51632">
            <w:pPr>
              <w:keepNext/>
              <w:jc w:val="center"/>
              <w:rPr>
                <w:b/>
                <w:color w:val="000000"/>
                <w:sz w:val="20"/>
                <w:szCs w:val="20"/>
                <w:lang w:val="en-CA" w:eastAsia="en-CA"/>
              </w:rPr>
            </w:pPr>
            <w:r w:rsidRPr="009A010C">
              <w:rPr>
                <w:b/>
                <w:color w:val="000000"/>
                <w:sz w:val="20"/>
                <w:szCs w:val="20"/>
                <w:lang w:val="en-CA" w:eastAsia="en-CA"/>
              </w:rPr>
              <w:t>Disbursement rate (%)</w:t>
            </w:r>
          </w:p>
        </w:tc>
      </w:tr>
      <w:tr w:rsidR="009121CD" w:rsidRPr="009A010C" w:rsidTr="00A51632">
        <w:trPr>
          <w:trHeight w:val="179"/>
        </w:trPr>
        <w:tc>
          <w:tcPr>
            <w:tcW w:w="1537" w:type="dxa"/>
            <w:vMerge w:val="restart"/>
            <w:shd w:val="clear" w:color="auto" w:fill="auto"/>
            <w:noWrap/>
            <w:vAlign w:val="center"/>
            <w:hideMark/>
          </w:tcPr>
          <w:p w:rsidR="009121CD" w:rsidRPr="009A010C" w:rsidRDefault="009121CD" w:rsidP="00A51632">
            <w:pPr>
              <w:jc w:val="left"/>
              <w:rPr>
                <w:bCs/>
                <w:color w:val="000000"/>
                <w:sz w:val="20"/>
                <w:szCs w:val="20"/>
                <w:lang w:val="en-CA" w:eastAsia="en-CA"/>
              </w:rPr>
            </w:pPr>
            <w:r w:rsidRPr="009A010C">
              <w:rPr>
                <w:bCs/>
                <w:color w:val="000000"/>
                <w:sz w:val="20"/>
                <w:szCs w:val="20"/>
                <w:lang w:val="en-CA" w:eastAsia="en-CA"/>
              </w:rPr>
              <w:t>First tranche</w:t>
            </w: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Approved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355,940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400,000</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755,940</w:t>
            </w:r>
          </w:p>
        </w:tc>
        <w:tc>
          <w:tcPr>
            <w:tcW w:w="2410" w:type="dxa"/>
            <w:vMerge w:val="restart"/>
            <w:shd w:val="clear" w:color="auto" w:fill="auto"/>
            <w:noWrap/>
            <w:vAlign w:val="center"/>
          </w:tcPr>
          <w:p w:rsidR="009121CD" w:rsidRPr="009A010C" w:rsidRDefault="009121CD" w:rsidP="00A51632">
            <w:pPr>
              <w:jc w:val="center"/>
              <w:rPr>
                <w:color w:val="000000"/>
                <w:sz w:val="20"/>
                <w:szCs w:val="20"/>
                <w:lang w:val="en-CA" w:eastAsia="en-CA"/>
              </w:rPr>
            </w:pPr>
            <w:r w:rsidRPr="009A010C">
              <w:rPr>
                <w:color w:val="000000"/>
                <w:sz w:val="20"/>
                <w:szCs w:val="20"/>
                <w:lang w:val="en-CA" w:eastAsia="en-CA"/>
              </w:rPr>
              <w:t>88</w:t>
            </w:r>
          </w:p>
        </w:tc>
      </w:tr>
      <w:tr w:rsidR="009121CD" w:rsidRPr="009A010C" w:rsidTr="00A51632">
        <w:trPr>
          <w:trHeight w:val="215"/>
        </w:trPr>
        <w:tc>
          <w:tcPr>
            <w:tcW w:w="1537" w:type="dxa"/>
            <w:vMerge/>
            <w:vAlign w:val="center"/>
            <w:hideMark/>
          </w:tcPr>
          <w:p w:rsidR="009121CD" w:rsidRPr="009A010C" w:rsidRDefault="009121CD" w:rsidP="00A51632">
            <w:pPr>
              <w:jc w:val="left"/>
              <w:rPr>
                <w:bCs/>
                <w:color w:val="000000"/>
                <w:sz w:val="20"/>
                <w:szCs w:val="20"/>
                <w:lang w:val="en-CA" w:eastAsia="en-CA"/>
              </w:rPr>
            </w:pP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Disbursed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355,940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311,432</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667,372</w:t>
            </w:r>
          </w:p>
        </w:tc>
        <w:tc>
          <w:tcPr>
            <w:tcW w:w="2410" w:type="dxa"/>
            <w:vMerge/>
            <w:vAlign w:val="center"/>
          </w:tcPr>
          <w:p w:rsidR="009121CD" w:rsidRPr="009A010C" w:rsidRDefault="009121CD" w:rsidP="00A51632">
            <w:pPr>
              <w:jc w:val="center"/>
              <w:rPr>
                <w:color w:val="000000"/>
                <w:sz w:val="20"/>
                <w:szCs w:val="20"/>
                <w:lang w:val="en-CA" w:eastAsia="en-CA"/>
              </w:rPr>
            </w:pPr>
          </w:p>
        </w:tc>
      </w:tr>
      <w:tr w:rsidR="009121CD" w:rsidRPr="009A010C" w:rsidTr="00A51632">
        <w:trPr>
          <w:trHeight w:val="152"/>
        </w:trPr>
        <w:tc>
          <w:tcPr>
            <w:tcW w:w="1537" w:type="dxa"/>
            <w:vMerge w:val="restart"/>
            <w:shd w:val="clear" w:color="auto" w:fill="auto"/>
            <w:noWrap/>
            <w:vAlign w:val="center"/>
            <w:hideMark/>
          </w:tcPr>
          <w:p w:rsidR="009121CD" w:rsidRPr="009A010C" w:rsidRDefault="009121CD" w:rsidP="00A51632">
            <w:pPr>
              <w:jc w:val="left"/>
              <w:rPr>
                <w:bCs/>
                <w:color w:val="000000"/>
                <w:sz w:val="20"/>
                <w:szCs w:val="20"/>
                <w:lang w:val="en-CA" w:eastAsia="en-CA"/>
              </w:rPr>
            </w:pPr>
            <w:r w:rsidRPr="009A010C">
              <w:rPr>
                <w:bCs/>
                <w:color w:val="000000"/>
                <w:sz w:val="20"/>
                <w:szCs w:val="20"/>
                <w:lang w:val="en-CA" w:eastAsia="en-CA"/>
              </w:rPr>
              <w:t>Second tranche</w:t>
            </w: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Approved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173,400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20,000</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193,400</w:t>
            </w:r>
          </w:p>
        </w:tc>
        <w:tc>
          <w:tcPr>
            <w:tcW w:w="2410" w:type="dxa"/>
            <w:vMerge w:val="restart"/>
            <w:shd w:val="clear" w:color="auto" w:fill="auto"/>
            <w:noWrap/>
            <w:vAlign w:val="center"/>
          </w:tcPr>
          <w:p w:rsidR="009121CD" w:rsidRPr="009A010C" w:rsidRDefault="009121CD" w:rsidP="00A51632">
            <w:pPr>
              <w:jc w:val="center"/>
              <w:rPr>
                <w:color w:val="000000"/>
                <w:sz w:val="20"/>
                <w:szCs w:val="20"/>
                <w:lang w:val="en-CA" w:eastAsia="en-CA"/>
              </w:rPr>
            </w:pPr>
            <w:r w:rsidRPr="009A010C">
              <w:rPr>
                <w:color w:val="000000"/>
                <w:sz w:val="20"/>
                <w:szCs w:val="20"/>
                <w:lang w:val="en-CA" w:eastAsia="en-CA"/>
              </w:rPr>
              <w:t>92</w:t>
            </w:r>
          </w:p>
        </w:tc>
      </w:tr>
      <w:tr w:rsidR="009121CD" w:rsidRPr="009A010C" w:rsidTr="00A51632">
        <w:trPr>
          <w:trHeight w:val="179"/>
        </w:trPr>
        <w:tc>
          <w:tcPr>
            <w:tcW w:w="1537" w:type="dxa"/>
            <w:vMerge/>
            <w:vAlign w:val="center"/>
            <w:hideMark/>
          </w:tcPr>
          <w:p w:rsidR="009121CD" w:rsidRPr="009A010C" w:rsidRDefault="009121CD" w:rsidP="00A51632">
            <w:pPr>
              <w:jc w:val="left"/>
              <w:rPr>
                <w:bCs/>
                <w:color w:val="000000"/>
                <w:sz w:val="20"/>
                <w:szCs w:val="20"/>
                <w:lang w:val="en-CA" w:eastAsia="en-CA"/>
              </w:rPr>
            </w:pP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Disbursed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173,400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4,100</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177,500</w:t>
            </w:r>
          </w:p>
        </w:tc>
        <w:tc>
          <w:tcPr>
            <w:tcW w:w="2410" w:type="dxa"/>
            <w:vMerge/>
            <w:vAlign w:val="center"/>
          </w:tcPr>
          <w:p w:rsidR="009121CD" w:rsidRPr="009A010C" w:rsidRDefault="009121CD" w:rsidP="00A51632">
            <w:pPr>
              <w:jc w:val="center"/>
              <w:rPr>
                <w:color w:val="000000"/>
                <w:sz w:val="20"/>
                <w:szCs w:val="20"/>
                <w:lang w:val="en-CA" w:eastAsia="en-CA"/>
              </w:rPr>
            </w:pPr>
          </w:p>
        </w:tc>
      </w:tr>
      <w:tr w:rsidR="009121CD" w:rsidRPr="009A010C" w:rsidTr="00A51632">
        <w:trPr>
          <w:trHeight w:val="125"/>
        </w:trPr>
        <w:tc>
          <w:tcPr>
            <w:tcW w:w="1537" w:type="dxa"/>
            <w:vMerge w:val="restart"/>
            <w:shd w:val="clear" w:color="auto" w:fill="auto"/>
            <w:noWrap/>
            <w:vAlign w:val="center"/>
            <w:hideMark/>
          </w:tcPr>
          <w:p w:rsidR="009121CD" w:rsidRPr="009A010C" w:rsidRDefault="009121CD" w:rsidP="00A51632">
            <w:pPr>
              <w:jc w:val="left"/>
              <w:rPr>
                <w:bCs/>
                <w:color w:val="000000"/>
                <w:sz w:val="20"/>
                <w:szCs w:val="20"/>
                <w:lang w:val="en-CA" w:eastAsia="en-CA"/>
              </w:rPr>
            </w:pPr>
            <w:r w:rsidRPr="009A010C">
              <w:rPr>
                <w:bCs/>
                <w:color w:val="000000"/>
                <w:sz w:val="20"/>
                <w:szCs w:val="20"/>
                <w:lang w:val="en-CA" w:eastAsia="en-CA"/>
              </w:rPr>
              <w:t>Third tranche</w:t>
            </w: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Approved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100,660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0</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100,660</w:t>
            </w:r>
          </w:p>
        </w:tc>
        <w:tc>
          <w:tcPr>
            <w:tcW w:w="2410" w:type="dxa"/>
            <w:vMerge w:val="restart"/>
            <w:shd w:val="clear" w:color="auto" w:fill="auto"/>
            <w:noWrap/>
            <w:vAlign w:val="center"/>
          </w:tcPr>
          <w:p w:rsidR="009121CD" w:rsidRPr="009A010C" w:rsidRDefault="009121CD" w:rsidP="00A51632">
            <w:pPr>
              <w:jc w:val="center"/>
              <w:rPr>
                <w:color w:val="000000"/>
                <w:sz w:val="20"/>
                <w:szCs w:val="20"/>
                <w:lang w:val="en-CA" w:eastAsia="en-CA"/>
              </w:rPr>
            </w:pPr>
            <w:r w:rsidRPr="009A010C">
              <w:rPr>
                <w:color w:val="000000"/>
                <w:sz w:val="20"/>
                <w:szCs w:val="20"/>
                <w:lang w:val="en-CA" w:eastAsia="en-CA"/>
              </w:rPr>
              <w:t>67</w:t>
            </w:r>
          </w:p>
        </w:tc>
      </w:tr>
      <w:tr w:rsidR="009121CD" w:rsidRPr="009A010C" w:rsidTr="00A51632">
        <w:trPr>
          <w:trHeight w:val="58"/>
        </w:trPr>
        <w:tc>
          <w:tcPr>
            <w:tcW w:w="1537" w:type="dxa"/>
            <w:vMerge/>
            <w:vAlign w:val="center"/>
            <w:hideMark/>
          </w:tcPr>
          <w:p w:rsidR="009121CD" w:rsidRPr="009A010C" w:rsidRDefault="009121CD" w:rsidP="00A51632">
            <w:pPr>
              <w:jc w:val="left"/>
              <w:rPr>
                <w:bCs/>
                <w:color w:val="000000"/>
                <w:sz w:val="20"/>
                <w:szCs w:val="20"/>
                <w:lang w:val="en-CA" w:eastAsia="en-CA"/>
              </w:rPr>
            </w:pP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Disbursed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67,500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0</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67,500</w:t>
            </w:r>
          </w:p>
        </w:tc>
        <w:tc>
          <w:tcPr>
            <w:tcW w:w="2410" w:type="dxa"/>
            <w:vMerge/>
            <w:vAlign w:val="center"/>
          </w:tcPr>
          <w:p w:rsidR="009121CD" w:rsidRPr="009A010C" w:rsidRDefault="009121CD" w:rsidP="00A51632">
            <w:pPr>
              <w:jc w:val="center"/>
              <w:rPr>
                <w:color w:val="000000"/>
                <w:sz w:val="20"/>
                <w:szCs w:val="20"/>
                <w:lang w:val="en-CA" w:eastAsia="en-CA"/>
              </w:rPr>
            </w:pPr>
          </w:p>
        </w:tc>
      </w:tr>
      <w:tr w:rsidR="009121CD" w:rsidRPr="009A010C" w:rsidTr="00A51632">
        <w:trPr>
          <w:trHeight w:val="58"/>
        </w:trPr>
        <w:tc>
          <w:tcPr>
            <w:tcW w:w="1537" w:type="dxa"/>
            <w:vMerge w:val="restart"/>
            <w:shd w:val="clear" w:color="auto" w:fill="auto"/>
            <w:noWrap/>
            <w:vAlign w:val="center"/>
            <w:hideMark/>
          </w:tcPr>
          <w:p w:rsidR="009121CD" w:rsidRPr="009A010C" w:rsidRDefault="009121CD" w:rsidP="00A51632">
            <w:pPr>
              <w:jc w:val="left"/>
              <w:rPr>
                <w:bCs/>
                <w:color w:val="000000"/>
                <w:sz w:val="20"/>
                <w:szCs w:val="20"/>
                <w:lang w:val="en-CA" w:eastAsia="en-CA"/>
              </w:rPr>
            </w:pPr>
            <w:r w:rsidRPr="009A010C">
              <w:rPr>
                <w:bCs/>
                <w:color w:val="000000"/>
                <w:sz w:val="20"/>
                <w:szCs w:val="20"/>
                <w:lang w:val="en-CA" w:eastAsia="en-CA"/>
              </w:rPr>
              <w:t>Fourth tranche</w:t>
            </w: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Approved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50,000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0</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50,000</w:t>
            </w:r>
          </w:p>
        </w:tc>
        <w:tc>
          <w:tcPr>
            <w:tcW w:w="2410" w:type="dxa"/>
            <w:vMerge w:val="restart"/>
            <w:shd w:val="clear" w:color="auto" w:fill="auto"/>
            <w:noWrap/>
            <w:vAlign w:val="center"/>
          </w:tcPr>
          <w:p w:rsidR="009121CD" w:rsidRPr="009A010C" w:rsidRDefault="009121CD" w:rsidP="00A51632">
            <w:pPr>
              <w:jc w:val="center"/>
              <w:rPr>
                <w:color w:val="000000"/>
                <w:sz w:val="20"/>
                <w:szCs w:val="20"/>
                <w:lang w:val="en-CA" w:eastAsia="en-CA"/>
              </w:rPr>
            </w:pPr>
            <w:r w:rsidRPr="009A010C">
              <w:rPr>
                <w:color w:val="000000"/>
                <w:sz w:val="20"/>
                <w:szCs w:val="20"/>
                <w:lang w:val="en-CA" w:eastAsia="en-CA"/>
              </w:rPr>
              <w:t>50</w:t>
            </w:r>
          </w:p>
        </w:tc>
      </w:tr>
      <w:tr w:rsidR="009121CD" w:rsidRPr="009A010C" w:rsidTr="00A51632">
        <w:trPr>
          <w:trHeight w:val="125"/>
        </w:trPr>
        <w:tc>
          <w:tcPr>
            <w:tcW w:w="1537" w:type="dxa"/>
            <w:vMerge/>
            <w:vAlign w:val="center"/>
            <w:hideMark/>
          </w:tcPr>
          <w:p w:rsidR="009121CD" w:rsidRPr="009A010C" w:rsidRDefault="009121CD" w:rsidP="00A51632">
            <w:pPr>
              <w:jc w:val="left"/>
              <w:rPr>
                <w:bCs/>
                <w:color w:val="000000"/>
                <w:sz w:val="20"/>
                <w:szCs w:val="20"/>
                <w:lang w:val="en-CA" w:eastAsia="en-CA"/>
              </w:rPr>
            </w:pPr>
          </w:p>
        </w:tc>
        <w:tc>
          <w:tcPr>
            <w:tcW w:w="1134" w:type="dxa"/>
            <w:shd w:val="clear" w:color="auto" w:fill="auto"/>
            <w:noWrap/>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Disbursed </w:t>
            </w:r>
          </w:p>
        </w:tc>
        <w:tc>
          <w:tcPr>
            <w:tcW w:w="1417"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25,000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0</w:t>
            </w:r>
          </w:p>
        </w:tc>
        <w:tc>
          <w:tcPr>
            <w:tcW w:w="1418" w:type="dxa"/>
            <w:shd w:val="clear" w:color="auto" w:fill="auto"/>
            <w:noWrap/>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25,000</w:t>
            </w:r>
          </w:p>
        </w:tc>
        <w:tc>
          <w:tcPr>
            <w:tcW w:w="2410" w:type="dxa"/>
            <w:vMerge/>
            <w:vAlign w:val="center"/>
          </w:tcPr>
          <w:p w:rsidR="009121CD" w:rsidRPr="009A010C" w:rsidRDefault="009121CD" w:rsidP="00A51632">
            <w:pPr>
              <w:jc w:val="center"/>
              <w:rPr>
                <w:color w:val="000000"/>
                <w:sz w:val="20"/>
                <w:szCs w:val="20"/>
                <w:lang w:val="en-CA" w:eastAsia="en-CA"/>
              </w:rPr>
            </w:pPr>
          </w:p>
        </w:tc>
      </w:tr>
      <w:tr w:rsidR="009121CD" w:rsidRPr="009A010C" w:rsidTr="00A51632">
        <w:trPr>
          <w:trHeight w:val="58"/>
        </w:trPr>
        <w:tc>
          <w:tcPr>
            <w:tcW w:w="1537" w:type="dxa"/>
            <w:vMerge w:val="restart"/>
            <w:shd w:val="clear" w:color="auto" w:fill="auto"/>
            <w:vAlign w:val="center"/>
            <w:hideMark/>
          </w:tcPr>
          <w:p w:rsidR="009121CD" w:rsidRPr="009A010C" w:rsidRDefault="009121CD" w:rsidP="00A51632">
            <w:pPr>
              <w:jc w:val="left"/>
              <w:rPr>
                <w:bCs/>
                <w:color w:val="000000"/>
                <w:sz w:val="20"/>
                <w:szCs w:val="20"/>
                <w:lang w:val="en-CA" w:eastAsia="en-CA"/>
              </w:rPr>
            </w:pPr>
            <w:r w:rsidRPr="009A010C">
              <w:rPr>
                <w:bCs/>
                <w:color w:val="000000"/>
                <w:sz w:val="20"/>
                <w:szCs w:val="20"/>
                <w:lang w:val="en-CA" w:eastAsia="en-CA"/>
              </w:rPr>
              <w:t>Total</w:t>
            </w:r>
          </w:p>
        </w:tc>
        <w:tc>
          <w:tcPr>
            <w:tcW w:w="1134" w:type="dxa"/>
            <w:shd w:val="clear" w:color="auto" w:fill="auto"/>
            <w:vAlign w:val="center"/>
            <w:hideMark/>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Approved </w:t>
            </w:r>
          </w:p>
        </w:tc>
        <w:tc>
          <w:tcPr>
            <w:tcW w:w="1417" w:type="dxa"/>
            <w:shd w:val="clear" w:color="auto" w:fill="auto"/>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680,000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420,000</w:t>
            </w:r>
          </w:p>
        </w:tc>
        <w:tc>
          <w:tcPr>
            <w:tcW w:w="1418" w:type="dxa"/>
            <w:shd w:val="clear" w:color="auto" w:fill="auto"/>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1,100,000</w:t>
            </w:r>
          </w:p>
        </w:tc>
        <w:tc>
          <w:tcPr>
            <w:tcW w:w="2410" w:type="dxa"/>
            <w:vMerge w:val="restart"/>
            <w:shd w:val="clear" w:color="auto" w:fill="auto"/>
            <w:vAlign w:val="center"/>
          </w:tcPr>
          <w:p w:rsidR="009121CD" w:rsidRPr="009A010C" w:rsidRDefault="009121CD" w:rsidP="00A51632">
            <w:pPr>
              <w:jc w:val="center"/>
              <w:rPr>
                <w:color w:val="000000"/>
                <w:sz w:val="20"/>
                <w:szCs w:val="20"/>
                <w:lang w:val="en-CA" w:eastAsia="en-CA"/>
              </w:rPr>
            </w:pPr>
            <w:r w:rsidRPr="009A010C">
              <w:rPr>
                <w:color w:val="000000"/>
                <w:sz w:val="20"/>
                <w:szCs w:val="20"/>
                <w:lang w:val="en-CA" w:eastAsia="en-CA"/>
              </w:rPr>
              <w:t>85</w:t>
            </w:r>
          </w:p>
        </w:tc>
      </w:tr>
      <w:tr w:rsidR="009121CD" w:rsidRPr="009A010C" w:rsidTr="00A51632">
        <w:trPr>
          <w:trHeight w:val="179"/>
        </w:trPr>
        <w:tc>
          <w:tcPr>
            <w:tcW w:w="1537" w:type="dxa"/>
            <w:vMerge/>
            <w:shd w:val="clear" w:color="auto" w:fill="auto"/>
            <w:vAlign w:val="center"/>
          </w:tcPr>
          <w:p w:rsidR="009121CD" w:rsidRPr="009A010C" w:rsidRDefault="009121CD" w:rsidP="00A51632">
            <w:pPr>
              <w:jc w:val="left"/>
              <w:rPr>
                <w:b/>
                <w:bCs/>
                <w:color w:val="000000"/>
                <w:sz w:val="20"/>
                <w:szCs w:val="20"/>
                <w:lang w:val="en-CA" w:eastAsia="en-CA"/>
              </w:rPr>
            </w:pPr>
          </w:p>
        </w:tc>
        <w:tc>
          <w:tcPr>
            <w:tcW w:w="1134" w:type="dxa"/>
            <w:shd w:val="clear" w:color="auto" w:fill="auto"/>
            <w:vAlign w:val="center"/>
          </w:tcPr>
          <w:p w:rsidR="009121CD" w:rsidRPr="009A010C" w:rsidRDefault="009121CD" w:rsidP="00A51632">
            <w:pPr>
              <w:rPr>
                <w:bCs/>
                <w:color w:val="000000"/>
                <w:sz w:val="20"/>
                <w:szCs w:val="20"/>
                <w:lang w:val="en-CA" w:eastAsia="en-CA"/>
              </w:rPr>
            </w:pPr>
            <w:r w:rsidRPr="009A010C">
              <w:rPr>
                <w:bCs/>
                <w:color w:val="000000"/>
                <w:sz w:val="20"/>
                <w:szCs w:val="20"/>
                <w:lang w:val="en-CA" w:eastAsia="en-CA"/>
              </w:rPr>
              <w:t xml:space="preserve">Disbursed </w:t>
            </w:r>
          </w:p>
        </w:tc>
        <w:tc>
          <w:tcPr>
            <w:tcW w:w="1417" w:type="dxa"/>
            <w:shd w:val="clear" w:color="auto" w:fill="auto"/>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621,840</w:t>
            </w:r>
          </w:p>
        </w:tc>
        <w:tc>
          <w:tcPr>
            <w:tcW w:w="1417" w:type="dxa"/>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315,532</w:t>
            </w:r>
          </w:p>
        </w:tc>
        <w:tc>
          <w:tcPr>
            <w:tcW w:w="1418" w:type="dxa"/>
            <w:shd w:val="clear" w:color="auto" w:fill="auto"/>
            <w:vAlign w:val="center"/>
          </w:tcPr>
          <w:p w:rsidR="009121CD" w:rsidRPr="009A010C" w:rsidRDefault="009121CD" w:rsidP="00A51632">
            <w:pPr>
              <w:jc w:val="right"/>
              <w:rPr>
                <w:color w:val="000000"/>
                <w:sz w:val="20"/>
                <w:szCs w:val="20"/>
                <w:lang w:val="en-CA" w:eastAsia="en-CA"/>
              </w:rPr>
            </w:pPr>
            <w:r w:rsidRPr="009A010C">
              <w:rPr>
                <w:color w:val="000000"/>
                <w:sz w:val="20"/>
                <w:szCs w:val="20"/>
                <w:lang w:val="en-CA" w:eastAsia="en-CA"/>
              </w:rPr>
              <w:t>937,372</w:t>
            </w:r>
          </w:p>
        </w:tc>
        <w:tc>
          <w:tcPr>
            <w:tcW w:w="2410" w:type="dxa"/>
            <w:vMerge/>
            <w:shd w:val="clear" w:color="auto" w:fill="auto"/>
            <w:vAlign w:val="center"/>
          </w:tcPr>
          <w:p w:rsidR="009121CD" w:rsidRPr="009A010C" w:rsidRDefault="009121CD" w:rsidP="00A51632">
            <w:pPr>
              <w:jc w:val="center"/>
              <w:rPr>
                <w:color w:val="000000"/>
                <w:sz w:val="20"/>
                <w:szCs w:val="20"/>
                <w:lang w:val="en-CA" w:eastAsia="en-CA"/>
              </w:rPr>
            </w:pPr>
          </w:p>
        </w:tc>
      </w:tr>
    </w:tbl>
    <w:p w:rsidR="00A75012" w:rsidRDefault="00A75012" w:rsidP="009121CD">
      <w:pPr>
        <w:spacing w:after="240"/>
        <w:outlineLvl w:val="0"/>
        <w:rPr>
          <w:bCs/>
          <w:u w:val="single"/>
          <w:lang w:val="en-CA"/>
        </w:rPr>
      </w:pPr>
    </w:p>
    <w:p w:rsidR="009121CD" w:rsidRPr="009A010C" w:rsidRDefault="009121CD" w:rsidP="009121CD">
      <w:pPr>
        <w:spacing w:after="240"/>
        <w:outlineLvl w:val="0"/>
        <w:rPr>
          <w:bCs/>
          <w:u w:val="single"/>
          <w:lang w:val="en-CA"/>
        </w:rPr>
      </w:pPr>
      <w:r w:rsidRPr="009A010C">
        <w:rPr>
          <w:bCs/>
          <w:u w:val="single"/>
          <w:lang w:val="en-CA"/>
        </w:rPr>
        <w:t>Implementation plan for third and fourth tranches</w:t>
      </w:r>
    </w:p>
    <w:p w:rsidR="009121CD" w:rsidRPr="009A010C" w:rsidRDefault="009121CD" w:rsidP="002464DD">
      <w:pPr>
        <w:pStyle w:val="Heading1"/>
        <w:keepNext/>
        <w:rPr>
          <w:lang w:val="en-CA"/>
        </w:rPr>
      </w:pPr>
      <w:r w:rsidRPr="009A010C">
        <w:rPr>
          <w:lang w:val="en-CA"/>
        </w:rPr>
        <w:t>The following activities will be implemented between October 2018 and December 2019:</w:t>
      </w:r>
    </w:p>
    <w:p w:rsidR="009121CD" w:rsidRPr="009A010C" w:rsidRDefault="009121CD" w:rsidP="002464DD">
      <w:pPr>
        <w:pStyle w:val="Heading2"/>
        <w:keepNext/>
        <w:widowControl/>
        <w:rPr>
          <w:lang w:val="en-CA"/>
        </w:rPr>
      </w:pPr>
      <w:r w:rsidRPr="009A010C">
        <w:rPr>
          <w:lang w:val="en-CA"/>
        </w:rPr>
        <w:t>Training of 30 enforcement officers on new regulations;</w:t>
      </w:r>
    </w:p>
    <w:p w:rsidR="009121CD" w:rsidRPr="009A010C" w:rsidRDefault="009121CD" w:rsidP="009121CD">
      <w:pPr>
        <w:pStyle w:val="Heading2"/>
        <w:rPr>
          <w:lang w:val="en-CA"/>
        </w:rPr>
      </w:pPr>
      <w:r w:rsidRPr="009A010C">
        <w:rPr>
          <w:lang w:val="en-CA"/>
        </w:rPr>
        <w:t>Two train-the-</w:t>
      </w:r>
      <w:proofErr w:type="gramStart"/>
      <w:r w:rsidRPr="009A010C">
        <w:rPr>
          <w:lang w:val="en-CA"/>
        </w:rPr>
        <w:t>trainers</w:t>
      </w:r>
      <w:proofErr w:type="gramEnd"/>
      <w:r w:rsidRPr="009A010C">
        <w:rPr>
          <w:lang w:val="en-CA"/>
        </w:rPr>
        <w:t xml:space="preserve"> workshops for 30 participants and training of 60 RAC servicing technicians on new regulations; </w:t>
      </w:r>
    </w:p>
    <w:p w:rsidR="009121CD" w:rsidRPr="009A010C" w:rsidRDefault="009121CD" w:rsidP="009121CD">
      <w:pPr>
        <w:pStyle w:val="Heading2"/>
        <w:rPr>
          <w:lang w:val="en-CA"/>
        </w:rPr>
      </w:pPr>
      <w:r w:rsidRPr="009A010C">
        <w:rPr>
          <w:lang w:val="en-CA"/>
        </w:rPr>
        <w:t>Training of 20 participants on refrigerant alternative refrigerant in the fisheries sector;</w:t>
      </w:r>
    </w:p>
    <w:p w:rsidR="009121CD" w:rsidRPr="009A010C" w:rsidRDefault="009121CD" w:rsidP="009121CD">
      <w:pPr>
        <w:pStyle w:val="Heading2"/>
        <w:rPr>
          <w:lang w:val="en-CA"/>
        </w:rPr>
      </w:pPr>
      <w:r w:rsidRPr="009A010C">
        <w:rPr>
          <w:lang w:val="en-CA"/>
        </w:rPr>
        <w:t>Workshops on HCFC phase-out and servicing requirements beyond 2020; and</w:t>
      </w:r>
    </w:p>
    <w:p w:rsidR="009121CD" w:rsidRPr="009A010C" w:rsidRDefault="009121CD" w:rsidP="009121CD">
      <w:pPr>
        <w:pStyle w:val="Heading2"/>
        <w:rPr>
          <w:lang w:val="en-CA"/>
        </w:rPr>
      </w:pPr>
      <w:r w:rsidRPr="009A010C">
        <w:rPr>
          <w:lang w:val="en-CA"/>
        </w:rPr>
        <w:lastRenderedPageBreak/>
        <w:t>Awareness raising on the Montreal Protocol and HCFC phase-out activities.</w:t>
      </w:r>
    </w:p>
    <w:p w:rsidR="009121CD" w:rsidRPr="009A010C" w:rsidRDefault="009121CD" w:rsidP="009121CD">
      <w:pPr>
        <w:spacing w:after="240"/>
        <w:outlineLvl w:val="0"/>
        <w:rPr>
          <w:u w:val="single"/>
          <w:lang w:val="en-CA"/>
        </w:rPr>
      </w:pPr>
      <w:r w:rsidRPr="009A010C">
        <w:rPr>
          <w:b/>
          <w:bCs/>
          <w:lang w:val="en-CA"/>
        </w:rPr>
        <w:t>Comments</w:t>
      </w:r>
    </w:p>
    <w:p w:rsidR="009121CD" w:rsidRPr="009A010C" w:rsidRDefault="009121CD" w:rsidP="009121CD">
      <w:pPr>
        <w:pStyle w:val="Heading1"/>
        <w:rPr>
          <w:lang w:val="en-CA"/>
        </w:rPr>
      </w:pPr>
      <w:r w:rsidRPr="009A010C">
        <w:rPr>
          <w:lang w:val="en-CA"/>
        </w:rPr>
        <w:t>The Secretariat sought clarifications on some activities that had been planned for this period but no progress was provided in this report, in particular,</w:t>
      </w:r>
      <w:r w:rsidRPr="009A010C">
        <w:t xml:space="preserve"> the </w:t>
      </w:r>
      <w:r w:rsidRPr="009A010C">
        <w:rPr>
          <w:lang w:val="en-CA"/>
        </w:rPr>
        <w:t xml:space="preserve">in-house training on monitoring/servicing retrofitted equipment in fishing vessels, and on the use of recycled HCFC-22 from the recovery and recycling component of the HPMP. The Secretariat also requested UNEP as lead implementing agency to provide a </w:t>
      </w:r>
      <w:proofErr w:type="spellStart"/>
      <w:r w:rsidRPr="009A010C">
        <w:rPr>
          <w:lang w:val="en-CA"/>
        </w:rPr>
        <w:t>workplan</w:t>
      </w:r>
      <w:proofErr w:type="spellEnd"/>
      <w:r w:rsidRPr="009A010C">
        <w:rPr>
          <w:lang w:val="en-CA"/>
        </w:rPr>
        <w:t xml:space="preserve"> for 2019 to enable a better monitoring of the remaining activities and to ensure their completion.</w:t>
      </w:r>
    </w:p>
    <w:p w:rsidR="009121CD" w:rsidRPr="009A010C" w:rsidRDefault="009121CD" w:rsidP="009121CD">
      <w:pPr>
        <w:pStyle w:val="Heading1"/>
        <w:rPr>
          <w:lang w:val="en-CA"/>
        </w:rPr>
      </w:pPr>
      <w:r w:rsidRPr="009A010C">
        <w:rPr>
          <w:lang w:val="en-CA"/>
        </w:rPr>
        <w:t xml:space="preserve">UNEP clarified that the in-house trainings were delayed and </w:t>
      </w:r>
      <w:proofErr w:type="gramStart"/>
      <w:r w:rsidRPr="009A010C">
        <w:rPr>
          <w:lang w:val="en-CA"/>
        </w:rPr>
        <w:t>awaiting</w:t>
      </w:r>
      <w:proofErr w:type="gramEnd"/>
      <w:r w:rsidRPr="009A010C">
        <w:rPr>
          <w:lang w:val="en-CA"/>
        </w:rPr>
        <w:t xml:space="preserve"> for the finalization of the procurement and import of alternative refrigerants for the retrofit process in the fisheries sector. The plan is to conduct on</w:t>
      </w:r>
      <w:r w:rsidRPr="009A010C">
        <w:rPr>
          <w:lang w:val="en-CA"/>
        </w:rPr>
        <w:noBreakHyphen/>
        <w:t xml:space="preserve">site trainings after November 2018, once the available technology (R-448A) will have been tested under the fisheries demonstration project. With regard to the use of recycled HCFCs, UNEP explained that while the reclamation centre was set up, it was not operational due to administrative reasons. As of now no recycled HCFC-22 has been used. The fisheries sector is the single largest consumer of HCFCs, and the plan for MIFCO to be responsible for the reclamation centre is expected to yield better results. </w:t>
      </w:r>
    </w:p>
    <w:p w:rsidR="009121CD" w:rsidRPr="009A010C" w:rsidRDefault="009121CD" w:rsidP="009121CD">
      <w:pPr>
        <w:pStyle w:val="Heading1"/>
        <w:rPr>
          <w:lang w:val="en-CA"/>
        </w:rPr>
      </w:pPr>
      <w:r w:rsidRPr="009A010C">
        <w:rPr>
          <w:lang w:val="en-CA"/>
        </w:rPr>
        <w:t xml:space="preserve">UNEP also submitted a detailed </w:t>
      </w:r>
      <w:proofErr w:type="spellStart"/>
      <w:r w:rsidRPr="009A010C">
        <w:rPr>
          <w:lang w:val="en-CA"/>
        </w:rPr>
        <w:t>workplan</w:t>
      </w:r>
      <w:proofErr w:type="spellEnd"/>
      <w:r w:rsidRPr="009A010C">
        <w:rPr>
          <w:lang w:val="en-CA"/>
        </w:rPr>
        <w:t xml:space="preserve"> for the remaining activities along with the budget for each, for 2019. Information on the t</w:t>
      </w:r>
      <w:r w:rsidRPr="009A010C">
        <w:rPr>
          <w:lang w:eastAsia="zh-CN"/>
        </w:rPr>
        <w:t>he demonstration project on the fisheries sector will be reported separately to the 83</w:t>
      </w:r>
      <w:r w:rsidRPr="009A010C">
        <w:rPr>
          <w:vertAlign w:val="superscript"/>
          <w:lang w:eastAsia="zh-CN"/>
        </w:rPr>
        <w:t>rd</w:t>
      </w:r>
      <w:r w:rsidRPr="009A010C">
        <w:rPr>
          <w:lang w:val="en-CA"/>
        </w:rPr>
        <w:t> meeting.</w:t>
      </w:r>
    </w:p>
    <w:p w:rsidR="009121CD" w:rsidRPr="009A010C" w:rsidRDefault="009121CD" w:rsidP="009121CD">
      <w:pPr>
        <w:keepNext/>
        <w:autoSpaceDE w:val="0"/>
        <w:autoSpaceDN w:val="0"/>
        <w:adjustRightInd w:val="0"/>
        <w:spacing w:after="240"/>
        <w:jc w:val="left"/>
        <w:rPr>
          <w:b/>
          <w:lang w:val="en-CA"/>
        </w:rPr>
      </w:pPr>
      <w:r w:rsidRPr="009A010C">
        <w:rPr>
          <w:b/>
          <w:lang w:val="en-CA"/>
        </w:rPr>
        <w:t>Recommendation</w:t>
      </w:r>
    </w:p>
    <w:p w:rsidR="009121CD" w:rsidRPr="009A010C" w:rsidRDefault="009121CD" w:rsidP="009121CD">
      <w:pPr>
        <w:pStyle w:val="Heading1"/>
        <w:rPr>
          <w:lang w:val="en-CA"/>
        </w:rPr>
      </w:pPr>
      <w:r w:rsidRPr="009A010C">
        <w:rPr>
          <w:lang w:val="en-CA"/>
        </w:rPr>
        <w:t>The Executive Committee may wish to note the 2018 annual progress report on the implementation of stage I of the HCFC phase</w:t>
      </w:r>
      <w:r w:rsidRPr="009A010C">
        <w:rPr>
          <w:lang w:val="en-CA"/>
        </w:rPr>
        <w:noBreakHyphen/>
        <w:t>out management plan for Maldives, submitted by UNEP.</w:t>
      </w:r>
    </w:p>
    <w:p w:rsidR="008241A7" w:rsidRPr="009A010C" w:rsidRDefault="008241A7" w:rsidP="008241A7">
      <w:pPr>
        <w:keepNext/>
        <w:spacing w:after="240"/>
        <w:jc w:val="left"/>
        <w:rPr>
          <w:color w:val="000000"/>
        </w:rPr>
      </w:pPr>
      <w:r w:rsidRPr="009A010C">
        <w:rPr>
          <w:u w:val="single"/>
          <w:lang w:val="en-CA"/>
        </w:rPr>
        <w:t xml:space="preserve">Stage I of the </w:t>
      </w:r>
      <w:r w:rsidRPr="009A010C">
        <w:rPr>
          <w:u w:val="single"/>
          <w:lang w:val="en-US"/>
        </w:rPr>
        <w:t>HPMP for Mexico</w:t>
      </w:r>
      <w:r w:rsidRPr="009A010C">
        <w:rPr>
          <w:color w:val="000000"/>
          <w:u w:val="single"/>
        </w:rPr>
        <w:t xml:space="preserve"> (annual progress report)</w:t>
      </w:r>
      <w:r w:rsidRPr="009A010C">
        <w:rPr>
          <w:color w:val="000000"/>
        </w:rPr>
        <w:t xml:space="preserve"> (UNIDO/UNDP)</w:t>
      </w:r>
    </w:p>
    <w:p w:rsidR="008241A7" w:rsidRPr="009A010C" w:rsidRDefault="008241A7" w:rsidP="008241A7">
      <w:pPr>
        <w:numPr>
          <w:ilvl w:val="0"/>
          <w:numId w:val="1"/>
        </w:numPr>
        <w:spacing w:after="240"/>
        <w:outlineLvl w:val="0"/>
      </w:pPr>
      <w:r w:rsidRPr="009A010C">
        <w:t>On behalf of the Government of Mexico, UNIDO as the lead implementing agency has submitted the annual progress report on the implementation of the work programme associated with the fifth and final tranche of the HCFC phase-out management plan (HPMP)</w:t>
      </w:r>
      <w:r w:rsidRPr="009A010C">
        <w:rPr>
          <w:vertAlign w:val="superscript"/>
        </w:rPr>
        <w:footnoteReference w:id="47"/>
      </w:r>
      <w:r w:rsidRPr="009A010C">
        <w:t xml:space="preserve"> in line with decision 75/29(a).</w:t>
      </w:r>
      <w:r w:rsidRPr="009A010C">
        <w:rPr>
          <w:vertAlign w:val="superscript"/>
        </w:rPr>
        <w:footnoteReference w:id="48"/>
      </w:r>
    </w:p>
    <w:p w:rsidR="008241A7" w:rsidRPr="009A010C" w:rsidRDefault="008241A7" w:rsidP="002464DD">
      <w:pPr>
        <w:keepNext/>
        <w:spacing w:after="240"/>
        <w:rPr>
          <w:i/>
        </w:rPr>
      </w:pPr>
      <w:r w:rsidRPr="009A010C">
        <w:rPr>
          <w:i/>
        </w:rPr>
        <w:t>HCFC consumption</w:t>
      </w:r>
    </w:p>
    <w:p w:rsidR="008241A7" w:rsidRPr="009A010C" w:rsidRDefault="008241A7" w:rsidP="002464DD">
      <w:pPr>
        <w:keepNext/>
        <w:numPr>
          <w:ilvl w:val="0"/>
          <w:numId w:val="1"/>
        </w:numPr>
        <w:spacing w:after="240"/>
        <w:outlineLvl w:val="0"/>
      </w:pPr>
      <w:r w:rsidRPr="009A010C">
        <w:t xml:space="preserve">The Government of Mexico reported HCFC consumption of 414.22 ODP tonnes in 2017, which is 60 per cent below the 1,033.9 ODP tonnes for the same year in its Agreement with the Executive Committee, and 64 per cent below the HCFC baseline of 1,148.8 ODP tonnes. The Government also reported HCFC sector consumption data under the 2017 country programme implementation report that is consistent with the data reported under Article 7 of the Protocol. </w:t>
      </w:r>
    </w:p>
    <w:p w:rsidR="008241A7" w:rsidRPr="009A010C" w:rsidRDefault="008241A7" w:rsidP="008241A7">
      <w:pPr>
        <w:pStyle w:val="Heading1"/>
      </w:pPr>
      <w:r w:rsidRPr="009A010C">
        <w:t>Phase-out activities in the aerosol and polyurethane (PU) foam sectors contributed to the sustained decrease in HCFC consumption. In 2017, the consumption of HCFC-141b was substantially reduced due in part to the cancellation of quotas for several enterprises using HCFC</w:t>
      </w:r>
      <w:r w:rsidRPr="009A010C">
        <w:noBreakHyphen/>
        <w:t xml:space="preserve">141b for aerosols, foam applications and solvents. </w:t>
      </w:r>
    </w:p>
    <w:p w:rsidR="008241A7" w:rsidRPr="009A010C" w:rsidRDefault="008241A7" w:rsidP="008241A7">
      <w:pPr>
        <w:pStyle w:val="Heading1"/>
      </w:pPr>
      <w:r w:rsidRPr="009A010C">
        <w:lastRenderedPageBreak/>
        <w:t>The consumption of HCFC-22 shows a slight growing trend in the servicing sector to cover the needs of the aging inventory of installed HCFC-based equipment. The market has slowly been shifting toward HCFC-free equipment since new standards were put in place. However, HCFC-22 consumption is expected to remain at similar levels for the next few years or longer if no action is taken to completely phase out HCFC in the servicing sector through stage III of the HPMP.</w:t>
      </w:r>
    </w:p>
    <w:p w:rsidR="008241A7" w:rsidRPr="009A010C" w:rsidRDefault="008241A7" w:rsidP="008241A7">
      <w:pPr>
        <w:spacing w:after="240"/>
        <w:outlineLvl w:val="0"/>
        <w:rPr>
          <w:i/>
        </w:rPr>
      </w:pPr>
      <w:r w:rsidRPr="009A010C">
        <w:rPr>
          <w:i/>
        </w:rPr>
        <w:t>Progress report on the implementation of the fifth tranche of the HPMP</w:t>
      </w:r>
    </w:p>
    <w:p w:rsidR="008241A7" w:rsidRPr="009A010C" w:rsidRDefault="008241A7" w:rsidP="008241A7">
      <w:pPr>
        <w:spacing w:after="240"/>
        <w:rPr>
          <w:i/>
          <w:u w:val="single"/>
        </w:rPr>
      </w:pPr>
      <w:r w:rsidRPr="009A010C">
        <w:rPr>
          <w:i/>
          <w:u w:val="single"/>
        </w:rPr>
        <w:t>Activities in the aerosol manufacturing sector</w:t>
      </w:r>
    </w:p>
    <w:p w:rsidR="008241A7" w:rsidRPr="009A010C" w:rsidRDefault="008241A7" w:rsidP="008241A7">
      <w:pPr>
        <w:numPr>
          <w:ilvl w:val="0"/>
          <w:numId w:val="1"/>
        </w:numPr>
        <w:spacing w:after="240"/>
        <w:outlineLvl w:val="0"/>
        <w:rPr>
          <w:lang w:val="en-CA"/>
        </w:rPr>
      </w:pPr>
      <w:proofErr w:type="spellStart"/>
      <w:r w:rsidRPr="009A010C">
        <w:rPr>
          <w:u w:val="single"/>
          <w:lang w:val="en-CA"/>
        </w:rPr>
        <w:t>Silimex</w:t>
      </w:r>
      <w:proofErr w:type="spellEnd"/>
      <w:r w:rsidRPr="009A010C">
        <w:rPr>
          <w:u w:val="single"/>
          <w:lang w:val="en-CA"/>
        </w:rPr>
        <w:t xml:space="preserve"> (11.0 ODP tonnes of HCFC-141b):</w:t>
      </w:r>
      <w:r w:rsidRPr="009A010C">
        <w:rPr>
          <w:lang w:val="en-CA"/>
        </w:rPr>
        <w:t xml:space="preserve"> Project completed in December 2014.</w:t>
      </w:r>
    </w:p>
    <w:p w:rsidR="008241A7" w:rsidRPr="009A010C" w:rsidRDefault="008241A7" w:rsidP="008241A7">
      <w:pPr>
        <w:spacing w:after="240"/>
        <w:outlineLvl w:val="0"/>
        <w:rPr>
          <w:i/>
          <w:u w:val="single"/>
        </w:rPr>
      </w:pPr>
      <w:r w:rsidRPr="009A010C">
        <w:rPr>
          <w:i/>
          <w:u w:val="single"/>
        </w:rPr>
        <w:t>Activities in the PU foam manufacturing sector</w:t>
      </w:r>
    </w:p>
    <w:p w:rsidR="008241A7" w:rsidRPr="009A010C" w:rsidRDefault="008241A7" w:rsidP="008241A7">
      <w:pPr>
        <w:numPr>
          <w:ilvl w:val="0"/>
          <w:numId w:val="1"/>
        </w:numPr>
        <w:spacing w:after="240"/>
        <w:outlineLvl w:val="0"/>
        <w:rPr>
          <w:lang w:val="en-CA"/>
        </w:rPr>
      </w:pPr>
      <w:r w:rsidRPr="009A010C">
        <w:rPr>
          <w:u w:val="single"/>
          <w:lang w:val="en-CA"/>
        </w:rPr>
        <w:t>Domestic refrigeration (</w:t>
      </w:r>
      <w:proofErr w:type="spellStart"/>
      <w:r w:rsidRPr="009A010C">
        <w:rPr>
          <w:u w:val="single"/>
          <w:lang w:val="en-CA"/>
        </w:rPr>
        <w:t>Mabe</w:t>
      </w:r>
      <w:proofErr w:type="spellEnd"/>
      <w:r w:rsidRPr="009A010C">
        <w:rPr>
          <w:u w:val="single"/>
          <w:lang w:val="en-CA"/>
        </w:rPr>
        <w:t>,</w:t>
      </w:r>
      <w:r w:rsidRPr="009A010C">
        <w:rPr>
          <w:u w:val="single"/>
        </w:rPr>
        <w:t> 55.9 ODP tonnes of HCFCs</w:t>
      </w:r>
      <w:r w:rsidRPr="009A010C">
        <w:rPr>
          <w:u w:val="single"/>
          <w:lang w:val="en-CA"/>
        </w:rPr>
        <w:t>)</w:t>
      </w:r>
      <w:r w:rsidRPr="009A010C">
        <w:rPr>
          <w:lang w:val="en-CA"/>
        </w:rPr>
        <w:t xml:space="preserve">: Conversion to </w:t>
      </w:r>
      <w:r w:rsidRPr="009A010C">
        <w:t>HC completed.</w:t>
      </w:r>
    </w:p>
    <w:p w:rsidR="008241A7" w:rsidRPr="00F4406E" w:rsidRDefault="008241A7" w:rsidP="008241A7">
      <w:pPr>
        <w:numPr>
          <w:ilvl w:val="0"/>
          <w:numId w:val="1"/>
        </w:numPr>
        <w:spacing w:after="240"/>
        <w:outlineLvl w:val="0"/>
        <w:rPr>
          <w:lang w:val="en-CA"/>
        </w:rPr>
      </w:pPr>
      <w:r w:rsidRPr="009A010C">
        <w:rPr>
          <w:u w:val="single"/>
          <w:lang w:val="en-CA"/>
        </w:rPr>
        <w:t>Systems houses project</w:t>
      </w:r>
      <w:r w:rsidRPr="009A010C">
        <w:rPr>
          <w:lang w:val="en-CA"/>
        </w:rPr>
        <w:t xml:space="preserve">: </w:t>
      </w:r>
      <w:r w:rsidRPr="009A010C">
        <w:rPr>
          <w:bCs/>
          <w:color w:val="000000"/>
        </w:rPr>
        <w:t xml:space="preserve">The technical conversion of all systems houses has been completed and their formulations for all foam applications have been developed and are commercially available. The downstream users included in stage I have also completed the conversions to low-GWP alternatives. </w:t>
      </w:r>
      <w:r w:rsidRPr="009A010C">
        <w:rPr>
          <w:lang w:val="en-CA"/>
        </w:rPr>
        <w:t xml:space="preserve">A summary of progress achieved on the systems houses project is presented in </w:t>
      </w:r>
      <w:r w:rsidRPr="00F4406E">
        <w:rPr>
          <w:lang w:val="en-CA"/>
        </w:rPr>
        <w:t xml:space="preserve">Table </w:t>
      </w:r>
      <w:r w:rsidR="002464DD" w:rsidRPr="00F4406E">
        <w:rPr>
          <w:lang w:val="en-CA"/>
        </w:rPr>
        <w:t>21</w:t>
      </w:r>
      <w:r w:rsidRPr="00F4406E">
        <w:rPr>
          <w:lang w:val="en-CA"/>
        </w:rPr>
        <w:t>.</w:t>
      </w:r>
    </w:p>
    <w:p w:rsidR="008241A7" w:rsidRPr="00F4406E" w:rsidRDefault="008241A7" w:rsidP="008241A7">
      <w:pPr>
        <w:outlineLvl w:val="0"/>
        <w:rPr>
          <w:b/>
          <w:lang w:val="en-CA"/>
        </w:rPr>
      </w:pPr>
      <w:r w:rsidRPr="00F4406E">
        <w:rPr>
          <w:b/>
          <w:lang w:val="en-CA"/>
        </w:rPr>
        <w:t xml:space="preserve">Table </w:t>
      </w:r>
      <w:r w:rsidR="002464DD" w:rsidRPr="00F4406E">
        <w:rPr>
          <w:b/>
          <w:lang w:val="en-CA"/>
        </w:rPr>
        <w:t>21</w:t>
      </w:r>
      <w:r w:rsidRPr="00F4406E">
        <w:rPr>
          <w:b/>
          <w:lang w:val="en-CA"/>
        </w:rPr>
        <w:t>. Status of systems houses project as of September 2018.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0"/>
        <w:gridCol w:w="4769"/>
        <w:gridCol w:w="1300"/>
        <w:gridCol w:w="578"/>
        <w:gridCol w:w="1733"/>
      </w:tblGrid>
      <w:tr w:rsidR="008241A7" w:rsidRPr="009A010C" w:rsidTr="0010320D">
        <w:trPr>
          <w:tblHeader/>
          <w:jc w:val="center"/>
        </w:trPr>
        <w:tc>
          <w:tcPr>
            <w:tcW w:w="604" w:type="pct"/>
            <w:vMerge w:val="restart"/>
            <w:shd w:val="clear" w:color="auto" w:fill="auto"/>
            <w:tcMar>
              <w:top w:w="0" w:type="dxa"/>
              <w:left w:w="108" w:type="dxa"/>
              <w:bottom w:w="0" w:type="dxa"/>
              <w:right w:w="108" w:type="dxa"/>
            </w:tcMar>
            <w:vAlign w:val="center"/>
            <w:hideMark/>
          </w:tcPr>
          <w:p w:rsidR="008241A7" w:rsidRPr="00F4406E" w:rsidRDefault="008241A7" w:rsidP="0010320D">
            <w:pPr>
              <w:overflowPunct w:val="0"/>
              <w:autoSpaceDE w:val="0"/>
              <w:autoSpaceDN w:val="0"/>
              <w:jc w:val="center"/>
              <w:textAlignment w:val="baseline"/>
              <w:rPr>
                <w:b/>
                <w:bCs/>
                <w:sz w:val="18"/>
                <w:szCs w:val="18"/>
              </w:rPr>
            </w:pPr>
            <w:r w:rsidRPr="00F4406E">
              <w:rPr>
                <w:b/>
                <w:bCs/>
                <w:sz w:val="18"/>
                <w:szCs w:val="18"/>
              </w:rPr>
              <w:t>Systems house (SH)</w:t>
            </w:r>
          </w:p>
        </w:tc>
        <w:tc>
          <w:tcPr>
            <w:tcW w:w="2502" w:type="pct"/>
            <w:vMerge w:val="restart"/>
            <w:shd w:val="clear" w:color="auto" w:fill="auto"/>
            <w:tcMar>
              <w:top w:w="0" w:type="dxa"/>
              <w:left w:w="108" w:type="dxa"/>
              <w:bottom w:w="0" w:type="dxa"/>
              <w:right w:w="108" w:type="dxa"/>
            </w:tcMar>
            <w:vAlign w:val="center"/>
            <w:hideMark/>
          </w:tcPr>
          <w:p w:rsidR="008241A7" w:rsidRPr="00F4406E" w:rsidRDefault="008241A7" w:rsidP="0010320D">
            <w:pPr>
              <w:overflowPunct w:val="0"/>
              <w:autoSpaceDE w:val="0"/>
              <w:autoSpaceDN w:val="0"/>
              <w:jc w:val="center"/>
              <w:textAlignment w:val="baseline"/>
              <w:rPr>
                <w:b/>
                <w:bCs/>
                <w:sz w:val="18"/>
                <w:szCs w:val="18"/>
              </w:rPr>
            </w:pPr>
            <w:r w:rsidRPr="00F4406E">
              <w:rPr>
                <w:b/>
                <w:bCs/>
                <w:sz w:val="18"/>
                <w:szCs w:val="18"/>
              </w:rPr>
              <w:t>Technologies developed</w:t>
            </w:r>
          </w:p>
        </w:tc>
        <w:tc>
          <w:tcPr>
            <w:tcW w:w="682" w:type="pct"/>
            <w:vMerge w:val="restart"/>
            <w:shd w:val="clear" w:color="auto" w:fill="auto"/>
            <w:tcMar>
              <w:top w:w="0" w:type="dxa"/>
              <w:left w:w="108" w:type="dxa"/>
              <w:bottom w:w="0" w:type="dxa"/>
              <w:right w:w="108" w:type="dxa"/>
            </w:tcMar>
            <w:vAlign w:val="center"/>
            <w:hideMark/>
          </w:tcPr>
          <w:p w:rsidR="008241A7" w:rsidRPr="00F4406E" w:rsidRDefault="008241A7" w:rsidP="0010320D">
            <w:pPr>
              <w:overflowPunct w:val="0"/>
              <w:autoSpaceDE w:val="0"/>
              <w:autoSpaceDN w:val="0"/>
              <w:jc w:val="center"/>
              <w:textAlignment w:val="baseline"/>
              <w:rPr>
                <w:b/>
                <w:bCs/>
                <w:sz w:val="18"/>
                <w:szCs w:val="18"/>
              </w:rPr>
            </w:pPr>
            <w:r w:rsidRPr="00F4406E">
              <w:rPr>
                <w:b/>
                <w:bCs/>
                <w:sz w:val="18"/>
                <w:szCs w:val="18"/>
              </w:rPr>
              <w:t>Status</w:t>
            </w:r>
          </w:p>
        </w:tc>
        <w:tc>
          <w:tcPr>
            <w:tcW w:w="1212" w:type="pct"/>
            <w:gridSpan w:val="2"/>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center"/>
              <w:textAlignment w:val="baseline"/>
              <w:rPr>
                <w:b/>
                <w:bCs/>
                <w:sz w:val="18"/>
                <w:szCs w:val="18"/>
              </w:rPr>
            </w:pPr>
            <w:r w:rsidRPr="00F4406E">
              <w:rPr>
                <w:b/>
                <w:bCs/>
                <w:sz w:val="18"/>
                <w:szCs w:val="18"/>
              </w:rPr>
              <w:t>Downstream foam users</w:t>
            </w:r>
          </w:p>
        </w:tc>
      </w:tr>
      <w:tr w:rsidR="008241A7" w:rsidRPr="009A010C" w:rsidTr="0010320D">
        <w:trPr>
          <w:trHeight w:val="143"/>
          <w:tblHeader/>
          <w:jc w:val="center"/>
        </w:trPr>
        <w:tc>
          <w:tcPr>
            <w:tcW w:w="604" w:type="pct"/>
            <w:vMerge/>
            <w:shd w:val="clear" w:color="auto" w:fill="auto"/>
            <w:vAlign w:val="center"/>
            <w:hideMark/>
          </w:tcPr>
          <w:p w:rsidR="008241A7" w:rsidRPr="009A010C" w:rsidRDefault="008241A7" w:rsidP="0010320D">
            <w:pPr>
              <w:jc w:val="center"/>
              <w:rPr>
                <w:b/>
                <w:bCs/>
                <w:sz w:val="18"/>
                <w:szCs w:val="18"/>
              </w:rPr>
            </w:pPr>
          </w:p>
        </w:tc>
        <w:tc>
          <w:tcPr>
            <w:tcW w:w="2502" w:type="pct"/>
            <w:vMerge/>
            <w:shd w:val="clear" w:color="auto" w:fill="auto"/>
            <w:vAlign w:val="center"/>
            <w:hideMark/>
          </w:tcPr>
          <w:p w:rsidR="008241A7" w:rsidRPr="009A010C" w:rsidRDefault="008241A7" w:rsidP="0010320D">
            <w:pPr>
              <w:jc w:val="center"/>
              <w:rPr>
                <w:b/>
                <w:bCs/>
                <w:sz w:val="18"/>
                <w:szCs w:val="18"/>
              </w:rPr>
            </w:pPr>
          </w:p>
        </w:tc>
        <w:tc>
          <w:tcPr>
            <w:tcW w:w="682" w:type="pct"/>
            <w:vMerge/>
            <w:shd w:val="clear" w:color="auto" w:fill="auto"/>
            <w:vAlign w:val="center"/>
            <w:hideMark/>
          </w:tcPr>
          <w:p w:rsidR="008241A7" w:rsidRPr="009A010C" w:rsidRDefault="008241A7" w:rsidP="0010320D">
            <w:pPr>
              <w:jc w:val="center"/>
              <w:rPr>
                <w:b/>
                <w:bCs/>
                <w:sz w:val="18"/>
                <w:szCs w:val="18"/>
              </w:rPr>
            </w:pPr>
          </w:p>
        </w:tc>
        <w:tc>
          <w:tcPr>
            <w:tcW w:w="303"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center"/>
              <w:textAlignment w:val="baseline"/>
              <w:rPr>
                <w:b/>
                <w:bCs/>
                <w:sz w:val="18"/>
                <w:szCs w:val="18"/>
              </w:rPr>
            </w:pPr>
            <w:proofErr w:type="spellStart"/>
            <w:r w:rsidRPr="009A010C">
              <w:rPr>
                <w:b/>
                <w:bCs/>
                <w:sz w:val="18"/>
                <w:szCs w:val="18"/>
              </w:rPr>
              <w:t>Qty</w:t>
            </w:r>
            <w:proofErr w:type="spellEnd"/>
          </w:p>
        </w:tc>
        <w:tc>
          <w:tcPr>
            <w:tcW w:w="909"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center"/>
              <w:textAlignment w:val="baseline"/>
              <w:rPr>
                <w:b/>
                <w:bCs/>
                <w:sz w:val="18"/>
                <w:szCs w:val="18"/>
              </w:rPr>
            </w:pPr>
            <w:r w:rsidRPr="009A010C">
              <w:rPr>
                <w:b/>
                <w:bCs/>
                <w:sz w:val="18"/>
                <w:szCs w:val="18"/>
              </w:rPr>
              <w:t>Status</w:t>
            </w:r>
          </w:p>
        </w:tc>
      </w:tr>
      <w:tr w:rsidR="008241A7" w:rsidRPr="009A010C" w:rsidTr="0010320D">
        <w:trPr>
          <w:jc w:val="center"/>
        </w:trPr>
        <w:tc>
          <w:tcPr>
            <w:tcW w:w="604"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lang w:val="en-CA"/>
              </w:rPr>
            </w:pPr>
            <w:proofErr w:type="spellStart"/>
            <w:r w:rsidRPr="009A010C">
              <w:rPr>
                <w:sz w:val="18"/>
                <w:szCs w:val="18"/>
              </w:rPr>
              <w:t>Acsa</w:t>
            </w:r>
            <w:proofErr w:type="spellEnd"/>
            <w:r w:rsidRPr="009A010C">
              <w:rPr>
                <w:sz w:val="18"/>
                <w:szCs w:val="18"/>
              </w:rPr>
              <w:t>/</w:t>
            </w:r>
            <w:proofErr w:type="spellStart"/>
            <w:r w:rsidRPr="009A010C">
              <w:rPr>
                <w:sz w:val="18"/>
                <w:szCs w:val="18"/>
              </w:rPr>
              <w:t>Pumex</w:t>
            </w:r>
            <w:proofErr w:type="spellEnd"/>
          </w:p>
        </w:tc>
        <w:tc>
          <w:tcPr>
            <w:tcW w:w="2502"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 xml:space="preserve">Pre-blended HC; methyl </w:t>
            </w:r>
            <w:proofErr w:type="spellStart"/>
            <w:r w:rsidRPr="009A010C">
              <w:rPr>
                <w:sz w:val="18"/>
                <w:szCs w:val="18"/>
              </w:rPr>
              <w:t>formate</w:t>
            </w:r>
            <w:proofErr w:type="spellEnd"/>
            <w:r w:rsidRPr="009A010C">
              <w:rPr>
                <w:sz w:val="18"/>
                <w:szCs w:val="18"/>
              </w:rPr>
              <w:t xml:space="preserve"> (MF); </w:t>
            </w:r>
            <w:proofErr w:type="spellStart"/>
            <w:r w:rsidRPr="009A010C">
              <w:rPr>
                <w:sz w:val="18"/>
                <w:szCs w:val="18"/>
              </w:rPr>
              <w:t>methylal</w:t>
            </w:r>
            <w:proofErr w:type="spellEnd"/>
            <w:r w:rsidRPr="009A010C">
              <w:rPr>
                <w:sz w:val="18"/>
                <w:szCs w:val="18"/>
              </w:rPr>
              <w:t>, water, HFO</w:t>
            </w:r>
          </w:p>
        </w:tc>
        <w:tc>
          <w:tcPr>
            <w:tcW w:w="682" w:type="pct"/>
            <w:vMerge w:val="restar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Conversion completed;</w:t>
            </w:r>
          </w:p>
          <w:p w:rsidR="008241A7" w:rsidRPr="009A010C" w:rsidRDefault="008241A7" w:rsidP="0010320D">
            <w:pPr>
              <w:overflowPunct w:val="0"/>
              <w:autoSpaceDE w:val="0"/>
              <w:autoSpaceDN w:val="0"/>
              <w:jc w:val="left"/>
              <w:textAlignment w:val="baseline"/>
              <w:rPr>
                <w:sz w:val="18"/>
                <w:szCs w:val="18"/>
              </w:rPr>
            </w:pPr>
            <w:r w:rsidRPr="009A010C">
              <w:rPr>
                <w:sz w:val="18"/>
                <w:szCs w:val="18"/>
              </w:rPr>
              <w:t>formulations developed and commercially available</w:t>
            </w:r>
          </w:p>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37</w:t>
            </w:r>
          </w:p>
        </w:tc>
        <w:tc>
          <w:tcPr>
            <w:tcW w:w="909" w:type="pct"/>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Project completed</w:t>
            </w:r>
          </w:p>
        </w:tc>
      </w:tr>
      <w:tr w:rsidR="008241A7" w:rsidRPr="009A010C" w:rsidTr="0010320D">
        <w:trPr>
          <w:jc w:val="center"/>
        </w:trPr>
        <w:tc>
          <w:tcPr>
            <w:tcW w:w="604"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roofErr w:type="spellStart"/>
            <w:r w:rsidRPr="009A010C">
              <w:rPr>
                <w:sz w:val="18"/>
                <w:szCs w:val="18"/>
              </w:rPr>
              <w:t>Aepsa</w:t>
            </w:r>
            <w:proofErr w:type="spellEnd"/>
          </w:p>
        </w:tc>
        <w:tc>
          <w:tcPr>
            <w:tcW w:w="2502"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MF</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5</w:t>
            </w:r>
          </w:p>
        </w:tc>
        <w:tc>
          <w:tcPr>
            <w:tcW w:w="909" w:type="pct"/>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Project completed</w:t>
            </w:r>
          </w:p>
        </w:tc>
      </w:tr>
      <w:tr w:rsidR="008241A7" w:rsidRPr="009A010C" w:rsidTr="0010320D">
        <w:trPr>
          <w:jc w:val="center"/>
        </w:trPr>
        <w:tc>
          <w:tcPr>
            <w:tcW w:w="604"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roofErr w:type="spellStart"/>
            <w:r w:rsidRPr="009A010C">
              <w:rPr>
                <w:sz w:val="18"/>
                <w:szCs w:val="18"/>
              </w:rPr>
              <w:t>Comsisa</w:t>
            </w:r>
            <w:proofErr w:type="spellEnd"/>
          </w:p>
        </w:tc>
        <w:tc>
          <w:tcPr>
            <w:tcW w:w="2502"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MF</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19</w:t>
            </w:r>
          </w:p>
        </w:tc>
        <w:tc>
          <w:tcPr>
            <w:tcW w:w="909" w:type="pct"/>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 xml:space="preserve">Project completed </w:t>
            </w:r>
          </w:p>
        </w:tc>
      </w:tr>
      <w:tr w:rsidR="008241A7" w:rsidRPr="009A010C" w:rsidTr="0010320D">
        <w:trPr>
          <w:jc w:val="center"/>
        </w:trPr>
        <w:tc>
          <w:tcPr>
            <w:tcW w:w="604"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Eiffel</w:t>
            </w:r>
          </w:p>
        </w:tc>
        <w:tc>
          <w:tcPr>
            <w:tcW w:w="2502"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 xml:space="preserve">MF; water; </w:t>
            </w:r>
            <w:proofErr w:type="spellStart"/>
            <w:r w:rsidRPr="009A010C">
              <w:rPr>
                <w:sz w:val="18"/>
                <w:szCs w:val="18"/>
              </w:rPr>
              <w:t>methylal</w:t>
            </w:r>
            <w:proofErr w:type="spellEnd"/>
            <w:r w:rsidRPr="009A010C">
              <w:rPr>
                <w:sz w:val="18"/>
                <w:szCs w:val="18"/>
              </w:rPr>
              <w:t xml:space="preserve">; </w:t>
            </w:r>
            <w:proofErr w:type="spellStart"/>
            <w:r w:rsidRPr="009A010C">
              <w:rPr>
                <w:sz w:val="18"/>
                <w:szCs w:val="18"/>
              </w:rPr>
              <w:t>methylal</w:t>
            </w:r>
            <w:proofErr w:type="spellEnd"/>
            <w:r w:rsidRPr="009A010C">
              <w:rPr>
                <w:sz w:val="18"/>
                <w:szCs w:val="18"/>
              </w:rPr>
              <w:t xml:space="preserve">/HFC; </w:t>
            </w:r>
          </w:p>
          <w:p w:rsidR="008241A7" w:rsidRPr="009A010C" w:rsidRDefault="008241A7" w:rsidP="0010320D">
            <w:pPr>
              <w:overflowPunct w:val="0"/>
              <w:autoSpaceDE w:val="0"/>
              <w:autoSpaceDN w:val="0"/>
              <w:jc w:val="left"/>
              <w:textAlignment w:val="baseline"/>
              <w:rPr>
                <w:sz w:val="18"/>
                <w:szCs w:val="18"/>
              </w:rPr>
            </w:pPr>
            <w:r w:rsidRPr="009A010C">
              <w:rPr>
                <w:sz w:val="18"/>
                <w:szCs w:val="18"/>
              </w:rPr>
              <w:t>HFO (self</w:t>
            </w:r>
            <w:r w:rsidRPr="009A010C">
              <w:rPr>
                <w:sz w:val="18"/>
                <w:szCs w:val="18"/>
              </w:rPr>
              <w:noBreakHyphen/>
              <w:t xml:space="preserve">funded); </w:t>
            </w:r>
            <w:proofErr w:type="spellStart"/>
            <w:r w:rsidRPr="009A010C">
              <w:rPr>
                <w:sz w:val="18"/>
                <w:szCs w:val="18"/>
              </w:rPr>
              <w:t>cyclopentane</w:t>
            </w:r>
            <w:proofErr w:type="spellEnd"/>
            <w:r w:rsidRPr="009A010C">
              <w:rPr>
                <w:sz w:val="18"/>
                <w:szCs w:val="18"/>
              </w:rPr>
              <w:t xml:space="preserve"> (self</w:t>
            </w:r>
            <w:r w:rsidRPr="009A010C">
              <w:rPr>
                <w:sz w:val="18"/>
                <w:szCs w:val="18"/>
              </w:rPr>
              <w:noBreakHyphen/>
              <w:t>funded)</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91</w:t>
            </w:r>
          </w:p>
        </w:tc>
        <w:tc>
          <w:tcPr>
            <w:tcW w:w="909" w:type="pct"/>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 xml:space="preserve">Project completed </w:t>
            </w:r>
          </w:p>
        </w:tc>
      </w:tr>
      <w:tr w:rsidR="008241A7" w:rsidRPr="009A010C" w:rsidTr="0010320D">
        <w:trPr>
          <w:jc w:val="center"/>
        </w:trPr>
        <w:tc>
          <w:tcPr>
            <w:tcW w:w="604" w:type="pct"/>
            <w:shd w:val="clear" w:color="auto" w:fill="auto"/>
            <w:tcMar>
              <w:top w:w="0" w:type="dxa"/>
              <w:left w:w="108" w:type="dxa"/>
              <w:bottom w:w="0" w:type="dxa"/>
              <w:right w:w="108" w:type="dxa"/>
            </w:tcMar>
            <w:vAlign w:val="center"/>
            <w:hideMark/>
          </w:tcPr>
          <w:p w:rsidR="008241A7" w:rsidRPr="009A010C" w:rsidRDefault="008241A7" w:rsidP="0010320D">
            <w:pPr>
              <w:keepNext/>
              <w:overflowPunct w:val="0"/>
              <w:autoSpaceDE w:val="0"/>
              <w:autoSpaceDN w:val="0"/>
              <w:jc w:val="left"/>
              <w:textAlignment w:val="baseline"/>
              <w:rPr>
                <w:sz w:val="18"/>
                <w:szCs w:val="18"/>
              </w:rPr>
            </w:pPr>
            <w:r w:rsidRPr="009A010C">
              <w:rPr>
                <w:sz w:val="18"/>
                <w:szCs w:val="18"/>
              </w:rPr>
              <w:t>Maxima</w:t>
            </w:r>
          </w:p>
        </w:tc>
        <w:tc>
          <w:tcPr>
            <w:tcW w:w="2502" w:type="pct"/>
            <w:shd w:val="clear" w:color="auto" w:fill="auto"/>
            <w:tcMar>
              <w:top w:w="0" w:type="dxa"/>
              <w:left w:w="108" w:type="dxa"/>
              <w:bottom w:w="0" w:type="dxa"/>
              <w:right w:w="108" w:type="dxa"/>
            </w:tcMar>
            <w:hideMark/>
          </w:tcPr>
          <w:p w:rsidR="008241A7" w:rsidRPr="009A010C" w:rsidRDefault="008241A7" w:rsidP="0010320D">
            <w:pPr>
              <w:keepNext/>
              <w:overflowPunct w:val="0"/>
              <w:autoSpaceDE w:val="0"/>
              <w:autoSpaceDN w:val="0"/>
              <w:jc w:val="left"/>
              <w:textAlignment w:val="baseline"/>
              <w:rPr>
                <w:sz w:val="18"/>
                <w:szCs w:val="18"/>
              </w:rPr>
            </w:pPr>
            <w:r w:rsidRPr="009A010C">
              <w:rPr>
                <w:sz w:val="18"/>
                <w:szCs w:val="18"/>
              </w:rPr>
              <w:t>MF; water; HFC/HFO</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keepNext/>
              <w:overflowPunct w:val="0"/>
              <w:autoSpaceDE w:val="0"/>
              <w:autoSpaceDN w:val="0"/>
              <w:jc w:val="center"/>
              <w:textAlignment w:val="baseline"/>
              <w:rPr>
                <w:sz w:val="18"/>
                <w:szCs w:val="18"/>
              </w:rPr>
            </w:pPr>
            <w:r w:rsidRPr="009A010C">
              <w:rPr>
                <w:sz w:val="18"/>
                <w:szCs w:val="18"/>
              </w:rPr>
              <w:t>54</w:t>
            </w:r>
          </w:p>
        </w:tc>
        <w:tc>
          <w:tcPr>
            <w:tcW w:w="909" w:type="pct"/>
            <w:shd w:val="clear" w:color="auto" w:fill="auto"/>
            <w:tcMar>
              <w:top w:w="0" w:type="dxa"/>
              <w:left w:w="108" w:type="dxa"/>
              <w:bottom w:w="0" w:type="dxa"/>
              <w:right w:w="108" w:type="dxa"/>
            </w:tcMar>
            <w:vAlign w:val="center"/>
            <w:hideMark/>
          </w:tcPr>
          <w:p w:rsidR="008241A7" w:rsidRPr="009A010C" w:rsidRDefault="008241A7" w:rsidP="008241A7">
            <w:pPr>
              <w:keepNext/>
              <w:overflowPunct w:val="0"/>
              <w:autoSpaceDE w:val="0"/>
              <w:autoSpaceDN w:val="0"/>
              <w:ind w:left="172"/>
              <w:jc w:val="left"/>
              <w:textAlignment w:val="baseline"/>
              <w:rPr>
                <w:sz w:val="18"/>
                <w:szCs w:val="18"/>
              </w:rPr>
            </w:pPr>
            <w:r w:rsidRPr="009A010C">
              <w:rPr>
                <w:sz w:val="18"/>
                <w:szCs w:val="18"/>
              </w:rPr>
              <w:t>Project completed</w:t>
            </w:r>
          </w:p>
        </w:tc>
      </w:tr>
      <w:tr w:rsidR="008241A7" w:rsidRPr="009A010C" w:rsidTr="0010320D">
        <w:trPr>
          <w:jc w:val="center"/>
        </w:trPr>
        <w:tc>
          <w:tcPr>
            <w:tcW w:w="604"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roofErr w:type="spellStart"/>
            <w:r w:rsidRPr="009A010C">
              <w:rPr>
                <w:sz w:val="18"/>
                <w:szCs w:val="18"/>
              </w:rPr>
              <w:t>Polioles</w:t>
            </w:r>
            <w:proofErr w:type="spellEnd"/>
          </w:p>
        </w:tc>
        <w:tc>
          <w:tcPr>
            <w:tcW w:w="2502"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MF; water; HFO (self-funded)</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4</w:t>
            </w:r>
          </w:p>
        </w:tc>
        <w:tc>
          <w:tcPr>
            <w:tcW w:w="909" w:type="pct"/>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Project completed</w:t>
            </w:r>
          </w:p>
        </w:tc>
      </w:tr>
      <w:tr w:rsidR="008241A7" w:rsidRPr="009A010C" w:rsidTr="0010320D">
        <w:trPr>
          <w:jc w:val="center"/>
        </w:trPr>
        <w:tc>
          <w:tcPr>
            <w:tcW w:w="604" w:type="pct"/>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Urethane</w:t>
            </w:r>
          </w:p>
        </w:tc>
        <w:tc>
          <w:tcPr>
            <w:tcW w:w="2502"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MF</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34</w:t>
            </w:r>
          </w:p>
        </w:tc>
        <w:tc>
          <w:tcPr>
            <w:tcW w:w="909" w:type="pct"/>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Project completed</w:t>
            </w:r>
          </w:p>
        </w:tc>
      </w:tr>
      <w:tr w:rsidR="008241A7" w:rsidRPr="009A010C" w:rsidTr="0010320D">
        <w:trPr>
          <w:jc w:val="center"/>
        </w:trPr>
        <w:tc>
          <w:tcPr>
            <w:tcW w:w="604" w:type="pct"/>
            <w:shd w:val="clear" w:color="auto" w:fill="auto"/>
            <w:tcMar>
              <w:top w:w="0" w:type="dxa"/>
              <w:left w:w="108" w:type="dxa"/>
              <w:bottom w:w="0" w:type="dxa"/>
              <w:right w:w="108" w:type="dxa"/>
            </w:tcMar>
            <w:hideMark/>
          </w:tcPr>
          <w:p w:rsidR="008241A7" w:rsidRPr="009A010C" w:rsidRDefault="008241A7" w:rsidP="0010320D">
            <w:pPr>
              <w:keepNext/>
              <w:overflowPunct w:val="0"/>
              <w:autoSpaceDE w:val="0"/>
              <w:autoSpaceDN w:val="0"/>
              <w:textAlignment w:val="baseline"/>
              <w:rPr>
                <w:sz w:val="18"/>
                <w:szCs w:val="18"/>
              </w:rPr>
            </w:pPr>
            <w:proofErr w:type="spellStart"/>
            <w:r w:rsidRPr="009A010C">
              <w:rPr>
                <w:sz w:val="18"/>
                <w:szCs w:val="18"/>
              </w:rPr>
              <w:t>Valcom</w:t>
            </w:r>
            <w:proofErr w:type="spellEnd"/>
          </w:p>
        </w:tc>
        <w:tc>
          <w:tcPr>
            <w:tcW w:w="2502" w:type="pct"/>
            <w:shd w:val="clear" w:color="auto" w:fill="auto"/>
            <w:tcMar>
              <w:top w:w="0" w:type="dxa"/>
              <w:left w:w="108" w:type="dxa"/>
              <w:bottom w:w="0" w:type="dxa"/>
              <w:right w:w="108" w:type="dxa"/>
            </w:tcMar>
            <w:hideMark/>
          </w:tcPr>
          <w:p w:rsidR="008241A7" w:rsidRPr="009A010C" w:rsidRDefault="008241A7" w:rsidP="0010320D">
            <w:pPr>
              <w:keepNext/>
              <w:overflowPunct w:val="0"/>
              <w:autoSpaceDE w:val="0"/>
              <w:autoSpaceDN w:val="0"/>
              <w:jc w:val="left"/>
              <w:textAlignment w:val="baseline"/>
              <w:rPr>
                <w:sz w:val="18"/>
                <w:szCs w:val="18"/>
              </w:rPr>
            </w:pPr>
            <w:r w:rsidRPr="009A010C">
              <w:rPr>
                <w:sz w:val="18"/>
                <w:szCs w:val="18"/>
              </w:rPr>
              <w:t xml:space="preserve">MF; </w:t>
            </w:r>
            <w:proofErr w:type="spellStart"/>
            <w:r w:rsidRPr="009A010C">
              <w:rPr>
                <w:sz w:val="18"/>
                <w:szCs w:val="18"/>
              </w:rPr>
              <w:t>methylal</w:t>
            </w:r>
            <w:proofErr w:type="spellEnd"/>
            <w:r w:rsidRPr="009A010C">
              <w:rPr>
                <w:sz w:val="18"/>
                <w:szCs w:val="18"/>
              </w:rPr>
              <w:t xml:space="preserve"> with HFC (HFO future)</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keepNext/>
              <w:overflowPunct w:val="0"/>
              <w:autoSpaceDE w:val="0"/>
              <w:autoSpaceDN w:val="0"/>
              <w:jc w:val="center"/>
              <w:textAlignment w:val="baseline"/>
              <w:rPr>
                <w:sz w:val="18"/>
                <w:szCs w:val="18"/>
              </w:rPr>
            </w:pPr>
            <w:r w:rsidRPr="009A010C">
              <w:rPr>
                <w:sz w:val="18"/>
                <w:szCs w:val="18"/>
              </w:rPr>
              <w:t>12</w:t>
            </w:r>
          </w:p>
        </w:tc>
        <w:tc>
          <w:tcPr>
            <w:tcW w:w="909" w:type="pct"/>
            <w:shd w:val="clear" w:color="auto" w:fill="auto"/>
            <w:tcMar>
              <w:top w:w="0" w:type="dxa"/>
              <w:left w:w="108" w:type="dxa"/>
              <w:bottom w:w="0" w:type="dxa"/>
              <w:right w:w="108" w:type="dxa"/>
            </w:tcMar>
            <w:hideMark/>
          </w:tcPr>
          <w:p w:rsidR="008241A7" w:rsidRPr="009A010C" w:rsidRDefault="008241A7" w:rsidP="008241A7">
            <w:pPr>
              <w:overflowPunct w:val="0"/>
              <w:autoSpaceDE w:val="0"/>
              <w:autoSpaceDN w:val="0"/>
              <w:ind w:left="172"/>
              <w:textAlignment w:val="baseline"/>
              <w:rPr>
                <w:sz w:val="18"/>
                <w:szCs w:val="18"/>
              </w:rPr>
            </w:pPr>
            <w:r w:rsidRPr="009A010C">
              <w:rPr>
                <w:sz w:val="18"/>
                <w:szCs w:val="18"/>
              </w:rPr>
              <w:t>Project completed</w:t>
            </w:r>
          </w:p>
        </w:tc>
      </w:tr>
      <w:tr w:rsidR="008241A7" w:rsidRPr="009A010C" w:rsidTr="0010320D">
        <w:trPr>
          <w:jc w:val="center"/>
        </w:trPr>
        <w:tc>
          <w:tcPr>
            <w:tcW w:w="604"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textAlignment w:val="baseline"/>
              <w:rPr>
                <w:sz w:val="18"/>
                <w:szCs w:val="18"/>
              </w:rPr>
            </w:pPr>
            <w:proofErr w:type="spellStart"/>
            <w:r w:rsidRPr="009A010C">
              <w:rPr>
                <w:sz w:val="18"/>
                <w:szCs w:val="18"/>
              </w:rPr>
              <w:t>Zadro</w:t>
            </w:r>
            <w:proofErr w:type="spellEnd"/>
          </w:p>
        </w:tc>
        <w:tc>
          <w:tcPr>
            <w:tcW w:w="2502"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proofErr w:type="spellStart"/>
            <w:r w:rsidRPr="009A010C">
              <w:rPr>
                <w:sz w:val="18"/>
                <w:szCs w:val="18"/>
              </w:rPr>
              <w:t>Methylal</w:t>
            </w:r>
            <w:proofErr w:type="spellEnd"/>
            <w:r w:rsidRPr="009A010C">
              <w:rPr>
                <w:sz w:val="18"/>
                <w:szCs w:val="18"/>
              </w:rPr>
              <w:t>; water</w:t>
            </w:r>
          </w:p>
        </w:tc>
        <w:tc>
          <w:tcPr>
            <w:tcW w:w="682" w:type="pct"/>
            <w:vMerge/>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p>
        </w:tc>
        <w:tc>
          <w:tcPr>
            <w:tcW w:w="303" w:type="pct"/>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14</w:t>
            </w:r>
          </w:p>
        </w:tc>
        <w:tc>
          <w:tcPr>
            <w:tcW w:w="909" w:type="pct"/>
            <w:shd w:val="clear" w:color="auto" w:fill="auto"/>
            <w:tcMar>
              <w:top w:w="0" w:type="dxa"/>
              <w:left w:w="108" w:type="dxa"/>
              <w:bottom w:w="0" w:type="dxa"/>
              <w:right w:w="108" w:type="dxa"/>
            </w:tcMar>
            <w:hideMark/>
          </w:tcPr>
          <w:p w:rsidR="008241A7" w:rsidRPr="009A010C" w:rsidRDefault="008241A7" w:rsidP="008241A7">
            <w:pPr>
              <w:overflowPunct w:val="0"/>
              <w:autoSpaceDE w:val="0"/>
              <w:autoSpaceDN w:val="0"/>
              <w:ind w:left="172"/>
              <w:textAlignment w:val="baseline"/>
              <w:rPr>
                <w:sz w:val="18"/>
                <w:szCs w:val="18"/>
              </w:rPr>
            </w:pPr>
            <w:r w:rsidRPr="009A010C">
              <w:rPr>
                <w:sz w:val="18"/>
                <w:szCs w:val="18"/>
              </w:rPr>
              <w:t>Project completed</w:t>
            </w:r>
          </w:p>
        </w:tc>
      </w:tr>
      <w:tr w:rsidR="008241A7" w:rsidRPr="009A010C" w:rsidTr="0010320D">
        <w:trPr>
          <w:trHeight w:val="269"/>
          <w:jc w:val="center"/>
        </w:trPr>
        <w:tc>
          <w:tcPr>
            <w:tcW w:w="60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 xml:space="preserve">Bayer </w:t>
            </w:r>
          </w:p>
        </w:tc>
        <w:tc>
          <w:tcPr>
            <w:tcW w:w="250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HFC; HFO (future)</w:t>
            </w:r>
          </w:p>
        </w:tc>
        <w:tc>
          <w:tcPr>
            <w:tcW w:w="682"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Systems houses non</w:t>
            </w:r>
            <w:r w:rsidRPr="009A010C">
              <w:rPr>
                <w:sz w:val="18"/>
                <w:szCs w:val="18"/>
              </w:rPr>
              <w:noBreakHyphen/>
              <w:t xml:space="preserve">eligible for funding </w:t>
            </w:r>
          </w:p>
        </w:tc>
        <w:tc>
          <w:tcPr>
            <w:tcW w:w="3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1</w:t>
            </w:r>
          </w:p>
        </w:tc>
        <w:tc>
          <w:tcPr>
            <w:tcW w:w="9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Project completed</w:t>
            </w:r>
          </w:p>
        </w:tc>
      </w:tr>
      <w:tr w:rsidR="008241A7" w:rsidRPr="009A010C" w:rsidTr="0010320D">
        <w:trPr>
          <w:trHeight w:val="269"/>
          <w:jc w:val="center"/>
        </w:trPr>
        <w:tc>
          <w:tcPr>
            <w:tcW w:w="60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Dow</w:t>
            </w:r>
          </w:p>
        </w:tc>
        <w:tc>
          <w:tcPr>
            <w:tcW w:w="250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HFC; water; HFO (future)</w:t>
            </w:r>
          </w:p>
        </w:tc>
        <w:tc>
          <w:tcPr>
            <w:tcW w:w="682" w:type="pct"/>
            <w:vMerge/>
            <w:tcBorders>
              <w:left w:val="single" w:sz="4" w:space="0" w:color="auto"/>
              <w:right w:val="single" w:sz="4" w:space="0" w:color="auto"/>
            </w:tcBorders>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p>
        </w:tc>
        <w:tc>
          <w:tcPr>
            <w:tcW w:w="3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center"/>
              <w:textAlignment w:val="baseline"/>
              <w:rPr>
                <w:sz w:val="18"/>
                <w:szCs w:val="18"/>
              </w:rPr>
            </w:pPr>
            <w:r w:rsidRPr="009A010C">
              <w:rPr>
                <w:sz w:val="18"/>
                <w:szCs w:val="18"/>
              </w:rPr>
              <w:t>14</w:t>
            </w:r>
          </w:p>
        </w:tc>
        <w:tc>
          <w:tcPr>
            <w:tcW w:w="9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172"/>
              <w:jc w:val="left"/>
              <w:textAlignment w:val="baseline"/>
              <w:rPr>
                <w:sz w:val="18"/>
                <w:szCs w:val="18"/>
              </w:rPr>
            </w:pPr>
            <w:r w:rsidRPr="009A010C">
              <w:rPr>
                <w:sz w:val="18"/>
                <w:szCs w:val="18"/>
              </w:rPr>
              <w:t>Project completed</w:t>
            </w:r>
          </w:p>
        </w:tc>
      </w:tr>
      <w:tr w:rsidR="008241A7" w:rsidRPr="009A010C" w:rsidTr="0010320D">
        <w:trPr>
          <w:trHeight w:val="270"/>
          <w:jc w:val="center"/>
        </w:trPr>
        <w:tc>
          <w:tcPr>
            <w:tcW w:w="60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Huntsman</w:t>
            </w:r>
          </w:p>
        </w:tc>
        <w:tc>
          <w:tcPr>
            <w:tcW w:w="250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left"/>
              <w:textAlignment w:val="baseline"/>
              <w:rPr>
                <w:sz w:val="18"/>
                <w:szCs w:val="18"/>
              </w:rPr>
            </w:pPr>
            <w:r w:rsidRPr="009A010C">
              <w:rPr>
                <w:sz w:val="18"/>
                <w:szCs w:val="18"/>
              </w:rPr>
              <w:t>Water</w:t>
            </w:r>
          </w:p>
        </w:tc>
        <w:tc>
          <w:tcPr>
            <w:tcW w:w="682"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8241A7" w:rsidRPr="009A010C" w:rsidRDefault="008241A7" w:rsidP="0010320D">
            <w:pPr>
              <w:overflowPunct w:val="0"/>
              <w:autoSpaceDE w:val="0"/>
              <w:autoSpaceDN w:val="0"/>
              <w:jc w:val="left"/>
              <w:textAlignment w:val="baseline"/>
              <w:rPr>
                <w:sz w:val="18"/>
                <w:szCs w:val="18"/>
              </w:rPr>
            </w:pPr>
          </w:p>
        </w:tc>
        <w:tc>
          <w:tcPr>
            <w:tcW w:w="3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10320D">
            <w:pPr>
              <w:overflowPunct w:val="0"/>
              <w:autoSpaceDE w:val="0"/>
              <w:autoSpaceDN w:val="0"/>
              <w:jc w:val="center"/>
              <w:textAlignment w:val="baseline"/>
              <w:rPr>
                <w:sz w:val="18"/>
                <w:szCs w:val="18"/>
              </w:rPr>
            </w:pPr>
            <w:proofErr w:type="spellStart"/>
            <w:r w:rsidRPr="009A010C">
              <w:rPr>
                <w:sz w:val="18"/>
                <w:szCs w:val="18"/>
              </w:rPr>
              <w:t>n.a</w:t>
            </w:r>
            <w:proofErr w:type="spellEnd"/>
            <w:r w:rsidRPr="009A010C">
              <w:rPr>
                <w:sz w:val="18"/>
                <w:szCs w:val="18"/>
              </w:rPr>
              <w:t>.</w:t>
            </w:r>
          </w:p>
        </w:tc>
        <w:tc>
          <w:tcPr>
            <w:tcW w:w="9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8241A7" w:rsidRPr="009A010C" w:rsidRDefault="008241A7" w:rsidP="008241A7">
            <w:pPr>
              <w:overflowPunct w:val="0"/>
              <w:autoSpaceDE w:val="0"/>
              <w:autoSpaceDN w:val="0"/>
              <w:ind w:left="30"/>
              <w:jc w:val="left"/>
              <w:textAlignment w:val="baseline"/>
              <w:rPr>
                <w:sz w:val="18"/>
                <w:szCs w:val="18"/>
              </w:rPr>
            </w:pPr>
            <w:r w:rsidRPr="009A010C">
              <w:rPr>
                <w:sz w:val="18"/>
                <w:szCs w:val="18"/>
              </w:rPr>
              <w:t>Voluntary phase-out</w:t>
            </w:r>
          </w:p>
        </w:tc>
      </w:tr>
    </w:tbl>
    <w:p w:rsidR="008241A7" w:rsidRPr="009A010C" w:rsidRDefault="008241A7" w:rsidP="008241A7"/>
    <w:p w:rsidR="008241A7" w:rsidRPr="009A010C" w:rsidRDefault="008241A7" w:rsidP="008241A7">
      <w:pPr>
        <w:pStyle w:val="Heading1"/>
        <w:rPr>
          <w:lang w:val="en-CA"/>
        </w:rPr>
      </w:pPr>
      <w:r w:rsidRPr="009A010C">
        <w:rPr>
          <w:u w:val="single"/>
        </w:rPr>
        <w:t>Commercial refrigeration (</w:t>
      </w:r>
      <w:proofErr w:type="spellStart"/>
      <w:r w:rsidRPr="009A010C">
        <w:rPr>
          <w:u w:val="single"/>
        </w:rPr>
        <w:t>Fersa</w:t>
      </w:r>
      <w:proofErr w:type="spellEnd"/>
      <w:r w:rsidRPr="009A010C">
        <w:rPr>
          <w:u w:val="single"/>
        </w:rPr>
        <w:t xml:space="preserve">, </w:t>
      </w:r>
      <w:proofErr w:type="spellStart"/>
      <w:r w:rsidRPr="009A010C">
        <w:rPr>
          <w:u w:val="single"/>
        </w:rPr>
        <w:t>Frigopanel</w:t>
      </w:r>
      <w:proofErr w:type="spellEnd"/>
      <w:r w:rsidRPr="009A010C">
        <w:rPr>
          <w:u w:val="single"/>
        </w:rPr>
        <w:t xml:space="preserve">, </w:t>
      </w:r>
      <w:proofErr w:type="spellStart"/>
      <w:r w:rsidRPr="009A010C">
        <w:rPr>
          <w:u w:val="single"/>
        </w:rPr>
        <w:t>Metalfrio</w:t>
      </w:r>
      <w:proofErr w:type="spellEnd"/>
      <w:r w:rsidRPr="009A010C">
        <w:rPr>
          <w:u w:val="single"/>
        </w:rPr>
        <w:t>)</w:t>
      </w:r>
      <w:r w:rsidRPr="009A010C">
        <w:t xml:space="preserve">: </w:t>
      </w:r>
      <w:proofErr w:type="spellStart"/>
      <w:r w:rsidRPr="009A010C">
        <w:t>Fersa</w:t>
      </w:r>
      <w:proofErr w:type="spellEnd"/>
      <w:r w:rsidRPr="009A010C">
        <w:t xml:space="preserve"> (7.3 ODP tonnes) completed its conversion in 2017, and has obtained the TUV certification.</w:t>
      </w:r>
      <w:r w:rsidRPr="009A010C">
        <w:rPr>
          <w:vertAlign w:val="superscript"/>
        </w:rPr>
        <w:footnoteReference w:id="49"/>
      </w:r>
      <w:r w:rsidRPr="009A010C">
        <w:t xml:space="preserve"> </w:t>
      </w:r>
      <w:r w:rsidRPr="009A010C">
        <w:rPr>
          <w:bCs/>
          <w:color w:val="000000"/>
        </w:rPr>
        <w:t>Ojeda/</w:t>
      </w:r>
      <w:proofErr w:type="spellStart"/>
      <w:r w:rsidRPr="009A010C">
        <w:rPr>
          <w:bCs/>
          <w:color w:val="000000"/>
        </w:rPr>
        <w:t>Frigopanel</w:t>
      </w:r>
      <w:proofErr w:type="spellEnd"/>
      <w:r w:rsidRPr="009A010C">
        <w:rPr>
          <w:bCs/>
          <w:color w:val="000000"/>
        </w:rPr>
        <w:t xml:space="preserve"> (6.4 ODP tonnes of HCFC</w:t>
      </w:r>
      <w:r w:rsidRPr="009A010C">
        <w:rPr>
          <w:bCs/>
          <w:color w:val="000000"/>
        </w:rPr>
        <w:noBreakHyphen/>
        <w:t xml:space="preserve">141b) completed its conversion and obtained the TUV certificate; project completion is expected in the first quarter of 2019. </w:t>
      </w:r>
      <w:proofErr w:type="spellStart"/>
      <w:r w:rsidRPr="009A010C">
        <w:t>Metalfrio</w:t>
      </w:r>
      <w:proofErr w:type="spellEnd"/>
      <w:r w:rsidRPr="009A010C">
        <w:t xml:space="preserve"> (9.2 ODP tonnes of HCFC-141b) completed its conversion and the TUV certification process is advanced. T</w:t>
      </w:r>
      <w:r w:rsidRPr="009A010C">
        <w:rPr>
          <w:bCs/>
          <w:color w:val="000000"/>
        </w:rPr>
        <w:t xml:space="preserve">he project is completed and the funds disbursed. The enterprise is already operating under the local safety regulations and is finalizing the last steps of the </w:t>
      </w:r>
      <w:r w:rsidRPr="009A010C">
        <w:t xml:space="preserve">TUV certification process with its own resources. </w:t>
      </w:r>
    </w:p>
    <w:p w:rsidR="008241A7" w:rsidRPr="009A010C" w:rsidRDefault="008241A7" w:rsidP="008241A7">
      <w:pPr>
        <w:spacing w:after="240"/>
        <w:rPr>
          <w:i/>
          <w:u w:val="single"/>
        </w:rPr>
      </w:pPr>
      <w:r w:rsidRPr="009A010C">
        <w:rPr>
          <w:i/>
          <w:u w:val="single"/>
        </w:rPr>
        <w:t>Activities in the extruded polystyrene (XPS) foam sector</w:t>
      </w:r>
    </w:p>
    <w:p w:rsidR="008241A7" w:rsidRPr="009A010C" w:rsidRDefault="008241A7" w:rsidP="008241A7">
      <w:pPr>
        <w:pStyle w:val="Heading1"/>
        <w:rPr>
          <w:lang w:val="en-CA"/>
        </w:rPr>
      </w:pPr>
      <w:r w:rsidRPr="009A010C">
        <w:t>At the 79</w:t>
      </w:r>
      <w:r w:rsidRPr="009A010C">
        <w:rPr>
          <w:vertAlign w:val="superscript"/>
        </w:rPr>
        <w:t>th </w:t>
      </w:r>
      <w:r w:rsidRPr="009A010C">
        <w:t>meeting, the Executive Committee approved the reallocation of US $1,293,558 in savings from the implementation of the PU foam sector plan to convert two eligible enterprises in the XPS foam sector (</w:t>
      </w:r>
      <w:proofErr w:type="spellStart"/>
      <w:r w:rsidRPr="009A010C">
        <w:t>Plasticos</w:t>
      </w:r>
      <w:proofErr w:type="spellEnd"/>
      <w:r w:rsidRPr="009A010C">
        <w:t xml:space="preserve"> </w:t>
      </w:r>
      <w:proofErr w:type="spellStart"/>
      <w:r w:rsidRPr="009A010C">
        <w:t>Espumados</w:t>
      </w:r>
      <w:proofErr w:type="spellEnd"/>
      <w:r w:rsidRPr="009A010C">
        <w:t xml:space="preserve"> and </w:t>
      </w:r>
      <w:proofErr w:type="spellStart"/>
      <w:r w:rsidRPr="009A010C">
        <w:t>Termofoam</w:t>
      </w:r>
      <w:proofErr w:type="spellEnd"/>
      <w:r w:rsidRPr="009A010C">
        <w:t xml:space="preserve"> Valladolid), and to completely phase out the use of HCFC</w:t>
      </w:r>
      <w:r w:rsidRPr="009A010C">
        <w:noBreakHyphen/>
        <w:t xml:space="preserve">142b </w:t>
      </w:r>
      <w:r w:rsidRPr="009A010C">
        <w:lastRenderedPageBreak/>
        <w:t xml:space="preserve">in the country. </w:t>
      </w:r>
      <w:r w:rsidRPr="009A010C">
        <w:rPr>
          <w:lang w:val="en-CA"/>
        </w:rPr>
        <w:t xml:space="preserve">Currently, </w:t>
      </w:r>
      <w:proofErr w:type="spellStart"/>
      <w:r w:rsidRPr="009A010C">
        <w:rPr>
          <w:lang w:val="en-CA"/>
        </w:rPr>
        <w:t>Termofoam</w:t>
      </w:r>
      <w:proofErr w:type="spellEnd"/>
      <w:r w:rsidRPr="009A010C">
        <w:rPr>
          <w:lang w:val="en-CA"/>
        </w:rPr>
        <w:t xml:space="preserve"> has started its conversion to HFO-1234ze, is procuring the equipment and will complete the project in July 2019 as originally proposed. </w:t>
      </w:r>
      <w:proofErr w:type="spellStart"/>
      <w:r w:rsidRPr="009A010C">
        <w:rPr>
          <w:lang w:val="en-CA"/>
        </w:rPr>
        <w:t>Plasticos</w:t>
      </w:r>
      <w:proofErr w:type="spellEnd"/>
      <w:r w:rsidRPr="009A010C">
        <w:rPr>
          <w:lang w:val="en-CA"/>
        </w:rPr>
        <w:t xml:space="preserve"> </w:t>
      </w:r>
      <w:proofErr w:type="spellStart"/>
      <w:r w:rsidRPr="009A010C">
        <w:rPr>
          <w:lang w:val="en-CA"/>
        </w:rPr>
        <w:t>Espumados</w:t>
      </w:r>
      <w:proofErr w:type="spellEnd"/>
      <w:r w:rsidRPr="009A010C">
        <w:rPr>
          <w:lang w:val="en-CA"/>
        </w:rPr>
        <w:t xml:space="preserve"> is considering either adopting the alternative proposed, or converting with its own funds to an HFC alternative and waiting for a further project under the implementation of the Kigali Amendment.</w:t>
      </w:r>
    </w:p>
    <w:p w:rsidR="008241A7" w:rsidRPr="009A010C" w:rsidRDefault="008241A7" w:rsidP="008241A7">
      <w:pPr>
        <w:widowControl w:val="0"/>
        <w:spacing w:after="240"/>
        <w:rPr>
          <w:i/>
          <w:u w:val="single"/>
        </w:rPr>
      </w:pPr>
      <w:r w:rsidRPr="009A010C">
        <w:rPr>
          <w:i/>
          <w:u w:val="single"/>
        </w:rPr>
        <w:t>Activities in the refrigeration servicing sector</w:t>
      </w:r>
    </w:p>
    <w:p w:rsidR="008241A7" w:rsidRPr="00F4406E" w:rsidRDefault="008241A7" w:rsidP="008241A7">
      <w:pPr>
        <w:numPr>
          <w:ilvl w:val="0"/>
          <w:numId w:val="1"/>
        </w:numPr>
        <w:spacing w:after="240"/>
        <w:outlineLvl w:val="0"/>
      </w:pPr>
      <w:r w:rsidRPr="009A010C">
        <w:rPr>
          <w:bCs/>
          <w:color w:val="000000"/>
        </w:rPr>
        <w:t>A</w:t>
      </w:r>
      <w:r w:rsidRPr="009A010C">
        <w:t xml:space="preserve">n overview of the progress in the implementation of activities in the refrigeration servicing sector is presented </w:t>
      </w:r>
      <w:r w:rsidRPr="00F4406E">
        <w:t xml:space="preserve">in Table </w:t>
      </w:r>
      <w:r w:rsidR="002464DD" w:rsidRPr="00F4406E">
        <w:t>22</w:t>
      </w:r>
      <w:r w:rsidRPr="00F4406E">
        <w:t xml:space="preserve">. </w:t>
      </w:r>
    </w:p>
    <w:p w:rsidR="008241A7" w:rsidRPr="009A010C" w:rsidRDefault="008241A7" w:rsidP="008241A7">
      <w:pPr>
        <w:keepNext/>
        <w:rPr>
          <w:b/>
        </w:rPr>
      </w:pPr>
      <w:r w:rsidRPr="00F4406E">
        <w:rPr>
          <w:b/>
        </w:rPr>
        <w:t xml:space="preserve">Table </w:t>
      </w:r>
      <w:r w:rsidR="002464DD" w:rsidRPr="00F4406E">
        <w:rPr>
          <w:b/>
        </w:rPr>
        <w:t>22</w:t>
      </w:r>
      <w:r w:rsidRPr="00F4406E">
        <w:rPr>
          <w:b/>
        </w:rPr>
        <w:t>. Overview of the progress</w:t>
      </w:r>
      <w:r w:rsidRPr="009A010C">
        <w:rPr>
          <w:b/>
        </w:rPr>
        <w:t xml:space="preserve"> in the refrigeration servicing sector</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06"/>
        <w:gridCol w:w="1042"/>
        <w:gridCol w:w="1005"/>
        <w:gridCol w:w="952"/>
        <w:gridCol w:w="4052"/>
      </w:tblGrid>
      <w:tr w:rsidR="008241A7" w:rsidRPr="009A010C" w:rsidTr="008241A7">
        <w:trPr>
          <w:trHeight w:val="386"/>
          <w:tblHeader/>
        </w:trPr>
        <w:tc>
          <w:tcPr>
            <w:tcW w:w="1311" w:type="pct"/>
            <w:tcMar>
              <w:top w:w="0" w:type="dxa"/>
              <w:left w:w="108" w:type="dxa"/>
              <w:bottom w:w="0" w:type="dxa"/>
              <w:right w:w="108" w:type="dxa"/>
            </w:tcMar>
            <w:vAlign w:val="center"/>
            <w:hideMark/>
          </w:tcPr>
          <w:p w:rsidR="008241A7" w:rsidRPr="009A010C" w:rsidRDefault="008241A7" w:rsidP="0010320D">
            <w:pPr>
              <w:keepNext/>
              <w:jc w:val="center"/>
              <w:rPr>
                <w:b/>
                <w:bCs/>
                <w:sz w:val="20"/>
                <w:szCs w:val="20"/>
              </w:rPr>
            </w:pPr>
            <w:r w:rsidRPr="009A010C">
              <w:rPr>
                <w:b/>
                <w:bCs/>
                <w:sz w:val="20"/>
                <w:szCs w:val="20"/>
              </w:rPr>
              <w:t>Activity</w:t>
            </w:r>
          </w:p>
        </w:tc>
        <w:tc>
          <w:tcPr>
            <w:tcW w:w="545" w:type="pct"/>
            <w:tcMar>
              <w:top w:w="0" w:type="dxa"/>
              <w:left w:w="108" w:type="dxa"/>
              <w:bottom w:w="0" w:type="dxa"/>
              <w:right w:w="108" w:type="dxa"/>
            </w:tcMar>
            <w:vAlign w:val="center"/>
            <w:hideMark/>
          </w:tcPr>
          <w:p w:rsidR="008241A7" w:rsidRPr="009A010C" w:rsidRDefault="008241A7" w:rsidP="0010320D">
            <w:pPr>
              <w:keepNext/>
              <w:jc w:val="center"/>
              <w:rPr>
                <w:b/>
                <w:bCs/>
                <w:sz w:val="20"/>
                <w:szCs w:val="20"/>
              </w:rPr>
            </w:pPr>
            <w:r w:rsidRPr="009A010C">
              <w:rPr>
                <w:b/>
                <w:bCs/>
                <w:sz w:val="20"/>
                <w:szCs w:val="20"/>
              </w:rPr>
              <w:t>Proposed output</w:t>
            </w:r>
          </w:p>
        </w:tc>
        <w:tc>
          <w:tcPr>
            <w:tcW w:w="526" w:type="pct"/>
            <w:tcMar>
              <w:top w:w="0" w:type="dxa"/>
              <w:left w:w="108" w:type="dxa"/>
              <w:bottom w:w="0" w:type="dxa"/>
              <w:right w:w="108" w:type="dxa"/>
            </w:tcMar>
            <w:vAlign w:val="center"/>
            <w:hideMark/>
          </w:tcPr>
          <w:p w:rsidR="008241A7" w:rsidRPr="009A010C" w:rsidRDefault="008241A7" w:rsidP="0010320D">
            <w:pPr>
              <w:keepNext/>
              <w:jc w:val="center"/>
              <w:rPr>
                <w:b/>
                <w:bCs/>
                <w:sz w:val="20"/>
                <w:szCs w:val="20"/>
              </w:rPr>
            </w:pPr>
            <w:r w:rsidRPr="009A010C">
              <w:rPr>
                <w:b/>
                <w:bCs/>
                <w:sz w:val="20"/>
                <w:szCs w:val="20"/>
              </w:rPr>
              <w:t>Achieved so far</w:t>
            </w:r>
          </w:p>
        </w:tc>
        <w:tc>
          <w:tcPr>
            <w:tcW w:w="498" w:type="pct"/>
            <w:tcMar>
              <w:top w:w="0" w:type="dxa"/>
              <w:left w:w="108" w:type="dxa"/>
              <w:bottom w:w="0" w:type="dxa"/>
              <w:right w:w="108" w:type="dxa"/>
            </w:tcMar>
            <w:vAlign w:val="center"/>
            <w:hideMark/>
          </w:tcPr>
          <w:p w:rsidR="008241A7" w:rsidRPr="009A010C" w:rsidRDefault="008241A7" w:rsidP="0010320D">
            <w:pPr>
              <w:keepNext/>
              <w:jc w:val="center"/>
              <w:rPr>
                <w:b/>
                <w:bCs/>
                <w:sz w:val="20"/>
                <w:szCs w:val="20"/>
              </w:rPr>
            </w:pPr>
            <w:r w:rsidRPr="009A010C">
              <w:rPr>
                <w:b/>
                <w:bCs/>
                <w:sz w:val="20"/>
                <w:szCs w:val="20"/>
              </w:rPr>
              <w:t>Updated output</w:t>
            </w:r>
          </w:p>
        </w:tc>
        <w:tc>
          <w:tcPr>
            <w:tcW w:w="2121" w:type="pct"/>
            <w:tcMar>
              <w:top w:w="0" w:type="dxa"/>
              <w:left w:w="108" w:type="dxa"/>
              <w:bottom w:w="0" w:type="dxa"/>
              <w:right w:w="108" w:type="dxa"/>
            </w:tcMar>
            <w:vAlign w:val="center"/>
            <w:hideMark/>
          </w:tcPr>
          <w:p w:rsidR="008241A7" w:rsidRPr="009A010C" w:rsidRDefault="008241A7" w:rsidP="0010320D">
            <w:pPr>
              <w:keepNext/>
              <w:jc w:val="center"/>
              <w:rPr>
                <w:b/>
                <w:bCs/>
                <w:sz w:val="20"/>
                <w:szCs w:val="20"/>
              </w:rPr>
            </w:pPr>
            <w:r w:rsidRPr="009A010C">
              <w:rPr>
                <w:b/>
                <w:bCs/>
                <w:sz w:val="20"/>
                <w:szCs w:val="20"/>
              </w:rPr>
              <w:t>Status</w:t>
            </w:r>
          </w:p>
        </w:tc>
      </w:tr>
      <w:tr w:rsidR="008241A7" w:rsidRPr="009A010C" w:rsidTr="008241A7">
        <w:trPr>
          <w:trHeight w:val="417"/>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Customs officer training</w:t>
            </w:r>
          </w:p>
        </w:tc>
        <w:tc>
          <w:tcPr>
            <w:tcW w:w="545" w:type="pct"/>
            <w:tcMar>
              <w:top w:w="0" w:type="dxa"/>
              <w:left w:w="108" w:type="dxa"/>
              <w:bottom w:w="0" w:type="dxa"/>
              <w:right w:w="108" w:type="dxa"/>
            </w:tcMar>
            <w:vAlign w:val="center"/>
            <w:hideMark/>
          </w:tcPr>
          <w:p w:rsidR="008241A7" w:rsidRPr="009A010C" w:rsidRDefault="008241A7" w:rsidP="0010320D">
            <w:pPr>
              <w:keepNext/>
              <w:jc w:val="right"/>
              <w:rPr>
                <w:sz w:val="20"/>
                <w:szCs w:val="20"/>
              </w:rPr>
            </w:pPr>
            <w:r w:rsidRPr="009A010C">
              <w:rPr>
                <w:sz w:val="20"/>
                <w:szCs w:val="20"/>
              </w:rPr>
              <w:t>2</w:t>
            </w:r>
          </w:p>
        </w:tc>
        <w:tc>
          <w:tcPr>
            <w:tcW w:w="526" w:type="pct"/>
            <w:tcMar>
              <w:top w:w="0" w:type="dxa"/>
              <w:left w:w="108" w:type="dxa"/>
              <w:bottom w:w="0" w:type="dxa"/>
              <w:right w:w="108" w:type="dxa"/>
            </w:tcMar>
            <w:vAlign w:val="center"/>
            <w:hideMark/>
          </w:tcPr>
          <w:p w:rsidR="008241A7" w:rsidRPr="009A010C" w:rsidRDefault="008241A7" w:rsidP="0010320D">
            <w:pPr>
              <w:keepNext/>
              <w:jc w:val="right"/>
              <w:rPr>
                <w:sz w:val="20"/>
                <w:szCs w:val="20"/>
              </w:rPr>
            </w:pPr>
            <w:r w:rsidRPr="009A010C">
              <w:rPr>
                <w:sz w:val="20"/>
                <w:szCs w:val="20"/>
              </w:rPr>
              <w:t>2</w:t>
            </w:r>
          </w:p>
        </w:tc>
        <w:tc>
          <w:tcPr>
            <w:tcW w:w="498" w:type="pct"/>
            <w:tcMar>
              <w:top w:w="0" w:type="dxa"/>
              <w:left w:w="108" w:type="dxa"/>
              <w:bottom w:w="0" w:type="dxa"/>
              <w:right w:w="108" w:type="dxa"/>
            </w:tcMar>
            <w:vAlign w:val="center"/>
            <w:hideMark/>
          </w:tcPr>
          <w:p w:rsidR="008241A7" w:rsidRPr="009A010C" w:rsidRDefault="008241A7" w:rsidP="0010320D">
            <w:pPr>
              <w:keepNext/>
              <w:jc w:val="right"/>
              <w:rPr>
                <w:sz w:val="20"/>
                <w:szCs w:val="20"/>
              </w:rPr>
            </w:pPr>
            <w:r w:rsidRPr="009A010C">
              <w:rPr>
                <w:sz w:val="20"/>
                <w:szCs w:val="20"/>
              </w:rPr>
              <w:t>2</w:t>
            </w:r>
          </w:p>
        </w:tc>
        <w:tc>
          <w:tcPr>
            <w:tcW w:w="2121" w:type="pct"/>
            <w:tcMar>
              <w:top w:w="0" w:type="dxa"/>
              <w:left w:w="108" w:type="dxa"/>
              <w:bottom w:w="0" w:type="dxa"/>
              <w:right w:w="108" w:type="dxa"/>
            </w:tcMar>
            <w:hideMark/>
          </w:tcPr>
          <w:p w:rsidR="008241A7" w:rsidRPr="009A010C" w:rsidRDefault="008241A7" w:rsidP="0010320D">
            <w:pPr>
              <w:keepNext/>
              <w:rPr>
                <w:sz w:val="20"/>
                <w:szCs w:val="20"/>
              </w:rPr>
            </w:pPr>
            <w:r w:rsidRPr="009A010C">
              <w:rPr>
                <w:sz w:val="20"/>
                <w:szCs w:val="20"/>
              </w:rPr>
              <w:t>Completed, 82 officers trained, including some from other countries in the region</w:t>
            </w:r>
          </w:p>
        </w:tc>
      </w:tr>
      <w:tr w:rsidR="008241A7" w:rsidRPr="009A010C" w:rsidTr="008241A7">
        <w:trPr>
          <w:trHeight w:val="417"/>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Distribution of refrigerant identifiers</w:t>
            </w:r>
          </w:p>
        </w:tc>
        <w:tc>
          <w:tcPr>
            <w:tcW w:w="545" w:type="pct"/>
            <w:tcMar>
              <w:top w:w="0" w:type="dxa"/>
              <w:left w:w="108" w:type="dxa"/>
              <w:bottom w:w="0" w:type="dxa"/>
              <w:right w:w="108" w:type="dxa"/>
            </w:tcMar>
            <w:vAlign w:val="center"/>
            <w:hideMark/>
          </w:tcPr>
          <w:p w:rsidR="008241A7" w:rsidRPr="009A010C" w:rsidRDefault="008241A7" w:rsidP="0010320D">
            <w:pPr>
              <w:keepNext/>
              <w:jc w:val="right"/>
              <w:rPr>
                <w:sz w:val="20"/>
                <w:szCs w:val="20"/>
              </w:rPr>
            </w:pPr>
            <w:r w:rsidRPr="009A010C">
              <w:rPr>
                <w:sz w:val="20"/>
                <w:szCs w:val="20"/>
              </w:rPr>
              <w:t>20</w:t>
            </w:r>
          </w:p>
        </w:tc>
        <w:tc>
          <w:tcPr>
            <w:tcW w:w="526" w:type="pct"/>
            <w:tcMar>
              <w:top w:w="0" w:type="dxa"/>
              <w:left w:w="108" w:type="dxa"/>
              <w:bottom w:w="0" w:type="dxa"/>
              <w:right w:w="108" w:type="dxa"/>
            </w:tcMar>
            <w:vAlign w:val="center"/>
            <w:hideMark/>
          </w:tcPr>
          <w:p w:rsidR="008241A7" w:rsidRPr="009A010C" w:rsidRDefault="008241A7" w:rsidP="0010320D">
            <w:pPr>
              <w:keepNext/>
              <w:jc w:val="right"/>
              <w:rPr>
                <w:sz w:val="20"/>
                <w:szCs w:val="20"/>
              </w:rPr>
            </w:pPr>
            <w:r w:rsidRPr="009A010C">
              <w:rPr>
                <w:sz w:val="20"/>
                <w:szCs w:val="20"/>
              </w:rPr>
              <w:t>12</w:t>
            </w:r>
          </w:p>
        </w:tc>
        <w:tc>
          <w:tcPr>
            <w:tcW w:w="498" w:type="pct"/>
            <w:tcMar>
              <w:top w:w="0" w:type="dxa"/>
              <w:left w:w="108" w:type="dxa"/>
              <w:bottom w:w="0" w:type="dxa"/>
              <w:right w:w="108" w:type="dxa"/>
            </w:tcMar>
            <w:vAlign w:val="center"/>
            <w:hideMark/>
          </w:tcPr>
          <w:p w:rsidR="008241A7" w:rsidRPr="009A010C" w:rsidRDefault="008241A7" w:rsidP="0010320D">
            <w:pPr>
              <w:keepNext/>
              <w:jc w:val="right"/>
              <w:rPr>
                <w:sz w:val="20"/>
                <w:szCs w:val="20"/>
              </w:rPr>
            </w:pPr>
            <w:r w:rsidRPr="009A010C">
              <w:rPr>
                <w:sz w:val="20"/>
                <w:szCs w:val="20"/>
              </w:rPr>
              <w:t>12</w:t>
            </w:r>
          </w:p>
        </w:tc>
        <w:tc>
          <w:tcPr>
            <w:tcW w:w="2121" w:type="pct"/>
            <w:tcMar>
              <w:top w:w="0" w:type="dxa"/>
              <w:left w:w="108" w:type="dxa"/>
              <w:bottom w:w="0" w:type="dxa"/>
              <w:right w:w="108" w:type="dxa"/>
            </w:tcMar>
            <w:hideMark/>
          </w:tcPr>
          <w:p w:rsidR="008241A7" w:rsidRPr="009A010C" w:rsidRDefault="008241A7" w:rsidP="0010320D">
            <w:pPr>
              <w:keepNext/>
              <w:rPr>
                <w:sz w:val="20"/>
                <w:szCs w:val="20"/>
              </w:rPr>
            </w:pPr>
            <w:r w:rsidRPr="009A010C">
              <w:rPr>
                <w:sz w:val="20"/>
                <w:szCs w:val="20"/>
              </w:rPr>
              <w:t>Completed, 12 refrigerant identifiers purchased for the 12 customs points that have ODS import/export operations</w:t>
            </w:r>
          </w:p>
        </w:tc>
      </w:tr>
      <w:tr w:rsidR="008241A7" w:rsidRPr="009A010C" w:rsidTr="008241A7">
        <w:trPr>
          <w:trHeight w:val="417"/>
        </w:trPr>
        <w:tc>
          <w:tcPr>
            <w:tcW w:w="1311" w:type="pct"/>
            <w:tcMar>
              <w:top w:w="0" w:type="dxa"/>
              <w:left w:w="108" w:type="dxa"/>
              <w:bottom w:w="0" w:type="dxa"/>
              <w:right w:w="108" w:type="dxa"/>
            </w:tcMar>
            <w:vAlign w:val="center"/>
            <w:hideMark/>
          </w:tcPr>
          <w:p w:rsidR="008241A7" w:rsidRPr="009A010C" w:rsidRDefault="008241A7" w:rsidP="008241A7">
            <w:pPr>
              <w:ind w:left="34"/>
              <w:jc w:val="left"/>
              <w:rPr>
                <w:sz w:val="20"/>
                <w:szCs w:val="20"/>
              </w:rPr>
            </w:pPr>
            <w:r w:rsidRPr="009A010C">
              <w:rPr>
                <w:sz w:val="20"/>
                <w:szCs w:val="20"/>
              </w:rPr>
              <w:t>Training manual</w:t>
            </w:r>
          </w:p>
        </w:tc>
        <w:tc>
          <w:tcPr>
            <w:tcW w:w="545" w:type="pct"/>
            <w:tcMar>
              <w:top w:w="0" w:type="dxa"/>
              <w:left w:w="108" w:type="dxa"/>
              <w:bottom w:w="0" w:type="dxa"/>
              <w:right w:w="108" w:type="dxa"/>
            </w:tcMar>
            <w:vAlign w:val="center"/>
          </w:tcPr>
          <w:p w:rsidR="008241A7" w:rsidRPr="009A010C" w:rsidRDefault="008241A7" w:rsidP="0010320D">
            <w:pPr>
              <w:jc w:val="right"/>
              <w:rPr>
                <w:sz w:val="20"/>
                <w:szCs w:val="20"/>
              </w:rPr>
            </w:pPr>
            <w:r w:rsidRPr="009A010C">
              <w:rPr>
                <w:sz w:val="20"/>
                <w:szCs w:val="20"/>
              </w:rPr>
              <w:t>4,000</w:t>
            </w:r>
          </w:p>
        </w:tc>
        <w:tc>
          <w:tcPr>
            <w:tcW w:w="526" w:type="pct"/>
            <w:tcMar>
              <w:top w:w="0" w:type="dxa"/>
              <w:left w:w="108" w:type="dxa"/>
              <w:bottom w:w="0" w:type="dxa"/>
              <w:right w:w="108" w:type="dxa"/>
            </w:tcMar>
            <w:vAlign w:val="center"/>
          </w:tcPr>
          <w:p w:rsidR="008241A7" w:rsidRPr="009A010C" w:rsidRDefault="008241A7" w:rsidP="0010320D">
            <w:pPr>
              <w:jc w:val="right"/>
              <w:rPr>
                <w:sz w:val="20"/>
                <w:szCs w:val="20"/>
              </w:rPr>
            </w:pPr>
            <w:r w:rsidRPr="009A010C">
              <w:rPr>
                <w:sz w:val="20"/>
                <w:szCs w:val="20"/>
              </w:rPr>
              <w:t>4,000</w:t>
            </w:r>
          </w:p>
        </w:tc>
        <w:tc>
          <w:tcPr>
            <w:tcW w:w="498"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4,000</w:t>
            </w:r>
          </w:p>
        </w:tc>
        <w:tc>
          <w:tcPr>
            <w:tcW w:w="2121" w:type="pct"/>
            <w:tcMar>
              <w:top w:w="0" w:type="dxa"/>
              <w:left w:w="108" w:type="dxa"/>
              <w:bottom w:w="0" w:type="dxa"/>
              <w:right w:w="108" w:type="dxa"/>
            </w:tcMar>
            <w:hideMark/>
          </w:tcPr>
          <w:p w:rsidR="008241A7" w:rsidRPr="009A010C" w:rsidRDefault="008241A7" w:rsidP="0010320D">
            <w:pPr>
              <w:rPr>
                <w:sz w:val="20"/>
                <w:szCs w:val="20"/>
              </w:rPr>
            </w:pPr>
            <w:r w:rsidRPr="009A010C">
              <w:rPr>
                <w:sz w:val="20"/>
                <w:szCs w:val="20"/>
              </w:rPr>
              <w:t>Completed, 4,000 manuals were printed and delivered to the 11 training centres</w:t>
            </w:r>
          </w:p>
        </w:tc>
      </w:tr>
      <w:tr w:rsidR="008241A7" w:rsidRPr="009A010C" w:rsidTr="008241A7">
        <w:trPr>
          <w:trHeight w:val="123"/>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Train-the-trainer courses</w:t>
            </w:r>
          </w:p>
        </w:tc>
        <w:tc>
          <w:tcPr>
            <w:tcW w:w="545"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3</w:t>
            </w:r>
          </w:p>
        </w:tc>
        <w:tc>
          <w:tcPr>
            <w:tcW w:w="526"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2</w:t>
            </w:r>
          </w:p>
        </w:tc>
        <w:tc>
          <w:tcPr>
            <w:tcW w:w="498"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2</w:t>
            </w:r>
          </w:p>
        </w:tc>
        <w:tc>
          <w:tcPr>
            <w:tcW w:w="2121" w:type="pct"/>
            <w:tcMar>
              <w:top w:w="0" w:type="dxa"/>
              <w:left w:w="108" w:type="dxa"/>
              <w:bottom w:w="0" w:type="dxa"/>
              <w:right w:w="108" w:type="dxa"/>
            </w:tcMar>
            <w:hideMark/>
          </w:tcPr>
          <w:p w:rsidR="008241A7" w:rsidRPr="009A010C" w:rsidRDefault="008241A7" w:rsidP="0010320D">
            <w:pPr>
              <w:rPr>
                <w:sz w:val="20"/>
                <w:szCs w:val="20"/>
              </w:rPr>
            </w:pPr>
            <w:r w:rsidRPr="009A010C">
              <w:rPr>
                <w:sz w:val="20"/>
                <w:szCs w:val="20"/>
              </w:rPr>
              <w:t>Completed, 38 trainers from 11 training centres</w:t>
            </w:r>
          </w:p>
        </w:tc>
      </w:tr>
      <w:tr w:rsidR="008241A7" w:rsidRPr="009A010C" w:rsidTr="008241A7">
        <w:trPr>
          <w:trHeight w:val="354"/>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Technician training</w:t>
            </w:r>
          </w:p>
        </w:tc>
        <w:tc>
          <w:tcPr>
            <w:tcW w:w="545" w:type="pct"/>
            <w:tcMar>
              <w:top w:w="0" w:type="dxa"/>
              <w:left w:w="108" w:type="dxa"/>
              <w:bottom w:w="0" w:type="dxa"/>
              <w:right w:w="108" w:type="dxa"/>
            </w:tcMar>
            <w:vAlign w:val="center"/>
          </w:tcPr>
          <w:p w:rsidR="008241A7" w:rsidRPr="009A010C" w:rsidRDefault="008241A7" w:rsidP="0010320D">
            <w:pPr>
              <w:jc w:val="right"/>
              <w:rPr>
                <w:sz w:val="20"/>
                <w:szCs w:val="20"/>
              </w:rPr>
            </w:pPr>
            <w:r w:rsidRPr="009A010C">
              <w:rPr>
                <w:sz w:val="20"/>
                <w:szCs w:val="20"/>
              </w:rPr>
              <w:t>4,000</w:t>
            </w:r>
          </w:p>
        </w:tc>
        <w:tc>
          <w:tcPr>
            <w:tcW w:w="526" w:type="pct"/>
            <w:tcMar>
              <w:top w:w="0" w:type="dxa"/>
              <w:left w:w="108" w:type="dxa"/>
              <w:bottom w:w="0" w:type="dxa"/>
              <w:right w:w="108" w:type="dxa"/>
            </w:tcMar>
            <w:vAlign w:val="center"/>
          </w:tcPr>
          <w:p w:rsidR="008241A7" w:rsidRPr="009A010C" w:rsidRDefault="008241A7" w:rsidP="0010320D">
            <w:pPr>
              <w:jc w:val="right"/>
              <w:rPr>
                <w:sz w:val="20"/>
                <w:szCs w:val="20"/>
              </w:rPr>
            </w:pPr>
            <w:r w:rsidRPr="009A010C">
              <w:rPr>
                <w:sz w:val="20"/>
                <w:szCs w:val="20"/>
              </w:rPr>
              <w:t>3,000</w:t>
            </w:r>
          </w:p>
        </w:tc>
        <w:tc>
          <w:tcPr>
            <w:tcW w:w="498" w:type="pct"/>
            <w:tcMar>
              <w:top w:w="0" w:type="dxa"/>
              <w:left w:w="108" w:type="dxa"/>
              <w:bottom w:w="0" w:type="dxa"/>
              <w:right w:w="108" w:type="dxa"/>
            </w:tcMar>
            <w:vAlign w:val="center"/>
            <w:hideMark/>
          </w:tcPr>
          <w:p w:rsidR="008241A7" w:rsidRPr="009A010C" w:rsidRDefault="008241A7" w:rsidP="0010320D">
            <w:pPr>
              <w:jc w:val="right"/>
              <w:rPr>
                <w:color w:val="000000"/>
                <w:sz w:val="20"/>
                <w:szCs w:val="20"/>
              </w:rPr>
            </w:pPr>
            <w:r w:rsidRPr="009A010C">
              <w:rPr>
                <w:color w:val="000000"/>
                <w:sz w:val="20"/>
                <w:szCs w:val="20"/>
              </w:rPr>
              <w:t>3,500</w:t>
            </w:r>
          </w:p>
        </w:tc>
        <w:tc>
          <w:tcPr>
            <w:tcW w:w="2121" w:type="pct"/>
            <w:tcMar>
              <w:top w:w="0" w:type="dxa"/>
              <w:left w:w="108" w:type="dxa"/>
              <w:bottom w:w="0" w:type="dxa"/>
              <w:right w:w="108" w:type="dxa"/>
            </w:tcMar>
            <w:hideMark/>
          </w:tcPr>
          <w:p w:rsidR="008241A7" w:rsidRPr="009A010C" w:rsidRDefault="008241A7" w:rsidP="0010320D">
            <w:pPr>
              <w:pStyle w:val="Body"/>
              <w:spacing w:before="100" w:beforeAutospacing="1" w:after="100" w:afterAutospacing="1"/>
              <w:ind w:left="24"/>
              <w:jc w:val="both"/>
              <w:rPr>
                <w:sz w:val="20"/>
                <w:szCs w:val="20"/>
                <w:lang w:val="en-GB"/>
              </w:rPr>
            </w:pPr>
            <w:r w:rsidRPr="009A010C">
              <w:rPr>
                <w:sz w:val="20"/>
                <w:szCs w:val="20"/>
              </w:rPr>
              <w:t>Final target adjusted to 3,500 technicians – the remaining 500 will be trained in 2019</w:t>
            </w:r>
          </w:p>
        </w:tc>
      </w:tr>
      <w:tr w:rsidR="008241A7" w:rsidRPr="009A010C" w:rsidTr="008241A7">
        <w:trPr>
          <w:trHeight w:val="204"/>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Distribution of servicing kits</w:t>
            </w:r>
          </w:p>
        </w:tc>
        <w:tc>
          <w:tcPr>
            <w:tcW w:w="545" w:type="pct"/>
            <w:tcMar>
              <w:top w:w="0" w:type="dxa"/>
              <w:left w:w="108" w:type="dxa"/>
              <w:bottom w:w="0" w:type="dxa"/>
              <w:right w:w="108" w:type="dxa"/>
            </w:tcMar>
            <w:vAlign w:val="center"/>
          </w:tcPr>
          <w:p w:rsidR="008241A7" w:rsidRPr="009A010C" w:rsidRDefault="008241A7" w:rsidP="0010320D">
            <w:pPr>
              <w:keepNext/>
              <w:jc w:val="right"/>
              <w:rPr>
                <w:sz w:val="20"/>
                <w:szCs w:val="20"/>
              </w:rPr>
            </w:pPr>
            <w:r w:rsidRPr="009A010C">
              <w:rPr>
                <w:sz w:val="20"/>
                <w:szCs w:val="20"/>
              </w:rPr>
              <w:t>200</w:t>
            </w:r>
          </w:p>
        </w:tc>
        <w:tc>
          <w:tcPr>
            <w:tcW w:w="526" w:type="pct"/>
            <w:tcMar>
              <w:top w:w="0" w:type="dxa"/>
              <w:left w:w="108" w:type="dxa"/>
              <w:bottom w:w="0" w:type="dxa"/>
              <w:right w:w="108" w:type="dxa"/>
            </w:tcMar>
            <w:vAlign w:val="center"/>
          </w:tcPr>
          <w:p w:rsidR="008241A7" w:rsidRPr="009A010C" w:rsidRDefault="008241A7" w:rsidP="0010320D">
            <w:pPr>
              <w:keepNext/>
              <w:jc w:val="right"/>
              <w:rPr>
                <w:sz w:val="20"/>
                <w:szCs w:val="20"/>
              </w:rPr>
            </w:pPr>
            <w:r w:rsidRPr="009A010C">
              <w:rPr>
                <w:sz w:val="20"/>
                <w:szCs w:val="20"/>
              </w:rPr>
              <w:t>275</w:t>
            </w:r>
          </w:p>
        </w:tc>
        <w:tc>
          <w:tcPr>
            <w:tcW w:w="498" w:type="pct"/>
            <w:tcMar>
              <w:top w:w="0" w:type="dxa"/>
              <w:left w:w="108" w:type="dxa"/>
              <w:bottom w:w="0" w:type="dxa"/>
              <w:right w:w="108" w:type="dxa"/>
            </w:tcMar>
            <w:vAlign w:val="center"/>
            <w:hideMark/>
          </w:tcPr>
          <w:p w:rsidR="008241A7" w:rsidRPr="009A010C" w:rsidRDefault="008241A7" w:rsidP="0010320D">
            <w:pPr>
              <w:keepNext/>
              <w:tabs>
                <w:tab w:val="left" w:pos="316"/>
                <w:tab w:val="right" w:pos="606"/>
              </w:tabs>
              <w:jc w:val="right"/>
              <w:rPr>
                <w:sz w:val="20"/>
                <w:szCs w:val="20"/>
              </w:rPr>
            </w:pPr>
            <w:r w:rsidRPr="009A010C">
              <w:rPr>
                <w:sz w:val="20"/>
                <w:szCs w:val="20"/>
              </w:rPr>
              <w:t>275</w:t>
            </w:r>
          </w:p>
        </w:tc>
        <w:tc>
          <w:tcPr>
            <w:tcW w:w="2121" w:type="pct"/>
            <w:tcMar>
              <w:top w:w="0" w:type="dxa"/>
              <w:left w:w="108" w:type="dxa"/>
              <w:bottom w:w="0" w:type="dxa"/>
              <w:right w:w="108" w:type="dxa"/>
            </w:tcMar>
            <w:vAlign w:val="center"/>
            <w:hideMark/>
          </w:tcPr>
          <w:p w:rsidR="008241A7" w:rsidRPr="009A010C" w:rsidRDefault="008241A7" w:rsidP="0010320D">
            <w:pPr>
              <w:keepNext/>
              <w:jc w:val="left"/>
              <w:rPr>
                <w:sz w:val="20"/>
                <w:szCs w:val="20"/>
              </w:rPr>
            </w:pPr>
            <w:r w:rsidRPr="009A010C">
              <w:rPr>
                <w:sz w:val="20"/>
                <w:szCs w:val="20"/>
              </w:rPr>
              <w:t>Completed</w:t>
            </w:r>
          </w:p>
        </w:tc>
      </w:tr>
      <w:tr w:rsidR="008241A7" w:rsidRPr="009A010C" w:rsidTr="008241A7">
        <w:trPr>
          <w:trHeight w:val="262"/>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Distribution of flushing kits</w:t>
            </w:r>
          </w:p>
        </w:tc>
        <w:tc>
          <w:tcPr>
            <w:tcW w:w="545"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33</w:t>
            </w:r>
          </w:p>
        </w:tc>
        <w:tc>
          <w:tcPr>
            <w:tcW w:w="526"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79</w:t>
            </w:r>
          </w:p>
        </w:tc>
        <w:tc>
          <w:tcPr>
            <w:tcW w:w="498" w:type="pct"/>
            <w:tcMar>
              <w:top w:w="0" w:type="dxa"/>
              <w:left w:w="108" w:type="dxa"/>
              <w:bottom w:w="0" w:type="dxa"/>
              <w:right w:w="108" w:type="dxa"/>
            </w:tcMar>
            <w:vAlign w:val="center"/>
            <w:hideMark/>
          </w:tcPr>
          <w:p w:rsidR="008241A7" w:rsidRPr="009A010C" w:rsidRDefault="008241A7" w:rsidP="0010320D">
            <w:pPr>
              <w:jc w:val="right"/>
              <w:rPr>
                <w:color w:val="000000"/>
                <w:sz w:val="20"/>
                <w:szCs w:val="20"/>
              </w:rPr>
            </w:pPr>
            <w:r w:rsidRPr="009A010C">
              <w:rPr>
                <w:color w:val="000000"/>
                <w:sz w:val="20"/>
                <w:szCs w:val="20"/>
              </w:rPr>
              <w:t>79</w:t>
            </w:r>
          </w:p>
        </w:tc>
        <w:tc>
          <w:tcPr>
            <w:tcW w:w="212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Completed</w:t>
            </w:r>
          </w:p>
        </w:tc>
      </w:tr>
      <w:tr w:rsidR="008241A7" w:rsidRPr="009A010C" w:rsidTr="008241A7">
        <w:trPr>
          <w:trHeight w:val="268"/>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 xml:space="preserve">ODP tonnes of HCFC phased out as cleaning agent </w:t>
            </w:r>
          </w:p>
        </w:tc>
        <w:tc>
          <w:tcPr>
            <w:tcW w:w="545"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23</w:t>
            </w:r>
          </w:p>
        </w:tc>
        <w:tc>
          <w:tcPr>
            <w:tcW w:w="526"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23</w:t>
            </w:r>
          </w:p>
        </w:tc>
        <w:tc>
          <w:tcPr>
            <w:tcW w:w="498"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23</w:t>
            </w:r>
          </w:p>
        </w:tc>
        <w:tc>
          <w:tcPr>
            <w:tcW w:w="2121" w:type="pct"/>
            <w:tcMar>
              <w:top w:w="0" w:type="dxa"/>
              <w:left w:w="108" w:type="dxa"/>
              <w:bottom w:w="0" w:type="dxa"/>
              <w:right w:w="108" w:type="dxa"/>
            </w:tcMar>
            <w:hideMark/>
          </w:tcPr>
          <w:p w:rsidR="008241A7" w:rsidRPr="009A010C" w:rsidRDefault="008241A7" w:rsidP="0010320D">
            <w:pPr>
              <w:rPr>
                <w:sz w:val="20"/>
                <w:szCs w:val="20"/>
              </w:rPr>
            </w:pPr>
            <w:r w:rsidRPr="009A010C">
              <w:rPr>
                <w:color w:val="000000"/>
                <w:sz w:val="20"/>
                <w:szCs w:val="20"/>
              </w:rPr>
              <w:t>Servicing kits have been distributed to technicians and HCFC</w:t>
            </w:r>
            <w:r w:rsidRPr="009A010C">
              <w:rPr>
                <w:color w:val="000000"/>
                <w:sz w:val="20"/>
                <w:szCs w:val="20"/>
              </w:rPr>
              <w:noBreakHyphen/>
              <w:t>141b phase-out can be recorded</w:t>
            </w:r>
          </w:p>
        </w:tc>
      </w:tr>
      <w:tr w:rsidR="008241A7" w:rsidRPr="009A010C" w:rsidTr="008241A7">
        <w:trPr>
          <w:trHeight w:val="446"/>
        </w:trPr>
        <w:tc>
          <w:tcPr>
            <w:tcW w:w="1311" w:type="pct"/>
            <w:tcMar>
              <w:top w:w="0" w:type="dxa"/>
              <w:left w:w="108" w:type="dxa"/>
              <w:bottom w:w="0" w:type="dxa"/>
              <w:right w:w="108" w:type="dxa"/>
            </w:tcMar>
            <w:vAlign w:val="center"/>
            <w:hideMark/>
          </w:tcPr>
          <w:p w:rsidR="008241A7" w:rsidRPr="009A010C" w:rsidRDefault="008241A7" w:rsidP="0010320D">
            <w:pPr>
              <w:jc w:val="left"/>
              <w:rPr>
                <w:sz w:val="20"/>
                <w:szCs w:val="20"/>
              </w:rPr>
            </w:pPr>
            <w:r w:rsidRPr="009A010C">
              <w:rPr>
                <w:sz w:val="20"/>
                <w:szCs w:val="20"/>
              </w:rPr>
              <w:t>New standards for AC equipment and policy</w:t>
            </w:r>
          </w:p>
        </w:tc>
        <w:tc>
          <w:tcPr>
            <w:tcW w:w="545"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3</w:t>
            </w:r>
          </w:p>
        </w:tc>
        <w:tc>
          <w:tcPr>
            <w:tcW w:w="526" w:type="pct"/>
            <w:tcMar>
              <w:top w:w="0" w:type="dxa"/>
              <w:left w:w="108" w:type="dxa"/>
              <w:bottom w:w="0" w:type="dxa"/>
              <w:right w:w="108" w:type="dxa"/>
            </w:tcMar>
            <w:vAlign w:val="center"/>
            <w:hideMark/>
          </w:tcPr>
          <w:p w:rsidR="008241A7" w:rsidRPr="009A010C" w:rsidRDefault="008241A7" w:rsidP="0010320D">
            <w:pPr>
              <w:jc w:val="right"/>
              <w:rPr>
                <w:sz w:val="20"/>
                <w:szCs w:val="20"/>
              </w:rPr>
            </w:pPr>
            <w:r w:rsidRPr="009A010C">
              <w:rPr>
                <w:sz w:val="20"/>
                <w:szCs w:val="20"/>
              </w:rPr>
              <w:t>2</w:t>
            </w:r>
          </w:p>
        </w:tc>
        <w:tc>
          <w:tcPr>
            <w:tcW w:w="498" w:type="pct"/>
            <w:tcMar>
              <w:top w:w="0" w:type="dxa"/>
              <w:left w:w="108" w:type="dxa"/>
              <w:bottom w:w="0" w:type="dxa"/>
              <w:right w:w="108" w:type="dxa"/>
            </w:tcMar>
            <w:vAlign w:val="center"/>
            <w:hideMark/>
          </w:tcPr>
          <w:p w:rsidR="008241A7" w:rsidRPr="009A010C" w:rsidRDefault="008241A7" w:rsidP="0010320D">
            <w:pPr>
              <w:jc w:val="right"/>
              <w:rPr>
                <w:color w:val="000000"/>
                <w:sz w:val="20"/>
                <w:szCs w:val="20"/>
              </w:rPr>
            </w:pPr>
            <w:r w:rsidRPr="009A010C">
              <w:rPr>
                <w:color w:val="000000"/>
                <w:sz w:val="20"/>
                <w:szCs w:val="20"/>
              </w:rPr>
              <w:t>3</w:t>
            </w:r>
          </w:p>
        </w:tc>
        <w:tc>
          <w:tcPr>
            <w:tcW w:w="2121" w:type="pct"/>
            <w:tcMar>
              <w:top w:w="0" w:type="dxa"/>
              <w:left w:w="108" w:type="dxa"/>
              <w:bottom w:w="0" w:type="dxa"/>
              <w:right w:w="108" w:type="dxa"/>
            </w:tcMar>
            <w:hideMark/>
          </w:tcPr>
          <w:p w:rsidR="008241A7" w:rsidRPr="009A010C" w:rsidRDefault="008241A7" w:rsidP="0010320D">
            <w:pPr>
              <w:rPr>
                <w:color w:val="000000"/>
                <w:sz w:val="20"/>
                <w:szCs w:val="20"/>
              </w:rPr>
            </w:pPr>
            <w:r w:rsidRPr="009A010C">
              <w:rPr>
                <w:sz w:val="20"/>
                <w:szCs w:val="20"/>
              </w:rPr>
              <w:t xml:space="preserve">Ongoing, </w:t>
            </w:r>
            <w:r w:rsidRPr="009A010C">
              <w:rPr>
                <w:color w:val="000000"/>
                <w:sz w:val="20"/>
                <w:szCs w:val="20"/>
              </w:rPr>
              <w:t>NOM-026-Energy Efficiency (EE) for inverter AC developed; NOM-021-ENER/SCFI EE for window AC updated and published; EE standards for AC equipment (023-ENER-2010) currently updated</w:t>
            </w:r>
          </w:p>
        </w:tc>
      </w:tr>
    </w:tbl>
    <w:p w:rsidR="008241A7" w:rsidRPr="009A010C" w:rsidRDefault="008241A7" w:rsidP="008241A7">
      <w:pPr>
        <w:rPr>
          <w:b/>
        </w:rPr>
      </w:pPr>
    </w:p>
    <w:p w:rsidR="008241A7" w:rsidRPr="009A010C" w:rsidRDefault="008241A7" w:rsidP="008241A7">
      <w:pPr>
        <w:keepNext/>
        <w:spacing w:after="240"/>
        <w:rPr>
          <w:i/>
        </w:rPr>
      </w:pPr>
      <w:r w:rsidRPr="009A010C">
        <w:rPr>
          <w:i/>
        </w:rPr>
        <w:t>Level of fund disbursement</w:t>
      </w:r>
    </w:p>
    <w:p w:rsidR="008241A7" w:rsidRPr="00F4406E" w:rsidRDefault="008241A7" w:rsidP="008241A7">
      <w:pPr>
        <w:pStyle w:val="Heading1"/>
      </w:pPr>
      <w:r w:rsidRPr="009A010C">
        <w:t xml:space="preserve">As of September 2018, of the US $18,066,211 approved, US $16,513,657 (91 per cent) had been disbursed (US $12,297,324 for UNDP, and US $4,216,333 for UNIDO). A balance of US $1,094,398 will be disbursed prior to 2019 </w:t>
      </w:r>
      <w:r w:rsidRPr="00F4406E">
        <w:t xml:space="preserve">(Table </w:t>
      </w:r>
      <w:r w:rsidR="002464DD" w:rsidRPr="00F4406E">
        <w:t>23</w:t>
      </w:r>
      <w:r w:rsidRPr="00F4406E">
        <w:t>).</w:t>
      </w:r>
    </w:p>
    <w:p w:rsidR="008241A7" w:rsidRPr="00F4406E" w:rsidRDefault="008241A7" w:rsidP="008241A7">
      <w:pPr>
        <w:widowControl w:val="0"/>
        <w:rPr>
          <w:b/>
        </w:rPr>
      </w:pPr>
      <w:r w:rsidRPr="00F4406E">
        <w:rPr>
          <w:b/>
        </w:rPr>
        <w:t xml:space="preserve">Table </w:t>
      </w:r>
      <w:r w:rsidR="002464DD" w:rsidRPr="00F4406E">
        <w:rPr>
          <w:b/>
        </w:rPr>
        <w:t>23</w:t>
      </w:r>
      <w:r w:rsidRPr="00F4406E">
        <w:rPr>
          <w:b/>
        </w:rPr>
        <w:t>. Financial report of stage I of the HPMP for Mexico as of September 2018 (US $)</w:t>
      </w:r>
    </w:p>
    <w:tbl>
      <w:tblPr>
        <w:tblW w:w="9355" w:type="dxa"/>
        <w:tblInd w:w="-5" w:type="dxa"/>
        <w:tblLook w:val="04A0" w:firstRow="1" w:lastRow="0" w:firstColumn="1" w:lastColumn="0" w:noHBand="0" w:noVBand="1"/>
      </w:tblPr>
      <w:tblGrid>
        <w:gridCol w:w="2977"/>
        <w:gridCol w:w="861"/>
        <w:gridCol w:w="1124"/>
        <w:gridCol w:w="1116"/>
        <w:gridCol w:w="726"/>
        <w:gridCol w:w="1463"/>
        <w:gridCol w:w="1088"/>
      </w:tblGrid>
      <w:tr w:rsidR="008241A7" w:rsidRPr="009A010C" w:rsidTr="00A75012">
        <w:trPr>
          <w:trHeight w:val="58"/>
          <w:tblHeader/>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41A7" w:rsidRPr="00F4406E" w:rsidRDefault="008241A7" w:rsidP="0010320D">
            <w:pPr>
              <w:widowControl w:val="0"/>
              <w:jc w:val="center"/>
              <w:rPr>
                <w:b/>
                <w:bCs/>
                <w:color w:val="000000"/>
                <w:sz w:val="20"/>
                <w:szCs w:val="20"/>
                <w:lang w:val="en-US"/>
              </w:rPr>
            </w:pPr>
            <w:r w:rsidRPr="00F4406E">
              <w:rPr>
                <w:b/>
                <w:bCs/>
                <w:color w:val="000000"/>
                <w:sz w:val="20"/>
                <w:szCs w:val="20"/>
                <w:lang w:val="en-US"/>
              </w:rPr>
              <w:t>Component</w:t>
            </w:r>
          </w:p>
        </w:tc>
        <w:tc>
          <w:tcPr>
            <w:tcW w:w="8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41A7" w:rsidRPr="00F4406E" w:rsidRDefault="008241A7" w:rsidP="0010320D">
            <w:pPr>
              <w:widowControl w:val="0"/>
              <w:jc w:val="center"/>
              <w:rPr>
                <w:b/>
                <w:bCs/>
                <w:color w:val="000000"/>
                <w:sz w:val="20"/>
                <w:szCs w:val="20"/>
                <w:lang w:val="en-US"/>
              </w:rPr>
            </w:pPr>
            <w:r w:rsidRPr="00F4406E">
              <w:rPr>
                <w:b/>
                <w:bCs/>
                <w:color w:val="000000"/>
                <w:sz w:val="20"/>
                <w:szCs w:val="20"/>
                <w:lang w:val="en-US"/>
              </w:rPr>
              <w:t>Agency</w:t>
            </w:r>
          </w:p>
        </w:tc>
        <w:tc>
          <w:tcPr>
            <w:tcW w:w="11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41A7" w:rsidRPr="00F4406E" w:rsidRDefault="008241A7" w:rsidP="0010320D">
            <w:pPr>
              <w:widowControl w:val="0"/>
              <w:jc w:val="center"/>
              <w:rPr>
                <w:b/>
                <w:bCs/>
                <w:color w:val="000000"/>
                <w:sz w:val="20"/>
                <w:szCs w:val="20"/>
                <w:lang w:val="en-US"/>
              </w:rPr>
            </w:pPr>
            <w:r w:rsidRPr="00F4406E">
              <w:rPr>
                <w:b/>
                <w:bCs/>
                <w:color w:val="000000"/>
                <w:sz w:val="20"/>
                <w:szCs w:val="20"/>
                <w:lang w:val="en-US"/>
              </w:rPr>
              <w:t>Funds approved (US $)</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hideMark/>
          </w:tcPr>
          <w:p w:rsidR="008241A7" w:rsidRPr="00F4406E" w:rsidRDefault="008241A7" w:rsidP="0010320D">
            <w:pPr>
              <w:widowControl w:val="0"/>
              <w:jc w:val="center"/>
              <w:rPr>
                <w:b/>
                <w:bCs/>
                <w:color w:val="000000"/>
                <w:sz w:val="20"/>
                <w:szCs w:val="20"/>
                <w:lang w:val="en-US"/>
              </w:rPr>
            </w:pPr>
            <w:r w:rsidRPr="00F4406E">
              <w:rPr>
                <w:b/>
                <w:bCs/>
                <w:color w:val="000000"/>
                <w:sz w:val="20"/>
                <w:szCs w:val="20"/>
                <w:lang w:val="en-US"/>
              </w:rPr>
              <w:t>Funds disbursed</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41A7" w:rsidRPr="00F4406E" w:rsidRDefault="008241A7" w:rsidP="0010320D">
            <w:pPr>
              <w:widowControl w:val="0"/>
              <w:jc w:val="center"/>
              <w:rPr>
                <w:b/>
                <w:bCs/>
                <w:color w:val="000000"/>
                <w:sz w:val="20"/>
                <w:szCs w:val="20"/>
                <w:lang w:val="en-US"/>
              </w:rPr>
            </w:pPr>
            <w:r w:rsidRPr="00F4406E">
              <w:rPr>
                <w:b/>
                <w:bCs/>
                <w:color w:val="000000"/>
                <w:sz w:val="20"/>
                <w:szCs w:val="20"/>
                <w:lang w:val="en-US"/>
              </w:rPr>
              <w:t>Planned disbursement (Oct. 2018 -2019) (US $)</w:t>
            </w:r>
          </w:p>
        </w:tc>
        <w:tc>
          <w:tcPr>
            <w:tcW w:w="1088" w:type="dxa"/>
            <w:vMerge w:val="restart"/>
            <w:tcBorders>
              <w:top w:val="single" w:sz="4" w:space="0" w:color="auto"/>
              <w:left w:val="single" w:sz="4" w:space="0" w:color="auto"/>
              <w:right w:val="single" w:sz="4" w:space="0" w:color="auto"/>
            </w:tcBorders>
            <w:shd w:val="clear" w:color="auto" w:fill="auto"/>
            <w:vAlign w:val="center"/>
          </w:tcPr>
          <w:p w:rsidR="008241A7" w:rsidRPr="009A010C" w:rsidRDefault="008241A7" w:rsidP="0010320D">
            <w:pPr>
              <w:widowControl w:val="0"/>
              <w:jc w:val="center"/>
              <w:rPr>
                <w:b/>
                <w:bCs/>
                <w:color w:val="000000"/>
                <w:sz w:val="20"/>
                <w:szCs w:val="20"/>
                <w:lang w:val="en-US"/>
              </w:rPr>
            </w:pPr>
            <w:r w:rsidRPr="00F4406E">
              <w:rPr>
                <w:b/>
                <w:bCs/>
                <w:color w:val="000000"/>
                <w:sz w:val="20"/>
                <w:szCs w:val="20"/>
                <w:lang w:val="en-US"/>
              </w:rPr>
              <w:t>Balance (US $)</w:t>
            </w:r>
          </w:p>
        </w:tc>
      </w:tr>
      <w:tr w:rsidR="008241A7" w:rsidRPr="009A010C" w:rsidTr="00A75012">
        <w:trPr>
          <w:trHeight w:val="58"/>
          <w:tblHeader/>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8241A7" w:rsidRPr="009A010C" w:rsidRDefault="008241A7" w:rsidP="0010320D">
            <w:pPr>
              <w:widowControl w:val="0"/>
              <w:jc w:val="left"/>
              <w:rPr>
                <w:b/>
                <w:bCs/>
                <w:color w:val="000000"/>
                <w:sz w:val="20"/>
                <w:szCs w:val="20"/>
                <w:lang w:val="en-US"/>
              </w:rPr>
            </w:pPr>
          </w:p>
        </w:tc>
        <w:tc>
          <w:tcPr>
            <w:tcW w:w="861" w:type="dxa"/>
            <w:vMerge/>
            <w:tcBorders>
              <w:top w:val="single" w:sz="4" w:space="0" w:color="auto"/>
              <w:left w:val="single" w:sz="4" w:space="0" w:color="auto"/>
              <w:bottom w:val="single" w:sz="4" w:space="0" w:color="auto"/>
              <w:right w:val="single" w:sz="4" w:space="0" w:color="auto"/>
            </w:tcBorders>
            <w:vAlign w:val="center"/>
            <w:hideMark/>
          </w:tcPr>
          <w:p w:rsidR="008241A7" w:rsidRPr="009A010C" w:rsidRDefault="008241A7" w:rsidP="0010320D">
            <w:pPr>
              <w:widowControl w:val="0"/>
              <w:jc w:val="left"/>
              <w:rPr>
                <w:b/>
                <w:bCs/>
                <w:color w:val="000000"/>
                <w:sz w:val="20"/>
                <w:szCs w:val="20"/>
                <w:lang w:val="en-US"/>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rsidR="008241A7" w:rsidRPr="009A010C" w:rsidRDefault="008241A7" w:rsidP="0010320D">
            <w:pPr>
              <w:widowControl w:val="0"/>
              <w:jc w:val="left"/>
              <w:rPr>
                <w:b/>
                <w:bCs/>
                <w:color w:val="000000"/>
                <w:sz w:val="20"/>
                <w:szCs w:val="20"/>
                <w:lang w:val="en-US"/>
              </w:rPr>
            </w:pPr>
          </w:p>
        </w:tc>
        <w:tc>
          <w:tcPr>
            <w:tcW w:w="1116"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center"/>
              <w:rPr>
                <w:b/>
                <w:bCs/>
                <w:color w:val="000000"/>
                <w:sz w:val="20"/>
                <w:szCs w:val="20"/>
                <w:lang w:val="en-US"/>
              </w:rPr>
            </w:pPr>
            <w:r w:rsidRPr="009A010C">
              <w:rPr>
                <w:b/>
                <w:bCs/>
                <w:color w:val="000000"/>
                <w:sz w:val="20"/>
                <w:szCs w:val="20"/>
                <w:lang w:val="en-US"/>
              </w:rPr>
              <w:t>(US $)</w:t>
            </w:r>
          </w:p>
        </w:tc>
        <w:tc>
          <w:tcPr>
            <w:tcW w:w="726" w:type="dxa"/>
            <w:tcBorders>
              <w:top w:val="nil"/>
              <w:left w:val="nil"/>
              <w:bottom w:val="single" w:sz="4" w:space="0" w:color="auto"/>
              <w:right w:val="single" w:sz="4" w:space="0" w:color="auto"/>
            </w:tcBorders>
            <w:shd w:val="clear" w:color="auto" w:fill="auto"/>
            <w:vAlign w:val="center"/>
            <w:hideMark/>
          </w:tcPr>
          <w:p w:rsidR="008241A7" w:rsidRPr="009A010C" w:rsidRDefault="008241A7" w:rsidP="0010320D">
            <w:pPr>
              <w:widowControl w:val="0"/>
              <w:jc w:val="center"/>
              <w:rPr>
                <w:b/>
                <w:bCs/>
                <w:color w:val="000000"/>
                <w:sz w:val="20"/>
                <w:szCs w:val="20"/>
                <w:lang w:val="en-US"/>
              </w:rPr>
            </w:pPr>
            <w:r w:rsidRPr="009A010C">
              <w:rPr>
                <w:b/>
                <w:bCs/>
                <w:color w:val="000000"/>
                <w:sz w:val="20"/>
                <w:szCs w:val="20"/>
                <w:lang w:val="en-US"/>
              </w:rPr>
              <w:t>(%)</w:t>
            </w:r>
          </w:p>
        </w:tc>
        <w:tc>
          <w:tcPr>
            <w:tcW w:w="14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241A7" w:rsidRPr="009A010C" w:rsidRDefault="008241A7" w:rsidP="0010320D">
            <w:pPr>
              <w:widowControl w:val="0"/>
              <w:jc w:val="left"/>
              <w:rPr>
                <w:b/>
                <w:bCs/>
                <w:color w:val="000000"/>
                <w:sz w:val="20"/>
                <w:szCs w:val="20"/>
                <w:lang w:val="en-US"/>
              </w:rPr>
            </w:pPr>
          </w:p>
        </w:tc>
        <w:tc>
          <w:tcPr>
            <w:tcW w:w="1088" w:type="dxa"/>
            <w:vMerge/>
            <w:tcBorders>
              <w:left w:val="single" w:sz="4" w:space="0" w:color="auto"/>
              <w:bottom w:val="single" w:sz="4" w:space="0" w:color="auto"/>
              <w:right w:val="single" w:sz="4" w:space="0" w:color="auto"/>
            </w:tcBorders>
            <w:shd w:val="clear" w:color="auto" w:fill="auto"/>
          </w:tcPr>
          <w:p w:rsidR="008241A7" w:rsidRPr="009A010C" w:rsidRDefault="008241A7" w:rsidP="0010320D">
            <w:pPr>
              <w:widowControl w:val="0"/>
              <w:jc w:val="left"/>
              <w:rPr>
                <w:b/>
                <w:bCs/>
                <w:color w:val="000000"/>
                <w:sz w:val="20"/>
                <w:szCs w:val="20"/>
                <w:lang w:val="en-US"/>
              </w:rPr>
            </w:pPr>
          </w:p>
        </w:tc>
      </w:tr>
      <w:tr w:rsidR="008241A7" w:rsidRPr="009A010C" w:rsidTr="0010320D">
        <w:trPr>
          <w:trHeight w:val="71"/>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left"/>
              <w:rPr>
                <w:color w:val="000000"/>
                <w:sz w:val="20"/>
                <w:szCs w:val="20"/>
                <w:lang w:val="en-US"/>
              </w:rPr>
            </w:pPr>
            <w:r w:rsidRPr="009A010C">
              <w:rPr>
                <w:color w:val="000000"/>
                <w:sz w:val="20"/>
                <w:szCs w:val="20"/>
                <w:lang w:val="en-US"/>
              </w:rPr>
              <w:t>PU foam (</w:t>
            </w:r>
            <w:proofErr w:type="spellStart"/>
            <w:r w:rsidRPr="009A010C">
              <w:rPr>
                <w:color w:val="000000"/>
                <w:sz w:val="20"/>
                <w:szCs w:val="20"/>
                <w:lang w:val="en-US"/>
              </w:rPr>
              <w:t>Mabe</w:t>
            </w:r>
            <w:proofErr w:type="spellEnd"/>
            <w:r w:rsidRPr="009A010C">
              <w:rPr>
                <w:color w:val="000000"/>
                <w:sz w:val="20"/>
                <w:szCs w:val="20"/>
                <w:lang w:val="en-US"/>
              </w:rPr>
              <w:t>)</w:t>
            </w:r>
          </w:p>
        </w:tc>
        <w:tc>
          <w:tcPr>
            <w:tcW w:w="8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left"/>
              <w:rPr>
                <w:color w:val="000000"/>
                <w:sz w:val="20"/>
                <w:szCs w:val="20"/>
                <w:lang w:val="en-US"/>
              </w:rPr>
            </w:pPr>
            <w:r w:rsidRPr="009A010C">
              <w:rPr>
                <w:color w:val="000000"/>
                <w:sz w:val="20"/>
                <w:szCs w:val="20"/>
                <w:lang w:val="en-US"/>
              </w:rPr>
              <w:t>UNDP</w:t>
            </w:r>
          </w:p>
        </w:tc>
        <w:tc>
          <w:tcPr>
            <w:tcW w:w="1124"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2,428,987</w:t>
            </w:r>
          </w:p>
        </w:tc>
        <w:tc>
          <w:tcPr>
            <w:tcW w:w="1116"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2,423,483</w:t>
            </w:r>
          </w:p>
        </w:tc>
        <w:tc>
          <w:tcPr>
            <w:tcW w:w="726" w:type="dxa"/>
            <w:tcBorders>
              <w:top w:val="nil"/>
              <w:left w:val="nil"/>
              <w:bottom w:val="single" w:sz="4" w:space="0" w:color="auto"/>
              <w:right w:val="single" w:sz="4" w:space="0" w:color="auto"/>
            </w:tcBorders>
            <w:shd w:val="clear" w:color="auto" w:fill="auto"/>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99.8</w:t>
            </w:r>
          </w:p>
        </w:tc>
        <w:tc>
          <w:tcPr>
            <w:tcW w:w="1463"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0</w:t>
            </w:r>
          </w:p>
        </w:tc>
        <w:tc>
          <w:tcPr>
            <w:tcW w:w="1088" w:type="dxa"/>
            <w:tcBorders>
              <w:top w:val="nil"/>
              <w:left w:val="nil"/>
              <w:bottom w:val="single" w:sz="4" w:space="0" w:color="auto"/>
              <w:right w:val="single" w:sz="4" w:space="0" w:color="auto"/>
            </w:tcBorders>
            <w:shd w:val="clear" w:color="auto" w:fill="auto"/>
          </w:tcPr>
          <w:p w:rsidR="008241A7" w:rsidRPr="009A010C" w:rsidRDefault="008241A7" w:rsidP="0010320D">
            <w:pPr>
              <w:widowControl w:val="0"/>
              <w:jc w:val="right"/>
              <w:rPr>
                <w:color w:val="000000"/>
                <w:sz w:val="20"/>
                <w:szCs w:val="20"/>
                <w:lang w:val="en-US"/>
              </w:rPr>
            </w:pPr>
            <w:r w:rsidRPr="009A010C">
              <w:rPr>
                <w:color w:val="000000"/>
                <w:sz w:val="20"/>
                <w:szCs w:val="20"/>
                <w:lang w:val="en-US"/>
              </w:rPr>
              <w:t>5,504</w:t>
            </w:r>
          </w:p>
        </w:tc>
      </w:tr>
      <w:tr w:rsidR="008241A7" w:rsidRPr="009A010C" w:rsidTr="0010320D">
        <w:trPr>
          <w:trHeight w:val="10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left"/>
              <w:rPr>
                <w:color w:val="000000"/>
                <w:sz w:val="20"/>
                <w:szCs w:val="20"/>
                <w:lang w:val="en-US"/>
              </w:rPr>
            </w:pPr>
            <w:r w:rsidRPr="009A010C">
              <w:rPr>
                <w:color w:val="000000"/>
                <w:sz w:val="20"/>
                <w:szCs w:val="20"/>
                <w:lang w:val="en-US"/>
              </w:rPr>
              <w:t>PU foam (systems houses) *</w:t>
            </w:r>
          </w:p>
        </w:tc>
        <w:tc>
          <w:tcPr>
            <w:tcW w:w="861" w:type="dxa"/>
            <w:vMerge/>
            <w:tcBorders>
              <w:top w:val="nil"/>
              <w:left w:val="single" w:sz="4" w:space="0" w:color="auto"/>
              <w:bottom w:val="single" w:sz="4" w:space="0" w:color="auto"/>
              <w:right w:val="single" w:sz="4" w:space="0" w:color="auto"/>
            </w:tcBorders>
            <w:vAlign w:val="center"/>
            <w:hideMark/>
          </w:tcPr>
          <w:p w:rsidR="008241A7" w:rsidRPr="009A010C" w:rsidRDefault="008241A7" w:rsidP="0010320D">
            <w:pPr>
              <w:widowControl w:val="0"/>
              <w:jc w:val="left"/>
              <w:rPr>
                <w:color w:val="000000"/>
                <w:sz w:val="20"/>
                <w:szCs w:val="20"/>
                <w:lang w:val="en-US"/>
              </w:rPr>
            </w:pPr>
          </w:p>
        </w:tc>
        <w:tc>
          <w:tcPr>
            <w:tcW w:w="1124"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9,931,471</w:t>
            </w:r>
          </w:p>
        </w:tc>
        <w:tc>
          <w:tcPr>
            <w:tcW w:w="1116"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9,328,841</w:t>
            </w:r>
          </w:p>
        </w:tc>
        <w:tc>
          <w:tcPr>
            <w:tcW w:w="726" w:type="dxa"/>
            <w:tcBorders>
              <w:top w:val="nil"/>
              <w:left w:val="nil"/>
              <w:bottom w:val="single" w:sz="4" w:space="0" w:color="auto"/>
              <w:right w:val="single" w:sz="4" w:space="0" w:color="auto"/>
            </w:tcBorders>
            <w:shd w:val="clear" w:color="auto" w:fill="auto"/>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93.9</w:t>
            </w:r>
          </w:p>
        </w:tc>
        <w:tc>
          <w:tcPr>
            <w:tcW w:w="1463"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150,000</w:t>
            </w:r>
          </w:p>
        </w:tc>
        <w:tc>
          <w:tcPr>
            <w:tcW w:w="1088" w:type="dxa"/>
            <w:tcBorders>
              <w:top w:val="nil"/>
              <w:left w:val="nil"/>
              <w:bottom w:val="single" w:sz="4" w:space="0" w:color="auto"/>
              <w:right w:val="single" w:sz="4" w:space="0" w:color="auto"/>
            </w:tcBorders>
            <w:shd w:val="clear" w:color="auto" w:fill="auto"/>
          </w:tcPr>
          <w:p w:rsidR="008241A7" w:rsidRPr="009A010C" w:rsidRDefault="008241A7" w:rsidP="0010320D">
            <w:pPr>
              <w:widowControl w:val="0"/>
              <w:jc w:val="right"/>
              <w:rPr>
                <w:color w:val="000000"/>
                <w:sz w:val="20"/>
                <w:szCs w:val="20"/>
                <w:lang w:val="en-US"/>
              </w:rPr>
            </w:pPr>
            <w:r w:rsidRPr="009A010C">
              <w:rPr>
                <w:color w:val="000000"/>
                <w:sz w:val="20"/>
                <w:szCs w:val="20"/>
                <w:lang w:val="en-US"/>
              </w:rPr>
              <w:t>452,630</w:t>
            </w:r>
          </w:p>
        </w:tc>
      </w:tr>
      <w:tr w:rsidR="008241A7" w:rsidRPr="009A010C" w:rsidTr="0010320D">
        <w:trPr>
          <w:trHeight w:val="58"/>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left"/>
              <w:rPr>
                <w:color w:val="000000"/>
                <w:sz w:val="20"/>
                <w:szCs w:val="20"/>
                <w:lang w:val="en-US"/>
              </w:rPr>
            </w:pPr>
            <w:r w:rsidRPr="009A010C">
              <w:rPr>
                <w:color w:val="000000"/>
                <w:sz w:val="20"/>
                <w:szCs w:val="20"/>
                <w:lang w:val="en-US"/>
              </w:rPr>
              <w:t>XPS foam (two enterprises)</w:t>
            </w:r>
          </w:p>
        </w:tc>
        <w:tc>
          <w:tcPr>
            <w:tcW w:w="861" w:type="dxa"/>
            <w:vMerge/>
            <w:tcBorders>
              <w:top w:val="nil"/>
              <w:left w:val="single" w:sz="4" w:space="0" w:color="auto"/>
              <w:bottom w:val="single" w:sz="4" w:space="0" w:color="auto"/>
              <w:right w:val="single" w:sz="4" w:space="0" w:color="auto"/>
            </w:tcBorders>
            <w:vAlign w:val="center"/>
            <w:hideMark/>
          </w:tcPr>
          <w:p w:rsidR="008241A7" w:rsidRPr="009A010C" w:rsidRDefault="008241A7" w:rsidP="0010320D">
            <w:pPr>
              <w:widowControl w:val="0"/>
              <w:jc w:val="left"/>
              <w:rPr>
                <w:color w:val="000000"/>
                <w:sz w:val="20"/>
                <w:szCs w:val="20"/>
                <w:lang w:val="en-US"/>
              </w:rPr>
            </w:pPr>
          </w:p>
        </w:tc>
        <w:tc>
          <w:tcPr>
            <w:tcW w:w="1124"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1,293,558</w:t>
            </w:r>
          </w:p>
        </w:tc>
        <w:tc>
          <w:tcPr>
            <w:tcW w:w="1116"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545,000</w:t>
            </w:r>
          </w:p>
        </w:tc>
        <w:tc>
          <w:tcPr>
            <w:tcW w:w="726" w:type="dxa"/>
            <w:tcBorders>
              <w:top w:val="nil"/>
              <w:left w:val="nil"/>
              <w:bottom w:val="single" w:sz="4" w:space="0" w:color="auto"/>
              <w:right w:val="single" w:sz="4" w:space="0" w:color="auto"/>
            </w:tcBorders>
            <w:shd w:val="clear" w:color="auto" w:fill="auto"/>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42.1</w:t>
            </w:r>
          </w:p>
        </w:tc>
        <w:tc>
          <w:tcPr>
            <w:tcW w:w="1463"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10320D">
            <w:pPr>
              <w:widowControl w:val="0"/>
              <w:jc w:val="right"/>
              <w:rPr>
                <w:color w:val="000000"/>
                <w:sz w:val="20"/>
                <w:szCs w:val="20"/>
                <w:lang w:val="en-US"/>
              </w:rPr>
            </w:pPr>
            <w:r w:rsidRPr="009A010C">
              <w:rPr>
                <w:color w:val="000000"/>
                <w:sz w:val="20"/>
                <w:szCs w:val="20"/>
                <w:lang w:val="en-US"/>
              </w:rPr>
              <w:t>748,558</w:t>
            </w:r>
          </w:p>
        </w:tc>
        <w:tc>
          <w:tcPr>
            <w:tcW w:w="1088" w:type="dxa"/>
            <w:tcBorders>
              <w:top w:val="nil"/>
              <w:left w:val="nil"/>
              <w:bottom w:val="single" w:sz="4" w:space="0" w:color="auto"/>
              <w:right w:val="single" w:sz="4" w:space="0" w:color="auto"/>
            </w:tcBorders>
            <w:shd w:val="clear" w:color="auto" w:fill="auto"/>
          </w:tcPr>
          <w:p w:rsidR="008241A7" w:rsidRPr="009A010C" w:rsidRDefault="008241A7" w:rsidP="0010320D">
            <w:pPr>
              <w:widowControl w:val="0"/>
              <w:jc w:val="right"/>
              <w:rPr>
                <w:color w:val="000000"/>
                <w:sz w:val="20"/>
                <w:szCs w:val="20"/>
                <w:lang w:val="en-US"/>
              </w:rPr>
            </w:pPr>
            <w:r w:rsidRPr="009A010C">
              <w:rPr>
                <w:color w:val="000000"/>
                <w:sz w:val="20"/>
                <w:szCs w:val="20"/>
                <w:lang w:val="en-US"/>
              </w:rPr>
              <w:t>0 **</w:t>
            </w:r>
          </w:p>
        </w:tc>
      </w:tr>
      <w:tr w:rsidR="008241A7" w:rsidRPr="009A010C" w:rsidTr="0010320D">
        <w:trPr>
          <w:trHeight w:val="58"/>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A75012">
            <w:pPr>
              <w:keepNext/>
              <w:jc w:val="left"/>
              <w:rPr>
                <w:color w:val="000000"/>
                <w:sz w:val="20"/>
                <w:szCs w:val="20"/>
                <w:lang w:val="es-CO"/>
              </w:rPr>
            </w:pPr>
            <w:r w:rsidRPr="009A010C">
              <w:rPr>
                <w:color w:val="000000"/>
                <w:sz w:val="20"/>
                <w:szCs w:val="20"/>
                <w:lang w:val="pt-BR"/>
              </w:rPr>
              <w:lastRenderedPageBreak/>
              <w:t>PU foam (Metalfrío, Fersa, Ojeda)</w:t>
            </w:r>
          </w:p>
        </w:tc>
        <w:tc>
          <w:tcPr>
            <w:tcW w:w="86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A75012">
            <w:pPr>
              <w:keepNext/>
              <w:jc w:val="left"/>
              <w:rPr>
                <w:color w:val="000000"/>
                <w:sz w:val="20"/>
                <w:szCs w:val="20"/>
                <w:lang w:val="en-US"/>
              </w:rPr>
            </w:pPr>
            <w:r w:rsidRPr="009A010C">
              <w:rPr>
                <w:color w:val="000000"/>
                <w:sz w:val="20"/>
                <w:szCs w:val="20"/>
                <w:lang w:val="en-US"/>
              </w:rPr>
              <w:t>UNIDO</w:t>
            </w:r>
          </w:p>
        </w:tc>
        <w:tc>
          <w:tcPr>
            <w:tcW w:w="1124"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2,046,110</w:t>
            </w:r>
          </w:p>
        </w:tc>
        <w:tc>
          <w:tcPr>
            <w:tcW w:w="1116"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1,851,911</w:t>
            </w:r>
          </w:p>
        </w:tc>
        <w:tc>
          <w:tcPr>
            <w:tcW w:w="726" w:type="dxa"/>
            <w:tcBorders>
              <w:top w:val="nil"/>
              <w:left w:val="nil"/>
              <w:bottom w:val="single" w:sz="4" w:space="0" w:color="auto"/>
              <w:right w:val="single" w:sz="4" w:space="0" w:color="auto"/>
            </w:tcBorders>
            <w:shd w:val="clear" w:color="auto" w:fill="auto"/>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90.5</w:t>
            </w:r>
          </w:p>
        </w:tc>
        <w:tc>
          <w:tcPr>
            <w:tcW w:w="1463"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194,199</w:t>
            </w:r>
          </w:p>
        </w:tc>
        <w:tc>
          <w:tcPr>
            <w:tcW w:w="1088" w:type="dxa"/>
            <w:tcBorders>
              <w:top w:val="nil"/>
              <w:left w:val="nil"/>
              <w:bottom w:val="single" w:sz="4" w:space="0" w:color="auto"/>
              <w:right w:val="single" w:sz="4" w:space="0" w:color="auto"/>
            </w:tcBorders>
            <w:shd w:val="clear" w:color="auto" w:fill="auto"/>
            <w:vAlign w:val="center"/>
          </w:tcPr>
          <w:p w:rsidR="008241A7" w:rsidRPr="009A010C" w:rsidRDefault="008241A7" w:rsidP="00A75012">
            <w:pPr>
              <w:keepNext/>
              <w:jc w:val="right"/>
              <w:rPr>
                <w:color w:val="000000"/>
                <w:sz w:val="20"/>
                <w:szCs w:val="20"/>
                <w:lang w:val="en-US"/>
              </w:rPr>
            </w:pPr>
            <w:r w:rsidRPr="009A010C">
              <w:rPr>
                <w:color w:val="000000"/>
                <w:sz w:val="20"/>
                <w:szCs w:val="20"/>
                <w:lang w:val="en-US"/>
              </w:rPr>
              <w:t>0</w:t>
            </w:r>
          </w:p>
        </w:tc>
      </w:tr>
      <w:tr w:rsidR="008241A7" w:rsidRPr="009A010C" w:rsidTr="0010320D">
        <w:trPr>
          <w:trHeight w:val="10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A75012">
            <w:pPr>
              <w:keepNext/>
              <w:jc w:val="left"/>
              <w:rPr>
                <w:color w:val="000000"/>
                <w:sz w:val="20"/>
                <w:szCs w:val="20"/>
                <w:lang w:val="en-US"/>
              </w:rPr>
            </w:pPr>
            <w:r w:rsidRPr="009A010C">
              <w:rPr>
                <w:color w:val="000000"/>
                <w:sz w:val="20"/>
                <w:szCs w:val="20"/>
                <w:lang w:val="en-US"/>
              </w:rPr>
              <w:t>Aerosol (</w:t>
            </w:r>
            <w:proofErr w:type="spellStart"/>
            <w:r w:rsidRPr="009A010C">
              <w:rPr>
                <w:color w:val="000000"/>
                <w:sz w:val="20"/>
                <w:szCs w:val="20"/>
                <w:lang w:val="en-US"/>
              </w:rPr>
              <w:t>Silimex</w:t>
            </w:r>
            <w:proofErr w:type="spellEnd"/>
            <w:r w:rsidRPr="009A010C">
              <w:rPr>
                <w:color w:val="000000"/>
                <w:sz w:val="20"/>
                <w:szCs w:val="20"/>
                <w:lang w:val="en-US"/>
              </w:rPr>
              <w:t>)</w:t>
            </w:r>
          </w:p>
        </w:tc>
        <w:tc>
          <w:tcPr>
            <w:tcW w:w="861" w:type="dxa"/>
            <w:vMerge/>
            <w:tcBorders>
              <w:top w:val="nil"/>
              <w:left w:val="single" w:sz="4" w:space="0" w:color="auto"/>
              <w:bottom w:val="single" w:sz="4" w:space="0" w:color="auto"/>
              <w:right w:val="single" w:sz="4" w:space="0" w:color="auto"/>
            </w:tcBorders>
            <w:vAlign w:val="center"/>
            <w:hideMark/>
          </w:tcPr>
          <w:p w:rsidR="008241A7" w:rsidRPr="009A010C" w:rsidRDefault="008241A7" w:rsidP="00A75012">
            <w:pPr>
              <w:keepNext/>
              <w:jc w:val="left"/>
              <w:rPr>
                <w:color w:val="000000"/>
                <w:sz w:val="20"/>
                <w:szCs w:val="20"/>
                <w:lang w:val="en-US"/>
              </w:rPr>
            </w:pPr>
          </w:p>
        </w:tc>
        <w:tc>
          <w:tcPr>
            <w:tcW w:w="1124"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520,916</w:t>
            </w:r>
          </w:p>
        </w:tc>
        <w:tc>
          <w:tcPr>
            <w:tcW w:w="1116"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520,894</w:t>
            </w:r>
          </w:p>
        </w:tc>
        <w:tc>
          <w:tcPr>
            <w:tcW w:w="726" w:type="dxa"/>
            <w:tcBorders>
              <w:top w:val="nil"/>
              <w:left w:val="nil"/>
              <w:bottom w:val="single" w:sz="4" w:space="0" w:color="auto"/>
              <w:right w:val="single" w:sz="4" w:space="0" w:color="auto"/>
            </w:tcBorders>
            <w:shd w:val="clear" w:color="auto" w:fill="auto"/>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100.0</w:t>
            </w:r>
          </w:p>
        </w:tc>
        <w:tc>
          <w:tcPr>
            <w:tcW w:w="1463"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0</w:t>
            </w:r>
          </w:p>
        </w:tc>
        <w:tc>
          <w:tcPr>
            <w:tcW w:w="1088" w:type="dxa"/>
            <w:tcBorders>
              <w:top w:val="nil"/>
              <w:left w:val="nil"/>
              <w:bottom w:val="single" w:sz="4" w:space="0" w:color="auto"/>
              <w:right w:val="single" w:sz="4" w:space="0" w:color="auto"/>
            </w:tcBorders>
            <w:shd w:val="clear" w:color="auto" w:fill="auto"/>
          </w:tcPr>
          <w:p w:rsidR="008241A7" w:rsidRPr="009A010C" w:rsidRDefault="008241A7" w:rsidP="00A75012">
            <w:pPr>
              <w:keepNext/>
              <w:jc w:val="right"/>
              <w:rPr>
                <w:color w:val="000000"/>
                <w:sz w:val="20"/>
                <w:szCs w:val="20"/>
                <w:lang w:val="en-US"/>
              </w:rPr>
            </w:pPr>
            <w:r w:rsidRPr="009A010C">
              <w:rPr>
                <w:color w:val="000000"/>
                <w:sz w:val="20"/>
                <w:szCs w:val="20"/>
                <w:lang w:val="en-US"/>
              </w:rPr>
              <w:t>22</w:t>
            </w:r>
          </w:p>
        </w:tc>
      </w:tr>
      <w:tr w:rsidR="008241A7" w:rsidRPr="009A010C" w:rsidTr="0010320D">
        <w:trPr>
          <w:trHeight w:val="58"/>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A75012">
            <w:pPr>
              <w:keepNext/>
              <w:jc w:val="left"/>
              <w:rPr>
                <w:color w:val="000000"/>
                <w:sz w:val="20"/>
                <w:szCs w:val="20"/>
                <w:lang w:val="en-US"/>
              </w:rPr>
            </w:pPr>
            <w:r w:rsidRPr="009A010C">
              <w:rPr>
                <w:color w:val="000000"/>
                <w:sz w:val="20"/>
                <w:szCs w:val="20"/>
                <w:lang w:val="en-US"/>
              </w:rPr>
              <w:t>Refrigeration servicing sector</w:t>
            </w:r>
          </w:p>
        </w:tc>
        <w:tc>
          <w:tcPr>
            <w:tcW w:w="861" w:type="dxa"/>
            <w:vMerge/>
            <w:tcBorders>
              <w:top w:val="nil"/>
              <w:left w:val="single" w:sz="4" w:space="0" w:color="auto"/>
              <w:bottom w:val="single" w:sz="4" w:space="0" w:color="auto"/>
              <w:right w:val="single" w:sz="4" w:space="0" w:color="auto"/>
            </w:tcBorders>
            <w:vAlign w:val="center"/>
            <w:hideMark/>
          </w:tcPr>
          <w:p w:rsidR="008241A7" w:rsidRPr="009A010C" w:rsidRDefault="008241A7" w:rsidP="00A75012">
            <w:pPr>
              <w:keepNext/>
              <w:jc w:val="left"/>
              <w:rPr>
                <w:color w:val="000000"/>
                <w:sz w:val="20"/>
                <w:szCs w:val="20"/>
                <w:lang w:val="en-US"/>
              </w:rPr>
            </w:pPr>
          </w:p>
        </w:tc>
        <w:tc>
          <w:tcPr>
            <w:tcW w:w="1124"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1,845,169</w:t>
            </w:r>
          </w:p>
        </w:tc>
        <w:tc>
          <w:tcPr>
            <w:tcW w:w="1116"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1,843,528</w:t>
            </w:r>
          </w:p>
        </w:tc>
        <w:tc>
          <w:tcPr>
            <w:tcW w:w="726" w:type="dxa"/>
            <w:tcBorders>
              <w:top w:val="nil"/>
              <w:left w:val="nil"/>
              <w:bottom w:val="single" w:sz="4" w:space="0" w:color="auto"/>
              <w:right w:val="single" w:sz="4" w:space="0" w:color="auto"/>
            </w:tcBorders>
            <w:shd w:val="clear" w:color="auto" w:fill="auto"/>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99.9</w:t>
            </w:r>
          </w:p>
        </w:tc>
        <w:tc>
          <w:tcPr>
            <w:tcW w:w="1463"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color w:val="000000"/>
                <w:sz w:val="20"/>
                <w:szCs w:val="20"/>
                <w:lang w:val="en-US"/>
              </w:rPr>
            </w:pPr>
            <w:r w:rsidRPr="009A010C">
              <w:rPr>
                <w:color w:val="000000"/>
                <w:sz w:val="20"/>
                <w:szCs w:val="20"/>
                <w:lang w:val="en-US"/>
              </w:rPr>
              <w:t>1,641</w:t>
            </w:r>
          </w:p>
        </w:tc>
        <w:tc>
          <w:tcPr>
            <w:tcW w:w="1088" w:type="dxa"/>
            <w:tcBorders>
              <w:top w:val="nil"/>
              <w:left w:val="nil"/>
              <w:bottom w:val="single" w:sz="4" w:space="0" w:color="auto"/>
              <w:right w:val="single" w:sz="4" w:space="0" w:color="auto"/>
            </w:tcBorders>
            <w:shd w:val="clear" w:color="auto" w:fill="auto"/>
          </w:tcPr>
          <w:p w:rsidR="008241A7" w:rsidRPr="009A010C" w:rsidRDefault="008241A7" w:rsidP="00A75012">
            <w:pPr>
              <w:keepNext/>
              <w:jc w:val="right"/>
              <w:rPr>
                <w:color w:val="000000"/>
                <w:sz w:val="20"/>
                <w:szCs w:val="20"/>
                <w:lang w:val="en-US"/>
              </w:rPr>
            </w:pPr>
            <w:r w:rsidRPr="009A010C">
              <w:rPr>
                <w:color w:val="000000"/>
                <w:sz w:val="20"/>
                <w:szCs w:val="20"/>
                <w:lang w:val="en-US"/>
              </w:rPr>
              <w:t>0</w:t>
            </w:r>
          </w:p>
        </w:tc>
      </w:tr>
      <w:tr w:rsidR="008241A7" w:rsidRPr="009A010C" w:rsidTr="0010320D">
        <w:trPr>
          <w:trHeight w:val="58"/>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8241A7" w:rsidRPr="009A010C" w:rsidRDefault="008241A7" w:rsidP="00A75012">
            <w:pPr>
              <w:keepNext/>
              <w:jc w:val="left"/>
              <w:rPr>
                <w:b/>
                <w:bCs/>
                <w:color w:val="000000"/>
                <w:sz w:val="20"/>
                <w:szCs w:val="20"/>
                <w:lang w:val="en-US"/>
              </w:rPr>
            </w:pPr>
            <w:r w:rsidRPr="009A010C">
              <w:rPr>
                <w:b/>
                <w:bCs/>
                <w:color w:val="000000"/>
                <w:sz w:val="20"/>
                <w:szCs w:val="20"/>
                <w:lang w:val="en-US"/>
              </w:rPr>
              <w:t>Total</w:t>
            </w:r>
          </w:p>
        </w:tc>
        <w:tc>
          <w:tcPr>
            <w:tcW w:w="861" w:type="dxa"/>
            <w:tcBorders>
              <w:top w:val="nil"/>
              <w:left w:val="nil"/>
              <w:bottom w:val="single" w:sz="4" w:space="0" w:color="auto"/>
              <w:right w:val="single" w:sz="4" w:space="0" w:color="auto"/>
            </w:tcBorders>
            <w:shd w:val="clear" w:color="auto" w:fill="auto"/>
            <w:noWrap/>
            <w:hideMark/>
          </w:tcPr>
          <w:p w:rsidR="008241A7" w:rsidRPr="009A010C" w:rsidRDefault="008241A7" w:rsidP="00A75012">
            <w:pPr>
              <w:keepNext/>
              <w:jc w:val="left"/>
              <w:rPr>
                <w:b/>
                <w:color w:val="000000"/>
                <w:sz w:val="20"/>
                <w:szCs w:val="20"/>
                <w:lang w:val="en-US"/>
              </w:rPr>
            </w:pPr>
            <w:r w:rsidRPr="009A010C">
              <w:rPr>
                <w:b/>
                <w:color w:val="000000"/>
                <w:sz w:val="20"/>
                <w:szCs w:val="20"/>
                <w:lang w:val="en-US"/>
              </w:rPr>
              <w:t> </w:t>
            </w:r>
          </w:p>
        </w:tc>
        <w:tc>
          <w:tcPr>
            <w:tcW w:w="1124" w:type="dxa"/>
            <w:tcBorders>
              <w:top w:val="nil"/>
              <w:left w:val="nil"/>
              <w:bottom w:val="single" w:sz="4" w:space="0" w:color="auto"/>
              <w:right w:val="single" w:sz="4" w:space="0" w:color="auto"/>
            </w:tcBorders>
            <w:shd w:val="clear" w:color="auto" w:fill="auto"/>
            <w:noWrap/>
            <w:vAlign w:val="center"/>
            <w:hideMark/>
          </w:tcPr>
          <w:p w:rsidR="008241A7" w:rsidRPr="009A010C" w:rsidRDefault="008241A7" w:rsidP="00A75012">
            <w:pPr>
              <w:keepNext/>
              <w:jc w:val="right"/>
              <w:rPr>
                <w:b/>
                <w:bCs/>
                <w:color w:val="000000"/>
                <w:sz w:val="20"/>
                <w:szCs w:val="20"/>
                <w:lang w:val="en-US"/>
              </w:rPr>
            </w:pPr>
            <w:r w:rsidRPr="009A010C">
              <w:rPr>
                <w:b/>
                <w:bCs/>
                <w:color w:val="000000"/>
                <w:sz w:val="20"/>
                <w:szCs w:val="20"/>
                <w:lang w:val="en-US"/>
              </w:rPr>
              <w:t>18,066,211</w:t>
            </w:r>
          </w:p>
        </w:tc>
        <w:tc>
          <w:tcPr>
            <w:tcW w:w="1116" w:type="dxa"/>
            <w:tcBorders>
              <w:top w:val="nil"/>
              <w:left w:val="nil"/>
              <w:bottom w:val="single" w:sz="4" w:space="0" w:color="auto"/>
              <w:right w:val="single" w:sz="4" w:space="0" w:color="auto"/>
            </w:tcBorders>
            <w:shd w:val="clear" w:color="auto" w:fill="auto"/>
            <w:noWrap/>
            <w:hideMark/>
          </w:tcPr>
          <w:p w:rsidR="008241A7" w:rsidRPr="009A010C" w:rsidRDefault="008241A7" w:rsidP="00A75012">
            <w:pPr>
              <w:keepNext/>
              <w:jc w:val="right"/>
              <w:rPr>
                <w:b/>
                <w:color w:val="000000"/>
                <w:sz w:val="20"/>
                <w:szCs w:val="20"/>
                <w:lang w:val="en-US"/>
              </w:rPr>
            </w:pPr>
            <w:r w:rsidRPr="009A010C">
              <w:rPr>
                <w:b/>
                <w:color w:val="000000"/>
                <w:sz w:val="20"/>
                <w:szCs w:val="20"/>
                <w:lang w:val="en-US"/>
              </w:rPr>
              <w:t>16,513,657</w:t>
            </w:r>
          </w:p>
        </w:tc>
        <w:tc>
          <w:tcPr>
            <w:tcW w:w="726" w:type="dxa"/>
            <w:tcBorders>
              <w:top w:val="nil"/>
              <w:left w:val="nil"/>
              <w:bottom w:val="single" w:sz="4" w:space="0" w:color="auto"/>
              <w:right w:val="single" w:sz="4" w:space="0" w:color="auto"/>
            </w:tcBorders>
            <w:shd w:val="clear" w:color="auto" w:fill="auto"/>
            <w:vAlign w:val="center"/>
            <w:hideMark/>
          </w:tcPr>
          <w:p w:rsidR="008241A7" w:rsidRPr="009A010C" w:rsidRDefault="008241A7" w:rsidP="00A75012">
            <w:pPr>
              <w:keepNext/>
              <w:jc w:val="right"/>
              <w:rPr>
                <w:b/>
                <w:color w:val="000000"/>
                <w:sz w:val="20"/>
                <w:szCs w:val="20"/>
                <w:lang w:val="en-US"/>
              </w:rPr>
            </w:pPr>
            <w:r w:rsidRPr="009A010C">
              <w:rPr>
                <w:b/>
                <w:color w:val="000000"/>
                <w:sz w:val="20"/>
                <w:szCs w:val="20"/>
                <w:lang w:val="en-US"/>
              </w:rPr>
              <w:t>91.4</w:t>
            </w:r>
          </w:p>
        </w:tc>
        <w:tc>
          <w:tcPr>
            <w:tcW w:w="1463" w:type="dxa"/>
            <w:tcBorders>
              <w:top w:val="nil"/>
              <w:left w:val="nil"/>
              <w:bottom w:val="single" w:sz="4" w:space="0" w:color="auto"/>
              <w:right w:val="single" w:sz="4" w:space="0" w:color="auto"/>
            </w:tcBorders>
            <w:shd w:val="clear" w:color="auto" w:fill="auto"/>
            <w:noWrap/>
            <w:hideMark/>
          </w:tcPr>
          <w:p w:rsidR="008241A7" w:rsidRPr="009A010C" w:rsidRDefault="008241A7" w:rsidP="00A75012">
            <w:pPr>
              <w:keepNext/>
              <w:jc w:val="right"/>
              <w:rPr>
                <w:b/>
                <w:color w:val="000000"/>
                <w:sz w:val="20"/>
                <w:szCs w:val="20"/>
                <w:lang w:val="en-US"/>
              </w:rPr>
            </w:pPr>
            <w:r w:rsidRPr="009A010C">
              <w:rPr>
                <w:b/>
                <w:color w:val="000000"/>
                <w:sz w:val="20"/>
                <w:szCs w:val="20"/>
                <w:lang w:val="en-US"/>
              </w:rPr>
              <w:t>1,094,398</w:t>
            </w:r>
          </w:p>
        </w:tc>
        <w:tc>
          <w:tcPr>
            <w:tcW w:w="1088" w:type="dxa"/>
            <w:tcBorders>
              <w:top w:val="nil"/>
              <w:left w:val="nil"/>
              <w:bottom w:val="single" w:sz="4" w:space="0" w:color="auto"/>
              <w:right w:val="single" w:sz="4" w:space="0" w:color="auto"/>
            </w:tcBorders>
            <w:shd w:val="clear" w:color="auto" w:fill="auto"/>
          </w:tcPr>
          <w:p w:rsidR="008241A7" w:rsidRPr="009A010C" w:rsidRDefault="008241A7" w:rsidP="00A75012">
            <w:pPr>
              <w:keepNext/>
              <w:jc w:val="right"/>
              <w:rPr>
                <w:b/>
                <w:color w:val="000000"/>
                <w:sz w:val="20"/>
                <w:szCs w:val="20"/>
                <w:lang w:val="en-US"/>
              </w:rPr>
            </w:pPr>
            <w:r w:rsidRPr="009A010C">
              <w:rPr>
                <w:b/>
                <w:color w:val="000000"/>
                <w:sz w:val="20"/>
                <w:szCs w:val="20"/>
                <w:lang w:val="en-US"/>
              </w:rPr>
              <w:t>458,156</w:t>
            </w:r>
          </w:p>
        </w:tc>
      </w:tr>
    </w:tbl>
    <w:p w:rsidR="008241A7" w:rsidRPr="009A010C" w:rsidRDefault="008241A7" w:rsidP="00A75012">
      <w:pPr>
        <w:keepNext/>
        <w:rPr>
          <w:sz w:val="18"/>
          <w:szCs w:val="18"/>
        </w:rPr>
      </w:pPr>
      <w:r w:rsidRPr="009A010C">
        <w:rPr>
          <w:sz w:val="18"/>
          <w:szCs w:val="18"/>
        </w:rPr>
        <w:t>* A total of US $11,225,029 had been approved for this activity. At the 79</w:t>
      </w:r>
      <w:r w:rsidRPr="009A010C">
        <w:rPr>
          <w:sz w:val="18"/>
          <w:szCs w:val="18"/>
          <w:vertAlign w:val="superscript"/>
        </w:rPr>
        <w:t>th </w:t>
      </w:r>
      <w:r w:rsidRPr="009A010C">
        <w:rPr>
          <w:sz w:val="18"/>
          <w:szCs w:val="18"/>
        </w:rPr>
        <w:t>meeting the Committee approved a reallocation of US $1,293,558 for a new activity in the XPS foam manufacturing sector.</w:t>
      </w:r>
    </w:p>
    <w:p w:rsidR="008241A7" w:rsidRPr="009A010C" w:rsidRDefault="008241A7" w:rsidP="00A75012">
      <w:pPr>
        <w:keepNext/>
        <w:rPr>
          <w:sz w:val="18"/>
          <w:szCs w:val="18"/>
        </w:rPr>
      </w:pPr>
      <w:r w:rsidRPr="009A010C">
        <w:rPr>
          <w:sz w:val="18"/>
          <w:szCs w:val="18"/>
        </w:rPr>
        <w:t xml:space="preserve">** Additional estimated savings of US $683,300 would be returned to the Fund if the enterprise </w:t>
      </w:r>
      <w:proofErr w:type="spellStart"/>
      <w:r w:rsidRPr="009A010C">
        <w:rPr>
          <w:sz w:val="18"/>
          <w:szCs w:val="18"/>
        </w:rPr>
        <w:t>Plasticos</w:t>
      </w:r>
      <w:proofErr w:type="spellEnd"/>
      <w:r w:rsidRPr="009A010C">
        <w:rPr>
          <w:sz w:val="18"/>
          <w:szCs w:val="18"/>
        </w:rPr>
        <w:t xml:space="preserve"> </w:t>
      </w:r>
      <w:proofErr w:type="spellStart"/>
      <w:r w:rsidRPr="009A010C">
        <w:rPr>
          <w:sz w:val="18"/>
          <w:szCs w:val="18"/>
        </w:rPr>
        <w:t>Espumados</w:t>
      </w:r>
      <w:proofErr w:type="spellEnd"/>
      <w:r w:rsidRPr="009A010C">
        <w:rPr>
          <w:sz w:val="18"/>
          <w:szCs w:val="18"/>
        </w:rPr>
        <w:t xml:space="preserve"> does not participate in the HPMP.</w:t>
      </w:r>
    </w:p>
    <w:p w:rsidR="008241A7" w:rsidRPr="009A010C" w:rsidRDefault="008241A7" w:rsidP="008241A7">
      <w:pPr>
        <w:widowControl w:val="0"/>
        <w:rPr>
          <w:i/>
          <w:lang w:val="en-CA"/>
        </w:rPr>
      </w:pPr>
    </w:p>
    <w:p w:rsidR="008241A7" w:rsidRPr="009A010C" w:rsidRDefault="008241A7" w:rsidP="008241A7">
      <w:pPr>
        <w:spacing w:after="240"/>
        <w:rPr>
          <w:i/>
          <w:lang w:val="en-CA"/>
        </w:rPr>
      </w:pPr>
      <w:r w:rsidRPr="009A010C">
        <w:rPr>
          <w:i/>
          <w:lang w:val="en-CA"/>
        </w:rPr>
        <w:t>Implementation plan for 2019</w:t>
      </w:r>
    </w:p>
    <w:p w:rsidR="008241A7" w:rsidRPr="009A010C" w:rsidRDefault="008241A7" w:rsidP="008241A7">
      <w:pPr>
        <w:pStyle w:val="Heading1"/>
        <w:rPr>
          <w:lang w:val="en-CA"/>
        </w:rPr>
      </w:pPr>
      <w:r w:rsidRPr="009A010C">
        <w:t xml:space="preserve">The following activities will be implemented during 2019: issuance of the TUV certificate and payment of incremental operational costs at Ojeda, last payments related to the </w:t>
      </w:r>
      <w:r w:rsidRPr="009A010C">
        <w:rPr>
          <w:lang w:val="en-CA"/>
        </w:rPr>
        <w:t>PU foam downstream-user conversions;</w:t>
      </w:r>
      <w:r w:rsidRPr="009A010C">
        <w:t xml:space="preserve"> completion of conversion of one XPS foam enterprise to HFO</w:t>
      </w:r>
      <w:r w:rsidRPr="009A010C">
        <w:noBreakHyphen/>
        <w:t xml:space="preserve">1234ze and reduction of the import quota for HCFC-142b to zero by 1 January 2020; </w:t>
      </w:r>
      <w:r w:rsidRPr="009A010C">
        <w:rPr>
          <w:noProof/>
        </w:rPr>
        <w:t>training of additional 500 technicians in good servicing practices; continued</w:t>
      </w:r>
      <w:r w:rsidRPr="009A010C">
        <w:t xml:space="preserve"> quota issuance and monitoring; monitoring of the energy standard set in place for air conditioners, and monitoring of the imports, exports and production of HCFCs. </w:t>
      </w:r>
    </w:p>
    <w:p w:rsidR="008241A7" w:rsidRPr="009A010C" w:rsidRDefault="008241A7" w:rsidP="008241A7">
      <w:pPr>
        <w:rPr>
          <w:b/>
          <w:lang w:val="en-CA"/>
        </w:rPr>
      </w:pPr>
      <w:r w:rsidRPr="009A010C">
        <w:rPr>
          <w:b/>
          <w:lang w:val="en-CA"/>
        </w:rPr>
        <w:t>Comments</w:t>
      </w:r>
    </w:p>
    <w:p w:rsidR="008241A7" w:rsidRPr="009A010C" w:rsidRDefault="008241A7" w:rsidP="008241A7">
      <w:pPr>
        <w:rPr>
          <w:b/>
          <w:lang w:val="en-CA"/>
        </w:rPr>
      </w:pPr>
    </w:p>
    <w:p w:rsidR="008241A7" w:rsidRPr="009A010C" w:rsidRDefault="008241A7" w:rsidP="008241A7">
      <w:pPr>
        <w:pStyle w:val="Heading1"/>
        <w:numPr>
          <w:ilvl w:val="0"/>
          <w:numId w:val="0"/>
        </w:numPr>
        <w:rPr>
          <w:i/>
          <w:lang w:val="en-CA"/>
        </w:rPr>
      </w:pPr>
      <w:r w:rsidRPr="009A010C">
        <w:rPr>
          <w:i/>
          <w:lang w:val="en-CA"/>
        </w:rPr>
        <w:t>HCFC consumption</w:t>
      </w:r>
    </w:p>
    <w:p w:rsidR="008241A7" w:rsidRPr="009A010C" w:rsidRDefault="008241A7" w:rsidP="008241A7">
      <w:pPr>
        <w:pStyle w:val="Heading1"/>
        <w:rPr>
          <w:lang w:val="en-CA"/>
        </w:rPr>
      </w:pPr>
      <w:r w:rsidRPr="009A010C">
        <w:t>Upon request, UNIDO clarified that in 2018 HCFC-141b is still used by: one non</w:t>
      </w:r>
      <w:r w:rsidRPr="009A010C">
        <w:noBreakHyphen/>
        <w:t>Article</w:t>
      </w:r>
      <w:r w:rsidRPr="009A010C">
        <w:noBreakHyphen/>
        <w:t>5</w:t>
      </w:r>
      <w:r w:rsidRPr="009A010C">
        <w:noBreakHyphen/>
        <w:t xml:space="preserve">owned domestic refrigeration enterprise that has converted its </w:t>
      </w:r>
      <w:r w:rsidRPr="009A010C">
        <w:rPr>
          <w:lang w:val="en-CA"/>
        </w:rPr>
        <w:t>PU panel manufacturing during 2018, one medical laboratory for needle coating, and a few more non</w:t>
      </w:r>
      <w:r w:rsidRPr="009A010C">
        <w:rPr>
          <w:lang w:val="en-CA"/>
        </w:rPr>
        <w:noBreakHyphen/>
        <w:t>Article</w:t>
      </w:r>
      <w:r w:rsidRPr="009A010C">
        <w:rPr>
          <w:lang w:val="en-CA"/>
        </w:rPr>
        <w:noBreakHyphen/>
        <w:t>5</w:t>
      </w:r>
      <w:r w:rsidRPr="009A010C">
        <w:rPr>
          <w:lang w:val="en-CA"/>
        </w:rPr>
        <w:noBreakHyphen/>
        <w:t>owned enterprises using it as a solvent, as other HFC or HFO alternatives are extremely expensive. The Government of Mexico plans to continue adjusting the HCFC-141b import quotas, taking into consideration the needs of the market and the goal of achieving a zero quota in 2022, or earlier if feasible.</w:t>
      </w:r>
    </w:p>
    <w:p w:rsidR="008241A7" w:rsidRPr="009A010C" w:rsidRDefault="008241A7" w:rsidP="008241A7">
      <w:pPr>
        <w:rPr>
          <w:i/>
          <w:lang w:val="en-CA"/>
        </w:rPr>
      </w:pPr>
      <w:r w:rsidRPr="009A010C">
        <w:rPr>
          <w:i/>
          <w:lang w:val="en-CA"/>
        </w:rPr>
        <w:t>PU foam and XPS foam</w:t>
      </w:r>
    </w:p>
    <w:p w:rsidR="008241A7" w:rsidRPr="009A010C" w:rsidRDefault="008241A7" w:rsidP="008241A7">
      <w:pPr>
        <w:rPr>
          <w:lang w:val="en-CA"/>
        </w:rPr>
      </w:pPr>
    </w:p>
    <w:p w:rsidR="008241A7" w:rsidRPr="009A010C" w:rsidRDefault="008241A7" w:rsidP="008241A7">
      <w:pPr>
        <w:pStyle w:val="Heading1"/>
        <w:rPr>
          <w:lang w:val="en-CA"/>
        </w:rPr>
      </w:pPr>
      <w:r w:rsidRPr="009A010C">
        <w:t xml:space="preserve">The Secretariat noted that the systems houses project was completed with potential savings. </w:t>
      </w:r>
      <w:r w:rsidRPr="009A010C">
        <w:rPr>
          <w:lang w:val="en-CA"/>
        </w:rPr>
        <w:t xml:space="preserve">UNDP explained that there are still some limited expenditures expected in 2018 and 2019 related to clearing of all contracts, finalizing hand-over protocols, and other administrative and technical tasks </w:t>
      </w:r>
      <w:r w:rsidRPr="000A26BE">
        <w:rPr>
          <w:lang w:val="en-CA"/>
        </w:rPr>
        <w:t>(Table 3). UNDP</w:t>
      </w:r>
      <w:r w:rsidRPr="009A010C">
        <w:rPr>
          <w:lang w:val="en-CA"/>
        </w:rPr>
        <w:t xml:space="preserve"> will operationally close the project once the implementation has been entirely completed, and will then proceed with the financial completion in accordance with UNDP rules and regulations. Remaining balances have been preliminarily estimated at approximately </w:t>
      </w:r>
      <w:r w:rsidRPr="009A010C">
        <w:t>US $450,000. Any remaining balances would be returned to the Fund in line with paragraph 7(e) of the Agreement.</w:t>
      </w:r>
    </w:p>
    <w:p w:rsidR="008241A7" w:rsidRPr="009A010C" w:rsidRDefault="008241A7" w:rsidP="008241A7">
      <w:pPr>
        <w:pStyle w:val="Heading1"/>
        <w:rPr>
          <w:lang w:val="en-CA"/>
        </w:rPr>
      </w:pPr>
      <w:r w:rsidRPr="009A010C">
        <w:rPr>
          <w:lang w:val="en-CA"/>
        </w:rPr>
        <w:t xml:space="preserve">UNDP explained that if the XPS foam enterprise </w:t>
      </w:r>
      <w:proofErr w:type="spellStart"/>
      <w:r w:rsidRPr="009A010C">
        <w:rPr>
          <w:lang w:val="en-CA"/>
        </w:rPr>
        <w:t>Plasticos</w:t>
      </w:r>
      <w:proofErr w:type="spellEnd"/>
      <w:r w:rsidRPr="009A010C">
        <w:rPr>
          <w:lang w:val="en-CA"/>
        </w:rPr>
        <w:t xml:space="preserve"> </w:t>
      </w:r>
      <w:proofErr w:type="spellStart"/>
      <w:r w:rsidRPr="009A010C">
        <w:rPr>
          <w:lang w:val="en-CA"/>
        </w:rPr>
        <w:t>Espumados</w:t>
      </w:r>
      <w:proofErr w:type="spellEnd"/>
      <w:r w:rsidRPr="009A010C">
        <w:rPr>
          <w:lang w:val="en-CA"/>
        </w:rPr>
        <w:t xml:space="preserve"> does not confirm its participation in stage I by 31 December 2018, the Government and UNDP will cancel the project, and the associated funding of US $683,300 will be returned to the Multilateral Fund along with the savings from the PU foam sector plan. UNDP confirmed that the commitment of the Government not to issue any import quota from 1 January 2020 for HCFC-142b (the only HCFC used in XPS foam in Mexico) is maintained.</w:t>
      </w:r>
    </w:p>
    <w:p w:rsidR="008241A7" w:rsidRPr="009A010C" w:rsidRDefault="008241A7" w:rsidP="008241A7">
      <w:pPr>
        <w:pStyle w:val="Heading1"/>
      </w:pPr>
      <w:r w:rsidRPr="009A010C">
        <w:t xml:space="preserve">In line with paragraph 7(c) of the Agreement and decision 80/23(b), UNDP submitted a </w:t>
      </w:r>
      <w:r w:rsidRPr="009A010C">
        <w:rPr>
          <w:lang w:val="en-CA"/>
        </w:rPr>
        <w:t xml:space="preserve">comprehensive </w:t>
      </w:r>
      <w:r w:rsidRPr="009A010C">
        <w:t xml:space="preserve">list with the names of 285 downstream foam users assisted under stage I, grouped by systems house, indicating the sub-sectors, technologies introduced and equipment provided (where applicable). While </w:t>
      </w:r>
      <w:r w:rsidRPr="009A010C">
        <w:lastRenderedPageBreak/>
        <w:t>this list can be considered final, UNDP will report if any additional downstream users are identified and added to an updated list, which would then be sent to the Secretariat.</w:t>
      </w:r>
    </w:p>
    <w:p w:rsidR="008241A7" w:rsidRPr="009A010C" w:rsidRDefault="008241A7" w:rsidP="008241A7">
      <w:pPr>
        <w:pStyle w:val="Heading1"/>
        <w:rPr>
          <w:lang w:val="en-CA"/>
        </w:rPr>
      </w:pPr>
      <w:r w:rsidRPr="009A010C">
        <w:t>UNDP confirmed that no high-GWP technologies were introduced in the PU foam sector through the project. Each of the systems house assisted signed an implementation contract to introduce only zero</w:t>
      </w:r>
      <w:r w:rsidRPr="009A010C">
        <w:noBreakHyphen/>
        <w:t>ODP or low</w:t>
      </w:r>
      <w:r w:rsidRPr="009A010C">
        <w:noBreakHyphen/>
        <w:t xml:space="preserve">GWP formulations. In a few applications, methyl </w:t>
      </w:r>
      <w:proofErr w:type="spellStart"/>
      <w:r w:rsidRPr="009A010C">
        <w:t>formate</w:t>
      </w:r>
      <w:proofErr w:type="spellEnd"/>
      <w:r w:rsidRPr="009A010C">
        <w:t xml:space="preserve"> and </w:t>
      </w:r>
      <w:proofErr w:type="spellStart"/>
      <w:r w:rsidRPr="009A010C">
        <w:t>methylal</w:t>
      </w:r>
      <w:proofErr w:type="spellEnd"/>
      <w:r w:rsidRPr="009A010C">
        <w:t xml:space="preserve"> formulations contained a limited amount of HFC</w:t>
      </w:r>
      <w:r w:rsidRPr="009A010C">
        <w:noBreakHyphen/>
        <w:t>365 (no more than 20 per cent) to maintain the characteristics of the foam (e.g., stability, lower flammability), keeping the overall formulation with a low GWP. UNDP clarified that prior to the project some of the systems houses, especially non</w:t>
      </w:r>
      <w:r w:rsidRPr="009A010C">
        <w:noBreakHyphen/>
        <w:t>Article</w:t>
      </w:r>
      <w:r w:rsidRPr="009A010C">
        <w:noBreakHyphen/>
        <w:t>5</w:t>
      </w:r>
      <w:r w:rsidRPr="009A010C">
        <w:noBreakHyphen/>
        <w:t>owned enterprises, were already using HFC</w:t>
      </w:r>
      <w:r w:rsidRPr="009A010C">
        <w:noBreakHyphen/>
        <w:t>based formulations developed with their own funds.</w:t>
      </w:r>
    </w:p>
    <w:p w:rsidR="008241A7" w:rsidRPr="009A010C" w:rsidRDefault="008241A7" w:rsidP="008241A7">
      <w:pPr>
        <w:pStyle w:val="Heading1"/>
        <w:rPr>
          <w:lang w:val="en-CA"/>
        </w:rPr>
      </w:pPr>
      <w:r w:rsidRPr="009A010C">
        <w:t>For the PU foam enterprises that selected HFO-1233zd as alternative technology t</w:t>
      </w:r>
      <w:r w:rsidRPr="009A010C">
        <w:rPr>
          <w:lang w:val="en-CA"/>
        </w:rPr>
        <w:t>he price is between US $18/kg and US $20/kg.</w:t>
      </w:r>
    </w:p>
    <w:p w:rsidR="008241A7" w:rsidRPr="009A010C" w:rsidRDefault="008241A7" w:rsidP="008241A7">
      <w:pPr>
        <w:pStyle w:val="Heading1"/>
      </w:pPr>
      <w:r w:rsidRPr="009A010C">
        <w:t>The Secretariat notes that the Government of Mexico, with the assistance of UNIDO and UNDP, has continued to complete projects under stage I, meeting and exceeding HCFC consumption reduction targets, including the conversion of close to 300 manufacturing enterprises. Furthermore, one additional XPS foam enterprise is also on track to convert to a low-GWP alternative. The Government continues the implementation of the refrigeration servicing sector programme. All remaining activities under stage I will be completed before December 2019, the completion date established for stage I in the Agreement between the Government and the Executive Committee. UNDP would be able to include the level of savings from the foam sector plan in the annual report to be submitted to the second meeting in 2019, return balances by the time of completion of stage I in line with paragraph 7(e) of the Agreement for stage I of the HPMP, and submit the project completion report to the 85</w:t>
      </w:r>
      <w:r w:rsidRPr="009A010C">
        <w:rPr>
          <w:vertAlign w:val="superscript"/>
        </w:rPr>
        <w:t>th</w:t>
      </w:r>
      <w:r w:rsidRPr="009A010C">
        <w:t> meeting.</w:t>
      </w:r>
    </w:p>
    <w:p w:rsidR="008241A7" w:rsidRPr="009A010C" w:rsidRDefault="008241A7" w:rsidP="008241A7">
      <w:pPr>
        <w:rPr>
          <w:lang w:val="en-CA"/>
        </w:rPr>
      </w:pPr>
      <w:r w:rsidRPr="009A010C">
        <w:rPr>
          <w:b/>
          <w:lang w:val="en-CA"/>
        </w:rPr>
        <w:t>Recommendation</w:t>
      </w:r>
    </w:p>
    <w:p w:rsidR="008241A7" w:rsidRPr="009A010C" w:rsidRDefault="008241A7" w:rsidP="008241A7">
      <w:pPr>
        <w:rPr>
          <w:lang w:val="en-US"/>
        </w:rPr>
      </w:pPr>
    </w:p>
    <w:p w:rsidR="008241A7" w:rsidRPr="009A010C" w:rsidRDefault="008241A7" w:rsidP="008241A7">
      <w:pPr>
        <w:numPr>
          <w:ilvl w:val="0"/>
          <w:numId w:val="1"/>
        </w:numPr>
        <w:spacing w:after="240"/>
        <w:outlineLvl w:val="0"/>
        <w:rPr>
          <w:lang w:val="en-US"/>
        </w:rPr>
      </w:pPr>
      <w:r w:rsidRPr="009A010C">
        <w:rPr>
          <w:lang w:val="en-US"/>
        </w:rPr>
        <w:t>The Executive Committee may wish:</w:t>
      </w:r>
    </w:p>
    <w:p w:rsidR="005F330C" w:rsidRPr="00FE5979" w:rsidRDefault="005F330C" w:rsidP="005F330C">
      <w:pPr>
        <w:pStyle w:val="Heading2"/>
        <w:numPr>
          <w:ilvl w:val="1"/>
          <w:numId w:val="28"/>
        </w:numPr>
        <w:rPr>
          <w:lang w:val="en-US"/>
        </w:rPr>
      </w:pPr>
      <w:r w:rsidRPr="00FE5979">
        <w:rPr>
          <w:lang w:val="en-US"/>
        </w:rPr>
        <w:t>To note the 2018 progress report on the implementation of stage I of the HCFC phase</w:t>
      </w:r>
      <w:r w:rsidRPr="00FE5979">
        <w:rPr>
          <w:lang w:val="en-US"/>
        </w:rPr>
        <w:noBreakHyphen/>
        <w:t xml:space="preserve">out management plan (HPMP) for Mexico submitted by UNIDO; </w:t>
      </w:r>
    </w:p>
    <w:p w:rsidR="005F330C" w:rsidRPr="00FE5979" w:rsidRDefault="005F330C" w:rsidP="005F330C">
      <w:pPr>
        <w:pStyle w:val="Heading2"/>
        <w:numPr>
          <w:ilvl w:val="1"/>
          <w:numId w:val="28"/>
        </w:numPr>
      </w:pPr>
      <w:r w:rsidRPr="00FE5979">
        <w:rPr>
          <w:lang w:val="en-US"/>
        </w:rPr>
        <w:t xml:space="preserve">To </w:t>
      </w:r>
      <w:r w:rsidRPr="00FE5979">
        <w:t xml:space="preserve">request the Government of Mexico, UNIDO and UNDP to include in the next progress </w:t>
      </w:r>
      <w:r w:rsidRPr="00FE5979">
        <w:rPr>
          <w:lang w:val="en-US"/>
        </w:rPr>
        <w:t>report of stage I of the HPMP to be submitted to the 84</w:t>
      </w:r>
      <w:r w:rsidRPr="00FE5979">
        <w:rPr>
          <w:vertAlign w:val="superscript"/>
          <w:lang w:val="en-US"/>
        </w:rPr>
        <w:t>th</w:t>
      </w:r>
      <w:r w:rsidRPr="00FE5979">
        <w:rPr>
          <w:lang w:val="en-US"/>
        </w:rPr>
        <w:t xml:space="preserve"> meeting</w:t>
      </w:r>
      <w:r w:rsidRPr="00FE5979">
        <w:t>:</w:t>
      </w:r>
    </w:p>
    <w:p w:rsidR="005F330C" w:rsidRPr="00FE5979" w:rsidRDefault="005F330C" w:rsidP="005F330C">
      <w:pPr>
        <w:pStyle w:val="Heading3"/>
        <w:widowControl/>
        <w:numPr>
          <w:ilvl w:val="2"/>
          <w:numId w:val="29"/>
        </w:numPr>
        <w:ind w:left="2127"/>
      </w:pPr>
      <w:r w:rsidRPr="00FE5979">
        <w:t>Any update to the final list of downstream foam enterprises assisted by the Multilateral Fund under stage I, including their HCFC</w:t>
      </w:r>
      <w:r w:rsidRPr="00FE5979">
        <w:noBreakHyphen/>
        <w:t>141b consumption phased out, sub</w:t>
      </w:r>
      <w:r w:rsidRPr="00FE5979">
        <w:noBreakHyphen/>
        <w:t>sector, baseline equipment and technology adopted;</w:t>
      </w:r>
    </w:p>
    <w:p w:rsidR="005F330C" w:rsidRPr="00FE5979" w:rsidRDefault="005F330C" w:rsidP="005F330C">
      <w:pPr>
        <w:pStyle w:val="Heading3"/>
        <w:widowControl/>
        <w:numPr>
          <w:ilvl w:val="2"/>
          <w:numId w:val="29"/>
        </w:numPr>
        <w:ind w:left="2127"/>
      </w:pPr>
      <w:r w:rsidRPr="00FE5979">
        <w:t xml:space="preserve">Confirmation on whether or not the enterprise </w:t>
      </w:r>
      <w:proofErr w:type="spellStart"/>
      <w:r w:rsidRPr="00FE5979">
        <w:t>Plasticos</w:t>
      </w:r>
      <w:proofErr w:type="spellEnd"/>
      <w:r w:rsidRPr="00FE5979">
        <w:t xml:space="preserve"> </w:t>
      </w:r>
      <w:proofErr w:type="spellStart"/>
      <w:r w:rsidRPr="00FE5979">
        <w:t>Espumados</w:t>
      </w:r>
      <w:proofErr w:type="spellEnd"/>
      <w:r w:rsidRPr="00FE5979">
        <w:t xml:space="preserve"> participated in stage I of the HPMP;</w:t>
      </w:r>
    </w:p>
    <w:p w:rsidR="005F330C" w:rsidRPr="00FE5979" w:rsidRDefault="005F330C" w:rsidP="005F330C">
      <w:pPr>
        <w:pStyle w:val="Heading3"/>
        <w:widowControl/>
        <w:numPr>
          <w:ilvl w:val="2"/>
          <w:numId w:val="29"/>
        </w:numPr>
        <w:ind w:left="2127" w:hanging="709"/>
      </w:pPr>
      <w:r w:rsidRPr="00FE5979">
        <w:t>The</w:t>
      </w:r>
      <w:r w:rsidRPr="00FE5979">
        <w:rPr>
          <w:b/>
        </w:rPr>
        <w:t xml:space="preserve"> balances, including those from the foam sector </w:t>
      </w:r>
      <w:r w:rsidRPr="00FE5979">
        <w:t xml:space="preserve">plan, to be returned to the Multilateral Fund </w:t>
      </w:r>
      <w:r w:rsidRPr="00FE5979">
        <w:rPr>
          <w:b/>
        </w:rPr>
        <w:t>by the time of completion of stage I</w:t>
      </w:r>
      <w:r w:rsidRPr="00FE5979">
        <w:t xml:space="preserve"> in line with paragraph 7(e) of the Agreement for stage I of the HPMP; and</w:t>
      </w:r>
    </w:p>
    <w:p w:rsidR="008241A7" w:rsidRPr="009A010C" w:rsidRDefault="005F330C" w:rsidP="005F330C">
      <w:pPr>
        <w:pStyle w:val="Heading2"/>
        <w:numPr>
          <w:ilvl w:val="1"/>
          <w:numId w:val="28"/>
        </w:numPr>
      </w:pPr>
      <w:r w:rsidRPr="00FE5979">
        <w:t>To request UNDP and UNIDO to submit the project completion report no later than 30 June 2020.</w:t>
      </w:r>
    </w:p>
    <w:p w:rsidR="001B6756" w:rsidRPr="009A010C" w:rsidRDefault="001B6756" w:rsidP="00A75012">
      <w:pPr>
        <w:keepNext/>
        <w:rPr>
          <w:lang w:val="en-CA"/>
        </w:rPr>
      </w:pPr>
      <w:r w:rsidRPr="009A010C">
        <w:rPr>
          <w:u w:val="single"/>
          <w:lang w:val="en-CA"/>
        </w:rPr>
        <w:lastRenderedPageBreak/>
        <w:t>Qatar:  Extension of the HCFC phase-out management plan (stage I)</w:t>
      </w:r>
      <w:r w:rsidRPr="009A010C">
        <w:rPr>
          <w:lang w:val="en-CA"/>
        </w:rPr>
        <w:t xml:space="preserve"> (UNIDO and UNEP)</w:t>
      </w:r>
    </w:p>
    <w:p w:rsidR="001B6756" w:rsidRPr="009A010C" w:rsidRDefault="001B6756" w:rsidP="00A75012">
      <w:pPr>
        <w:keepNext/>
        <w:rPr>
          <w:lang w:val="en-CA"/>
        </w:rPr>
      </w:pPr>
    </w:p>
    <w:p w:rsidR="001B6756" w:rsidRPr="009A010C" w:rsidRDefault="001B6756" w:rsidP="00A75012">
      <w:pPr>
        <w:pStyle w:val="Heading1"/>
        <w:keepNext/>
        <w:rPr>
          <w:lang w:val="en-CA"/>
        </w:rPr>
      </w:pPr>
      <w:r w:rsidRPr="009A010C">
        <w:rPr>
          <w:lang w:val="en-CA"/>
        </w:rPr>
        <w:t>At its 81</w:t>
      </w:r>
      <w:r w:rsidRPr="009A010C">
        <w:rPr>
          <w:vertAlign w:val="superscript"/>
          <w:lang w:val="en-CA"/>
        </w:rPr>
        <w:t>st </w:t>
      </w:r>
      <w:r w:rsidRPr="009A010C">
        <w:rPr>
          <w:lang w:val="en-CA"/>
        </w:rPr>
        <w:t xml:space="preserve">meeting, the Executive Committee requested the Secretariat to send a letter to the Government of Qatar noting </w:t>
      </w:r>
      <w:r w:rsidRPr="009A010C">
        <w:rPr>
          <w:i/>
          <w:lang w:val="en-CA"/>
        </w:rPr>
        <w:t>inter alia</w:t>
      </w:r>
      <w:r w:rsidRPr="009A010C">
        <w:rPr>
          <w:lang w:val="en-CA"/>
        </w:rPr>
        <w:t xml:space="preserve"> that the agreement or project document for stage I of the HCFC phase</w:t>
      </w:r>
      <w:r w:rsidRPr="009A010C">
        <w:rPr>
          <w:lang w:val="en-CA"/>
        </w:rPr>
        <w:noBreakHyphen/>
        <w:t>out management plan (HPMP) had not been signed and urging the Government of Qatar to work with UNIDO and UNEP to address all the issues related to the signing of the agreement before the 82</w:t>
      </w:r>
      <w:r w:rsidRPr="009A010C">
        <w:rPr>
          <w:vertAlign w:val="superscript"/>
          <w:lang w:val="en-CA"/>
        </w:rPr>
        <w:t>nd </w:t>
      </w:r>
      <w:r w:rsidRPr="009A010C">
        <w:rPr>
          <w:lang w:val="en-CA"/>
        </w:rPr>
        <w:t>meeting so that a proposal for stage II of the HPMP could be submitted to the 83</w:t>
      </w:r>
      <w:r w:rsidRPr="009A010C">
        <w:rPr>
          <w:vertAlign w:val="superscript"/>
          <w:lang w:val="en-CA"/>
        </w:rPr>
        <w:t>rd </w:t>
      </w:r>
      <w:r w:rsidRPr="009A010C">
        <w:rPr>
          <w:lang w:val="en-CA"/>
        </w:rPr>
        <w:t>meeting, otherwise the project would be considered for possible cancellation at the 82</w:t>
      </w:r>
      <w:r w:rsidRPr="009A010C">
        <w:rPr>
          <w:vertAlign w:val="superscript"/>
          <w:lang w:val="en-CA"/>
        </w:rPr>
        <w:t>nd </w:t>
      </w:r>
      <w:r w:rsidRPr="009A010C">
        <w:rPr>
          <w:lang w:val="en-CA"/>
        </w:rPr>
        <w:t xml:space="preserve">meeting in the absence of any progress, and the outstanding balances returned to the Multilateral Fund (decision 81/27). </w:t>
      </w:r>
    </w:p>
    <w:p w:rsidR="001B6756" w:rsidRPr="009A010C" w:rsidRDefault="001B6756" w:rsidP="001B6756">
      <w:pPr>
        <w:pStyle w:val="Heading1"/>
        <w:rPr>
          <w:lang w:val="en-CA"/>
        </w:rPr>
      </w:pPr>
      <w:r w:rsidRPr="009A010C">
        <w:rPr>
          <w:lang w:val="en-CA"/>
        </w:rPr>
        <w:t xml:space="preserve">The agreement between the Government of Qatar and UNEP has been signed. </w:t>
      </w:r>
    </w:p>
    <w:p w:rsidR="001B6756" w:rsidRPr="009A010C" w:rsidRDefault="001B6756" w:rsidP="001B6756">
      <w:pPr>
        <w:pStyle w:val="Heading1"/>
        <w:rPr>
          <w:lang w:val="en-CA"/>
        </w:rPr>
      </w:pPr>
      <w:r w:rsidRPr="009A010C">
        <w:rPr>
          <w:lang w:val="en-CA"/>
        </w:rPr>
        <w:t>On behalf of the Government of Qatar, UNIDO as the lead implementing agency, has submitted a request for extending stage I of the HPMP.</w:t>
      </w:r>
      <w:r w:rsidRPr="009A010C">
        <w:rPr>
          <w:rStyle w:val="FootnoteReference"/>
          <w:lang w:val="en-CA"/>
        </w:rPr>
        <w:footnoteReference w:id="50"/>
      </w:r>
      <w:r w:rsidRPr="009A010C">
        <w:rPr>
          <w:lang w:val="en-CA"/>
        </w:rPr>
        <w:t xml:space="preserve">  The submission includes a tranche implementation plan for 2018-2019 and a revised updated draft Agreement.</w:t>
      </w:r>
    </w:p>
    <w:p w:rsidR="001B6756" w:rsidRPr="009A010C" w:rsidRDefault="001B6756" w:rsidP="001B6756">
      <w:pPr>
        <w:rPr>
          <w:u w:val="single"/>
          <w:lang w:val="en-CA"/>
        </w:rPr>
      </w:pPr>
      <w:r w:rsidRPr="009A010C">
        <w:rPr>
          <w:u w:val="single"/>
          <w:lang w:val="en-CA"/>
        </w:rPr>
        <w:t>Report on HCFC consumption</w:t>
      </w:r>
    </w:p>
    <w:p w:rsidR="001B6756" w:rsidRPr="009A010C" w:rsidRDefault="001B6756" w:rsidP="001B6756">
      <w:pPr>
        <w:rPr>
          <w:lang w:val="en-CA"/>
        </w:rPr>
      </w:pPr>
    </w:p>
    <w:p w:rsidR="001B6756" w:rsidRPr="009A010C" w:rsidRDefault="001B6756" w:rsidP="001B6756">
      <w:pPr>
        <w:rPr>
          <w:i/>
          <w:lang w:val="en-CA"/>
        </w:rPr>
      </w:pPr>
      <w:r w:rsidRPr="009A010C">
        <w:rPr>
          <w:i/>
          <w:lang w:val="en-CA"/>
        </w:rPr>
        <w:t>HCFC consumption</w:t>
      </w:r>
    </w:p>
    <w:p w:rsidR="001B6756" w:rsidRPr="009A010C" w:rsidRDefault="001B6756" w:rsidP="001B6756">
      <w:pPr>
        <w:rPr>
          <w:lang w:val="en-CA"/>
        </w:rPr>
      </w:pPr>
    </w:p>
    <w:p w:rsidR="001B6756" w:rsidRPr="00F4406E" w:rsidRDefault="001B6756" w:rsidP="001B6756">
      <w:pPr>
        <w:pStyle w:val="Heading1"/>
        <w:rPr>
          <w:lang w:val="en-CA"/>
        </w:rPr>
      </w:pPr>
      <w:r w:rsidRPr="009A010C">
        <w:rPr>
          <w:lang w:val="en-CA"/>
        </w:rPr>
        <w:t xml:space="preserve">The Government of Qatar reported a consumption of 68.54 ODP tonnes of HCFC in 2017 which is 21.15 per cent below the HCFC baseline for compliance. The 2013-2017 HCFC consumption is shown in </w:t>
      </w:r>
      <w:r w:rsidRPr="00F4406E">
        <w:rPr>
          <w:lang w:val="en-CA"/>
        </w:rPr>
        <w:t>Table </w:t>
      </w:r>
      <w:r w:rsidR="002464DD" w:rsidRPr="00F4406E">
        <w:rPr>
          <w:lang w:val="en-CA"/>
        </w:rPr>
        <w:t>24</w:t>
      </w:r>
      <w:r w:rsidRPr="00F4406E">
        <w:rPr>
          <w:lang w:val="en-CA"/>
        </w:rPr>
        <w:t xml:space="preserve">.  </w:t>
      </w:r>
    </w:p>
    <w:p w:rsidR="001B6756" w:rsidRPr="00F4406E" w:rsidRDefault="001B6756" w:rsidP="001B6756">
      <w:pPr>
        <w:rPr>
          <w:b/>
          <w:lang w:val="en-CA"/>
        </w:rPr>
      </w:pPr>
      <w:r w:rsidRPr="00F4406E">
        <w:rPr>
          <w:b/>
          <w:lang w:val="en-CA"/>
        </w:rPr>
        <w:t xml:space="preserve">Table </w:t>
      </w:r>
      <w:r w:rsidR="002464DD" w:rsidRPr="00F4406E">
        <w:rPr>
          <w:b/>
          <w:lang w:val="en-CA"/>
        </w:rPr>
        <w:t>24</w:t>
      </w:r>
      <w:r w:rsidRPr="00F4406E">
        <w:rPr>
          <w:b/>
          <w:lang w:val="en-CA"/>
        </w:rPr>
        <w:t>. HCFC consumption in Qatar (2013-2017 Article 7 data)</w:t>
      </w:r>
    </w:p>
    <w:tbl>
      <w:tblPr>
        <w:tblW w:w="5000" w:type="pct"/>
        <w:tblLayout w:type="fixed"/>
        <w:tblLook w:val="04A0" w:firstRow="1" w:lastRow="0" w:firstColumn="1" w:lastColumn="0" w:noHBand="0" w:noVBand="1"/>
      </w:tblPr>
      <w:tblGrid>
        <w:gridCol w:w="3207"/>
        <w:gridCol w:w="1009"/>
        <w:gridCol w:w="1009"/>
        <w:gridCol w:w="1008"/>
        <w:gridCol w:w="1008"/>
        <w:gridCol w:w="1010"/>
        <w:gridCol w:w="1279"/>
      </w:tblGrid>
      <w:tr w:rsidR="001B6756" w:rsidRPr="009A010C" w:rsidTr="000354F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F4406E" w:rsidRDefault="001B6756" w:rsidP="000354F9">
            <w:pPr>
              <w:widowControl w:val="0"/>
              <w:jc w:val="left"/>
              <w:rPr>
                <w:b/>
                <w:bCs/>
                <w:color w:val="000000"/>
                <w:sz w:val="20"/>
                <w:szCs w:val="20"/>
                <w:lang w:val="en-CA"/>
              </w:rPr>
            </w:pPr>
            <w:r w:rsidRPr="00F4406E">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B6756" w:rsidRPr="00F4406E" w:rsidRDefault="001B6756" w:rsidP="000354F9">
            <w:pPr>
              <w:widowControl w:val="0"/>
              <w:jc w:val="center"/>
              <w:rPr>
                <w:b/>
                <w:bCs/>
                <w:color w:val="000000"/>
                <w:sz w:val="20"/>
                <w:szCs w:val="20"/>
                <w:lang w:val="en-CA"/>
              </w:rPr>
            </w:pPr>
            <w:r w:rsidRPr="00F4406E">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B6756" w:rsidRPr="00F4406E" w:rsidRDefault="001B6756" w:rsidP="000354F9">
            <w:pPr>
              <w:widowControl w:val="0"/>
              <w:jc w:val="center"/>
              <w:rPr>
                <w:b/>
                <w:bCs/>
                <w:color w:val="000000"/>
                <w:sz w:val="20"/>
                <w:szCs w:val="20"/>
                <w:lang w:val="en-CA"/>
              </w:rPr>
            </w:pPr>
            <w:r w:rsidRPr="00F4406E">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B6756" w:rsidRPr="00F4406E" w:rsidRDefault="001B6756" w:rsidP="000354F9">
            <w:pPr>
              <w:widowControl w:val="0"/>
              <w:jc w:val="center"/>
              <w:rPr>
                <w:b/>
                <w:bCs/>
                <w:color w:val="000000"/>
                <w:sz w:val="20"/>
                <w:szCs w:val="20"/>
                <w:lang w:val="en-CA"/>
              </w:rPr>
            </w:pPr>
            <w:r w:rsidRPr="00F4406E">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tcPr>
          <w:p w:rsidR="001B6756" w:rsidRPr="00F4406E" w:rsidRDefault="001B6756" w:rsidP="000354F9">
            <w:pPr>
              <w:widowControl w:val="0"/>
              <w:jc w:val="center"/>
              <w:rPr>
                <w:b/>
                <w:bCs/>
                <w:color w:val="000000"/>
                <w:sz w:val="20"/>
                <w:szCs w:val="20"/>
                <w:lang w:val="en-CA"/>
              </w:rPr>
            </w:pPr>
            <w:r w:rsidRPr="00F4406E">
              <w:rPr>
                <w:b/>
                <w:bCs/>
                <w:color w:val="000000"/>
                <w:sz w:val="20"/>
                <w:szCs w:val="20"/>
                <w:lang w:val="en-CA"/>
              </w:rPr>
              <w:t>2016</w:t>
            </w:r>
          </w:p>
        </w:tc>
        <w:tc>
          <w:tcPr>
            <w:tcW w:w="530" w:type="pct"/>
            <w:tcBorders>
              <w:top w:val="single" w:sz="4" w:space="0" w:color="auto"/>
              <w:left w:val="single" w:sz="4" w:space="0" w:color="auto"/>
              <w:bottom w:val="single" w:sz="4" w:space="0" w:color="auto"/>
              <w:right w:val="single" w:sz="4" w:space="0" w:color="auto"/>
            </w:tcBorders>
          </w:tcPr>
          <w:p w:rsidR="001B6756" w:rsidRPr="00F4406E" w:rsidRDefault="001B6756" w:rsidP="000354F9">
            <w:pPr>
              <w:widowControl w:val="0"/>
              <w:jc w:val="center"/>
              <w:rPr>
                <w:b/>
                <w:bCs/>
                <w:color w:val="000000"/>
                <w:sz w:val="20"/>
                <w:szCs w:val="20"/>
                <w:lang w:val="en-CA"/>
              </w:rPr>
            </w:pPr>
            <w:r w:rsidRPr="00F4406E">
              <w:rPr>
                <w:b/>
                <w:bCs/>
                <w:color w:val="000000"/>
                <w:sz w:val="20"/>
                <w:szCs w:val="20"/>
                <w:lang w:val="en-CA"/>
              </w:rPr>
              <w:t>2017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6756" w:rsidRPr="009A010C" w:rsidRDefault="001B6756" w:rsidP="000354F9">
            <w:pPr>
              <w:widowControl w:val="0"/>
              <w:jc w:val="center"/>
              <w:rPr>
                <w:b/>
                <w:bCs/>
                <w:color w:val="000000"/>
                <w:sz w:val="20"/>
                <w:szCs w:val="20"/>
                <w:lang w:val="en-CA"/>
              </w:rPr>
            </w:pPr>
            <w:r w:rsidRPr="00F4406E">
              <w:rPr>
                <w:b/>
                <w:bCs/>
                <w:color w:val="000000"/>
                <w:sz w:val="20"/>
                <w:szCs w:val="20"/>
                <w:lang w:val="en-CA"/>
              </w:rPr>
              <w:t>Baseline</w:t>
            </w:r>
          </w:p>
        </w:tc>
      </w:tr>
      <w:tr w:rsidR="001B6756" w:rsidRPr="009A010C" w:rsidTr="000354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b/>
                <w:bCs/>
                <w:color w:val="000000"/>
                <w:sz w:val="20"/>
                <w:szCs w:val="20"/>
                <w:lang w:val="en-CA"/>
              </w:rPr>
            </w:pPr>
            <w:r w:rsidRPr="009A010C">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1B6756" w:rsidRPr="009A010C" w:rsidRDefault="001B6756" w:rsidP="000354F9">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1B6756" w:rsidRPr="009A010C" w:rsidRDefault="001B6756" w:rsidP="000354F9">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1B6756" w:rsidRPr="009A010C" w:rsidRDefault="001B6756" w:rsidP="000354F9">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1B6756" w:rsidRPr="009A010C" w:rsidRDefault="001B6756" w:rsidP="000354F9">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1B6756" w:rsidRPr="009A010C" w:rsidRDefault="001B6756" w:rsidP="000354F9">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1B6756" w:rsidRPr="009A010C" w:rsidRDefault="001B6756" w:rsidP="000354F9">
            <w:pPr>
              <w:widowControl w:val="0"/>
              <w:jc w:val="center"/>
              <w:rPr>
                <w:b/>
                <w:bCs/>
                <w:color w:val="000000"/>
                <w:sz w:val="20"/>
                <w:szCs w:val="20"/>
                <w:lang w:val="en-CA"/>
              </w:rPr>
            </w:pPr>
          </w:p>
        </w:tc>
      </w:tr>
      <w:tr w:rsidR="001B6756" w:rsidRPr="009A010C" w:rsidTr="000354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1,368.48</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1,495.35</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1,096.01</w:t>
            </w:r>
          </w:p>
        </w:tc>
        <w:tc>
          <w:tcPr>
            <w:tcW w:w="529" w:type="pct"/>
            <w:tcBorders>
              <w:top w:val="single" w:sz="4" w:space="0" w:color="auto"/>
              <w:left w:val="nil"/>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1,066.10</w:t>
            </w:r>
          </w:p>
        </w:tc>
        <w:tc>
          <w:tcPr>
            <w:tcW w:w="530" w:type="pct"/>
            <w:tcBorders>
              <w:top w:val="nil"/>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1,084.66</w:t>
            </w:r>
          </w:p>
        </w:tc>
        <w:tc>
          <w:tcPr>
            <w:tcW w:w="671" w:type="pct"/>
            <w:tcBorders>
              <w:top w:val="nil"/>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1,335.50</w:t>
            </w:r>
          </w:p>
        </w:tc>
      </w:tr>
      <w:tr w:rsidR="001B6756" w:rsidRPr="009A010C" w:rsidTr="000354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30.50</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40.98</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1.36</w:t>
            </w:r>
          </w:p>
        </w:tc>
        <w:tc>
          <w:tcPr>
            <w:tcW w:w="529" w:type="pct"/>
            <w:tcBorders>
              <w:top w:val="single" w:sz="4" w:space="0" w:color="auto"/>
              <w:left w:val="nil"/>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 xml:space="preserve"> 15.52</w:t>
            </w:r>
          </w:p>
        </w:tc>
        <w:tc>
          <w:tcPr>
            <w:tcW w:w="530" w:type="pct"/>
            <w:tcBorders>
              <w:top w:val="nil"/>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16.40</w:t>
            </w:r>
          </w:p>
        </w:tc>
      </w:tr>
      <w:tr w:rsidR="001B6756" w:rsidRPr="009A010C" w:rsidTr="000354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15.71</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10.05</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21.97</w:t>
            </w:r>
          </w:p>
        </w:tc>
        <w:tc>
          <w:tcPr>
            <w:tcW w:w="529" w:type="pct"/>
            <w:tcBorders>
              <w:top w:val="single" w:sz="4" w:space="0" w:color="auto"/>
              <w:left w:val="nil"/>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 xml:space="preserve"> 37.37</w:t>
            </w:r>
          </w:p>
        </w:tc>
        <w:tc>
          <w:tcPr>
            <w:tcW w:w="530" w:type="pct"/>
            <w:tcBorders>
              <w:top w:val="nil"/>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 xml:space="preserve"> 59.45</w:t>
            </w:r>
          </w:p>
        </w:tc>
        <w:tc>
          <w:tcPr>
            <w:tcW w:w="671" w:type="pct"/>
            <w:tcBorders>
              <w:top w:val="nil"/>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5.24</w:t>
            </w:r>
          </w:p>
        </w:tc>
      </w:tr>
      <w:tr w:rsidR="001B6756" w:rsidRPr="009A010C" w:rsidTr="000354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47.63</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11.98</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48.77</w:t>
            </w:r>
          </w:p>
        </w:tc>
        <w:tc>
          <w:tcPr>
            <w:tcW w:w="529" w:type="pct"/>
            <w:tcBorders>
              <w:top w:val="single" w:sz="4" w:space="0" w:color="auto"/>
              <w:left w:val="nil"/>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 xml:space="preserve"> 36.00</w:t>
            </w:r>
          </w:p>
        </w:tc>
        <w:tc>
          <w:tcPr>
            <w:tcW w:w="530" w:type="pct"/>
            <w:tcBorders>
              <w:top w:val="nil"/>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 xml:space="preserve"> 36.00</w:t>
            </w:r>
          </w:p>
        </w:tc>
        <w:tc>
          <w:tcPr>
            <w:tcW w:w="671" w:type="pct"/>
            <w:tcBorders>
              <w:top w:val="nil"/>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195.90</w:t>
            </w:r>
          </w:p>
        </w:tc>
      </w:tr>
      <w:tr w:rsidR="001B6756" w:rsidRPr="009A010C" w:rsidTr="000354F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1B6756" w:rsidRPr="009A010C" w:rsidRDefault="001B6756" w:rsidP="000354F9">
            <w:pPr>
              <w:jc w:val="left"/>
              <w:rPr>
                <w:rFonts w:eastAsiaTheme="minorHAnsi"/>
                <w:b/>
                <w:color w:val="000000"/>
                <w:sz w:val="20"/>
                <w:szCs w:val="20"/>
                <w:lang w:val="en-CA"/>
              </w:rPr>
            </w:pPr>
            <w:r w:rsidRPr="009A010C">
              <w:rPr>
                <w:color w:val="000000"/>
                <w:sz w:val="20"/>
                <w:szCs w:val="20"/>
                <w:lang w:val="en-CA"/>
              </w:rPr>
              <w:t>Total (</w:t>
            </w:r>
            <w:proofErr w:type="spellStart"/>
            <w:r w:rsidRPr="009A010C">
              <w:rPr>
                <w:color w:val="000000"/>
                <w:sz w:val="20"/>
                <w:szCs w:val="20"/>
                <w:lang w:val="en-CA"/>
              </w:rPr>
              <w:t>mt</w:t>
            </w:r>
            <w:proofErr w:type="spellEnd"/>
            <w:r w:rsidRPr="009A010C">
              <w:rPr>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1,462.32</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1,558.36</w:t>
            </w:r>
          </w:p>
        </w:tc>
        <w:tc>
          <w:tcPr>
            <w:tcW w:w="529" w:type="pct"/>
            <w:tcBorders>
              <w:top w:val="nil"/>
              <w:left w:val="nil"/>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 xml:space="preserve"> 1,168.11</w:t>
            </w:r>
          </w:p>
        </w:tc>
        <w:tc>
          <w:tcPr>
            <w:tcW w:w="529" w:type="pct"/>
            <w:tcBorders>
              <w:top w:val="single" w:sz="4" w:space="0" w:color="auto"/>
              <w:left w:val="nil"/>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 xml:space="preserve"> 1,154.99</w:t>
            </w:r>
          </w:p>
        </w:tc>
        <w:tc>
          <w:tcPr>
            <w:tcW w:w="530" w:type="pct"/>
            <w:tcBorders>
              <w:top w:val="nil"/>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 xml:space="preserve"> 1,180.11</w:t>
            </w:r>
          </w:p>
        </w:tc>
        <w:tc>
          <w:tcPr>
            <w:tcW w:w="671" w:type="pct"/>
            <w:tcBorders>
              <w:top w:val="nil"/>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1,553.04</w:t>
            </w:r>
          </w:p>
        </w:tc>
      </w:tr>
      <w:tr w:rsidR="001B6756" w:rsidRPr="009A010C" w:rsidTr="000354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b/>
                <w:bCs/>
                <w:color w:val="000000"/>
                <w:sz w:val="20"/>
                <w:szCs w:val="20"/>
                <w:lang w:val="en-CA"/>
              </w:rPr>
            </w:pPr>
            <w:r w:rsidRPr="009A010C">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6756" w:rsidRPr="009A010C" w:rsidRDefault="001B6756" w:rsidP="000354F9">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6756" w:rsidRPr="009A010C" w:rsidRDefault="001B6756" w:rsidP="000354F9">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6756" w:rsidRPr="009A010C" w:rsidRDefault="001B6756" w:rsidP="000354F9">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6756" w:rsidRPr="009A010C" w:rsidRDefault="001B6756" w:rsidP="000354F9">
            <w:pPr>
              <w:widowControl w:val="0"/>
              <w:jc w:val="right"/>
              <w:rPr>
                <w:color w:val="000000"/>
                <w:sz w:val="20"/>
                <w:szCs w:val="20"/>
                <w:lang w:val="en-CA"/>
              </w:rPr>
            </w:pPr>
          </w:p>
        </w:tc>
      </w:tr>
      <w:tr w:rsidR="001B6756" w:rsidRPr="009A010C" w:rsidTr="000354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75.27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82.24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60.28</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58.64</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59.66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73.45</w:t>
            </w:r>
          </w:p>
        </w:tc>
      </w:tr>
      <w:tr w:rsidR="001B6756" w:rsidRPr="009A010C" w:rsidTr="000354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0.61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0.82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0.03</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0.31</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0.33</w:t>
            </w:r>
          </w:p>
        </w:tc>
      </w:tr>
      <w:tr w:rsidR="001B6756" w:rsidRPr="009A010C" w:rsidTr="000354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1.73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1.11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2.42</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4.11</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6.54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0.58</w:t>
            </w:r>
          </w:p>
        </w:tc>
      </w:tr>
      <w:tr w:rsidR="001B6756" w:rsidRPr="009A010C" w:rsidTr="000354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B6756" w:rsidRPr="009A010C" w:rsidRDefault="001B6756" w:rsidP="000354F9">
            <w:pPr>
              <w:widowControl w:val="0"/>
              <w:jc w:val="left"/>
              <w:rPr>
                <w:color w:val="000000"/>
                <w:sz w:val="20"/>
                <w:szCs w:val="20"/>
                <w:lang w:val="en-CA"/>
              </w:rPr>
            </w:pPr>
            <w:r w:rsidRPr="009A010C">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3.10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0.78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3.17</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2.34</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2.34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12.73</w:t>
            </w:r>
          </w:p>
        </w:tc>
      </w:tr>
      <w:tr w:rsidR="001B6756" w:rsidRPr="009A010C" w:rsidTr="000354F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1B6756" w:rsidRPr="009A010C" w:rsidRDefault="001B6756" w:rsidP="000354F9">
            <w:pPr>
              <w:jc w:val="left"/>
              <w:rPr>
                <w:rFonts w:eastAsiaTheme="minorHAnsi"/>
                <w:b/>
                <w:sz w:val="20"/>
                <w:szCs w:val="20"/>
                <w:lang w:val="en-CA"/>
              </w:rPr>
            </w:pPr>
            <w:r w:rsidRPr="009A010C">
              <w:rPr>
                <w:color w:val="000000"/>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80.70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84.95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65.89</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65.40</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1B6756" w:rsidRPr="009A010C" w:rsidRDefault="001B6756" w:rsidP="000354F9">
            <w:pPr>
              <w:jc w:val="right"/>
              <w:rPr>
                <w:sz w:val="20"/>
                <w:szCs w:val="20"/>
                <w:lang w:val="en-CA"/>
              </w:rPr>
            </w:pPr>
            <w:r w:rsidRPr="009A010C">
              <w:rPr>
                <w:sz w:val="20"/>
                <w:szCs w:val="20"/>
                <w:lang w:val="en-CA"/>
              </w:rPr>
              <w:t>68.54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B6756" w:rsidRPr="009A010C" w:rsidRDefault="001B6756" w:rsidP="000354F9">
            <w:pPr>
              <w:jc w:val="right"/>
              <w:rPr>
                <w:sz w:val="20"/>
                <w:szCs w:val="20"/>
                <w:lang w:val="en-CA"/>
              </w:rPr>
            </w:pPr>
            <w:r w:rsidRPr="009A010C">
              <w:rPr>
                <w:sz w:val="20"/>
                <w:szCs w:val="20"/>
                <w:lang w:val="en-CA"/>
              </w:rPr>
              <w:t>86.93</w:t>
            </w:r>
          </w:p>
        </w:tc>
      </w:tr>
    </w:tbl>
    <w:p w:rsidR="001B6756" w:rsidRPr="009A010C" w:rsidRDefault="001B6756" w:rsidP="001B6756">
      <w:pPr>
        <w:rPr>
          <w:sz w:val="16"/>
          <w:szCs w:val="16"/>
          <w:lang w:val="en-CA"/>
        </w:rPr>
      </w:pPr>
    </w:p>
    <w:p w:rsidR="001B6756" w:rsidRPr="009A010C" w:rsidRDefault="001B6756" w:rsidP="001B6756">
      <w:pPr>
        <w:rPr>
          <w:i/>
          <w:lang w:val="en-CA"/>
        </w:rPr>
      </w:pPr>
      <w:r w:rsidRPr="009A010C">
        <w:rPr>
          <w:i/>
          <w:lang w:val="en-CA"/>
        </w:rPr>
        <w:t>Country programme (CP) implementation report</w:t>
      </w:r>
    </w:p>
    <w:p w:rsidR="001B6756" w:rsidRPr="009A010C" w:rsidRDefault="001B6756" w:rsidP="001B6756">
      <w:pPr>
        <w:rPr>
          <w:lang w:val="en-CA"/>
        </w:rPr>
      </w:pPr>
    </w:p>
    <w:p w:rsidR="001B6756" w:rsidRPr="009A010C" w:rsidRDefault="001B6756" w:rsidP="001B6756">
      <w:pPr>
        <w:pStyle w:val="Heading1"/>
        <w:rPr>
          <w:lang w:val="en-CA"/>
        </w:rPr>
      </w:pPr>
      <w:r w:rsidRPr="009A010C">
        <w:rPr>
          <w:lang w:val="en-CA"/>
        </w:rPr>
        <w:t>The Government of Qatar reported HCFC sector consumption data under the 2017 CP implementation report which is consistent with the data reported under Article 7.</w:t>
      </w:r>
    </w:p>
    <w:p w:rsidR="001B6756" w:rsidRPr="009A010C" w:rsidRDefault="001B6756" w:rsidP="001B6756">
      <w:pPr>
        <w:rPr>
          <w:i/>
          <w:lang w:val="en-CA"/>
        </w:rPr>
      </w:pPr>
      <w:r w:rsidRPr="009A010C">
        <w:rPr>
          <w:i/>
          <w:lang w:val="en-CA"/>
        </w:rPr>
        <w:t>Verification report</w:t>
      </w:r>
    </w:p>
    <w:p w:rsidR="001B6756" w:rsidRPr="009A010C" w:rsidRDefault="001B6756" w:rsidP="001B6756">
      <w:pPr>
        <w:rPr>
          <w:lang w:val="en-CA"/>
        </w:rPr>
      </w:pPr>
    </w:p>
    <w:p w:rsidR="001B6756" w:rsidRPr="009A010C" w:rsidRDefault="001B6756" w:rsidP="001B6756">
      <w:pPr>
        <w:pStyle w:val="Heading1"/>
        <w:keepNext/>
        <w:rPr>
          <w:lang w:val="en-CA"/>
        </w:rPr>
      </w:pPr>
      <w:r w:rsidRPr="009A010C">
        <w:rPr>
          <w:lang w:val="en-CA"/>
        </w:rPr>
        <w:t>As part of the request for the second tranche that was submitted to the 79</w:t>
      </w:r>
      <w:r w:rsidRPr="009A010C">
        <w:rPr>
          <w:vertAlign w:val="superscript"/>
          <w:lang w:val="en-CA"/>
        </w:rPr>
        <w:t>th </w:t>
      </w:r>
      <w:r w:rsidRPr="009A010C">
        <w:rPr>
          <w:lang w:val="en-CA"/>
        </w:rPr>
        <w:t xml:space="preserve">meeting but subsequently withdrawn, the Government of Qatar had submitted the 2013-2016 verification report that confirmed that the Government was implementing a licensing and quota system for HCFC imports and exports, that the total </w:t>
      </w:r>
      <w:r w:rsidRPr="009A010C">
        <w:rPr>
          <w:lang w:val="en-CA"/>
        </w:rPr>
        <w:lastRenderedPageBreak/>
        <w:t xml:space="preserve">consumption of HCFCs for 2013-2016 was as reported under Article 7, and that </w:t>
      </w:r>
      <w:r w:rsidRPr="009A010C">
        <w:rPr>
          <w:szCs w:val="24"/>
          <w:lang w:val="en-CA" w:eastAsia="en-CA"/>
        </w:rPr>
        <w:t>Qatar was in compliance with the A</w:t>
      </w:r>
      <w:r w:rsidRPr="009A010C">
        <w:rPr>
          <w:lang w:val="en-CA"/>
        </w:rPr>
        <w:t xml:space="preserve">greement with the Executive Committee. </w:t>
      </w:r>
    </w:p>
    <w:p w:rsidR="001B6756" w:rsidRPr="009A010C" w:rsidRDefault="001B6756" w:rsidP="001B6756">
      <w:pPr>
        <w:rPr>
          <w:i/>
          <w:lang w:val="en-CA"/>
        </w:rPr>
      </w:pPr>
      <w:r w:rsidRPr="009A010C">
        <w:rPr>
          <w:i/>
          <w:lang w:val="en-CA"/>
        </w:rPr>
        <w:t>Extruded polystyrene (XPS) foam manufacturing sector</w:t>
      </w:r>
    </w:p>
    <w:p w:rsidR="001B6756" w:rsidRPr="009A010C" w:rsidRDefault="001B6756" w:rsidP="001B6756">
      <w:pPr>
        <w:rPr>
          <w:i/>
          <w:lang w:val="en-CA"/>
        </w:rPr>
      </w:pPr>
    </w:p>
    <w:p w:rsidR="001B6756" w:rsidRPr="009A010C" w:rsidRDefault="001B6756" w:rsidP="001B6756">
      <w:pPr>
        <w:pStyle w:val="Heading1"/>
        <w:rPr>
          <w:lang w:val="en-CA"/>
        </w:rPr>
      </w:pPr>
      <w:r w:rsidRPr="009A010C">
        <w:rPr>
          <w:lang w:val="en-CA"/>
        </w:rPr>
        <w:t xml:space="preserve">Of three XPS foam manufacturing enterprises, one, Al </w:t>
      </w:r>
      <w:proofErr w:type="spellStart"/>
      <w:r w:rsidRPr="009A010C">
        <w:rPr>
          <w:lang w:val="en-CA"/>
        </w:rPr>
        <w:t>Kawthar</w:t>
      </w:r>
      <w:proofErr w:type="spellEnd"/>
      <w:r w:rsidRPr="009A010C">
        <w:rPr>
          <w:lang w:val="en-CA"/>
        </w:rPr>
        <w:t xml:space="preserve"> relocated to Oman; while the conversion at Qatar Insulation Factory (QIF) and at the Orient Insulation Factory (OIF) has been completed and phased out 19.45 ODP tonnes. Both converted to CO</w:t>
      </w:r>
      <w:r w:rsidRPr="009A010C">
        <w:rPr>
          <w:vertAlign w:val="subscript"/>
          <w:lang w:val="en-CA"/>
        </w:rPr>
        <w:t>2</w:t>
      </w:r>
      <w:r w:rsidRPr="009A010C">
        <w:rPr>
          <w:lang w:val="en-CA"/>
        </w:rPr>
        <w:t xml:space="preserve"> system with dimethyl ether as organic solvent and HFC-152a.  A savings of US $39,241, plus agency support costs of US $2,943 will be returned by UNIDO to the 82</w:t>
      </w:r>
      <w:r w:rsidRPr="009A010C">
        <w:rPr>
          <w:vertAlign w:val="superscript"/>
          <w:lang w:val="en-CA"/>
        </w:rPr>
        <w:t>nd </w:t>
      </w:r>
      <w:r w:rsidRPr="009A010C">
        <w:rPr>
          <w:lang w:val="en-CA"/>
        </w:rPr>
        <w:t>meeting.</w:t>
      </w:r>
    </w:p>
    <w:p w:rsidR="001B6756" w:rsidRPr="009A010C" w:rsidRDefault="001B6756" w:rsidP="005F330C">
      <w:pPr>
        <w:keepNext/>
        <w:rPr>
          <w:i/>
          <w:lang w:val="en-CA"/>
        </w:rPr>
      </w:pPr>
      <w:r w:rsidRPr="009A010C">
        <w:rPr>
          <w:i/>
          <w:lang w:val="en-CA"/>
        </w:rPr>
        <w:t>Refrigeration servicing sector</w:t>
      </w:r>
    </w:p>
    <w:p w:rsidR="001B6756" w:rsidRPr="009A010C" w:rsidRDefault="001B6756" w:rsidP="005F330C">
      <w:pPr>
        <w:keepNext/>
        <w:rPr>
          <w:lang w:val="en-CA"/>
        </w:rPr>
      </w:pPr>
    </w:p>
    <w:p w:rsidR="001B6756" w:rsidRPr="009A010C" w:rsidRDefault="001B6756" w:rsidP="005F330C">
      <w:pPr>
        <w:pStyle w:val="Heading1"/>
        <w:keepNext/>
        <w:rPr>
          <w:lang w:val="en-CA"/>
        </w:rPr>
      </w:pPr>
      <w:r w:rsidRPr="009A010C">
        <w:rPr>
          <w:lang w:val="en-CA"/>
        </w:rPr>
        <w:t>As the agreement between UNEP and the Government of Qatar was only recently signed, the activities in the servicing sector have been limited but are now expected to accelerate. The following activities have been implemented to date: two workshops for local staff at the MME on ODS recording and training for customs inspectors on ODS import control were organized; an international institute was contracted and developed a certification programme for technicians and servicing workshops; technical documentation was drafted on national codes of good practice for different refrigeration and air</w:t>
      </w:r>
      <w:r w:rsidRPr="009A010C">
        <w:rPr>
          <w:lang w:val="en-CA"/>
        </w:rPr>
        <w:noBreakHyphen/>
        <w:t>conditioning servicing professions for the country’s approval; and a temporary committee was formed to review the draft certification documentation.</w:t>
      </w:r>
    </w:p>
    <w:p w:rsidR="001B6756" w:rsidRPr="009A010C" w:rsidRDefault="001B6756" w:rsidP="001B6756">
      <w:pPr>
        <w:pStyle w:val="Heading1"/>
        <w:rPr>
          <w:lang w:val="en-CA"/>
        </w:rPr>
      </w:pPr>
      <w:r w:rsidRPr="009A010C">
        <w:rPr>
          <w:lang w:val="en-CA"/>
        </w:rPr>
        <w:t xml:space="preserve">The following activities will be implemented by 1 July 2019, the completion of stage I: </w:t>
      </w:r>
    </w:p>
    <w:p w:rsidR="001B6756" w:rsidRPr="009A010C" w:rsidRDefault="001B6756" w:rsidP="001B6756">
      <w:pPr>
        <w:pStyle w:val="Heading2"/>
        <w:rPr>
          <w:lang w:val="en-CA"/>
        </w:rPr>
      </w:pPr>
      <w:r w:rsidRPr="009A010C">
        <w:rPr>
          <w:lang w:val="en-CA"/>
        </w:rPr>
        <w:t>Continuation of the training programme for customs officers based on the updated regulations;</w:t>
      </w:r>
    </w:p>
    <w:p w:rsidR="001B6756" w:rsidRPr="009A010C" w:rsidRDefault="001B6756" w:rsidP="001B6756">
      <w:pPr>
        <w:pStyle w:val="Heading2"/>
        <w:rPr>
          <w:lang w:val="en-CA"/>
        </w:rPr>
      </w:pPr>
      <w:r w:rsidRPr="009A010C">
        <w:rPr>
          <w:lang w:val="en-CA"/>
        </w:rPr>
        <w:t>Development and testing of a new e-licensing system based on the existing chemicals e</w:t>
      </w:r>
      <w:r w:rsidRPr="009A010C">
        <w:rPr>
          <w:lang w:val="en-CA"/>
        </w:rPr>
        <w:noBreakHyphen/>
        <w:t>licensing system;</w:t>
      </w:r>
    </w:p>
    <w:p w:rsidR="001B6756" w:rsidRPr="009A010C" w:rsidRDefault="001B6756" w:rsidP="001B6756">
      <w:pPr>
        <w:pStyle w:val="Heading2"/>
        <w:rPr>
          <w:lang w:val="en-CA"/>
        </w:rPr>
      </w:pPr>
      <w:r w:rsidRPr="009A010C">
        <w:rPr>
          <w:lang w:val="en-CA"/>
        </w:rPr>
        <w:t>Provision of training programme on good servicing practices by local training centres (Qatar University and the Canadian University in Doha);</w:t>
      </w:r>
    </w:p>
    <w:p w:rsidR="001B6756" w:rsidRPr="009A010C" w:rsidRDefault="001B6756" w:rsidP="001B6756">
      <w:pPr>
        <w:pStyle w:val="Heading2"/>
        <w:rPr>
          <w:lang w:val="en-CA"/>
        </w:rPr>
      </w:pPr>
      <w:r w:rsidRPr="009A010C">
        <w:rPr>
          <w:lang w:val="en-CA"/>
        </w:rPr>
        <w:t>Training session for 12 master trainers (planned for the last week of November 2018 and a follow-up training in 2019); and</w:t>
      </w:r>
    </w:p>
    <w:p w:rsidR="001B6756" w:rsidRPr="009A010C" w:rsidRDefault="001B6756" w:rsidP="001B6756">
      <w:pPr>
        <w:pStyle w:val="Heading2"/>
        <w:rPr>
          <w:lang w:val="en-CA"/>
        </w:rPr>
      </w:pPr>
      <w:r w:rsidRPr="009A010C">
        <w:rPr>
          <w:lang w:val="en-CA"/>
        </w:rPr>
        <w:t>Management and monitoring support activities.</w:t>
      </w:r>
    </w:p>
    <w:p w:rsidR="001B6756" w:rsidRPr="009A010C" w:rsidRDefault="001B6756" w:rsidP="001B6756">
      <w:pPr>
        <w:rPr>
          <w:i/>
          <w:lang w:val="en-CA"/>
        </w:rPr>
      </w:pPr>
      <w:r w:rsidRPr="009A010C">
        <w:rPr>
          <w:i/>
          <w:lang w:val="en-CA"/>
        </w:rPr>
        <w:t>Level of fund disbursement</w:t>
      </w:r>
    </w:p>
    <w:p w:rsidR="001B6756" w:rsidRPr="009A010C" w:rsidRDefault="001B6756" w:rsidP="001B6756">
      <w:pPr>
        <w:rPr>
          <w:lang w:val="en-CA"/>
        </w:rPr>
      </w:pPr>
    </w:p>
    <w:p w:rsidR="001B6756" w:rsidRPr="009A010C" w:rsidRDefault="001B6756" w:rsidP="002464DD">
      <w:pPr>
        <w:pStyle w:val="Heading1"/>
        <w:widowControl w:val="0"/>
        <w:rPr>
          <w:lang w:val="en-CA"/>
        </w:rPr>
      </w:pPr>
      <w:r w:rsidRPr="009A010C">
        <w:rPr>
          <w:lang w:val="en-CA"/>
        </w:rPr>
        <w:t xml:space="preserve">As of October 2018 of the US $1,150,907 so far approved (US $1,045,907 for UNIDO and US $105,000 for UNEP), US $1,006,666 (96 per cent) had been disbursed by UNIDO and US $69,300 (66 per cent) by UNEP.  </w:t>
      </w:r>
    </w:p>
    <w:p w:rsidR="001B6756" w:rsidRPr="009A010C" w:rsidRDefault="001B6756" w:rsidP="001B6756">
      <w:pPr>
        <w:rPr>
          <w:b/>
          <w:lang w:val="en-CA"/>
        </w:rPr>
      </w:pPr>
      <w:r w:rsidRPr="009A010C">
        <w:rPr>
          <w:b/>
          <w:lang w:val="en-CA"/>
        </w:rPr>
        <w:t>Secretariat’s comments</w:t>
      </w:r>
    </w:p>
    <w:p w:rsidR="001B6756" w:rsidRPr="009A010C" w:rsidRDefault="001B6756" w:rsidP="001B6756">
      <w:pPr>
        <w:rPr>
          <w:lang w:val="en-CA"/>
        </w:rPr>
      </w:pPr>
    </w:p>
    <w:p w:rsidR="001B6756" w:rsidRPr="009A010C" w:rsidRDefault="001B6756" w:rsidP="001B6756">
      <w:pPr>
        <w:pStyle w:val="Heading1"/>
        <w:rPr>
          <w:lang w:val="en-CA"/>
        </w:rPr>
      </w:pPr>
      <w:r w:rsidRPr="009A010C">
        <w:rPr>
          <w:lang w:val="en-CA"/>
        </w:rPr>
        <w:t>Noting that the 2013-2016 verification report was part of the second tranche request submitted to the 79</w:t>
      </w:r>
      <w:r w:rsidRPr="009A010C">
        <w:rPr>
          <w:vertAlign w:val="superscript"/>
          <w:lang w:val="en-CA"/>
        </w:rPr>
        <w:t>th </w:t>
      </w:r>
      <w:r w:rsidRPr="009A010C">
        <w:rPr>
          <w:lang w:val="en-CA"/>
        </w:rPr>
        <w:t>meeting that was subsequently withdrawn, the Secretariat suggested that 2017 and 2018 verification be included with the proposal for stage II of the HPMP to be submitted to the 83</w:t>
      </w:r>
      <w:r w:rsidRPr="009A010C">
        <w:rPr>
          <w:vertAlign w:val="superscript"/>
          <w:lang w:val="en-CA"/>
        </w:rPr>
        <w:t>rd </w:t>
      </w:r>
      <w:r w:rsidRPr="009A010C">
        <w:rPr>
          <w:lang w:val="en-CA"/>
        </w:rPr>
        <w:t xml:space="preserve">meeting. </w:t>
      </w:r>
    </w:p>
    <w:p w:rsidR="001B6756" w:rsidRPr="009A010C" w:rsidRDefault="001B6756" w:rsidP="001B6756">
      <w:pPr>
        <w:keepNext/>
        <w:keepLines/>
        <w:rPr>
          <w:i/>
          <w:lang w:val="en-CA"/>
        </w:rPr>
      </w:pPr>
      <w:r w:rsidRPr="009A010C">
        <w:rPr>
          <w:i/>
          <w:lang w:val="en-CA"/>
        </w:rPr>
        <w:lastRenderedPageBreak/>
        <w:t>Revision to the HPMP Agreement</w:t>
      </w:r>
    </w:p>
    <w:p w:rsidR="001B6756" w:rsidRPr="009A010C" w:rsidRDefault="001B6756" w:rsidP="001B6756">
      <w:pPr>
        <w:keepNext/>
        <w:keepLines/>
        <w:rPr>
          <w:lang w:val="en-CA"/>
        </w:rPr>
      </w:pPr>
    </w:p>
    <w:p w:rsidR="001B6756" w:rsidRPr="009A010C" w:rsidRDefault="001B6756" w:rsidP="001B6756">
      <w:pPr>
        <w:pStyle w:val="Heading1"/>
        <w:keepNext/>
        <w:keepLines/>
        <w:rPr>
          <w:lang w:val="en-CA"/>
        </w:rPr>
      </w:pPr>
      <w:r w:rsidRPr="009A010C">
        <w:rPr>
          <w:lang w:val="en-CA"/>
        </w:rPr>
        <w:t xml:space="preserve">The following changes to the Agreement were agreed: </w:t>
      </w:r>
    </w:p>
    <w:p w:rsidR="001B6756" w:rsidRPr="009A010C" w:rsidRDefault="001B6756" w:rsidP="005F330C">
      <w:pPr>
        <w:pStyle w:val="Heading2"/>
        <w:rPr>
          <w:lang w:val="en-CA"/>
        </w:rPr>
      </w:pPr>
      <w:r w:rsidRPr="009A010C">
        <w:rPr>
          <w:lang w:val="en-CA"/>
        </w:rPr>
        <w:t>At the 65</w:t>
      </w:r>
      <w:r w:rsidRPr="009A010C">
        <w:rPr>
          <w:vertAlign w:val="superscript"/>
          <w:lang w:val="en-CA"/>
        </w:rPr>
        <w:t>th </w:t>
      </w:r>
      <w:r w:rsidRPr="009A010C">
        <w:rPr>
          <w:lang w:val="en-CA"/>
        </w:rPr>
        <w:t>meeting, the Secretariat was requested, once the baseline data were known, to update Appendix 2-A to the Agreement to include the figures for maximum allowable consumption, and to notify the Executive Committee of the resulting change in the levels of maximum allowable consumption. Accordingly, the target specified in paragraph 1 and rows 1.1 and 1.2 of Appendix 2-A were updated based on the country’s baseline of 86.9 ODP tonnes, as reported under Article 7 of the Montreal Protocol;</w:t>
      </w:r>
    </w:p>
    <w:p w:rsidR="001B6756" w:rsidRPr="009A010C" w:rsidRDefault="001B6756" w:rsidP="005F330C">
      <w:pPr>
        <w:pStyle w:val="Heading2"/>
        <w:keepNext/>
        <w:widowControl/>
        <w:rPr>
          <w:lang w:val="en-CA"/>
        </w:rPr>
      </w:pPr>
      <w:r w:rsidRPr="009A010C">
        <w:rPr>
          <w:lang w:val="en-CA"/>
        </w:rPr>
        <w:t>Rows 2.1 to 3.3 of Appendix 2-A were updated to reflect that no further tranches would be submitted, and that the first and final tranche was the amount originally approved at the 65</w:t>
      </w:r>
      <w:r w:rsidRPr="009A010C">
        <w:rPr>
          <w:vertAlign w:val="superscript"/>
          <w:lang w:val="en-CA"/>
        </w:rPr>
        <w:t>th </w:t>
      </w:r>
      <w:r w:rsidRPr="009A010C">
        <w:rPr>
          <w:lang w:val="en-CA"/>
        </w:rPr>
        <w:t xml:space="preserve">meeting; </w:t>
      </w:r>
    </w:p>
    <w:p w:rsidR="001B6756" w:rsidRPr="009A010C" w:rsidRDefault="001B6756" w:rsidP="001B6756">
      <w:pPr>
        <w:pStyle w:val="Heading2"/>
        <w:rPr>
          <w:lang w:val="en-CA"/>
        </w:rPr>
      </w:pPr>
      <w:r w:rsidRPr="009A010C">
        <w:rPr>
          <w:lang w:val="en-CA"/>
        </w:rPr>
        <w:t>Paragraph 14 was modified to specify the completion of stage I by 1 July 2019; and</w:t>
      </w:r>
    </w:p>
    <w:p w:rsidR="001B6756" w:rsidRPr="009A010C" w:rsidRDefault="001B6756" w:rsidP="001B6756">
      <w:pPr>
        <w:pStyle w:val="Heading2"/>
        <w:rPr>
          <w:lang w:val="en-CA"/>
        </w:rPr>
      </w:pPr>
      <w:r w:rsidRPr="009A010C">
        <w:rPr>
          <w:lang w:val="en-CA"/>
        </w:rPr>
        <w:t>A new paragraph 16 was added to indicate that this Agreement replaces the one reached at the 65</w:t>
      </w:r>
      <w:r w:rsidRPr="009A010C">
        <w:rPr>
          <w:vertAlign w:val="superscript"/>
          <w:lang w:val="en-CA"/>
        </w:rPr>
        <w:t>th</w:t>
      </w:r>
      <w:r w:rsidRPr="009A010C">
        <w:rPr>
          <w:lang w:val="en-CA"/>
        </w:rPr>
        <w:t> meeting;</w:t>
      </w:r>
    </w:p>
    <w:p w:rsidR="001B6756" w:rsidRPr="009A010C" w:rsidRDefault="001B6756" w:rsidP="001B6756">
      <w:pPr>
        <w:pStyle w:val="Heading1"/>
        <w:rPr>
          <w:lang w:val="en-CA"/>
        </w:rPr>
      </w:pPr>
      <w:r w:rsidRPr="009A010C">
        <w:rPr>
          <w:lang w:val="en-CA"/>
        </w:rPr>
        <w:t>The relevant paragraphs and appendix of the updated Agreement between the Government of Qatar and the Executive Committee reached at the 65</w:t>
      </w:r>
      <w:r w:rsidRPr="009A010C">
        <w:rPr>
          <w:vertAlign w:val="superscript"/>
          <w:lang w:val="en-CA"/>
        </w:rPr>
        <w:t>th</w:t>
      </w:r>
      <w:r w:rsidRPr="009A010C">
        <w:rPr>
          <w:lang w:val="en-CA"/>
        </w:rPr>
        <w:t> meeting have been updated, as shown in Annex </w:t>
      </w:r>
      <w:r w:rsidR="002464DD" w:rsidRPr="009A010C">
        <w:rPr>
          <w:lang w:val="en-CA"/>
        </w:rPr>
        <w:t>I</w:t>
      </w:r>
      <w:r w:rsidRPr="009A010C">
        <w:rPr>
          <w:lang w:val="en-CA"/>
        </w:rPr>
        <w:t xml:space="preserve"> to the present document.  The full updated Agreement will be appended to the final report of the 82</w:t>
      </w:r>
      <w:r w:rsidRPr="009A010C">
        <w:rPr>
          <w:vertAlign w:val="superscript"/>
          <w:lang w:val="en-CA"/>
        </w:rPr>
        <w:t>nd</w:t>
      </w:r>
      <w:r w:rsidRPr="009A010C">
        <w:rPr>
          <w:lang w:val="en-CA"/>
        </w:rPr>
        <w:t xml:space="preserve"> meeting. </w:t>
      </w:r>
    </w:p>
    <w:p w:rsidR="001B6756" w:rsidRPr="009A010C" w:rsidRDefault="001B6756" w:rsidP="001B6756">
      <w:pPr>
        <w:pStyle w:val="Heading1"/>
        <w:rPr>
          <w:lang w:val="en-CA"/>
        </w:rPr>
      </w:pPr>
      <w:r w:rsidRPr="009A010C">
        <w:rPr>
          <w:lang w:val="en-CA"/>
        </w:rPr>
        <w:t>The Secretariat noted the signature of the agreement between the Government of Qatar and UNEP that will allow the remaining activities in the servicing sector to be undertaken. Given the progress in the conversions in the XPS foam manufacturing sector, and that revising the Agreement between the Government and the Executive Committee would allow the submission of a comprehensive plan for stage II of the HPMP to the 83</w:t>
      </w:r>
      <w:r w:rsidRPr="009A010C">
        <w:rPr>
          <w:vertAlign w:val="superscript"/>
          <w:lang w:val="en-CA"/>
        </w:rPr>
        <w:t>rd </w:t>
      </w:r>
      <w:r w:rsidRPr="009A010C">
        <w:rPr>
          <w:lang w:val="en-CA"/>
        </w:rPr>
        <w:t>meeting that takes into account the developments in the country since the approval of the HPMP at the 65</w:t>
      </w:r>
      <w:r w:rsidRPr="009A010C">
        <w:rPr>
          <w:vertAlign w:val="superscript"/>
          <w:lang w:val="en-CA"/>
        </w:rPr>
        <w:t>th </w:t>
      </w:r>
      <w:r w:rsidRPr="009A010C">
        <w:rPr>
          <w:lang w:val="en-CA"/>
        </w:rPr>
        <w:t xml:space="preserve">meeting, the Secretariat supports the proposal to extend stage I of the HPMP and to amend the Agreement. </w:t>
      </w:r>
    </w:p>
    <w:p w:rsidR="001B6756" w:rsidRPr="009A010C" w:rsidRDefault="001B6756" w:rsidP="001B6756">
      <w:pPr>
        <w:pStyle w:val="Heading1"/>
        <w:numPr>
          <w:ilvl w:val="0"/>
          <w:numId w:val="0"/>
        </w:numPr>
        <w:rPr>
          <w:b/>
          <w:lang w:val="en-CA"/>
        </w:rPr>
      </w:pPr>
      <w:r w:rsidRPr="009A010C">
        <w:rPr>
          <w:b/>
          <w:lang w:val="en-CA"/>
        </w:rPr>
        <w:t>RECOMMENDATION</w:t>
      </w:r>
    </w:p>
    <w:p w:rsidR="001B6756" w:rsidRPr="009A010C" w:rsidRDefault="001B6756" w:rsidP="001B6756">
      <w:pPr>
        <w:pStyle w:val="Heading1"/>
        <w:rPr>
          <w:lang w:val="en-CA"/>
        </w:rPr>
      </w:pPr>
      <w:r w:rsidRPr="009A010C">
        <w:rPr>
          <w:lang w:val="en-CA"/>
        </w:rPr>
        <w:t>The Executive Committee may wish to consider:</w:t>
      </w:r>
    </w:p>
    <w:p w:rsidR="00AE24AB" w:rsidRPr="00FE5979" w:rsidRDefault="00AE24AB" w:rsidP="00AE24AB">
      <w:pPr>
        <w:pStyle w:val="Heading2"/>
        <w:numPr>
          <w:ilvl w:val="1"/>
          <w:numId w:val="31"/>
        </w:numPr>
        <w:rPr>
          <w:lang w:val="en-CA"/>
        </w:rPr>
      </w:pPr>
      <w:r w:rsidRPr="00FE5979">
        <w:rPr>
          <w:lang w:val="en-CA"/>
        </w:rPr>
        <w:t>Noting:</w:t>
      </w:r>
    </w:p>
    <w:p w:rsidR="00AE24AB" w:rsidRPr="00FE5979" w:rsidRDefault="00AE24AB" w:rsidP="00AE24AB">
      <w:pPr>
        <w:pStyle w:val="Heading3"/>
        <w:widowControl/>
        <w:numPr>
          <w:ilvl w:val="2"/>
          <w:numId w:val="32"/>
        </w:numPr>
        <w:rPr>
          <w:lang w:val="en-CA"/>
        </w:rPr>
      </w:pPr>
      <w:r w:rsidRPr="00FE5979">
        <w:rPr>
          <w:lang w:val="en-CA"/>
        </w:rPr>
        <w:t xml:space="preserve">The request for extending stage I of the HCFC phase-out management plan (HPMP) for Qatar to 1 July 2019; </w:t>
      </w:r>
    </w:p>
    <w:p w:rsidR="00AE24AB" w:rsidRPr="00FE5979" w:rsidRDefault="00AE24AB" w:rsidP="00AE24AB">
      <w:pPr>
        <w:pStyle w:val="Heading3"/>
        <w:widowControl/>
        <w:numPr>
          <w:ilvl w:val="2"/>
          <w:numId w:val="32"/>
        </w:numPr>
        <w:ind w:left="2127"/>
        <w:rPr>
          <w:lang w:val="en-CA"/>
        </w:rPr>
      </w:pPr>
      <w:r w:rsidRPr="00FE5979">
        <w:rPr>
          <w:lang w:val="en-CA"/>
        </w:rPr>
        <w:t xml:space="preserve">That the Fund Secretariat had updated paragraphs 1 and 14, </w:t>
      </w:r>
      <w:r w:rsidRPr="00FE5979">
        <w:rPr>
          <w:b/>
          <w:lang w:val="en-CA"/>
        </w:rPr>
        <w:t xml:space="preserve">and </w:t>
      </w:r>
      <w:r w:rsidRPr="00FE5979">
        <w:rPr>
          <w:lang w:val="en-CA"/>
        </w:rPr>
        <w:t>Appendix 2-A of the Agreement between the Government of Qatar and the Executive Committee, based on the country’s baseline of 86.9 ODP tonnes as reported under Article 7 of the Montreal Protocol, the revised funding level to reflect that no further tranches would be requested following the first tranche of the HPMP approved at the 65</w:t>
      </w:r>
      <w:r w:rsidRPr="00FE5979">
        <w:rPr>
          <w:vertAlign w:val="superscript"/>
          <w:lang w:val="en-CA"/>
        </w:rPr>
        <w:t>th </w:t>
      </w:r>
      <w:r w:rsidRPr="00FE5979">
        <w:rPr>
          <w:lang w:val="en-CA"/>
        </w:rPr>
        <w:t>meeting, the revised completion date of 1 July 2019</w:t>
      </w:r>
      <w:r w:rsidRPr="00FE5979">
        <w:rPr>
          <w:b/>
          <w:lang w:val="en-CA"/>
        </w:rPr>
        <w:t>;</w:t>
      </w:r>
      <w:r w:rsidRPr="00FE5979">
        <w:rPr>
          <w:lang w:val="en-CA"/>
        </w:rPr>
        <w:t xml:space="preserve"> and that a new paragraph 16 had been added to indicate that the updated Agreement superseded that reached at the 65</w:t>
      </w:r>
      <w:r w:rsidRPr="00FE5979">
        <w:rPr>
          <w:vertAlign w:val="superscript"/>
          <w:lang w:val="en-CA"/>
        </w:rPr>
        <w:t>th</w:t>
      </w:r>
      <w:r w:rsidRPr="00FE5979">
        <w:rPr>
          <w:lang w:val="en-CA"/>
        </w:rPr>
        <w:t xml:space="preserve"> meeting, as contained in Annex I to the present document;</w:t>
      </w:r>
    </w:p>
    <w:p w:rsidR="00AE24AB" w:rsidRPr="00FE5979" w:rsidRDefault="00AE24AB" w:rsidP="00AE24AB">
      <w:pPr>
        <w:pStyle w:val="Heading3"/>
        <w:widowControl/>
        <w:numPr>
          <w:ilvl w:val="2"/>
          <w:numId w:val="32"/>
        </w:numPr>
        <w:ind w:left="2127"/>
        <w:rPr>
          <w:lang w:val="en-CA"/>
        </w:rPr>
      </w:pPr>
      <w:r w:rsidRPr="00FE5979">
        <w:rPr>
          <w:lang w:val="en-CA"/>
        </w:rPr>
        <w:t>The return to the 82</w:t>
      </w:r>
      <w:r w:rsidRPr="00FE5979">
        <w:rPr>
          <w:vertAlign w:val="superscript"/>
          <w:lang w:val="en-CA"/>
        </w:rPr>
        <w:t>nd</w:t>
      </w:r>
      <w:r w:rsidRPr="00FE5979">
        <w:rPr>
          <w:lang w:val="en-CA"/>
        </w:rPr>
        <w:t xml:space="preserve"> meeting of US $39,241, plus agency supports of US $2,943 for UNIDO, associated with the enterprise Al </w:t>
      </w:r>
      <w:proofErr w:type="spellStart"/>
      <w:r w:rsidRPr="00FE5979">
        <w:rPr>
          <w:lang w:val="en-CA"/>
        </w:rPr>
        <w:t>Kawthar</w:t>
      </w:r>
      <w:proofErr w:type="spellEnd"/>
      <w:r w:rsidRPr="00FE5979">
        <w:rPr>
          <w:lang w:val="en-CA"/>
        </w:rPr>
        <w:t xml:space="preserve"> that had </w:t>
      </w:r>
      <w:r w:rsidRPr="00FE5979">
        <w:rPr>
          <w:b/>
          <w:lang w:val="en-CA"/>
        </w:rPr>
        <w:t xml:space="preserve">been </w:t>
      </w:r>
      <w:r w:rsidRPr="00FE5979">
        <w:rPr>
          <w:lang w:val="en-CA"/>
        </w:rPr>
        <w:t>relocated to Oman;</w:t>
      </w:r>
    </w:p>
    <w:p w:rsidR="00AE24AB" w:rsidRPr="00FE5979" w:rsidRDefault="00AE24AB" w:rsidP="00AE24AB">
      <w:pPr>
        <w:pStyle w:val="Heading3"/>
        <w:widowControl/>
        <w:numPr>
          <w:ilvl w:val="2"/>
          <w:numId w:val="32"/>
        </w:numPr>
        <w:ind w:left="2127"/>
        <w:rPr>
          <w:lang w:val="en-CA"/>
        </w:rPr>
      </w:pPr>
      <w:r w:rsidRPr="00FE5979">
        <w:rPr>
          <w:lang w:val="en-CA"/>
        </w:rPr>
        <w:lastRenderedPageBreak/>
        <w:t xml:space="preserve">That the Government of Qatar could submit the </w:t>
      </w:r>
      <w:r w:rsidRPr="00FE5979">
        <w:rPr>
          <w:b/>
          <w:lang w:val="en-CA"/>
        </w:rPr>
        <w:t xml:space="preserve">project </w:t>
      </w:r>
      <w:r w:rsidRPr="00FE5979">
        <w:rPr>
          <w:lang w:val="en-CA"/>
        </w:rPr>
        <w:t>proposal for stage II of the HPMP to the 83</w:t>
      </w:r>
      <w:r w:rsidRPr="00FE5979">
        <w:rPr>
          <w:vertAlign w:val="superscript"/>
          <w:lang w:val="en-CA"/>
        </w:rPr>
        <w:t>rd</w:t>
      </w:r>
      <w:r w:rsidR="00C03716">
        <w:rPr>
          <w:vertAlign w:val="superscript"/>
          <w:lang w:val="en-CA"/>
        </w:rPr>
        <w:t xml:space="preserve"> </w:t>
      </w:r>
      <w:r w:rsidRPr="00FE5979">
        <w:rPr>
          <w:lang w:val="en-CA"/>
        </w:rPr>
        <w:t xml:space="preserve">meeting, on the understanding that </w:t>
      </w:r>
      <w:r w:rsidRPr="00FE5979">
        <w:rPr>
          <w:b/>
          <w:lang w:val="en-CA"/>
        </w:rPr>
        <w:t xml:space="preserve">it </w:t>
      </w:r>
      <w:r w:rsidRPr="00FE5979">
        <w:rPr>
          <w:lang w:val="en-CA"/>
        </w:rPr>
        <w:t>would include the verification of Qatar’s consumption for the years 2017 to 2018.</w:t>
      </w:r>
    </w:p>
    <w:p w:rsidR="00AE24AB" w:rsidRPr="00FE5979" w:rsidRDefault="00AE24AB" w:rsidP="00AE24AB">
      <w:pPr>
        <w:pStyle w:val="Heading2"/>
        <w:numPr>
          <w:ilvl w:val="1"/>
          <w:numId w:val="31"/>
        </w:numPr>
        <w:rPr>
          <w:lang w:val="en-CA"/>
        </w:rPr>
      </w:pPr>
      <w:r w:rsidRPr="00FE5979">
        <w:rPr>
          <w:lang w:val="en-CA"/>
        </w:rPr>
        <w:t xml:space="preserve">Approving </w:t>
      </w:r>
      <w:r w:rsidRPr="00FE5979">
        <w:rPr>
          <w:b/>
          <w:lang w:val="en-CA"/>
        </w:rPr>
        <w:t xml:space="preserve">the </w:t>
      </w:r>
      <w:r w:rsidRPr="00FE5979">
        <w:rPr>
          <w:lang w:val="en-CA"/>
        </w:rPr>
        <w:t>2018-2019 tranche implementation plan of stage I of the HPMP for Qatar; and</w:t>
      </w:r>
    </w:p>
    <w:p w:rsidR="001B6756" w:rsidRPr="009A010C" w:rsidRDefault="00AE24AB" w:rsidP="00AE24AB">
      <w:pPr>
        <w:pStyle w:val="Heading2"/>
        <w:keepNext/>
        <w:widowControl/>
        <w:numPr>
          <w:ilvl w:val="1"/>
          <w:numId w:val="31"/>
        </w:numPr>
        <w:rPr>
          <w:lang w:val="en-CA"/>
        </w:rPr>
      </w:pPr>
      <w:r w:rsidRPr="00FE5979">
        <w:rPr>
          <w:lang w:val="en-CA"/>
        </w:rPr>
        <w:t>Requesting the Government of Qatar, UNIDO and UNEP to submit, the final progress report to the 84</w:t>
      </w:r>
      <w:r w:rsidRPr="00FE5979">
        <w:rPr>
          <w:vertAlign w:val="superscript"/>
          <w:lang w:val="en-CA"/>
        </w:rPr>
        <w:t>th</w:t>
      </w:r>
      <w:r w:rsidRPr="00FE5979">
        <w:rPr>
          <w:lang w:val="en-CA"/>
        </w:rPr>
        <w:t xml:space="preserve"> meeting, the financial completion and return the remaining balances by 31 December 2019, and the project completion report to the first meeting of the Executive Committee in 2020.</w:t>
      </w:r>
    </w:p>
    <w:p w:rsidR="000354F9" w:rsidRPr="009A010C" w:rsidRDefault="000354F9" w:rsidP="000354F9">
      <w:pPr>
        <w:keepNext/>
        <w:keepLines/>
        <w:rPr>
          <w:u w:val="single"/>
          <w:lang w:val="en-CA"/>
        </w:rPr>
      </w:pPr>
      <w:r w:rsidRPr="009A010C">
        <w:rPr>
          <w:u w:val="single"/>
          <w:lang w:val="en-CA"/>
        </w:rPr>
        <w:t>Stage I of the HPMP for Venezuela</w:t>
      </w:r>
      <w:r w:rsidR="00E04A95" w:rsidRPr="009A010C">
        <w:rPr>
          <w:u w:val="single"/>
          <w:lang w:val="en-CA"/>
        </w:rPr>
        <w:t xml:space="preserve"> </w:t>
      </w:r>
      <w:r w:rsidR="00E04A95" w:rsidRPr="009A010C">
        <w:rPr>
          <w:u w:val="single"/>
        </w:rPr>
        <w:t>(Bolivarian Republic of)</w:t>
      </w:r>
      <w:r w:rsidRPr="009A010C">
        <w:rPr>
          <w:u w:val="single"/>
          <w:lang w:val="en-CA"/>
        </w:rPr>
        <w:t>: Final progress report</w:t>
      </w:r>
      <w:r w:rsidRPr="009A010C">
        <w:rPr>
          <w:lang w:val="en-CA"/>
        </w:rPr>
        <w:t xml:space="preserve"> (UNIDO)</w:t>
      </w:r>
    </w:p>
    <w:p w:rsidR="000354F9" w:rsidRPr="009A010C" w:rsidRDefault="000354F9" w:rsidP="000354F9">
      <w:pPr>
        <w:keepNext/>
        <w:keepLines/>
        <w:rPr>
          <w:u w:val="single"/>
          <w:lang w:val="en-CA"/>
        </w:rPr>
      </w:pPr>
    </w:p>
    <w:p w:rsidR="000354F9" w:rsidRPr="009A010C" w:rsidRDefault="000354F9" w:rsidP="000354F9">
      <w:pPr>
        <w:pStyle w:val="Heading1"/>
        <w:rPr>
          <w:lang w:val="en-US"/>
        </w:rPr>
      </w:pPr>
      <w:r w:rsidRPr="009A010C">
        <w:t>On behalf of the Government of Venezuela (Bolivarian Republic of), UNIDO as the designated implementing agency has submitted the annual progress report on the implementation of the work programme associated with the fourth (final) tranche of stage I of the HCFC phase-out management plan (HPMP)</w:t>
      </w:r>
      <w:r w:rsidRPr="009A010C">
        <w:rPr>
          <w:rStyle w:val="FootnoteReference"/>
        </w:rPr>
        <w:footnoteReference w:id="51"/>
      </w:r>
      <w:r w:rsidRPr="009A010C">
        <w:t xml:space="preserve"> in line with decision 75/65(d).</w:t>
      </w:r>
      <w:r w:rsidRPr="009A010C">
        <w:rPr>
          <w:rStyle w:val="FootnoteReference"/>
        </w:rPr>
        <w:footnoteReference w:id="52"/>
      </w:r>
      <w:r w:rsidRPr="009A010C">
        <w:t xml:space="preserve"> </w:t>
      </w:r>
    </w:p>
    <w:p w:rsidR="000354F9" w:rsidRPr="009A010C" w:rsidRDefault="000354F9" w:rsidP="000354F9">
      <w:pPr>
        <w:rPr>
          <w:i/>
        </w:rPr>
      </w:pPr>
      <w:r w:rsidRPr="009A010C">
        <w:rPr>
          <w:i/>
        </w:rPr>
        <w:t>HCFC consumption</w:t>
      </w:r>
    </w:p>
    <w:p w:rsidR="000354F9" w:rsidRPr="009A010C" w:rsidRDefault="000354F9" w:rsidP="000354F9">
      <w:pPr>
        <w:rPr>
          <w:i/>
        </w:rPr>
      </w:pPr>
    </w:p>
    <w:p w:rsidR="000354F9" w:rsidRPr="00F4406E" w:rsidRDefault="000354F9" w:rsidP="000354F9">
      <w:pPr>
        <w:pStyle w:val="Heading1"/>
      </w:pPr>
      <w:r w:rsidRPr="009A010C">
        <w:t xml:space="preserve">The overall HCFC consumption reported in 2017 is 17.10 ODP tonnes, which is 91 per cent below the 186.25 ODP tonnes allowable for that year in the Agreement between the Government and the Executive Committee, and 92 per cent below the established baseline of 206.94 ODP tonnes, as shown in </w:t>
      </w:r>
      <w:r w:rsidRPr="00F4406E">
        <w:t xml:space="preserve">Table </w:t>
      </w:r>
      <w:r w:rsidR="002464DD" w:rsidRPr="00F4406E">
        <w:t>25</w:t>
      </w:r>
      <w:r w:rsidRPr="00F4406E">
        <w:t xml:space="preserve">. </w:t>
      </w:r>
    </w:p>
    <w:p w:rsidR="000354F9" w:rsidRPr="00F4406E" w:rsidRDefault="000354F9" w:rsidP="000354F9">
      <w:pPr>
        <w:widowControl w:val="0"/>
        <w:jc w:val="left"/>
        <w:rPr>
          <w:b/>
        </w:rPr>
      </w:pPr>
      <w:r w:rsidRPr="00F4406E">
        <w:rPr>
          <w:b/>
        </w:rPr>
        <w:t xml:space="preserve">Table </w:t>
      </w:r>
      <w:r w:rsidR="002464DD" w:rsidRPr="00F4406E">
        <w:rPr>
          <w:b/>
        </w:rPr>
        <w:t>25</w:t>
      </w:r>
      <w:r w:rsidRPr="00F4406E">
        <w:rPr>
          <w:b/>
        </w:rPr>
        <w:t>. HCFC consumption in Venezuela (Bolivarian Republic of) (2013-2017 Article 7 data)</w:t>
      </w:r>
    </w:p>
    <w:tbl>
      <w:tblPr>
        <w:tblW w:w="5003" w:type="pct"/>
        <w:tblLook w:val="04A0" w:firstRow="1" w:lastRow="0" w:firstColumn="1" w:lastColumn="0" w:noHBand="0" w:noVBand="1"/>
      </w:tblPr>
      <w:tblGrid>
        <w:gridCol w:w="2293"/>
        <w:gridCol w:w="1189"/>
        <w:gridCol w:w="1189"/>
        <w:gridCol w:w="1188"/>
        <w:gridCol w:w="1188"/>
        <w:gridCol w:w="1188"/>
        <w:gridCol w:w="1301"/>
      </w:tblGrid>
      <w:tr w:rsidR="000354F9" w:rsidRPr="009A010C" w:rsidTr="000354F9">
        <w:trPr>
          <w:tblHeader/>
        </w:trPr>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F4406E" w:rsidRDefault="000354F9" w:rsidP="000354F9">
            <w:pPr>
              <w:widowControl w:val="0"/>
              <w:jc w:val="left"/>
              <w:rPr>
                <w:b/>
                <w:bCs/>
                <w:color w:val="000000"/>
                <w:sz w:val="20"/>
                <w:szCs w:val="20"/>
              </w:rPr>
            </w:pPr>
            <w:r w:rsidRPr="00F4406E">
              <w:rPr>
                <w:b/>
                <w:bCs/>
                <w:color w:val="000000"/>
                <w:sz w:val="20"/>
                <w:szCs w:val="20"/>
              </w:rPr>
              <w:t>HCFC</w:t>
            </w:r>
          </w:p>
        </w:tc>
        <w:tc>
          <w:tcPr>
            <w:tcW w:w="623" w:type="pct"/>
            <w:tcBorders>
              <w:top w:val="single" w:sz="4" w:space="0" w:color="auto"/>
              <w:left w:val="nil"/>
              <w:bottom w:val="single" w:sz="4" w:space="0" w:color="auto"/>
              <w:right w:val="single" w:sz="4" w:space="0" w:color="auto"/>
            </w:tcBorders>
          </w:tcPr>
          <w:p w:rsidR="000354F9" w:rsidRPr="00F4406E" w:rsidRDefault="000354F9" w:rsidP="000354F9">
            <w:pPr>
              <w:widowControl w:val="0"/>
              <w:jc w:val="center"/>
              <w:rPr>
                <w:b/>
                <w:color w:val="000000"/>
                <w:sz w:val="20"/>
                <w:szCs w:val="20"/>
              </w:rPr>
            </w:pPr>
            <w:r w:rsidRPr="00F4406E">
              <w:rPr>
                <w:b/>
                <w:color w:val="000000"/>
                <w:sz w:val="20"/>
                <w:szCs w:val="20"/>
              </w:rPr>
              <w:t>2013</w:t>
            </w:r>
          </w:p>
        </w:tc>
        <w:tc>
          <w:tcPr>
            <w:tcW w:w="623" w:type="pct"/>
            <w:tcBorders>
              <w:top w:val="single" w:sz="4" w:space="0" w:color="auto"/>
              <w:left w:val="single" w:sz="4" w:space="0" w:color="auto"/>
              <w:bottom w:val="single" w:sz="4" w:space="0" w:color="auto"/>
              <w:right w:val="single" w:sz="4" w:space="0" w:color="auto"/>
            </w:tcBorders>
          </w:tcPr>
          <w:p w:rsidR="000354F9" w:rsidRPr="00F4406E" w:rsidRDefault="000354F9" w:rsidP="000354F9">
            <w:pPr>
              <w:widowControl w:val="0"/>
              <w:jc w:val="center"/>
              <w:rPr>
                <w:b/>
                <w:bCs/>
                <w:color w:val="000000"/>
                <w:sz w:val="20"/>
                <w:szCs w:val="20"/>
              </w:rPr>
            </w:pPr>
            <w:r w:rsidRPr="00F4406E">
              <w:rPr>
                <w:b/>
                <w:bCs/>
                <w:color w:val="000000"/>
                <w:sz w:val="20"/>
                <w:szCs w:val="20"/>
              </w:rPr>
              <w:t>2014</w:t>
            </w:r>
          </w:p>
        </w:tc>
        <w:tc>
          <w:tcPr>
            <w:tcW w:w="623" w:type="pct"/>
            <w:tcBorders>
              <w:top w:val="single" w:sz="4" w:space="0" w:color="auto"/>
              <w:left w:val="single" w:sz="4" w:space="0" w:color="auto"/>
              <w:bottom w:val="single" w:sz="4" w:space="0" w:color="auto"/>
              <w:right w:val="single" w:sz="4" w:space="0" w:color="auto"/>
            </w:tcBorders>
          </w:tcPr>
          <w:p w:rsidR="000354F9" w:rsidRPr="00F4406E" w:rsidRDefault="000354F9" w:rsidP="000354F9">
            <w:pPr>
              <w:widowControl w:val="0"/>
              <w:jc w:val="center"/>
              <w:rPr>
                <w:b/>
                <w:bCs/>
                <w:color w:val="000000"/>
                <w:sz w:val="20"/>
                <w:szCs w:val="20"/>
              </w:rPr>
            </w:pPr>
            <w:r w:rsidRPr="00F4406E">
              <w:rPr>
                <w:b/>
                <w:bCs/>
                <w:color w:val="000000"/>
                <w:sz w:val="20"/>
                <w:szCs w:val="20"/>
              </w:rPr>
              <w:t>2015</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F4406E" w:rsidRDefault="000354F9" w:rsidP="000354F9">
            <w:pPr>
              <w:widowControl w:val="0"/>
              <w:jc w:val="center"/>
              <w:rPr>
                <w:b/>
                <w:bCs/>
                <w:color w:val="000000"/>
                <w:sz w:val="20"/>
                <w:szCs w:val="20"/>
              </w:rPr>
            </w:pPr>
            <w:r w:rsidRPr="00F4406E">
              <w:rPr>
                <w:b/>
                <w:bCs/>
                <w:color w:val="000000"/>
                <w:sz w:val="20"/>
                <w:szCs w:val="20"/>
              </w:rPr>
              <w:t>2016</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F4406E" w:rsidRDefault="000354F9" w:rsidP="000354F9">
            <w:pPr>
              <w:widowControl w:val="0"/>
              <w:jc w:val="center"/>
              <w:rPr>
                <w:b/>
                <w:bCs/>
                <w:color w:val="000000"/>
                <w:sz w:val="20"/>
                <w:szCs w:val="20"/>
              </w:rPr>
            </w:pPr>
            <w:r w:rsidRPr="00F4406E">
              <w:rPr>
                <w:b/>
                <w:bCs/>
                <w:color w:val="000000"/>
                <w:sz w:val="20"/>
                <w:szCs w:val="20"/>
              </w:rPr>
              <w:t>2017</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54F9" w:rsidRPr="009A010C" w:rsidRDefault="000354F9" w:rsidP="000354F9">
            <w:pPr>
              <w:widowControl w:val="0"/>
              <w:jc w:val="center"/>
              <w:rPr>
                <w:b/>
                <w:bCs/>
                <w:color w:val="000000"/>
                <w:sz w:val="20"/>
                <w:szCs w:val="20"/>
              </w:rPr>
            </w:pPr>
            <w:r w:rsidRPr="00F4406E">
              <w:rPr>
                <w:b/>
                <w:bCs/>
                <w:color w:val="000000"/>
                <w:sz w:val="20"/>
                <w:szCs w:val="20"/>
              </w:rPr>
              <w:t>Baseline</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b/>
                <w:bCs/>
                <w:color w:val="000000"/>
                <w:sz w:val="20"/>
                <w:szCs w:val="20"/>
              </w:rPr>
            </w:pPr>
            <w:r w:rsidRPr="009A010C">
              <w:rPr>
                <w:b/>
                <w:bCs/>
                <w:color w:val="000000"/>
                <w:sz w:val="20"/>
                <w:szCs w:val="20"/>
              </w:rPr>
              <w:t>Metric tonnes</w:t>
            </w:r>
          </w:p>
        </w:tc>
        <w:tc>
          <w:tcPr>
            <w:tcW w:w="623" w:type="pct"/>
            <w:tcBorders>
              <w:top w:val="single" w:sz="4" w:space="0" w:color="auto"/>
              <w:left w:val="nil"/>
              <w:bottom w:val="single" w:sz="4" w:space="0" w:color="auto"/>
              <w:right w:val="single" w:sz="4" w:space="0" w:color="auto"/>
            </w:tcBorders>
          </w:tcPr>
          <w:p w:rsidR="000354F9" w:rsidRPr="009A010C" w:rsidRDefault="000354F9" w:rsidP="000354F9">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center"/>
              <w:rPr>
                <w:b/>
                <w:bCs/>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center"/>
              <w:rPr>
                <w:b/>
                <w:bCs/>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center"/>
              <w:rPr>
                <w:b/>
                <w:bCs/>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center"/>
              <w:rPr>
                <w:b/>
                <w:bCs/>
                <w:color w:val="000000"/>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54F9" w:rsidRPr="009A010C" w:rsidRDefault="000354F9" w:rsidP="000354F9">
            <w:pPr>
              <w:widowControl w:val="0"/>
              <w:jc w:val="center"/>
              <w:rPr>
                <w:b/>
                <w:bCs/>
                <w:color w:val="000000"/>
                <w:sz w:val="20"/>
                <w:szCs w:val="20"/>
              </w:rPr>
            </w:pP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HCFC-22</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2,264.21</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sz w:val="20"/>
                <w:szCs w:val="20"/>
              </w:rPr>
            </w:pPr>
            <w:r w:rsidRPr="009A010C">
              <w:rPr>
                <w:sz w:val="20"/>
                <w:szCs w:val="20"/>
              </w:rPr>
              <w:t>1,685.36</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sz w:val="20"/>
                <w:szCs w:val="20"/>
              </w:rPr>
            </w:pPr>
            <w:r w:rsidRPr="009A010C">
              <w:rPr>
                <w:sz w:val="20"/>
                <w:szCs w:val="20"/>
              </w:rPr>
              <w:t>831.24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259.86</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273.22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r w:rsidRPr="009A010C">
              <w:rPr>
                <w:sz w:val="20"/>
                <w:szCs w:val="20"/>
              </w:rPr>
              <w:t>2,938.7</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HCFC-123</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4.00</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r w:rsidRPr="009A010C">
              <w:rPr>
                <w:sz w:val="20"/>
                <w:szCs w:val="20"/>
              </w:rPr>
              <w:t>3.3</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HCFC-124</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9.60</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r w:rsidRPr="009A010C">
              <w:rPr>
                <w:sz w:val="20"/>
                <w:szCs w:val="20"/>
              </w:rPr>
              <w:t>0.0</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HCFC-141b</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93.06</w:t>
            </w:r>
          </w:p>
        </w:tc>
        <w:tc>
          <w:tcPr>
            <w:tcW w:w="623" w:type="pct"/>
            <w:tcBorders>
              <w:top w:val="single" w:sz="4" w:space="0" w:color="auto"/>
              <w:left w:val="single" w:sz="4" w:space="0" w:color="auto"/>
              <w:bottom w:val="single" w:sz="4" w:space="0" w:color="auto"/>
              <w:right w:val="single" w:sz="4" w:space="0" w:color="auto"/>
            </w:tcBorders>
            <w:vAlign w:val="bottom"/>
          </w:tcPr>
          <w:p w:rsidR="000354F9" w:rsidRPr="009A010C" w:rsidRDefault="000354F9" w:rsidP="000354F9">
            <w:pPr>
              <w:widowControl w:val="0"/>
              <w:jc w:val="right"/>
              <w:rPr>
                <w:color w:val="000000"/>
                <w:sz w:val="20"/>
                <w:szCs w:val="20"/>
              </w:rPr>
            </w:pPr>
            <w:r w:rsidRPr="009A010C">
              <w:rPr>
                <w:color w:val="000000"/>
                <w:sz w:val="20"/>
                <w:szCs w:val="20"/>
              </w:rPr>
              <w:t>94.00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100.00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18.80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r w:rsidRPr="009A010C">
              <w:rPr>
                <w:sz w:val="20"/>
                <w:szCs w:val="20"/>
              </w:rPr>
              <w:t>359.6</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HCFC-142b</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vAlign w:val="bottom"/>
          </w:tcPr>
          <w:p w:rsidR="000354F9" w:rsidRPr="009A010C" w:rsidRDefault="000354F9" w:rsidP="000354F9">
            <w:pPr>
              <w:widowControl w:val="0"/>
              <w:jc w:val="right"/>
              <w:rPr>
                <w:color w:val="000000"/>
                <w:sz w:val="20"/>
                <w:szCs w:val="20"/>
              </w:rPr>
            </w:pPr>
            <w:r w:rsidRPr="009A010C">
              <w:rPr>
                <w:color w:val="000000"/>
                <w:sz w:val="20"/>
                <w:szCs w:val="20"/>
              </w:rPr>
              <w:t>20.00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20.00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r w:rsidRPr="009A010C">
              <w:rPr>
                <w:sz w:val="20"/>
                <w:szCs w:val="20"/>
              </w:rPr>
              <w:t>87.4</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b/>
                <w:color w:val="000000"/>
                <w:sz w:val="20"/>
                <w:szCs w:val="20"/>
              </w:rPr>
            </w:pPr>
            <w:r w:rsidRPr="009A010C">
              <w:rPr>
                <w:b/>
                <w:color w:val="000000"/>
                <w:sz w:val="20"/>
                <w:szCs w:val="20"/>
              </w:rPr>
              <w:t>Total (metric tonnes)</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b/>
                <w:color w:val="000000"/>
                <w:sz w:val="20"/>
                <w:szCs w:val="20"/>
              </w:rPr>
            </w:pPr>
            <w:r w:rsidRPr="009A010C">
              <w:rPr>
                <w:b/>
                <w:color w:val="000000"/>
                <w:sz w:val="20"/>
                <w:szCs w:val="20"/>
              </w:rPr>
              <w:t>2,357.27</w:t>
            </w:r>
          </w:p>
        </w:tc>
        <w:tc>
          <w:tcPr>
            <w:tcW w:w="623" w:type="pct"/>
            <w:tcBorders>
              <w:top w:val="single" w:sz="4" w:space="0" w:color="auto"/>
              <w:left w:val="single" w:sz="4" w:space="0" w:color="auto"/>
              <w:bottom w:val="single" w:sz="4" w:space="0" w:color="auto"/>
              <w:right w:val="single" w:sz="4" w:space="0" w:color="auto"/>
            </w:tcBorders>
            <w:vAlign w:val="bottom"/>
          </w:tcPr>
          <w:p w:rsidR="000354F9" w:rsidRPr="009A010C" w:rsidRDefault="000354F9" w:rsidP="000354F9">
            <w:pPr>
              <w:widowControl w:val="0"/>
              <w:jc w:val="right"/>
              <w:rPr>
                <w:b/>
                <w:color w:val="000000"/>
                <w:sz w:val="20"/>
                <w:szCs w:val="20"/>
              </w:rPr>
            </w:pPr>
            <w:r w:rsidRPr="009A010C">
              <w:rPr>
                <w:b/>
                <w:color w:val="000000"/>
                <w:sz w:val="20"/>
                <w:szCs w:val="20"/>
              </w:rPr>
              <w:t>1,812.96</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b/>
                <w:sz w:val="20"/>
                <w:szCs w:val="20"/>
              </w:rPr>
            </w:pPr>
            <w:r w:rsidRPr="009A010C">
              <w:rPr>
                <w:b/>
                <w:sz w:val="20"/>
                <w:szCs w:val="20"/>
              </w:rPr>
              <w:t>831.24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b/>
                <w:sz w:val="20"/>
                <w:szCs w:val="20"/>
              </w:rPr>
            </w:pPr>
            <w:r w:rsidRPr="009A010C">
              <w:rPr>
                <w:b/>
                <w:sz w:val="20"/>
                <w:szCs w:val="20"/>
              </w:rPr>
              <w:t>379.86</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b/>
                <w:sz w:val="20"/>
                <w:szCs w:val="20"/>
              </w:rPr>
            </w:pPr>
            <w:r w:rsidRPr="009A010C">
              <w:rPr>
                <w:b/>
                <w:sz w:val="20"/>
                <w:szCs w:val="20"/>
              </w:rPr>
              <w:t>292.02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b/>
                <w:sz w:val="20"/>
                <w:szCs w:val="20"/>
              </w:rPr>
            </w:pPr>
            <w:r w:rsidRPr="009A010C">
              <w:rPr>
                <w:b/>
                <w:sz w:val="20"/>
                <w:szCs w:val="20"/>
              </w:rPr>
              <w:t>3,389.0</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0354F9" w:rsidRPr="009A010C" w:rsidRDefault="000354F9" w:rsidP="000354F9">
            <w:pPr>
              <w:widowControl w:val="0"/>
              <w:jc w:val="left"/>
              <w:rPr>
                <w:sz w:val="20"/>
                <w:szCs w:val="20"/>
                <w:lang w:val="en-CA"/>
              </w:rPr>
            </w:pPr>
            <w:r w:rsidRPr="009A010C">
              <w:rPr>
                <w:sz w:val="20"/>
                <w:szCs w:val="20"/>
                <w:lang w:val="en-CA"/>
              </w:rPr>
              <w:t xml:space="preserve">HCFC-141b in imported </w:t>
            </w:r>
          </w:p>
          <w:p w:rsidR="000354F9" w:rsidRPr="009A010C" w:rsidRDefault="000354F9" w:rsidP="000354F9">
            <w:pPr>
              <w:widowControl w:val="0"/>
              <w:jc w:val="left"/>
              <w:rPr>
                <w:b/>
                <w:color w:val="000000"/>
                <w:sz w:val="20"/>
                <w:szCs w:val="20"/>
              </w:rPr>
            </w:pPr>
            <w:r w:rsidRPr="009A010C">
              <w:rPr>
                <w:sz w:val="20"/>
                <w:szCs w:val="20"/>
                <w:lang w:val="en-CA"/>
              </w:rPr>
              <w:t>pre-blended polyols*</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vAlign w:val="center"/>
          </w:tcPr>
          <w:p w:rsidR="000354F9" w:rsidRPr="009A010C" w:rsidRDefault="000354F9" w:rsidP="000354F9">
            <w:pPr>
              <w:widowControl w:val="0"/>
              <w:jc w:val="right"/>
              <w:rPr>
                <w:color w:val="000000"/>
                <w:sz w:val="20"/>
                <w:szCs w:val="20"/>
              </w:rPr>
            </w:pPr>
            <w:r w:rsidRPr="009A010C">
              <w:rPr>
                <w:color w:val="000000"/>
                <w:sz w:val="20"/>
                <w:szCs w:val="20"/>
              </w:rPr>
              <w:t>56.37</w:t>
            </w:r>
          </w:p>
        </w:tc>
        <w:tc>
          <w:tcPr>
            <w:tcW w:w="623" w:type="pct"/>
            <w:tcBorders>
              <w:top w:val="single" w:sz="4" w:space="0" w:color="auto"/>
              <w:left w:val="single" w:sz="4" w:space="0" w:color="auto"/>
              <w:bottom w:val="single" w:sz="4" w:space="0" w:color="auto"/>
              <w:right w:val="single" w:sz="4" w:space="0" w:color="auto"/>
            </w:tcBorders>
            <w:vAlign w:val="center"/>
          </w:tcPr>
          <w:p w:rsidR="000354F9" w:rsidRPr="009A010C" w:rsidRDefault="000354F9" w:rsidP="000354F9">
            <w:pPr>
              <w:widowControl w:val="0"/>
              <w:jc w:val="right"/>
              <w:rPr>
                <w:sz w:val="20"/>
                <w:szCs w:val="20"/>
              </w:rPr>
            </w:pPr>
            <w:r w:rsidRPr="009A010C">
              <w:rPr>
                <w:sz w:val="20"/>
                <w:szCs w:val="20"/>
              </w:rPr>
              <w:t>58.12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5.11</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49.43</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**17.4</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b/>
                <w:bCs/>
                <w:color w:val="000000"/>
                <w:sz w:val="20"/>
                <w:szCs w:val="20"/>
              </w:rPr>
            </w:pPr>
            <w:r w:rsidRPr="009A010C">
              <w:rPr>
                <w:b/>
                <w:bCs/>
                <w:color w:val="000000"/>
                <w:sz w:val="20"/>
                <w:szCs w:val="20"/>
              </w:rPr>
              <w:t>ODP tonnes</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HCFC-22</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124.53</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sz w:val="20"/>
                <w:szCs w:val="20"/>
              </w:rPr>
            </w:pPr>
            <w:r w:rsidRPr="009A010C">
              <w:rPr>
                <w:sz w:val="20"/>
                <w:szCs w:val="20"/>
              </w:rPr>
              <w:t>92.69</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45.72</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14.29</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15.03</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color w:val="000000"/>
                <w:sz w:val="20"/>
                <w:szCs w:val="20"/>
              </w:rPr>
            </w:pPr>
            <w:r w:rsidRPr="009A010C">
              <w:rPr>
                <w:sz w:val="20"/>
                <w:szCs w:val="20"/>
              </w:rPr>
              <w:t>161.36</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HCFC-123</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sz w:val="20"/>
                <w:szCs w:val="20"/>
              </w:rPr>
            </w:pPr>
            <w:r w:rsidRPr="009A010C">
              <w:rPr>
                <w:sz w:val="20"/>
                <w:szCs w:val="20"/>
              </w:rPr>
              <w:t>0.08</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0.07</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HCFC-124</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sz w:val="20"/>
                <w:szCs w:val="20"/>
              </w:rPr>
            </w:pPr>
            <w:r w:rsidRPr="009A010C">
              <w:rPr>
                <w:sz w:val="20"/>
                <w:szCs w:val="20"/>
              </w:rPr>
              <w:t>0.21</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0.00</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HCFC-141b</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10.24</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sz w:val="20"/>
                <w:szCs w:val="20"/>
              </w:rPr>
            </w:pPr>
            <w:r w:rsidRPr="009A010C">
              <w:rPr>
                <w:sz w:val="20"/>
                <w:szCs w:val="20"/>
              </w:rPr>
              <w:t>10.34</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11.00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2.07</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39.56</w:t>
            </w:r>
          </w:p>
        </w:tc>
      </w:tr>
      <w:tr w:rsidR="000354F9" w:rsidRPr="009A010C" w:rsidTr="000354F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color w:val="000000"/>
                <w:sz w:val="20"/>
                <w:szCs w:val="20"/>
              </w:rPr>
            </w:pPr>
            <w:r w:rsidRPr="009A010C">
              <w:rPr>
                <w:color w:val="000000"/>
                <w:sz w:val="20"/>
                <w:szCs w:val="20"/>
              </w:rPr>
              <w:t>HCFC-142b</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sz w:val="20"/>
                <w:szCs w:val="20"/>
              </w:rPr>
            </w:pPr>
            <w:r w:rsidRPr="009A010C">
              <w:rPr>
                <w:sz w:val="20"/>
                <w:szCs w:val="20"/>
              </w:rPr>
              <w:t>1.30</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color w:val="000000"/>
                <w:sz w:val="20"/>
                <w:szCs w:val="20"/>
              </w:rPr>
            </w:pPr>
            <w:r w:rsidRPr="009A010C">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1.30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sz w:val="20"/>
                <w:szCs w:val="20"/>
              </w:rPr>
            </w:pPr>
            <w:r w:rsidRPr="009A010C">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5.68</w:t>
            </w:r>
          </w:p>
        </w:tc>
      </w:tr>
      <w:tr w:rsidR="000354F9" w:rsidRPr="009A010C" w:rsidTr="000354F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354F9" w:rsidRPr="009A010C" w:rsidRDefault="000354F9" w:rsidP="000354F9">
            <w:pPr>
              <w:widowControl w:val="0"/>
              <w:jc w:val="left"/>
              <w:rPr>
                <w:b/>
                <w:color w:val="000000"/>
                <w:sz w:val="20"/>
                <w:szCs w:val="20"/>
              </w:rPr>
            </w:pPr>
            <w:r w:rsidRPr="009A010C">
              <w:rPr>
                <w:b/>
                <w:color w:val="000000"/>
                <w:sz w:val="20"/>
                <w:szCs w:val="20"/>
              </w:rPr>
              <w:t>Total (ODP tonnes)</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b/>
                <w:color w:val="000000"/>
                <w:sz w:val="20"/>
                <w:szCs w:val="20"/>
              </w:rPr>
            </w:pPr>
            <w:r w:rsidRPr="009A010C">
              <w:rPr>
                <w:b/>
                <w:color w:val="000000"/>
                <w:sz w:val="20"/>
                <w:szCs w:val="20"/>
              </w:rPr>
              <w:t>134.77</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b/>
                <w:sz w:val="20"/>
                <w:szCs w:val="20"/>
              </w:rPr>
            </w:pPr>
            <w:r w:rsidRPr="009A010C">
              <w:rPr>
                <w:b/>
                <w:sz w:val="20"/>
                <w:szCs w:val="20"/>
              </w:rPr>
              <w:t>104.63</w:t>
            </w:r>
          </w:p>
        </w:tc>
        <w:tc>
          <w:tcPr>
            <w:tcW w:w="623" w:type="pct"/>
            <w:tcBorders>
              <w:top w:val="single" w:sz="4" w:space="0" w:color="auto"/>
              <w:left w:val="single" w:sz="4" w:space="0" w:color="auto"/>
              <w:bottom w:val="single" w:sz="4" w:space="0" w:color="auto"/>
              <w:right w:val="single" w:sz="4" w:space="0" w:color="auto"/>
            </w:tcBorders>
          </w:tcPr>
          <w:p w:rsidR="000354F9" w:rsidRPr="009A010C" w:rsidRDefault="000354F9" w:rsidP="000354F9">
            <w:pPr>
              <w:widowControl w:val="0"/>
              <w:jc w:val="right"/>
              <w:rPr>
                <w:b/>
                <w:color w:val="000000"/>
                <w:sz w:val="20"/>
                <w:szCs w:val="20"/>
              </w:rPr>
            </w:pPr>
            <w:r w:rsidRPr="009A010C">
              <w:rPr>
                <w:b/>
                <w:color w:val="000000"/>
                <w:sz w:val="20"/>
                <w:szCs w:val="20"/>
              </w:rPr>
              <w:t>45.72</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b/>
                <w:sz w:val="20"/>
                <w:szCs w:val="20"/>
              </w:rPr>
            </w:pPr>
            <w:r w:rsidRPr="009A010C">
              <w:rPr>
                <w:b/>
                <w:sz w:val="20"/>
                <w:szCs w:val="20"/>
              </w:rPr>
              <w:t>26.59</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rsidR="000354F9" w:rsidRPr="009A010C" w:rsidRDefault="000354F9" w:rsidP="000354F9">
            <w:pPr>
              <w:widowControl w:val="0"/>
              <w:jc w:val="right"/>
              <w:rPr>
                <w:b/>
                <w:sz w:val="20"/>
                <w:szCs w:val="20"/>
              </w:rPr>
            </w:pPr>
            <w:r w:rsidRPr="009A010C">
              <w:rPr>
                <w:b/>
                <w:sz w:val="20"/>
                <w:szCs w:val="20"/>
              </w:rPr>
              <w:t>17.10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b/>
                <w:color w:val="000000"/>
                <w:sz w:val="20"/>
                <w:szCs w:val="20"/>
              </w:rPr>
            </w:pPr>
            <w:r w:rsidRPr="009A010C">
              <w:rPr>
                <w:b/>
                <w:bCs/>
                <w:sz w:val="20"/>
                <w:szCs w:val="20"/>
              </w:rPr>
              <w:t>206.94</w:t>
            </w:r>
          </w:p>
        </w:tc>
      </w:tr>
      <w:tr w:rsidR="000354F9" w:rsidRPr="009A010C" w:rsidTr="000354F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0354F9" w:rsidRPr="009A010C" w:rsidRDefault="000354F9" w:rsidP="000354F9">
            <w:pPr>
              <w:widowControl w:val="0"/>
              <w:jc w:val="left"/>
              <w:rPr>
                <w:sz w:val="20"/>
                <w:szCs w:val="20"/>
                <w:lang w:val="en-CA"/>
              </w:rPr>
            </w:pPr>
            <w:r w:rsidRPr="009A010C">
              <w:rPr>
                <w:sz w:val="20"/>
                <w:szCs w:val="20"/>
                <w:lang w:val="en-CA"/>
              </w:rPr>
              <w:t xml:space="preserve">HCFC-141b in imported </w:t>
            </w:r>
          </w:p>
          <w:p w:rsidR="000354F9" w:rsidRPr="009A010C" w:rsidRDefault="000354F9" w:rsidP="000354F9">
            <w:pPr>
              <w:widowControl w:val="0"/>
              <w:jc w:val="left"/>
              <w:rPr>
                <w:b/>
                <w:color w:val="000000"/>
                <w:sz w:val="20"/>
                <w:szCs w:val="20"/>
              </w:rPr>
            </w:pPr>
            <w:r w:rsidRPr="009A010C">
              <w:rPr>
                <w:sz w:val="20"/>
                <w:szCs w:val="20"/>
                <w:lang w:val="en-CA"/>
              </w:rPr>
              <w:t>pre-blended polyols*</w:t>
            </w:r>
          </w:p>
        </w:tc>
        <w:tc>
          <w:tcPr>
            <w:tcW w:w="623" w:type="pct"/>
            <w:tcBorders>
              <w:top w:val="single" w:sz="4" w:space="0" w:color="auto"/>
              <w:left w:val="nil"/>
              <w:bottom w:val="single" w:sz="4" w:space="0" w:color="auto"/>
              <w:right w:val="single" w:sz="4" w:space="0" w:color="auto"/>
            </w:tcBorders>
            <w:shd w:val="clear" w:color="auto" w:fill="auto"/>
            <w:vAlign w:val="center"/>
          </w:tcPr>
          <w:p w:rsidR="000354F9" w:rsidRPr="009A010C" w:rsidRDefault="000354F9" w:rsidP="000354F9">
            <w:pPr>
              <w:widowControl w:val="0"/>
              <w:jc w:val="right"/>
              <w:rPr>
                <w:b/>
                <w:color w:val="000000"/>
                <w:sz w:val="20"/>
                <w:szCs w:val="20"/>
              </w:rPr>
            </w:pPr>
            <w:r w:rsidRPr="009A010C">
              <w:rPr>
                <w:sz w:val="20"/>
                <w:szCs w:val="20"/>
                <w:lang w:val="en-CA"/>
              </w:rPr>
              <w:t>0.00</w:t>
            </w:r>
          </w:p>
        </w:tc>
        <w:tc>
          <w:tcPr>
            <w:tcW w:w="623" w:type="pct"/>
            <w:tcBorders>
              <w:top w:val="single" w:sz="4" w:space="0" w:color="auto"/>
              <w:left w:val="single" w:sz="4" w:space="0" w:color="auto"/>
              <w:bottom w:val="single" w:sz="4" w:space="0" w:color="auto"/>
              <w:right w:val="single" w:sz="4" w:space="0" w:color="auto"/>
            </w:tcBorders>
            <w:vAlign w:val="center"/>
          </w:tcPr>
          <w:p w:rsidR="000354F9" w:rsidRPr="009A010C" w:rsidRDefault="000354F9" w:rsidP="000354F9">
            <w:pPr>
              <w:widowControl w:val="0"/>
              <w:jc w:val="right"/>
              <w:rPr>
                <w:b/>
                <w:sz w:val="20"/>
                <w:szCs w:val="20"/>
              </w:rPr>
            </w:pPr>
            <w:r w:rsidRPr="009A010C">
              <w:rPr>
                <w:sz w:val="20"/>
                <w:szCs w:val="20"/>
                <w:lang w:val="en-CA"/>
              </w:rPr>
              <w:t>6.20</w:t>
            </w:r>
          </w:p>
        </w:tc>
        <w:tc>
          <w:tcPr>
            <w:tcW w:w="623" w:type="pct"/>
            <w:tcBorders>
              <w:top w:val="single" w:sz="4" w:space="0" w:color="auto"/>
              <w:left w:val="single" w:sz="4" w:space="0" w:color="auto"/>
              <w:bottom w:val="single" w:sz="4" w:space="0" w:color="auto"/>
              <w:right w:val="single" w:sz="4" w:space="0" w:color="auto"/>
            </w:tcBorders>
            <w:vAlign w:val="center"/>
          </w:tcPr>
          <w:p w:rsidR="000354F9" w:rsidRPr="009A010C" w:rsidRDefault="000354F9" w:rsidP="000354F9">
            <w:pPr>
              <w:widowControl w:val="0"/>
              <w:jc w:val="right"/>
              <w:rPr>
                <w:b/>
                <w:color w:val="000000"/>
                <w:sz w:val="20"/>
                <w:szCs w:val="20"/>
              </w:rPr>
            </w:pPr>
            <w:r w:rsidRPr="009A010C">
              <w:rPr>
                <w:sz w:val="20"/>
                <w:szCs w:val="20"/>
              </w:rPr>
              <w:t>6.40</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0.56</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sz w:val="20"/>
                <w:szCs w:val="20"/>
              </w:rPr>
            </w:pPr>
            <w:r w:rsidRPr="009A010C">
              <w:rPr>
                <w:sz w:val="20"/>
                <w:szCs w:val="20"/>
              </w:rPr>
              <w:t>5.44</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54F9" w:rsidRPr="009A010C" w:rsidRDefault="000354F9" w:rsidP="000354F9">
            <w:pPr>
              <w:widowControl w:val="0"/>
              <w:jc w:val="right"/>
              <w:rPr>
                <w:b/>
                <w:bCs/>
                <w:sz w:val="20"/>
                <w:szCs w:val="20"/>
              </w:rPr>
            </w:pPr>
            <w:r w:rsidRPr="009A010C">
              <w:rPr>
                <w:sz w:val="20"/>
                <w:szCs w:val="20"/>
              </w:rPr>
              <w:t>**1.91</w:t>
            </w:r>
          </w:p>
        </w:tc>
      </w:tr>
    </w:tbl>
    <w:p w:rsidR="000354F9" w:rsidRPr="009A010C" w:rsidRDefault="000354F9" w:rsidP="000354F9">
      <w:pPr>
        <w:rPr>
          <w:sz w:val="18"/>
          <w:szCs w:val="18"/>
          <w:lang w:val="en-CA"/>
        </w:rPr>
      </w:pPr>
      <w:r w:rsidRPr="009A010C">
        <w:rPr>
          <w:sz w:val="18"/>
          <w:szCs w:val="18"/>
          <w:lang w:val="en-CA"/>
        </w:rPr>
        <w:t>*CP implementation report data</w:t>
      </w:r>
    </w:p>
    <w:p w:rsidR="000354F9" w:rsidRPr="009A010C" w:rsidRDefault="000354F9" w:rsidP="000354F9">
      <w:pPr>
        <w:rPr>
          <w:sz w:val="18"/>
          <w:szCs w:val="18"/>
          <w:lang w:val="en-CA"/>
        </w:rPr>
      </w:pPr>
      <w:r w:rsidRPr="009A010C">
        <w:rPr>
          <w:sz w:val="18"/>
          <w:szCs w:val="18"/>
          <w:lang w:val="en-CA"/>
        </w:rPr>
        <w:t>**Average consumption between 2007 and 2009.</w:t>
      </w:r>
    </w:p>
    <w:p w:rsidR="000354F9" w:rsidRPr="009A010C" w:rsidRDefault="000354F9" w:rsidP="000354F9"/>
    <w:p w:rsidR="000354F9" w:rsidRPr="009A010C" w:rsidRDefault="000354F9" w:rsidP="000354F9">
      <w:pPr>
        <w:pStyle w:val="Heading1"/>
        <w:rPr>
          <w:lang w:val="en-US"/>
        </w:rPr>
      </w:pPr>
      <w:r w:rsidRPr="009A010C">
        <w:rPr>
          <w:lang w:val="en-US"/>
        </w:rPr>
        <w:lastRenderedPageBreak/>
        <w:t xml:space="preserve">UNIDO and UNDP explained that the reduction in HCFC consumption was due to an abrupt decrease in HCFC production and imports caused by the Country’s current economic slowdown and difficulties in importing materials. However, this severe scarcity of HCFCs does not reflect the real needs of the local economy, which is expected to eventually recover and return to higher consumption levels. </w:t>
      </w:r>
    </w:p>
    <w:p w:rsidR="000354F9" w:rsidRPr="009A010C" w:rsidRDefault="000354F9" w:rsidP="000354F9">
      <w:pPr>
        <w:rPr>
          <w:i/>
        </w:rPr>
      </w:pPr>
      <w:r w:rsidRPr="009A010C">
        <w:rPr>
          <w:i/>
        </w:rPr>
        <w:t>Progress report</w:t>
      </w:r>
    </w:p>
    <w:p w:rsidR="000354F9" w:rsidRPr="009A010C" w:rsidRDefault="000354F9" w:rsidP="000354F9"/>
    <w:p w:rsidR="000354F9" w:rsidRPr="009A010C" w:rsidRDefault="000354F9" w:rsidP="000354F9">
      <w:pPr>
        <w:pStyle w:val="Heading1"/>
      </w:pPr>
      <w:r w:rsidRPr="009A010C">
        <w:t>The following activities were implemented under stage I:</w:t>
      </w:r>
    </w:p>
    <w:p w:rsidR="000354F9" w:rsidRPr="009A010C" w:rsidRDefault="000354F9" w:rsidP="000354F9">
      <w:pPr>
        <w:pStyle w:val="Heading2"/>
      </w:pPr>
      <w:r w:rsidRPr="009A010C">
        <w:t>Drafting regulations concerning imports, exports, production and consumption of ozone depleting substances (ODS); improving the software developed to manage the ODS import and export licensing and quota system; training 120 customs officers as well as managers, trainers, and experts on HCFC import control and regulations; distributing 13 refrigerant identifiers to customs entry points;</w:t>
      </w:r>
    </w:p>
    <w:p w:rsidR="000354F9" w:rsidRPr="009A010C" w:rsidRDefault="000354F9" w:rsidP="000354F9">
      <w:pPr>
        <w:pStyle w:val="Heading2"/>
      </w:pPr>
      <w:r w:rsidRPr="009A010C">
        <w:t>Establishing a refrigeration technicians training programme with the national training institute (INCES) and distributing didactic servicing tools for training including 16 refrigeration simulators to 36 of its centres;</w:t>
      </w:r>
    </w:p>
    <w:p w:rsidR="000354F9" w:rsidRPr="009A010C" w:rsidRDefault="000354F9" w:rsidP="000354F9">
      <w:pPr>
        <w:pStyle w:val="Heading2"/>
      </w:pPr>
      <w:r w:rsidRPr="009A010C">
        <w:t>Training 80 trainers from INCES; training and certification of 819 technicians; updating the good refrigeration practices manual and producing a new manual for the use of hydrocarbon (HC) as an alternative technology to HCFCs;</w:t>
      </w:r>
    </w:p>
    <w:p w:rsidR="000354F9" w:rsidRPr="009A010C" w:rsidRDefault="000354F9" w:rsidP="000354F9">
      <w:pPr>
        <w:pStyle w:val="Heading2"/>
      </w:pPr>
      <w:r w:rsidRPr="009A010C">
        <w:t>A study tour to Colombia, Mexico and Panama to visit recovery and reclaiming centres, technician training centres and refrigeration manufacturing plants using HCs, and establishing two reclaiming centres (equipment has not been commissioned yet); and</w:t>
      </w:r>
    </w:p>
    <w:p w:rsidR="000354F9" w:rsidRPr="009A010C" w:rsidRDefault="000354F9" w:rsidP="000354F9">
      <w:pPr>
        <w:pStyle w:val="Heading2"/>
      </w:pPr>
      <w:r w:rsidRPr="009A010C">
        <w:t xml:space="preserve">Manufacturing an HC-based chiller as a pilot project and implementing a leak-reduction programme addressed to end users in commercial refrigeration transportation and launching a public awareness and information campaign. </w:t>
      </w:r>
      <w:bookmarkStart w:id="6" w:name="_Hlk527474530"/>
    </w:p>
    <w:p w:rsidR="000354F9" w:rsidRPr="009A010C" w:rsidRDefault="000354F9" w:rsidP="000354F9">
      <w:pPr>
        <w:pStyle w:val="Heading1"/>
      </w:pPr>
      <w:r w:rsidRPr="009A010C">
        <w:t>Given the low availability of low-GWP alternatives, Venezuela (Bolivarian Republic of) is currently working on developing local production of R</w:t>
      </w:r>
      <w:r w:rsidRPr="009A010C">
        <w:noBreakHyphen/>
        <w:t xml:space="preserve">290. </w:t>
      </w:r>
    </w:p>
    <w:p w:rsidR="000354F9" w:rsidRPr="009A010C" w:rsidRDefault="000354F9" w:rsidP="000354F9">
      <w:pPr>
        <w:pStyle w:val="Heading1"/>
      </w:pPr>
      <w:r w:rsidRPr="009A010C">
        <w:t>Project monitoring and implementation was undertaken by staff recruited by the project, working under the NOU, with the assistance of local experts when needed.</w:t>
      </w:r>
    </w:p>
    <w:p w:rsidR="000354F9" w:rsidRPr="009A010C" w:rsidRDefault="000354F9" w:rsidP="000354F9">
      <w:pPr>
        <w:pStyle w:val="Heading1"/>
      </w:pPr>
      <w:r w:rsidRPr="009A010C">
        <w:t>As of August 2018, of the US $1,883,822 approved for U</w:t>
      </w:r>
      <w:r w:rsidRPr="009A010C">
        <w:rPr>
          <w:lang w:val="en-US"/>
        </w:rPr>
        <w:t>NIDO</w:t>
      </w:r>
      <w:r w:rsidRPr="009A010C">
        <w:t>, a total of US $1,878,794 (99.7 per cent) had been disbursed. The balance of US $5,028 will be returned to the Fund.</w:t>
      </w:r>
      <w:bookmarkEnd w:id="6"/>
    </w:p>
    <w:p w:rsidR="000354F9" w:rsidRPr="009A010C" w:rsidRDefault="000354F9" w:rsidP="000354F9">
      <w:pPr>
        <w:keepNext/>
        <w:keepLines/>
        <w:rPr>
          <w:b/>
        </w:rPr>
      </w:pPr>
      <w:r w:rsidRPr="009A010C">
        <w:rPr>
          <w:b/>
        </w:rPr>
        <w:t>Comments</w:t>
      </w:r>
    </w:p>
    <w:p w:rsidR="000354F9" w:rsidRPr="009A010C" w:rsidRDefault="000354F9" w:rsidP="000354F9">
      <w:pPr>
        <w:keepNext/>
        <w:keepLines/>
        <w:rPr>
          <w:b/>
        </w:rPr>
      </w:pPr>
    </w:p>
    <w:p w:rsidR="000354F9" w:rsidRPr="009A010C" w:rsidRDefault="000354F9" w:rsidP="000354F9">
      <w:pPr>
        <w:pStyle w:val="Heading1"/>
      </w:pPr>
      <w:r w:rsidRPr="009A010C">
        <w:t>The Secretariat followed up on the submission of the project completion report (PCR), due at the 80</w:t>
      </w:r>
      <w:r w:rsidRPr="009A010C">
        <w:rPr>
          <w:vertAlign w:val="superscript"/>
        </w:rPr>
        <w:t>th</w:t>
      </w:r>
      <w:r w:rsidR="00A75012">
        <w:t> </w:t>
      </w:r>
      <w:r w:rsidRPr="009A010C">
        <w:t>meeting (decision 75/65(d)(</w:t>
      </w:r>
      <w:proofErr w:type="spellStart"/>
      <w:r w:rsidRPr="009A010C">
        <w:t>i</w:t>
      </w:r>
      <w:proofErr w:type="spellEnd"/>
      <w:r w:rsidRPr="009A010C">
        <w:t>)). Accordingly, UNIDO submitted the PCR on 8 November 2018, before the 82</w:t>
      </w:r>
      <w:r w:rsidRPr="009A010C">
        <w:rPr>
          <w:vertAlign w:val="superscript"/>
        </w:rPr>
        <w:t>nd</w:t>
      </w:r>
      <w:r w:rsidRPr="009A010C">
        <w:t> meeting. The balance of US $5,028 would be returned to the 83</w:t>
      </w:r>
      <w:r w:rsidRPr="009A010C">
        <w:rPr>
          <w:vertAlign w:val="superscript"/>
        </w:rPr>
        <w:t>rd</w:t>
      </w:r>
      <w:r w:rsidRPr="009A010C">
        <w:t xml:space="preserve"> meeting, once the project is financially completed. </w:t>
      </w:r>
    </w:p>
    <w:p w:rsidR="000354F9" w:rsidRPr="009A010C" w:rsidRDefault="000354F9" w:rsidP="000354F9">
      <w:pPr>
        <w:pStyle w:val="Heading1"/>
        <w:rPr>
          <w:lang w:val="en-CA"/>
        </w:rPr>
      </w:pPr>
      <w:r w:rsidRPr="009A010C">
        <w:rPr>
          <w:lang w:val="en-CA"/>
        </w:rPr>
        <w:t>Upon request for clarification of the fact that the reclaiming units were not commissioned before stage I was completed, UNIDO confirmed that the commissioning and operation of the reclaiming units will continue as part of the ongoing stage II.</w:t>
      </w:r>
    </w:p>
    <w:p w:rsidR="000354F9" w:rsidRPr="009A010C" w:rsidRDefault="000354F9" w:rsidP="000354F9">
      <w:pPr>
        <w:pStyle w:val="Heading1"/>
        <w:numPr>
          <w:ilvl w:val="0"/>
          <w:numId w:val="0"/>
        </w:numPr>
        <w:tabs>
          <w:tab w:val="left" w:pos="720"/>
        </w:tabs>
        <w:rPr>
          <w:b/>
          <w:lang w:val="en-CA"/>
        </w:rPr>
      </w:pPr>
      <w:r w:rsidRPr="009A010C">
        <w:rPr>
          <w:b/>
          <w:lang w:val="en-CA"/>
        </w:rPr>
        <w:t>Recommendation</w:t>
      </w:r>
    </w:p>
    <w:p w:rsidR="000354F9" w:rsidRPr="009A010C" w:rsidRDefault="000354F9" w:rsidP="000354F9">
      <w:pPr>
        <w:pStyle w:val="Heading1"/>
        <w:rPr>
          <w:lang w:val="en-CA"/>
        </w:rPr>
      </w:pPr>
      <w:r w:rsidRPr="009A010C">
        <w:rPr>
          <w:lang w:val="en-CA"/>
        </w:rPr>
        <w:lastRenderedPageBreak/>
        <w:t>The Executive Committee may wish:</w:t>
      </w:r>
    </w:p>
    <w:p w:rsidR="000354F9" w:rsidRPr="009A010C" w:rsidRDefault="000354F9" w:rsidP="000354F9">
      <w:pPr>
        <w:pStyle w:val="Heading2"/>
        <w:rPr>
          <w:lang w:val="en-CA"/>
        </w:rPr>
      </w:pPr>
      <w:r w:rsidRPr="009A010C">
        <w:rPr>
          <w:lang w:val="en-CA"/>
        </w:rPr>
        <w:t>T</w:t>
      </w:r>
      <w:r w:rsidRPr="009A010C">
        <w:rPr>
          <w:lang w:val="en-US"/>
        </w:rPr>
        <w:t>o take note of the final progress report on the implementation of the HCFC phase</w:t>
      </w:r>
      <w:r w:rsidRPr="009A010C">
        <w:rPr>
          <w:lang w:val="en-US"/>
        </w:rPr>
        <w:noBreakHyphen/>
        <w:t xml:space="preserve">out management plan (stage I) for Venezuela (Bolivarian Republic of), submitted by UNIDO; and </w:t>
      </w:r>
    </w:p>
    <w:p w:rsidR="000354F9" w:rsidRPr="009A010C" w:rsidRDefault="000354F9" w:rsidP="000354F9">
      <w:pPr>
        <w:pStyle w:val="Heading2"/>
      </w:pPr>
      <w:r w:rsidRPr="009A010C">
        <w:rPr>
          <w:lang w:val="en-CA"/>
        </w:rPr>
        <w:t>T</w:t>
      </w:r>
      <w:r w:rsidRPr="009A010C">
        <w:rPr>
          <w:lang w:val="en-US"/>
        </w:rPr>
        <w:t>o note that UNIDO will return to the Multilateral Fund at the 83</w:t>
      </w:r>
      <w:r w:rsidRPr="009A010C">
        <w:rPr>
          <w:vertAlign w:val="superscript"/>
          <w:lang w:val="en-US"/>
        </w:rPr>
        <w:t>rd</w:t>
      </w:r>
      <w:r w:rsidRPr="009A010C">
        <w:rPr>
          <w:lang w:val="en-US"/>
        </w:rPr>
        <w:t xml:space="preserve"> meeting a balance of US $5,028, plus agency support cost of US $377.</w:t>
      </w:r>
      <w:r w:rsidRPr="009A010C">
        <w:t xml:space="preserve"> </w:t>
      </w:r>
    </w:p>
    <w:p w:rsidR="000354F9" w:rsidRPr="009A010C" w:rsidRDefault="000354F9" w:rsidP="000354F9">
      <w:pPr>
        <w:keepNext/>
        <w:keepLines/>
        <w:rPr>
          <w:u w:val="single"/>
        </w:rPr>
      </w:pPr>
      <w:r w:rsidRPr="000A26BE">
        <w:rPr>
          <w:u w:val="single"/>
        </w:rPr>
        <w:t>Stage II of the HPMP: Request for updating the Agreement</w:t>
      </w:r>
      <w:r w:rsidR="000A26BE" w:rsidRPr="000A26BE">
        <w:rPr>
          <w:u w:val="single"/>
        </w:rPr>
        <w:t xml:space="preserve"> of </w:t>
      </w:r>
      <w:r w:rsidR="000A26BE" w:rsidRPr="000A26BE">
        <w:rPr>
          <w:u w:val="single"/>
          <w:lang w:val="en-US"/>
        </w:rPr>
        <w:t>Venezuela (Bolivarian Republic of)</w:t>
      </w:r>
      <w:r w:rsidRPr="000A26BE">
        <w:t xml:space="preserve"> (UNIDO/UNDP)</w:t>
      </w:r>
    </w:p>
    <w:p w:rsidR="000354F9" w:rsidRPr="009A010C" w:rsidRDefault="000354F9" w:rsidP="000354F9">
      <w:pPr>
        <w:keepNext/>
        <w:keepLines/>
        <w:rPr>
          <w:u w:val="single"/>
        </w:rPr>
      </w:pPr>
    </w:p>
    <w:p w:rsidR="000354F9" w:rsidRPr="009A010C" w:rsidRDefault="000354F9" w:rsidP="000354F9">
      <w:pPr>
        <w:pStyle w:val="Heading1"/>
        <w:keepNext/>
        <w:keepLines/>
        <w:rPr>
          <w:lang w:val="en-US"/>
        </w:rPr>
      </w:pPr>
      <w:r w:rsidRPr="009A010C">
        <w:rPr>
          <w:lang w:val="en-US"/>
        </w:rPr>
        <w:t>On behalf of the Government of Venezuela (Bolivarian Republic of), UNDP, as the implementing agency in charge of the polyurethane (PU) foam sector plan in stage II of the HPMP, has submitted a request to update the Agreement between the Government and the Executive Committee for the reduction in consumption of HCFCs, to reflect the removal of the PU foam component from stage II.</w:t>
      </w:r>
    </w:p>
    <w:p w:rsidR="000354F9" w:rsidRPr="009A010C" w:rsidRDefault="000354F9" w:rsidP="000354F9">
      <w:pPr>
        <w:pStyle w:val="Heading1"/>
      </w:pPr>
      <w:r w:rsidRPr="009A010C">
        <w:t>In its letter to UNDP, the Government of Venezuela (Bolivarian Republic of), reported that upon evaluation of the current situation in the PU foam sector, it has not found any significant consumption of HCFC-141b in PU foam enterprises that justifies their conversion, and has accordingly authorized UNDP to cancel the US $1,326,420 approved in principle for the implementation of this plan, and to return the US $76,420 already released to UNDP under the first tranche of the HPMP.</w:t>
      </w:r>
    </w:p>
    <w:p w:rsidR="000354F9" w:rsidRPr="009A010C" w:rsidRDefault="000354F9" w:rsidP="000354F9">
      <w:pPr>
        <w:rPr>
          <w:b/>
        </w:rPr>
      </w:pPr>
      <w:r w:rsidRPr="009A010C">
        <w:rPr>
          <w:b/>
        </w:rPr>
        <w:t xml:space="preserve">Comments </w:t>
      </w:r>
    </w:p>
    <w:p w:rsidR="000354F9" w:rsidRPr="009A010C" w:rsidRDefault="000354F9" w:rsidP="000354F9"/>
    <w:p w:rsidR="000354F9" w:rsidRPr="009A010C" w:rsidRDefault="000354F9" w:rsidP="000354F9">
      <w:pPr>
        <w:pStyle w:val="Heading1"/>
        <w:numPr>
          <w:ilvl w:val="0"/>
          <w:numId w:val="0"/>
        </w:numPr>
        <w:spacing w:after="0"/>
        <w:rPr>
          <w:i/>
        </w:rPr>
      </w:pPr>
      <w:r w:rsidRPr="009A010C">
        <w:rPr>
          <w:i/>
        </w:rPr>
        <w:t>Removal of the PU foam sector plan from stage II</w:t>
      </w:r>
    </w:p>
    <w:p w:rsidR="000354F9" w:rsidRPr="009A010C" w:rsidRDefault="000354F9" w:rsidP="000354F9"/>
    <w:p w:rsidR="000354F9" w:rsidRPr="009A010C" w:rsidRDefault="000354F9" w:rsidP="000354F9">
      <w:pPr>
        <w:pStyle w:val="Heading1"/>
        <w:spacing w:after="0"/>
      </w:pPr>
      <w:r w:rsidRPr="009A010C">
        <w:t xml:space="preserve">In reviewing this request, the Secretariat noted that the combined consumption of HCFC-141b pure and contained in imported pre-blended polyols over the last five years has been more than 50 per cent below the consumption of HCFC-141b pure during the baseline years (39.56 ODP tonnes), as shown in </w:t>
      </w:r>
      <w:r w:rsidRPr="000A26BE">
        <w:t xml:space="preserve">Table </w:t>
      </w:r>
      <w:r w:rsidR="000A26BE">
        <w:t>25</w:t>
      </w:r>
      <w:r w:rsidRPr="009A010C">
        <w:t xml:space="preserve"> Given the assessment made by the Government and the low level of consumption of HCFC-141b, the PU foam sector plan would not be needed at present. It was agreed that the removal of the PU foam sector plan from stage II of the HPMP would be on the understanding that if the economic situation changed and the relevant eligible enterprises included in the plan reinitiated consumption of HCFC-141b, the Government would be able to submit a revised proposal to address such consumption.</w:t>
      </w:r>
    </w:p>
    <w:p w:rsidR="000354F9" w:rsidRPr="009A010C" w:rsidRDefault="000354F9" w:rsidP="000354F9"/>
    <w:p w:rsidR="000354F9" w:rsidRPr="009A010C" w:rsidRDefault="000354F9" w:rsidP="000354F9">
      <w:pPr>
        <w:pStyle w:val="Heading1"/>
        <w:rPr>
          <w:u w:val="single"/>
        </w:rPr>
      </w:pPr>
      <w:r w:rsidRPr="009A010C">
        <w:t>UNDP indicated that as no project document was signed with the Government, the unused balance from the first tranche of stage II (US $76,420, plus agency support cost of US $5,349) would be returned to the Fund at the 82</w:t>
      </w:r>
      <w:r w:rsidRPr="009A010C">
        <w:rPr>
          <w:vertAlign w:val="superscript"/>
        </w:rPr>
        <w:t>nd</w:t>
      </w:r>
      <w:r w:rsidRPr="009A010C">
        <w:t xml:space="preserve"> meeting.</w:t>
      </w:r>
    </w:p>
    <w:p w:rsidR="000354F9" w:rsidRPr="009A010C" w:rsidRDefault="000354F9" w:rsidP="000354F9">
      <w:pPr>
        <w:rPr>
          <w:i/>
        </w:rPr>
      </w:pPr>
      <w:r w:rsidRPr="009A010C">
        <w:rPr>
          <w:i/>
        </w:rPr>
        <w:t>Revised plan of action for the refrigeration servicing sector and submission of the second tranche</w:t>
      </w:r>
    </w:p>
    <w:p w:rsidR="000354F9" w:rsidRPr="009A010C" w:rsidRDefault="000354F9" w:rsidP="000354F9"/>
    <w:p w:rsidR="000354F9" w:rsidRPr="009A010C" w:rsidRDefault="000354F9" w:rsidP="000354F9">
      <w:pPr>
        <w:pStyle w:val="Heading1"/>
      </w:pPr>
      <w:r w:rsidRPr="009A010C">
        <w:rPr>
          <w:lang w:val="en-US"/>
        </w:rPr>
        <w:t>Due to the current economic situation in the country and to changes within the NOU, UNIDO will submit the request for the second tranche of stage II at the 83</w:t>
      </w:r>
      <w:r w:rsidRPr="009A010C">
        <w:rPr>
          <w:vertAlign w:val="superscript"/>
          <w:lang w:val="en-US"/>
        </w:rPr>
        <w:t>rd</w:t>
      </w:r>
      <w:r w:rsidRPr="009A010C">
        <w:rPr>
          <w:lang w:val="en-US"/>
        </w:rPr>
        <w:t xml:space="preserve"> meeting. U</w:t>
      </w:r>
      <w:r w:rsidRPr="009A010C">
        <w:t xml:space="preserve">NIDO provided reassurance that activities in the refrigeration servicing sector can continue to be implemented. The NOU has not been transferred to any Ministry as originally planned, new staff has been hired to replace staff who have resigned, and they are receiving support from local experts working on the HPMP. </w:t>
      </w:r>
    </w:p>
    <w:p w:rsidR="000354F9" w:rsidRPr="009A010C" w:rsidRDefault="000354F9" w:rsidP="000354F9">
      <w:pPr>
        <w:pStyle w:val="Heading1"/>
      </w:pPr>
      <w:r w:rsidRPr="009A010C">
        <w:t>UNIDO provided a revised plan for the implementation of the remaining part of stage II of the HPMP, as follows:</w:t>
      </w:r>
    </w:p>
    <w:p w:rsidR="000354F9" w:rsidRPr="009A010C" w:rsidRDefault="000354F9" w:rsidP="00A75012">
      <w:pPr>
        <w:pStyle w:val="Heading2"/>
        <w:keepNext/>
        <w:widowControl/>
      </w:pPr>
      <w:r w:rsidRPr="009A010C">
        <w:lastRenderedPageBreak/>
        <w:t>Continue the training plan for customs officers, border police, environmental inspectors, customs traders and other stakeholders, with the support of the Ministry of Environment;</w:t>
      </w:r>
    </w:p>
    <w:p w:rsidR="000354F9" w:rsidRPr="009A010C" w:rsidRDefault="000354F9" w:rsidP="000354F9">
      <w:pPr>
        <w:pStyle w:val="Heading2"/>
      </w:pPr>
      <w:r w:rsidRPr="009A010C">
        <w:t xml:space="preserve">Continue the end-users programme on refrigerant leak reduction, which has shown positive results given the scarcity of virgin HCFC-22. This activity will include training for technicians and stakeholders in different cities and a plan for leak reduction and proper use of refrigerant; </w:t>
      </w:r>
    </w:p>
    <w:p w:rsidR="000354F9" w:rsidRPr="009A010C" w:rsidRDefault="000354F9" w:rsidP="000354F9">
      <w:pPr>
        <w:pStyle w:val="Heading2"/>
      </w:pPr>
      <w:r w:rsidRPr="009A010C">
        <w:t>Continue the technician training activities being implemented with INCES, which is still in operation and has the capacity to organize training activities;</w:t>
      </w:r>
    </w:p>
    <w:p w:rsidR="000354F9" w:rsidRPr="009A010C" w:rsidRDefault="000354F9" w:rsidP="000354F9">
      <w:pPr>
        <w:pStyle w:val="Heading2"/>
      </w:pPr>
      <w:r w:rsidRPr="009A010C">
        <w:t>Continue activities to disseminate good and safe servicing practices and skills in the use of alternative refrigerants. Given the difficulties faced in importing material in the manufacturing sector, there are ongoing initiatives outside of the HPMP to manufacture equipment with locally produced R-290. Activities in the servicing sector would help facilitate the safe introduction of this technology; and</w:t>
      </w:r>
    </w:p>
    <w:p w:rsidR="000354F9" w:rsidRPr="009A010C" w:rsidRDefault="000354F9" w:rsidP="000354F9">
      <w:pPr>
        <w:pStyle w:val="Heading2"/>
      </w:pPr>
      <w:r w:rsidRPr="009A010C">
        <w:t>Continue the ongoing public-awareness-campaign programs addressing the need to ensure the containment of refrigerant and the potential for recycling. Once the reclaiming facilities are installed, the information will be delivered through different media.</w:t>
      </w:r>
    </w:p>
    <w:p w:rsidR="000354F9" w:rsidRPr="00F4406E" w:rsidRDefault="000354F9" w:rsidP="000354F9">
      <w:pPr>
        <w:pStyle w:val="Heading1"/>
      </w:pPr>
      <w:r w:rsidRPr="009A010C">
        <w:t xml:space="preserve">UNIDO is proposing to revise the remaining funding available, as presented in </w:t>
      </w:r>
      <w:r w:rsidRPr="00F4406E">
        <w:t xml:space="preserve">Table </w:t>
      </w:r>
      <w:r w:rsidR="002464DD" w:rsidRPr="00F4406E">
        <w:t>26</w:t>
      </w:r>
      <w:r w:rsidRPr="00F4406E">
        <w:t>.</w:t>
      </w:r>
    </w:p>
    <w:p w:rsidR="000354F9" w:rsidRPr="00F4406E" w:rsidRDefault="000354F9" w:rsidP="000354F9">
      <w:pPr>
        <w:pStyle w:val="Heading2"/>
        <w:numPr>
          <w:ilvl w:val="0"/>
          <w:numId w:val="0"/>
        </w:numPr>
        <w:spacing w:after="0"/>
        <w:jc w:val="left"/>
        <w:rPr>
          <w:b/>
        </w:rPr>
      </w:pPr>
      <w:r w:rsidRPr="00F4406E">
        <w:rPr>
          <w:b/>
        </w:rPr>
        <w:t xml:space="preserve">Table </w:t>
      </w:r>
      <w:r w:rsidR="002464DD" w:rsidRPr="00F4406E">
        <w:rPr>
          <w:b/>
        </w:rPr>
        <w:t>26</w:t>
      </w:r>
      <w:r w:rsidRPr="00F4406E">
        <w:rPr>
          <w:b/>
        </w:rPr>
        <w:t>. Revised tranches for stage II of the HPMP for Venezuela (Bolivarian Republic of)</w:t>
      </w:r>
    </w:p>
    <w:tbl>
      <w:tblPr>
        <w:tblW w:w="5000" w:type="pct"/>
        <w:tblInd w:w="-5" w:type="dxa"/>
        <w:tblLook w:val="04A0" w:firstRow="1" w:lastRow="0" w:firstColumn="1" w:lastColumn="0" w:noHBand="0" w:noVBand="1"/>
      </w:tblPr>
      <w:tblGrid>
        <w:gridCol w:w="4010"/>
        <w:gridCol w:w="866"/>
        <w:gridCol w:w="866"/>
        <w:gridCol w:w="866"/>
        <w:gridCol w:w="866"/>
        <w:gridCol w:w="866"/>
        <w:gridCol w:w="1190"/>
      </w:tblGrid>
      <w:tr w:rsidR="000354F9" w:rsidRPr="00EB3AAA" w:rsidTr="000354F9">
        <w:trPr>
          <w:trHeight w:val="289"/>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0354F9" w:rsidRPr="00EB3AAA" w:rsidRDefault="000354F9" w:rsidP="000354F9">
            <w:pPr>
              <w:rPr>
                <w:b/>
                <w:bCs/>
                <w:color w:val="000000"/>
                <w:sz w:val="20"/>
                <w:szCs w:val="20"/>
                <w:lang w:val="en-CA" w:eastAsia="en-CA"/>
              </w:rPr>
            </w:pPr>
            <w:r w:rsidRPr="00EB3AAA">
              <w:rPr>
                <w:b/>
                <w:bCs/>
                <w:color w:val="000000"/>
                <w:sz w:val="20"/>
                <w:szCs w:val="20"/>
                <w:lang w:val="en-CA" w:eastAsia="en-CA"/>
              </w:rPr>
              <w:t>ORIGINAL TRANCHE DISTRIBUTION APPROVED AT THE 76</w:t>
            </w:r>
            <w:r w:rsidRPr="00EB3AAA">
              <w:rPr>
                <w:b/>
                <w:bCs/>
                <w:color w:val="000000"/>
                <w:sz w:val="20"/>
                <w:szCs w:val="20"/>
                <w:vertAlign w:val="superscript"/>
                <w:lang w:val="en-CA" w:eastAsia="en-CA"/>
              </w:rPr>
              <w:t>TH</w:t>
            </w:r>
            <w:r w:rsidRPr="00EB3AAA">
              <w:rPr>
                <w:b/>
                <w:bCs/>
                <w:color w:val="000000"/>
                <w:sz w:val="20"/>
                <w:szCs w:val="20"/>
                <w:lang w:val="en-CA" w:eastAsia="en-CA"/>
              </w:rPr>
              <w:t xml:space="preserve"> MEETING</w:t>
            </w:r>
          </w:p>
        </w:tc>
      </w:tr>
      <w:tr w:rsidR="000354F9" w:rsidRPr="00EB3AAA" w:rsidTr="000354F9">
        <w:trPr>
          <w:trHeight w:val="289"/>
          <w:tblHeader/>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Particulars</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2016</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2017</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2018</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2019</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2020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Total</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Lead IA (UNIDO) agreed funding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600,000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rPr>
                <w:bCs/>
                <w:color w:val="000000"/>
                <w:sz w:val="20"/>
                <w:szCs w:val="20"/>
                <w:lang w:val="en-CA" w:eastAsia="en-CA"/>
              </w:rPr>
            </w:pPr>
            <w:r w:rsidRPr="00EB3AAA">
              <w:rPr>
                <w:bCs/>
                <w:color w:val="000000"/>
                <w:sz w:val="20"/>
                <w:szCs w:val="20"/>
                <w:lang w:val="en-CA" w:eastAsia="en-CA"/>
              </w:rPr>
              <w:t xml:space="preserve">575,000 </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596,000</w:t>
            </w:r>
          </w:p>
        </w:tc>
        <w:tc>
          <w:tcPr>
            <w:tcW w:w="440" w:type="pct"/>
            <w:tcBorders>
              <w:top w:val="single" w:sz="4" w:space="0" w:color="auto"/>
              <w:left w:val="nil"/>
              <w:bottom w:val="single" w:sz="4" w:space="0" w:color="auto"/>
              <w:right w:val="single" w:sz="4" w:space="0" w:color="auto"/>
            </w:tcBorders>
            <w:shd w:val="clear" w:color="auto" w:fill="auto"/>
            <w:vAlign w:val="center"/>
          </w:tcPr>
          <w:p w:rsidR="000354F9" w:rsidRPr="00EB3AAA" w:rsidRDefault="000354F9" w:rsidP="000354F9">
            <w:pPr>
              <w:rPr>
                <w:bCs/>
                <w:color w:val="000000"/>
                <w:sz w:val="20"/>
                <w:szCs w:val="20"/>
                <w:lang w:val="en-CA" w:eastAsia="en-CA"/>
              </w:rPr>
            </w:pP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196,144</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1,967,144</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Support costs for Lead IA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42,000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40,250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41,720</w:t>
            </w:r>
          </w:p>
        </w:tc>
        <w:tc>
          <w:tcPr>
            <w:tcW w:w="440" w:type="pct"/>
            <w:tcBorders>
              <w:top w:val="single" w:sz="4" w:space="0" w:color="auto"/>
              <w:left w:val="nil"/>
              <w:bottom w:val="single" w:sz="4" w:space="0" w:color="auto"/>
              <w:right w:val="single" w:sz="4" w:space="0" w:color="auto"/>
            </w:tcBorders>
            <w:shd w:val="clear" w:color="auto" w:fill="auto"/>
            <w:vAlign w:val="center"/>
          </w:tcPr>
          <w:p w:rsidR="000354F9" w:rsidRPr="00EB3AAA" w:rsidRDefault="000354F9" w:rsidP="000354F9">
            <w:pPr>
              <w:jc w:val="right"/>
              <w:rPr>
                <w:bCs/>
                <w:color w:val="000000"/>
                <w:sz w:val="20"/>
                <w:szCs w:val="20"/>
                <w:lang w:val="en-CA" w:eastAsia="en-CA"/>
              </w:rPr>
            </w:pP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13,730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137,700</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rPr>
                <w:color w:val="000000"/>
                <w:sz w:val="20"/>
                <w:szCs w:val="20"/>
                <w:lang w:val="en-CA" w:eastAsia="en-CA"/>
              </w:rPr>
            </w:pPr>
            <w:r w:rsidRPr="00EB3AAA">
              <w:rPr>
                <w:color w:val="000000"/>
                <w:sz w:val="20"/>
                <w:szCs w:val="20"/>
                <w:lang w:val="en-CA" w:eastAsia="en-CA"/>
              </w:rPr>
              <w:t>Cooperating IA (UNDP) agreed funding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76,420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200,000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200,000</w:t>
            </w:r>
          </w:p>
        </w:tc>
        <w:tc>
          <w:tcPr>
            <w:tcW w:w="440" w:type="pct"/>
            <w:tcBorders>
              <w:top w:val="single" w:sz="4" w:space="0" w:color="auto"/>
              <w:left w:val="nil"/>
              <w:bottom w:val="single" w:sz="4" w:space="0" w:color="auto"/>
              <w:right w:val="single" w:sz="4" w:space="0" w:color="auto"/>
            </w:tcBorders>
            <w:shd w:val="clear" w:color="auto" w:fill="auto"/>
            <w:vAlign w:val="center"/>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800,000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50,000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1,326,564</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rPr>
                <w:color w:val="000000"/>
                <w:sz w:val="20"/>
                <w:szCs w:val="20"/>
                <w:lang w:val="en-CA" w:eastAsia="en-CA"/>
              </w:rPr>
            </w:pPr>
            <w:r w:rsidRPr="00EB3AAA">
              <w:rPr>
                <w:color w:val="000000"/>
                <w:sz w:val="20"/>
                <w:szCs w:val="20"/>
                <w:lang w:val="en-CA" w:eastAsia="en-CA"/>
              </w:rPr>
              <w:t>Support costs for Cooperating IA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5,349</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14,000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14,000</w:t>
            </w:r>
          </w:p>
        </w:tc>
        <w:tc>
          <w:tcPr>
            <w:tcW w:w="440" w:type="pct"/>
            <w:tcBorders>
              <w:top w:val="single" w:sz="4" w:space="0" w:color="auto"/>
              <w:left w:val="nil"/>
              <w:bottom w:val="single" w:sz="4" w:space="0" w:color="auto"/>
              <w:right w:val="single" w:sz="4" w:space="0" w:color="auto"/>
            </w:tcBorders>
            <w:shd w:val="clear" w:color="auto" w:fill="auto"/>
            <w:vAlign w:val="center"/>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56,000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3,500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92,849</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Total agreed funding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676,420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775,000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796,000</w:t>
            </w:r>
          </w:p>
        </w:tc>
        <w:tc>
          <w:tcPr>
            <w:tcW w:w="440" w:type="pct"/>
            <w:tcBorders>
              <w:top w:val="single" w:sz="4" w:space="0" w:color="auto"/>
              <w:left w:val="nil"/>
              <w:bottom w:val="single" w:sz="4" w:space="0" w:color="auto"/>
              <w:right w:val="single" w:sz="4" w:space="0" w:color="auto"/>
            </w:tcBorders>
            <w:shd w:val="clear" w:color="auto" w:fill="auto"/>
            <w:vAlign w:val="center"/>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800,000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246,144</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3,293,564</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Total support costs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47,349</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54,250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55,720</w:t>
            </w:r>
          </w:p>
        </w:tc>
        <w:tc>
          <w:tcPr>
            <w:tcW w:w="440" w:type="pct"/>
            <w:tcBorders>
              <w:top w:val="single" w:sz="4" w:space="0" w:color="auto"/>
              <w:left w:val="nil"/>
              <w:bottom w:val="single" w:sz="4" w:space="0" w:color="auto"/>
              <w:right w:val="single" w:sz="4" w:space="0" w:color="auto"/>
            </w:tcBorders>
            <w:shd w:val="clear" w:color="auto" w:fill="auto"/>
            <w:vAlign w:val="center"/>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56,000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17,230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230,549</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Total agreed costs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723,769</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829,250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851,720</w:t>
            </w:r>
          </w:p>
        </w:tc>
        <w:tc>
          <w:tcPr>
            <w:tcW w:w="440" w:type="pct"/>
            <w:tcBorders>
              <w:top w:val="single" w:sz="4" w:space="0" w:color="auto"/>
              <w:left w:val="nil"/>
              <w:bottom w:val="single" w:sz="4" w:space="0" w:color="auto"/>
              <w:right w:val="single" w:sz="4" w:space="0" w:color="auto"/>
            </w:tcBorders>
            <w:shd w:val="clear" w:color="auto" w:fill="auto"/>
            <w:vAlign w:val="center"/>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856,000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263,374</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Cs/>
                <w:color w:val="000000"/>
                <w:sz w:val="20"/>
                <w:szCs w:val="20"/>
                <w:lang w:val="en-CA" w:eastAsia="en-CA"/>
              </w:rPr>
            </w:pPr>
            <w:r w:rsidRPr="00EB3AAA">
              <w:rPr>
                <w:bCs/>
                <w:color w:val="000000"/>
                <w:sz w:val="20"/>
                <w:szCs w:val="20"/>
                <w:lang w:val="en-CA" w:eastAsia="en-CA"/>
              </w:rPr>
              <w:t>3,524,113</w:t>
            </w:r>
          </w:p>
        </w:tc>
      </w:tr>
      <w:tr w:rsidR="000354F9" w:rsidRPr="00EB3AAA" w:rsidTr="000354F9">
        <w:trPr>
          <w:trHeight w:val="289"/>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0354F9" w:rsidRPr="00EB3AAA" w:rsidRDefault="000354F9" w:rsidP="000354F9">
            <w:pPr>
              <w:jc w:val="left"/>
              <w:rPr>
                <w:b/>
                <w:bCs/>
                <w:color w:val="000000"/>
                <w:sz w:val="20"/>
                <w:szCs w:val="20"/>
                <w:lang w:val="en-CA" w:eastAsia="en-CA"/>
              </w:rPr>
            </w:pPr>
            <w:r w:rsidRPr="00EB3AAA">
              <w:rPr>
                <w:b/>
                <w:color w:val="000000"/>
                <w:sz w:val="20"/>
                <w:szCs w:val="20"/>
                <w:lang w:val="en-CA" w:eastAsia="en-CA"/>
              </w:rPr>
              <w:t>REVISED TRANCHE DISTRIBUTION</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Particulars</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2016</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2017</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2018</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2019</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2020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Total</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Lead IA (UNIDO) agreed funding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600,000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color w:val="000000"/>
                <w:sz w:val="20"/>
                <w:szCs w:val="20"/>
                <w:lang w:val="en-CA" w:eastAsia="en-CA"/>
              </w:rPr>
            </w:pPr>
            <w:r w:rsidRPr="00EB3AAA">
              <w:rPr>
                <w:b/>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color w:val="000000"/>
                <w:sz w:val="20"/>
                <w:szCs w:val="20"/>
                <w:lang w:val="en-CA" w:eastAsia="en-CA"/>
              </w:rPr>
            </w:pPr>
            <w:r w:rsidRPr="00EB3AAA">
              <w:rPr>
                <w:b/>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center"/>
              <w:rPr>
                <w:b/>
                <w:bCs/>
                <w:color w:val="000000"/>
                <w:sz w:val="20"/>
                <w:szCs w:val="20"/>
                <w:lang w:val="en-CA" w:eastAsia="en-CA"/>
              </w:rPr>
            </w:pPr>
            <w:r w:rsidRPr="00EB3AAA">
              <w:rPr>
                <w:b/>
                <w:bCs/>
                <w:color w:val="000000"/>
                <w:sz w:val="20"/>
                <w:szCs w:val="20"/>
                <w:lang w:val="en-CA" w:eastAsia="en-CA"/>
              </w:rPr>
              <w:t>575,000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792,144</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1,967,144</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Support costs for Lead IA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42,000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color w:val="000000"/>
                <w:sz w:val="20"/>
                <w:szCs w:val="20"/>
                <w:lang w:val="en-CA" w:eastAsia="en-CA"/>
              </w:rPr>
            </w:pPr>
            <w:r w:rsidRPr="00EB3AAA">
              <w:rPr>
                <w:b/>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color w:val="000000"/>
                <w:sz w:val="20"/>
                <w:szCs w:val="20"/>
                <w:lang w:val="en-CA" w:eastAsia="en-CA"/>
              </w:rPr>
            </w:pPr>
            <w:r w:rsidRPr="00EB3AAA">
              <w:rPr>
                <w:b/>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40,250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55,450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color w:val="000000"/>
                <w:sz w:val="20"/>
                <w:szCs w:val="20"/>
                <w:lang w:val="en-CA" w:eastAsia="en-CA"/>
              </w:rPr>
            </w:pPr>
            <w:r w:rsidRPr="00EB3AAA">
              <w:rPr>
                <w:color w:val="000000"/>
                <w:sz w:val="20"/>
                <w:szCs w:val="20"/>
                <w:lang w:val="en-CA" w:eastAsia="en-CA"/>
              </w:rPr>
              <w:t>137,700</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rPr>
                <w:color w:val="000000"/>
                <w:sz w:val="20"/>
                <w:szCs w:val="20"/>
                <w:lang w:val="en-CA" w:eastAsia="en-CA"/>
              </w:rPr>
            </w:pPr>
            <w:r w:rsidRPr="00EB3AAA">
              <w:rPr>
                <w:color w:val="000000"/>
                <w:sz w:val="20"/>
                <w:szCs w:val="20"/>
                <w:lang w:val="en-CA" w:eastAsia="en-CA"/>
              </w:rPr>
              <w:t>Cooperating IA (UNDP) agreed funding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rPr>
                <w:color w:val="000000"/>
                <w:sz w:val="20"/>
                <w:szCs w:val="20"/>
                <w:lang w:val="en-CA" w:eastAsia="en-CA"/>
              </w:rPr>
            </w:pPr>
            <w:r w:rsidRPr="00EB3AAA">
              <w:rPr>
                <w:color w:val="000000"/>
                <w:sz w:val="20"/>
                <w:szCs w:val="20"/>
                <w:lang w:val="en-CA" w:eastAsia="en-CA"/>
              </w:rPr>
              <w:t>Support costs for Cooperating IA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Total agreed funding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color w:val="000000"/>
                <w:sz w:val="20"/>
                <w:szCs w:val="20"/>
                <w:lang w:val="en-CA" w:eastAsia="en-CA"/>
              </w:rPr>
            </w:pPr>
            <w:r w:rsidRPr="00EB3AAA">
              <w:rPr>
                <w:b/>
                <w:color w:val="000000"/>
                <w:sz w:val="20"/>
                <w:szCs w:val="20"/>
                <w:lang w:val="en-CA" w:eastAsia="en-CA"/>
              </w:rPr>
              <w:t>600,000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575,000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792,144</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1,967,144</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Total support costs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color w:val="000000"/>
                <w:sz w:val="20"/>
                <w:szCs w:val="20"/>
                <w:lang w:val="en-CA" w:eastAsia="en-CA"/>
              </w:rPr>
            </w:pPr>
            <w:r w:rsidRPr="00EB3AAA">
              <w:rPr>
                <w:b/>
                <w:color w:val="000000"/>
                <w:sz w:val="20"/>
                <w:szCs w:val="20"/>
                <w:lang w:val="en-CA" w:eastAsia="en-CA"/>
              </w:rPr>
              <w:t>42,000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40,250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55,450</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137,700</w:t>
            </w:r>
          </w:p>
        </w:tc>
      </w:tr>
      <w:tr w:rsidR="000354F9" w:rsidRPr="00EB3AAA" w:rsidTr="000354F9">
        <w:trPr>
          <w:trHeight w:val="289"/>
        </w:trPr>
        <w:tc>
          <w:tcPr>
            <w:tcW w:w="21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EB3AAA" w:rsidRDefault="000354F9" w:rsidP="000354F9">
            <w:pPr>
              <w:jc w:val="left"/>
              <w:rPr>
                <w:color w:val="000000"/>
                <w:sz w:val="20"/>
                <w:szCs w:val="20"/>
                <w:lang w:val="en-CA" w:eastAsia="en-CA"/>
              </w:rPr>
            </w:pPr>
            <w:r w:rsidRPr="00EB3AAA">
              <w:rPr>
                <w:color w:val="000000"/>
                <w:sz w:val="20"/>
                <w:szCs w:val="20"/>
                <w:lang w:val="en-CA" w:eastAsia="en-CA"/>
              </w:rPr>
              <w:t>Total agreed costs (US $)</w:t>
            </w:r>
          </w:p>
        </w:tc>
        <w:tc>
          <w:tcPr>
            <w:tcW w:w="442"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color w:val="000000"/>
                <w:sz w:val="20"/>
                <w:szCs w:val="20"/>
                <w:lang w:val="en-CA" w:eastAsia="en-CA"/>
              </w:rPr>
            </w:pPr>
            <w:r w:rsidRPr="00EB3AAA">
              <w:rPr>
                <w:b/>
                <w:color w:val="000000"/>
                <w:sz w:val="20"/>
                <w:szCs w:val="20"/>
                <w:lang w:val="en-CA" w:eastAsia="en-CA"/>
              </w:rPr>
              <w:t>642,000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615,250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847,594</w:t>
            </w:r>
          </w:p>
        </w:tc>
        <w:tc>
          <w:tcPr>
            <w:tcW w:w="657" w:type="pct"/>
            <w:tcBorders>
              <w:top w:val="single" w:sz="4" w:space="0" w:color="auto"/>
              <w:left w:val="nil"/>
              <w:bottom w:val="single" w:sz="4" w:space="0" w:color="auto"/>
              <w:right w:val="single" w:sz="4" w:space="0" w:color="auto"/>
            </w:tcBorders>
            <w:shd w:val="clear" w:color="auto" w:fill="auto"/>
            <w:vAlign w:val="center"/>
            <w:hideMark/>
          </w:tcPr>
          <w:p w:rsidR="000354F9" w:rsidRPr="00EB3AAA" w:rsidRDefault="000354F9" w:rsidP="000354F9">
            <w:pPr>
              <w:jc w:val="right"/>
              <w:rPr>
                <w:b/>
                <w:bCs/>
                <w:color w:val="000000"/>
                <w:sz w:val="20"/>
                <w:szCs w:val="20"/>
                <w:lang w:val="en-CA" w:eastAsia="en-CA"/>
              </w:rPr>
            </w:pPr>
            <w:r w:rsidRPr="00EB3AAA">
              <w:rPr>
                <w:b/>
                <w:bCs/>
                <w:color w:val="000000"/>
                <w:sz w:val="20"/>
                <w:szCs w:val="20"/>
                <w:lang w:val="en-CA" w:eastAsia="en-CA"/>
              </w:rPr>
              <w:t>2,104,844</w:t>
            </w:r>
          </w:p>
        </w:tc>
      </w:tr>
    </w:tbl>
    <w:p w:rsidR="000354F9" w:rsidRPr="009A010C" w:rsidRDefault="000354F9" w:rsidP="000354F9"/>
    <w:p w:rsidR="000354F9" w:rsidRPr="009A010C" w:rsidRDefault="000354F9" w:rsidP="000354F9">
      <w:pPr>
        <w:pStyle w:val="Heading1"/>
      </w:pPr>
      <w:r w:rsidRPr="009A010C">
        <w:t>The Secretariat considers that the action plan presented by UNIDO will help the country maintain the low level of HCFC consumption by reusing installed HCFC-22, applying good servicing practices, and strengthening the capacity to control HCFC imports and production in the event that the supply of refrigerants increases. At the 83</w:t>
      </w:r>
      <w:r w:rsidRPr="009A010C">
        <w:rPr>
          <w:vertAlign w:val="superscript"/>
        </w:rPr>
        <w:t>rd</w:t>
      </w:r>
      <w:r w:rsidRPr="009A010C">
        <w:t xml:space="preserve"> meeting, when the request for the second tranche is submitted, the Secretariat will review progress achieved on the activities and evaluate the economic situation that would be present.</w:t>
      </w:r>
    </w:p>
    <w:p w:rsidR="000354F9" w:rsidRPr="009A010C" w:rsidRDefault="000354F9" w:rsidP="000354F9">
      <w:pPr>
        <w:keepNext/>
        <w:keepLines/>
        <w:rPr>
          <w:i/>
        </w:rPr>
      </w:pPr>
      <w:r w:rsidRPr="009A010C">
        <w:rPr>
          <w:i/>
        </w:rPr>
        <w:lastRenderedPageBreak/>
        <w:t xml:space="preserve">Revision to the HPMP Agreement </w:t>
      </w:r>
    </w:p>
    <w:p w:rsidR="000354F9" w:rsidRPr="009A010C" w:rsidRDefault="000354F9" w:rsidP="000354F9">
      <w:pPr>
        <w:keepNext/>
        <w:keepLines/>
        <w:rPr>
          <w:i/>
        </w:rPr>
      </w:pPr>
    </w:p>
    <w:p w:rsidR="000354F9" w:rsidRPr="009A010C" w:rsidRDefault="000354F9" w:rsidP="000354F9">
      <w:pPr>
        <w:pStyle w:val="Heading1"/>
        <w:rPr>
          <w:lang w:val="en-CA"/>
        </w:rPr>
      </w:pPr>
      <w:r w:rsidRPr="009A010C">
        <w:rPr>
          <w:lang w:val="en-CA"/>
        </w:rPr>
        <w:t>In view of the removal of the PU foam sector plan from stage II of the HPMP and the revised funding schedule, Appendix 2-A of the Agreement between the Government of Venezuela (Bolivarian Republic of) and the Executive Committee has been updated and a new paragraph 16 has been added to indicate that the updated Agreement supersedes that reached at the 76</w:t>
      </w:r>
      <w:r w:rsidRPr="009A010C">
        <w:rPr>
          <w:vertAlign w:val="superscript"/>
          <w:lang w:val="en-CA"/>
        </w:rPr>
        <w:t>th</w:t>
      </w:r>
      <w:r w:rsidRPr="009A010C">
        <w:rPr>
          <w:lang w:val="en-CA"/>
        </w:rPr>
        <w:t xml:space="preserve"> meeting, as contained in Annex </w:t>
      </w:r>
      <w:r w:rsidR="002464DD" w:rsidRPr="009A010C">
        <w:rPr>
          <w:lang w:val="en-CA"/>
        </w:rPr>
        <w:t>II</w:t>
      </w:r>
      <w:r w:rsidRPr="009A010C">
        <w:rPr>
          <w:lang w:val="en-CA"/>
        </w:rPr>
        <w:t xml:space="preserve"> to the present document. The full updated Agreement will be appended to the final report of the 82</w:t>
      </w:r>
      <w:r w:rsidRPr="009A010C">
        <w:rPr>
          <w:vertAlign w:val="superscript"/>
          <w:lang w:val="en-CA"/>
        </w:rPr>
        <w:t>nd</w:t>
      </w:r>
      <w:r w:rsidRPr="009A010C">
        <w:rPr>
          <w:lang w:val="en-CA"/>
        </w:rPr>
        <w:t xml:space="preserve"> meeting. </w:t>
      </w:r>
    </w:p>
    <w:p w:rsidR="000354F9" w:rsidRPr="009A010C" w:rsidRDefault="000354F9" w:rsidP="000354F9">
      <w:pPr>
        <w:pStyle w:val="Heading1"/>
        <w:keepNext/>
        <w:keepLines/>
        <w:numPr>
          <w:ilvl w:val="0"/>
          <w:numId w:val="0"/>
        </w:numPr>
        <w:tabs>
          <w:tab w:val="left" w:pos="720"/>
        </w:tabs>
        <w:rPr>
          <w:b/>
          <w:lang w:val="en-CA"/>
        </w:rPr>
      </w:pPr>
      <w:r w:rsidRPr="009A010C">
        <w:rPr>
          <w:b/>
          <w:lang w:val="en-CA"/>
        </w:rPr>
        <w:t>Recommendation</w:t>
      </w:r>
    </w:p>
    <w:p w:rsidR="000354F9" w:rsidRPr="009A010C" w:rsidRDefault="000354F9" w:rsidP="000354F9">
      <w:pPr>
        <w:pStyle w:val="Heading1"/>
        <w:keepNext/>
        <w:keepLines/>
        <w:rPr>
          <w:lang w:val="en-CA"/>
        </w:rPr>
      </w:pPr>
      <w:r w:rsidRPr="009A010C">
        <w:rPr>
          <w:lang w:val="en-CA"/>
        </w:rPr>
        <w:t>The Executive Committee may wish:</w:t>
      </w:r>
    </w:p>
    <w:p w:rsidR="00AE24AB" w:rsidRPr="00FE5979" w:rsidRDefault="00AE24AB" w:rsidP="00AE24AB">
      <w:pPr>
        <w:pStyle w:val="Heading2"/>
        <w:keepNext/>
        <w:widowControl/>
        <w:numPr>
          <w:ilvl w:val="1"/>
          <w:numId w:val="34"/>
        </w:numPr>
      </w:pPr>
      <w:r w:rsidRPr="00FE5979">
        <w:t>To note:</w:t>
      </w:r>
    </w:p>
    <w:p w:rsidR="00AE24AB" w:rsidRPr="00FE5979" w:rsidRDefault="00AE24AB" w:rsidP="00AE24AB">
      <w:pPr>
        <w:pStyle w:val="Heading3"/>
        <w:keepNext/>
        <w:widowControl/>
        <w:numPr>
          <w:ilvl w:val="2"/>
          <w:numId w:val="35"/>
        </w:numPr>
      </w:pPr>
      <w:r w:rsidRPr="00FE5979">
        <w:t xml:space="preserve">The request from the Government of Venezuela (Bolivarian Republic of) to remove the polyurethane (PU) foam sector plan from stage II of the HCFC phase out management plan (HPMP) implemented by UNDP, on the understanding that if the eligible enterprises included in the project </w:t>
      </w:r>
      <w:r w:rsidRPr="00FE5979">
        <w:rPr>
          <w:b/>
        </w:rPr>
        <w:t xml:space="preserve">reinitiated the use </w:t>
      </w:r>
      <w:r w:rsidRPr="00FE5979">
        <w:t xml:space="preserve">of significant amounts of HCFC-141b </w:t>
      </w:r>
      <w:r w:rsidRPr="00FE5979">
        <w:rPr>
          <w:b/>
        </w:rPr>
        <w:t>during the implementation of stage II of the HPMP</w:t>
      </w:r>
      <w:r w:rsidRPr="00FE5979">
        <w:t>, UNDP could resubmit a proposal to address their conversion;</w:t>
      </w:r>
    </w:p>
    <w:p w:rsidR="00AE24AB" w:rsidRPr="00FE5979" w:rsidRDefault="00AE24AB" w:rsidP="00AE24AB">
      <w:pPr>
        <w:pStyle w:val="Heading3"/>
        <w:widowControl/>
        <w:numPr>
          <w:ilvl w:val="2"/>
          <w:numId w:val="35"/>
        </w:numPr>
        <w:ind w:left="2127"/>
      </w:pPr>
      <w:r w:rsidRPr="00FE5979">
        <w:t>That US $1,326,564, plus agency support costs of US $92,849 approved in principle for UNDP for</w:t>
      </w:r>
      <w:r w:rsidRPr="00FE5979">
        <w:rPr>
          <w:b/>
        </w:rPr>
        <w:t xml:space="preserve"> the polyurethane foam sector plan of</w:t>
      </w:r>
      <w:r w:rsidRPr="00FE5979">
        <w:t xml:space="preserve"> stage II of the HPMP </w:t>
      </w:r>
      <w:r w:rsidRPr="00FE5979">
        <w:rPr>
          <w:b/>
        </w:rPr>
        <w:t>would</w:t>
      </w:r>
      <w:r w:rsidRPr="00FE5979">
        <w:t xml:space="preserve"> be removed from the Agreement between the Government of Venezuela (Bolivarian Republic of) and the Executive Committee; </w:t>
      </w:r>
    </w:p>
    <w:p w:rsidR="00AE24AB" w:rsidRPr="00FE5979" w:rsidRDefault="00AE24AB" w:rsidP="00AE24AB">
      <w:pPr>
        <w:pStyle w:val="Heading3"/>
        <w:widowControl/>
        <w:numPr>
          <w:ilvl w:val="2"/>
          <w:numId w:val="35"/>
        </w:numPr>
        <w:ind w:left="2127"/>
      </w:pPr>
      <w:r w:rsidRPr="00FE5979">
        <w:t xml:space="preserve">That UNDP is returning to the Multilateral Fund US $76,420, plus agency support costs of US $5,349, associated with </w:t>
      </w:r>
      <w:r w:rsidRPr="00FE5979">
        <w:rPr>
          <w:b/>
        </w:rPr>
        <w:t xml:space="preserve">the polyurethane foam sector plan approved as part of the first tranche of </w:t>
      </w:r>
      <w:r w:rsidRPr="00FE5979">
        <w:t>stage II of the HPMP, to the 82</w:t>
      </w:r>
      <w:r w:rsidRPr="00FE5979">
        <w:rPr>
          <w:vertAlign w:val="superscript"/>
        </w:rPr>
        <w:t>nd</w:t>
      </w:r>
      <w:r>
        <w:rPr>
          <w:vertAlign w:val="superscript"/>
        </w:rPr>
        <w:t> </w:t>
      </w:r>
      <w:r w:rsidRPr="00FE5979">
        <w:t>meeting;</w:t>
      </w:r>
    </w:p>
    <w:p w:rsidR="00AE24AB" w:rsidRPr="00FE5979" w:rsidRDefault="00AE24AB" w:rsidP="00AE24AB">
      <w:pPr>
        <w:pStyle w:val="Heading3"/>
        <w:widowControl/>
        <w:numPr>
          <w:ilvl w:val="2"/>
          <w:numId w:val="35"/>
        </w:numPr>
        <w:ind w:left="2127"/>
      </w:pPr>
      <w:r w:rsidRPr="00FE5979">
        <w:t>The revised plan for stage II in the refrigeration servicing sector;</w:t>
      </w:r>
    </w:p>
    <w:p w:rsidR="000354F9" w:rsidRPr="009A010C" w:rsidRDefault="00AE24AB" w:rsidP="00AE24AB">
      <w:pPr>
        <w:pStyle w:val="Heading3"/>
        <w:widowControl/>
        <w:numPr>
          <w:ilvl w:val="2"/>
          <w:numId w:val="35"/>
        </w:numPr>
        <w:ind w:left="2127"/>
        <w:rPr>
          <w:lang w:val="en-CA"/>
        </w:rPr>
      </w:pPr>
      <w:r w:rsidRPr="00FE5979">
        <w:t>That the Fund Secretariat has updated Appendix 2-A of the Agreement between the Government of Venezuela (Bolivarian Republic of) and the Executive Committee to reflect the removal of the PU foam sector plan implemented by UNDP and the revised funding schedule for the UNIDO component, and that a new paragraph 16 has been added to indicate that the updated Agreement supersedes that reached at the 76</w:t>
      </w:r>
      <w:r w:rsidRPr="00FE5979">
        <w:rPr>
          <w:vertAlign w:val="superscript"/>
        </w:rPr>
        <w:t>th</w:t>
      </w:r>
      <w:r>
        <w:rPr>
          <w:vertAlign w:val="superscript"/>
        </w:rPr>
        <w:t> </w:t>
      </w:r>
      <w:r w:rsidRPr="00FE5979">
        <w:t xml:space="preserve">meeting, as contained in Annex II to </w:t>
      </w:r>
      <w:r w:rsidRPr="00FE5979">
        <w:rPr>
          <w:b/>
          <w:lang w:val="en-US"/>
        </w:rPr>
        <w:t>document UNEP/</w:t>
      </w:r>
      <w:proofErr w:type="spellStart"/>
      <w:r w:rsidRPr="00FE5979">
        <w:rPr>
          <w:b/>
          <w:lang w:val="en-US"/>
        </w:rPr>
        <w:t>OzL.Pro</w:t>
      </w:r>
      <w:proofErr w:type="spellEnd"/>
      <w:r w:rsidRPr="00FE5979">
        <w:rPr>
          <w:b/>
          <w:lang w:val="en-US"/>
        </w:rPr>
        <w:t>/</w:t>
      </w:r>
      <w:proofErr w:type="spellStart"/>
      <w:r w:rsidRPr="00FE5979">
        <w:rPr>
          <w:b/>
          <w:lang w:val="en-US"/>
        </w:rPr>
        <w:t>ExCom</w:t>
      </w:r>
      <w:proofErr w:type="spellEnd"/>
      <w:r w:rsidRPr="00FE5979">
        <w:rPr>
          <w:b/>
          <w:lang w:val="en-US"/>
        </w:rPr>
        <w:t>/82/20.</w:t>
      </w:r>
    </w:p>
    <w:p w:rsidR="00B107FB" w:rsidRPr="009A010C" w:rsidRDefault="00B107FB" w:rsidP="00B107FB">
      <w:pPr>
        <w:keepNext/>
        <w:rPr>
          <w:caps/>
          <w:lang w:val="en-CA"/>
        </w:rPr>
      </w:pPr>
      <w:r w:rsidRPr="009A010C">
        <w:rPr>
          <w:snapToGrid w:val="0"/>
          <w:color w:val="000000"/>
          <w:szCs w:val="24"/>
          <w:u w:val="single"/>
          <w:lang w:val="en-CA"/>
        </w:rPr>
        <w:t>Viet Nam: HCFC-phase out management plan (stage II) - C</w:t>
      </w:r>
      <w:r w:rsidRPr="009A010C">
        <w:rPr>
          <w:color w:val="000000"/>
          <w:u w:val="single"/>
          <w:lang w:val="en-CA" w:eastAsia="en-CA"/>
        </w:rPr>
        <w:t xml:space="preserve">hange in technology at </w:t>
      </w:r>
      <w:proofErr w:type="spellStart"/>
      <w:r w:rsidRPr="009A010C">
        <w:rPr>
          <w:color w:val="000000"/>
          <w:u w:val="single"/>
          <w:lang w:val="en-CA" w:eastAsia="en-CA"/>
        </w:rPr>
        <w:t>Midea</w:t>
      </w:r>
      <w:proofErr w:type="spellEnd"/>
      <w:r w:rsidRPr="009A010C">
        <w:rPr>
          <w:color w:val="000000"/>
          <w:u w:val="single"/>
          <w:lang w:val="en-CA" w:eastAsia="en-CA"/>
        </w:rPr>
        <w:t xml:space="preserve"> Consumer Electric (Viet Nam) Co. Ltd.)</w:t>
      </w:r>
      <w:r w:rsidRPr="009A010C">
        <w:rPr>
          <w:color w:val="000000"/>
          <w:lang w:val="en-CA" w:eastAsia="en-CA"/>
        </w:rPr>
        <w:t xml:space="preserve"> (World Bank and the Government of Japan)</w:t>
      </w:r>
    </w:p>
    <w:p w:rsidR="00B107FB" w:rsidRPr="009A010C" w:rsidRDefault="00B107FB" w:rsidP="00B107FB">
      <w:pPr>
        <w:pStyle w:val="0Heading0"/>
        <w:rPr>
          <w:lang w:val="en-CA"/>
        </w:rPr>
      </w:pPr>
    </w:p>
    <w:p w:rsidR="00B107FB" w:rsidRPr="009A010C" w:rsidRDefault="00B107FB" w:rsidP="00B107FB">
      <w:pPr>
        <w:widowControl w:val="0"/>
        <w:rPr>
          <w:b/>
          <w:lang w:val="en-CA"/>
        </w:rPr>
      </w:pPr>
      <w:r w:rsidRPr="009A010C">
        <w:rPr>
          <w:b/>
          <w:lang w:val="en-CA"/>
        </w:rPr>
        <w:t>Background</w:t>
      </w:r>
    </w:p>
    <w:p w:rsidR="00B107FB" w:rsidRPr="009A010C" w:rsidRDefault="00B107FB" w:rsidP="00B107FB">
      <w:pPr>
        <w:pStyle w:val="0Heading0"/>
        <w:rPr>
          <w:lang w:val="en-CA"/>
        </w:rPr>
      </w:pPr>
    </w:p>
    <w:p w:rsidR="00B107FB" w:rsidRPr="009A010C" w:rsidRDefault="00B107FB" w:rsidP="00B107FB">
      <w:pPr>
        <w:pStyle w:val="Heading1"/>
        <w:rPr>
          <w:lang w:val="en-CA"/>
        </w:rPr>
      </w:pPr>
      <w:r w:rsidRPr="009A010C">
        <w:rPr>
          <w:lang w:val="en-CA"/>
        </w:rPr>
        <w:t>At the 76</w:t>
      </w:r>
      <w:r w:rsidRPr="009A010C">
        <w:rPr>
          <w:vertAlign w:val="superscript"/>
          <w:lang w:val="en-CA"/>
        </w:rPr>
        <w:t>th</w:t>
      </w:r>
      <w:r w:rsidRPr="009A010C">
        <w:rPr>
          <w:lang w:val="en-CA"/>
        </w:rPr>
        <w:t xml:space="preserve"> meeting, the Executive Committee approved in principle, stage II of the HCFC phase</w:t>
      </w:r>
      <w:r w:rsidRPr="009A010C">
        <w:rPr>
          <w:lang w:val="en-CA"/>
        </w:rPr>
        <w:noBreakHyphen/>
        <w:t>out management plan (HPMP) for Viet Nam</w:t>
      </w:r>
      <w:r w:rsidRPr="009A010C">
        <w:rPr>
          <w:rStyle w:val="FootnoteReference"/>
          <w:lang w:val="en-CA"/>
        </w:rPr>
        <w:footnoteReference w:id="53"/>
      </w:r>
      <w:r w:rsidRPr="009A010C">
        <w:rPr>
          <w:lang w:val="en-CA"/>
        </w:rPr>
        <w:t xml:space="preserve"> for the period 2016 to 2022 to reduce HCFC consumption by 35 per cent of its baseline, in the amount of US $15,683,990 (US $14,411,204, plus agency support costs of US $1,008,784 for the World Bank, and US $233,630, plus agency support costs of US $30,372 for the Government of Japan). </w:t>
      </w:r>
    </w:p>
    <w:p w:rsidR="00B107FB" w:rsidRPr="009A010C" w:rsidRDefault="00B107FB" w:rsidP="00B107FB">
      <w:pPr>
        <w:pStyle w:val="Heading1"/>
        <w:rPr>
          <w:lang w:val="en-CA"/>
        </w:rPr>
      </w:pPr>
      <w:r w:rsidRPr="009A010C">
        <w:rPr>
          <w:lang w:val="en-CA"/>
        </w:rPr>
        <w:lastRenderedPageBreak/>
        <w:t xml:space="preserve">Stage II of the HPMP includes the conversion of four air-conditioning (AC) manufacturing enterprises. Three of the enterprises (i.e., </w:t>
      </w:r>
      <w:proofErr w:type="spellStart"/>
      <w:r w:rsidRPr="009A010C">
        <w:rPr>
          <w:lang w:val="en-CA"/>
        </w:rPr>
        <w:t>Hoa</w:t>
      </w:r>
      <w:proofErr w:type="spellEnd"/>
      <w:r w:rsidRPr="009A010C">
        <w:rPr>
          <w:lang w:val="en-CA"/>
        </w:rPr>
        <w:t xml:space="preserve"> Phat, </w:t>
      </w:r>
      <w:proofErr w:type="spellStart"/>
      <w:r w:rsidRPr="009A010C">
        <w:rPr>
          <w:lang w:val="en-CA"/>
        </w:rPr>
        <w:t>Nagakawa</w:t>
      </w:r>
      <w:proofErr w:type="spellEnd"/>
      <w:r w:rsidRPr="009A010C">
        <w:rPr>
          <w:lang w:val="en-CA"/>
        </w:rPr>
        <w:t xml:space="preserve"> and REE) decided to convert to HFC</w:t>
      </w:r>
      <w:r w:rsidRPr="009A010C">
        <w:rPr>
          <w:lang w:val="en-CA"/>
        </w:rPr>
        <w:noBreakHyphen/>
        <w:t xml:space="preserve">32, while the fourth, </w:t>
      </w:r>
      <w:proofErr w:type="spellStart"/>
      <w:r w:rsidRPr="009A010C">
        <w:rPr>
          <w:color w:val="000000"/>
          <w:lang w:val="en-CA" w:eastAsia="en-CA"/>
        </w:rPr>
        <w:t>Midea</w:t>
      </w:r>
      <w:proofErr w:type="spellEnd"/>
      <w:r w:rsidRPr="009A010C">
        <w:rPr>
          <w:color w:val="000000"/>
          <w:lang w:val="en-CA" w:eastAsia="en-CA"/>
        </w:rPr>
        <w:t xml:space="preserve"> Consumer Electric (Viet Nam) Co. Ltd. (</w:t>
      </w:r>
      <w:proofErr w:type="spellStart"/>
      <w:r w:rsidRPr="009A010C">
        <w:rPr>
          <w:color w:val="000000"/>
          <w:lang w:val="en-CA" w:eastAsia="en-CA"/>
        </w:rPr>
        <w:t>Midea</w:t>
      </w:r>
      <w:proofErr w:type="spellEnd"/>
      <w:r w:rsidRPr="009A010C">
        <w:rPr>
          <w:color w:val="000000"/>
          <w:lang w:val="en-CA" w:eastAsia="en-CA"/>
        </w:rPr>
        <w:t xml:space="preserve"> Viet Nam), decided </w:t>
      </w:r>
      <w:r w:rsidRPr="009A010C">
        <w:rPr>
          <w:lang w:val="en-CA"/>
        </w:rPr>
        <w:t>to convert two manufacturing lines to R</w:t>
      </w:r>
      <w:r w:rsidRPr="009A010C">
        <w:rPr>
          <w:lang w:val="en-CA"/>
        </w:rPr>
        <w:noBreakHyphen/>
        <w:t xml:space="preserve">290 based on the experience of the conversion of the </w:t>
      </w:r>
      <w:proofErr w:type="spellStart"/>
      <w:r w:rsidRPr="009A010C">
        <w:rPr>
          <w:lang w:val="en-CA"/>
        </w:rPr>
        <w:t>Midea</w:t>
      </w:r>
      <w:proofErr w:type="spellEnd"/>
      <w:r w:rsidRPr="009A010C">
        <w:rPr>
          <w:lang w:val="en-CA"/>
        </w:rPr>
        <w:t xml:space="preserve"> enterprise in China that received funding from the Multilateral Fund to convert to the same technology. Funding provided to </w:t>
      </w:r>
      <w:proofErr w:type="spellStart"/>
      <w:r w:rsidRPr="009A010C">
        <w:rPr>
          <w:lang w:val="en-CA"/>
        </w:rPr>
        <w:t>Midea</w:t>
      </w:r>
      <w:proofErr w:type="spellEnd"/>
      <w:r w:rsidRPr="009A010C">
        <w:rPr>
          <w:lang w:val="en-CA"/>
        </w:rPr>
        <w:t xml:space="preserve"> Viet Nam for conversion to R-290 technology amounted to US $837,017.</w:t>
      </w:r>
    </w:p>
    <w:p w:rsidR="00B107FB" w:rsidRPr="009A010C" w:rsidRDefault="00B107FB" w:rsidP="00B107FB">
      <w:pPr>
        <w:pStyle w:val="Heading1"/>
        <w:rPr>
          <w:lang w:val="en-CA"/>
        </w:rPr>
      </w:pPr>
      <w:r w:rsidRPr="009A010C">
        <w:rPr>
          <w:lang w:val="en-CA"/>
        </w:rPr>
        <w:t>At the 81</w:t>
      </w:r>
      <w:r w:rsidRPr="009A010C">
        <w:rPr>
          <w:vertAlign w:val="superscript"/>
          <w:lang w:val="en-CA"/>
        </w:rPr>
        <w:t>st </w:t>
      </w:r>
      <w:r w:rsidRPr="009A010C">
        <w:rPr>
          <w:lang w:val="en-CA"/>
        </w:rPr>
        <w:t xml:space="preserve">meeting, the Executive Committee considered a request from the Government of Viet Nam to change the technology at </w:t>
      </w:r>
      <w:proofErr w:type="spellStart"/>
      <w:r w:rsidRPr="009A010C">
        <w:rPr>
          <w:lang w:val="en-CA"/>
        </w:rPr>
        <w:t>Midea</w:t>
      </w:r>
      <w:proofErr w:type="spellEnd"/>
      <w:r w:rsidRPr="009A010C">
        <w:rPr>
          <w:lang w:val="en-CA"/>
        </w:rPr>
        <w:t xml:space="preserve"> Viet Nam to HFC-32. Following a discussion in an informal group, the Executive Committee decided to defer consideration of the change of technology at </w:t>
      </w:r>
      <w:proofErr w:type="spellStart"/>
      <w:r w:rsidRPr="009A010C">
        <w:rPr>
          <w:lang w:val="en-CA"/>
        </w:rPr>
        <w:t>Midea</w:t>
      </w:r>
      <w:proofErr w:type="spellEnd"/>
      <w:r w:rsidRPr="009A010C">
        <w:rPr>
          <w:lang w:val="en-CA"/>
        </w:rPr>
        <w:t xml:space="preserve"> Viet Nam to the 82</w:t>
      </w:r>
      <w:r w:rsidRPr="009A010C">
        <w:rPr>
          <w:vertAlign w:val="superscript"/>
          <w:lang w:val="en-CA"/>
        </w:rPr>
        <w:t>nd</w:t>
      </w:r>
      <w:r w:rsidRPr="009A010C">
        <w:rPr>
          <w:lang w:val="en-CA"/>
        </w:rPr>
        <w:t xml:space="preserve"> meeting to provide the enterprise with additional time to consider its technology selection on a best-effort basis, on the understanding that, if the enterprise were to decide to change to HFC</w:t>
      </w:r>
      <w:r w:rsidRPr="009A010C">
        <w:rPr>
          <w:lang w:val="en-CA"/>
        </w:rPr>
        <w:noBreakHyphen/>
        <w:t>32, it could do so then but would subsequently not be eligible for further funding from the Multilateral Fund (decision 81/13).</w:t>
      </w:r>
    </w:p>
    <w:p w:rsidR="00B107FB" w:rsidRPr="009A010C" w:rsidRDefault="00B107FB" w:rsidP="00B107FB">
      <w:pPr>
        <w:pStyle w:val="Heading1"/>
        <w:rPr>
          <w:lang w:val="en-CA"/>
        </w:rPr>
      </w:pPr>
      <w:r w:rsidRPr="009A010C">
        <w:rPr>
          <w:lang w:val="en-CA"/>
        </w:rPr>
        <w:t>In line with decision 81/13, and in accordance with paragraph 7(a)(v) of the Agreement between the Government of Viet Nam and the Executive Committee, the Government through the World Bank has re</w:t>
      </w:r>
      <w:r w:rsidR="00A75012">
        <w:rPr>
          <w:lang w:val="en-CA"/>
        </w:rPr>
        <w:noBreakHyphen/>
      </w:r>
      <w:r w:rsidRPr="009A010C">
        <w:rPr>
          <w:lang w:val="en-CA"/>
        </w:rPr>
        <w:t xml:space="preserve">submitted a request to change the technology for </w:t>
      </w:r>
      <w:proofErr w:type="spellStart"/>
      <w:r w:rsidRPr="009A010C">
        <w:rPr>
          <w:lang w:val="en-CA"/>
        </w:rPr>
        <w:t>Midea</w:t>
      </w:r>
      <w:proofErr w:type="spellEnd"/>
      <w:r w:rsidRPr="009A010C">
        <w:rPr>
          <w:lang w:val="en-CA"/>
        </w:rPr>
        <w:t xml:space="preserve"> Viet Nam from R-290 to HFC-32.</w:t>
      </w:r>
    </w:p>
    <w:p w:rsidR="00B107FB" w:rsidRPr="009A010C" w:rsidRDefault="00B107FB" w:rsidP="00B107FB">
      <w:pPr>
        <w:rPr>
          <w:u w:val="single"/>
          <w:lang w:val="en-CA"/>
        </w:rPr>
      </w:pPr>
      <w:r w:rsidRPr="009A010C">
        <w:rPr>
          <w:u w:val="single"/>
          <w:lang w:val="en-CA"/>
        </w:rPr>
        <w:t>Request for change of technology</w:t>
      </w:r>
    </w:p>
    <w:p w:rsidR="00B107FB" w:rsidRPr="009A010C" w:rsidRDefault="00B107FB" w:rsidP="00B107FB">
      <w:pPr>
        <w:rPr>
          <w:lang w:val="en-CA"/>
        </w:rPr>
      </w:pPr>
    </w:p>
    <w:p w:rsidR="00B107FB" w:rsidRPr="009A010C" w:rsidRDefault="00B107FB" w:rsidP="00B107FB">
      <w:pPr>
        <w:pStyle w:val="Heading1"/>
        <w:rPr>
          <w:lang w:val="en-CA"/>
        </w:rPr>
      </w:pPr>
      <w:r w:rsidRPr="009A010C">
        <w:rPr>
          <w:lang w:val="en-CA"/>
        </w:rPr>
        <w:t>In explaining its decision to change technology, the enterprise indicated that according to its market survey for East Asia, there is no demand for R-290-based equipment; but rather for HFC-32-based equipment. Conversion to HFC-32 was in line with the requirements by the Viet Nam Department of Climate Change and the World Bank. The enterprise also affirmed its commitment that in the future, when the HFC</w:t>
      </w:r>
      <w:r w:rsidRPr="009A010C">
        <w:rPr>
          <w:lang w:val="en-CA"/>
        </w:rPr>
        <w:noBreakHyphen/>
        <w:t xml:space="preserve">32 manufacturing line would need to be converted to R-290, the enterprise would carry out this conversion with its own funding and without support from the Multilateral Fund, and would strictly comply with all the requirements and conditions set out by the Multilateral Fund and Viet Nam Department of Climate Change. The enterprise noted that the decision to change technology to HFC-32 was representative only of </w:t>
      </w:r>
      <w:proofErr w:type="spellStart"/>
      <w:r w:rsidRPr="009A010C">
        <w:rPr>
          <w:lang w:val="en-CA"/>
        </w:rPr>
        <w:t>Midea</w:t>
      </w:r>
      <w:proofErr w:type="spellEnd"/>
      <w:r w:rsidRPr="009A010C">
        <w:rPr>
          <w:lang w:val="en-CA"/>
        </w:rPr>
        <w:t xml:space="preserve"> Viet</w:t>
      </w:r>
      <w:r w:rsidR="00A75012">
        <w:rPr>
          <w:lang w:val="en-CA"/>
        </w:rPr>
        <w:t> </w:t>
      </w:r>
      <w:r w:rsidRPr="009A010C">
        <w:rPr>
          <w:lang w:val="en-CA"/>
        </w:rPr>
        <w:t xml:space="preserve">Nam and did not relate to </w:t>
      </w:r>
      <w:proofErr w:type="spellStart"/>
      <w:r w:rsidRPr="009A010C">
        <w:rPr>
          <w:lang w:val="en-CA"/>
        </w:rPr>
        <w:t>Midea</w:t>
      </w:r>
      <w:proofErr w:type="spellEnd"/>
      <w:r w:rsidRPr="009A010C">
        <w:rPr>
          <w:lang w:val="en-CA"/>
        </w:rPr>
        <w:t xml:space="preserve"> China.</w:t>
      </w:r>
    </w:p>
    <w:p w:rsidR="00B107FB" w:rsidRPr="009A010C" w:rsidRDefault="00B107FB" w:rsidP="00B107FB">
      <w:pPr>
        <w:pStyle w:val="Heading1"/>
        <w:rPr>
          <w:lang w:val="en-CA"/>
        </w:rPr>
      </w:pPr>
      <w:r w:rsidRPr="009A010C">
        <w:rPr>
          <w:lang w:val="en-CA"/>
        </w:rPr>
        <w:t xml:space="preserve">The World Bank emphasized that it had provided the enterprise with all its options for both alternatives (HFC-32 and R-290) and explained the potential consequence of each choice in terms of Executive Committee decision and Multilateral Fund financial support. The World Bank also noted the concerns previously expressed, regarding market acceptance of R-290-based room AC units; lack of a regulation or standard that would facilitate the sales of R-290-based equipment in the country; challenges to provide sufficient training to the servicing sector for safe handling of R-290 beyond the warranty period and under service contracts, as opposed to HFC-32 where several enterprises began training service workshops in safe handling of this refrigerant since 2014; and better parity with the other local AC manufacturers and importers in terms of the market and in addressing safety concerns and potential regulatory issues. </w:t>
      </w:r>
    </w:p>
    <w:p w:rsidR="00B107FB" w:rsidRPr="009A010C" w:rsidRDefault="00B107FB" w:rsidP="00B107FB">
      <w:pPr>
        <w:rPr>
          <w:u w:val="single"/>
          <w:lang w:val="en-CA"/>
        </w:rPr>
      </w:pPr>
      <w:r w:rsidRPr="009A010C">
        <w:rPr>
          <w:u w:val="single"/>
          <w:lang w:val="en-CA"/>
        </w:rPr>
        <w:t>Incremental cost</w:t>
      </w:r>
    </w:p>
    <w:p w:rsidR="00B107FB" w:rsidRPr="009A010C" w:rsidRDefault="00B107FB" w:rsidP="00B107FB">
      <w:pPr>
        <w:rPr>
          <w:lang w:val="en-CA"/>
        </w:rPr>
      </w:pPr>
    </w:p>
    <w:p w:rsidR="00B107FB" w:rsidRPr="00F4406E" w:rsidRDefault="00B107FB" w:rsidP="00B107FB">
      <w:pPr>
        <w:pStyle w:val="Heading1"/>
        <w:rPr>
          <w:lang w:val="en-CA"/>
        </w:rPr>
      </w:pPr>
      <w:r w:rsidRPr="00F4406E">
        <w:rPr>
          <w:lang w:val="en-CA"/>
        </w:rPr>
        <w:t>Incremental capital and operating costs have been agreed as shown in Table </w:t>
      </w:r>
      <w:r w:rsidR="002464DD" w:rsidRPr="00F4406E">
        <w:rPr>
          <w:lang w:val="en-CA"/>
        </w:rPr>
        <w:t>27</w:t>
      </w:r>
      <w:r w:rsidRPr="00F4406E">
        <w:rPr>
          <w:lang w:val="en-CA"/>
        </w:rPr>
        <w:t xml:space="preserve">. Costs items related to prototypes for testing and certification, official testing for rating and labelling, and technical assistance were not requested for the conversion to R-290 as </w:t>
      </w:r>
      <w:proofErr w:type="spellStart"/>
      <w:r w:rsidRPr="00F4406E">
        <w:rPr>
          <w:lang w:val="en-CA"/>
        </w:rPr>
        <w:t>Midea</w:t>
      </w:r>
      <w:proofErr w:type="spellEnd"/>
      <w:r w:rsidRPr="00F4406E">
        <w:rPr>
          <w:lang w:val="en-CA"/>
        </w:rPr>
        <w:t xml:space="preserve"> China had previously received funding from the Multilateral Fund for the conversion to that technology. Funding requested for the HFC-32 technology amounts to US $768,959, which is US $68,358 lower than for the R-290 technology, notwithstanding the increase in incremental capital costs. Avoided emissions to the atmosphere decreases by 40,801 </w:t>
      </w:r>
      <w:proofErr w:type="spellStart"/>
      <w:r w:rsidRPr="00F4406E">
        <w:rPr>
          <w:lang w:val="en-CA"/>
        </w:rPr>
        <w:t>mt</w:t>
      </w:r>
      <w:proofErr w:type="spellEnd"/>
      <w:r w:rsidRPr="00F4406E">
        <w:rPr>
          <w:lang w:val="en-CA"/>
        </w:rPr>
        <w:t xml:space="preserve"> CO</w:t>
      </w:r>
      <w:r w:rsidRPr="00F4406E">
        <w:rPr>
          <w:vertAlign w:val="subscript"/>
          <w:lang w:val="en-CA"/>
        </w:rPr>
        <w:t>2-</w:t>
      </w:r>
      <w:r w:rsidRPr="00F4406E">
        <w:rPr>
          <w:lang w:val="en-CA"/>
        </w:rPr>
        <w:t>eq. due to the higher global warming potential value of HFC-32.</w:t>
      </w:r>
    </w:p>
    <w:p w:rsidR="00B107FB" w:rsidRPr="009A010C" w:rsidRDefault="00B107FB" w:rsidP="00A75012">
      <w:pPr>
        <w:keepNext/>
        <w:rPr>
          <w:b/>
          <w:lang w:val="en-CA"/>
        </w:rPr>
      </w:pPr>
      <w:r w:rsidRPr="00F4406E">
        <w:rPr>
          <w:b/>
          <w:lang w:val="en-CA"/>
        </w:rPr>
        <w:lastRenderedPageBreak/>
        <w:t xml:space="preserve">Table </w:t>
      </w:r>
      <w:r w:rsidR="002464DD" w:rsidRPr="00F4406E">
        <w:rPr>
          <w:b/>
          <w:lang w:val="en-CA"/>
        </w:rPr>
        <w:t>27</w:t>
      </w:r>
      <w:r w:rsidRPr="00F4406E">
        <w:rPr>
          <w:b/>
          <w:lang w:val="en-CA"/>
        </w:rPr>
        <w:t xml:space="preserve">. Revised incremental cost of the conversion of </w:t>
      </w:r>
      <w:proofErr w:type="spellStart"/>
      <w:r w:rsidRPr="00F4406E">
        <w:rPr>
          <w:b/>
          <w:lang w:val="en-CA"/>
        </w:rPr>
        <w:t>Midea</w:t>
      </w:r>
      <w:proofErr w:type="spellEnd"/>
      <w:r w:rsidRPr="00F4406E">
        <w:rPr>
          <w:b/>
          <w:lang w:val="en-CA"/>
        </w:rPr>
        <w:t xml:space="preserve"> Viet Nam to HFC-32 technology</w:t>
      </w:r>
      <w:r w:rsidRPr="009A010C">
        <w:rPr>
          <w:b/>
          <w:lang w:val="en-CA"/>
        </w:rPr>
        <w:t xml:space="preserve"> (US $)</w:t>
      </w:r>
    </w:p>
    <w:tbl>
      <w:tblPr>
        <w:tblW w:w="5000" w:type="pct"/>
        <w:tblLook w:val="04A0" w:firstRow="1" w:lastRow="0" w:firstColumn="1" w:lastColumn="0" w:noHBand="0" w:noVBand="1"/>
      </w:tblPr>
      <w:tblGrid>
        <w:gridCol w:w="5132"/>
        <w:gridCol w:w="1466"/>
        <w:gridCol w:w="1466"/>
        <w:gridCol w:w="1466"/>
      </w:tblGrid>
      <w:tr w:rsidR="00B107FB" w:rsidRPr="009A010C" w:rsidTr="00C651FD">
        <w:trPr>
          <w:tblHeader/>
        </w:trPr>
        <w:tc>
          <w:tcPr>
            <w:tcW w:w="26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A75012">
            <w:pPr>
              <w:keepNext/>
              <w:jc w:val="left"/>
              <w:rPr>
                <w:b/>
                <w:color w:val="000000"/>
                <w:sz w:val="20"/>
                <w:szCs w:val="20"/>
                <w:lang w:val="en-CA" w:eastAsia="en-CA"/>
              </w:rPr>
            </w:pPr>
            <w:r w:rsidRPr="009A010C">
              <w:rPr>
                <w:b/>
                <w:color w:val="000000"/>
                <w:sz w:val="20"/>
                <w:szCs w:val="20"/>
                <w:lang w:val="en-CA" w:eastAsia="en-CA"/>
              </w:rPr>
              <w:t>Cost components</w:t>
            </w:r>
          </w:p>
        </w:tc>
        <w:tc>
          <w:tcPr>
            <w:tcW w:w="769" w:type="pct"/>
            <w:tcBorders>
              <w:top w:val="single" w:sz="4" w:space="0" w:color="auto"/>
              <w:left w:val="nil"/>
              <w:bottom w:val="single" w:sz="4" w:space="0" w:color="auto"/>
              <w:right w:val="single" w:sz="4" w:space="0" w:color="auto"/>
            </w:tcBorders>
            <w:shd w:val="clear" w:color="auto" w:fill="auto"/>
            <w:noWrap/>
            <w:hideMark/>
          </w:tcPr>
          <w:p w:rsidR="00B107FB" w:rsidRPr="009A010C" w:rsidRDefault="00B107FB" w:rsidP="00A75012">
            <w:pPr>
              <w:keepNext/>
              <w:jc w:val="center"/>
              <w:rPr>
                <w:b/>
                <w:color w:val="000000"/>
                <w:sz w:val="20"/>
                <w:szCs w:val="20"/>
                <w:lang w:val="en-CA" w:eastAsia="en-CA"/>
              </w:rPr>
            </w:pPr>
            <w:r w:rsidRPr="009A010C">
              <w:rPr>
                <w:b/>
                <w:color w:val="000000"/>
                <w:sz w:val="20"/>
                <w:szCs w:val="20"/>
                <w:lang w:val="en-CA" w:eastAsia="en-CA"/>
              </w:rPr>
              <w:t>R-290</w:t>
            </w:r>
          </w:p>
        </w:tc>
        <w:tc>
          <w:tcPr>
            <w:tcW w:w="769" w:type="pct"/>
            <w:tcBorders>
              <w:top w:val="single" w:sz="4" w:space="0" w:color="auto"/>
              <w:left w:val="nil"/>
              <w:bottom w:val="single" w:sz="4" w:space="0" w:color="auto"/>
              <w:right w:val="single" w:sz="4" w:space="0" w:color="auto"/>
            </w:tcBorders>
            <w:shd w:val="clear" w:color="auto" w:fill="auto"/>
            <w:noWrap/>
            <w:hideMark/>
          </w:tcPr>
          <w:p w:rsidR="00B107FB" w:rsidRPr="009A010C" w:rsidRDefault="00B107FB" w:rsidP="00A75012">
            <w:pPr>
              <w:keepNext/>
              <w:jc w:val="center"/>
              <w:rPr>
                <w:b/>
                <w:color w:val="000000"/>
                <w:sz w:val="20"/>
                <w:szCs w:val="20"/>
                <w:lang w:val="en-CA" w:eastAsia="en-CA"/>
              </w:rPr>
            </w:pPr>
            <w:r w:rsidRPr="009A010C">
              <w:rPr>
                <w:b/>
                <w:color w:val="000000"/>
                <w:sz w:val="20"/>
                <w:szCs w:val="20"/>
                <w:lang w:val="en-CA" w:eastAsia="en-CA"/>
              </w:rPr>
              <w:t>HFC-32</w:t>
            </w:r>
          </w:p>
        </w:tc>
        <w:tc>
          <w:tcPr>
            <w:tcW w:w="769" w:type="pct"/>
            <w:tcBorders>
              <w:top w:val="single" w:sz="4" w:space="0" w:color="auto"/>
              <w:left w:val="nil"/>
              <w:bottom w:val="single" w:sz="4" w:space="0" w:color="auto"/>
              <w:right w:val="single" w:sz="4" w:space="0" w:color="auto"/>
            </w:tcBorders>
            <w:shd w:val="clear" w:color="auto" w:fill="auto"/>
            <w:noWrap/>
            <w:hideMark/>
          </w:tcPr>
          <w:p w:rsidR="00B107FB" w:rsidRPr="009A010C" w:rsidRDefault="00B107FB" w:rsidP="00A75012">
            <w:pPr>
              <w:keepNext/>
              <w:jc w:val="center"/>
              <w:rPr>
                <w:b/>
                <w:color w:val="000000"/>
                <w:sz w:val="20"/>
                <w:szCs w:val="20"/>
                <w:lang w:val="en-CA" w:eastAsia="en-CA"/>
              </w:rPr>
            </w:pPr>
            <w:r w:rsidRPr="009A010C">
              <w:rPr>
                <w:b/>
                <w:color w:val="000000"/>
                <w:sz w:val="20"/>
                <w:szCs w:val="20"/>
                <w:lang w:val="en-CA" w:eastAsia="en-CA"/>
              </w:rPr>
              <w:t>Difference</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A75012">
            <w:pPr>
              <w:keepNext/>
              <w:jc w:val="left"/>
              <w:rPr>
                <w:color w:val="000000"/>
                <w:sz w:val="20"/>
                <w:szCs w:val="20"/>
                <w:lang w:val="en-CA" w:eastAsia="en-CA"/>
              </w:rPr>
            </w:pPr>
            <w:r w:rsidRPr="009A010C">
              <w:rPr>
                <w:color w:val="000000"/>
                <w:sz w:val="20"/>
                <w:szCs w:val="20"/>
                <w:lang w:val="en-CA" w:eastAsia="en-CA"/>
              </w:rPr>
              <w:t>Model redesign, research, development, in-house testing</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A75012">
            <w:pPr>
              <w:keepNext/>
              <w:jc w:val="right"/>
              <w:rPr>
                <w:color w:val="000000"/>
                <w:sz w:val="20"/>
                <w:szCs w:val="20"/>
                <w:lang w:val="en-CA" w:eastAsia="en-CA"/>
              </w:rPr>
            </w:pPr>
            <w:r w:rsidRPr="009A010C">
              <w:rPr>
                <w:color w:val="000000"/>
                <w:sz w:val="20"/>
                <w:szCs w:val="20"/>
                <w:lang w:val="en-CA" w:eastAsia="en-CA"/>
              </w:rPr>
              <w:t>50,000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A75012">
            <w:pPr>
              <w:keepNext/>
              <w:jc w:val="right"/>
              <w:rPr>
                <w:color w:val="000000"/>
                <w:sz w:val="20"/>
                <w:szCs w:val="20"/>
                <w:lang w:val="en-CA" w:eastAsia="en-CA"/>
              </w:rPr>
            </w:pPr>
            <w:r w:rsidRPr="009A010C">
              <w:rPr>
                <w:color w:val="000000"/>
                <w:sz w:val="20"/>
                <w:szCs w:val="20"/>
                <w:lang w:val="en-CA" w:eastAsia="en-CA"/>
              </w:rPr>
              <w:t>66,000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A75012">
            <w:pPr>
              <w:keepNext/>
              <w:jc w:val="right"/>
              <w:rPr>
                <w:color w:val="000000"/>
                <w:sz w:val="20"/>
                <w:szCs w:val="20"/>
                <w:lang w:val="en-CA" w:eastAsia="en-CA"/>
              </w:rPr>
            </w:pPr>
            <w:r w:rsidRPr="009A010C">
              <w:rPr>
                <w:color w:val="000000"/>
                <w:sz w:val="20"/>
                <w:szCs w:val="20"/>
                <w:lang w:val="en-CA" w:eastAsia="en-CA"/>
              </w:rPr>
              <w:t>16,000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Prototypes for testing and certification</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10,800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10,800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 xml:space="preserve">Official testing for rating and labeling </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5,000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Technical assistance</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25,000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25,000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Training</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4,000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1,000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Charging equipment</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104,000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120,000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16,000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 xml:space="preserve">Vacuum pumps </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33,600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33,600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Leak detectors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4,000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4,000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Safety measures, ventilation, electrical installations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70,000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50,000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(20,000)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Storage of refrigerant, transfer pump and piping</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50,000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20,000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(30,000)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vAlign w:val="bottom"/>
            <w:hideMark/>
          </w:tcPr>
          <w:p w:rsidR="00B107FB" w:rsidRPr="009A010C" w:rsidRDefault="00B107FB" w:rsidP="00C651FD">
            <w:pPr>
              <w:jc w:val="left"/>
              <w:rPr>
                <w:color w:val="000000"/>
                <w:sz w:val="20"/>
                <w:szCs w:val="20"/>
                <w:lang w:val="en-CA" w:eastAsia="en-CA"/>
              </w:rPr>
            </w:pPr>
            <w:r w:rsidRPr="009A010C">
              <w:rPr>
                <w:color w:val="000000"/>
                <w:sz w:val="20"/>
                <w:szCs w:val="20"/>
                <w:lang w:val="en-CA" w:eastAsia="en-CA"/>
              </w:rPr>
              <w:t>Contingency (10 per cent)</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28,300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33,840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color w:val="000000"/>
                <w:sz w:val="20"/>
                <w:szCs w:val="20"/>
                <w:lang w:val="en-CA" w:eastAsia="en-CA"/>
              </w:rPr>
            </w:pPr>
            <w:r w:rsidRPr="009A010C">
              <w:rPr>
                <w:color w:val="000000"/>
                <w:sz w:val="20"/>
                <w:szCs w:val="20"/>
                <w:lang w:val="en-CA" w:eastAsia="en-CA"/>
              </w:rPr>
              <w:t>5,540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tcPr>
          <w:p w:rsidR="00B107FB" w:rsidRPr="009A010C" w:rsidRDefault="00B107FB" w:rsidP="00C651FD">
            <w:pPr>
              <w:rPr>
                <w:sz w:val="20"/>
                <w:szCs w:val="20"/>
                <w:lang w:val="en-CA"/>
              </w:rPr>
            </w:pPr>
            <w:r w:rsidRPr="009A010C">
              <w:rPr>
                <w:sz w:val="20"/>
                <w:szCs w:val="20"/>
                <w:lang w:val="en-CA"/>
              </w:rPr>
              <w:t xml:space="preserve">Installation and servicing </w:t>
            </w:r>
          </w:p>
        </w:tc>
        <w:tc>
          <w:tcPr>
            <w:tcW w:w="769" w:type="pct"/>
            <w:tcBorders>
              <w:top w:val="nil"/>
              <w:left w:val="nil"/>
              <w:bottom w:val="single" w:sz="4" w:space="0" w:color="auto"/>
              <w:right w:val="single" w:sz="4" w:space="0" w:color="auto"/>
            </w:tcBorders>
            <w:shd w:val="clear" w:color="auto" w:fill="auto"/>
            <w:noWrap/>
            <w:tcMar>
              <w:left w:w="115" w:type="dxa"/>
              <w:right w:w="288" w:type="dxa"/>
            </w:tcMar>
          </w:tcPr>
          <w:p w:rsidR="00B107FB" w:rsidRPr="009A010C" w:rsidRDefault="00B107FB" w:rsidP="00C651FD">
            <w:pPr>
              <w:jc w:val="right"/>
              <w:rPr>
                <w:sz w:val="20"/>
                <w:szCs w:val="20"/>
                <w:lang w:val="en-CA"/>
              </w:rPr>
            </w:pPr>
            <w:r w:rsidRPr="009A010C">
              <w:rPr>
                <w:sz w:val="20"/>
                <w:szCs w:val="20"/>
                <w:lang w:val="en-CA"/>
              </w:rPr>
              <w:t>55,000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tcPr>
          <w:p w:rsidR="00B107FB" w:rsidRPr="009A010C" w:rsidRDefault="00B107FB" w:rsidP="00C651FD">
            <w:pPr>
              <w:jc w:val="right"/>
              <w:rPr>
                <w:sz w:val="20"/>
                <w:szCs w:val="20"/>
                <w:lang w:val="en-CA"/>
              </w:rPr>
            </w:pPr>
            <w:r w:rsidRPr="009A010C">
              <w:rPr>
                <w:sz w:val="20"/>
                <w:szCs w:val="20"/>
                <w:lang w:val="en-CA"/>
              </w:rPr>
              <w:t>55,000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tcPr>
          <w:p w:rsidR="00B107FB" w:rsidRPr="009A010C" w:rsidRDefault="00B107FB" w:rsidP="00C651FD">
            <w:pPr>
              <w:jc w:val="right"/>
              <w:rPr>
                <w:sz w:val="20"/>
                <w:szCs w:val="20"/>
                <w:lang w:val="en-CA"/>
              </w:rPr>
            </w:pPr>
            <w:r w:rsidRPr="009A010C">
              <w:rPr>
                <w:sz w:val="20"/>
                <w:szCs w:val="20"/>
                <w:lang w:val="en-CA"/>
              </w:rPr>
              <w:t>-</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hideMark/>
          </w:tcPr>
          <w:p w:rsidR="00B107FB" w:rsidRPr="009A010C" w:rsidRDefault="00B107FB" w:rsidP="00C651FD">
            <w:pPr>
              <w:rPr>
                <w:sz w:val="20"/>
                <w:szCs w:val="20"/>
                <w:lang w:val="en-CA"/>
              </w:rPr>
            </w:pPr>
            <w:r w:rsidRPr="009A010C">
              <w:rPr>
                <w:sz w:val="20"/>
                <w:szCs w:val="20"/>
                <w:lang w:val="en-CA"/>
              </w:rPr>
              <w:t>Total incremental capital costs (ICCs)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366,300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427,240</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60,940</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hideMark/>
          </w:tcPr>
          <w:p w:rsidR="00B107FB" w:rsidRPr="009A010C" w:rsidRDefault="00B107FB" w:rsidP="00C651FD">
            <w:pPr>
              <w:rPr>
                <w:sz w:val="20"/>
                <w:szCs w:val="20"/>
                <w:lang w:val="en-CA"/>
              </w:rPr>
            </w:pPr>
            <w:r w:rsidRPr="009A010C">
              <w:rPr>
                <w:sz w:val="20"/>
                <w:szCs w:val="20"/>
                <w:lang w:val="en-CA"/>
              </w:rPr>
              <w:t>Total incremental operating costs (IOCs)</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470,717</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341,419</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(129,298)</w:t>
            </w:r>
          </w:p>
        </w:tc>
      </w:tr>
      <w:tr w:rsidR="00B107FB" w:rsidRPr="009A010C" w:rsidTr="00C651FD">
        <w:tc>
          <w:tcPr>
            <w:tcW w:w="2692" w:type="pct"/>
            <w:tcBorders>
              <w:top w:val="nil"/>
              <w:left w:val="single" w:sz="4" w:space="0" w:color="auto"/>
              <w:bottom w:val="single" w:sz="4" w:space="0" w:color="auto"/>
              <w:right w:val="single" w:sz="4" w:space="0" w:color="auto"/>
            </w:tcBorders>
            <w:shd w:val="clear" w:color="auto" w:fill="auto"/>
            <w:noWrap/>
            <w:hideMark/>
          </w:tcPr>
          <w:p w:rsidR="00B107FB" w:rsidRPr="009A010C" w:rsidRDefault="00B107FB" w:rsidP="00C651FD">
            <w:pPr>
              <w:rPr>
                <w:sz w:val="20"/>
                <w:szCs w:val="20"/>
                <w:lang w:val="en-CA"/>
              </w:rPr>
            </w:pPr>
            <w:r w:rsidRPr="009A010C">
              <w:rPr>
                <w:sz w:val="20"/>
                <w:szCs w:val="20"/>
                <w:lang w:val="en-CA"/>
              </w:rPr>
              <w:t>Total cost</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837,017</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768,659</w:t>
            </w:r>
          </w:p>
        </w:tc>
        <w:tc>
          <w:tcPr>
            <w:tcW w:w="769" w:type="pct"/>
            <w:tcBorders>
              <w:top w:val="nil"/>
              <w:left w:val="nil"/>
              <w:bottom w:val="single" w:sz="4" w:space="0" w:color="auto"/>
              <w:right w:val="single" w:sz="4" w:space="0" w:color="auto"/>
            </w:tcBorders>
            <w:shd w:val="clear" w:color="auto" w:fill="auto"/>
            <w:noWrap/>
            <w:tcMar>
              <w:left w:w="115" w:type="dxa"/>
              <w:right w:w="288" w:type="dxa"/>
            </w:tcMar>
            <w:hideMark/>
          </w:tcPr>
          <w:p w:rsidR="00B107FB" w:rsidRPr="009A010C" w:rsidRDefault="00B107FB" w:rsidP="00C651FD">
            <w:pPr>
              <w:jc w:val="right"/>
              <w:rPr>
                <w:sz w:val="20"/>
                <w:szCs w:val="20"/>
                <w:lang w:val="en-CA"/>
              </w:rPr>
            </w:pPr>
            <w:r w:rsidRPr="009A010C">
              <w:rPr>
                <w:sz w:val="20"/>
                <w:szCs w:val="20"/>
                <w:lang w:val="en-CA"/>
              </w:rPr>
              <w:t>(68,358)</w:t>
            </w:r>
          </w:p>
        </w:tc>
      </w:tr>
    </w:tbl>
    <w:p w:rsidR="00B107FB" w:rsidRPr="009A010C" w:rsidRDefault="00B107FB" w:rsidP="00B107FB">
      <w:pPr>
        <w:rPr>
          <w:sz w:val="21"/>
          <w:szCs w:val="21"/>
          <w:lang w:val="en-CA"/>
        </w:rPr>
      </w:pPr>
    </w:p>
    <w:p w:rsidR="00B107FB" w:rsidRPr="009A010C" w:rsidRDefault="00B107FB" w:rsidP="00B107FB">
      <w:pPr>
        <w:keepNext/>
        <w:keepLines/>
        <w:rPr>
          <w:b/>
          <w:sz w:val="21"/>
          <w:szCs w:val="21"/>
          <w:lang w:val="en-CA"/>
        </w:rPr>
      </w:pPr>
      <w:r w:rsidRPr="009A010C">
        <w:rPr>
          <w:b/>
          <w:sz w:val="21"/>
          <w:szCs w:val="21"/>
          <w:lang w:val="en-CA"/>
        </w:rPr>
        <w:t>Comments</w:t>
      </w:r>
    </w:p>
    <w:p w:rsidR="00B107FB" w:rsidRPr="009A010C" w:rsidRDefault="00B107FB" w:rsidP="00B107FB">
      <w:pPr>
        <w:pStyle w:val="0Heading0"/>
        <w:rPr>
          <w:lang w:val="en-CA"/>
        </w:rPr>
      </w:pPr>
    </w:p>
    <w:p w:rsidR="00B107FB" w:rsidRPr="009A010C" w:rsidRDefault="00B107FB" w:rsidP="00B107FB">
      <w:pPr>
        <w:pStyle w:val="Heading1"/>
        <w:rPr>
          <w:lang w:val="en-CA"/>
        </w:rPr>
      </w:pPr>
      <w:r w:rsidRPr="009A010C">
        <w:rPr>
          <w:lang w:val="en-CA"/>
        </w:rPr>
        <w:t>The Secretariat noted that the recommended ICCs were consistent with the funding that was provided to the other three AC manufacturing enterprises that will convert to HFC-32, which was the most equitable approach to assessing the costs. In addition, the Secretariat noted that the overall cost of conversion was lower given the reduction in IOCs, which was due to the lower cost of HFC</w:t>
      </w:r>
      <w:r w:rsidRPr="009A010C">
        <w:rPr>
          <w:lang w:val="en-CA"/>
        </w:rPr>
        <w:noBreakHyphen/>
        <w:t>32 compressors relative to R</w:t>
      </w:r>
      <w:r w:rsidRPr="009A010C">
        <w:rPr>
          <w:lang w:val="en-CA"/>
        </w:rPr>
        <w:noBreakHyphen/>
        <w:t xml:space="preserve">290 compressors, which would result in the return of US $68,358, plus agency supports costs of US $4,785 for the World Bank, to the Multilateral Fund. The Agreement between the Government of Viet Nam and the Executive Committee would be amended to reflect this return when the second tranche of stage II of the HPMP would be submitted. </w:t>
      </w:r>
    </w:p>
    <w:p w:rsidR="00B107FB" w:rsidRPr="009A010C" w:rsidRDefault="00B107FB" w:rsidP="002464DD">
      <w:pPr>
        <w:keepNext/>
        <w:rPr>
          <w:b/>
          <w:lang w:val="en-CA"/>
        </w:rPr>
      </w:pPr>
      <w:r w:rsidRPr="009A010C">
        <w:rPr>
          <w:b/>
          <w:lang w:val="en-CA"/>
        </w:rPr>
        <w:t>Recommendation</w:t>
      </w:r>
    </w:p>
    <w:p w:rsidR="00B107FB" w:rsidRPr="009A010C" w:rsidRDefault="00B107FB" w:rsidP="002464DD">
      <w:pPr>
        <w:keepNext/>
        <w:rPr>
          <w:i/>
          <w:u w:val="single"/>
          <w:lang w:val="en-CA"/>
        </w:rPr>
      </w:pPr>
    </w:p>
    <w:p w:rsidR="00B107FB" w:rsidRPr="009A010C" w:rsidRDefault="00B107FB" w:rsidP="002464DD">
      <w:pPr>
        <w:pStyle w:val="Heading1"/>
        <w:keepNext/>
        <w:rPr>
          <w:lang w:val="en-CA"/>
        </w:rPr>
      </w:pPr>
      <w:r w:rsidRPr="009A010C">
        <w:rPr>
          <w:lang w:val="en-CA"/>
        </w:rPr>
        <w:t>The Executive Committee may wish:</w:t>
      </w:r>
    </w:p>
    <w:p w:rsidR="00B107FB" w:rsidRPr="009A010C" w:rsidRDefault="00B107FB" w:rsidP="002464DD">
      <w:pPr>
        <w:pStyle w:val="Heading2"/>
        <w:keepNext/>
        <w:widowControl/>
        <w:rPr>
          <w:lang w:val="en-CA"/>
        </w:rPr>
      </w:pPr>
      <w:r w:rsidRPr="009A010C">
        <w:rPr>
          <w:lang w:val="en-CA"/>
        </w:rPr>
        <w:t xml:space="preserve">To note the request submitted by the World Bank on behalf of the Government of Viet Nam for the change of technology in </w:t>
      </w:r>
      <w:proofErr w:type="spellStart"/>
      <w:r w:rsidRPr="009A010C">
        <w:rPr>
          <w:lang w:val="en-CA"/>
        </w:rPr>
        <w:t>Midea</w:t>
      </w:r>
      <w:proofErr w:type="spellEnd"/>
      <w:r w:rsidRPr="009A010C">
        <w:rPr>
          <w:lang w:val="en-CA"/>
        </w:rPr>
        <w:t xml:space="preserve"> Consumer Electric (Viet Nam) Co. Ltd., from R</w:t>
      </w:r>
      <w:r w:rsidRPr="009A010C">
        <w:rPr>
          <w:lang w:val="en-CA"/>
        </w:rPr>
        <w:noBreakHyphen/>
        <w:t xml:space="preserve">290 to HFC-32 in the context of stage II of the HCFC phase-out management plan (HPMP); </w:t>
      </w:r>
    </w:p>
    <w:p w:rsidR="00B107FB" w:rsidRPr="009A010C" w:rsidRDefault="00B107FB" w:rsidP="00B107FB">
      <w:pPr>
        <w:pStyle w:val="Heading2"/>
        <w:rPr>
          <w:lang w:val="en-CA"/>
        </w:rPr>
      </w:pPr>
      <w:r w:rsidRPr="009A010C">
        <w:rPr>
          <w:lang w:val="en-CA"/>
        </w:rPr>
        <w:t xml:space="preserve">To approve the change of technology for </w:t>
      </w:r>
      <w:proofErr w:type="spellStart"/>
      <w:r w:rsidRPr="009A010C">
        <w:rPr>
          <w:lang w:val="en-CA"/>
        </w:rPr>
        <w:t>Midea</w:t>
      </w:r>
      <w:proofErr w:type="spellEnd"/>
      <w:r w:rsidRPr="009A010C">
        <w:rPr>
          <w:lang w:val="en-CA"/>
        </w:rPr>
        <w:t xml:space="preserve"> Consumer Electric (Viet Nam) Co. Ltd., from R-290 to HFC-32, in the amount of US $768,659, plus agency support costs of US $53,806 for the World Bank, resulting in the return to the 82</w:t>
      </w:r>
      <w:r w:rsidRPr="009A010C">
        <w:rPr>
          <w:vertAlign w:val="superscript"/>
          <w:lang w:val="en-CA"/>
        </w:rPr>
        <w:t>nd </w:t>
      </w:r>
      <w:r w:rsidRPr="009A010C">
        <w:rPr>
          <w:lang w:val="en-CA"/>
        </w:rPr>
        <w:t xml:space="preserve">meeting of US $68,358, plus agency supports costs of US $4,785 by the World Bank to the Multilateral Fund; </w:t>
      </w:r>
    </w:p>
    <w:p w:rsidR="00B107FB" w:rsidRPr="009A010C" w:rsidRDefault="00B107FB" w:rsidP="00B107FB">
      <w:pPr>
        <w:pStyle w:val="Heading2"/>
        <w:rPr>
          <w:lang w:val="en-CA"/>
        </w:rPr>
      </w:pPr>
      <w:r w:rsidRPr="009A010C">
        <w:rPr>
          <w:lang w:val="en-CA"/>
        </w:rPr>
        <w:t xml:space="preserve">To note that </w:t>
      </w:r>
      <w:proofErr w:type="spellStart"/>
      <w:r w:rsidRPr="009A010C">
        <w:rPr>
          <w:lang w:val="en-CA"/>
        </w:rPr>
        <w:t>Midea</w:t>
      </w:r>
      <w:proofErr w:type="spellEnd"/>
      <w:r w:rsidRPr="009A010C">
        <w:rPr>
          <w:lang w:val="en-CA"/>
        </w:rPr>
        <w:t xml:space="preserve"> Consumer Electric (Viet Nam) Co. Ltd. would not be eligible for further funding from the Multilateral Fund; and </w:t>
      </w:r>
    </w:p>
    <w:p w:rsidR="00B107FB" w:rsidRPr="009A010C" w:rsidRDefault="00B107FB" w:rsidP="00B107FB">
      <w:pPr>
        <w:pStyle w:val="Heading2"/>
        <w:rPr>
          <w:lang w:val="en-CA"/>
        </w:rPr>
      </w:pPr>
      <w:r w:rsidRPr="009A010C">
        <w:rPr>
          <w:lang w:val="en-CA"/>
        </w:rPr>
        <w:t xml:space="preserve">To note that the Agreement between the Government of Viet Nam and the Executive Committee for stage II of the HPMP would be amended to reflect the funding return indicated in </w:t>
      </w:r>
      <w:r w:rsidRPr="00F4406E">
        <w:rPr>
          <w:lang w:val="en-CA"/>
        </w:rPr>
        <w:t>sub</w:t>
      </w:r>
      <w:r w:rsidRPr="00F4406E">
        <w:rPr>
          <w:lang w:val="en-CA"/>
        </w:rPr>
        <w:noBreakHyphen/>
        <w:t>paragraph (b)</w:t>
      </w:r>
      <w:r w:rsidRPr="009A010C">
        <w:rPr>
          <w:lang w:val="en-CA"/>
        </w:rPr>
        <w:t xml:space="preserve"> when the second tranche of stage II of the HPMP was submitted.</w:t>
      </w:r>
    </w:p>
    <w:p w:rsidR="000A3FB8" w:rsidRPr="000A26BE" w:rsidRDefault="000A3FB8" w:rsidP="00A75012">
      <w:pPr>
        <w:keepNext/>
        <w:spacing w:after="240"/>
        <w:ind w:hanging="29"/>
        <w:rPr>
          <w:u w:val="single"/>
          <w:lang w:val="en-CA"/>
        </w:rPr>
      </w:pPr>
      <w:r w:rsidRPr="009A010C">
        <w:rPr>
          <w:u w:val="single"/>
          <w:lang w:val="en-CA"/>
        </w:rPr>
        <w:lastRenderedPageBreak/>
        <w:t>Stage I of HPMPs for Brazil, China</w:t>
      </w:r>
      <w:r w:rsidR="00412BEC" w:rsidRPr="000A26BE">
        <w:rPr>
          <w:u w:val="single"/>
          <w:lang w:val="en-CA"/>
        </w:rPr>
        <w:t>, India</w:t>
      </w:r>
      <w:r w:rsidRPr="000A26BE">
        <w:rPr>
          <w:u w:val="single"/>
          <w:lang w:val="en-CA"/>
        </w:rPr>
        <w:t xml:space="preserve"> and</w:t>
      </w:r>
      <w:r w:rsidR="00412BEC" w:rsidRPr="000A26BE">
        <w:rPr>
          <w:u w:val="single"/>
          <w:lang w:val="en-CA"/>
        </w:rPr>
        <w:t xml:space="preserve"> Thailand</w:t>
      </w:r>
      <w:r w:rsidRPr="000A26BE">
        <w:rPr>
          <w:u w:val="single"/>
          <w:lang w:val="en-CA"/>
        </w:rPr>
        <w:t xml:space="preserve"> (annual progress reports)</w:t>
      </w:r>
    </w:p>
    <w:p w:rsidR="000A3FB8" w:rsidRPr="00F4406E" w:rsidRDefault="000A3FB8" w:rsidP="00A75012">
      <w:pPr>
        <w:pStyle w:val="Heading1"/>
        <w:keepNext/>
        <w:rPr>
          <w:lang w:val="en-CA"/>
        </w:rPr>
      </w:pPr>
      <w:r w:rsidRPr="000A26BE">
        <w:rPr>
          <w:lang w:val="en-CA"/>
        </w:rPr>
        <w:t>On behalf of the Governments of Brazil, China</w:t>
      </w:r>
      <w:r w:rsidR="00412BEC" w:rsidRPr="000A26BE">
        <w:rPr>
          <w:lang w:val="en-CA"/>
        </w:rPr>
        <w:t>, India</w:t>
      </w:r>
      <w:r w:rsidRPr="000A26BE">
        <w:rPr>
          <w:lang w:val="en-CA"/>
        </w:rPr>
        <w:t xml:space="preserve"> and</w:t>
      </w:r>
      <w:r w:rsidR="00412BEC" w:rsidRPr="000A26BE">
        <w:rPr>
          <w:lang w:val="en-CA"/>
        </w:rPr>
        <w:t xml:space="preserve"> Thailand</w:t>
      </w:r>
      <w:r w:rsidRPr="000A26BE">
        <w:rPr>
          <w:lang w:val="en-CA"/>
        </w:rPr>
        <w:t>, the</w:t>
      </w:r>
      <w:r w:rsidRPr="009A010C">
        <w:rPr>
          <w:lang w:val="en-CA"/>
        </w:rPr>
        <w:t xml:space="preserve"> relevant lead implementing agency, has submitted to the 82</w:t>
      </w:r>
      <w:r w:rsidRPr="009A010C">
        <w:rPr>
          <w:vertAlign w:val="superscript"/>
          <w:lang w:val="en-CA"/>
        </w:rPr>
        <w:t>nd</w:t>
      </w:r>
      <w:r w:rsidRPr="009A010C">
        <w:rPr>
          <w:lang w:val="en-CA"/>
        </w:rPr>
        <w:t xml:space="preserve"> meeting the annual progress report on the implementation of the work programme of stage of I the HPMP. The relevant reports and the Secretariat’s comments and recommendations can be found in the documents listed </w:t>
      </w:r>
      <w:r w:rsidRPr="00F4406E">
        <w:rPr>
          <w:lang w:val="en-CA"/>
        </w:rPr>
        <w:t xml:space="preserve">in Table </w:t>
      </w:r>
      <w:r w:rsidR="002464DD" w:rsidRPr="00F4406E">
        <w:rPr>
          <w:lang w:val="en-CA"/>
        </w:rPr>
        <w:t>28</w:t>
      </w:r>
      <w:r w:rsidRPr="00F4406E">
        <w:rPr>
          <w:lang w:val="en-CA"/>
        </w:rPr>
        <w:t xml:space="preserve">. </w:t>
      </w:r>
    </w:p>
    <w:p w:rsidR="000A3FB8" w:rsidRPr="00F4406E" w:rsidRDefault="000A3FB8" w:rsidP="00AE24AB">
      <w:pPr>
        <w:pStyle w:val="Heading1"/>
        <w:keepNext/>
        <w:numPr>
          <w:ilvl w:val="0"/>
          <w:numId w:val="0"/>
        </w:numPr>
        <w:spacing w:after="0"/>
        <w:rPr>
          <w:b/>
          <w:lang w:val="en-CA"/>
        </w:rPr>
      </w:pPr>
      <w:r w:rsidRPr="00F4406E">
        <w:rPr>
          <w:b/>
          <w:lang w:val="en-CA"/>
        </w:rPr>
        <w:t xml:space="preserve">Table </w:t>
      </w:r>
      <w:r w:rsidR="002464DD" w:rsidRPr="00F4406E">
        <w:rPr>
          <w:b/>
          <w:lang w:val="en-CA"/>
        </w:rPr>
        <w:t>28</w:t>
      </w:r>
      <w:r w:rsidRPr="00F4406E">
        <w:rPr>
          <w:b/>
          <w:lang w:val="en-CA"/>
        </w:rPr>
        <w:t xml:space="preserve">: Annual progress reports and verification reports </w:t>
      </w:r>
    </w:p>
    <w:tbl>
      <w:tblPr>
        <w:tblW w:w="5448" w:type="pct"/>
        <w:tblLayout w:type="fixed"/>
        <w:tblLook w:val="04A0" w:firstRow="1" w:lastRow="0" w:firstColumn="1" w:lastColumn="0" w:noHBand="0" w:noVBand="1"/>
      </w:tblPr>
      <w:tblGrid>
        <w:gridCol w:w="1217"/>
        <w:gridCol w:w="3742"/>
        <w:gridCol w:w="1456"/>
        <w:gridCol w:w="995"/>
        <w:gridCol w:w="1134"/>
        <w:gridCol w:w="1840"/>
      </w:tblGrid>
      <w:tr w:rsidR="000A3FB8" w:rsidRPr="009A010C" w:rsidTr="002609D7">
        <w:trPr>
          <w:trHeight w:val="288"/>
          <w:tblHeader/>
        </w:trPr>
        <w:tc>
          <w:tcPr>
            <w:tcW w:w="586" w:type="pct"/>
            <w:tcBorders>
              <w:top w:val="single" w:sz="4" w:space="0" w:color="auto"/>
              <w:left w:val="single" w:sz="4" w:space="0" w:color="auto"/>
              <w:bottom w:val="single" w:sz="4" w:space="0" w:color="auto"/>
              <w:right w:val="single" w:sz="4" w:space="0" w:color="auto"/>
            </w:tcBorders>
            <w:shd w:val="clear" w:color="auto" w:fill="auto"/>
            <w:noWrap/>
            <w:hideMark/>
          </w:tcPr>
          <w:p w:rsidR="000A3FB8" w:rsidRPr="00F4406E" w:rsidRDefault="000A3FB8" w:rsidP="00AE24AB">
            <w:pPr>
              <w:keepNext/>
              <w:jc w:val="center"/>
              <w:rPr>
                <w:b/>
                <w:sz w:val="20"/>
                <w:szCs w:val="20"/>
                <w:lang w:val="en-CA"/>
              </w:rPr>
            </w:pPr>
            <w:r w:rsidRPr="00F4406E">
              <w:rPr>
                <w:b/>
                <w:sz w:val="20"/>
                <w:szCs w:val="20"/>
                <w:lang w:val="en-CA"/>
              </w:rPr>
              <w:t>Country</w:t>
            </w:r>
          </w:p>
        </w:tc>
        <w:tc>
          <w:tcPr>
            <w:tcW w:w="1802" w:type="pct"/>
            <w:tcBorders>
              <w:top w:val="single" w:sz="4" w:space="0" w:color="auto"/>
              <w:left w:val="nil"/>
              <w:bottom w:val="single" w:sz="4" w:space="0" w:color="auto"/>
              <w:right w:val="single" w:sz="4" w:space="0" w:color="auto"/>
            </w:tcBorders>
            <w:shd w:val="clear" w:color="auto" w:fill="auto"/>
            <w:noWrap/>
            <w:hideMark/>
          </w:tcPr>
          <w:p w:rsidR="000A3FB8" w:rsidRPr="00F4406E" w:rsidRDefault="000A3FB8" w:rsidP="00AE24AB">
            <w:pPr>
              <w:keepNext/>
              <w:jc w:val="center"/>
              <w:rPr>
                <w:b/>
                <w:sz w:val="20"/>
                <w:szCs w:val="20"/>
                <w:lang w:val="en-CA"/>
              </w:rPr>
            </w:pPr>
            <w:r w:rsidRPr="00F4406E">
              <w:rPr>
                <w:b/>
                <w:sz w:val="20"/>
                <w:szCs w:val="20"/>
                <w:lang w:val="en-CA"/>
              </w:rPr>
              <w:t>Project title</w:t>
            </w:r>
          </w:p>
        </w:tc>
        <w:tc>
          <w:tcPr>
            <w:tcW w:w="701" w:type="pct"/>
            <w:tcBorders>
              <w:top w:val="single" w:sz="4" w:space="0" w:color="auto"/>
              <w:left w:val="nil"/>
              <w:bottom w:val="single" w:sz="4" w:space="0" w:color="auto"/>
              <w:right w:val="single" w:sz="4" w:space="0" w:color="auto"/>
            </w:tcBorders>
            <w:shd w:val="clear" w:color="auto" w:fill="auto"/>
            <w:noWrap/>
            <w:hideMark/>
          </w:tcPr>
          <w:p w:rsidR="000A3FB8" w:rsidRPr="00F4406E" w:rsidRDefault="000A3FB8" w:rsidP="00AE24AB">
            <w:pPr>
              <w:keepNext/>
              <w:jc w:val="center"/>
              <w:rPr>
                <w:b/>
                <w:sz w:val="20"/>
                <w:szCs w:val="20"/>
                <w:lang w:val="en-CA"/>
              </w:rPr>
            </w:pPr>
            <w:r w:rsidRPr="00F4406E">
              <w:rPr>
                <w:b/>
                <w:sz w:val="20"/>
                <w:szCs w:val="20"/>
                <w:lang w:val="en-CA"/>
              </w:rPr>
              <w:t>Agency</w:t>
            </w:r>
          </w:p>
        </w:tc>
        <w:tc>
          <w:tcPr>
            <w:tcW w:w="479" w:type="pct"/>
            <w:tcBorders>
              <w:top w:val="single" w:sz="4" w:space="0" w:color="auto"/>
              <w:left w:val="nil"/>
              <w:bottom w:val="single" w:sz="4" w:space="0" w:color="auto"/>
              <w:right w:val="single" w:sz="4" w:space="0" w:color="auto"/>
            </w:tcBorders>
          </w:tcPr>
          <w:p w:rsidR="000A3FB8" w:rsidRPr="00F4406E" w:rsidRDefault="000A3FB8" w:rsidP="00AE24AB">
            <w:pPr>
              <w:keepNext/>
              <w:jc w:val="center"/>
              <w:rPr>
                <w:b/>
                <w:sz w:val="20"/>
                <w:szCs w:val="20"/>
                <w:lang w:val="en-CA"/>
              </w:rPr>
            </w:pPr>
            <w:r w:rsidRPr="00F4406E">
              <w:rPr>
                <w:b/>
                <w:sz w:val="20"/>
                <w:szCs w:val="20"/>
                <w:lang w:val="en-CA"/>
              </w:rPr>
              <w:t>Decision</w:t>
            </w:r>
          </w:p>
        </w:tc>
        <w:tc>
          <w:tcPr>
            <w:tcW w:w="546" w:type="pct"/>
            <w:tcBorders>
              <w:top w:val="single" w:sz="4" w:space="0" w:color="auto"/>
              <w:left w:val="single" w:sz="4" w:space="0" w:color="auto"/>
              <w:bottom w:val="single" w:sz="4" w:space="0" w:color="auto"/>
              <w:right w:val="single" w:sz="4" w:space="0" w:color="auto"/>
            </w:tcBorders>
            <w:shd w:val="clear" w:color="auto" w:fill="auto"/>
            <w:noWrap/>
            <w:hideMark/>
          </w:tcPr>
          <w:p w:rsidR="000A3FB8" w:rsidRPr="00F4406E" w:rsidRDefault="000A3FB8" w:rsidP="00AE24AB">
            <w:pPr>
              <w:keepNext/>
              <w:jc w:val="center"/>
              <w:rPr>
                <w:b/>
                <w:sz w:val="20"/>
                <w:szCs w:val="20"/>
                <w:lang w:val="en-CA"/>
              </w:rPr>
            </w:pPr>
            <w:r w:rsidRPr="00F4406E">
              <w:rPr>
                <w:b/>
                <w:sz w:val="20"/>
                <w:szCs w:val="20"/>
                <w:lang w:val="en-CA"/>
              </w:rPr>
              <w:t>Document</w:t>
            </w:r>
          </w:p>
          <w:p w:rsidR="000A3FB8" w:rsidRPr="00F4406E" w:rsidRDefault="000A3FB8" w:rsidP="00AE24AB">
            <w:pPr>
              <w:keepNext/>
              <w:jc w:val="center"/>
              <w:rPr>
                <w:b/>
                <w:sz w:val="20"/>
                <w:szCs w:val="20"/>
                <w:lang w:val="en-CA"/>
              </w:rPr>
            </w:pPr>
            <w:r w:rsidRPr="00F4406E">
              <w:rPr>
                <w:b/>
                <w:sz w:val="20"/>
                <w:szCs w:val="20"/>
                <w:lang w:val="en-CA"/>
              </w:rPr>
              <w:t>number</w:t>
            </w:r>
          </w:p>
        </w:tc>
        <w:tc>
          <w:tcPr>
            <w:tcW w:w="886" w:type="pct"/>
            <w:tcBorders>
              <w:top w:val="single" w:sz="4" w:space="0" w:color="auto"/>
              <w:left w:val="nil"/>
              <w:bottom w:val="single" w:sz="4" w:space="0" w:color="auto"/>
              <w:right w:val="single" w:sz="4" w:space="0" w:color="auto"/>
            </w:tcBorders>
            <w:shd w:val="clear" w:color="auto" w:fill="auto"/>
            <w:noWrap/>
            <w:hideMark/>
          </w:tcPr>
          <w:p w:rsidR="000A3FB8" w:rsidRPr="009A010C" w:rsidRDefault="00F86690" w:rsidP="00AE24AB">
            <w:pPr>
              <w:keepNext/>
              <w:jc w:val="center"/>
              <w:rPr>
                <w:b/>
                <w:sz w:val="20"/>
                <w:szCs w:val="20"/>
                <w:lang w:val="en-CA"/>
              </w:rPr>
            </w:pPr>
            <w:r w:rsidRPr="00F4406E">
              <w:rPr>
                <w:b/>
                <w:sz w:val="20"/>
                <w:szCs w:val="20"/>
                <w:lang w:val="en-CA"/>
              </w:rPr>
              <w:t>Recommen</w:t>
            </w:r>
            <w:r w:rsidR="000A3FB8" w:rsidRPr="00F4406E">
              <w:rPr>
                <w:b/>
                <w:sz w:val="20"/>
                <w:szCs w:val="20"/>
                <w:lang w:val="en-CA"/>
              </w:rPr>
              <w:t>dation</w:t>
            </w:r>
          </w:p>
        </w:tc>
      </w:tr>
      <w:tr w:rsidR="000A3FB8" w:rsidRPr="009A010C" w:rsidTr="002609D7">
        <w:trPr>
          <w:trHeight w:val="288"/>
        </w:trPr>
        <w:tc>
          <w:tcPr>
            <w:tcW w:w="586" w:type="pct"/>
            <w:tcBorders>
              <w:top w:val="nil"/>
              <w:left w:val="single" w:sz="4" w:space="0" w:color="auto"/>
              <w:bottom w:val="single" w:sz="4" w:space="0" w:color="auto"/>
              <w:right w:val="single" w:sz="4" w:space="0" w:color="auto"/>
            </w:tcBorders>
            <w:shd w:val="clear" w:color="auto" w:fill="auto"/>
            <w:vAlign w:val="bottom"/>
          </w:tcPr>
          <w:p w:rsidR="000A3FB8" w:rsidRPr="009A010C" w:rsidRDefault="000A3FB8" w:rsidP="00AE24AB">
            <w:pPr>
              <w:keepNext/>
              <w:jc w:val="left"/>
              <w:rPr>
                <w:sz w:val="20"/>
                <w:szCs w:val="20"/>
                <w:lang w:val="en-CA"/>
              </w:rPr>
            </w:pPr>
            <w:r w:rsidRPr="009A010C">
              <w:rPr>
                <w:sz w:val="20"/>
                <w:szCs w:val="20"/>
                <w:lang w:val="en-CA"/>
              </w:rPr>
              <w:t>Brazil</w:t>
            </w:r>
          </w:p>
        </w:tc>
        <w:tc>
          <w:tcPr>
            <w:tcW w:w="1802" w:type="pct"/>
            <w:tcBorders>
              <w:top w:val="nil"/>
              <w:left w:val="nil"/>
              <w:bottom w:val="single" w:sz="4" w:space="0" w:color="auto"/>
              <w:right w:val="single" w:sz="4" w:space="0" w:color="auto"/>
            </w:tcBorders>
            <w:shd w:val="clear" w:color="auto" w:fill="auto"/>
            <w:vAlign w:val="bottom"/>
          </w:tcPr>
          <w:p w:rsidR="000A3FB8" w:rsidRPr="009A010C" w:rsidRDefault="000A3FB8" w:rsidP="00AE24AB">
            <w:pPr>
              <w:keepNext/>
              <w:jc w:val="left"/>
              <w:rPr>
                <w:sz w:val="20"/>
                <w:szCs w:val="20"/>
                <w:lang w:val="en-CA"/>
              </w:rPr>
            </w:pPr>
            <w:r w:rsidRPr="009A010C">
              <w:rPr>
                <w:sz w:val="20"/>
                <w:szCs w:val="20"/>
                <w:lang w:val="en-CA"/>
              </w:rPr>
              <w:t>HCFC phase-out management plan (stage</w:t>
            </w:r>
            <w:r w:rsidR="00790C4B">
              <w:rPr>
                <w:sz w:val="20"/>
                <w:szCs w:val="20"/>
                <w:lang w:val="en-CA"/>
              </w:rPr>
              <w:t> </w:t>
            </w:r>
            <w:r w:rsidRPr="009A010C">
              <w:rPr>
                <w:sz w:val="20"/>
                <w:szCs w:val="20"/>
                <w:lang w:val="en-CA"/>
              </w:rPr>
              <w:t>I) (2017 progress report)</w:t>
            </w:r>
          </w:p>
        </w:tc>
        <w:tc>
          <w:tcPr>
            <w:tcW w:w="701" w:type="pct"/>
            <w:tcBorders>
              <w:top w:val="nil"/>
              <w:left w:val="nil"/>
              <w:bottom w:val="single" w:sz="4" w:space="0" w:color="auto"/>
              <w:right w:val="single" w:sz="4" w:space="0" w:color="auto"/>
            </w:tcBorders>
            <w:shd w:val="clear" w:color="auto" w:fill="auto"/>
            <w:vAlign w:val="bottom"/>
          </w:tcPr>
          <w:p w:rsidR="000A3FB8" w:rsidRPr="009A010C" w:rsidRDefault="000A3FB8" w:rsidP="00AE24AB">
            <w:pPr>
              <w:keepNext/>
              <w:jc w:val="left"/>
              <w:rPr>
                <w:sz w:val="20"/>
                <w:szCs w:val="20"/>
                <w:lang w:val="en-CA"/>
              </w:rPr>
            </w:pPr>
            <w:r w:rsidRPr="009A010C">
              <w:rPr>
                <w:sz w:val="20"/>
                <w:szCs w:val="20"/>
                <w:lang w:val="en-CA"/>
              </w:rPr>
              <w:t>UNDP</w:t>
            </w:r>
          </w:p>
        </w:tc>
        <w:tc>
          <w:tcPr>
            <w:tcW w:w="479" w:type="pct"/>
            <w:tcBorders>
              <w:top w:val="single" w:sz="4" w:space="0" w:color="auto"/>
              <w:left w:val="nil"/>
              <w:bottom w:val="single" w:sz="4" w:space="0" w:color="auto"/>
              <w:right w:val="single" w:sz="4" w:space="0" w:color="auto"/>
            </w:tcBorders>
            <w:vAlign w:val="bottom"/>
          </w:tcPr>
          <w:p w:rsidR="000A3FB8" w:rsidRPr="009A010C" w:rsidRDefault="000A3FB8" w:rsidP="00AE24AB">
            <w:pPr>
              <w:keepNext/>
              <w:jc w:val="center"/>
              <w:rPr>
                <w:sz w:val="20"/>
                <w:szCs w:val="20"/>
                <w:lang w:val="en-CA"/>
              </w:rPr>
            </w:pPr>
            <w:r w:rsidRPr="009A010C">
              <w:rPr>
                <w:sz w:val="20"/>
                <w:szCs w:val="20"/>
                <w:lang w:val="en-CA"/>
              </w:rPr>
              <w:t>75/53(b)</w:t>
            </w:r>
          </w:p>
        </w:tc>
        <w:tc>
          <w:tcPr>
            <w:tcW w:w="546" w:type="pct"/>
            <w:tcBorders>
              <w:top w:val="nil"/>
              <w:left w:val="single" w:sz="4" w:space="0" w:color="auto"/>
              <w:bottom w:val="single" w:sz="4" w:space="0" w:color="auto"/>
              <w:right w:val="single" w:sz="4" w:space="0" w:color="auto"/>
            </w:tcBorders>
            <w:shd w:val="clear" w:color="auto" w:fill="auto"/>
            <w:noWrap/>
            <w:vAlign w:val="bottom"/>
          </w:tcPr>
          <w:p w:rsidR="000A3FB8" w:rsidRPr="009A010C" w:rsidRDefault="000A3FB8" w:rsidP="00AE24AB">
            <w:pPr>
              <w:keepNext/>
              <w:jc w:val="center"/>
              <w:rPr>
                <w:sz w:val="20"/>
                <w:szCs w:val="20"/>
                <w:lang w:val="en-CA"/>
              </w:rPr>
            </w:pPr>
            <w:r w:rsidRPr="009A010C">
              <w:rPr>
                <w:sz w:val="20"/>
                <w:szCs w:val="20"/>
                <w:lang w:val="en-CA"/>
              </w:rPr>
              <w:t>82/41</w:t>
            </w:r>
          </w:p>
        </w:tc>
        <w:tc>
          <w:tcPr>
            <w:tcW w:w="886" w:type="pct"/>
            <w:tcBorders>
              <w:top w:val="nil"/>
              <w:left w:val="nil"/>
              <w:bottom w:val="single" w:sz="4" w:space="0" w:color="auto"/>
              <w:right w:val="single" w:sz="4" w:space="0" w:color="auto"/>
            </w:tcBorders>
            <w:shd w:val="clear" w:color="auto" w:fill="auto"/>
            <w:noWrap/>
            <w:vAlign w:val="bottom"/>
          </w:tcPr>
          <w:p w:rsidR="000A3FB8" w:rsidRPr="009A010C" w:rsidRDefault="002609D7" w:rsidP="00AE24AB">
            <w:pPr>
              <w:keepNext/>
              <w:jc w:val="center"/>
              <w:rPr>
                <w:sz w:val="20"/>
                <w:szCs w:val="20"/>
                <w:lang w:val="en-CA"/>
              </w:rPr>
            </w:pPr>
            <w:r w:rsidRPr="009A010C">
              <w:rPr>
                <w:sz w:val="20"/>
                <w:szCs w:val="20"/>
                <w:lang w:val="en-CA"/>
              </w:rPr>
              <w:t>Paragraph 19</w:t>
            </w:r>
          </w:p>
        </w:tc>
      </w:tr>
      <w:tr w:rsidR="000A3FB8" w:rsidRPr="009A010C" w:rsidTr="002609D7">
        <w:trPr>
          <w:trHeight w:val="288"/>
        </w:trPr>
        <w:tc>
          <w:tcPr>
            <w:tcW w:w="586" w:type="pct"/>
            <w:tcBorders>
              <w:top w:val="nil"/>
              <w:left w:val="single" w:sz="4" w:space="0" w:color="auto"/>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China</w:t>
            </w:r>
          </w:p>
        </w:tc>
        <w:tc>
          <w:tcPr>
            <w:tcW w:w="1802" w:type="pct"/>
            <w:tcBorders>
              <w:top w:val="nil"/>
              <w:left w:val="nil"/>
              <w:bottom w:val="single" w:sz="4" w:space="0" w:color="auto"/>
              <w:right w:val="single" w:sz="4" w:space="0" w:color="auto"/>
            </w:tcBorders>
            <w:shd w:val="clear" w:color="auto" w:fill="auto"/>
            <w:vAlign w:val="bottom"/>
          </w:tcPr>
          <w:p w:rsidR="000A3FB8" w:rsidRPr="009A010C" w:rsidRDefault="000A3FB8" w:rsidP="00790C4B">
            <w:pPr>
              <w:jc w:val="left"/>
              <w:rPr>
                <w:sz w:val="20"/>
                <w:szCs w:val="20"/>
                <w:lang w:val="en-CA"/>
              </w:rPr>
            </w:pPr>
            <w:r w:rsidRPr="009A010C">
              <w:rPr>
                <w:sz w:val="20"/>
                <w:szCs w:val="20"/>
                <w:lang w:val="en-CA"/>
              </w:rPr>
              <w:t>HCFC phase-out management plan (stage</w:t>
            </w:r>
            <w:r w:rsidR="00790C4B">
              <w:rPr>
                <w:sz w:val="20"/>
                <w:szCs w:val="20"/>
                <w:lang w:val="en-CA"/>
              </w:rPr>
              <w:t> </w:t>
            </w:r>
            <w:r w:rsidRPr="009A010C">
              <w:rPr>
                <w:sz w:val="20"/>
                <w:szCs w:val="20"/>
                <w:lang w:val="en-CA"/>
              </w:rPr>
              <w:t xml:space="preserve">I) (2017 progress report) </w:t>
            </w:r>
            <w:r w:rsidRPr="009A010C">
              <w:rPr>
                <w:sz w:val="20"/>
                <w:szCs w:val="20"/>
                <w:lang w:val="en-US"/>
              </w:rPr>
              <w:t>(extruded polystyrene foam sector plan)</w:t>
            </w:r>
          </w:p>
        </w:tc>
        <w:tc>
          <w:tcPr>
            <w:tcW w:w="701" w:type="pct"/>
            <w:tcBorders>
              <w:top w:val="nil"/>
              <w:left w:val="nil"/>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UNIDO</w:t>
            </w:r>
          </w:p>
        </w:tc>
        <w:tc>
          <w:tcPr>
            <w:tcW w:w="479" w:type="pct"/>
            <w:tcBorders>
              <w:top w:val="single" w:sz="4" w:space="0" w:color="auto"/>
              <w:left w:val="nil"/>
              <w:bottom w:val="single" w:sz="4" w:space="0" w:color="auto"/>
              <w:right w:val="single" w:sz="4" w:space="0" w:color="auto"/>
            </w:tcBorders>
            <w:vAlign w:val="bottom"/>
          </w:tcPr>
          <w:p w:rsidR="000A3FB8" w:rsidRPr="009A010C" w:rsidRDefault="000A3FB8" w:rsidP="000354F9">
            <w:pPr>
              <w:jc w:val="center"/>
              <w:rPr>
                <w:sz w:val="20"/>
                <w:szCs w:val="20"/>
                <w:lang w:val="en-CA"/>
              </w:rPr>
            </w:pPr>
            <w:r w:rsidRPr="009A010C">
              <w:rPr>
                <w:sz w:val="20"/>
                <w:szCs w:val="20"/>
                <w:lang w:val="en-CA"/>
              </w:rPr>
              <w:t>75/54(b)</w:t>
            </w:r>
          </w:p>
        </w:tc>
        <w:tc>
          <w:tcPr>
            <w:tcW w:w="546" w:type="pct"/>
            <w:tcBorders>
              <w:top w:val="nil"/>
              <w:left w:val="single" w:sz="4" w:space="0" w:color="auto"/>
              <w:bottom w:val="single" w:sz="4" w:space="0" w:color="auto"/>
              <w:right w:val="single" w:sz="4" w:space="0" w:color="auto"/>
            </w:tcBorders>
            <w:shd w:val="clear" w:color="auto" w:fill="auto"/>
            <w:noWrap/>
            <w:vAlign w:val="bottom"/>
          </w:tcPr>
          <w:p w:rsidR="000A3FB8" w:rsidRPr="009A010C" w:rsidRDefault="000A3FB8" w:rsidP="000354F9">
            <w:pPr>
              <w:jc w:val="center"/>
              <w:rPr>
                <w:sz w:val="20"/>
                <w:szCs w:val="20"/>
                <w:lang w:val="en-CA"/>
              </w:rPr>
            </w:pPr>
            <w:r w:rsidRPr="009A010C">
              <w:rPr>
                <w:sz w:val="20"/>
                <w:szCs w:val="20"/>
                <w:lang w:val="en-CA"/>
              </w:rPr>
              <w:t>82/45</w:t>
            </w:r>
          </w:p>
        </w:tc>
        <w:tc>
          <w:tcPr>
            <w:tcW w:w="886" w:type="pct"/>
            <w:tcBorders>
              <w:top w:val="nil"/>
              <w:left w:val="nil"/>
              <w:bottom w:val="single" w:sz="4" w:space="0" w:color="auto"/>
              <w:right w:val="single" w:sz="4" w:space="0" w:color="auto"/>
            </w:tcBorders>
            <w:shd w:val="clear" w:color="auto" w:fill="auto"/>
            <w:noWrap/>
            <w:vAlign w:val="bottom"/>
          </w:tcPr>
          <w:p w:rsidR="000A3FB8" w:rsidRPr="009A010C" w:rsidRDefault="002609D7" w:rsidP="000354F9">
            <w:pPr>
              <w:jc w:val="center"/>
              <w:rPr>
                <w:sz w:val="20"/>
                <w:szCs w:val="20"/>
                <w:lang w:val="en-CA"/>
              </w:rPr>
            </w:pPr>
            <w:r w:rsidRPr="009A010C">
              <w:rPr>
                <w:sz w:val="20"/>
                <w:szCs w:val="20"/>
                <w:lang w:val="en-CA"/>
              </w:rPr>
              <w:t>Paragraph 82</w:t>
            </w:r>
          </w:p>
        </w:tc>
      </w:tr>
      <w:tr w:rsidR="000A3FB8" w:rsidRPr="009A010C" w:rsidTr="002609D7">
        <w:trPr>
          <w:trHeight w:val="288"/>
        </w:trPr>
        <w:tc>
          <w:tcPr>
            <w:tcW w:w="586" w:type="pct"/>
            <w:tcBorders>
              <w:top w:val="nil"/>
              <w:left w:val="single" w:sz="4" w:space="0" w:color="auto"/>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China</w:t>
            </w:r>
          </w:p>
        </w:tc>
        <w:tc>
          <w:tcPr>
            <w:tcW w:w="1802" w:type="pct"/>
            <w:tcBorders>
              <w:top w:val="nil"/>
              <w:left w:val="nil"/>
              <w:bottom w:val="single" w:sz="4" w:space="0" w:color="auto"/>
              <w:right w:val="single" w:sz="4" w:space="0" w:color="auto"/>
            </w:tcBorders>
            <w:shd w:val="clear" w:color="auto" w:fill="auto"/>
            <w:vAlign w:val="bottom"/>
          </w:tcPr>
          <w:p w:rsidR="000A3FB8" w:rsidRPr="009A010C" w:rsidRDefault="000A3FB8" w:rsidP="00790C4B">
            <w:pPr>
              <w:jc w:val="left"/>
              <w:rPr>
                <w:sz w:val="20"/>
                <w:szCs w:val="20"/>
                <w:lang w:val="en-CA"/>
              </w:rPr>
            </w:pPr>
            <w:r w:rsidRPr="009A010C">
              <w:rPr>
                <w:sz w:val="20"/>
                <w:szCs w:val="20"/>
                <w:lang w:val="en-CA"/>
              </w:rPr>
              <w:t>HCFC phase-out management plan (stage</w:t>
            </w:r>
            <w:r w:rsidR="00790C4B">
              <w:rPr>
                <w:sz w:val="20"/>
                <w:szCs w:val="20"/>
                <w:lang w:val="en-CA"/>
              </w:rPr>
              <w:t> </w:t>
            </w:r>
            <w:r w:rsidRPr="009A010C">
              <w:rPr>
                <w:sz w:val="20"/>
                <w:szCs w:val="20"/>
                <w:lang w:val="en-CA"/>
              </w:rPr>
              <w:t>I) (2017 progress report) (polyurethane rigid foam sector plan)</w:t>
            </w:r>
          </w:p>
        </w:tc>
        <w:tc>
          <w:tcPr>
            <w:tcW w:w="701" w:type="pct"/>
            <w:tcBorders>
              <w:top w:val="nil"/>
              <w:left w:val="nil"/>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IBRD</w:t>
            </w:r>
          </w:p>
        </w:tc>
        <w:tc>
          <w:tcPr>
            <w:tcW w:w="479" w:type="pct"/>
            <w:tcBorders>
              <w:top w:val="single" w:sz="4" w:space="0" w:color="auto"/>
              <w:left w:val="nil"/>
              <w:bottom w:val="single" w:sz="4" w:space="0" w:color="auto"/>
              <w:right w:val="single" w:sz="4" w:space="0" w:color="auto"/>
            </w:tcBorders>
            <w:vAlign w:val="bottom"/>
          </w:tcPr>
          <w:p w:rsidR="000A3FB8" w:rsidRPr="009A010C" w:rsidRDefault="000A3FB8" w:rsidP="000354F9">
            <w:pPr>
              <w:jc w:val="center"/>
              <w:rPr>
                <w:sz w:val="20"/>
                <w:szCs w:val="20"/>
                <w:lang w:val="en-CA"/>
              </w:rPr>
            </w:pPr>
            <w:r w:rsidRPr="009A010C">
              <w:rPr>
                <w:sz w:val="20"/>
                <w:szCs w:val="20"/>
                <w:lang w:val="en-CA"/>
              </w:rPr>
              <w:t>75/55(b)</w:t>
            </w:r>
          </w:p>
        </w:tc>
        <w:tc>
          <w:tcPr>
            <w:tcW w:w="546" w:type="pct"/>
            <w:tcBorders>
              <w:top w:val="nil"/>
              <w:left w:val="single" w:sz="4" w:space="0" w:color="auto"/>
              <w:bottom w:val="single" w:sz="4" w:space="0" w:color="auto"/>
              <w:right w:val="single" w:sz="4" w:space="0" w:color="auto"/>
            </w:tcBorders>
            <w:shd w:val="clear" w:color="auto" w:fill="auto"/>
            <w:noWrap/>
            <w:vAlign w:val="bottom"/>
          </w:tcPr>
          <w:p w:rsidR="000A3FB8" w:rsidRPr="009A010C" w:rsidRDefault="000A3FB8" w:rsidP="000354F9">
            <w:pPr>
              <w:jc w:val="center"/>
            </w:pPr>
            <w:r w:rsidRPr="009A010C">
              <w:rPr>
                <w:sz w:val="20"/>
                <w:szCs w:val="20"/>
                <w:lang w:val="en-CA"/>
              </w:rPr>
              <w:t>82/45</w:t>
            </w:r>
          </w:p>
        </w:tc>
        <w:tc>
          <w:tcPr>
            <w:tcW w:w="886" w:type="pct"/>
            <w:tcBorders>
              <w:top w:val="nil"/>
              <w:left w:val="nil"/>
              <w:bottom w:val="single" w:sz="4" w:space="0" w:color="auto"/>
              <w:right w:val="single" w:sz="4" w:space="0" w:color="auto"/>
            </w:tcBorders>
            <w:shd w:val="clear" w:color="auto" w:fill="auto"/>
            <w:noWrap/>
            <w:vAlign w:val="bottom"/>
          </w:tcPr>
          <w:p w:rsidR="000A3FB8" w:rsidRPr="009A010C" w:rsidRDefault="002609D7" w:rsidP="000354F9">
            <w:pPr>
              <w:jc w:val="center"/>
              <w:rPr>
                <w:sz w:val="20"/>
                <w:szCs w:val="20"/>
                <w:lang w:val="en-CA"/>
              </w:rPr>
            </w:pPr>
            <w:r w:rsidRPr="009A010C">
              <w:rPr>
                <w:sz w:val="20"/>
                <w:szCs w:val="20"/>
                <w:lang w:val="en-CA"/>
              </w:rPr>
              <w:t>Paragraph 101</w:t>
            </w:r>
          </w:p>
        </w:tc>
      </w:tr>
      <w:tr w:rsidR="000A3FB8" w:rsidRPr="009A010C" w:rsidTr="002609D7">
        <w:trPr>
          <w:trHeight w:val="288"/>
        </w:trPr>
        <w:tc>
          <w:tcPr>
            <w:tcW w:w="586" w:type="pct"/>
            <w:tcBorders>
              <w:top w:val="nil"/>
              <w:left w:val="single" w:sz="4" w:space="0" w:color="auto"/>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China</w:t>
            </w:r>
          </w:p>
        </w:tc>
        <w:tc>
          <w:tcPr>
            <w:tcW w:w="1802" w:type="pct"/>
            <w:tcBorders>
              <w:top w:val="nil"/>
              <w:left w:val="nil"/>
              <w:bottom w:val="single" w:sz="4" w:space="0" w:color="auto"/>
              <w:right w:val="single" w:sz="4" w:space="0" w:color="auto"/>
            </w:tcBorders>
            <w:shd w:val="clear" w:color="auto" w:fill="auto"/>
            <w:vAlign w:val="bottom"/>
          </w:tcPr>
          <w:p w:rsidR="000A3FB8" w:rsidRPr="009A010C" w:rsidRDefault="000A3FB8" w:rsidP="00790C4B">
            <w:pPr>
              <w:jc w:val="left"/>
              <w:rPr>
                <w:sz w:val="20"/>
                <w:szCs w:val="20"/>
                <w:lang w:val="en-CA"/>
              </w:rPr>
            </w:pPr>
            <w:r w:rsidRPr="009A010C">
              <w:rPr>
                <w:sz w:val="20"/>
                <w:szCs w:val="20"/>
                <w:lang w:val="en-CA"/>
              </w:rPr>
              <w:t>HCFC phase-out management plan (stage</w:t>
            </w:r>
            <w:r w:rsidR="00790C4B">
              <w:rPr>
                <w:sz w:val="20"/>
                <w:szCs w:val="20"/>
                <w:lang w:val="en-CA"/>
              </w:rPr>
              <w:t> </w:t>
            </w:r>
            <w:r w:rsidRPr="009A010C">
              <w:rPr>
                <w:sz w:val="20"/>
                <w:szCs w:val="20"/>
                <w:lang w:val="en-CA"/>
              </w:rPr>
              <w:t>I) (2017 progress report) (industrial and commercial refrigeration and air conditioning sector plan)</w:t>
            </w:r>
          </w:p>
        </w:tc>
        <w:tc>
          <w:tcPr>
            <w:tcW w:w="701" w:type="pct"/>
            <w:tcBorders>
              <w:top w:val="nil"/>
              <w:left w:val="nil"/>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UNDP</w:t>
            </w:r>
          </w:p>
        </w:tc>
        <w:tc>
          <w:tcPr>
            <w:tcW w:w="479" w:type="pct"/>
            <w:tcBorders>
              <w:top w:val="single" w:sz="4" w:space="0" w:color="auto"/>
              <w:left w:val="nil"/>
              <w:bottom w:val="single" w:sz="4" w:space="0" w:color="auto"/>
              <w:right w:val="single" w:sz="4" w:space="0" w:color="auto"/>
            </w:tcBorders>
            <w:vAlign w:val="bottom"/>
          </w:tcPr>
          <w:p w:rsidR="000A3FB8" w:rsidRPr="009A010C" w:rsidRDefault="000A3FB8" w:rsidP="000354F9">
            <w:pPr>
              <w:jc w:val="center"/>
              <w:rPr>
                <w:sz w:val="20"/>
                <w:szCs w:val="20"/>
                <w:lang w:val="en-CA"/>
              </w:rPr>
            </w:pPr>
            <w:r w:rsidRPr="009A010C">
              <w:rPr>
                <w:sz w:val="20"/>
                <w:szCs w:val="20"/>
                <w:lang w:val="en-CA"/>
              </w:rPr>
              <w:t>75/56(b)</w:t>
            </w:r>
          </w:p>
        </w:tc>
        <w:tc>
          <w:tcPr>
            <w:tcW w:w="546" w:type="pct"/>
            <w:tcBorders>
              <w:top w:val="nil"/>
              <w:left w:val="single" w:sz="4" w:space="0" w:color="auto"/>
              <w:bottom w:val="single" w:sz="4" w:space="0" w:color="auto"/>
              <w:right w:val="single" w:sz="4" w:space="0" w:color="auto"/>
            </w:tcBorders>
            <w:shd w:val="clear" w:color="auto" w:fill="auto"/>
            <w:noWrap/>
            <w:vAlign w:val="bottom"/>
          </w:tcPr>
          <w:p w:rsidR="000A3FB8" w:rsidRPr="009A010C" w:rsidRDefault="000A3FB8" w:rsidP="000354F9">
            <w:pPr>
              <w:jc w:val="center"/>
            </w:pPr>
            <w:r w:rsidRPr="009A010C">
              <w:rPr>
                <w:sz w:val="20"/>
                <w:szCs w:val="20"/>
                <w:lang w:val="en-CA"/>
              </w:rPr>
              <w:t>82/45</w:t>
            </w:r>
          </w:p>
        </w:tc>
        <w:tc>
          <w:tcPr>
            <w:tcW w:w="886" w:type="pct"/>
            <w:tcBorders>
              <w:top w:val="nil"/>
              <w:left w:val="nil"/>
              <w:bottom w:val="single" w:sz="4" w:space="0" w:color="auto"/>
              <w:right w:val="single" w:sz="4" w:space="0" w:color="auto"/>
            </w:tcBorders>
            <w:shd w:val="clear" w:color="auto" w:fill="auto"/>
            <w:noWrap/>
            <w:vAlign w:val="bottom"/>
          </w:tcPr>
          <w:p w:rsidR="000A3FB8" w:rsidRPr="009A010C" w:rsidRDefault="002609D7" w:rsidP="000354F9">
            <w:pPr>
              <w:jc w:val="center"/>
              <w:rPr>
                <w:sz w:val="20"/>
                <w:szCs w:val="20"/>
                <w:lang w:val="en-CA"/>
              </w:rPr>
            </w:pPr>
            <w:r w:rsidRPr="009A010C">
              <w:rPr>
                <w:sz w:val="20"/>
                <w:szCs w:val="20"/>
                <w:lang w:val="en-CA"/>
              </w:rPr>
              <w:t>Paragraph 114</w:t>
            </w:r>
          </w:p>
        </w:tc>
      </w:tr>
      <w:tr w:rsidR="000A3FB8" w:rsidRPr="009A010C" w:rsidTr="002609D7">
        <w:trPr>
          <w:trHeight w:val="288"/>
        </w:trPr>
        <w:tc>
          <w:tcPr>
            <w:tcW w:w="586" w:type="pct"/>
            <w:tcBorders>
              <w:top w:val="nil"/>
              <w:left w:val="single" w:sz="4" w:space="0" w:color="auto"/>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China</w:t>
            </w:r>
          </w:p>
        </w:tc>
        <w:tc>
          <w:tcPr>
            <w:tcW w:w="1802" w:type="pct"/>
            <w:tcBorders>
              <w:top w:val="nil"/>
              <w:left w:val="nil"/>
              <w:bottom w:val="single" w:sz="4" w:space="0" w:color="auto"/>
              <w:right w:val="single" w:sz="4" w:space="0" w:color="auto"/>
            </w:tcBorders>
            <w:shd w:val="clear" w:color="auto" w:fill="auto"/>
            <w:vAlign w:val="bottom"/>
          </w:tcPr>
          <w:p w:rsidR="000A3FB8" w:rsidRPr="009A010C" w:rsidRDefault="000A3FB8" w:rsidP="00790C4B">
            <w:pPr>
              <w:jc w:val="left"/>
              <w:rPr>
                <w:sz w:val="20"/>
                <w:szCs w:val="20"/>
                <w:lang w:val="en-CA"/>
              </w:rPr>
            </w:pPr>
            <w:r w:rsidRPr="009A010C">
              <w:rPr>
                <w:sz w:val="20"/>
                <w:szCs w:val="20"/>
                <w:lang w:val="en-CA"/>
              </w:rPr>
              <w:t>HCFC phase-out management plan (stage</w:t>
            </w:r>
            <w:r w:rsidR="00790C4B">
              <w:rPr>
                <w:sz w:val="20"/>
                <w:szCs w:val="20"/>
                <w:lang w:val="en-CA"/>
              </w:rPr>
              <w:t> </w:t>
            </w:r>
            <w:r w:rsidRPr="009A010C">
              <w:rPr>
                <w:sz w:val="20"/>
                <w:szCs w:val="20"/>
                <w:lang w:val="en-CA"/>
              </w:rPr>
              <w:t>I) (2017 progress report) (room air-conditioner manufacturing sector plan)</w:t>
            </w:r>
          </w:p>
        </w:tc>
        <w:tc>
          <w:tcPr>
            <w:tcW w:w="701" w:type="pct"/>
            <w:tcBorders>
              <w:top w:val="nil"/>
              <w:left w:val="nil"/>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UNIDO</w:t>
            </w:r>
          </w:p>
        </w:tc>
        <w:tc>
          <w:tcPr>
            <w:tcW w:w="479" w:type="pct"/>
            <w:tcBorders>
              <w:top w:val="single" w:sz="4" w:space="0" w:color="auto"/>
              <w:left w:val="nil"/>
              <w:bottom w:val="single" w:sz="4" w:space="0" w:color="auto"/>
              <w:right w:val="single" w:sz="4" w:space="0" w:color="auto"/>
            </w:tcBorders>
            <w:vAlign w:val="bottom"/>
          </w:tcPr>
          <w:p w:rsidR="000A3FB8" w:rsidRPr="009A010C" w:rsidRDefault="000A3FB8" w:rsidP="000354F9">
            <w:pPr>
              <w:jc w:val="center"/>
              <w:rPr>
                <w:sz w:val="20"/>
                <w:szCs w:val="20"/>
                <w:lang w:val="en-CA"/>
              </w:rPr>
            </w:pPr>
            <w:r w:rsidRPr="009A010C">
              <w:rPr>
                <w:sz w:val="20"/>
                <w:szCs w:val="20"/>
                <w:lang w:val="en-CA"/>
              </w:rPr>
              <w:t>75/57(b)</w:t>
            </w:r>
          </w:p>
        </w:tc>
        <w:tc>
          <w:tcPr>
            <w:tcW w:w="546" w:type="pct"/>
            <w:tcBorders>
              <w:top w:val="nil"/>
              <w:left w:val="single" w:sz="4" w:space="0" w:color="auto"/>
              <w:bottom w:val="single" w:sz="4" w:space="0" w:color="auto"/>
              <w:right w:val="single" w:sz="4" w:space="0" w:color="auto"/>
            </w:tcBorders>
            <w:shd w:val="clear" w:color="auto" w:fill="auto"/>
            <w:noWrap/>
            <w:vAlign w:val="bottom"/>
          </w:tcPr>
          <w:p w:rsidR="000A3FB8" w:rsidRPr="009A010C" w:rsidRDefault="000A3FB8" w:rsidP="000354F9">
            <w:pPr>
              <w:jc w:val="center"/>
            </w:pPr>
            <w:r w:rsidRPr="009A010C">
              <w:rPr>
                <w:sz w:val="20"/>
                <w:szCs w:val="20"/>
                <w:lang w:val="en-CA"/>
              </w:rPr>
              <w:t>82/45</w:t>
            </w:r>
          </w:p>
        </w:tc>
        <w:tc>
          <w:tcPr>
            <w:tcW w:w="886" w:type="pct"/>
            <w:tcBorders>
              <w:top w:val="nil"/>
              <w:left w:val="nil"/>
              <w:bottom w:val="single" w:sz="4" w:space="0" w:color="auto"/>
              <w:right w:val="single" w:sz="4" w:space="0" w:color="auto"/>
            </w:tcBorders>
            <w:shd w:val="clear" w:color="auto" w:fill="auto"/>
            <w:noWrap/>
            <w:vAlign w:val="bottom"/>
          </w:tcPr>
          <w:p w:rsidR="000A3FB8" w:rsidRPr="009A010C" w:rsidRDefault="002609D7" w:rsidP="000354F9">
            <w:pPr>
              <w:jc w:val="center"/>
              <w:rPr>
                <w:sz w:val="20"/>
                <w:szCs w:val="20"/>
                <w:lang w:val="en-CA"/>
              </w:rPr>
            </w:pPr>
            <w:r w:rsidRPr="009A010C">
              <w:rPr>
                <w:sz w:val="20"/>
                <w:szCs w:val="20"/>
                <w:lang w:val="en-CA"/>
              </w:rPr>
              <w:t>Paragraph 133</w:t>
            </w:r>
          </w:p>
        </w:tc>
      </w:tr>
      <w:tr w:rsidR="000A3FB8" w:rsidRPr="009A010C" w:rsidTr="002609D7">
        <w:trPr>
          <w:trHeight w:val="288"/>
        </w:trPr>
        <w:tc>
          <w:tcPr>
            <w:tcW w:w="586" w:type="pct"/>
            <w:tcBorders>
              <w:top w:val="nil"/>
              <w:left w:val="single" w:sz="4" w:space="0" w:color="auto"/>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China</w:t>
            </w:r>
          </w:p>
        </w:tc>
        <w:tc>
          <w:tcPr>
            <w:tcW w:w="1802" w:type="pct"/>
            <w:tcBorders>
              <w:top w:val="nil"/>
              <w:left w:val="nil"/>
              <w:bottom w:val="single" w:sz="4" w:space="0" w:color="auto"/>
              <w:right w:val="single" w:sz="4" w:space="0" w:color="auto"/>
            </w:tcBorders>
            <w:shd w:val="clear" w:color="auto" w:fill="auto"/>
            <w:vAlign w:val="bottom"/>
          </w:tcPr>
          <w:p w:rsidR="000A3FB8" w:rsidRPr="009A010C" w:rsidRDefault="000A3FB8" w:rsidP="00790C4B">
            <w:pPr>
              <w:jc w:val="left"/>
              <w:rPr>
                <w:sz w:val="20"/>
                <w:szCs w:val="20"/>
                <w:lang w:val="en-CA"/>
              </w:rPr>
            </w:pPr>
            <w:r w:rsidRPr="009A010C">
              <w:rPr>
                <w:sz w:val="20"/>
                <w:szCs w:val="20"/>
                <w:lang w:val="en-CA"/>
              </w:rPr>
              <w:t>HCFC phase-out management plan (stage</w:t>
            </w:r>
            <w:r w:rsidR="00790C4B">
              <w:rPr>
                <w:sz w:val="20"/>
                <w:szCs w:val="20"/>
                <w:lang w:val="en-CA"/>
              </w:rPr>
              <w:t> </w:t>
            </w:r>
            <w:r w:rsidRPr="009A010C">
              <w:rPr>
                <w:sz w:val="20"/>
                <w:szCs w:val="20"/>
                <w:lang w:val="en-CA"/>
              </w:rPr>
              <w:t>I) (2017 progress report) (refrigeration servicing sector including enabling programme)</w:t>
            </w:r>
          </w:p>
        </w:tc>
        <w:tc>
          <w:tcPr>
            <w:tcW w:w="701" w:type="pct"/>
            <w:tcBorders>
              <w:top w:val="nil"/>
              <w:left w:val="nil"/>
              <w:bottom w:val="single" w:sz="4" w:space="0" w:color="auto"/>
              <w:right w:val="single" w:sz="4" w:space="0" w:color="auto"/>
            </w:tcBorders>
            <w:shd w:val="clear" w:color="auto" w:fill="auto"/>
            <w:vAlign w:val="bottom"/>
          </w:tcPr>
          <w:p w:rsidR="000A3FB8" w:rsidRPr="009A010C" w:rsidRDefault="000A3FB8" w:rsidP="000354F9">
            <w:pPr>
              <w:jc w:val="left"/>
              <w:rPr>
                <w:sz w:val="20"/>
                <w:szCs w:val="20"/>
                <w:lang w:val="en-CA"/>
              </w:rPr>
            </w:pPr>
            <w:r w:rsidRPr="009A010C">
              <w:rPr>
                <w:sz w:val="20"/>
                <w:szCs w:val="20"/>
                <w:lang w:val="en-CA"/>
              </w:rPr>
              <w:t>UNEP/</w:t>
            </w:r>
          </w:p>
          <w:p w:rsidR="000A3FB8" w:rsidRPr="009A010C" w:rsidRDefault="000A3FB8" w:rsidP="000354F9">
            <w:pPr>
              <w:jc w:val="left"/>
              <w:rPr>
                <w:sz w:val="20"/>
                <w:szCs w:val="20"/>
                <w:lang w:val="en-CA"/>
              </w:rPr>
            </w:pPr>
            <w:r w:rsidRPr="009A010C">
              <w:rPr>
                <w:sz w:val="20"/>
                <w:szCs w:val="20"/>
                <w:lang w:val="en-CA"/>
              </w:rPr>
              <w:t>Japan</w:t>
            </w:r>
          </w:p>
        </w:tc>
        <w:tc>
          <w:tcPr>
            <w:tcW w:w="479" w:type="pct"/>
            <w:tcBorders>
              <w:top w:val="single" w:sz="4" w:space="0" w:color="auto"/>
              <w:left w:val="nil"/>
              <w:bottom w:val="single" w:sz="4" w:space="0" w:color="auto"/>
              <w:right w:val="single" w:sz="4" w:space="0" w:color="auto"/>
            </w:tcBorders>
            <w:vAlign w:val="bottom"/>
          </w:tcPr>
          <w:p w:rsidR="000A3FB8" w:rsidRPr="009A010C" w:rsidRDefault="000A3FB8" w:rsidP="000354F9">
            <w:pPr>
              <w:jc w:val="center"/>
              <w:rPr>
                <w:sz w:val="20"/>
                <w:szCs w:val="20"/>
                <w:lang w:val="en-CA"/>
              </w:rPr>
            </w:pPr>
            <w:r w:rsidRPr="009A010C">
              <w:rPr>
                <w:sz w:val="20"/>
                <w:szCs w:val="20"/>
                <w:lang w:val="en-CA"/>
              </w:rPr>
              <w:t>75/29(a)</w:t>
            </w:r>
          </w:p>
        </w:tc>
        <w:tc>
          <w:tcPr>
            <w:tcW w:w="546" w:type="pct"/>
            <w:tcBorders>
              <w:top w:val="nil"/>
              <w:left w:val="single" w:sz="4" w:space="0" w:color="auto"/>
              <w:bottom w:val="single" w:sz="4" w:space="0" w:color="auto"/>
              <w:right w:val="single" w:sz="4" w:space="0" w:color="auto"/>
            </w:tcBorders>
            <w:shd w:val="clear" w:color="auto" w:fill="auto"/>
            <w:noWrap/>
            <w:vAlign w:val="bottom"/>
          </w:tcPr>
          <w:p w:rsidR="000A3FB8" w:rsidRPr="009A010C" w:rsidRDefault="000A3FB8" w:rsidP="000354F9">
            <w:pPr>
              <w:jc w:val="center"/>
            </w:pPr>
            <w:r w:rsidRPr="009A010C">
              <w:rPr>
                <w:sz w:val="20"/>
                <w:szCs w:val="20"/>
                <w:lang w:val="en-CA"/>
              </w:rPr>
              <w:t>82/45</w:t>
            </w:r>
          </w:p>
        </w:tc>
        <w:tc>
          <w:tcPr>
            <w:tcW w:w="886" w:type="pct"/>
            <w:tcBorders>
              <w:top w:val="nil"/>
              <w:left w:val="nil"/>
              <w:bottom w:val="single" w:sz="4" w:space="0" w:color="auto"/>
              <w:right w:val="single" w:sz="4" w:space="0" w:color="auto"/>
            </w:tcBorders>
            <w:shd w:val="clear" w:color="auto" w:fill="auto"/>
            <w:noWrap/>
            <w:vAlign w:val="bottom"/>
          </w:tcPr>
          <w:p w:rsidR="000A3FB8" w:rsidRPr="009A010C" w:rsidRDefault="002609D7" w:rsidP="000354F9">
            <w:pPr>
              <w:jc w:val="center"/>
              <w:rPr>
                <w:sz w:val="20"/>
                <w:szCs w:val="20"/>
                <w:lang w:val="en-CA"/>
              </w:rPr>
            </w:pPr>
            <w:r w:rsidRPr="009A010C">
              <w:rPr>
                <w:sz w:val="20"/>
                <w:szCs w:val="20"/>
                <w:lang w:val="en-CA"/>
              </w:rPr>
              <w:t>Paragraph 140</w:t>
            </w:r>
          </w:p>
        </w:tc>
      </w:tr>
      <w:tr w:rsidR="00F86690" w:rsidRPr="009A010C" w:rsidTr="002609D7">
        <w:trPr>
          <w:trHeight w:val="288"/>
        </w:trPr>
        <w:tc>
          <w:tcPr>
            <w:tcW w:w="586" w:type="pct"/>
            <w:tcBorders>
              <w:top w:val="single" w:sz="4" w:space="0" w:color="auto"/>
              <w:left w:val="single" w:sz="4" w:space="0" w:color="auto"/>
              <w:bottom w:val="single" w:sz="4" w:space="0" w:color="auto"/>
              <w:right w:val="single" w:sz="4" w:space="0" w:color="auto"/>
            </w:tcBorders>
            <w:shd w:val="clear" w:color="auto" w:fill="auto"/>
            <w:vAlign w:val="bottom"/>
          </w:tcPr>
          <w:p w:rsidR="00F86690" w:rsidRPr="009A010C" w:rsidRDefault="00F86690" w:rsidP="00F86690">
            <w:pPr>
              <w:jc w:val="left"/>
              <w:rPr>
                <w:sz w:val="20"/>
                <w:szCs w:val="20"/>
                <w:lang w:val="en-CA"/>
              </w:rPr>
            </w:pPr>
            <w:r w:rsidRPr="009A010C">
              <w:rPr>
                <w:sz w:val="20"/>
                <w:szCs w:val="20"/>
                <w:lang w:val="en-CA"/>
              </w:rPr>
              <w:t>India</w:t>
            </w:r>
          </w:p>
        </w:tc>
        <w:tc>
          <w:tcPr>
            <w:tcW w:w="1802" w:type="pct"/>
            <w:tcBorders>
              <w:top w:val="single" w:sz="4" w:space="0" w:color="auto"/>
              <w:left w:val="nil"/>
              <w:bottom w:val="single" w:sz="4" w:space="0" w:color="auto"/>
              <w:right w:val="single" w:sz="4" w:space="0" w:color="auto"/>
            </w:tcBorders>
            <w:shd w:val="clear" w:color="auto" w:fill="auto"/>
            <w:vAlign w:val="bottom"/>
          </w:tcPr>
          <w:p w:rsidR="00F86690" w:rsidRPr="009A010C" w:rsidRDefault="00F86690" w:rsidP="00F86690">
            <w:pPr>
              <w:jc w:val="left"/>
              <w:rPr>
                <w:sz w:val="20"/>
                <w:szCs w:val="20"/>
                <w:lang w:val="en-CA"/>
              </w:rPr>
            </w:pPr>
            <w:r w:rsidRPr="009A010C">
              <w:t>HCFC phase-out management plan (stage I, final progress report)</w:t>
            </w:r>
          </w:p>
        </w:tc>
        <w:tc>
          <w:tcPr>
            <w:tcW w:w="701" w:type="pct"/>
            <w:tcBorders>
              <w:top w:val="single" w:sz="4" w:space="0" w:color="auto"/>
              <w:left w:val="nil"/>
              <w:bottom w:val="single" w:sz="4" w:space="0" w:color="auto"/>
              <w:right w:val="single" w:sz="4" w:space="0" w:color="auto"/>
            </w:tcBorders>
            <w:shd w:val="clear" w:color="auto" w:fill="auto"/>
            <w:vAlign w:val="bottom"/>
          </w:tcPr>
          <w:p w:rsidR="00F86690" w:rsidRPr="009A010C" w:rsidRDefault="00A509A2" w:rsidP="00F86690">
            <w:pPr>
              <w:jc w:val="left"/>
              <w:rPr>
                <w:sz w:val="20"/>
                <w:szCs w:val="20"/>
                <w:lang w:val="en-CA"/>
              </w:rPr>
            </w:pPr>
            <w:r w:rsidRPr="009A010C">
              <w:rPr>
                <w:sz w:val="20"/>
                <w:szCs w:val="20"/>
                <w:lang w:val="en-CA"/>
              </w:rPr>
              <w:t>UNDP/UNEP/Government of Germany</w:t>
            </w:r>
          </w:p>
        </w:tc>
        <w:tc>
          <w:tcPr>
            <w:tcW w:w="479" w:type="pct"/>
            <w:tcBorders>
              <w:top w:val="single" w:sz="4" w:space="0" w:color="auto"/>
              <w:left w:val="nil"/>
              <w:bottom w:val="single" w:sz="4" w:space="0" w:color="auto"/>
              <w:right w:val="single" w:sz="4" w:space="0" w:color="auto"/>
            </w:tcBorders>
            <w:vAlign w:val="bottom"/>
          </w:tcPr>
          <w:p w:rsidR="00F86690" w:rsidRPr="009A010C" w:rsidRDefault="00F86690" w:rsidP="00F86690">
            <w:pPr>
              <w:jc w:val="center"/>
              <w:rPr>
                <w:sz w:val="24"/>
                <w:szCs w:val="24"/>
                <w:lang w:val="en-CA"/>
              </w:rPr>
            </w:pPr>
            <w:r w:rsidRPr="009A010C">
              <w:t>75/29(a)</w:t>
            </w:r>
          </w:p>
        </w:tc>
        <w:tc>
          <w:tcPr>
            <w:tcW w:w="546"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6690" w:rsidRPr="009A010C" w:rsidRDefault="00F86690" w:rsidP="00F86690">
            <w:pPr>
              <w:jc w:val="center"/>
            </w:pPr>
            <w:r w:rsidRPr="009A010C">
              <w:t>82/52</w:t>
            </w:r>
          </w:p>
        </w:tc>
        <w:tc>
          <w:tcPr>
            <w:tcW w:w="886" w:type="pct"/>
            <w:tcBorders>
              <w:top w:val="single" w:sz="4" w:space="0" w:color="auto"/>
              <w:left w:val="nil"/>
              <w:bottom w:val="single" w:sz="4" w:space="0" w:color="auto"/>
              <w:right w:val="single" w:sz="4" w:space="0" w:color="auto"/>
            </w:tcBorders>
            <w:shd w:val="clear" w:color="auto" w:fill="auto"/>
            <w:noWrap/>
            <w:vAlign w:val="bottom"/>
          </w:tcPr>
          <w:p w:rsidR="00F86690" w:rsidRPr="009A010C" w:rsidRDefault="00F86690" w:rsidP="00F86690">
            <w:pPr>
              <w:jc w:val="center"/>
            </w:pPr>
            <w:r w:rsidRPr="009A010C">
              <w:t>Paragraph 11</w:t>
            </w:r>
          </w:p>
        </w:tc>
      </w:tr>
      <w:tr w:rsidR="00F86690" w:rsidRPr="009A010C" w:rsidTr="002609D7">
        <w:trPr>
          <w:trHeight w:val="288"/>
        </w:trPr>
        <w:tc>
          <w:tcPr>
            <w:tcW w:w="586" w:type="pct"/>
            <w:tcBorders>
              <w:top w:val="single" w:sz="4" w:space="0" w:color="auto"/>
              <w:left w:val="single" w:sz="4" w:space="0" w:color="auto"/>
              <w:bottom w:val="single" w:sz="4" w:space="0" w:color="auto"/>
              <w:right w:val="single" w:sz="4" w:space="0" w:color="auto"/>
            </w:tcBorders>
            <w:shd w:val="clear" w:color="auto" w:fill="auto"/>
            <w:vAlign w:val="bottom"/>
          </w:tcPr>
          <w:p w:rsidR="00F86690" w:rsidRPr="009A010C" w:rsidRDefault="00F86690" w:rsidP="00F86690">
            <w:pPr>
              <w:jc w:val="left"/>
              <w:rPr>
                <w:sz w:val="24"/>
                <w:szCs w:val="24"/>
                <w:lang w:val="en-CA"/>
              </w:rPr>
            </w:pPr>
            <w:r w:rsidRPr="009A010C">
              <w:t>Thailand</w:t>
            </w:r>
          </w:p>
        </w:tc>
        <w:tc>
          <w:tcPr>
            <w:tcW w:w="1802" w:type="pct"/>
            <w:tcBorders>
              <w:top w:val="single" w:sz="4" w:space="0" w:color="auto"/>
              <w:left w:val="nil"/>
              <w:bottom w:val="single" w:sz="4" w:space="0" w:color="auto"/>
              <w:right w:val="single" w:sz="4" w:space="0" w:color="auto"/>
            </w:tcBorders>
            <w:shd w:val="clear" w:color="auto" w:fill="auto"/>
            <w:vAlign w:val="bottom"/>
          </w:tcPr>
          <w:p w:rsidR="00F86690" w:rsidRPr="009A010C" w:rsidRDefault="00F86690" w:rsidP="00F86690">
            <w:pPr>
              <w:jc w:val="left"/>
            </w:pPr>
            <w:r w:rsidRPr="009A010C">
              <w:t>HCFC phase-out management plan (stage I, annual progress report)</w:t>
            </w:r>
          </w:p>
        </w:tc>
        <w:tc>
          <w:tcPr>
            <w:tcW w:w="701" w:type="pct"/>
            <w:tcBorders>
              <w:top w:val="single" w:sz="4" w:space="0" w:color="auto"/>
              <w:left w:val="nil"/>
              <w:bottom w:val="single" w:sz="4" w:space="0" w:color="auto"/>
              <w:right w:val="single" w:sz="4" w:space="0" w:color="auto"/>
            </w:tcBorders>
            <w:shd w:val="clear" w:color="auto" w:fill="auto"/>
            <w:vAlign w:val="bottom"/>
          </w:tcPr>
          <w:p w:rsidR="00F86690" w:rsidRPr="009A010C" w:rsidRDefault="00A509A2" w:rsidP="00F86690">
            <w:pPr>
              <w:jc w:val="left"/>
              <w:rPr>
                <w:sz w:val="20"/>
                <w:szCs w:val="20"/>
                <w:lang w:val="en-CA"/>
              </w:rPr>
            </w:pPr>
            <w:r w:rsidRPr="009A010C">
              <w:rPr>
                <w:sz w:val="20"/>
                <w:szCs w:val="20"/>
                <w:lang w:val="en-CA"/>
              </w:rPr>
              <w:t>World Bank</w:t>
            </w:r>
          </w:p>
        </w:tc>
        <w:tc>
          <w:tcPr>
            <w:tcW w:w="479" w:type="pct"/>
            <w:tcBorders>
              <w:top w:val="single" w:sz="4" w:space="0" w:color="auto"/>
              <w:left w:val="nil"/>
              <w:bottom w:val="single" w:sz="4" w:space="0" w:color="auto"/>
              <w:right w:val="single" w:sz="4" w:space="0" w:color="auto"/>
            </w:tcBorders>
            <w:vAlign w:val="bottom"/>
          </w:tcPr>
          <w:p w:rsidR="00F86690" w:rsidRPr="009A010C" w:rsidRDefault="00F86690" w:rsidP="00F86690">
            <w:pPr>
              <w:jc w:val="center"/>
              <w:rPr>
                <w:sz w:val="24"/>
                <w:szCs w:val="24"/>
                <w:lang w:val="en-CA"/>
              </w:rPr>
            </w:pPr>
            <w:r w:rsidRPr="009A010C">
              <w:t>80/72(b)</w:t>
            </w:r>
          </w:p>
        </w:tc>
        <w:tc>
          <w:tcPr>
            <w:tcW w:w="546"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6690" w:rsidRPr="009A010C" w:rsidRDefault="00F86690" w:rsidP="00F86690">
            <w:pPr>
              <w:jc w:val="center"/>
            </w:pPr>
            <w:r w:rsidRPr="009A010C">
              <w:t>82/59</w:t>
            </w:r>
          </w:p>
        </w:tc>
        <w:tc>
          <w:tcPr>
            <w:tcW w:w="886" w:type="pct"/>
            <w:tcBorders>
              <w:top w:val="single" w:sz="4" w:space="0" w:color="auto"/>
              <w:left w:val="nil"/>
              <w:bottom w:val="single" w:sz="4" w:space="0" w:color="auto"/>
              <w:right w:val="single" w:sz="4" w:space="0" w:color="auto"/>
            </w:tcBorders>
            <w:shd w:val="clear" w:color="auto" w:fill="auto"/>
            <w:noWrap/>
            <w:vAlign w:val="bottom"/>
          </w:tcPr>
          <w:p w:rsidR="00F86690" w:rsidRPr="009A010C" w:rsidRDefault="00F86690" w:rsidP="00F86690">
            <w:pPr>
              <w:jc w:val="center"/>
            </w:pPr>
            <w:r w:rsidRPr="009A010C">
              <w:t>Paragraph 23</w:t>
            </w:r>
          </w:p>
        </w:tc>
      </w:tr>
    </w:tbl>
    <w:p w:rsidR="000A3FB8" w:rsidRPr="009A010C" w:rsidRDefault="000A3FB8" w:rsidP="000A3FB8">
      <w:pPr>
        <w:rPr>
          <w:lang w:val="en-CA"/>
        </w:rPr>
      </w:pPr>
    </w:p>
    <w:p w:rsidR="000A3FB8" w:rsidRPr="00F4406E" w:rsidRDefault="000A3FB8" w:rsidP="000A3FB8">
      <w:pPr>
        <w:pStyle w:val="Heading1"/>
        <w:rPr>
          <w:lang w:val="en-CA"/>
        </w:rPr>
      </w:pPr>
      <w:r w:rsidRPr="009A010C">
        <w:rPr>
          <w:lang w:val="en-CA"/>
        </w:rPr>
        <w:t xml:space="preserve">The Executive Committee may wish to consider the recommendations of the Secretariat as set out in the relevant documents in </w:t>
      </w:r>
      <w:r w:rsidRPr="00F4406E">
        <w:rPr>
          <w:lang w:val="en-CA"/>
        </w:rPr>
        <w:t xml:space="preserve">Table </w:t>
      </w:r>
      <w:r w:rsidR="002464DD" w:rsidRPr="00F4406E">
        <w:rPr>
          <w:lang w:val="en-CA"/>
        </w:rPr>
        <w:t>28</w:t>
      </w:r>
      <w:r w:rsidRPr="00F4406E">
        <w:rPr>
          <w:lang w:val="en-CA"/>
        </w:rPr>
        <w:t>.</w:t>
      </w:r>
    </w:p>
    <w:p w:rsidR="00CB664A" w:rsidRPr="009A010C" w:rsidRDefault="00CB664A" w:rsidP="00CB664A">
      <w:pPr>
        <w:rPr>
          <w:lang w:val="en-CA"/>
        </w:rPr>
      </w:pPr>
    </w:p>
    <w:p w:rsidR="00B3282F" w:rsidRPr="009A010C" w:rsidRDefault="00B3282F" w:rsidP="009B5A8A">
      <w:pPr>
        <w:pStyle w:val="Heading2"/>
        <w:numPr>
          <w:ilvl w:val="0"/>
          <w:numId w:val="0"/>
        </w:numPr>
        <w:ind w:left="1440"/>
        <w:rPr>
          <w:lang w:val="en-CA"/>
        </w:rPr>
      </w:pPr>
    </w:p>
    <w:p w:rsidR="00B3282F" w:rsidRPr="009A010C" w:rsidRDefault="00B3282F" w:rsidP="002A31F4">
      <w:pPr>
        <w:rPr>
          <w:lang w:val="en-CA"/>
        </w:rPr>
        <w:sectPr w:rsidR="00B3282F" w:rsidRPr="009A010C" w:rsidSect="00AE453D">
          <w:headerReference w:type="even" r:id="rId10"/>
          <w:headerReference w:type="default" r:id="rId11"/>
          <w:footerReference w:type="even" r:id="rId12"/>
          <w:footerReference w:type="default" r:id="rId13"/>
          <w:footerReference w:type="first" r:id="rId14"/>
          <w:pgSz w:w="12240" w:h="15840" w:code="1"/>
          <w:pgMar w:top="851" w:right="1260" w:bottom="1276" w:left="1440" w:header="720" w:footer="475" w:gutter="0"/>
          <w:cols w:space="720"/>
          <w:titlePg/>
        </w:sectPr>
      </w:pPr>
    </w:p>
    <w:p w:rsidR="002609D7" w:rsidRPr="009A010C" w:rsidRDefault="002609D7" w:rsidP="002609D7">
      <w:pPr>
        <w:jc w:val="center"/>
        <w:rPr>
          <w:b/>
          <w:lang w:val="en-CA"/>
        </w:rPr>
      </w:pPr>
      <w:r w:rsidRPr="009A010C">
        <w:rPr>
          <w:b/>
          <w:lang w:val="en-CA"/>
        </w:rPr>
        <w:lastRenderedPageBreak/>
        <w:t>Annex I</w:t>
      </w:r>
    </w:p>
    <w:p w:rsidR="002609D7" w:rsidRPr="009A010C" w:rsidRDefault="002609D7" w:rsidP="002609D7">
      <w:pPr>
        <w:jc w:val="left"/>
        <w:rPr>
          <w:lang w:val="en-CA"/>
        </w:rPr>
      </w:pPr>
    </w:p>
    <w:p w:rsidR="002609D7" w:rsidRPr="009A010C" w:rsidRDefault="002609D7" w:rsidP="002609D7">
      <w:pPr>
        <w:tabs>
          <w:tab w:val="left" w:pos="927"/>
        </w:tabs>
        <w:jc w:val="center"/>
      </w:pPr>
      <w:r w:rsidRPr="009A010C">
        <w:rPr>
          <w:b/>
        </w:rPr>
        <w:t xml:space="preserve">TEXT TO BE INCLUDED IN THE UPDATED AGREEMENT BETWEEN THE GOVERNMENT OF </w:t>
      </w:r>
      <w:r w:rsidRPr="009A010C">
        <w:rPr>
          <w:b/>
          <w:caps/>
        </w:rPr>
        <w:t>QATAR</w:t>
      </w:r>
      <w:r w:rsidRPr="009A010C">
        <w:t xml:space="preserve"> </w:t>
      </w:r>
      <w:r w:rsidRPr="009A010C">
        <w:rPr>
          <w:b/>
        </w:rPr>
        <w:t>AND THE EXECUTIVE COMMITTEE OF THE MULTILATERAL FUND FOR THE REDUCTION IN CONSUMPTION OF HYDROCHLOROFLUOROCARBONS</w:t>
      </w:r>
    </w:p>
    <w:p w:rsidR="002609D7" w:rsidRPr="009A010C" w:rsidRDefault="002609D7" w:rsidP="002609D7">
      <w:pPr>
        <w:tabs>
          <w:tab w:val="left" w:pos="927"/>
        </w:tabs>
        <w:jc w:val="center"/>
      </w:pPr>
      <w:r w:rsidRPr="009A010C">
        <w:t>(Relevant changes are in bold font for ease of reference)</w:t>
      </w:r>
    </w:p>
    <w:p w:rsidR="002609D7" w:rsidRPr="009A010C" w:rsidRDefault="002609D7" w:rsidP="002609D7">
      <w:pPr>
        <w:jc w:val="left"/>
      </w:pPr>
    </w:p>
    <w:p w:rsidR="002609D7" w:rsidRPr="009A010C" w:rsidRDefault="002609D7" w:rsidP="002609D7">
      <w:pPr>
        <w:rPr>
          <w:b/>
        </w:rPr>
      </w:pPr>
      <w:r w:rsidRPr="009A010C">
        <w:t>1.</w:t>
      </w:r>
      <w:r w:rsidRPr="009A010C">
        <w:tab/>
        <w:t>This Agreement represents the understanding of the Government of Qatar (the “Country”) and the Executive Committee with respect to the reduction of controlled use of the ozone</w:t>
      </w:r>
      <w:r w:rsidRPr="009A010C">
        <w:noBreakHyphen/>
        <w:t xml:space="preserve">depleting substances (ODS) set out in Appendix 1-A (“The Substances”) to a sustained level of </w:t>
      </w:r>
      <w:r w:rsidRPr="009A010C">
        <w:rPr>
          <w:b/>
        </w:rPr>
        <w:t>69.52 ODP tonnes by 1 January 2015 in compliance with Montreal Protocol schedules.</w:t>
      </w:r>
    </w:p>
    <w:p w:rsidR="002609D7" w:rsidRPr="009A010C" w:rsidRDefault="002609D7" w:rsidP="002609D7"/>
    <w:p w:rsidR="002609D7" w:rsidRPr="009A010C" w:rsidRDefault="002609D7" w:rsidP="002609D7">
      <w:r w:rsidRPr="009A010C">
        <w:t>14.</w:t>
      </w:r>
      <w:r w:rsidRPr="009A010C">
        <w:tab/>
        <w:t xml:space="preserve">The completion of stage I of the HPMP and the associated Agreement will take place </w:t>
      </w:r>
      <w:r w:rsidRPr="009A010C">
        <w:rPr>
          <w:b/>
        </w:rPr>
        <w:t>by 1 July 2019</w:t>
      </w:r>
      <w:r w:rsidRPr="009A010C">
        <w:t>. The reporting requirements as per sub</w:t>
      </w:r>
      <w:r w:rsidRPr="009A010C">
        <w:noBreakHyphen/>
        <w:t>paragraphs 1(a), 1(b), 1(d), and 1(e) of Appendix 4-A will continue until the time of the completion unless otherwise specified by the Executive Committee.</w:t>
      </w:r>
    </w:p>
    <w:p w:rsidR="002609D7" w:rsidRPr="009A010C" w:rsidRDefault="002609D7" w:rsidP="002609D7"/>
    <w:p w:rsidR="002609D7" w:rsidRPr="00554C80" w:rsidRDefault="002609D7" w:rsidP="00554C80">
      <w:pPr>
        <w:pStyle w:val="Heading1"/>
        <w:numPr>
          <w:ilvl w:val="0"/>
          <w:numId w:val="38"/>
        </w:numPr>
        <w:rPr>
          <w:b/>
        </w:rPr>
      </w:pPr>
      <w:r w:rsidRPr="00554C80">
        <w:rPr>
          <w:b/>
        </w:rPr>
        <w:t>This updated Agreement supersedes the Agreement reached between the Government of the Qatar and the Executive Committee at the 65</w:t>
      </w:r>
      <w:r w:rsidRPr="00554C80">
        <w:rPr>
          <w:b/>
          <w:vertAlign w:val="superscript"/>
        </w:rPr>
        <w:t>th</w:t>
      </w:r>
      <w:r w:rsidRPr="00554C80">
        <w:rPr>
          <w:b/>
        </w:rPr>
        <w:t> meeting of the Executive Committee.</w:t>
      </w:r>
    </w:p>
    <w:p w:rsidR="002609D7" w:rsidRPr="009A010C" w:rsidRDefault="002609D7" w:rsidP="002609D7">
      <w:pPr>
        <w:keepNext/>
        <w:keepLines/>
        <w:rPr>
          <w:b/>
        </w:rPr>
      </w:pPr>
    </w:p>
    <w:p w:rsidR="002609D7" w:rsidRPr="009A010C" w:rsidRDefault="002609D7" w:rsidP="002609D7">
      <w:pPr>
        <w:keepNext/>
        <w:keepLines/>
        <w:rPr>
          <w:b/>
        </w:rPr>
      </w:pPr>
      <w:r w:rsidRPr="009A010C">
        <w:rPr>
          <w:b/>
        </w:rPr>
        <w:t>APPENDIX 2-A: THE TARGETS, AND FUNDING</w:t>
      </w:r>
    </w:p>
    <w:p w:rsidR="002609D7" w:rsidRPr="009A010C" w:rsidRDefault="002609D7" w:rsidP="002609D7">
      <w:pPr>
        <w:keepNext/>
        <w:keepLines/>
        <w:rPr>
          <w:b/>
        </w:rPr>
      </w:pPr>
    </w:p>
    <w:tbl>
      <w:tblPr>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4208"/>
        <w:gridCol w:w="1134"/>
        <w:gridCol w:w="851"/>
        <w:gridCol w:w="850"/>
        <w:gridCol w:w="851"/>
        <w:gridCol w:w="1156"/>
      </w:tblGrid>
      <w:tr w:rsidR="002609D7" w:rsidRPr="009A010C" w:rsidTr="00C651FD">
        <w:trPr>
          <w:trHeight w:val="206"/>
          <w:jc w:val="center"/>
        </w:trPr>
        <w:tc>
          <w:tcPr>
            <w:tcW w:w="630" w:type="dxa"/>
            <w:shd w:val="clear" w:color="auto" w:fill="auto"/>
            <w:noWrap/>
            <w:hideMark/>
          </w:tcPr>
          <w:p w:rsidR="002609D7" w:rsidRPr="009A010C" w:rsidRDefault="002609D7" w:rsidP="00C651FD">
            <w:pPr>
              <w:jc w:val="center"/>
              <w:rPr>
                <w:b/>
                <w:bCs/>
                <w:color w:val="000000"/>
                <w:sz w:val="20"/>
                <w:szCs w:val="20"/>
                <w:lang w:eastAsia="en-CA"/>
              </w:rPr>
            </w:pPr>
            <w:r w:rsidRPr="009A010C">
              <w:rPr>
                <w:b/>
                <w:bCs/>
                <w:color w:val="000000"/>
                <w:sz w:val="20"/>
                <w:szCs w:val="20"/>
                <w:lang w:eastAsia="en-CA"/>
              </w:rPr>
              <w:t>Row</w:t>
            </w:r>
          </w:p>
        </w:tc>
        <w:tc>
          <w:tcPr>
            <w:tcW w:w="4208" w:type="dxa"/>
            <w:shd w:val="clear" w:color="auto" w:fill="auto"/>
            <w:noWrap/>
            <w:hideMark/>
          </w:tcPr>
          <w:p w:rsidR="002609D7" w:rsidRPr="009A010C" w:rsidRDefault="002609D7" w:rsidP="00C651FD">
            <w:pPr>
              <w:jc w:val="center"/>
              <w:rPr>
                <w:b/>
                <w:bCs/>
                <w:color w:val="000000"/>
                <w:sz w:val="20"/>
                <w:szCs w:val="20"/>
                <w:lang w:eastAsia="en-CA"/>
              </w:rPr>
            </w:pPr>
            <w:r w:rsidRPr="009A010C">
              <w:rPr>
                <w:b/>
                <w:bCs/>
                <w:color w:val="000000"/>
                <w:sz w:val="20"/>
                <w:szCs w:val="20"/>
                <w:lang w:eastAsia="en-CA"/>
              </w:rPr>
              <w:t>Particulars</w:t>
            </w:r>
          </w:p>
        </w:tc>
        <w:tc>
          <w:tcPr>
            <w:tcW w:w="1134" w:type="dxa"/>
            <w:shd w:val="clear" w:color="auto" w:fill="auto"/>
            <w:noWrap/>
            <w:hideMark/>
          </w:tcPr>
          <w:p w:rsidR="002609D7" w:rsidRPr="009A010C" w:rsidRDefault="002609D7" w:rsidP="00C651FD">
            <w:pPr>
              <w:jc w:val="center"/>
              <w:rPr>
                <w:b/>
                <w:bCs/>
                <w:color w:val="000000"/>
                <w:sz w:val="20"/>
                <w:szCs w:val="20"/>
                <w:lang w:eastAsia="en-CA"/>
              </w:rPr>
            </w:pPr>
            <w:r w:rsidRPr="009A010C">
              <w:rPr>
                <w:b/>
                <w:bCs/>
                <w:color w:val="000000"/>
                <w:sz w:val="20"/>
                <w:szCs w:val="20"/>
                <w:lang w:eastAsia="en-CA"/>
              </w:rPr>
              <w:t>2011</w:t>
            </w:r>
          </w:p>
        </w:tc>
        <w:tc>
          <w:tcPr>
            <w:tcW w:w="851" w:type="dxa"/>
            <w:shd w:val="clear" w:color="auto" w:fill="auto"/>
            <w:noWrap/>
            <w:hideMark/>
          </w:tcPr>
          <w:p w:rsidR="002609D7" w:rsidRPr="009A010C" w:rsidRDefault="002609D7" w:rsidP="00C651FD">
            <w:pPr>
              <w:jc w:val="center"/>
              <w:rPr>
                <w:b/>
                <w:bCs/>
                <w:color w:val="000000"/>
                <w:sz w:val="20"/>
                <w:szCs w:val="20"/>
                <w:lang w:eastAsia="en-CA"/>
              </w:rPr>
            </w:pPr>
            <w:r w:rsidRPr="009A010C">
              <w:rPr>
                <w:b/>
                <w:bCs/>
                <w:color w:val="000000"/>
                <w:sz w:val="20"/>
                <w:szCs w:val="20"/>
                <w:lang w:eastAsia="en-CA"/>
              </w:rPr>
              <w:t>2012</w:t>
            </w:r>
          </w:p>
        </w:tc>
        <w:tc>
          <w:tcPr>
            <w:tcW w:w="850" w:type="dxa"/>
            <w:shd w:val="clear" w:color="auto" w:fill="auto"/>
            <w:noWrap/>
            <w:hideMark/>
          </w:tcPr>
          <w:p w:rsidR="002609D7" w:rsidRPr="009A010C" w:rsidRDefault="002609D7" w:rsidP="00C651FD">
            <w:pPr>
              <w:jc w:val="center"/>
              <w:rPr>
                <w:b/>
                <w:bCs/>
                <w:color w:val="000000"/>
                <w:sz w:val="20"/>
                <w:szCs w:val="20"/>
                <w:lang w:eastAsia="en-CA"/>
              </w:rPr>
            </w:pPr>
            <w:r w:rsidRPr="009A010C">
              <w:rPr>
                <w:b/>
                <w:bCs/>
                <w:color w:val="000000"/>
                <w:sz w:val="20"/>
                <w:szCs w:val="20"/>
                <w:lang w:eastAsia="en-CA"/>
              </w:rPr>
              <w:t>2013-2014</w:t>
            </w:r>
          </w:p>
        </w:tc>
        <w:tc>
          <w:tcPr>
            <w:tcW w:w="851" w:type="dxa"/>
            <w:shd w:val="clear" w:color="auto" w:fill="auto"/>
            <w:hideMark/>
          </w:tcPr>
          <w:p w:rsidR="002609D7" w:rsidRPr="009A010C" w:rsidRDefault="002609D7" w:rsidP="00C651FD">
            <w:pPr>
              <w:jc w:val="center"/>
              <w:rPr>
                <w:b/>
                <w:bCs/>
                <w:strike/>
                <w:color w:val="000000"/>
                <w:sz w:val="20"/>
                <w:szCs w:val="20"/>
                <w:lang w:eastAsia="en-CA"/>
              </w:rPr>
            </w:pPr>
            <w:r w:rsidRPr="009A010C">
              <w:rPr>
                <w:b/>
                <w:bCs/>
                <w:color w:val="000000"/>
                <w:sz w:val="20"/>
                <w:szCs w:val="20"/>
                <w:lang w:eastAsia="en-CA"/>
              </w:rPr>
              <w:t>2015-2018</w:t>
            </w:r>
          </w:p>
        </w:tc>
        <w:tc>
          <w:tcPr>
            <w:tcW w:w="1156" w:type="dxa"/>
            <w:shd w:val="clear" w:color="auto" w:fill="auto"/>
            <w:noWrap/>
            <w:hideMark/>
          </w:tcPr>
          <w:p w:rsidR="002609D7" w:rsidRPr="009A010C" w:rsidRDefault="002609D7" w:rsidP="00C651FD">
            <w:pPr>
              <w:jc w:val="center"/>
              <w:rPr>
                <w:b/>
                <w:bCs/>
                <w:color w:val="000000"/>
                <w:sz w:val="20"/>
                <w:szCs w:val="20"/>
                <w:lang w:eastAsia="en-CA"/>
              </w:rPr>
            </w:pPr>
            <w:r w:rsidRPr="009A010C">
              <w:rPr>
                <w:b/>
                <w:bCs/>
                <w:color w:val="000000"/>
                <w:sz w:val="20"/>
                <w:szCs w:val="20"/>
                <w:lang w:eastAsia="en-CA"/>
              </w:rPr>
              <w:t>Total</w:t>
            </w:r>
          </w:p>
        </w:tc>
      </w:tr>
      <w:tr w:rsidR="002609D7" w:rsidRPr="009A010C" w:rsidTr="00C651FD">
        <w:trPr>
          <w:trHeight w:val="449"/>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1.1</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Montreal Protocol reduction schedule of Annex C, Group I substances (ODP tonnes)</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n/a</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n/a</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86.9</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78.21</w:t>
            </w:r>
          </w:p>
        </w:tc>
        <w:tc>
          <w:tcPr>
            <w:tcW w:w="1156" w:type="dxa"/>
            <w:shd w:val="clear" w:color="auto" w:fill="auto"/>
            <w:noWrap/>
            <w:hideMark/>
          </w:tcPr>
          <w:p w:rsidR="002609D7" w:rsidRPr="009A010C" w:rsidRDefault="002609D7" w:rsidP="00C651FD">
            <w:pPr>
              <w:jc w:val="right"/>
              <w:rPr>
                <w:color w:val="000000"/>
                <w:sz w:val="20"/>
                <w:szCs w:val="20"/>
                <w:lang w:val="en-US"/>
              </w:rPr>
            </w:pPr>
            <w:r w:rsidRPr="009A010C">
              <w:rPr>
                <w:color w:val="000000"/>
                <w:sz w:val="20"/>
                <w:szCs w:val="20"/>
                <w:lang w:val="en-US"/>
              </w:rPr>
              <w:t>n/a</w:t>
            </w:r>
          </w:p>
        </w:tc>
      </w:tr>
      <w:tr w:rsidR="002609D7" w:rsidRPr="009A010C" w:rsidTr="00C651FD">
        <w:trPr>
          <w:trHeight w:val="315"/>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1.2</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Maximum allowable total consumption of Annex C, Group I substances (ODP tonnes)</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n/a</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n/a</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86.9</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69.52</w:t>
            </w:r>
          </w:p>
        </w:tc>
        <w:tc>
          <w:tcPr>
            <w:tcW w:w="1156" w:type="dxa"/>
            <w:shd w:val="clear" w:color="auto" w:fill="auto"/>
            <w:noWrap/>
            <w:hideMark/>
          </w:tcPr>
          <w:p w:rsidR="002609D7" w:rsidRPr="009A010C" w:rsidRDefault="002609D7" w:rsidP="00C651FD">
            <w:pPr>
              <w:jc w:val="right"/>
              <w:rPr>
                <w:color w:val="000000"/>
                <w:sz w:val="20"/>
                <w:szCs w:val="20"/>
                <w:lang w:val="en-US"/>
              </w:rPr>
            </w:pPr>
            <w:r w:rsidRPr="009A010C">
              <w:rPr>
                <w:color w:val="000000"/>
                <w:sz w:val="20"/>
                <w:szCs w:val="20"/>
                <w:lang w:val="en-US"/>
              </w:rPr>
              <w:t>n/a</w:t>
            </w:r>
          </w:p>
        </w:tc>
      </w:tr>
      <w:tr w:rsidR="002609D7" w:rsidRPr="009A010C" w:rsidTr="00C651FD">
        <w:trPr>
          <w:trHeight w:val="180"/>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2.1</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Lead IA UNIDO agreed funding (US $)</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1,045,907</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0</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0</w:t>
            </w:r>
          </w:p>
        </w:tc>
        <w:tc>
          <w:tcPr>
            <w:tcW w:w="1156" w:type="dxa"/>
            <w:shd w:val="clear" w:color="auto" w:fill="auto"/>
            <w:noWrap/>
            <w:hideMark/>
          </w:tcPr>
          <w:p w:rsidR="002609D7" w:rsidRPr="009A010C" w:rsidRDefault="002609D7" w:rsidP="00C651FD">
            <w:pPr>
              <w:jc w:val="right"/>
              <w:rPr>
                <w:b/>
                <w:color w:val="000000"/>
                <w:sz w:val="20"/>
                <w:szCs w:val="20"/>
                <w:lang w:eastAsia="en-CA"/>
              </w:rPr>
            </w:pPr>
            <w:r w:rsidRPr="009A010C">
              <w:rPr>
                <w:b/>
                <w:color w:val="000000"/>
                <w:sz w:val="20"/>
                <w:szCs w:val="20"/>
                <w:lang w:eastAsia="en-CA"/>
              </w:rPr>
              <w:t>1,045,907</w:t>
            </w:r>
          </w:p>
        </w:tc>
      </w:tr>
      <w:tr w:rsidR="002609D7" w:rsidRPr="009A010C" w:rsidTr="00C651FD">
        <w:trPr>
          <w:trHeight w:val="152"/>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2.2</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Support costs for Lead IA (US $)</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78,443</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0</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0</w:t>
            </w:r>
          </w:p>
        </w:tc>
        <w:tc>
          <w:tcPr>
            <w:tcW w:w="1156" w:type="dxa"/>
            <w:shd w:val="clear" w:color="auto" w:fill="auto"/>
            <w:noWrap/>
            <w:hideMark/>
          </w:tcPr>
          <w:p w:rsidR="002609D7" w:rsidRPr="009A010C" w:rsidRDefault="002609D7" w:rsidP="00C651FD">
            <w:pPr>
              <w:jc w:val="right"/>
              <w:rPr>
                <w:b/>
                <w:color w:val="000000"/>
                <w:sz w:val="20"/>
                <w:szCs w:val="20"/>
                <w:lang w:eastAsia="en-CA"/>
              </w:rPr>
            </w:pPr>
            <w:r w:rsidRPr="009A010C">
              <w:rPr>
                <w:b/>
                <w:color w:val="000000"/>
                <w:sz w:val="20"/>
                <w:szCs w:val="20"/>
                <w:lang w:eastAsia="en-CA"/>
              </w:rPr>
              <w:t>78,443</w:t>
            </w:r>
          </w:p>
        </w:tc>
      </w:tr>
      <w:tr w:rsidR="002609D7" w:rsidRPr="009A010C" w:rsidTr="00C651FD">
        <w:trPr>
          <w:trHeight w:val="130"/>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2.3</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Cooperating IA UNEP agreed funding (US $)</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105,000</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0</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0</w:t>
            </w:r>
          </w:p>
        </w:tc>
        <w:tc>
          <w:tcPr>
            <w:tcW w:w="1156" w:type="dxa"/>
            <w:shd w:val="clear" w:color="auto" w:fill="auto"/>
            <w:noWrap/>
            <w:hideMark/>
          </w:tcPr>
          <w:p w:rsidR="002609D7" w:rsidRPr="009A010C" w:rsidRDefault="002609D7" w:rsidP="00C651FD">
            <w:pPr>
              <w:jc w:val="right"/>
              <w:rPr>
                <w:b/>
                <w:color w:val="000000"/>
                <w:sz w:val="20"/>
                <w:szCs w:val="20"/>
                <w:lang w:eastAsia="en-CA"/>
              </w:rPr>
            </w:pPr>
            <w:r w:rsidRPr="009A010C">
              <w:rPr>
                <w:b/>
                <w:color w:val="000000"/>
                <w:sz w:val="20"/>
                <w:szCs w:val="20"/>
                <w:lang w:eastAsia="en-CA"/>
              </w:rPr>
              <w:t>105,000</w:t>
            </w:r>
          </w:p>
        </w:tc>
      </w:tr>
      <w:tr w:rsidR="002609D7" w:rsidRPr="009A010C" w:rsidTr="00C651FD">
        <w:trPr>
          <w:trHeight w:val="163"/>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2.4</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Support costs for Cooperating IA (US $)</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13,650</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0</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0</w:t>
            </w:r>
          </w:p>
        </w:tc>
        <w:tc>
          <w:tcPr>
            <w:tcW w:w="1156" w:type="dxa"/>
            <w:shd w:val="clear" w:color="auto" w:fill="auto"/>
            <w:noWrap/>
            <w:hideMark/>
          </w:tcPr>
          <w:p w:rsidR="002609D7" w:rsidRPr="009A010C" w:rsidRDefault="002609D7" w:rsidP="00C651FD">
            <w:pPr>
              <w:jc w:val="right"/>
              <w:rPr>
                <w:b/>
                <w:color w:val="000000"/>
                <w:sz w:val="20"/>
                <w:szCs w:val="20"/>
                <w:lang w:eastAsia="en-CA"/>
              </w:rPr>
            </w:pPr>
            <w:r w:rsidRPr="009A010C">
              <w:rPr>
                <w:b/>
                <w:color w:val="000000"/>
                <w:sz w:val="20"/>
                <w:szCs w:val="20"/>
                <w:lang w:eastAsia="en-CA"/>
              </w:rPr>
              <w:t>13,650</w:t>
            </w:r>
          </w:p>
        </w:tc>
      </w:tr>
      <w:tr w:rsidR="002609D7" w:rsidRPr="009A010C" w:rsidTr="00C651FD">
        <w:trPr>
          <w:trHeight w:val="143"/>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3.1</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Total agreed funding (US $)</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1,150,907</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0</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0</w:t>
            </w:r>
          </w:p>
        </w:tc>
        <w:tc>
          <w:tcPr>
            <w:tcW w:w="1156" w:type="dxa"/>
            <w:shd w:val="clear" w:color="auto" w:fill="auto"/>
            <w:noWrap/>
            <w:hideMark/>
          </w:tcPr>
          <w:p w:rsidR="002609D7" w:rsidRPr="009A010C" w:rsidRDefault="002609D7" w:rsidP="00C651FD">
            <w:pPr>
              <w:jc w:val="right"/>
              <w:rPr>
                <w:b/>
                <w:color w:val="000000"/>
                <w:sz w:val="20"/>
                <w:szCs w:val="20"/>
                <w:lang w:eastAsia="en-CA"/>
              </w:rPr>
            </w:pPr>
            <w:r w:rsidRPr="009A010C">
              <w:rPr>
                <w:b/>
                <w:color w:val="000000"/>
                <w:sz w:val="20"/>
                <w:szCs w:val="20"/>
                <w:lang w:eastAsia="en-CA"/>
              </w:rPr>
              <w:t>1,150,907</w:t>
            </w:r>
          </w:p>
        </w:tc>
      </w:tr>
      <w:tr w:rsidR="002609D7" w:rsidRPr="009A010C" w:rsidTr="00C651FD">
        <w:trPr>
          <w:trHeight w:val="197"/>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3.2</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Total support cost (US $)</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92,093</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0</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0</w:t>
            </w:r>
          </w:p>
        </w:tc>
        <w:tc>
          <w:tcPr>
            <w:tcW w:w="1156" w:type="dxa"/>
            <w:shd w:val="clear" w:color="auto" w:fill="auto"/>
            <w:noWrap/>
            <w:hideMark/>
          </w:tcPr>
          <w:p w:rsidR="002609D7" w:rsidRPr="009A010C" w:rsidRDefault="002609D7" w:rsidP="00C651FD">
            <w:pPr>
              <w:jc w:val="right"/>
              <w:rPr>
                <w:b/>
                <w:color w:val="000000"/>
                <w:sz w:val="20"/>
                <w:szCs w:val="20"/>
                <w:lang w:eastAsia="en-CA"/>
              </w:rPr>
            </w:pPr>
            <w:r w:rsidRPr="009A010C">
              <w:rPr>
                <w:b/>
                <w:color w:val="000000"/>
                <w:sz w:val="20"/>
                <w:szCs w:val="20"/>
                <w:lang w:eastAsia="en-CA"/>
              </w:rPr>
              <w:t>92,093</w:t>
            </w:r>
          </w:p>
        </w:tc>
      </w:tr>
      <w:tr w:rsidR="002609D7" w:rsidRPr="009A010C" w:rsidTr="00C651FD">
        <w:trPr>
          <w:trHeight w:val="161"/>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3.3</w:t>
            </w:r>
          </w:p>
        </w:tc>
        <w:tc>
          <w:tcPr>
            <w:tcW w:w="4208"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Total agreed costs (US$) </w:t>
            </w:r>
          </w:p>
        </w:tc>
        <w:tc>
          <w:tcPr>
            <w:tcW w:w="1134"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1,243,000</w:t>
            </w:r>
          </w:p>
        </w:tc>
        <w:tc>
          <w:tcPr>
            <w:tcW w:w="851"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c>
          <w:tcPr>
            <w:tcW w:w="850" w:type="dxa"/>
            <w:shd w:val="clear" w:color="auto" w:fill="auto"/>
            <w:noWrap/>
            <w:hideMark/>
          </w:tcPr>
          <w:p w:rsidR="002609D7" w:rsidRPr="009A010C" w:rsidRDefault="002609D7" w:rsidP="00C651FD">
            <w:pPr>
              <w:jc w:val="right"/>
              <w:rPr>
                <w:b/>
                <w:color w:val="000000"/>
                <w:sz w:val="20"/>
                <w:szCs w:val="20"/>
                <w:lang w:val="en-US"/>
              </w:rPr>
            </w:pPr>
            <w:r w:rsidRPr="009A010C">
              <w:rPr>
                <w:b/>
                <w:color w:val="000000"/>
                <w:sz w:val="20"/>
                <w:szCs w:val="20"/>
                <w:lang w:val="en-US"/>
              </w:rPr>
              <w:t>0</w:t>
            </w:r>
          </w:p>
        </w:tc>
        <w:tc>
          <w:tcPr>
            <w:tcW w:w="851" w:type="dxa"/>
            <w:shd w:val="clear" w:color="auto" w:fill="auto"/>
            <w:noWrap/>
            <w:hideMark/>
          </w:tcPr>
          <w:p w:rsidR="002609D7" w:rsidRPr="009A010C" w:rsidRDefault="002609D7" w:rsidP="00C651FD">
            <w:pPr>
              <w:jc w:val="right"/>
              <w:rPr>
                <w:b/>
                <w:strike/>
                <w:color w:val="000000"/>
                <w:sz w:val="20"/>
                <w:szCs w:val="20"/>
                <w:lang w:val="en-US"/>
              </w:rPr>
            </w:pPr>
            <w:r w:rsidRPr="009A010C">
              <w:rPr>
                <w:b/>
                <w:color w:val="000000"/>
                <w:sz w:val="20"/>
                <w:szCs w:val="20"/>
                <w:lang w:val="en-US"/>
              </w:rPr>
              <w:t>0</w:t>
            </w:r>
          </w:p>
        </w:tc>
        <w:tc>
          <w:tcPr>
            <w:tcW w:w="1156" w:type="dxa"/>
            <w:shd w:val="clear" w:color="auto" w:fill="auto"/>
            <w:noWrap/>
            <w:hideMark/>
          </w:tcPr>
          <w:p w:rsidR="002609D7" w:rsidRPr="009A010C" w:rsidRDefault="002609D7" w:rsidP="00C651FD">
            <w:pPr>
              <w:jc w:val="right"/>
              <w:rPr>
                <w:b/>
                <w:color w:val="000000"/>
                <w:sz w:val="20"/>
                <w:szCs w:val="20"/>
                <w:lang w:eastAsia="en-CA"/>
              </w:rPr>
            </w:pPr>
            <w:r w:rsidRPr="009A010C">
              <w:rPr>
                <w:b/>
                <w:color w:val="000000"/>
                <w:sz w:val="20"/>
                <w:szCs w:val="20"/>
                <w:lang w:eastAsia="en-CA"/>
              </w:rPr>
              <w:t>1,243,000</w:t>
            </w:r>
          </w:p>
        </w:tc>
      </w:tr>
      <w:tr w:rsidR="002609D7" w:rsidRPr="009A010C" w:rsidTr="00C651FD">
        <w:trPr>
          <w:trHeight w:val="215"/>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4.1.1</w:t>
            </w:r>
          </w:p>
        </w:tc>
        <w:tc>
          <w:tcPr>
            <w:tcW w:w="7894" w:type="dxa"/>
            <w:gridSpan w:val="5"/>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Total phase-out of HCFC-22 agreed to be achieved under this Agreement (ODP tonnes) </w:t>
            </w:r>
          </w:p>
        </w:tc>
        <w:tc>
          <w:tcPr>
            <w:tcW w:w="1156"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45.81</w:t>
            </w:r>
          </w:p>
        </w:tc>
      </w:tr>
      <w:tr w:rsidR="002609D7" w:rsidRPr="009A010C" w:rsidTr="00C651FD">
        <w:trPr>
          <w:trHeight w:val="170"/>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4.1.2</w:t>
            </w:r>
          </w:p>
        </w:tc>
        <w:tc>
          <w:tcPr>
            <w:tcW w:w="7894" w:type="dxa"/>
            <w:gridSpan w:val="5"/>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Phase-out of HCFC-22 to be achieved in previously approved projects (ODP tonnes) </w:t>
            </w:r>
          </w:p>
        </w:tc>
        <w:tc>
          <w:tcPr>
            <w:tcW w:w="1156"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r>
      <w:tr w:rsidR="002609D7" w:rsidRPr="009A010C" w:rsidTr="00C651FD">
        <w:trPr>
          <w:trHeight w:val="170"/>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4.1.3</w:t>
            </w:r>
          </w:p>
        </w:tc>
        <w:tc>
          <w:tcPr>
            <w:tcW w:w="7894" w:type="dxa"/>
            <w:gridSpan w:val="5"/>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Remaining eligible consumption for HCFC-22 (ODP tonnes) </w:t>
            </w:r>
          </w:p>
        </w:tc>
        <w:tc>
          <w:tcPr>
            <w:tcW w:w="1156"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27.64</w:t>
            </w:r>
          </w:p>
        </w:tc>
      </w:tr>
      <w:tr w:rsidR="002609D7" w:rsidRPr="009A010C" w:rsidTr="00C651FD">
        <w:trPr>
          <w:trHeight w:val="197"/>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4.2.1</w:t>
            </w:r>
          </w:p>
        </w:tc>
        <w:tc>
          <w:tcPr>
            <w:tcW w:w="7894" w:type="dxa"/>
            <w:gridSpan w:val="5"/>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Total phase-out of HCFC-141b agreed to be achieved under this Agreement (ODP tonnes) </w:t>
            </w:r>
          </w:p>
        </w:tc>
        <w:tc>
          <w:tcPr>
            <w:tcW w:w="1156"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r>
      <w:tr w:rsidR="002609D7" w:rsidRPr="009A010C" w:rsidTr="00C651FD">
        <w:trPr>
          <w:trHeight w:val="188"/>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4.2.2</w:t>
            </w:r>
          </w:p>
        </w:tc>
        <w:tc>
          <w:tcPr>
            <w:tcW w:w="7894" w:type="dxa"/>
            <w:gridSpan w:val="5"/>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Phase-out of HCFC-141b to be achieved in previously approved projects (ODP tonnes) </w:t>
            </w:r>
          </w:p>
        </w:tc>
        <w:tc>
          <w:tcPr>
            <w:tcW w:w="1156"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r>
      <w:tr w:rsidR="002609D7" w:rsidRPr="009A010C" w:rsidTr="00C651FD">
        <w:trPr>
          <w:trHeight w:val="170"/>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4.2.3</w:t>
            </w:r>
          </w:p>
        </w:tc>
        <w:tc>
          <w:tcPr>
            <w:tcW w:w="7894" w:type="dxa"/>
            <w:gridSpan w:val="5"/>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Remaining eligible consumption for HCFC-141b (ODP tonnes) </w:t>
            </w:r>
          </w:p>
        </w:tc>
        <w:tc>
          <w:tcPr>
            <w:tcW w:w="1156"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0.58</w:t>
            </w:r>
          </w:p>
        </w:tc>
      </w:tr>
      <w:tr w:rsidR="002609D7" w:rsidRPr="009A010C" w:rsidTr="00C651FD">
        <w:trPr>
          <w:trHeight w:val="188"/>
          <w:jc w:val="center"/>
        </w:trPr>
        <w:tc>
          <w:tcPr>
            <w:tcW w:w="630" w:type="dxa"/>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4.3.1</w:t>
            </w:r>
          </w:p>
        </w:tc>
        <w:tc>
          <w:tcPr>
            <w:tcW w:w="7894" w:type="dxa"/>
            <w:gridSpan w:val="5"/>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Total phase-out of HCFC-142b agreed to be achieved under this Agreement (ODP tonnes) </w:t>
            </w:r>
          </w:p>
        </w:tc>
        <w:tc>
          <w:tcPr>
            <w:tcW w:w="1156" w:type="dxa"/>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12.05</w:t>
            </w:r>
          </w:p>
        </w:tc>
      </w:tr>
      <w:tr w:rsidR="002609D7" w:rsidRPr="009A010C" w:rsidTr="00C651FD">
        <w:trPr>
          <w:trHeight w:val="179"/>
          <w:jc w:val="center"/>
        </w:trPr>
        <w:tc>
          <w:tcPr>
            <w:tcW w:w="630" w:type="dxa"/>
            <w:tcBorders>
              <w:bottom w:val="single" w:sz="4" w:space="0" w:color="auto"/>
            </w:tcBorders>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4.3.2</w:t>
            </w:r>
          </w:p>
        </w:tc>
        <w:tc>
          <w:tcPr>
            <w:tcW w:w="7894" w:type="dxa"/>
            <w:gridSpan w:val="5"/>
            <w:tcBorders>
              <w:bottom w:val="single" w:sz="4" w:space="0" w:color="auto"/>
            </w:tcBorders>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Phase-out of HCFC-142b to be achieved in previously approved projects (ODP tonnes) </w:t>
            </w:r>
          </w:p>
        </w:tc>
        <w:tc>
          <w:tcPr>
            <w:tcW w:w="1156" w:type="dxa"/>
            <w:tcBorders>
              <w:bottom w:val="single" w:sz="4" w:space="0" w:color="auto"/>
            </w:tcBorders>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r>
      <w:tr w:rsidR="002609D7" w:rsidRPr="009A010C" w:rsidTr="00C651FD">
        <w:trPr>
          <w:trHeight w:val="215"/>
          <w:jc w:val="center"/>
        </w:trPr>
        <w:tc>
          <w:tcPr>
            <w:tcW w:w="630" w:type="dxa"/>
            <w:tcBorders>
              <w:bottom w:val="single" w:sz="4" w:space="0" w:color="auto"/>
            </w:tcBorders>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4.3.3</w:t>
            </w:r>
          </w:p>
        </w:tc>
        <w:tc>
          <w:tcPr>
            <w:tcW w:w="7894" w:type="dxa"/>
            <w:gridSpan w:val="5"/>
            <w:tcBorders>
              <w:bottom w:val="single" w:sz="4" w:space="0" w:color="auto"/>
            </w:tcBorders>
            <w:shd w:val="clear" w:color="auto" w:fill="auto"/>
            <w:noWrap/>
            <w:hideMark/>
          </w:tcPr>
          <w:p w:rsidR="002609D7" w:rsidRPr="009A010C" w:rsidRDefault="002609D7" w:rsidP="00C651FD">
            <w:pPr>
              <w:jc w:val="left"/>
              <w:rPr>
                <w:color w:val="000000"/>
                <w:sz w:val="20"/>
                <w:szCs w:val="20"/>
                <w:lang w:eastAsia="en-CA"/>
              </w:rPr>
            </w:pPr>
            <w:r w:rsidRPr="009A010C">
              <w:rPr>
                <w:color w:val="000000"/>
                <w:sz w:val="20"/>
                <w:szCs w:val="20"/>
                <w:lang w:eastAsia="en-CA"/>
              </w:rPr>
              <w:t xml:space="preserve">Remaining eligible consumption for HCFC-142b (ODP tonnes) </w:t>
            </w:r>
          </w:p>
        </w:tc>
        <w:tc>
          <w:tcPr>
            <w:tcW w:w="1156" w:type="dxa"/>
            <w:tcBorders>
              <w:bottom w:val="single" w:sz="4" w:space="0" w:color="auto"/>
            </w:tcBorders>
            <w:shd w:val="clear" w:color="auto" w:fill="auto"/>
            <w:noWrap/>
            <w:hideMark/>
          </w:tcPr>
          <w:p w:rsidR="002609D7" w:rsidRPr="009A010C" w:rsidRDefault="002609D7" w:rsidP="00C651FD">
            <w:pPr>
              <w:jc w:val="right"/>
              <w:rPr>
                <w:color w:val="000000"/>
                <w:sz w:val="20"/>
                <w:szCs w:val="20"/>
                <w:lang w:eastAsia="en-CA"/>
              </w:rPr>
            </w:pPr>
            <w:r w:rsidRPr="009A010C">
              <w:rPr>
                <w:color w:val="000000"/>
                <w:sz w:val="20"/>
                <w:szCs w:val="20"/>
                <w:lang w:eastAsia="en-CA"/>
              </w:rPr>
              <w:t>0</w:t>
            </w:r>
          </w:p>
        </w:tc>
      </w:tr>
    </w:tbl>
    <w:p w:rsidR="002609D7" w:rsidRPr="009A010C" w:rsidRDefault="002609D7" w:rsidP="002609D7"/>
    <w:p w:rsidR="002609D7" w:rsidRPr="009A010C" w:rsidRDefault="002609D7" w:rsidP="002609D7"/>
    <w:p w:rsidR="002609D7" w:rsidRPr="009A010C" w:rsidRDefault="002609D7" w:rsidP="002609D7">
      <w:pPr>
        <w:rPr>
          <w:lang w:val="en-CA"/>
        </w:rPr>
      </w:pPr>
    </w:p>
    <w:p w:rsidR="002609D7" w:rsidRPr="009A010C" w:rsidRDefault="002609D7" w:rsidP="002609D7">
      <w:pPr>
        <w:rPr>
          <w:lang w:val="en-CA"/>
        </w:rPr>
      </w:pPr>
    </w:p>
    <w:p w:rsidR="002609D7" w:rsidRPr="009A010C" w:rsidRDefault="002609D7" w:rsidP="000354F9">
      <w:pPr>
        <w:spacing w:line="360" w:lineRule="auto"/>
        <w:jc w:val="center"/>
      </w:pPr>
    </w:p>
    <w:p w:rsidR="002609D7" w:rsidRPr="009A010C" w:rsidRDefault="002609D7" w:rsidP="000354F9">
      <w:pPr>
        <w:spacing w:line="360" w:lineRule="auto"/>
        <w:jc w:val="center"/>
        <w:sectPr w:rsidR="002609D7" w:rsidRPr="009A010C" w:rsidSect="00423B3A">
          <w:headerReference w:type="first" r:id="rId15"/>
          <w:footerReference w:type="first" r:id="rId16"/>
          <w:pgSz w:w="12240" w:h="15840" w:code="1"/>
          <w:pgMar w:top="720" w:right="1440" w:bottom="864" w:left="1440" w:header="720" w:footer="475" w:gutter="0"/>
          <w:pgNumType w:start="1"/>
          <w:cols w:space="720"/>
          <w:titlePg/>
          <w:docGrid w:linePitch="299"/>
        </w:sectPr>
      </w:pPr>
    </w:p>
    <w:p w:rsidR="000354F9" w:rsidRPr="009A010C" w:rsidRDefault="000354F9" w:rsidP="000354F9">
      <w:pPr>
        <w:spacing w:line="360" w:lineRule="auto"/>
        <w:jc w:val="center"/>
        <w:rPr>
          <w:b/>
        </w:rPr>
      </w:pPr>
      <w:r w:rsidRPr="009A010C">
        <w:rPr>
          <w:b/>
        </w:rPr>
        <w:lastRenderedPageBreak/>
        <w:t xml:space="preserve">Annex </w:t>
      </w:r>
      <w:r w:rsidR="002609D7" w:rsidRPr="009A010C">
        <w:rPr>
          <w:b/>
        </w:rPr>
        <w:t>II</w:t>
      </w:r>
    </w:p>
    <w:p w:rsidR="000354F9" w:rsidRPr="009A010C" w:rsidRDefault="000354F9" w:rsidP="000354F9">
      <w:pPr>
        <w:spacing w:line="360" w:lineRule="auto"/>
        <w:jc w:val="center"/>
        <w:rPr>
          <w:b/>
        </w:rPr>
      </w:pPr>
    </w:p>
    <w:p w:rsidR="000354F9" w:rsidRPr="009A010C" w:rsidRDefault="000354F9" w:rsidP="000354F9">
      <w:pPr>
        <w:jc w:val="center"/>
        <w:rPr>
          <w:b/>
        </w:rPr>
      </w:pPr>
      <w:r w:rsidRPr="009A010C">
        <w:rPr>
          <w:b/>
        </w:rPr>
        <w:t>TEXT TO BE INCLUDED IN THE UPDATED AGREEMENT BETWEEN THE GOVERNMENT OF THE BOLIVARIAN REPUBLIC OF VENEZUELA AND THE EXECUTIVE COMMITTEE OF THE MULTILATERAL FUND FOR THE REDUCTION IN CONSUMPTION OF HYDROCHLOROFLUOROCARBONS IN ACCORDANCE WITH STAGE II OF THE HCFC PHASE-OUT MANAGEMENT PLAN</w:t>
      </w:r>
    </w:p>
    <w:p w:rsidR="000354F9" w:rsidRPr="009A010C" w:rsidRDefault="000354F9" w:rsidP="000354F9">
      <w:pPr>
        <w:jc w:val="center"/>
        <w:rPr>
          <w:b/>
        </w:rPr>
      </w:pPr>
    </w:p>
    <w:p w:rsidR="000354F9" w:rsidRPr="009A010C" w:rsidRDefault="000354F9" w:rsidP="000354F9">
      <w:pPr>
        <w:spacing w:line="360" w:lineRule="auto"/>
        <w:rPr>
          <w:b/>
        </w:rPr>
      </w:pPr>
    </w:p>
    <w:p w:rsidR="000354F9" w:rsidRPr="009A010C" w:rsidRDefault="000354F9" w:rsidP="00AD221F">
      <w:pPr>
        <w:pStyle w:val="Heading1"/>
        <w:numPr>
          <w:ilvl w:val="0"/>
          <w:numId w:val="7"/>
        </w:numPr>
        <w:rPr>
          <w:b/>
          <w:lang w:val="en-CA"/>
        </w:rPr>
      </w:pPr>
      <w:r w:rsidRPr="009A010C">
        <w:rPr>
          <w:b/>
          <w:lang w:val="en-CA"/>
        </w:rPr>
        <w:t>This updated Agreement supersedes the Agreement reached between the Government of the Bolivarian Republic of Venezuela and the Executive Committee at the 76</w:t>
      </w:r>
      <w:r w:rsidRPr="009A010C">
        <w:rPr>
          <w:b/>
          <w:vertAlign w:val="superscript"/>
          <w:lang w:val="en-CA"/>
        </w:rPr>
        <w:t>th</w:t>
      </w:r>
      <w:r w:rsidRPr="009A010C">
        <w:rPr>
          <w:b/>
          <w:lang w:val="en-CA"/>
        </w:rPr>
        <w:t xml:space="preserve"> meeting of the Executive Committee.</w:t>
      </w:r>
    </w:p>
    <w:p w:rsidR="000354F9" w:rsidRPr="009A010C" w:rsidRDefault="000354F9" w:rsidP="000354F9">
      <w:pPr>
        <w:rPr>
          <w:b/>
        </w:rPr>
      </w:pPr>
      <w:r w:rsidRPr="009A010C">
        <w:rPr>
          <w:b/>
        </w:rPr>
        <w:t>APPENDIX 2-A: THE TARGETS, AND FUNDING</w:t>
      </w:r>
    </w:p>
    <w:tbl>
      <w:tblPr>
        <w:tblW w:w="5000" w:type="pct"/>
        <w:jc w:val="center"/>
        <w:tblLook w:val="04A0" w:firstRow="1" w:lastRow="0" w:firstColumn="1" w:lastColumn="0" w:noHBand="0" w:noVBand="1"/>
      </w:tblPr>
      <w:tblGrid>
        <w:gridCol w:w="633"/>
        <w:gridCol w:w="3758"/>
        <w:gridCol w:w="826"/>
        <w:gridCol w:w="826"/>
        <w:gridCol w:w="827"/>
        <w:gridCol w:w="827"/>
        <w:gridCol w:w="797"/>
        <w:gridCol w:w="856"/>
      </w:tblGrid>
      <w:tr w:rsidR="000354F9" w:rsidRPr="009A010C" w:rsidTr="000354F9">
        <w:trPr>
          <w:trHeight w:val="315"/>
          <w:jc w:val="center"/>
        </w:trPr>
        <w:tc>
          <w:tcPr>
            <w:tcW w:w="3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Row</w:t>
            </w:r>
          </w:p>
        </w:tc>
        <w:tc>
          <w:tcPr>
            <w:tcW w:w="20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Particulars</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2016</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2017</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2018</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2019</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2020</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center"/>
              <w:rPr>
                <w:b/>
                <w:bCs/>
                <w:color w:val="000000"/>
                <w:sz w:val="18"/>
                <w:szCs w:val="18"/>
                <w:lang w:val="en-US"/>
              </w:rPr>
            </w:pPr>
            <w:r w:rsidRPr="009A010C">
              <w:rPr>
                <w:b/>
                <w:bCs/>
                <w:color w:val="000000"/>
                <w:sz w:val="18"/>
                <w:szCs w:val="18"/>
                <w:lang w:val="en-US"/>
              </w:rPr>
              <w:t>Total</w:t>
            </w:r>
          </w:p>
        </w:tc>
      </w:tr>
      <w:tr w:rsidR="000354F9" w:rsidRPr="009A010C" w:rsidTr="000354F9">
        <w:trPr>
          <w:trHeight w:val="246"/>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1.1</w:t>
            </w:r>
          </w:p>
        </w:tc>
        <w:tc>
          <w:tcPr>
            <w:tcW w:w="2010"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Montreal Protocol reduction schedule of Annex C, Group I substances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26"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134.55</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n/a</w:t>
            </w:r>
          </w:p>
        </w:tc>
      </w:tr>
      <w:tr w:rsidR="000354F9" w:rsidRPr="009A010C" w:rsidTr="000354F9">
        <w:trPr>
          <w:trHeight w:val="380"/>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1.2</w:t>
            </w:r>
          </w:p>
        </w:tc>
        <w:tc>
          <w:tcPr>
            <w:tcW w:w="2010"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Maximum allowable total consumption of Annex C, Group I substances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42"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186.25</w:t>
            </w:r>
          </w:p>
        </w:tc>
        <w:tc>
          <w:tcPr>
            <w:tcW w:w="426"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120.03</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center"/>
              <w:rPr>
                <w:rFonts w:eastAsiaTheme="minorHAnsi"/>
                <w:sz w:val="16"/>
                <w:szCs w:val="16"/>
              </w:rPr>
            </w:pPr>
            <w:r w:rsidRPr="009A010C">
              <w:rPr>
                <w:rFonts w:eastAsiaTheme="minorHAnsi"/>
                <w:sz w:val="16"/>
                <w:szCs w:val="16"/>
              </w:rPr>
              <w:t>n/a</w:t>
            </w:r>
          </w:p>
        </w:tc>
      </w:tr>
      <w:tr w:rsidR="000354F9" w:rsidRPr="009A010C" w:rsidTr="000354F9">
        <w:trPr>
          <w:trHeight w:val="196"/>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2.1</w:t>
            </w:r>
          </w:p>
        </w:tc>
        <w:tc>
          <w:tcPr>
            <w:tcW w:w="2010"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Lead IA (UNIDO) agreed funding (US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sz w:val="16"/>
                <w:szCs w:val="16"/>
              </w:rPr>
            </w:pPr>
            <w:r w:rsidRPr="009A010C">
              <w:rPr>
                <w:rFonts w:eastAsiaTheme="minorHAnsi"/>
                <w:sz w:val="16"/>
                <w:szCs w:val="16"/>
              </w:rPr>
              <w:t>600,000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b/>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b/>
                <w:sz w:val="16"/>
                <w:szCs w:val="16"/>
              </w:rPr>
            </w:pPr>
            <w:r w:rsidRPr="009A010C">
              <w:rPr>
                <w:rFonts w:eastAsiaTheme="minorHAnsi"/>
                <w:b/>
                <w:sz w:val="16"/>
                <w:szCs w:val="16"/>
              </w:rPr>
              <w:t>575,000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b/>
                <w:sz w:val="16"/>
                <w:szCs w:val="16"/>
              </w:rPr>
            </w:pPr>
            <w:r w:rsidRPr="009A010C">
              <w:rPr>
                <w:b/>
                <w:color w:val="000000"/>
                <w:sz w:val="16"/>
                <w:szCs w:val="16"/>
              </w:rPr>
              <w:t>792,144</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sz w:val="16"/>
                <w:szCs w:val="16"/>
              </w:rPr>
            </w:pPr>
            <w:r w:rsidRPr="009A010C">
              <w:rPr>
                <w:color w:val="000000"/>
                <w:sz w:val="16"/>
                <w:szCs w:val="16"/>
              </w:rPr>
              <w:t>1,967,144</w:t>
            </w:r>
          </w:p>
        </w:tc>
      </w:tr>
      <w:tr w:rsidR="000354F9" w:rsidRPr="009A010C" w:rsidTr="000354F9">
        <w:trPr>
          <w:trHeight w:val="156"/>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2.2</w:t>
            </w:r>
          </w:p>
        </w:tc>
        <w:tc>
          <w:tcPr>
            <w:tcW w:w="2010"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Support costs for Lead IA (US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sz w:val="16"/>
                <w:szCs w:val="16"/>
              </w:rPr>
            </w:pPr>
            <w:r w:rsidRPr="009A010C">
              <w:rPr>
                <w:rFonts w:eastAsiaTheme="minorHAnsi"/>
                <w:sz w:val="16"/>
                <w:szCs w:val="16"/>
              </w:rPr>
              <w:t>42,000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rFonts w:eastAsiaTheme="minorHAnsi"/>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rFonts w:eastAsiaTheme="minorHAnsi"/>
                <w:b/>
                <w:sz w:val="16"/>
                <w:szCs w:val="16"/>
              </w:rPr>
              <w:t>40,250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color w:val="000000"/>
                <w:sz w:val="16"/>
                <w:szCs w:val="16"/>
              </w:rPr>
              <w:t>55,450</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sz w:val="16"/>
                <w:szCs w:val="16"/>
              </w:rPr>
            </w:pPr>
            <w:r w:rsidRPr="009A010C">
              <w:rPr>
                <w:color w:val="000000"/>
                <w:sz w:val="16"/>
                <w:szCs w:val="16"/>
              </w:rPr>
              <w:t>137,700</w:t>
            </w:r>
          </w:p>
        </w:tc>
      </w:tr>
      <w:tr w:rsidR="000354F9" w:rsidRPr="009A010C" w:rsidTr="000354F9">
        <w:trPr>
          <w:trHeight w:val="156"/>
          <w:jc w:val="center"/>
        </w:trPr>
        <w:tc>
          <w:tcPr>
            <w:tcW w:w="339"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left"/>
              <w:rPr>
                <w:color w:val="000000"/>
                <w:sz w:val="18"/>
                <w:szCs w:val="18"/>
                <w:lang w:val="en-US"/>
              </w:rPr>
            </w:pPr>
            <w:r w:rsidRPr="009A010C">
              <w:rPr>
                <w:color w:val="000000"/>
                <w:sz w:val="18"/>
                <w:szCs w:val="18"/>
                <w:lang w:val="en-US"/>
              </w:rPr>
              <w:t>2.3</w:t>
            </w:r>
          </w:p>
        </w:tc>
        <w:tc>
          <w:tcPr>
            <w:tcW w:w="2010"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rPr>
                <w:sz w:val="18"/>
                <w:szCs w:val="18"/>
              </w:rPr>
            </w:pPr>
            <w:r w:rsidRPr="009A010C">
              <w:rPr>
                <w:sz w:val="18"/>
                <w:szCs w:val="18"/>
              </w:rPr>
              <w:t>Cooperating IA (UNDP) agreed funding (US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b/>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color w:val="000000"/>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b/>
                <w:sz w:val="16"/>
                <w:szCs w:val="16"/>
              </w:rPr>
            </w:pPr>
            <w:r w:rsidRPr="009A010C">
              <w:rPr>
                <w:b/>
                <w:color w:val="000000"/>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b/>
                <w:sz w:val="16"/>
                <w:szCs w:val="16"/>
              </w:rPr>
            </w:pPr>
            <w:r w:rsidRPr="009A010C">
              <w:rPr>
                <w:b/>
                <w:color w:val="000000"/>
                <w:sz w:val="16"/>
                <w:szCs w:val="16"/>
              </w:rPr>
              <w:t>0</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b/>
                <w:sz w:val="16"/>
                <w:szCs w:val="16"/>
              </w:rPr>
            </w:pPr>
            <w:r w:rsidRPr="009A010C">
              <w:rPr>
                <w:b/>
                <w:color w:val="000000"/>
                <w:sz w:val="16"/>
                <w:szCs w:val="16"/>
              </w:rPr>
              <w:t>0</w:t>
            </w:r>
          </w:p>
        </w:tc>
        <w:tc>
          <w:tcPr>
            <w:tcW w:w="458"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b/>
                <w:sz w:val="16"/>
                <w:szCs w:val="16"/>
              </w:rPr>
            </w:pPr>
            <w:r w:rsidRPr="009A010C">
              <w:rPr>
                <w:b/>
                <w:color w:val="000000"/>
                <w:sz w:val="16"/>
                <w:szCs w:val="16"/>
              </w:rPr>
              <w:t>0</w:t>
            </w:r>
          </w:p>
        </w:tc>
      </w:tr>
      <w:tr w:rsidR="000354F9" w:rsidRPr="009A010C" w:rsidTr="000354F9">
        <w:trPr>
          <w:trHeight w:val="156"/>
          <w:jc w:val="center"/>
        </w:trPr>
        <w:tc>
          <w:tcPr>
            <w:tcW w:w="339"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left"/>
              <w:rPr>
                <w:color w:val="000000"/>
                <w:sz w:val="18"/>
                <w:szCs w:val="18"/>
                <w:lang w:val="en-US"/>
              </w:rPr>
            </w:pPr>
            <w:r w:rsidRPr="009A010C">
              <w:rPr>
                <w:color w:val="000000"/>
                <w:sz w:val="18"/>
                <w:szCs w:val="18"/>
                <w:lang w:val="en-US"/>
              </w:rPr>
              <w:t>2.4</w:t>
            </w:r>
          </w:p>
        </w:tc>
        <w:tc>
          <w:tcPr>
            <w:tcW w:w="2010"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rPr>
                <w:sz w:val="18"/>
                <w:szCs w:val="18"/>
              </w:rPr>
            </w:pPr>
            <w:r w:rsidRPr="009A010C">
              <w:rPr>
                <w:sz w:val="18"/>
                <w:szCs w:val="18"/>
              </w:rPr>
              <w:t>Support costs for Cooperating IA (US $)</w:t>
            </w:r>
          </w:p>
        </w:tc>
        <w:tc>
          <w:tcPr>
            <w:tcW w:w="442"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b/>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b/>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b/>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b/>
                <w:sz w:val="16"/>
                <w:szCs w:val="16"/>
              </w:rPr>
            </w:pPr>
            <w:r w:rsidRPr="009A010C">
              <w:rPr>
                <w:b/>
                <w:sz w:val="16"/>
                <w:szCs w:val="16"/>
              </w:rPr>
              <w:t>0</w:t>
            </w: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b/>
                <w:sz w:val="16"/>
                <w:szCs w:val="16"/>
              </w:rPr>
            </w:pPr>
            <w:r w:rsidRPr="009A010C">
              <w:rPr>
                <w:b/>
                <w:sz w:val="16"/>
                <w:szCs w:val="16"/>
              </w:rPr>
              <w:t>0</w:t>
            </w:r>
          </w:p>
        </w:tc>
        <w:tc>
          <w:tcPr>
            <w:tcW w:w="458"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b/>
                <w:sz w:val="16"/>
                <w:szCs w:val="16"/>
              </w:rPr>
            </w:pPr>
            <w:r w:rsidRPr="009A010C">
              <w:rPr>
                <w:b/>
                <w:sz w:val="16"/>
                <w:szCs w:val="16"/>
              </w:rPr>
              <w:t>0</w:t>
            </w:r>
          </w:p>
        </w:tc>
      </w:tr>
      <w:tr w:rsidR="000354F9" w:rsidRPr="009A010C" w:rsidTr="000354F9">
        <w:trPr>
          <w:trHeight w:val="118"/>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3.1</w:t>
            </w:r>
          </w:p>
        </w:tc>
        <w:tc>
          <w:tcPr>
            <w:tcW w:w="2010"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agreed funding (US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b/>
                <w:sz w:val="16"/>
                <w:szCs w:val="16"/>
              </w:rPr>
            </w:pPr>
            <w:r w:rsidRPr="009A010C">
              <w:rPr>
                <w:rFonts w:eastAsiaTheme="minorHAnsi"/>
                <w:b/>
                <w:sz w:val="16"/>
                <w:szCs w:val="16"/>
              </w:rPr>
              <w:t>600,000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sz w:val="16"/>
                <w:szCs w:val="16"/>
              </w:rPr>
            </w:pPr>
            <w:r w:rsidRPr="009A010C">
              <w:rPr>
                <w:rFonts w:eastAsiaTheme="minorHAnsi"/>
                <w:b/>
                <w:sz w:val="16"/>
                <w:szCs w:val="16"/>
              </w:rPr>
              <w:t>575,000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b/>
                <w:sz w:val="16"/>
                <w:szCs w:val="16"/>
              </w:rPr>
            </w:pPr>
            <w:r w:rsidRPr="009A010C">
              <w:rPr>
                <w:b/>
                <w:color w:val="000000"/>
                <w:sz w:val="16"/>
                <w:szCs w:val="16"/>
              </w:rPr>
              <w:t>792,144</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color w:val="000000"/>
                <w:sz w:val="16"/>
                <w:szCs w:val="16"/>
              </w:rPr>
              <w:t>1,967,144</w:t>
            </w:r>
          </w:p>
        </w:tc>
      </w:tr>
      <w:tr w:rsidR="000354F9" w:rsidRPr="009A010C" w:rsidTr="000354F9">
        <w:trPr>
          <w:trHeight w:val="164"/>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3.2</w:t>
            </w:r>
          </w:p>
        </w:tc>
        <w:tc>
          <w:tcPr>
            <w:tcW w:w="2010"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support costs (US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b/>
                <w:sz w:val="16"/>
                <w:szCs w:val="16"/>
              </w:rPr>
            </w:pPr>
            <w:r w:rsidRPr="009A010C">
              <w:rPr>
                <w:rFonts w:eastAsiaTheme="minorHAnsi"/>
                <w:b/>
                <w:sz w:val="16"/>
                <w:szCs w:val="16"/>
              </w:rPr>
              <w:t>42,000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sz w:val="16"/>
                <w:szCs w:val="16"/>
              </w:rPr>
            </w:pPr>
            <w:r w:rsidRPr="009A010C">
              <w:rPr>
                <w:rFonts w:eastAsiaTheme="minorHAnsi"/>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sz w:val="16"/>
                <w:szCs w:val="16"/>
              </w:rPr>
            </w:pPr>
            <w:r w:rsidRPr="009A010C">
              <w:rPr>
                <w:b/>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sz w:val="16"/>
                <w:szCs w:val="16"/>
              </w:rPr>
            </w:pPr>
            <w:r w:rsidRPr="009A010C">
              <w:rPr>
                <w:rFonts w:eastAsiaTheme="minorHAnsi"/>
                <w:b/>
                <w:sz w:val="16"/>
                <w:szCs w:val="16"/>
              </w:rPr>
              <w:t>40,250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color w:val="000000"/>
                <w:sz w:val="16"/>
                <w:szCs w:val="16"/>
              </w:rPr>
              <w:t>55,450</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color w:val="000000"/>
                <w:sz w:val="16"/>
                <w:szCs w:val="16"/>
              </w:rPr>
              <w:t>137,700</w:t>
            </w:r>
          </w:p>
        </w:tc>
      </w:tr>
      <w:tr w:rsidR="000354F9" w:rsidRPr="009A010C" w:rsidTr="000354F9">
        <w:trPr>
          <w:trHeight w:val="224"/>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3.3</w:t>
            </w:r>
          </w:p>
        </w:tc>
        <w:tc>
          <w:tcPr>
            <w:tcW w:w="2010"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agreed costs (US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b/>
                <w:sz w:val="16"/>
                <w:szCs w:val="16"/>
              </w:rPr>
            </w:pPr>
            <w:r w:rsidRPr="009A010C">
              <w:rPr>
                <w:b/>
                <w:sz w:val="16"/>
                <w:szCs w:val="16"/>
              </w:rPr>
              <w:t>642,000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sz w:val="16"/>
                <w:szCs w:val="16"/>
              </w:rPr>
            </w:pPr>
            <w:r w:rsidRPr="009A010C">
              <w:rPr>
                <w:b/>
                <w:color w:val="000000"/>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rsidR="000354F9" w:rsidRPr="009A010C" w:rsidRDefault="000354F9" w:rsidP="000354F9">
            <w:pPr>
              <w:jc w:val="right"/>
              <w:rPr>
                <w:rFonts w:eastAsiaTheme="minorHAnsi"/>
                <w:sz w:val="16"/>
                <w:szCs w:val="16"/>
              </w:rPr>
            </w:pPr>
            <w:r w:rsidRPr="009A010C">
              <w:rPr>
                <w:b/>
                <w:color w:val="000000"/>
                <w:sz w:val="16"/>
                <w:szCs w:val="16"/>
              </w:rPr>
              <w:t>0</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b/>
                <w:sz w:val="16"/>
                <w:szCs w:val="16"/>
              </w:rPr>
            </w:pPr>
            <w:r w:rsidRPr="009A010C">
              <w:rPr>
                <w:b/>
                <w:color w:val="000000"/>
                <w:sz w:val="16"/>
                <w:szCs w:val="16"/>
              </w:rPr>
              <w:t>615,250</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right"/>
              <w:rPr>
                <w:rFonts w:eastAsiaTheme="minorHAnsi"/>
                <w:b/>
                <w:sz w:val="16"/>
                <w:szCs w:val="16"/>
              </w:rPr>
            </w:pPr>
            <w:r w:rsidRPr="009A010C">
              <w:rPr>
                <w:b/>
                <w:color w:val="000000"/>
                <w:sz w:val="16"/>
                <w:szCs w:val="16"/>
              </w:rPr>
              <w:t>847,594</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rsidR="000354F9" w:rsidRPr="009A010C" w:rsidRDefault="000354F9" w:rsidP="000354F9">
            <w:pPr>
              <w:jc w:val="right"/>
              <w:rPr>
                <w:rFonts w:eastAsiaTheme="minorHAnsi"/>
                <w:b/>
                <w:sz w:val="16"/>
                <w:szCs w:val="16"/>
              </w:rPr>
            </w:pPr>
            <w:r w:rsidRPr="009A010C">
              <w:rPr>
                <w:b/>
                <w:color w:val="000000"/>
                <w:sz w:val="16"/>
                <w:szCs w:val="16"/>
              </w:rPr>
              <w:t>2,104,844</w:t>
            </w:r>
          </w:p>
        </w:tc>
      </w:tr>
      <w:tr w:rsidR="000354F9" w:rsidRPr="009A010C" w:rsidTr="000354F9">
        <w:trPr>
          <w:trHeight w:val="226"/>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4.1.1</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phase-out of HCFC-22 agreed to be achieved under this Agreement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22.94</w:t>
            </w:r>
          </w:p>
        </w:tc>
      </w:tr>
      <w:tr w:rsidR="000354F9" w:rsidRPr="009A010C" w:rsidTr="000354F9">
        <w:trPr>
          <w:trHeight w:val="130"/>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4.1.2</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Phase-out of HCFC-22 to be achieved in previously approved projects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23.16</w:t>
            </w:r>
          </w:p>
        </w:tc>
      </w:tr>
      <w:tr w:rsidR="000354F9" w:rsidRPr="009A010C" w:rsidTr="000354F9">
        <w:trPr>
          <w:trHeight w:val="148"/>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4.1.3</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Remaining eligible consumption for HCFC-22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115.53</w:t>
            </w:r>
          </w:p>
        </w:tc>
      </w:tr>
      <w:tr w:rsidR="000354F9" w:rsidRPr="009A010C" w:rsidTr="000354F9">
        <w:trPr>
          <w:trHeight w:val="112"/>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4.2.1</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phase-out of HCFC-123 agreed to be achieved under this Agreement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9A010C" w:rsidTr="000354F9">
        <w:trPr>
          <w:trHeight w:val="172"/>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4.2.2</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Phase-out of HCFC-123 to be achieved in previously approved projects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9A010C" w:rsidTr="000354F9">
        <w:trPr>
          <w:trHeight w:val="232"/>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4.2.3</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Remaining eligible consumption for HCFC-123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0.07</w:t>
            </w:r>
          </w:p>
        </w:tc>
      </w:tr>
      <w:tr w:rsidR="000354F9" w:rsidRPr="009A010C" w:rsidTr="000354F9">
        <w:trPr>
          <w:trHeight w:val="122"/>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4.3.1</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phase-out of HCFC-124 agreed to be achieved under this Agreement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9A010C" w:rsidTr="000354F9">
        <w:trPr>
          <w:trHeight w:val="182"/>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4.3.2</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Phase-out of HCFC-124 to be achieved in previously approved projects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9A010C" w:rsidTr="000354F9">
        <w:trPr>
          <w:trHeight w:val="130"/>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4.3.3</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Remaining eligible consumption for HCFC-124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9A010C" w:rsidTr="000354F9">
        <w:trPr>
          <w:trHeight w:val="147"/>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4.4.1</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phase-out of HCFC-141b agreed to be achieved under this Agreement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b/>
                <w:color w:val="000000"/>
                <w:sz w:val="18"/>
                <w:szCs w:val="18"/>
                <w:lang w:val="en-US"/>
              </w:rPr>
            </w:pPr>
            <w:r w:rsidRPr="009A010C">
              <w:rPr>
                <w:b/>
                <w:color w:val="000000"/>
                <w:sz w:val="18"/>
                <w:szCs w:val="18"/>
                <w:lang w:val="en-US"/>
              </w:rPr>
              <w:t>0.00</w:t>
            </w:r>
          </w:p>
        </w:tc>
      </w:tr>
      <w:tr w:rsidR="000354F9" w:rsidRPr="009A010C" w:rsidTr="000354F9">
        <w:trPr>
          <w:trHeight w:val="206"/>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4.4.2</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Phase-out of HCFC-141b to be achieved in previously approved projects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9A010C" w:rsidTr="000354F9">
        <w:trPr>
          <w:trHeight w:val="124"/>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4.4.3</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Remaining eligible consumption for HCFC-141b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b/>
                <w:color w:val="000000"/>
                <w:sz w:val="18"/>
                <w:szCs w:val="18"/>
                <w:lang w:val="en-US"/>
              </w:rPr>
              <w:t>39.56</w:t>
            </w:r>
          </w:p>
        </w:tc>
      </w:tr>
      <w:tr w:rsidR="000354F9" w:rsidRPr="009A010C" w:rsidTr="000354F9">
        <w:trPr>
          <w:trHeight w:val="184"/>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4.5.1</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Total phase-out of HCFC-142b agreed to be achieved under this Agreement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b/>
                <w:color w:val="000000"/>
                <w:sz w:val="18"/>
                <w:szCs w:val="18"/>
                <w:lang w:val="en-US"/>
              </w:rPr>
            </w:pPr>
            <w:r w:rsidRPr="009A010C">
              <w:rPr>
                <w:color w:val="000000"/>
                <w:sz w:val="18"/>
                <w:szCs w:val="18"/>
                <w:lang w:val="en-US"/>
              </w:rPr>
              <w:t>0.00</w:t>
            </w:r>
          </w:p>
        </w:tc>
      </w:tr>
      <w:tr w:rsidR="000354F9" w:rsidRPr="009A010C" w:rsidTr="000354F9">
        <w:trPr>
          <w:trHeight w:val="230"/>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4.5.2</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Phase-out of HCFC-142b to be achieved in previously approved projects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9A010C" w:rsidTr="000354F9">
        <w:trPr>
          <w:trHeight w:val="141"/>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4.5.3</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Remaining eligible consumption for HCFC-142b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5.68</w:t>
            </w:r>
          </w:p>
        </w:tc>
      </w:tr>
      <w:tr w:rsidR="000354F9" w:rsidRPr="009A010C" w:rsidTr="000354F9">
        <w:trPr>
          <w:trHeight w:val="407"/>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4.6.1</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left"/>
              <w:rPr>
                <w:color w:val="000000"/>
                <w:sz w:val="18"/>
                <w:szCs w:val="18"/>
                <w:lang w:val="en-US"/>
              </w:rPr>
            </w:pPr>
            <w:r w:rsidRPr="009A010C">
              <w:rPr>
                <w:color w:val="000000"/>
                <w:sz w:val="18"/>
                <w:szCs w:val="18"/>
                <w:lang w:val="en-US"/>
              </w:rPr>
              <w:t>Total phase-out of HCFC-141b contained in imported pre-blended polyols agreed to be achieved under this Agreement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b/>
                <w:color w:val="000000"/>
                <w:sz w:val="18"/>
                <w:szCs w:val="18"/>
                <w:lang w:val="en-US"/>
              </w:rPr>
            </w:pPr>
            <w:r w:rsidRPr="009A010C">
              <w:rPr>
                <w:b/>
                <w:color w:val="000000"/>
                <w:sz w:val="18"/>
                <w:szCs w:val="18"/>
                <w:lang w:val="en-US"/>
              </w:rPr>
              <w:t>0.00</w:t>
            </w:r>
          </w:p>
        </w:tc>
      </w:tr>
      <w:tr w:rsidR="000354F9" w:rsidRPr="009A010C" w:rsidTr="009A010C">
        <w:trPr>
          <w:trHeight w:val="442"/>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4.6.2</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left"/>
              <w:rPr>
                <w:color w:val="000000"/>
                <w:sz w:val="18"/>
                <w:szCs w:val="18"/>
                <w:lang w:val="en-US"/>
              </w:rPr>
            </w:pPr>
            <w:r w:rsidRPr="009A010C">
              <w:rPr>
                <w:color w:val="000000"/>
                <w:sz w:val="18"/>
                <w:szCs w:val="18"/>
                <w:lang w:val="en-US"/>
              </w:rPr>
              <w:t>Phase-out of HCFC-141b contained in imported pre-blended polyols to be achieved in previously approved projects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right"/>
              <w:rPr>
                <w:color w:val="000000"/>
                <w:sz w:val="18"/>
                <w:szCs w:val="18"/>
                <w:lang w:val="en-US"/>
              </w:rPr>
            </w:pPr>
            <w:r w:rsidRPr="009A010C">
              <w:rPr>
                <w:color w:val="000000"/>
                <w:sz w:val="18"/>
                <w:szCs w:val="18"/>
                <w:lang w:val="en-US"/>
              </w:rPr>
              <w:t>0.00</w:t>
            </w:r>
          </w:p>
        </w:tc>
      </w:tr>
      <w:tr w:rsidR="000354F9" w:rsidRPr="00BE4154" w:rsidTr="009A010C">
        <w:trPr>
          <w:trHeight w:val="315"/>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rsidR="000354F9" w:rsidRPr="009A010C" w:rsidRDefault="000354F9" w:rsidP="000354F9">
            <w:pPr>
              <w:jc w:val="left"/>
              <w:rPr>
                <w:color w:val="000000"/>
                <w:sz w:val="18"/>
                <w:szCs w:val="18"/>
                <w:lang w:val="en-US"/>
              </w:rPr>
            </w:pPr>
            <w:r w:rsidRPr="009A010C">
              <w:rPr>
                <w:color w:val="000000"/>
                <w:sz w:val="18"/>
                <w:szCs w:val="18"/>
                <w:lang w:val="en-US"/>
              </w:rPr>
              <w:t>4.6.3</w:t>
            </w:r>
          </w:p>
        </w:tc>
        <w:tc>
          <w:tcPr>
            <w:tcW w:w="4204"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354F9" w:rsidRPr="009A010C" w:rsidRDefault="000354F9" w:rsidP="000354F9">
            <w:pPr>
              <w:jc w:val="left"/>
              <w:rPr>
                <w:color w:val="000000"/>
                <w:sz w:val="18"/>
                <w:szCs w:val="18"/>
                <w:lang w:val="en-US"/>
              </w:rPr>
            </w:pPr>
            <w:r w:rsidRPr="009A010C">
              <w:rPr>
                <w:color w:val="000000"/>
                <w:sz w:val="18"/>
                <w:szCs w:val="18"/>
                <w:lang w:val="en-US"/>
              </w:rPr>
              <w:t>Remaining eligible consumption for HCFC-141b contained in imported pre-blended polyols (ODP </w:t>
            </w:r>
            <w:proofErr w:type="spellStart"/>
            <w:r w:rsidRPr="009A010C">
              <w:rPr>
                <w:color w:val="000000"/>
                <w:sz w:val="18"/>
                <w:szCs w:val="18"/>
                <w:lang w:val="en-US"/>
              </w:rPr>
              <w:t>tonnes</w:t>
            </w:r>
            <w:proofErr w:type="spellEnd"/>
            <w:r w:rsidRPr="009A010C">
              <w:rPr>
                <w:color w:val="000000"/>
                <w:sz w:val="18"/>
                <w:szCs w:val="18"/>
                <w:lang w:val="en-US"/>
              </w:rPr>
              <w:t>)</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0354F9" w:rsidRPr="00BE4154" w:rsidRDefault="000354F9" w:rsidP="000354F9">
            <w:pPr>
              <w:jc w:val="right"/>
              <w:rPr>
                <w:b/>
                <w:color w:val="000000"/>
                <w:sz w:val="18"/>
                <w:szCs w:val="18"/>
                <w:lang w:val="en-US"/>
              </w:rPr>
            </w:pPr>
            <w:r w:rsidRPr="009A010C">
              <w:rPr>
                <w:b/>
                <w:color w:val="000000"/>
                <w:sz w:val="18"/>
                <w:szCs w:val="18"/>
                <w:lang w:val="en-US"/>
              </w:rPr>
              <w:t>1.91</w:t>
            </w:r>
          </w:p>
        </w:tc>
      </w:tr>
    </w:tbl>
    <w:p w:rsidR="000354F9" w:rsidRDefault="000354F9" w:rsidP="000354F9">
      <w:pPr>
        <w:pStyle w:val="0Heading0"/>
      </w:pPr>
    </w:p>
    <w:p w:rsidR="000354F9" w:rsidRDefault="000354F9" w:rsidP="009230B9">
      <w:pPr>
        <w:autoSpaceDE w:val="0"/>
        <w:autoSpaceDN w:val="0"/>
        <w:adjustRightInd w:val="0"/>
        <w:jc w:val="center"/>
        <w:rPr>
          <w:b/>
          <w:bCs/>
          <w:lang w:val="en-CA"/>
        </w:rPr>
      </w:pPr>
    </w:p>
    <w:p w:rsidR="000354F9" w:rsidRDefault="000354F9" w:rsidP="009230B9">
      <w:pPr>
        <w:autoSpaceDE w:val="0"/>
        <w:autoSpaceDN w:val="0"/>
        <w:adjustRightInd w:val="0"/>
        <w:jc w:val="center"/>
        <w:rPr>
          <w:b/>
          <w:bCs/>
          <w:lang w:val="en-CA"/>
        </w:rPr>
      </w:pPr>
    </w:p>
    <w:p w:rsidR="009230B9" w:rsidRDefault="009230B9" w:rsidP="009A010C">
      <w:pPr>
        <w:autoSpaceDE w:val="0"/>
        <w:autoSpaceDN w:val="0"/>
        <w:adjustRightInd w:val="0"/>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9124C" w:rsidTr="00E12FF0">
        <w:trPr>
          <w:jc w:val="center"/>
        </w:trPr>
        <w:tc>
          <w:tcPr>
            <w:tcW w:w="1871" w:type="dxa"/>
          </w:tcPr>
          <w:p w:rsidR="00E85409" w:rsidRPr="00E9124C" w:rsidRDefault="00E85409" w:rsidP="002A31F4">
            <w:pPr>
              <w:rPr>
                <w:lang w:val="en-CA"/>
              </w:rPr>
            </w:pPr>
          </w:p>
        </w:tc>
        <w:tc>
          <w:tcPr>
            <w:tcW w:w="1872" w:type="dxa"/>
          </w:tcPr>
          <w:p w:rsidR="00E85409" w:rsidRPr="00E9124C" w:rsidRDefault="00E85409" w:rsidP="002A31F4">
            <w:pPr>
              <w:rPr>
                <w:lang w:val="en-CA"/>
              </w:rPr>
            </w:pPr>
          </w:p>
        </w:tc>
        <w:tc>
          <w:tcPr>
            <w:tcW w:w="1872" w:type="dxa"/>
            <w:tcBorders>
              <w:bottom w:val="single" w:sz="4" w:space="0" w:color="auto"/>
            </w:tcBorders>
          </w:tcPr>
          <w:p w:rsidR="00E85409" w:rsidRPr="00E9124C" w:rsidRDefault="00E85409" w:rsidP="002A31F4">
            <w:pPr>
              <w:rPr>
                <w:lang w:val="en-CA"/>
              </w:rPr>
            </w:pPr>
          </w:p>
        </w:tc>
        <w:tc>
          <w:tcPr>
            <w:tcW w:w="1872" w:type="dxa"/>
          </w:tcPr>
          <w:p w:rsidR="00E85409" w:rsidRPr="00E9124C" w:rsidRDefault="00E85409" w:rsidP="002A31F4">
            <w:pPr>
              <w:rPr>
                <w:lang w:val="en-CA"/>
              </w:rPr>
            </w:pPr>
          </w:p>
        </w:tc>
        <w:tc>
          <w:tcPr>
            <w:tcW w:w="1873" w:type="dxa"/>
          </w:tcPr>
          <w:p w:rsidR="00E85409" w:rsidRPr="00E9124C" w:rsidRDefault="00E85409" w:rsidP="002A31F4">
            <w:pPr>
              <w:rPr>
                <w:lang w:val="en-CA"/>
              </w:rPr>
            </w:pPr>
          </w:p>
        </w:tc>
      </w:tr>
    </w:tbl>
    <w:p w:rsidR="00E85409" w:rsidRPr="00E9124C" w:rsidRDefault="00E85409" w:rsidP="002A31F4">
      <w:pPr>
        <w:rPr>
          <w:lang w:val="en-CA"/>
        </w:rPr>
      </w:pPr>
    </w:p>
    <w:sectPr w:rsidR="00E85409" w:rsidRPr="00E9124C" w:rsidSect="00F17452">
      <w:headerReference w:type="firs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B6C" w:rsidRDefault="005C1B6C" w:rsidP="004A504B">
      <w:r>
        <w:separator/>
      </w:r>
    </w:p>
  </w:endnote>
  <w:endnote w:type="continuationSeparator" w:id="0">
    <w:p w:rsidR="005C1B6C" w:rsidRDefault="005C1B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68373"/>
      <w:docPartObj>
        <w:docPartGallery w:val="Page Numbers (Bottom of Page)"/>
        <w:docPartUnique/>
      </w:docPartObj>
    </w:sdtPr>
    <w:sdtEndPr>
      <w:rPr>
        <w:noProof/>
      </w:rPr>
    </w:sdtEndPr>
    <w:sdtContent>
      <w:p w:rsidR="005C1B6C" w:rsidRDefault="005C1B6C">
        <w:pPr>
          <w:pStyle w:val="Footer"/>
          <w:jc w:val="center"/>
        </w:pPr>
        <w:r>
          <w:fldChar w:fldCharType="begin"/>
        </w:r>
        <w:r>
          <w:instrText xml:space="preserve"> PAGE   \* MERGEFORMAT </w:instrText>
        </w:r>
        <w:r>
          <w:fldChar w:fldCharType="separate"/>
        </w:r>
        <w:r w:rsidR="00EB3AAA">
          <w:rPr>
            <w:noProof/>
          </w:rPr>
          <w:t>50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21203"/>
      <w:docPartObj>
        <w:docPartGallery w:val="Page Numbers (Bottom of Page)"/>
        <w:docPartUnique/>
      </w:docPartObj>
    </w:sdtPr>
    <w:sdtEndPr>
      <w:rPr>
        <w:noProof/>
      </w:rPr>
    </w:sdtEndPr>
    <w:sdtContent>
      <w:p w:rsidR="005C1B6C" w:rsidRDefault="005C1B6C">
        <w:pPr>
          <w:pStyle w:val="Footer"/>
          <w:jc w:val="center"/>
        </w:pPr>
        <w:r>
          <w:fldChar w:fldCharType="begin"/>
        </w:r>
        <w:r>
          <w:instrText xml:space="preserve"> PAGE   \* MERGEFORMAT </w:instrText>
        </w:r>
        <w:r>
          <w:fldChar w:fldCharType="separate"/>
        </w:r>
        <w:r w:rsidR="00EB3AAA">
          <w:rPr>
            <w:noProof/>
          </w:rPr>
          <w:t>49</w:t>
        </w:r>
        <w:r>
          <w:rPr>
            <w:noProof/>
          </w:rPr>
          <w:fldChar w:fldCharType="end"/>
        </w:r>
      </w:p>
    </w:sdtContent>
  </w:sdt>
  <w:p w:rsidR="005C1B6C" w:rsidRDefault="005C1B6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B6C" w:rsidRDefault="005C1B6C" w:rsidP="00A0186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C1B6C" w:rsidRDefault="005C1B6C" w:rsidP="00A0186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947283"/>
      <w:docPartObj>
        <w:docPartGallery w:val="Page Numbers (Bottom of Page)"/>
        <w:docPartUnique/>
      </w:docPartObj>
    </w:sdtPr>
    <w:sdtEndPr>
      <w:rPr>
        <w:noProof/>
      </w:rPr>
    </w:sdtEndPr>
    <w:sdtContent>
      <w:p w:rsidR="005C1B6C" w:rsidRDefault="005C1B6C">
        <w:pPr>
          <w:pStyle w:val="Footer"/>
          <w:jc w:val="center"/>
        </w:pPr>
        <w:r>
          <w:fldChar w:fldCharType="begin"/>
        </w:r>
        <w:r>
          <w:instrText xml:space="preserve"> PAGE   \* MERGEFORMAT </w:instrText>
        </w:r>
        <w:r>
          <w:fldChar w:fldCharType="separate"/>
        </w:r>
        <w:r w:rsidR="00EB3AAA">
          <w:rPr>
            <w:noProof/>
          </w:rPr>
          <w:t>1</w:t>
        </w:r>
        <w:r>
          <w:rPr>
            <w:noProof/>
          </w:rPr>
          <w:fldChar w:fldCharType="end"/>
        </w:r>
      </w:p>
    </w:sdtContent>
  </w:sdt>
  <w:p w:rsidR="005C1B6C" w:rsidRPr="00B55499" w:rsidRDefault="005C1B6C" w:rsidP="00B5549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053886"/>
      <w:docPartObj>
        <w:docPartGallery w:val="Page Numbers (Bottom of Page)"/>
        <w:docPartUnique/>
      </w:docPartObj>
    </w:sdtPr>
    <w:sdtEndPr>
      <w:rPr>
        <w:noProof/>
      </w:rPr>
    </w:sdtEndPr>
    <w:sdtContent>
      <w:p w:rsidR="005C1B6C" w:rsidRDefault="005C1B6C">
        <w:pPr>
          <w:pStyle w:val="Footer"/>
          <w:jc w:val="center"/>
        </w:pPr>
        <w:r>
          <w:fldChar w:fldCharType="begin"/>
        </w:r>
        <w:r>
          <w:instrText xml:space="preserve"> PAGE   \* MERGEFORMAT </w:instrText>
        </w:r>
        <w:r>
          <w:fldChar w:fldCharType="separate"/>
        </w:r>
        <w:r w:rsidR="00EB3AAA">
          <w:rPr>
            <w:noProof/>
          </w:rPr>
          <w:t>1</w:t>
        </w:r>
        <w:r>
          <w:rPr>
            <w:noProof/>
          </w:rPr>
          <w:fldChar w:fldCharType="end"/>
        </w:r>
      </w:p>
    </w:sdtContent>
  </w:sdt>
  <w:p w:rsidR="005C1B6C" w:rsidRPr="0002512C" w:rsidRDefault="005C1B6C" w:rsidP="0002512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B6C" w:rsidRDefault="005C1B6C" w:rsidP="004A504B">
      <w:r>
        <w:separator/>
      </w:r>
    </w:p>
  </w:footnote>
  <w:footnote w:type="continuationSeparator" w:id="0">
    <w:p w:rsidR="005C1B6C" w:rsidRDefault="005C1B6C" w:rsidP="004A504B">
      <w:r>
        <w:continuationSeparator/>
      </w:r>
    </w:p>
  </w:footnote>
  <w:footnote w:id="1">
    <w:p w:rsidR="005C1B6C" w:rsidRPr="00581D8D" w:rsidRDefault="005C1B6C" w:rsidP="00AB7C95">
      <w:pPr>
        <w:pStyle w:val="FootnoteText"/>
      </w:pPr>
      <w:r w:rsidRPr="00581D8D">
        <w:rPr>
          <w:rStyle w:val="FootnoteReference"/>
        </w:rPr>
        <w:footnoteRef/>
      </w:r>
      <w:r w:rsidRPr="00581D8D">
        <w:t xml:space="preserve"> UNEP/</w:t>
      </w:r>
      <w:proofErr w:type="spellStart"/>
      <w:r w:rsidRPr="00581D8D">
        <w:t>OzL.Pro</w:t>
      </w:r>
      <w:proofErr w:type="spellEnd"/>
      <w:r w:rsidRPr="00581D8D">
        <w:t>/</w:t>
      </w:r>
      <w:proofErr w:type="spellStart"/>
      <w:r w:rsidRPr="00581D8D">
        <w:t>ExCom</w:t>
      </w:r>
      <w:proofErr w:type="spellEnd"/>
      <w:r w:rsidRPr="00581D8D">
        <w:t xml:space="preserve">/79/8-13. </w:t>
      </w:r>
    </w:p>
  </w:footnote>
  <w:footnote w:id="2">
    <w:p w:rsidR="005C1B6C" w:rsidRPr="006471C7" w:rsidRDefault="005C1B6C" w:rsidP="00007BD2">
      <w:pPr>
        <w:pStyle w:val="FootnoteText"/>
        <w:widowControl w:val="0"/>
      </w:pPr>
      <w:r>
        <w:rPr>
          <w:rStyle w:val="FootnoteReference"/>
        </w:rPr>
        <w:footnoteRef/>
      </w:r>
      <w:r>
        <w:t xml:space="preserve"> The Committee invited the Government, through the relevant implementing agency, in future financial audit reports, to provide data on all funds that were being held by the Government for disbursement to beneficiaries, and the interest accrued from those balances, on the process agent II, solvent and the refrigeration servicing sector plans; and information on progress related to the work plans for the sector plans and its proposal on how to use potential balances.</w:t>
      </w:r>
    </w:p>
  </w:footnote>
  <w:footnote w:id="3">
    <w:p w:rsidR="005C1B6C" w:rsidRPr="00B84511" w:rsidRDefault="005C1B6C" w:rsidP="00007BD2">
      <w:pPr>
        <w:pStyle w:val="FootnoteText"/>
        <w:widowControl w:val="0"/>
      </w:pPr>
      <w:r>
        <w:rPr>
          <w:rStyle w:val="FootnoteReference"/>
        </w:rPr>
        <w:footnoteRef/>
      </w:r>
      <w:r>
        <w:t xml:space="preserve"> </w:t>
      </w:r>
      <w:r w:rsidRPr="00B84511">
        <w:t>The Committee invited the Government</w:t>
      </w:r>
      <w:r>
        <w:t>,</w:t>
      </w:r>
      <w:r w:rsidRPr="00B84511">
        <w:t xml:space="preserve"> through the relevant implementing agency,</w:t>
      </w:r>
      <w:r>
        <w:t xml:space="preserve"> </w:t>
      </w:r>
      <w:r w:rsidRPr="00B84511">
        <w:t>to submit to the 73</w:t>
      </w:r>
      <w:r w:rsidRPr="00B84511">
        <w:rPr>
          <w:vertAlign w:val="superscript"/>
        </w:rPr>
        <w:t>rd</w:t>
      </w:r>
      <w:r>
        <w:rPr>
          <w:vertAlign w:val="superscript"/>
        </w:rPr>
        <w:t> </w:t>
      </w:r>
      <w:r w:rsidRPr="00B84511">
        <w:t>meeting the financial audit reports for the process agent II, solvent and CFC refrigeration servicing sectors, together with the plans for the remaining funds for the halon, CFC production, foam, process agent II, solvent, and CFC refrigeration servicing sectors, describing how they would be used for activities related to ODS phase</w:t>
      </w:r>
      <w:r>
        <w:noBreakHyphen/>
      </w:r>
      <w:r w:rsidRPr="00B84511">
        <w:t>out and allow for the completion of those sector plans by the end of 2018.</w:t>
      </w:r>
    </w:p>
  </w:footnote>
  <w:footnote w:id="4">
    <w:p w:rsidR="005C1B6C" w:rsidRPr="00820355" w:rsidRDefault="005C1B6C" w:rsidP="00007BD2">
      <w:pPr>
        <w:pStyle w:val="FootnoteText"/>
        <w:widowControl w:val="0"/>
      </w:pPr>
      <w:r>
        <w:rPr>
          <w:rStyle w:val="FootnoteReference"/>
        </w:rPr>
        <w:footnoteRef/>
      </w:r>
      <w:r>
        <w:t xml:space="preserve"> The Government and the relevant bilateral and implementing agencies were requested to submit annual progress reports, audit reports, and interest accrued during the implementation of the CFC production, halon, PU foam, process agent II, refrigeration servicing and solvent sector plans, until the completion of all activities no later than 31 December 2018, and to submit project completion reports for the sector plans no later than the first meeting in 2019.</w:t>
      </w:r>
    </w:p>
  </w:footnote>
  <w:footnote w:id="5">
    <w:p w:rsidR="005C1B6C" w:rsidRPr="00820355" w:rsidRDefault="005C1B6C" w:rsidP="00007BD2">
      <w:pPr>
        <w:pStyle w:val="FootnoteText"/>
        <w:widowControl w:val="0"/>
      </w:pPr>
      <w:r>
        <w:rPr>
          <w:rStyle w:val="FootnoteReference"/>
        </w:rPr>
        <w:footnoteRef/>
      </w:r>
      <w:r>
        <w:t xml:space="preserve"> The Government was invited to include the results of the activities on the screening and evaluation of CFC</w:t>
      </w:r>
      <w:r>
        <w:noBreakHyphen/>
        <w:t>free substitutes and the development of new substitutes in a report to be submitted when those activities had been completed; to collect information where available on halon recovery as part of its collection of information on CFC recovery during visits to ship dismantling centres; and to undertake a study on its country’s production of CTC and its use for feedstock applications and to make the results of the study available to the Committee by the end of 2018.</w:t>
      </w:r>
    </w:p>
  </w:footnote>
  <w:footnote w:id="6">
    <w:p w:rsidR="005C1B6C" w:rsidRPr="00E8599D" w:rsidRDefault="005C1B6C" w:rsidP="00007BD2">
      <w:pPr>
        <w:pStyle w:val="FootnoteText"/>
        <w:widowControl w:val="0"/>
      </w:pPr>
      <w:r>
        <w:rPr>
          <w:rStyle w:val="FootnoteReference"/>
        </w:rPr>
        <w:footnoteRef/>
      </w:r>
      <w:r>
        <w:t xml:space="preserve"> </w:t>
      </w:r>
      <w:r w:rsidRPr="00E8599D">
        <w:t>T</w:t>
      </w:r>
      <w:r>
        <w:t>he</w:t>
      </w:r>
      <w:r w:rsidRPr="00E8599D">
        <w:t xml:space="preserve"> Government </w:t>
      </w:r>
      <w:r>
        <w:t xml:space="preserve">was requested </w:t>
      </w:r>
      <w:r w:rsidRPr="00E8599D">
        <w:t>to provide to the 79</w:t>
      </w:r>
      <w:r w:rsidRPr="00E8599D">
        <w:rPr>
          <w:vertAlign w:val="superscript"/>
        </w:rPr>
        <w:t>th</w:t>
      </w:r>
      <w:r>
        <w:t xml:space="preserve"> </w:t>
      </w:r>
      <w:r w:rsidRPr="00E8599D">
        <w:t>meeting final study reports on all research and development projects undertaken with funds from the</w:t>
      </w:r>
      <w:r>
        <w:t xml:space="preserve"> Multilateral</w:t>
      </w:r>
      <w:r w:rsidRPr="00E8599D">
        <w:t xml:space="preserve"> Fund under the CFC production sector.</w:t>
      </w:r>
    </w:p>
  </w:footnote>
  <w:footnote w:id="7">
    <w:p w:rsidR="005C1B6C" w:rsidRPr="008952CF" w:rsidRDefault="005C1B6C" w:rsidP="00007BD2">
      <w:pPr>
        <w:pStyle w:val="FootnoteText"/>
        <w:widowControl w:val="0"/>
      </w:pPr>
      <w:r>
        <w:rPr>
          <w:rStyle w:val="FootnoteReference"/>
        </w:rPr>
        <w:footnoteRef/>
      </w:r>
      <w:r>
        <w:t xml:space="preserve"> </w:t>
      </w:r>
      <w:r w:rsidRPr="008952CF">
        <w:t>T</w:t>
      </w:r>
      <w:r>
        <w:t>he</w:t>
      </w:r>
      <w:r w:rsidRPr="008952CF">
        <w:t xml:space="preserve"> </w:t>
      </w:r>
      <w:r>
        <w:t xml:space="preserve">Committee </w:t>
      </w:r>
      <w:r w:rsidRPr="008952CF">
        <w:t>note</w:t>
      </w:r>
      <w:r>
        <w:t>d</w:t>
      </w:r>
      <w:r w:rsidRPr="008952CF">
        <w:t xml:space="preserve"> with appreciation that the Government has confirmed that the funding balances associated with each of the sector plans will be fully disbursed by the end of 2018; that relevant research and technical assistance reports will be submitted to the last meeting of 2018, and that the project completion reports will be submitted to the first meeting in 2019.</w:t>
      </w:r>
    </w:p>
  </w:footnote>
  <w:footnote w:id="8">
    <w:p w:rsidR="005C1B6C" w:rsidRPr="00487B08" w:rsidRDefault="005C1B6C" w:rsidP="00007BD2">
      <w:pPr>
        <w:pStyle w:val="FootnoteText"/>
      </w:pPr>
      <w:r>
        <w:rPr>
          <w:rStyle w:val="FootnoteReference"/>
        </w:rPr>
        <w:footnoteRef/>
      </w:r>
      <w:r>
        <w:t xml:space="preserve"> </w:t>
      </w:r>
      <w:r w:rsidRPr="00487B08">
        <w:t xml:space="preserve">Beijing Yuji, </w:t>
      </w:r>
      <w:proofErr w:type="spellStart"/>
      <w:r w:rsidRPr="00487B08">
        <w:t>Dongyang</w:t>
      </w:r>
      <w:proofErr w:type="spellEnd"/>
      <w:r w:rsidRPr="00487B08">
        <w:t xml:space="preserve"> </w:t>
      </w:r>
      <w:proofErr w:type="spellStart"/>
      <w:r w:rsidRPr="00487B08">
        <w:t>Weihua</w:t>
      </w:r>
      <w:proofErr w:type="spellEnd"/>
      <w:r w:rsidRPr="00487B08">
        <w:t xml:space="preserve">, Shanghai </w:t>
      </w:r>
      <w:proofErr w:type="spellStart"/>
      <w:r w:rsidRPr="00487B08">
        <w:t>Xilikang</w:t>
      </w:r>
      <w:proofErr w:type="spellEnd"/>
      <w:r>
        <w:t>,</w:t>
      </w:r>
      <w:r w:rsidRPr="00487B08">
        <w:t xml:space="preserve"> </w:t>
      </w:r>
      <w:proofErr w:type="spellStart"/>
      <w:r w:rsidRPr="00487B08">
        <w:t>Quzhou</w:t>
      </w:r>
      <w:proofErr w:type="spellEnd"/>
      <w:r w:rsidRPr="00487B08">
        <w:t xml:space="preserve"> </w:t>
      </w:r>
      <w:proofErr w:type="spellStart"/>
      <w:r w:rsidRPr="00487B08">
        <w:t>Sancheng</w:t>
      </w:r>
      <w:proofErr w:type="spellEnd"/>
      <w:r>
        <w:t xml:space="preserve"> and </w:t>
      </w:r>
      <w:proofErr w:type="spellStart"/>
      <w:r>
        <w:rPr>
          <w:lang w:eastAsia="zh-CN"/>
        </w:rPr>
        <w:t>Huaxia</w:t>
      </w:r>
      <w:proofErr w:type="spellEnd"/>
      <w:r>
        <w:rPr>
          <w:lang w:eastAsia="zh-CN"/>
        </w:rPr>
        <w:t xml:space="preserve"> </w:t>
      </w:r>
      <w:proofErr w:type="spellStart"/>
      <w:r>
        <w:rPr>
          <w:lang w:eastAsia="zh-CN"/>
        </w:rPr>
        <w:t>Shenzhou</w:t>
      </w:r>
      <w:proofErr w:type="spellEnd"/>
      <w:r>
        <w:rPr>
          <w:lang w:eastAsia="zh-CN"/>
        </w:rPr>
        <w:t>.</w:t>
      </w:r>
    </w:p>
  </w:footnote>
  <w:footnote w:id="9">
    <w:p w:rsidR="005C1B6C" w:rsidRPr="00F5273C" w:rsidRDefault="005C1B6C" w:rsidP="00007BD2">
      <w:pPr>
        <w:pStyle w:val="FootnoteText"/>
        <w:rPr>
          <w:lang w:val="en-CA"/>
        </w:rPr>
      </w:pPr>
      <w:r>
        <w:rPr>
          <w:rStyle w:val="FootnoteReference"/>
        </w:rPr>
        <w:footnoteRef/>
      </w:r>
      <w:r>
        <w:t xml:space="preserve"> </w:t>
      </w:r>
      <w:r>
        <w:rPr>
          <w:lang w:val="en-CA"/>
        </w:rPr>
        <w:t xml:space="preserve">As noted in </w:t>
      </w:r>
      <w:r w:rsidRPr="002633CE">
        <w:rPr>
          <w:lang w:val="en-CA"/>
        </w:rPr>
        <w:t>UNEP/</w:t>
      </w:r>
      <w:proofErr w:type="spellStart"/>
      <w:r w:rsidRPr="002633CE">
        <w:rPr>
          <w:lang w:val="en-CA"/>
        </w:rPr>
        <w:t>OzL.Pro</w:t>
      </w:r>
      <w:proofErr w:type="spellEnd"/>
      <w:r w:rsidRPr="002633CE">
        <w:rPr>
          <w:lang w:val="en-CA"/>
        </w:rPr>
        <w:t>/</w:t>
      </w:r>
      <w:proofErr w:type="spellStart"/>
      <w:r w:rsidRPr="002633CE">
        <w:rPr>
          <w:lang w:val="en-CA"/>
        </w:rPr>
        <w:t>ExCom</w:t>
      </w:r>
      <w:proofErr w:type="spellEnd"/>
      <w:r w:rsidRPr="002633CE">
        <w:rPr>
          <w:lang w:val="en-CA"/>
        </w:rPr>
        <w:t>/82</w:t>
      </w:r>
      <w:r>
        <w:rPr>
          <w:lang w:val="en-CA"/>
        </w:rPr>
        <w:t>/SGP/03, HFC-23 is used as a feedstock during the production of halon-1301.</w:t>
      </w:r>
    </w:p>
  </w:footnote>
  <w:footnote w:id="10">
    <w:p w:rsidR="005C1B6C" w:rsidRPr="00D230EB" w:rsidRDefault="005C1B6C" w:rsidP="00AB6696">
      <w:pPr>
        <w:pStyle w:val="FootnoteText"/>
        <w:rPr>
          <w:lang w:val="en-CA"/>
        </w:rPr>
      </w:pPr>
      <w:r>
        <w:rPr>
          <w:rStyle w:val="FootnoteReference"/>
        </w:rPr>
        <w:footnoteRef/>
      </w:r>
      <w:r>
        <w:t xml:space="preserve"> </w:t>
      </w:r>
      <w:r>
        <w:rPr>
          <w:lang w:val="en-CA"/>
        </w:rPr>
        <w:t xml:space="preserve">Decision </w:t>
      </w:r>
      <w:r w:rsidRPr="00D230EB">
        <w:rPr>
          <w:lang w:val="en-CA"/>
        </w:rPr>
        <w:t>XXVIII/7</w:t>
      </w:r>
    </w:p>
  </w:footnote>
  <w:footnote w:id="11">
    <w:p w:rsidR="005C1B6C" w:rsidRPr="00D230EB" w:rsidRDefault="005C1B6C" w:rsidP="00AB6696">
      <w:pPr>
        <w:pStyle w:val="FootnoteText"/>
        <w:rPr>
          <w:lang w:val="en-CA"/>
        </w:rPr>
      </w:pPr>
      <w:r>
        <w:rPr>
          <w:rStyle w:val="FootnoteReference"/>
        </w:rPr>
        <w:footnoteRef/>
      </w:r>
      <w:r>
        <w:t xml:space="preserve"> </w:t>
      </w:r>
      <w:r>
        <w:rPr>
          <w:lang w:val="en-CA"/>
        </w:rPr>
        <w:t xml:space="preserve">Decision </w:t>
      </w:r>
      <w:r w:rsidRPr="00D230EB">
        <w:rPr>
          <w:lang w:val="en-CA"/>
        </w:rPr>
        <w:t>XXIX/6</w:t>
      </w:r>
    </w:p>
  </w:footnote>
  <w:footnote w:id="12">
    <w:p w:rsidR="005C1B6C" w:rsidRPr="00E96EE0" w:rsidRDefault="005C1B6C" w:rsidP="00AB6696">
      <w:pPr>
        <w:pStyle w:val="FootnoteText"/>
        <w:rPr>
          <w:lang w:val="en-US"/>
        </w:rPr>
      </w:pPr>
      <w:r>
        <w:rPr>
          <w:rStyle w:val="FootnoteReference"/>
        </w:rPr>
        <w:footnoteRef/>
      </w:r>
      <w:r>
        <w:t xml:space="preserve"> </w:t>
      </w:r>
      <w:r>
        <w:rPr>
          <w:lang w:val="en-US"/>
        </w:rPr>
        <w:t>The Executive Committee decided to extend the approved completion date of the methyl bromide national phase</w:t>
      </w:r>
      <w:r>
        <w:rPr>
          <w:lang w:val="en-US"/>
        </w:rPr>
        <w:noBreakHyphen/>
        <w:t>out plan in China (CPR/FUM/72/INV/542) to December 2018 (or as soon as possible), with any remaining balances returned.</w:t>
      </w:r>
    </w:p>
  </w:footnote>
  <w:footnote w:id="13">
    <w:p w:rsidR="005C1B6C" w:rsidRPr="00BE4436" w:rsidRDefault="005C1B6C" w:rsidP="00931A6E">
      <w:pPr>
        <w:pStyle w:val="FootnoteText"/>
      </w:pPr>
      <w:r>
        <w:rPr>
          <w:rStyle w:val="FootnoteReference"/>
        </w:rPr>
        <w:footnoteRef/>
      </w:r>
      <w:r>
        <w:t xml:space="preserve"> Paragraphs 135 to 138 of document </w:t>
      </w:r>
      <w:r w:rsidRPr="00BE4436">
        <w:t>UNEP/</w:t>
      </w:r>
      <w:proofErr w:type="spellStart"/>
      <w:r w:rsidRPr="00BE4436">
        <w:t>OzL.Pro</w:t>
      </w:r>
      <w:proofErr w:type="spellEnd"/>
      <w:r w:rsidRPr="00BE4436">
        <w:t>/</w:t>
      </w:r>
      <w:proofErr w:type="spellStart"/>
      <w:r w:rsidRPr="00BE4436">
        <w:t>ExCom</w:t>
      </w:r>
      <w:proofErr w:type="spellEnd"/>
      <w:r w:rsidRPr="00BE4436">
        <w:t>/81/10</w:t>
      </w:r>
      <w:r>
        <w:t>.</w:t>
      </w:r>
    </w:p>
  </w:footnote>
  <w:footnote w:id="14">
    <w:p w:rsidR="005C1B6C" w:rsidRPr="002470CC" w:rsidRDefault="005C1B6C" w:rsidP="00931A6E">
      <w:pPr>
        <w:pStyle w:val="FootnoteText"/>
        <w:rPr>
          <w:lang w:val="en-CA"/>
        </w:rPr>
      </w:pPr>
      <w:r>
        <w:rPr>
          <w:rStyle w:val="FootnoteReference"/>
        </w:rPr>
        <w:footnoteRef/>
      </w:r>
      <w:r>
        <w:t xml:space="preserve"> </w:t>
      </w:r>
      <w:r w:rsidRPr="00BD374F">
        <w:rPr>
          <w:lang w:val="en-CA"/>
        </w:rPr>
        <w:t>DV acid</w:t>
      </w:r>
      <w:r>
        <w:rPr>
          <w:lang w:val="en-CA"/>
        </w:rPr>
        <w:t xml:space="preserve"> chloride</w:t>
      </w:r>
      <w:r w:rsidRPr="00BD374F">
        <w:rPr>
          <w:lang w:val="en-CA"/>
        </w:rPr>
        <w:t xml:space="preserve"> is mainly used for the manufacture of </w:t>
      </w:r>
      <w:proofErr w:type="spellStart"/>
      <w:r w:rsidRPr="00BD374F">
        <w:rPr>
          <w:lang w:val="en-CA"/>
        </w:rPr>
        <w:t>cypermethrin</w:t>
      </w:r>
      <w:proofErr w:type="spellEnd"/>
      <w:r w:rsidRPr="00BD374F">
        <w:rPr>
          <w:lang w:val="en-CA"/>
        </w:rPr>
        <w:t xml:space="preserve">, an insecticide; it can also be used for the manufacture of permethrin, beta </w:t>
      </w:r>
      <w:proofErr w:type="spellStart"/>
      <w:r w:rsidRPr="00BD374F">
        <w:rPr>
          <w:lang w:val="en-CA"/>
        </w:rPr>
        <w:t>cypermethrin</w:t>
      </w:r>
      <w:proofErr w:type="spellEnd"/>
      <w:r>
        <w:rPr>
          <w:lang w:val="en-CA"/>
        </w:rPr>
        <w:t>.</w:t>
      </w:r>
    </w:p>
  </w:footnote>
  <w:footnote w:id="15">
    <w:p w:rsidR="005C1B6C" w:rsidRPr="00EB7F0F" w:rsidRDefault="005C1B6C" w:rsidP="004D1CB9">
      <w:pPr>
        <w:pStyle w:val="FootnoteText"/>
        <w:rPr>
          <w:lang w:val="en-CA"/>
        </w:rPr>
      </w:pPr>
      <w:r w:rsidRPr="00581D8D">
        <w:rPr>
          <w:rStyle w:val="FootnoteReference"/>
        </w:rPr>
        <w:footnoteRef/>
      </w:r>
      <w:r w:rsidRPr="00581D8D">
        <w:t xml:space="preserve"> </w:t>
      </w:r>
      <w:r w:rsidRPr="00581D8D">
        <w:rPr>
          <w:lang w:val="en-CA"/>
        </w:rPr>
        <w:t>Final reports of the pilot projects for Georgia, Ghana and Nepal were submitted to the 79</w:t>
      </w:r>
      <w:r w:rsidRPr="00581D8D">
        <w:rPr>
          <w:vertAlign w:val="superscript"/>
          <w:lang w:val="en-CA"/>
        </w:rPr>
        <w:t>th</w:t>
      </w:r>
      <w:r w:rsidRPr="00581D8D">
        <w:rPr>
          <w:lang w:val="en-CA"/>
        </w:rPr>
        <w:t xml:space="preserve"> meeting and for Mexico and the Europe and Central Asia (ECA) region were submitted to the 80</w:t>
      </w:r>
      <w:r w:rsidRPr="00581D8D">
        <w:rPr>
          <w:vertAlign w:val="superscript"/>
          <w:lang w:val="en-CA"/>
        </w:rPr>
        <w:t>th</w:t>
      </w:r>
      <w:r w:rsidRPr="00581D8D">
        <w:rPr>
          <w:lang w:val="en-CA"/>
        </w:rPr>
        <w:t xml:space="preserve"> meeting.</w:t>
      </w:r>
    </w:p>
  </w:footnote>
  <w:footnote w:id="16">
    <w:p w:rsidR="005C1B6C" w:rsidRPr="00B54A1E" w:rsidRDefault="005C1B6C" w:rsidP="004D1CB9">
      <w:pPr>
        <w:pStyle w:val="FootnoteText"/>
      </w:pPr>
      <w:r>
        <w:rPr>
          <w:rStyle w:val="FootnoteReference"/>
        </w:rPr>
        <w:footnoteRef/>
      </w:r>
      <w:r>
        <w:t xml:space="preserve"> Paragraphs 140 to 162 of document </w:t>
      </w:r>
      <w:r w:rsidRPr="00B54A1E">
        <w:t>UNEP/</w:t>
      </w:r>
      <w:proofErr w:type="spellStart"/>
      <w:r w:rsidRPr="00B54A1E">
        <w:t>OzL.Pro</w:t>
      </w:r>
      <w:proofErr w:type="spellEnd"/>
      <w:r w:rsidRPr="00B54A1E">
        <w:t>/</w:t>
      </w:r>
      <w:proofErr w:type="spellStart"/>
      <w:r w:rsidRPr="00B54A1E">
        <w:t>ExCom</w:t>
      </w:r>
      <w:proofErr w:type="spellEnd"/>
      <w:r w:rsidRPr="00B54A1E">
        <w:t>/81/10</w:t>
      </w:r>
      <w:r>
        <w:t>.</w:t>
      </w:r>
    </w:p>
  </w:footnote>
  <w:footnote w:id="17">
    <w:p w:rsidR="005C1B6C" w:rsidRPr="001469AF" w:rsidRDefault="005C1B6C" w:rsidP="004D1CB9">
      <w:pPr>
        <w:pStyle w:val="FootnoteText"/>
      </w:pPr>
      <w:r>
        <w:rPr>
          <w:rStyle w:val="FootnoteReference"/>
        </w:rPr>
        <w:footnoteRef/>
      </w:r>
      <w:r>
        <w:t xml:space="preserve"> </w:t>
      </w:r>
      <w:r w:rsidRPr="001469AF">
        <w:t>UNEP/</w:t>
      </w:r>
      <w:proofErr w:type="spellStart"/>
      <w:r w:rsidRPr="001469AF">
        <w:t>OzL.Pro</w:t>
      </w:r>
      <w:proofErr w:type="spellEnd"/>
      <w:r w:rsidRPr="001469AF">
        <w:t>/</w:t>
      </w:r>
      <w:proofErr w:type="spellStart"/>
      <w:r w:rsidRPr="001469AF">
        <w:t>ExCom</w:t>
      </w:r>
      <w:proofErr w:type="spellEnd"/>
      <w:r w:rsidRPr="001469AF">
        <w:t>/82/</w:t>
      </w:r>
      <w:r>
        <w:t>21.</w:t>
      </w:r>
    </w:p>
  </w:footnote>
  <w:footnote w:id="18">
    <w:p w:rsidR="005C1B6C" w:rsidRPr="00B94680" w:rsidRDefault="005C1B6C" w:rsidP="00A44140">
      <w:pPr>
        <w:pStyle w:val="FootnoteText"/>
        <w:rPr>
          <w:lang w:val="en-CA"/>
        </w:rPr>
      </w:pPr>
      <w:r>
        <w:rPr>
          <w:rStyle w:val="FootnoteReference"/>
        </w:rPr>
        <w:footnoteRef/>
      </w:r>
      <w:r>
        <w:rPr>
          <w:lang w:val="en-CA"/>
        </w:rPr>
        <w:t xml:space="preserve"> </w:t>
      </w:r>
      <w:r w:rsidRPr="00B94680">
        <w:rPr>
          <w:lang w:val="en-CA"/>
        </w:rPr>
        <w:t>To request UNDP to submit annual progress reports for the pilot ODS disposal projects in Brazil and Colombia as “projects with specific reporting requirements” until the projects had been completed.</w:t>
      </w:r>
    </w:p>
  </w:footnote>
  <w:footnote w:id="19">
    <w:p w:rsidR="005C1B6C" w:rsidRPr="001A686D" w:rsidRDefault="005C1B6C" w:rsidP="00A44140">
      <w:pPr>
        <w:pStyle w:val="FootnoteText"/>
        <w:rPr>
          <w:lang w:val="en-CA"/>
        </w:rPr>
      </w:pPr>
      <w:r w:rsidRPr="00B94680">
        <w:rPr>
          <w:rStyle w:val="FootnoteReference"/>
        </w:rPr>
        <w:footnoteRef/>
      </w:r>
      <w:r w:rsidRPr="00B94680">
        <w:t xml:space="preserve"> </w:t>
      </w:r>
      <w:proofErr w:type="spellStart"/>
      <w:r w:rsidRPr="00B94680">
        <w:t>Companhia</w:t>
      </w:r>
      <w:proofErr w:type="spellEnd"/>
      <w:r w:rsidRPr="00B94680">
        <w:t xml:space="preserve"> </w:t>
      </w:r>
      <w:proofErr w:type="spellStart"/>
      <w:r w:rsidRPr="00B94680">
        <w:t>Ambiental</w:t>
      </w:r>
      <w:proofErr w:type="spellEnd"/>
      <w:r w:rsidRPr="00B94680">
        <w:t xml:space="preserve"> do Estado de São Paulo, an environmental institution that monitors and </w:t>
      </w:r>
      <w:r>
        <w:t xml:space="preserve">grants </w:t>
      </w:r>
      <w:r w:rsidRPr="00B94680">
        <w:t>licenses to projects in the state</w:t>
      </w:r>
      <w:r>
        <w:t>,</w:t>
      </w:r>
      <w:r w:rsidRPr="00B94680">
        <w:t xml:space="preserve"> considered potentially polluting activities</w:t>
      </w:r>
      <w:r>
        <w:t>; this is the NOU of Brazil</w:t>
      </w:r>
      <w:r w:rsidRPr="00B94680">
        <w:t>.</w:t>
      </w:r>
    </w:p>
  </w:footnote>
  <w:footnote w:id="20">
    <w:p w:rsidR="005C1B6C" w:rsidRPr="00E613CB" w:rsidRDefault="005C1B6C" w:rsidP="00847384">
      <w:pPr>
        <w:pStyle w:val="FootnoteText"/>
      </w:pPr>
      <w:r w:rsidRPr="00B006C1">
        <w:rPr>
          <w:rStyle w:val="FootnoteReference"/>
        </w:rPr>
        <w:footnoteRef/>
      </w:r>
      <w:r w:rsidRPr="00B006C1">
        <w:t xml:space="preserve"> Transferred from the World Bank to UNIDO at the amount of </w:t>
      </w:r>
      <w:r>
        <w:t>US $</w:t>
      </w:r>
      <w:r w:rsidRPr="00B006C1">
        <w:t>808,438</w:t>
      </w:r>
      <w:r>
        <w:t>,</w:t>
      </w:r>
      <w:r w:rsidRPr="00B006C1">
        <w:t xml:space="preserve"> plus agency support costs of US $60,633 (decision 80/31</w:t>
      </w:r>
      <w:r>
        <w:t>(b)(ii)</w:t>
      </w:r>
      <w:r w:rsidRPr="00B006C1">
        <w:t>)</w:t>
      </w:r>
      <w:r>
        <w:t>.</w:t>
      </w:r>
    </w:p>
  </w:footnote>
  <w:footnote w:id="21">
    <w:p w:rsidR="005C1B6C" w:rsidRPr="00E613CB" w:rsidRDefault="005C1B6C" w:rsidP="00847384">
      <w:pPr>
        <w:pStyle w:val="FootnoteText"/>
      </w:pPr>
      <w:r w:rsidRPr="00E613CB">
        <w:rPr>
          <w:rStyle w:val="FootnoteReference"/>
        </w:rPr>
        <w:footnoteRef/>
      </w:r>
      <w:r w:rsidRPr="00E613CB">
        <w:t xml:space="preserve"> Senegal was added to the original list of countries in </w:t>
      </w:r>
      <w:r>
        <w:t>2007</w:t>
      </w:r>
      <w:r w:rsidRPr="00E613CB">
        <w:t>.</w:t>
      </w:r>
    </w:p>
  </w:footnote>
  <w:footnote w:id="22">
    <w:p w:rsidR="005C1B6C" w:rsidRPr="0036127F" w:rsidRDefault="005C1B6C" w:rsidP="00847384">
      <w:pPr>
        <w:pStyle w:val="FootnoteText"/>
      </w:pPr>
      <w:r>
        <w:rPr>
          <w:rStyle w:val="FootnoteReference"/>
        </w:rPr>
        <w:footnoteRef/>
      </w:r>
      <w:r>
        <w:t xml:space="preserve"> </w:t>
      </w:r>
      <w:r w:rsidRPr="0036127F">
        <w:t xml:space="preserve">Approval includes the following conditions: (a) Disbursement of the amounts approved was dependent upon the availability of external resources to be confirmed by the Secretariat based on the advice from the agency that external funding had been secured. </w:t>
      </w:r>
      <w:r>
        <w:t xml:space="preserve">(b) </w:t>
      </w:r>
      <w:r w:rsidRPr="0036127F">
        <w:t xml:space="preserve">The ratio between the maximum amount of Fund resources that could be disbursed and the external resources confirmed by the Secretariat should be equal to the ratio between the amount approved and the corresponding amount of associated external resources. </w:t>
      </w:r>
      <w:r>
        <w:t xml:space="preserve">(c) </w:t>
      </w:r>
      <w:r w:rsidRPr="0036127F">
        <w:t xml:space="preserve">The </w:t>
      </w:r>
      <w:r>
        <w:t xml:space="preserve">bilateral and implementing </w:t>
      </w:r>
      <w:r w:rsidRPr="0036127F">
        <w:t>agenc</w:t>
      </w:r>
      <w:r>
        <w:t>ies</w:t>
      </w:r>
      <w:r w:rsidRPr="0036127F">
        <w:t xml:space="preserve"> </w:t>
      </w:r>
      <w:r>
        <w:t>are</w:t>
      </w:r>
      <w:r w:rsidRPr="0036127F">
        <w:t xml:space="preserve"> requested to inform the Secretariat on an annual basis, in time for the last meeting of the Executive Committee in every year of project implementation, as well as in the year of completion, on progress in terms of implementation, main experiences and additional external resources acquired for the chiller phase-out and major market transformations observed.</w:t>
      </w:r>
    </w:p>
  </w:footnote>
  <w:footnote w:id="23">
    <w:p w:rsidR="005C1B6C" w:rsidRDefault="005C1B6C" w:rsidP="00847384">
      <w:pPr>
        <w:pStyle w:val="FootnoteText"/>
      </w:pPr>
      <w:r>
        <w:rPr>
          <w:rStyle w:val="FootnoteReference"/>
        </w:rPr>
        <w:footnoteRef/>
      </w:r>
      <w:r>
        <w:t xml:space="preserve"> </w:t>
      </w:r>
      <w:r w:rsidRPr="00874C3F">
        <w:t>This includes CFCs and HCFCs.</w:t>
      </w:r>
    </w:p>
  </w:footnote>
  <w:footnote w:id="24">
    <w:p w:rsidR="005C1B6C" w:rsidRPr="00EE2A71" w:rsidRDefault="005C1B6C" w:rsidP="00B703EA">
      <w:pPr>
        <w:pStyle w:val="FootnoteText"/>
        <w:rPr>
          <w:lang w:val="en-CA"/>
        </w:rPr>
      </w:pPr>
      <w:r>
        <w:rPr>
          <w:rStyle w:val="FootnoteReference"/>
        </w:rPr>
        <w:footnoteRef/>
      </w:r>
      <w:r>
        <w:t xml:space="preserve"> </w:t>
      </w:r>
      <w:r w:rsidRPr="00653E3C">
        <w:t>The</w:t>
      </w:r>
      <w:r w:rsidRPr="005117A3">
        <w:t xml:space="preserve"> demonstration project in West Asia on promoting refrigerant alternatives for high ambient temperature countries referred to as PRAHA-II</w:t>
      </w:r>
      <w:r>
        <w:t>.</w:t>
      </w:r>
    </w:p>
  </w:footnote>
  <w:footnote w:id="25">
    <w:p w:rsidR="005C1B6C" w:rsidRPr="00E45C7A" w:rsidRDefault="005C1B6C" w:rsidP="001B5450">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/76/25.</w:t>
      </w:r>
    </w:p>
  </w:footnote>
  <w:footnote w:id="26">
    <w:p w:rsidR="005C1B6C" w:rsidRPr="00002958" w:rsidRDefault="005C1B6C" w:rsidP="00A44140">
      <w:pPr>
        <w:pStyle w:val="FootnoteText"/>
        <w:rPr>
          <w:lang w:val="en-CA"/>
        </w:rPr>
      </w:pPr>
      <w:r>
        <w:rPr>
          <w:rStyle w:val="FootnoteReference"/>
        </w:rPr>
        <w:footnoteRef/>
      </w:r>
      <w:r>
        <w:t xml:space="preserve"> B</w:t>
      </w:r>
      <w:r w:rsidRPr="00002958">
        <w:t xml:space="preserve">ilateral and implementing agencies </w:t>
      </w:r>
      <w:r>
        <w:t xml:space="preserve">were invited </w:t>
      </w:r>
      <w:r w:rsidRPr="00002958">
        <w:t>to provide proposals for feasibility studies, including business cases for district cooling, no later than the 75</w:t>
      </w:r>
      <w:r w:rsidRPr="00AC63B2">
        <w:rPr>
          <w:vertAlign w:val="superscript"/>
        </w:rPr>
        <w:t>th</w:t>
      </w:r>
      <w:r>
        <w:t xml:space="preserve"> </w:t>
      </w:r>
      <w:r w:rsidRPr="00002958">
        <w:t>meeting. The resulting studies should assess possible projects, their climate impact, economic feasibility and options for financing such undertakings. The studies should enable stakeholders to understand the advantages and challenges as compared to business as usual. The funding for each study would be limited to a maximum of US</w:t>
      </w:r>
      <w:r>
        <w:t> </w:t>
      </w:r>
      <w:r w:rsidRPr="00002958">
        <w:t>$100,000, with a maximum of four studies to be funded. The Executive Committee is not agreeing with this approval to consider further funding beyond the feasibility studies.</w:t>
      </w:r>
    </w:p>
  </w:footnote>
  <w:footnote w:id="27">
    <w:p w:rsidR="005C1B6C" w:rsidRPr="002C1CAD" w:rsidRDefault="005C1B6C" w:rsidP="00A44140">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/74/15</w:t>
      </w:r>
    </w:p>
  </w:footnote>
  <w:footnote w:id="28">
    <w:p w:rsidR="005C1B6C" w:rsidRPr="00E73D7B" w:rsidRDefault="005C1B6C" w:rsidP="00A44140">
      <w:pPr>
        <w:pStyle w:val="FootnoteText"/>
        <w:rPr>
          <w:lang w:val="en-CA"/>
        </w:rPr>
      </w:pPr>
      <w:r>
        <w:rPr>
          <w:rStyle w:val="FootnoteReference"/>
        </w:rPr>
        <w:footnoteRef/>
      </w:r>
      <w:r>
        <w:t xml:space="preserve"> </w:t>
      </w:r>
      <w:r w:rsidRPr="00317AA8">
        <w:t>DEVCCO engages in project development including district energy projects in partnership with local utilities, property developers and other stakeholders. In 2015, UNDP</w:t>
      </w:r>
      <w:r>
        <w:t>,</w:t>
      </w:r>
      <w:r w:rsidRPr="00317AA8">
        <w:t xml:space="preserve"> together with the Environmental Bureau of the Dominican Republic</w:t>
      </w:r>
      <w:r>
        <w:t>,</w:t>
      </w:r>
      <w:r w:rsidRPr="00317AA8">
        <w:t xml:space="preserve"> </w:t>
      </w:r>
      <w:r>
        <w:t xml:space="preserve">assigned </w:t>
      </w:r>
      <w:r w:rsidRPr="00317AA8">
        <w:t>DEVCCO to perform services related to the development of a 20 MW district cooling system in Punta Cana.</w:t>
      </w:r>
    </w:p>
  </w:footnote>
  <w:footnote w:id="29">
    <w:p w:rsidR="005C1B6C" w:rsidRPr="00581D8D" w:rsidRDefault="005C1B6C" w:rsidP="00A44140">
      <w:pPr>
        <w:pStyle w:val="FootnoteText"/>
      </w:pPr>
      <w:r w:rsidRPr="00581D8D">
        <w:rPr>
          <w:rStyle w:val="FootnoteReference"/>
        </w:rPr>
        <w:footnoteRef/>
      </w:r>
      <w:r w:rsidRPr="00581D8D">
        <w:t xml:space="preserve"> UNEP/</w:t>
      </w:r>
      <w:proofErr w:type="spellStart"/>
      <w:r w:rsidRPr="00581D8D">
        <w:t>OzL.Pro</w:t>
      </w:r>
      <w:proofErr w:type="spellEnd"/>
      <w:r w:rsidRPr="00581D8D">
        <w:t>/</w:t>
      </w:r>
      <w:proofErr w:type="spellStart"/>
      <w:r w:rsidRPr="00581D8D">
        <w:t>ExCom</w:t>
      </w:r>
      <w:proofErr w:type="spellEnd"/>
      <w:r w:rsidRPr="00581D8D">
        <w:t xml:space="preserve">/75/30 and </w:t>
      </w:r>
      <w:r w:rsidRPr="00581D8D">
        <w:rPr>
          <w:rFonts w:eastAsia="MS Mincho"/>
          <w:color w:val="000000" w:themeColor="text1"/>
          <w:lang w:eastAsia="ja-JP"/>
        </w:rPr>
        <w:t>75/31.</w:t>
      </w:r>
    </w:p>
  </w:footnote>
  <w:footnote w:id="30">
    <w:p w:rsidR="005C1B6C" w:rsidRDefault="005C1B6C" w:rsidP="00A44140">
      <w:pPr>
        <w:pStyle w:val="FootnoteText"/>
      </w:pPr>
      <w:r>
        <w:rPr>
          <w:rStyle w:val="FootnoteReference"/>
        </w:rPr>
        <w:footnoteRef/>
      </w:r>
      <w:r>
        <w:t xml:space="preserve"> UNEP/</w:t>
      </w:r>
      <w:proofErr w:type="spellStart"/>
      <w:r>
        <w:t>OzL.Pro</w:t>
      </w:r>
      <w:proofErr w:type="spellEnd"/>
      <w:r>
        <w:t>/</w:t>
      </w:r>
      <w:proofErr w:type="spellStart"/>
      <w:r>
        <w:t>ExCom</w:t>
      </w:r>
      <w:proofErr w:type="spellEnd"/>
      <w:r>
        <w:t xml:space="preserve">/75/30 and </w:t>
      </w:r>
      <w:proofErr w:type="spellStart"/>
      <w:r>
        <w:t>ExCom</w:t>
      </w:r>
      <w:proofErr w:type="spellEnd"/>
      <w:r>
        <w:t>/</w:t>
      </w:r>
      <w:r>
        <w:rPr>
          <w:rFonts w:eastAsia="MS Mincho"/>
          <w:color w:val="000000" w:themeColor="text1"/>
          <w:lang w:eastAsia="ja-JP"/>
        </w:rPr>
        <w:t>75/31.</w:t>
      </w:r>
    </w:p>
  </w:footnote>
  <w:footnote w:id="31">
    <w:p w:rsidR="005C1B6C" w:rsidRPr="00E451A0" w:rsidRDefault="005C1B6C" w:rsidP="00A44140">
      <w:pPr>
        <w:pStyle w:val="FootnoteText"/>
      </w:pPr>
      <w:r>
        <w:rPr>
          <w:rStyle w:val="FootnoteReference"/>
        </w:rPr>
        <w:footnoteRef/>
      </w:r>
      <w:r>
        <w:t xml:space="preserve"> </w:t>
      </w:r>
      <w:r w:rsidRPr="00E451A0">
        <w:t xml:space="preserve">In the first stage, hot outside air passes inside a heat exchanger that is cooled by evaporation on the outside. During this initial cooling phase, the incoming air stream </w:t>
      </w:r>
      <w:r>
        <w:t>is cooled without raising its humidity</w:t>
      </w:r>
      <w:r w:rsidRPr="00E451A0">
        <w:t>. In the second stage, the same air stream passes through a water-soaked pad where the additional cooling takes place and the air picks up some additional humidity.</w:t>
      </w:r>
    </w:p>
  </w:footnote>
  <w:footnote w:id="32">
    <w:p w:rsidR="005C1B6C" w:rsidRPr="00A317AF" w:rsidRDefault="005C1B6C" w:rsidP="00E257C3">
      <w:pPr>
        <w:pStyle w:val="FootnoteText"/>
        <w:rPr>
          <w:lang w:val="en-US"/>
        </w:rPr>
      </w:pPr>
      <w:r>
        <w:rPr>
          <w:rStyle w:val="FootnoteReference"/>
        </w:rPr>
        <w:footnoteRef/>
      </w:r>
      <w:r>
        <w:t xml:space="preserve"> </w:t>
      </w:r>
      <w:r w:rsidRPr="00104FB2">
        <w:t>To report to the Executive Committee on the status of use of the interim technology selected by Iceberg SARL, at each meeting, until the alternative technology originally selected or another technology with a lower GWP had been fully introduced, also providing an update from the suppliers on the progress made towards ensuring that the selected technologies, including associated components, were available on a commercial basis in the country</w:t>
      </w:r>
      <w:r>
        <w:t>.</w:t>
      </w:r>
    </w:p>
  </w:footnote>
  <w:footnote w:id="33">
    <w:p w:rsidR="005C1B6C" w:rsidRPr="00A317AF" w:rsidRDefault="005C1B6C" w:rsidP="00E257C3">
      <w:pPr>
        <w:pStyle w:val="FootnoteText"/>
        <w:rPr>
          <w:lang w:val="en-US"/>
        </w:rPr>
      </w:pPr>
      <w:r>
        <w:rPr>
          <w:rStyle w:val="FootnoteReference"/>
        </w:rPr>
        <w:footnoteRef/>
      </w:r>
      <w:r>
        <w:t xml:space="preserve"> </w:t>
      </w:r>
      <w:r w:rsidRPr="006E47C1">
        <w:t>To report to the 82</w:t>
      </w:r>
      <w:r w:rsidRPr="00A317AF">
        <w:rPr>
          <w:vertAlign w:val="superscript"/>
        </w:rPr>
        <w:t>nd</w:t>
      </w:r>
      <w:r>
        <w:t xml:space="preserve"> </w:t>
      </w:r>
      <w:r w:rsidRPr="006E47C1">
        <w:t>meeting the status of implementation of the conversion at the remaining enterprises</w:t>
      </w:r>
      <w:r>
        <w:t xml:space="preserve"> (</w:t>
      </w:r>
      <w:proofErr w:type="spellStart"/>
      <w:r w:rsidRPr="006E47C1">
        <w:t>Frigo</w:t>
      </w:r>
      <w:proofErr w:type="spellEnd"/>
      <w:r>
        <w:t> </w:t>
      </w:r>
      <w:proofErr w:type="spellStart"/>
      <w:r w:rsidRPr="006E47C1">
        <w:t>Liban</w:t>
      </w:r>
      <w:proofErr w:type="spellEnd"/>
      <w:r w:rsidRPr="006E47C1">
        <w:t xml:space="preserve">, UNIC, CGI </w:t>
      </w:r>
      <w:proofErr w:type="spellStart"/>
      <w:r w:rsidRPr="006E47C1">
        <w:t>Halawany</w:t>
      </w:r>
      <w:proofErr w:type="spellEnd"/>
      <w:r w:rsidRPr="006E47C1">
        <w:t xml:space="preserve"> and Industrial and Commercial Refrigerators</w:t>
      </w:r>
      <w:r>
        <w:t>)</w:t>
      </w:r>
      <w:r w:rsidRPr="006E47C1">
        <w:t xml:space="preserve"> on the understanding that the funds remaining from the conversion of the enterprises would be returned to the Multilateral Fund after the total conversion of the sector had been fully addressed, and that all expenditures would be recor</w:t>
      </w:r>
      <w:r>
        <w:t>ded.</w:t>
      </w:r>
    </w:p>
  </w:footnote>
  <w:footnote w:id="34">
    <w:p w:rsidR="005C1B6C" w:rsidRPr="007A7F0B" w:rsidRDefault="005C1B6C" w:rsidP="00E257C3">
      <w:pPr>
        <w:pStyle w:val="FootnoteText"/>
        <w:rPr>
          <w:lang w:val="en-CA"/>
        </w:rPr>
      </w:pPr>
      <w:r>
        <w:rPr>
          <w:rStyle w:val="FootnoteReference"/>
        </w:rPr>
        <w:footnoteRef/>
      </w:r>
      <w:r>
        <w:t xml:space="preserve"> </w:t>
      </w:r>
      <w:r w:rsidRPr="00581D8D">
        <w:rPr>
          <w:lang w:val="en-US"/>
        </w:rPr>
        <w:t>UNEP/</w:t>
      </w:r>
      <w:proofErr w:type="spellStart"/>
      <w:r w:rsidRPr="00581D8D">
        <w:rPr>
          <w:lang w:val="en-US"/>
        </w:rPr>
        <w:t>OzL.Pro</w:t>
      </w:r>
      <w:proofErr w:type="spellEnd"/>
      <w:r w:rsidRPr="00581D8D">
        <w:rPr>
          <w:lang w:val="en-US"/>
        </w:rPr>
        <w:t>/</w:t>
      </w:r>
      <w:proofErr w:type="spellStart"/>
      <w:r w:rsidRPr="00581D8D">
        <w:rPr>
          <w:lang w:val="en-US"/>
        </w:rPr>
        <w:t>ExCom</w:t>
      </w:r>
      <w:proofErr w:type="spellEnd"/>
      <w:r w:rsidRPr="00581D8D">
        <w:rPr>
          <w:lang w:val="en-US"/>
        </w:rPr>
        <w:t>/</w:t>
      </w:r>
      <w:r>
        <w:rPr>
          <w:lang w:val="en-US"/>
        </w:rPr>
        <w:t>81</w:t>
      </w:r>
      <w:r w:rsidRPr="00581D8D">
        <w:rPr>
          <w:lang w:val="en-US"/>
        </w:rPr>
        <w:t>/</w:t>
      </w:r>
      <w:r>
        <w:rPr>
          <w:lang w:val="en-US"/>
        </w:rPr>
        <w:t>45</w:t>
      </w:r>
    </w:p>
  </w:footnote>
  <w:footnote w:id="35">
    <w:p w:rsidR="005C1B6C" w:rsidRPr="00581D8D" w:rsidRDefault="005C1B6C" w:rsidP="009121CD">
      <w:pPr>
        <w:pStyle w:val="FootnoteText"/>
        <w:rPr>
          <w:lang w:val="en-CA"/>
        </w:rPr>
      </w:pPr>
      <w:r w:rsidRPr="00581D8D">
        <w:rPr>
          <w:rStyle w:val="FootnoteReference"/>
        </w:rPr>
        <w:footnoteRef/>
      </w:r>
      <w:r w:rsidRPr="00581D8D">
        <w:t xml:space="preserve"> The </w:t>
      </w:r>
      <w:r>
        <w:t xml:space="preserve">combined third and </w:t>
      </w:r>
      <w:r w:rsidRPr="00581D8D">
        <w:t xml:space="preserve">fourth </w:t>
      </w:r>
      <w:r>
        <w:t xml:space="preserve">(final) </w:t>
      </w:r>
      <w:r w:rsidRPr="00581D8D">
        <w:t>tranche</w:t>
      </w:r>
      <w:r>
        <w:t>s</w:t>
      </w:r>
      <w:r w:rsidRPr="00581D8D">
        <w:t xml:space="preserve"> of stage I of the HPMP was approved at the </w:t>
      </w:r>
      <w:r>
        <w:t>80</w:t>
      </w:r>
      <w:r w:rsidRPr="00581D8D">
        <w:rPr>
          <w:vertAlign w:val="superscript"/>
        </w:rPr>
        <w:t>th</w:t>
      </w:r>
      <w:r w:rsidRPr="00581D8D">
        <w:t xml:space="preserve"> meeting </w:t>
      </w:r>
      <w:r>
        <w:t>in</w:t>
      </w:r>
      <w:r w:rsidRPr="00581D8D">
        <w:t xml:space="preserve"> </w:t>
      </w:r>
      <w:r>
        <w:t xml:space="preserve">the amount </w:t>
      </w:r>
      <w:r w:rsidRPr="00581D8D">
        <w:t>of US $</w:t>
      </w:r>
      <w:r>
        <w:t>35,000</w:t>
      </w:r>
      <w:r w:rsidRPr="00581D8D">
        <w:t>, plus agency support costs of US $</w:t>
      </w:r>
      <w:r>
        <w:t>4,550</w:t>
      </w:r>
      <w:r w:rsidRPr="00581D8D">
        <w:t xml:space="preserve"> for </w:t>
      </w:r>
      <w:r>
        <w:t>UNEP.</w:t>
      </w:r>
    </w:p>
  </w:footnote>
  <w:footnote w:id="36">
    <w:p w:rsidR="005C1B6C" w:rsidRPr="00F625FE" w:rsidRDefault="005C1B6C" w:rsidP="00E04A95">
      <w:pPr>
        <w:pStyle w:val="FootnoteText"/>
        <w:rPr>
          <w:lang w:val="en-CA"/>
        </w:rPr>
      </w:pPr>
      <w:r>
        <w:rPr>
          <w:rStyle w:val="FootnoteReference"/>
        </w:rPr>
        <w:footnoteRef/>
      </w:r>
      <w:r>
        <w:t xml:space="preserve"> T</w:t>
      </w:r>
      <w:r w:rsidRPr="00461F0F">
        <w:t xml:space="preserve">he </w:t>
      </w:r>
      <w:r>
        <w:t>third and final</w:t>
      </w:r>
      <w:r w:rsidRPr="00461F0F">
        <w:t xml:space="preserve"> of stage I of the </w:t>
      </w:r>
      <w:r>
        <w:t>HPMP was approved at the 76</w:t>
      </w:r>
      <w:r w:rsidRPr="0052141D">
        <w:rPr>
          <w:vertAlign w:val="superscript"/>
        </w:rPr>
        <w:t>th</w:t>
      </w:r>
      <w:r>
        <w:t xml:space="preserve"> meeting </w:t>
      </w:r>
      <w:r w:rsidRPr="00461F0F">
        <w:t>at a total cost of US </w:t>
      </w:r>
      <w:r>
        <w:t>$1,260,461</w:t>
      </w:r>
      <w:r w:rsidRPr="00461F0F">
        <w:t>, consisting of US $</w:t>
      </w:r>
      <w:r>
        <w:t>901,102</w:t>
      </w:r>
      <w:r w:rsidRPr="00461F0F">
        <w:t>, plus agency support costs of US $</w:t>
      </w:r>
      <w:r>
        <w:t xml:space="preserve">67,583 </w:t>
      </w:r>
      <w:r w:rsidRPr="00461F0F">
        <w:t xml:space="preserve">for </w:t>
      </w:r>
      <w:r>
        <w:t>UNDP</w:t>
      </w:r>
      <w:r w:rsidRPr="00461F0F">
        <w:t>, and US $</w:t>
      </w:r>
      <w:r>
        <w:t>271,420</w:t>
      </w:r>
      <w:r w:rsidRPr="00461F0F">
        <w:t xml:space="preserve">, plus agency support costs of </w:t>
      </w:r>
      <w:r>
        <w:t>U</w:t>
      </w:r>
      <w:r w:rsidRPr="00461F0F">
        <w:t>S </w:t>
      </w:r>
      <w:r>
        <w:t>$20,356</w:t>
      </w:r>
      <w:r w:rsidRPr="00461F0F">
        <w:t xml:space="preserve"> for</w:t>
      </w:r>
      <w:r>
        <w:t xml:space="preserve"> the World Bank.</w:t>
      </w:r>
    </w:p>
  </w:footnote>
  <w:footnote w:id="37">
    <w:p w:rsidR="005C1B6C" w:rsidRPr="009F3C88" w:rsidRDefault="005C1B6C" w:rsidP="00E04A95">
      <w:pPr>
        <w:pStyle w:val="FootnoteText"/>
        <w:rPr>
          <w:lang w:val="en-CA"/>
        </w:rPr>
      </w:pPr>
      <w:r>
        <w:rPr>
          <w:rStyle w:val="FootnoteReference"/>
        </w:rPr>
        <w:footnoteRef/>
      </w:r>
      <w:r>
        <w:t xml:space="preserve"> On 11 June 2018, </w:t>
      </w:r>
      <w:r>
        <w:rPr>
          <w:lang w:val="en-CA"/>
        </w:rPr>
        <w:t>UNDP submitted, on behalf of the Government of Indonesia, the 2016-2017 verification report; funding for the second tranche of stage II of the HPMP was released from the Treasurer to UNDP and the World Bank following the Secretariat’s review, in line with decision 81/49(b).</w:t>
      </w:r>
    </w:p>
  </w:footnote>
  <w:footnote w:id="38">
    <w:p w:rsidR="005C1B6C" w:rsidRPr="003135F1" w:rsidRDefault="005C1B6C" w:rsidP="00E04A95">
      <w:pPr>
        <w:pStyle w:val="FootnoteText"/>
        <w:rPr>
          <w:lang w:val="en-CA"/>
        </w:rPr>
      </w:pPr>
      <w:r>
        <w:rPr>
          <w:rStyle w:val="FootnoteReference"/>
        </w:rPr>
        <w:footnoteRef/>
      </w:r>
      <w:r>
        <w:t xml:space="preserve"> The enabling activities would </w:t>
      </w:r>
      <w:r>
        <w:rPr>
          <w:i/>
        </w:rPr>
        <w:t>inter alia</w:t>
      </w:r>
      <w:r>
        <w:t xml:space="preserve"> include a r</w:t>
      </w:r>
      <w:r w:rsidRPr="00545A33">
        <w:t>eview</w:t>
      </w:r>
      <w:r>
        <w:t xml:space="preserve"> of </w:t>
      </w:r>
      <w:r w:rsidRPr="00545A33">
        <w:t>existing legislation on ozone</w:t>
      </w:r>
      <w:r>
        <w:t xml:space="preserve"> and climate protection; exploring synergy and increasing</w:t>
      </w:r>
      <w:r w:rsidRPr="00545A33">
        <w:t xml:space="preserve"> coordination among government departments involved in ozone protection/climate including capacity-building; review</w:t>
      </w:r>
      <w:r>
        <w:t>ing</w:t>
      </w:r>
      <w:r w:rsidRPr="00545A33">
        <w:t xml:space="preserve"> the 2014 HFC survey and update the analyses to forecast the HFC baseline level and develop a list of alternative technologies based on the projected HFC baseline; develop</w:t>
      </w:r>
      <w:r>
        <w:t>ing</w:t>
      </w:r>
      <w:r w:rsidRPr="00545A33">
        <w:t xml:space="preserve"> a draft strategy based on different phase-down scenarios to proceed with the ratification and be compliant with its commitments</w:t>
      </w:r>
      <w:r>
        <w:t>.</w:t>
      </w:r>
    </w:p>
  </w:footnote>
  <w:footnote w:id="39">
    <w:p w:rsidR="005C1B6C" w:rsidRPr="001B3778" w:rsidRDefault="005C1B6C" w:rsidP="00E04A95">
      <w:pPr>
        <w:pStyle w:val="FootnoteText"/>
        <w:rPr>
          <w:lang w:val="en-CA"/>
        </w:rPr>
      </w:pPr>
      <w:r>
        <w:rPr>
          <w:rStyle w:val="FootnoteReference"/>
        </w:rPr>
        <w:footnoteRef/>
      </w:r>
      <w:r>
        <w:rPr>
          <w:lang w:val="en-CA"/>
        </w:rPr>
        <w:t xml:space="preserve"> </w:t>
      </w:r>
      <w:r w:rsidRPr="001B3778">
        <w:rPr>
          <w:lang w:val="en-CA"/>
        </w:rPr>
        <w:t>Enterprises that have already converted to hydrofluorocarbons in phasing out</w:t>
      </w:r>
      <w:r>
        <w:rPr>
          <w:lang w:val="en-CA"/>
        </w:rPr>
        <w:t xml:space="preserve"> CFCs</w:t>
      </w:r>
      <w:r w:rsidRPr="001B3778">
        <w:rPr>
          <w:lang w:val="en-CA"/>
        </w:rPr>
        <w:t xml:space="preserve"> and/or </w:t>
      </w:r>
      <w:r>
        <w:rPr>
          <w:lang w:val="en-CA"/>
        </w:rPr>
        <w:t>HCFCs</w:t>
      </w:r>
      <w:r w:rsidRPr="001B3778">
        <w:rPr>
          <w:lang w:val="en-CA"/>
        </w:rPr>
        <w:t xml:space="preserve"> will be eligible to receive funding from the</w:t>
      </w:r>
      <w:r>
        <w:rPr>
          <w:lang w:val="en-CA"/>
        </w:rPr>
        <w:t xml:space="preserve"> </w:t>
      </w:r>
      <w:r w:rsidRPr="001B3778">
        <w:rPr>
          <w:lang w:val="en-CA"/>
        </w:rPr>
        <w:t>Multilateral Fund to meet agreed incremental costs in the same manner as enterprises eligible for first</w:t>
      </w:r>
      <w:r>
        <w:rPr>
          <w:lang w:val="en-CA"/>
        </w:rPr>
        <w:t xml:space="preserve"> conversion (decision XXVIII/2, paragraph 18(b)). </w:t>
      </w:r>
    </w:p>
  </w:footnote>
  <w:footnote w:id="40">
    <w:p w:rsidR="005C1B6C" w:rsidRDefault="005C1B6C" w:rsidP="00D018F7">
      <w:pPr>
        <w:pStyle w:val="FootnoteText"/>
      </w:pPr>
      <w:r>
        <w:rPr>
          <w:rStyle w:val="FootnoteReference"/>
        </w:rPr>
        <w:footnoteRef/>
      </w:r>
      <w:r>
        <w:t xml:space="preserve"> </w:t>
      </w:r>
      <w:r w:rsidRPr="007B0DE3">
        <w:t>UNEP/</w:t>
      </w:r>
      <w:proofErr w:type="spellStart"/>
      <w:r w:rsidRPr="007B0DE3">
        <w:t>OzL.Pro</w:t>
      </w:r>
      <w:proofErr w:type="spellEnd"/>
      <w:r w:rsidRPr="007B0DE3">
        <w:t>/</w:t>
      </w:r>
      <w:proofErr w:type="spellStart"/>
      <w:r w:rsidRPr="007B0DE3">
        <w:t>ExCom</w:t>
      </w:r>
      <w:proofErr w:type="spellEnd"/>
      <w:r w:rsidRPr="007B0DE3">
        <w:t>/82/9</w:t>
      </w:r>
      <w:r>
        <w:t>.</w:t>
      </w:r>
    </w:p>
  </w:footnote>
  <w:footnote w:id="41">
    <w:p w:rsidR="005C1B6C" w:rsidRDefault="005C1B6C" w:rsidP="00D018F7">
      <w:pPr>
        <w:pStyle w:val="FootnoteText"/>
      </w:pPr>
      <w:r>
        <w:rPr>
          <w:rStyle w:val="FootnoteReference"/>
        </w:rPr>
        <w:footnoteRef/>
      </w:r>
      <w:r>
        <w:t xml:space="preserve"> </w:t>
      </w:r>
      <w:r w:rsidRPr="007B0DE3">
        <w:t>UNEP/</w:t>
      </w:r>
      <w:proofErr w:type="spellStart"/>
      <w:r w:rsidRPr="007B0DE3">
        <w:t>OzL.Pro</w:t>
      </w:r>
      <w:proofErr w:type="spellEnd"/>
      <w:r>
        <w:t>/</w:t>
      </w:r>
      <w:proofErr w:type="spellStart"/>
      <w:r>
        <w:t>ExCom</w:t>
      </w:r>
      <w:proofErr w:type="spellEnd"/>
      <w:r>
        <w:t>/82/31.</w:t>
      </w:r>
    </w:p>
  </w:footnote>
  <w:footnote w:id="42">
    <w:p w:rsidR="005C1B6C" w:rsidRPr="00FD4A74" w:rsidRDefault="005C1B6C" w:rsidP="0015553B">
      <w:pPr>
        <w:pStyle w:val="FootnoteText"/>
        <w:rPr>
          <w:lang w:val="en-CA"/>
        </w:rPr>
      </w:pPr>
      <w:r>
        <w:rPr>
          <w:rStyle w:val="FootnoteReference"/>
        </w:rPr>
        <w:footnoteRef/>
      </w:r>
      <w:r>
        <w:t xml:space="preserve"> T</w:t>
      </w:r>
      <w:r w:rsidRPr="00461F0F">
        <w:t xml:space="preserve">he </w:t>
      </w:r>
      <w:r>
        <w:t>fourth and final</w:t>
      </w:r>
      <w:r w:rsidRPr="00461F0F">
        <w:t xml:space="preserve"> of stage I of the </w:t>
      </w:r>
      <w:r>
        <w:t>HPMP was approved at the 77</w:t>
      </w:r>
      <w:r w:rsidRPr="0052141D">
        <w:rPr>
          <w:vertAlign w:val="superscript"/>
        </w:rPr>
        <w:t>th</w:t>
      </w:r>
      <w:r>
        <w:t xml:space="preserve"> meeting </w:t>
      </w:r>
      <w:r w:rsidRPr="00461F0F">
        <w:t xml:space="preserve">at </w:t>
      </w:r>
      <w:r>
        <w:t>the amount of US $141,295</w:t>
      </w:r>
      <w:r w:rsidRPr="00461F0F">
        <w:t xml:space="preserve">, plus agency support costs of </w:t>
      </w:r>
      <w:r>
        <w:t xml:space="preserve">US $10,597 </w:t>
      </w:r>
      <w:r w:rsidRPr="00461F0F">
        <w:t xml:space="preserve">for </w:t>
      </w:r>
      <w:r>
        <w:t>UNDP.</w:t>
      </w:r>
    </w:p>
  </w:footnote>
  <w:footnote w:id="43">
    <w:p w:rsidR="005C1B6C" w:rsidRPr="00B27EDA" w:rsidRDefault="005C1B6C" w:rsidP="009121CD">
      <w:pPr>
        <w:pStyle w:val="FootnoteText"/>
        <w:rPr>
          <w:lang w:val="en-CA"/>
        </w:rPr>
      </w:pPr>
      <w:r>
        <w:rPr>
          <w:rStyle w:val="FootnoteReference"/>
        </w:rPr>
        <w:footnoteRef/>
      </w:r>
      <w:r>
        <w:t xml:space="preserve"> </w:t>
      </w:r>
      <w:r w:rsidRPr="00B27EDA">
        <w:t xml:space="preserve">The </w:t>
      </w:r>
      <w:r>
        <w:t xml:space="preserve">fourth </w:t>
      </w:r>
      <w:r w:rsidRPr="00B27EDA">
        <w:t>tranche of stage I of the HPMP was approved at the 8</w:t>
      </w:r>
      <w:r>
        <w:t>0</w:t>
      </w:r>
      <w:r w:rsidRPr="00B27EDA">
        <w:rPr>
          <w:vertAlign w:val="superscript"/>
        </w:rPr>
        <w:t>th</w:t>
      </w:r>
      <w:r>
        <w:t xml:space="preserve"> </w:t>
      </w:r>
      <w:r w:rsidRPr="00B27EDA">
        <w:t xml:space="preserve">meeting </w:t>
      </w:r>
      <w:r>
        <w:t>in the amount</w:t>
      </w:r>
      <w:r w:rsidRPr="00B27EDA">
        <w:t xml:space="preserve"> of US</w:t>
      </w:r>
      <w:r>
        <w:t> </w:t>
      </w:r>
      <w:r w:rsidRPr="00B27EDA">
        <w:t>$</w:t>
      </w:r>
      <w:r>
        <w:t>50,000</w:t>
      </w:r>
      <w:r w:rsidRPr="00B27EDA">
        <w:t>, plus agency support costs of US</w:t>
      </w:r>
      <w:r>
        <w:t> </w:t>
      </w:r>
      <w:r w:rsidRPr="00B27EDA">
        <w:t>$</w:t>
      </w:r>
      <w:r>
        <w:t>6</w:t>
      </w:r>
      <w:r w:rsidRPr="00B27EDA">
        <w:t>,</w:t>
      </w:r>
      <w:r>
        <w:t>500</w:t>
      </w:r>
      <w:r w:rsidRPr="00B27EDA">
        <w:t xml:space="preserve"> for </w:t>
      </w:r>
      <w:r>
        <w:t>UNEP.</w:t>
      </w:r>
    </w:p>
  </w:footnote>
  <w:footnote w:id="44">
    <w:p w:rsidR="005C1B6C" w:rsidRPr="009D3A0D" w:rsidRDefault="005C1B6C" w:rsidP="009121CD">
      <w:pPr>
        <w:pStyle w:val="FootnoteText"/>
        <w:rPr>
          <w:lang w:val="en-US"/>
        </w:rPr>
      </w:pPr>
      <w:r>
        <w:rPr>
          <w:rStyle w:val="FootnoteReference"/>
        </w:rPr>
        <w:footnoteRef/>
      </w:r>
      <w:r>
        <w:t xml:space="preserve"> </w:t>
      </w:r>
      <w:r w:rsidRPr="00AD7193">
        <w:rPr>
          <w:lang w:val="en-US"/>
        </w:rPr>
        <w:t>To request UNDP to report at the first meeting in 2017 and every year thereafter until another technology with a low-GWP had been fully introduced, on the status of use of the interim technology selected by the Government, including the availability of low-GWP refrigerants in the market and the potential use of recycled HCFC-22 from the recovery and recycling component of the HPMP, with a review by the Secretariat of the selected approach in 2019.</w:t>
      </w:r>
    </w:p>
  </w:footnote>
  <w:footnote w:id="45">
    <w:p w:rsidR="005C1B6C" w:rsidRPr="0047668C" w:rsidRDefault="005C1B6C" w:rsidP="009121CD">
      <w:pPr>
        <w:pStyle w:val="FootnoteText"/>
        <w:rPr>
          <w:lang w:val="en-CA"/>
        </w:rPr>
      </w:pPr>
      <w:r>
        <w:rPr>
          <w:rStyle w:val="FootnoteReference"/>
        </w:rPr>
        <w:footnoteRef/>
      </w:r>
      <w:r>
        <w:t xml:space="preserve"> Mixture of </w:t>
      </w:r>
      <w:r w:rsidRPr="0047668C">
        <w:t>HFC-32/HFC-125/HFC-134a/HC-600/HC-601a (8.5/45.0/44.2/1.7/0.6)</w:t>
      </w:r>
    </w:p>
  </w:footnote>
  <w:footnote w:id="46">
    <w:p w:rsidR="005C1B6C" w:rsidRPr="0047668C" w:rsidRDefault="005C1B6C" w:rsidP="009121CD">
      <w:pPr>
        <w:pStyle w:val="FootnoteText"/>
        <w:rPr>
          <w:lang w:val="en-CA"/>
        </w:rPr>
      </w:pPr>
      <w:r>
        <w:rPr>
          <w:rStyle w:val="FootnoteReference"/>
        </w:rPr>
        <w:footnoteRef/>
      </w:r>
      <w:r>
        <w:t xml:space="preserve"> Mixture of HCFC-22/HFC-125/HFO-1234yf/HFC-134a/HFO-1234ze (26.0/26.0/20.0/21.0/7.0)</w:t>
      </w:r>
    </w:p>
  </w:footnote>
  <w:footnote w:id="47">
    <w:p w:rsidR="005C1B6C" w:rsidRPr="003E0AD1" w:rsidRDefault="005C1B6C" w:rsidP="008241A7">
      <w:pPr>
        <w:pStyle w:val="FootnoteText"/>
      </w:pPr>
      <w:r w:rsidRPr="003E0AD1">
        <w:rPr>
          <w:rStyle w:val="FootnoteReference"/>
        </w:rPr>
        <w:footnoteRef/>
      </w:r>
      <w:r w:rsidRPr="003E0AD1">
        <w:t xml:space="preserve"> The fifth and final tranche of stage I of the HPMP was approved at the 75</w:t>
      </w:r>
      <w:r w:rsidRPr="003E0AD1">
        <w:rPr>
          <w:vertAlign w:val="superscript"/>
        </w:rPr>
        <w:t>th</w:t>
      </w:r>
      <w:r w:rsidRPr="003E0AD1">
        <w:t xml:space="preserve"> meeting at a total cost of US $1,449,982, consisting of US $226,317 plus agency support costs of US $16,974 for UNIDO, and US $1,122,503 plus agency support costs of US $84,188 for UNDP.</w:t>
      </w:r>
    </w:p>
  </w:footnote>
  <w:footnote w:id="48">
    <w:p w:rsidR="005C1B6C" w:rsidRPr="00992BCA" w:rsidRDefault="005C1B6C" w:rsidP="008241A7">
      <w:pPr>
        <w:pStyle w:val="FootnoteText"/>
        <w:rPr>
          <w:sz w:val="16"/>
          <w:szCs w:val="16"/>
        </w:rPr>
      </w:pPr>
      <w:r w:rsidRPr="003E0AD1">
        <w:rPr>
          <w:rStyle w:val="FootnoteReference"/>
        </w:rPr>
        <w:footnoteRef/>
      </w:r>
      <w:r w:rsidRPr="003E0AD1">
        <w:t xml:space="preserve"> Provision reflected in Annex XII of document UNEP/</w:t>
      </w:r>
      <w:proofErr w:type="spellStart"/>
      <w:r w:rsidRPr="003E0AD1">
        <w:t>OzL.Pro</w:t>
      </w:r>
      <w:proofErr w:type="spellEnd"/>
      <w:r w:rsidRPr="003E0AD1">
        <w:t>/</w:t>
      </w:r>
      <w:proofErr w:type="spellStart"/>
      <w:r w:rsidRPr="003E0AD1">
        <w:t>ExCom</w:t>
      </w:r>
      <w:proofErr w:type="spellEnd"/>
      <w:r w:rsidRPr="003E0AD1">
        <w:t>/75/85.</w:t>
      </w:r>
    </w:p>
  </w:footnote>
  <w:footnote w:id="49">
    <w:p w:rsidR="005C1B6C" w:rsidRPr="00720C0C" w:rsidRDefault="005C1B6C" w:rsidP="008241A7">
      <w:pPr>
        <w:pStyle w:val="FootnoteText"/>
        <w:rPr>
          <w:lang w:val="en-US"/>
        </w:rPr>
      </w:pPr>
      <w:r w:rsidRPr="00720C0C">
        <w:rPr>
          <w:rStyle w:val="FootnoteReference"/>
        </w:rPr>
        <w:footnoteRef/>
      </w:r>
      <w:r w:rsidRPr="00720C0C">
        <w:t xml:space="preserve"> TUV (</w:t>
      </w:r>
      <w:proofErr w:type="spellStart"/>
      <w:r w:rsidRPr="00720C0C">
        <w:t>Technischer</w:t>
      </w:r>
      <w:proofErr w:type="spellEnd"/>
      <w:r w:rsidRPr="00720C0C">
        <w:t xml:space="preserve"> </w:t>
      </w:r>
      <w:proofErr w:type="spellStart"/>
      <w:r w:rsidRPr="00720C0C">
        <w:t>Überwachungsverein</w:t>
      </w:r>
      <w:proofErr w:type="spellEnd"/>
      <w:r w:rsidRPr="00720C0C">
        <w:t>) certification on the safety of products for humans and the environment.</w:t>
      </w:r>
    </w:p>
  </w:footnote>
  <w:footnote w:id="50">
    <w:p w:rsidR="005C1B6C" w:rsidRPr="005C469A" w:rsidRDefault="005C1B6C" w:rsidP="001B6756">
      <w:pPr>
        <w:pStyle w:val="FootnoteText"/>
        <w:rPr>
          <w:lang w:val="en-CA"/>
        </w:rPr>
      </w:pPr>
      <w:r>
        <w:rPr>
          <w:rStyle w:val="FootnoteReference"/>
        </w:rPr>
        <w:footnoteRef/>
      </w:r>
      <w:r>
        <w:t xml:space="preserve"> </w:t>
      </w:r>
      <w:r w:rsidRPr="005C469A">
        <w:t xml:space="preserve">As per the letter of </w:t>
      </w:r>
      <w:r>
        <w:t xml:space="preserve">31 October </w:t>
      </w:r>
      <w:r w:rsidRPr="005C469A">
        <w:t xml:space="preserve">2018 from the Ministry of </w:t>
      </w:r>
      <w:r>
        <w:t xml:space="preserve">Municipality and Environment (MME) of </w:t>
      </w:r>
      <w:r w:rsidRPr="005C469A">
        <w:t>Qatar to the Secretariat.</w:t>
      </w:r>
    </w:p>
  </w:footnote>
  <w:footnote w:id="51">
    <w:p w:rsidR="005C1B6C" w:rsidRPr="00546CB5" w:rsidRDefault="005C1B6C" w:rsidP="000354F9">
      <w:pPr>
        <w:pStyle w:val="FootnoteText"/>
      </w:pPr>
      <w:r w:rsidRPr="00546CB5">
        <w:rPr>
          <w:rStyle w:val="FootnoteReference"/>
        </w:rPr>
        <w:footnoteRef/>
      </w:r>
      <w:r w:rsidRPr="00546CB5">
        <w:t xml:space="preserve"> The four</w:t>
      </w:r>
      <w:r>
        <w:t>th (</w:t>
      </w:r>
      <w:r w:rsidRPr="00546CB5">
        <w:t>final</w:t>
      </w:r>
      <w:r>
        <w:t>)</w:t>
      </w:r>
      <w:r w:rsidRPr="00546CB5">
        <w:t xml:space="preserve"> tranche of stage I of the HPMP was approved at the 75</w:t>
      </w:r>
      <w:r w:rsidRPr="00546CB5">
        <w:rPr>
          <w:vertAlign w:val="superscript"/>
        </w:rPr>
        <w:t>th</w:t>
      </w:r>
      <w:r w:rsidRPr="00546CB5">
        <w:t xml:space="preserve"> meeting at a total cost of US $189,000 plus agency support costs of US $14,175 for UNIDO.</w:t>
      </w:r>
    </w:p>
  </w:footnote>
  <w:footnote w:id="52">
    <w:p w:rsidR="005C1B6C" w:rsidRPr="00546CB5" w:rsidRDefault="005C1B6C" w:rsidP="000354F9">
      <w:pPr>
        <w:pStyle w:val="FootnoteText"/>
      </w:pPr>
      <w:r w:rsidRPr="00546CB5">
        <w:rPr>
          <w:rStyle w:val="FootnoteReference"/>
        </w:rPr>
        <w:footnoteRef/>
      </w:r>
      <w:r w:rsidRPr="00546CB5">
        <w:t xml:space="preserve"> Provision reflected in Annex XII of document UNEP/</w:t>
      </w:r>
      <w:proofErr w:type="spellStart"/>
      <w:r w:rsidRPr="00546CB5">
        <w:t>OzL.Pro</w:t>
      </w:r>
      <w:proofErr w:type="spellEnd"/>
      <w:r w:rsidRPr="00546CB5">
        <w:t>/</w:t>
      </w:r>
      <w:proofErr w:type="spellStart"/>
      <w:r w:rsidRPr="00546CB5">
        <w:t>ExCom</w:t>
      </w:r>
      <w:proofErr w:type="spellEnd"/>
      <w:r w:rsidRPr="00546CB5">
        <w:t>/75/85.</w:t>
      </w:r>
    </w:p>
    <w:p w:rsidR="005C1B6C" w:rsidRPr="00546CB5" w:rsidRDefault="005C1B6C" w:rsidP="000354F9">
      <w:pPr>
        <w:pStyle w:val="FootnoteText"/>
      </w:pPr>
    </w:p>
  </w:footnote>
  <w:footnote w:id="53">
    <w:p w:rsidR="005C1B6C" w:rsidRPr="00581D8D" w:rsidRDefault="005C1B6C" w:rsidP="00B107FB">
      <w:pPr>
        <w:pStyle w:val="FootnoteText"/>
      </w:pPr>
      <w:r w:rsidRPr="00581D8D">
        <w:rPr>
          <w:rStyle w:val="FootnoteReference"/>
        </w:rPr>
        <w:footnoteRef/>
      </w:r>
      <w:r w:rsidRPr="00581D8D">
        <w:t xml:space="preserve"> UNEP/</w:t>
      </w:r>
      <w:proofErr w:type="spellStart"/>
      <w:r w:rsidRPr="00581D8D">
        <w:t>OzL.Pro</w:t>
      </w:r>
      <w:proofErr w:type="spellEnd"/>
      <w:r w:rsidRPr="00581D8D">
        <w:t>/</w:t>
      </w:r>
      <w:proofErr w:type="spellStart"/>
      <w:r w:rsidRPr="00581D8D">
        <w:t>ExCom</w:t>
      </w:r>
      <w:proofErr w:type="spellEnd"/>
      <w:r w:rsidRPr="00581D8D">
        <w:t>/76/55.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B6C" w:rsidRPr="0033525D" w:rsidRDefault="005C1B6C" w:rsidP="00A0186C">
    <w:pPr>
      <w:jc w:val="left"/>
    </w:pPr>
    <w:r>
      <w:fldChar w:fldCharType="begin"/>
    </w:r>
    <w:r>
      <w:instrText xml:space="preserve"> DOCPROPERTY "Document number"  \* MERGEFORMAT </w:instrText>
    </w:r>
    <w:r>
      <w:fldChar w:fldCharType="separate"/>
    </w:r>
    <w:r w:rsidR="00D82884">
      <w:t>UNEP/</w:t>
    </w:r>
    <w:proofErr w:type="spellStart"/>
    <w:r w:rsidR="00D82884">
      <w:t>OzL.Pro</w:t>
    </w:r>
    <w:proofErr w:type="spellEnd"/>
    <w:r w:rsidR="00D82884">
      <w:t>/</w:t>
    </w:r>
    <w:proofErr w:type="spellStart"/>
    <w:r w:rsidR="00D82884">
      <w:t>ExCom</w:t>
    </w:r>
    <w:proofErr w:type="spellEnd"/>
    <w:r w:rsidR="00D82884">
      <w:t>/82/20</w:t>
    </w:r>
    <w:r>
      <w:fldChar w:fldCharType="end"/>
    </w:r>
  </w:p>
  <w:p w:rsidR="005C1B6C" w:rsidRDefault="005C1B6C">
    <w:pPr>
      <w:pStyle w:val="Header"/>
    </w:pPr>
  </w:p>
  <w:p w:rsidR="005C1B6C" w:rsidRDefault="005C1B6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B6C" w:rsidRPr="0033525D" w:rsidRDefault="005C1B6C" w:rsidP="00A0186C">
    <w:pPr>
      <w:jc w:val="right"/>
    </w:pPr>
    <w:r>
      <w:fldChar w:fldCharType="begin"/>
    </w:r>
    <w:r>
      <w:instrText xml:space="preserve"> DOCPROPERTY "Document number"  \* MERGEFORMAT </w:instrText>
    </w:r>
    <w:r>
      <w:fldChar w:fldCharType="separate"/>
    </w:r>
    <w:r w:rsidR="00D82884">
      <w:t>UNEP/</w:t>
    </w:r>
    <w:proofErr w:type="spellStart"/>
    <w:r w:rsidR="00D82884">
      <w:t>OzL.Pro</w:t>
    </w:r>
    <w:proofErr w:type="spellEnd"/>
    <w:r w:rsidR="00D82884">
      <w:t>/</w:t>
    </w:r>
    <w:proofErr w:type="spellStart"/>
    <w:r w:rsidR="00D82884">
      <w:t>ExCom</w:t>
    </w:r>
    <w:proofErr w:type="spellEnd"/>
    <w:r w:rsidR="00D82884">
      <w:t>/82/20</w:t>
    </w:r>
    <w:r>
      <w:fldChar w:fldCharType="end"/>
    </w:r>
  </w:p>
  <w:p w:rsidR="005C1B6C" w:rsidRDefault="005C1B6C">
    <w:pPr>
      <w:pStyle w:val="Header"/>
    </w:pPr>
  </w:p>
  <w:p w:rsidR="005C1B6C" w:rsidRDefault="005C1B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B6C" w:rsidRPr="0033525D" w:rsidRDefault="005C1B6C" w:rsidP="00B55499">
    <w:pPr>
      <w:jc w:val="right"/>
    </w:pPr>
    <w:r>
      <w:fldChar w:fldCharType="begin"/>
    </w:r>
    <w:r>
      <w:instrText xml:space="preserve"> DOCPROPERTY "Document number"  \* MERGEFORMAT </w:instrText>
    </w:r>
    <w:r>
      <w:fldChar w:fldCharType="separate"/>
    </w:r>
    <w:r w:rsidR="00D82884">
      <w:t>UNEP/</w:t>
    </w:r>
    <w:proofErr w:type="spellStart"/>
    <w:r w:rsidR="00D82884">
      <w:t>OzL.Pro</w:t>
    </w:r>
    <w:proofErr w:type="spellEnd"/>
    <w:r w:rsidR="00D82884">
      <w:t>/</w:t>
    </w:r>
    <w:proofErr w:type="spellStart"/>
    <w:r w:rsidR="00D82884">
      <w:t>ExCom</w:t>
    </w:r>
    <w:proofErr w:type="spellEnd"/>
    <w:r w:rsidR="00D82884">
      <w:t>/82/20</w:t>
    </w:r>
    <w:r>
      <w:fldChar w:fldCharType="end"/>
    </w:r>
  </w:p>
  <w:p w:rsidR="005C1B6C" w:rsidRDefault="005C1B6C" w:rsidP="00B55499">
    <w:pPr>
      <w:pStyle w:val="Header"/>
      <w:jc w:val="right"/>
    </w:pPr>
    <w:r>
      <w:t>Annex I</w:t>
    </w:r>
  </w:p>
  <w:p w:rsidR="005C1B6C" w:rsidRDefault="005C1B6C" w:rsidP="00B55499">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B6C" w:rsidRPr="0033525D" w:rsidRDefault="005C1B6C" w:rsidP="0002512C">
    <w:pPr>
      <w:jc w:val="right"/>
    </w:pPr>
    <w:r>
      <w:fldChar w:fldCharType="begin"/>
    </w:r>
    <w:r>
      <w:instrText xml:space="preserve"> DOCPROPERTY "Document number"  \* MERGEFORMAT </w:instrText>
    </w:r>
    <w:r>
      <w:fldChar w:fldCharType="separate"/>
    </w:r>
    <w:r w:rsidR="00D82884">
      <w:t>UNEP/</w:t>
    </w:r>
    <w:proofErr w:type="spellStart"/>
    <w:r w:rsidR="00D82884">
      <w:t>OzL.Pro</w:t>
    </w:r>
    <w:proofErr w:type="spellEnd"/>
    <w:r w:rsidR="00D82884">
      <w:t>/</w:t>
    </w:r>
    <w:proofErr w:type="spellStart"/>
    <w:r w:rsidR="00D82884">
      <w:t>ExCom</w:t>
    </w:r>
    <w:proofErr w:type="spellEnd"/>
    <w:r w:rsidR="00D82884">
      <w:t>/82/20</w:t>
    </w:r>
    <w:r>
      <w:fldChar w:fldCharType="end"/>
    </w:r>
  </w:p>
  <w:p w:rsidR="005C1B6C" w:rsidRDefault="005C1B6C" w:rsidP="00B55499">
    <w:pPr>
      <w:pStyle w:val="Header"/>
      <w:jc w:val="right"/>
    </w:pPr>
    <w:r>
      <w:t>Annex II</w:t>
    </w:r>
  </w:p>
  <w:p w:rsidR="005C1B6C" w:rsidRDefault="005C1B6C" w:rsidP="00B5549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B3C721A"/>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155AC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6622E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9011BD6"/>
    <w:multiLevelType w:val="hybridMultilevel"/>
    <w:tmpl w:val="E8FCC2C0"/>
    <w:lvl w:ilvl="0" w:tplc="D40C69E6">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06444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74F3B48"/>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7C61A8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4C237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C6A7B3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3F5C671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3FE1682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989410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29459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57995CE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61D5687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627E4C1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6771324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67DE0BE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68CA632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6F707DD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77582A1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7"/>
  </w:num>
  <w:num w:numId="3">
    <w:abstractNumId w:val="14"/>
  </w:num>
  <w:num w:numId="4">
    <w:abstractNumId w:val="16"/>
  </w:num>
  <w:num w:numId="5">
    <w:abstractNumId w:val="27"/>
  </w:num>
  <w:num w:numId="6">
    <w:abstractNumId w:val="9"/>
  </w:num>
  <w:num w:numId="7">
    <w:abstractNumId w:val="0"/>
    <w:lvlOverride w:ilvl="0">
      <w:startOverride w:val="16"/>
    </w:lvlOverride>
  </w:num>
  <w:num w:numId="8">
    <w:abstractNumId w:val="3"/>
  </w:num>
  <w:num w:numId="9">
    <w:abstractNumId w:val="24"/>
  </w:num>
  <w:num w:numId="10">
    <w:abstractNumId w:val="22"/>
  </w:num>
  <w:num w:numId="11">
    <w:abstractNumId w:val="4"/>
  </w:num>
  <w:num w:numId="12">
    <w:abstractNumId w:val="2"/>
  </w:num>
  <w:num w:numId="13">
    <w:abstractNumId w:val="19"/>
  </w:num>
  <w:num w:numId="14">
    <w:abstractNumId w:val="20"/>
  </w:num>
  <w:num w:numId="15">
    <w:abstractNumId w:val="10"/>
  </w:num>
  <w:num w:numId="16">
    <w:abstractNumId w:val="0"/>
  </w:num>
  <w:num w:numId="17">
    <w:abstractNumId w:val="12"/>
  </w:num>
  <w:num w:numId="18">
    <w:abstractNumId w:val="13"/>
  </w:num>
  <w:num w:numId="19">
    <w:abstractNumId w:val="23"/>
  </w:num>
  <w:num w:numId="20">
    <w:abstractNumId w:val="25"/>
  </w:num>
  <w:num w:numId="21">
    <w:abstractNumId w:val="0"/>
  </w:num>
  <w:num w:numId="22">
    <w:abstractNumId w:val="26"/>
  </w:num>
  <w:num w:numId="23">
    <w:abstractNumId w:val="8"/>
  </w:num>
  <w:num w:numId="24">
    <w:abstractNumId w:val="21"/>
  </w:num>
  <w:num w:numId="25">
    <w:abstractNumId w:val="0"/>
  </w:num>
  <w:num w:numId="26">
    <w:abstractNumId w:val="27"/>
    <w:lvlOverride w:ilvl="0">
      <w:startOverride w:val="1"/>
    </w:lvlOverride>
  </w:num>
  <w:num w:numId="27">
    <w:abstractNumId w:val="6"/>
  </w:num>
  <w:num w:numId="28">
    <w:abstractNumId w:val="1"/>
  </w:num>
  <w:num w:numId="29">
    <w:abstractNumId w:val="18"/>
  </w:num>
  <w:num w:numId="30">
    <w:abstractNumId w:val="0"/>
  </w:num>
  <w:num w:numId="31">
    <w:abstractNumId w:val="11"/>
  </w:num>
  <w:num w:numId="32">
    <w:abstractNumId w:val="5"/>
  </w:num>
  <w:num w:numId="33">
    <w:abstractNumId w:val="0"/>
  </w:num>
  <w:num w:numId="34">
    <w:abstractNumId w:val="17"/>
  </w:num>
  <w:num w:numId="35">
    <w:abstractNumId w:val="15"/>
  </w:num>
  <w:num w:numId="36">
    <w:abstractNumId w:val="0"/>
  </w:num>
  <w:num w:numId="37">
    <w:abstractNumId w:val="0"/>
  </w:num>
  <w:num w:numId="38">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6A6E0E"/>
    <w:rsid w:val="00000FED"/>
    <w:rsid w:val="00002C6E"/>
    <w:rsid w:val="00003EB3"/>
    <w:rsid w:val="0000434E"/>
    <w:rsid w:val="00007BD2"/>
    <w:rsid w:val="00013168"/>
    <w:rsid w:val="00013568"/>
    <w:rsid w:val="00016A6C"/>
    <w:rsid w:val="000202AD"/>
    <w:rsid w:val="000211A9"/>
    <w:rsid w:val="00021617"/>
    <w:rsid w:val="000219D5"/>
    <w:rsid w:val="00023182"/>
    <w:rsid w:val="00023219"/>
    <w:rsid w:val="0002512C"/>
    <w:rsid w:val="00025D49"/>
    <w:rsid w:val="00026ACB"/>
    <w:rsid w:val="00031260"/>
    <w:rsid w:val="000331EB"/>
    <w:rsid w:val="000354F9"/>
    <w:rsid w:val="00035927"/>
    <w:rsid w:val="00035D41"/>
    <w:rsid w:val="0003681A"/>
    <w:rsid w:val="00042FC2"/>
    <w:rsid w:val="00046119"/>
    <w:rsid w:val="00052517"/>
    <w:rsid w:val="00054B94"/>
    <w:rsid w:val="00055672"/>
    <w:rsid w:val="0005604F"/>
    <w:rsid w:val="00057842"/>
    <w:rsid w:val="000609AB"/>
    <w:rsid w:val="000611A8"/>
    <w:rsid w:val="00061EC2"/>
    <w:rsid w:val="00063240"/>
    <w:rsid w:val="000652E6"/>
    <w:rsid w:val="00067394"/>
    <w:rsid w:val="0007266E"/>
    <w:rsid w:val="0007308B"/>
    <w:rsid w:val="00080CE3"/>
    <w:rsid w:val="00080ED0"/>
    <w:rsid w:val="00082990"/>
    <w:rsid w:val="00085B8F"/>
    <w:rsid w:val="000862E9"/>
    <w:rsid w:val="00090481"/>
    <w:rsid w:val="00094BA6"/>
    <w:rsid w:val="000A0EE5"/>
    <w:rsid w:val="000A22C6"/>
    <w:rsid w:val="000A26BE"/>
    <w:rsid w:val="000A2FD5"/>
    <w:rsid w:val="000A306A"/>
    <w:rsid w:val="000A3AF0"/>
    <w:rsid w:val="000A3FB8"/>
    <w:rsid w:val="000A479E"/>
    <w:rsid w:val="000A5391"/>
    <w:rsid w:val="000A648D"/>
    <w:rsid w:val="000A6C26"/>
    <w:rsid w:val="000C1ABA"/>
    <w:rsid w:val="000C224D"/>
    <w:rsid w:val="000C3E60"/>
    <w:rsid w:val="000C4B2C"/>
    <w:rsid w:val="000C5A5B"/>
    <w:rsid w:val="000D03EA"/>
    <w:rsid w:val="000D4358"/>
    <w:rsid w:val="000D54BF"/>
    <w:rsid w:val="000D6289"/>
    <w:rsid w:val="000D797E"/>
    <w:rsid w:val="000E07BC"/>
    <w:rsid w:val="000E241D"/>
    <w:rsid w:val="000E4300"/>
    <w:rsid w:val="000E47BD"/>
    <w:rsid w:val="000E5A40"/>
    <w:rsid w:val="000E5FBD"/>
    <w:rsid w:val="000F1B13"/>
    <w:rsid w:val="000F1C18"/>
    <w:rsid w:val="000F1CD4"/>
    <w:rsid w:val="000F23E8"/>
    <w:rsid w:val="000F4103"/>
    <w:rsid w:val="000F70A7"/>
    <w:rsid w:val="000F7670"/>
    <w:rsid w:val="0010052D"/>
    <w:rsid w:val="001008EE"/>
    <w:rsid w:val="00103042"/>
    <w:rsid w:val="0010320D"/>
    <w:rsid w:val="00110112"/>
    <w:rsid w:val="001133D4"/>
    <w:rsid w:val="00116056"/>
    <w:rsid w:val="001166B7"/>
    <w:rsid w:val="00121BB5"/>
    <w:rsid w:val="00122A09"/>
    <w:rsid w:val="00122F25"/>
    <w:rsid w:val="001253C9"/>
    <w:rsid w:val="00126147"/>
    <w:rsid w:val="00126EBF"/>
    <w:rsid w:val="00127734"/>
    <w:rsid w:val="00132E1F"/>
    <w:rsid w:val="00133F75"/>
    <w:rsid w:val="00135980"/>
    <w:rsid w:val="00135C31"/>
    <w:rsid w:val="00137A96"/>
    <w:rsid w:val="00141103"/>
    <w:rsid w:val="00143269"/>
    <w:rsid w:val="0014375A"/>
    <w:rsid w:val="001469AF"/>
    <w:rsid w:val="00146CF6"/>
    <w:rsid w:val="00147702"/>
    <w:rsid w:val="0015110A"/>
    <w:rsid w:val="001522A3"/>
    <w:rsid w:val="0015231A"/>
    <w:rsid w:val="0015553B"/>
    <w:rsid w:val="00161895"/>
    <w:rsid w:val="00162822"/>
    <w:rsid w:val="0016320B"/>
    <w:rsid w:val="00163910"/>
    <w:rsid w:val="0016426E"/>
    <w:rsid w:val="001646AB"/>
    <w:rsid w:val="00164719"/>
    <w:rsid w:val="00166FC4"/>
    <w:rsid w:val="0016763A"/>
    <w:rsid w:val="001677AC"/>
    <w:rsid w:val="001754DB"/>
    <w:rsid w:val="001769E8"/>
    <w:rsid w:val="00177BCA"/>
    <w:rsid w:val="001804EA"/>
    <w:rsid w:val="00190722"/>
    <w:rsid w:val="00190A61"/>
    <w:rsid w:val="00190B12"/>
    <w:rsid w:val="00196512"/>
    <w:rsid w:val="001A1481"/>
    <w:rsid w:val="001A3342"/>
    <w:rsid w:val="001A3E3D"/>
    <w:rsid w:val="001A7049"/>
    <w:rsid w:val="001B1DB7"/>
    <w:rsid w:val="001B1E40"/>
    <w:rsid w:val="001B5450"/>
    <w:rsid w:val="001B56F6"/>
    <w:rsid w:val="001B6756"/>
    <w:rsid w:val="001B6DF4"/>
    <w:rsid w:val="001B737A"/>
    <w:rsid w:val="001B7C1C"/>
    <w:rsid w:val="001C356E"/>
    <w:rsid w:val="001C3FC5"/>
    <w:rsid w:val="001C4387"/>
    <w:rsid w:val="001C683E"/>
    <w:rsid w:val="001C764E"/>
    <w:rsid w:val="001D003F"/>
    <w:rsid w:val="001D0CB4"/>
    <w:rsid w:val="001D4592"/>
    <w:rsid w:val="001D53DA"/>
    <w:rsid w:val="001D7B64"/>
    <w:rsid w:val="001E04CE"/>
    <w:rsid w:val="001E0C44"/>
    <w:rsid w:val="001E1052"/>
    <w:rsid w:val="001E1AC6"/>
    <w:rsid w:val="001E213C"/>
    <w:rsid w:val="001E21B1"/>
    <w:rsid w:val="001E27BD"/>
    <w:rsid w:val="001E2F93"/>
    <w:rsid w:val="001E465E"/>
    <w:rsid w:val="001E58A7"/>
    <w:rsid w:val="001E61E5"/>
    <w:rsid w:val="001F0B11"/>
    <w:rsid w:val="001F2159"/>
    <w:rsid w:val="001F3169"/>
    <w:rsid w:val="001F635B"/>
    <w:rsid w:val="00200099"/>
    <w:rsid w:val="002029A7"/>
    <w:rsid w:val="00202C83"/>
    <w:rsid w:val="00206507"/>
    <w:rsid w:val="00206A35"/>
    <w:rsid w:val="00206EF9"/>
    <w:rsid w:val="002074EF"/>
    <w:rsid w:val="00212374"/>
    <w:rsid w:val="002128B5"/>
    <w:rsid w:val="00214863"/>
    <w:rsid w:val="002156B4"/>
    <w:rsid w:val="002159B6"/>
    <w:rsid w:val="00217688"/>
    <w:rsid w:val="00217CF1"/>
    <w:rsid w:val="00220106"/>
    <w:rsid w:val="00222D21"/>
    <w:rsid w:val="0022325E"/>
    <w:rsid w:val="00223562"/>
    <w:rsid w:val="00223F83"/>
    <w:rsid w:val="002264CF"/>
    <w:rsid w:val="002304AB"/>
    <w:rsid w:val="002330CF"/>
    <w:rsid w:val="00233E1D"/>
    <w:rsid w:val="002406F1"/>
    <w:rsid w:val="00242ADB"/>
    <w:rsid w:val="002464DD"/>
    <w:rsid w:val="00253222"/>
    <w:rsid w:val="002532E1"/>
    <w:rsid w:val="00254DF4"/>
    <w:rsid w:val="00255229"/>
    <w:rsid w:val="00256532"/>
    <w:rsid w:val="002609D7"/>
    <w:rsid w:val="00262847"/>
    <w:rsid w:val="00265170"/>
    <w:rsid w:val="00265AB2"/>
    <w:rsid w:val="00266F9D"/>
    <w:rsid w:val="0027086A"/>
    <w:rsid w:val="002730E6"/>
    <w:rsid w:val="0027374C"/>
    <w:rsid w:val="002811ED"/>
    <w:rsid w:val="00281BB2"/>
    <w:rsid w:val="00287C83"/>
    <w:rsid w:val="00291C87"/>
    <w:rsid w:val="00293DFD"/>
    <w:rsid w:val="00295637"/>
    <w:rsid w:val="00295824"/>
    <w:rsid w:val="002A2411"/>
    <w:rsid w:val="002A31F4"/>
    <w:rsid w:val="002A4ADA"/>
    <w:rsid w:val="002A4C51"/>
    <w:rsid w:val="002B2EFF"/>
    <w:rsid w:val="002B61F5"/>
    <w:rsid w:val="002B72E9"/>
    <w:rsid w:val="002B76DA"/>
    <w:rsid w:val="002B78B6"/>
    <w:rsid w:val="002C08F5"/>
    <w:rsid w:val="002C18B2"/>
    <w:rsid w:val="002C4308"/>
    <w:rsid w:val="002C6D9C"/>
    <w:rsid w:val="002C72FD"/>
    <w:rsid w:val="002C74EC"/>
    <w:rsid w:val="002C7998"/>
    <w:rsid w:val="002D04EC"/>
    <w:rsid w:val="002D510D"/>
    <w:rsid w:val="002D7912"/>
    <w:rsid w:val="002E1A3D"/>
    <w:rsid w:val="002E2ECC"/>
    <w:rsid w:val="002E349B"/>
    <w:rsid w:val="002E4403"/>
    <w:rsid w:val="002F1E06"/>
    <w:rsid w:val="002F1E53"/>
    <w:rsid w:val="002F2CAA"/>
    <w:rsid w:val="002F5358"/>
    <w:rsid w:val="002F672E"/>
    <w:rsid w:val="0030052C"/>
    <w:rsid w:val="00300564"/>
    <w:rsid w:val="0030416C"/>
    <w:rsid w:val="00306C0E"/>
    <w:rsid w:val="0031080F"/>
    <w:rsid w:val="003144BD"/>
    <w:rsid w:val="003146A6"/>
    <w:rsid w:val="0032097E"/>
    <w:rsid w:val="00324EEF"/>
    <w:rsid w:val="00326AD5"/>
    <w:rsid w:val="00327F41"/>
    <w:rsid w:val="00327F5F"/>
    <w:rsid w:val="003306E1"/>
    <w:rsid w:val="003312B2"/>
    <w:rsid w:val="00331400"/>
    <w:rsid w:val="003320E4"/>
    <w:rsid w:val="00332201"/>
    <w:rsid w:val="00334A36"/>
    <w:rsid w:val="00334F20"/>
    <w:rsid w:val="0033525D"/>
    <w:rsid w:val="003367A3"/>
    <w:rsid w:val="00337E0E"/>
    <w:rsid w:val="003414F3"/>
    <w:rsid w:val="00352951"/>
    <w:rsid w:val="0035613E"/>
    <w:rsid w:val="003561EB"/>
    <w:rsid w:val="00356867"/>
    <w:rsid w:val="00356BD8"/>
    <w:rsid w:val="0035792A"/>
    <w:rsid w:val="00360A3A"/>
    <w:rsid w:val="00361892"/>
    <w:rsid w:val="00363EE9"/>
    <w:rsid w:val="00365A02"/>
    <w:rsid w:val="0036689C"/>
    <w:rsid w:val="00376128"/>
    <w:rsid w:val="00376264"/>
    <w:rsid w:val="00377091"/>
    <w:rsid w:val="003772ED"/>
    <w:rsid w:val="0037742E"/>
    <w:rsid w:val="00380CB4"/>
    <w:rsid w:val="0038245A"/>
    <w:rsid w:val="003827DE"/>
    <w:rsid w:val="00382DD1"/>
    <w:rsid w:val="00383416"/>
    <w:rsid w:val="00385316"/>
    <w:rsid w:val="00385CFC"/>
    <w:rsid w:val="003875FF"/>
    <w:rsid w:val="0039337A"/>
    <w:rsid w:val="00394214"/>
    <w:rsid w:val="003943F4"/>
    <w:rsid w:val="00397F90"/>
    <w:rsid w:val="003A2E51"/>
    <w:rsid w:val="003A3189"/>
    <w:rsid w:val="003A7C78"/>
    <w:rsid w:val="003B2179"/>
    <w:rsid w:val="003B33BD"/>
    <w:rsid w:val="003B569D"/>
    <w:rsid w:val="003C0A3D"/>
    <w:rsid w:val="003C3002"/>
    <w:rsid w:val="003C3C0E"/>
    <w:rsid w:val="003C471B"/>
    <w:rsid w:val="003C6BCE"/>
    <w:rsid w:val="003D0A1F"/>
    <w:rsid w:val="003D4FAC"/>
    <w:rsid w:val="003E178F"/>
    <w:rsid w:val="003E2B9E"/>
    <w:rsid w:val="003E7906"/>
    <w:rsid w:val="003F1A49"/>
    <w:rsid w:val="003F1E44"/>
    <w:rsid w:val="003F3B5A"/>
    <w:rsid w:val="003F3C50"/>
    <w:rsid w:val="003F6050"/>
    <w:rsid w:val="003F7055"/>
    <w:rsid w:val="003F748F"/>
    <w:rsid w:val="003F7AFB"/>
    <w:rsid w:val="003F7B1E"/>
    <w:rsid w:val="00400D1A"/>
    <w:rsid w:val="00400D4E"/>
    <w:rsid w:val="00400D8E"/>
    <w:rsid w:val="00401B9F"/>
    <w:rsid w:val="00401F3A"/>
    <w:rsid w:val="00402189"/>
    <w:rsid w:val="00402299"/>
    <w:rsid w:val="00403E52"/>
    <w:rsid w:val="00406A6A"/>
    <w:rsid w:val="00406B22"/>
    <w:rsid w:val="00407DEC"/>
    <w:rsid w:val="00410CF6"/>
    <w:rsid w:val="00411751"/>
    <w:rsid w:val="00412BEC"/>
    <w:rsid w:val="00420021"/>
    <w:rsid w:val="00422685"/>
    <w:rsid w:val="004228E2"/>
    <w:rsid w:val="00423B3A"/>
    <w:rsid w:val="0042563B"/>
    <w:rsid w:val="00425695"/>
    <w:rsid w:val="00425B67"/>
    <w:rsid w:val="00426892"/>
    <w:rsid w:val="00430127"/>
    <w:rsid w:val="0043156D"/>
    <w:rsid w:val="004328A7"/>
    <w:rsid w:val="00434C74"/>
    <w:rsid w:val="00435D7E"/>
    <w:rsid w:val="00437064"/>
    <w:rsid w:val="00441982"/>
    <w:rsid w:val="00441D6A"/>
    <w:rsid w:val="004438FB"/>
    <w:rsid w:val="00443EFB"/>
    <w:rsid w:val="004471C2"/>
    <w:rsid w:val="00456EB4"/>
    <w:rsid w:val="004574DA"/>
    <w:rsid w:val="00457692"/>
    <w:rsid w:val="00457740"/>
    <w:rsid w:val="00460E67"/>
    <w:rsid w:val="00462BFA"/>
    <w:rsid w:val="00462E79"/>
    <w:rsid w:val="00464410"/>
    <w:rsid w:val="00465E2F"/>
    <w:rsid w:val="00466D19"/>
    <w:rsid w:val="004718F3"/>
    <w:rsid w:val="00473E39"/>
    <w:rsid w:val="004747C0"/>
    <w:rsid w:val="00474C83"/>
    <w:rsid w:val="00475040"/>
    <w:rsid w:val="00475086"/>
    <w:rsid w:val="00476420"/>
    <w:rsid w:val="00476DE7"/>
    <w:rsid w:val="00484025"/>
    <w:rsid w:val="004849DF"/>
    <w:rsid w:val="004862BF"/>
    <w:rsid w:val="00487316"/>
    <w:rsid w:val="00492F6A"/>
    <w:rsid w:val="00493D40"/>
    <w:rsid w:val="0049440F"/>
    <w:rsid w:val="004967B6"/>
    <w:rsid w:val="0049762D"/>
    <w:rsid w:val="004A11B8"/>
    <w:rsid w:val="004A1C49"/>
    <w:rsid w:val="004A228C"/>
    <w:rsid w:val="004A4119"/>
    <w:rsid w:val="004A4584"/>
    <w:rsid w:val="004A45E8"/>
    <w:rsid w:val="004A504B"/>
    <w:rsid w:val="004A6911"/>
    <w:rsid w:val="004A6FD5"/>
    <w:rsid w:val="004B0A82"/>
    <w:rsid w:val="004B54E0"/>
    <w:rsid w:val="004B7384"/>
    <w:rsid w:val="004C4269"/>
    <w:rsid w:val="004C4796"/>
    <w:rsid w:val="004C5D4C"/>
    <w:rsid w:val="004C62A5"/>
    <w:rsid w:val="004C79EF"/>
    <w:rsid w:val="004D0D39"/>
    <w:rsid w:val="004D1CB9"/>
    <w:rsid w:val="004D3211"/>
    <w:rsid w:val="004D5293"/>
    <w:rsid w:val="004D6236"/>
    <w:rsid w:val="004E0795"/>
    <w:rsid w:val="004E1148"/>
    <w:rsid w:val="004E1D26"/>
    <w:rsid w:val="004E4DBB"/>
    <w:rsid w:val="004E4E41"/>
    <w:rsid w:val="004E6E5A"/>
    <w:rsid w:val="004E7F9C"/>
    <w:rsid w:val="004F03E0"/>
    <w:rsid w:val="004F1DA3"/>
    <w:rsid w:val="004F1EE9"/>
    <w:rsid w:val="004F3493"/>
    <w:rsid w:val="004F5143"/>
    <w:rsid w:val="004F56D6"/>
    <w:rsid w:val="00503B5D"/>
    <w:rsid w:val="005058BA"/>
    <w:rsid w:val="0050598C"/>
    <w:rsid w:val="00507A22"/>
    <w:rsid w:val="00511500"/>
    <w:rsid w:val="00511AB3"/>
    <w:rsid w:val="00512B09"/>
    <w:rsid w:val="00512C22"/>
    <w:rsid w:val="0051408F"/>
    <w:rsid w:val="005168CB"/>
    <w:rsid w:val="00516E97"/>
    <w:rsid w:val="00517331"/>
    <w:rsid w:val="00517338"/>
    <w:rsid w:val="00517D9D"/>
    <w:rsid w:val="0052076C"/>
    <w:rsid w:val="00521F0F"/>
    <w:rsid w:val="00522361"/>
    <w:rsid w:val="00525856"/>
    <w:rsid w:val="005274CE"/>
    <w:rsid w:val="0053001F"/>
    <w:rsid w:val="00533FD7"/>
    <w:rsid w:val="0053594D"/>
    <w:rsid w:val="0054416D"/>
    <w:rsid w:val="00546C11"/>
    <w:rsid w:val="00550E92"/>
    <w:rsid w:val="00551EDB"/>
    <w:rsid w:val="005540AA"/>
    <w:rsid w:val="00554C80"/>
    <w:rsid w:val="00555D75"/>
    <w:rsid w:val="00555DE3"/>
    <w:rsid w:val="005562F9"/>
    <w:rsid w:val="005567CA"/>
    <w:rsid w:val="00556ADF"/>
    <w:rsid w:val="00557558"/>
    <w:rsid w:val="00560B6D"/>
    <w:rsid w:val="00560BC3"/>
    <w:rsid w:val="00560DF0"/>
    <w:rsid w:val="00562258"/>
    <w:rsid w:val="00562335"/>
    <w:rsid w:val="0056759C"/>
    <w:rsid w:val="00572171"/>
    <w:rsid w:val="00572988"/>
    <w:rsid w:val="0057465C"/>
    <w:rsid w:val="00580F56"/>
    <w:rsid w:val="00581D8D"/>
    <w:rsid w:val="00586CF0"/>
    <w:rsid w:val="005905B0"/>
    <w:rsid w:val="00590C8B"/>
    <w:rsid w:val="00591DBC"/>
    <w:rsid w:val="00592197"/>
    <w:rsid w:val="00592D1C"/>
    <w:rsid w:val="0059488E"/>
    <w:rsid w:val="0059513E"/>
    <w:rsid w:val="005952A3"/>
    <w:rsid w:val="005A0CBD"/>
    <w:rsid w:val="005A598F"/>
    <w:rsid w:val="005A6787"/>
    <w:rsid w:val="005B223B"/>
    <w:rsid w:val="005B48FF"/>
    <w:rsid w:val="005B5CA9"/>
    <w:rsid w:val="005C1B6C"/>
    <w:rsid w:val="005C3B2A"/>
    <w:rsid w:val="005C40DB"/>
    <w:rsid w:val="005C44D0"/>
    <w:rsid w:val="005C48CB"/>
    <w:rsid w:val="005C566A"/>
    <w:rsid w:val="005D038C"/>
    <w:rsid w:val="005D2EFA"/>
    <w:rsid w:val="005D56C2"/>
    <w:rsid w:val="005D7582"/>
    <w:rsid w:val="005E4888"/>
    <w:rsid w:val="005E536F"/>
    <w:rsid w:val="005F330C"/>
    <w:rsid w:val="005F4109"/>
    <w:rsid w:val="005F6169"/>
    <w:rsid w:val="005F7FCB"/>
    <w:rsid w:val="0060310E"/>
    <w:rsid w:val="00604C15"/>
    <w:rsid w:val="00610190"/>
    <w:rsid w:val="006116C6"/>
    <w:rsid w:val="00611BBD"/>
    <w:rsid w:val="006135CE"/>
    <w:rsid w:val="0061567A"/>
    <w:rsid w:val="006158D5"/>
    <w:rsid w:val="00621479"/>
    <w:rsid w:val="00623992"/>
    <w:rsid w:val="00624988"/>
    <w:rsid w:val="00625480"/>
    <w:rsid w:val="0062549D"/>
    <w:rsid w:val="00625633"/>
    <w:rsid w:val="00625792"/>
    <w:rsid w:val="00625D83"/>
    <w:rsid w:val="00631617"/>
    <w:rsid w:val="00637876"/>
    <w:rsid w:val="00637DFD"/>
    <w:rsid w:val="00640643"/>
    <w:rsid w:val="006472A3"/>
    <w:rsid w:val="006476ED"/>
    <w:rsid w:val="006503D6"/>
    <w:rsid w:val="00651B16"/>
    <w:rsid w:val="00652607"/>
    <w:rsid w:val="00653DAE"/>
    <w:rsid w:val="006623E7"/>
    <w:rsid w:val="00662B80"/>
    <w:rsid w:val="00664179"/>
    <w:rsid w:val="00670F6C"/>
    <w:rsid w:val="00672458"/>
    <w:rsid w:val="0067307D"/>
    <w:rsid w:val="00673FCC"/>
    <w:rsid w:val="00676841"/>
    <w:rsid w:val="00682B42"/>
    <w:rsid w:val="00683EC6"/>
    <w:rsid w:val="006852C7"/>
    <w:rsid w:val="00690CA2"/>
    <w:rsid w:val="006958E9"/>
    <w:rsid w:val="00697DFE"/>
    <w:rsid w:val="006A003F"/>
    <w:rsid w:val="006A0281"/>
    <w:rsid w:val="006A05A7"/>
    <w:rsid w:val="006A5B56"/>
    <w:rsid w:val="006A6E0E"/>
    <w:rsid w:val="006B02A7"/>
    <w:rsid w:val="006B1CEF"/>
    <w:rsid w:val="006B6F11"/>
    <w:rsid w:val="006C1727"/>
    <w:rsid w:val="006C189E"/>
    <w:rsid w:val="006C2D11"/>
    <w:rsid w:val="006C32FD"/>
    <w:rsid w:val="006C39CE"/>
    <w:rsid w:val="006C3D8A"/>
    <w:rsid w:val="006C4077"/>
    <w:rsid w:val="006C6089"/>
    <w:rsid w:val="006C6C9F"/>
    <w:rsid w:val="006C6D7F"/>
    <w:rsid w:val="006C74BA"/>
    <w:rsid w:val="006D0196"/>
    <w:rsid w:val="006D0FCC"/>
    <w:rsid w:val="006D486D"/>
    <w:rsid w:val="006D52CB"/>
    <w:rsid w:val="006D6A06"/>
    <w:rsid w:val="006D6F39"/>
    <w:rsid w:val="006E0745"/>
    <w:rsid w:val="006E1FC3"/>
    <w:rsid w:val="006E7B02"/>
    <w:rsid w:val="006E7FCB"/>
    <w:rsid w:val="006F25F6"/>
    <w:rsid w:val="006F3210"/>
    <w:rsid w:val="006F38BE"/>
    <w:rsid w:val="006F41BD"/>
    <w:rsid w:val="006F4B81"/>
    <w:rsid w:val="006F5B01"/>
    <w:rsid w:val="006F6FDF"/>
    <w:rsid w:val="006F7F1A"/>
    <w:rsid w:val="0070105B"/>
    <w:rsid w:val="007026BA"/>
    <w:rsid w:val="00704166"/>
    <w:rsid w:val="0070616B"/>
    <w:rsid w:val="00706663"/>
    <w:rsid w:val="00706FDA"/>
    <w:rsid w:val="007077F9"/>
    <w:rsid w:val="0071008E"/>
    <w:rsid w:val="007106E9"/>
    <w:rsid w:val="00710767"/>
    <w:rsid w:val="007116C4"/>
    <w:rsid w:val="007118EA"/>
    <w:rsid w:val="00711F9A"/>
    <w:rsid w:val="007121B2"/>
    <w:rsid w:val="00712371"/>
    <w:rsid w:val="007135C3"/>
    <w:rsid w:val="00713810"/>
    <w:rsid w:val="007138E4"/>
    <w:rsid w:val="007220FE"/>
    <w:rsid w:val="00725A33"/>
    <w:rsid w:val="00726611"/>
    <w:rsid w:val="007303A5"/>
    <w:rsid w:val="00730B3E"/>
    <w:rsid w:val="007320AB"/>
    <w:rsid w:val="00732779"/>
    <w:rsid w:val="0073420B"/>
    <w:rsid w:val="00736A45"/>
    <w:rsid w:val="0074306E"/>
    <w:rsid w:val="007433A7"/>
    <w:rsid w:val="0074610D"/>
    <w:rsid w:val="0074760E"/>
    <w:rsid w:val="00747D98"/>
    <w:rsid w:val="00754ABA"/>
    <w:rsid w:val="00754D3A"/>
    <w:rsid w:val="00756320"/>
    <w:rsid w:val="007571B7"/>
    <w:rsid w:val="00761D5D"/>
    <w:rsid w:val="00765E26"/>
    <w:rsid w:val="0077052F"/>
    <w:rsid w:val="00776BF3"/>
    <w:rsid w:val="007800E9"/>
    <w:rsid w:val="00784B03"/>
    <w:rsid w:val="00787ED5"/>
    <w:rsid w:val="007909E9"/>
    <w:rsid w:val="00790A97"/>
    <w:rsid w:val="00790C4B"/>
    <w:rsid w:val="00792E30"/>
    <w:rsid w:val="0079418B"/>
    <w:rsid w:val="00795A13"/>
    <w:rsid w:val="007965FD"/>
    <w:rsid w:val="007A0A0B"/>
    <w:rsid w:val="007A1546"/>
    <w:rsid w:val="007A1D98"/>
    <w:rsid w:val="007A228C"/>
    <w:rsid w:val="007A25D3"/>
    <w:rsid w:val="007A3107"/>
    <w:rsid w:val="007A368E"/>
    <w:rsid w:val="007A372E"/>
    <w:rsid w:val="007A3A81"/>
    <w:rsid w:val="007A3E72"/>
    <w:rsid w:val="007A423E"/>
    <w:rsid w:val="007A4B7C"/>
    <w:rsid w:val="007A51C2"/>
    <w:rsid w:val="007A5868"/>
    <w:rsid w:val="007A7588"/>
    <w:rsid w:val="007B04CE"/>
    <w:rsid w:val="007B2741"/>
    <w:rsid w:val="007B4398"/>
    <w:rsid w:val="007B4C29"/>
    <w:rsid w:val="007B5809"/>
    <w:rsid w:val="007B580A"/>
    <w:rsid w:val="007B5AF2"/>
    <w:rsid w:val="007B6871"/>
    <w:rsid w:val="007B7A2F"/>
    <w:rsid w:val="007C06BA"/>
    <w:rsid w:val="007C14CA"/>
    <w:rsid w:val="007C1F12"/>
    <w:rsid w:val="007C3D33"/>
    <w:rsid w:val="007D0E04"/>
    <w:rsid w:val="007D177C"/>
    <w:rsid w:val="007D259C"/>
    <w:rsid w:val="007D2735"/>
    <w:rsid w:val="007D294A"/>
    <w:rsid w:val="007D3274"/>
    <w:rsid w:val="007D3B19"/>
    <w:rsid w:val="007D47D2"/>
    <w:rsid w:val="007D6EC0"/>
    <w:rsid w:val="007D7E1D"/>
    <w:rsid w:val="007E007E"/>
    <w:rsid w:val="007E0AFB"/>
    <w:rsid w:val="007E174F"/>
    <w:rsid w:val="007E30A6"/>
    <w:rsid w:val="007E380D"/>
    <w:rsid w:val="007E783A"/>
    <w:rsid w:val="007F0633"/>
    <w:rsid w:val="007F2E77"/>
    <w:rsid w:val="007F6EB7"/>
    <w:rsid w:val="00801F7C"/>
    <w:rsid w:val="00802F1B"/>
    <w:rsid w:val="00813F69"/>
    <w:rsid w:val="00815011"/>
    <w:rsid w:val="00815DC9"/>
    <w:rsid w:val="008173F3"/>
    <w:rsid w:val="008223AB"/>
    <w:rsid w:val="008241A7"/>
    <w:rsid w:val="008263B5"/>
    <w:rsid w:val="00827349"/>
    <w:rsid w:val="00831979"/>
    <w:rsid w:val="0083364F"/>
    <w:rsid w:val="0083381E"/>
    <w:rsid w:val="00834BE7"/>
    <w:rsid w:val="00837167"/>
    <w:rsid w:val="00837FD6"/>
    <w:rsid w:val="0084037A"/>
    <w:rsid w:val="00846FC3"/>
    <w:rsid w:val="00847384"/>
    <w:rsid w:val="00850D4B"/>
    <w:rsid w:val="00851352"/>
    <w:rsid w:val="00851C09"/>
    <w:rsid w:val="00852312"/>
    <w:rsid w:val="0086132E"/>
    <w:rsid w:val="008614C4"/>
    <w:rsid w:val="00863230"/>
    <w:rsid w:val="00863D56"/>
    <w:rsid w:val="00864BB0"/>
    <w:rsid w:val="00866C59"/>
    <w:rsid w:val="008676CC"/>
    <w:rsid w:val="00871322"/>
    <w:rsid w:val="008717D8"/>
    <w:rsid w:val="0087215C"/>
    <w:rsid w:val="00872356"/>
    <w:rsid w:val="00877D1F"/>
    <w:rsid w:val="00880213"/>
    <w:rsid w:val="008865DC"/>
    <w:rsid w:val="008875FE"/>
    <w:rsid w:val="00887F8E"/>
    <w:rsid w:val="008902E0"/>
    <w:rsid w:val="0089384C"/>
    <w:rsid w:val="008951D3"/>
    <w:rsid w:val="008952CF"/>
    <w:rsid w:val="00896234"/>
    <w:rsid w:val="00897D0E"/>
    <w:rsid w:val="00897E43"/>
    <w:rsid w:val="008A0713"/>
    <w:rsid w:val="008A0EAE"/>
    <w:rsid w:val="008A4229"/>
    <w:rsid w:val="008A6255"/>
    <w:rsid w:val="008A7204"/>
    <w:rsid w:val="008B3870"/>
    <w:rsid w:val="008B7821"/>
    <w:rsid w:val="008B7B05"/>
    <w:rsid w:val="008C428C"/>
    <w:rsid w:val="008C493B"/>
    <w:rsid w:val="008C5738"/>
    <w:rsid w:val="008C65FF"/>
    <w:rsid w:val="008C7EAD"/>
    <w:rsid w:val="008D0CFE"/>
    <w:rsid w:val="008D234C"/>
    <w:rsid w:val="008D28CD"/>
    <w:rsid w:val="008D6152"/>
    <w:rsid w:val="008E4DBB"/>
    <w:rsid w:val="008E4FFD"/>
    <w:rsid w:val="008E5694"/>
    <w:rsid w:val="008E68D1"/>
    <w:rsid w:val="008F0567"/>
    <w:rsid w:val="008F0F81"/>
    <w:rsid w:val="008F27BF"/>
    <w:rsid w:val="008F28FE"/>
    <w:rsid w:val="008F4934"/>
    <w:rsid w:val="008F5A39"/>
    <w:rsid w:val="008F6AAB"/>
    <w:rsid w:val="008F7368"/>
    <w:rsid w:val="008F78F8"/>
    <w:rsid w:val="00900548"/>
    <w:rsid w:val="0090056B"/>
    <w:rsid w:val="00903168"/>
    <w:rsid w:val="009045DC"/>
    <w:rsid w:val="00904DC9"/>
    <w:rsid w:val="00906E3A"/>
    <w:rsid w:val="00910969"/>
    <w:rsid w:val="009113B9"/>
    <w:rsid w:val="0091196A"/>
    <w:rsid w:val="009121CD"/>
    <w:rsid w:val="00912634"/>
    <w:rsid w:val="009142EC"/>
    <w:rsid w:val="00914EE6"/>
    <w:rsid w:val="009154C3"/>
    <w:rsid w:val="00915708"/>
    <w:rsid w:val="009230B9"/>
    <w:rsid w:val="00923540"/>
    <w:rsid w:val="00924004"/>
    <w:rsid w:val="00926767"/>
    <w:rsid w:val="00927D73"/>
    <w:rsid w:val="00927D92"/>
    <w:rsid w:val="0093010E"/>
    <w:rsid w:val="00930B8F"/>
    <w:rsid w:val="00931A6E"/>
    <w:rsid w:val="00932E59"/>
    <w:rsid w:val="00933DA7"/>
    <w:rsid w:val="00934659"/>
    <w:rsid w:val="009361D5"/>
    <w:rsid w:val="0094036E"/>
    <w:rsid w:val="009407A3"/>
    <w:rsid w:val="00941E92"/>
    <w:rsid w:val="009428A4"/>
    <w:rsid w:val="0094412A"/>
    <w:rsid w:val="00950A15"/>
    <w:rsid w:val="0095224C"/>
    <w:rsid w:val="009627F4"/>
    <w:rsid w:val="009654B3"/>
    <w:rsid w:val="009659F4"/>
    <w:rsid w:val="00966C14"/>
    <w:rsid w:val="00970632"/>
    <w:rsid w:val="00970D60"/>
    <w:rsid w:val="0097106C"/>
    <w:rsid w:val="00973865"/>
    <w:rsid w:val="00975714"/>
    <w:rsid w:val="00980B6D"/>
    <w:rsid w:val="00981476"/>
    <w:rsid w:val="00982051"/>
    <w:rsid w:val="009832F3"/>
    <w:rsid w:val="00991801"/>
    <w:rsid w:val="00993827"/>
    <w:rsid w:val="00995A6E"/>
    <w:rsid w:val="009960E5"/>
    <w:rsid w:val="009A010C"/>
    <w:rsid w:val="009A10C8"/>
    <w:rsid w:val="009A2C99"/>
    <w:rsid w:val="009A39F0"/>
    <w:rsid w:val="009A7284"/>
    <w:rsid w:val="009A7ADC"/>
    <w:rsid w:val="009B3845"/>
    <w:rsid w:val="009B39A7"/>
    <w:rsid w:val="009B5A8A"/>
    <w:rsid w:val="009C0952"/>
    <w:rsid w:val="009C0DCB"/>
    <w:rsid w:val="009C19B7"/>
    <w:rsid w:val="009D214E"/>
    <w:rsid w:val="009D493C"/>
    <w:rsid w:val="009D74A6"/>
    <w:rsid w:val="009D7931"/>
    <w:rsid w:val="009D7C51"/>
    <w:rsid w:val="009D7EA3"/>
    <w:rsid w:val="009E17F6"/>
    <w:rsid w:val="009E42A5"/>
    <w:rsid w:val="009E4CFA"/>
    <w:rsid w:val="009E6C4B"/>
    <w:rsid w:val="009E7B3A"/>
    <w:rsid w:val="009F3391"/>
    <w:rsid w:val="009F35A1"/>
    <w:rsid w:val="009F36BF"/>
    <w:rsid w:val="009F6518"/>
    <w:rsid w:val="00A00B76"/>
    <w:rsid w:val="00A01088"/>
    <w:rsid w:val="00A0186C"/>
    <w:rsid w:val="00A0208C"/>
    <w:rsid w:val="00A03DD4"/>
    <w:rsid w:val="00A05DF6"/>
    <w:rsid w:val="00A111B6"/>
    <w:rsid w:val="00A11BDC"/>
    <w:rsid w:val="00A12579"/>
    <w:rsid w:val="00A155DA"/>
    <w:rsid w:val="00A1604E"/>
    <w:rsid w:val="00A1729D"/>
    <w:rsid w:val="00A22E75"/>
    <w:rsid w:val="00A22E8B"/>
    <w:rsid w:val="00A24377"/>
    <w:rsid w:val="00A25392"/>
    <w:rsid w:val="00A26D27"/>
    <w:rsid w:val="00A309D9"/>
    <w:rsid w:val="00A315B4"/>
    <w:rsid w:val="00A3184F"/>
    <w:rsid w:val="00A31E31"/>
    <w:rsid w:val="00A324A7"/>
    <w:rsid w:val="00A3417B"/>
    <w:rsid w:val="00A35518"/>
    <w:rsid w:val="00A35BA8"/>
    <w:rsid w:val="00A36247"/>
    <w:rsid w:val="00A376EE"/>
    <w:rsid w:val="00A4288E"/>
    <w:rsid w:val="00A42A99"/>
    <w:rsid w:val="00A4328C"/>
    <w:rsid w:val="00A44140"/>
    <w:rsid w:val="00A47126"/>
    <w:rsid w:val="00A47449"/>
    <w:rsid w:val="00A509A2"/>
    <w:rsid w:val="00A5151A"/>
    <w:rsid w:val="00A51632"/>
    <w:rsid w:val="00A57E0A"/>
    <w:rsid w:val="00A608A1"/>
    <w:rsid w:val="00A611B3"/>
    <w:rsid w:val="00A658C6"/>
    <w:rsid w:val="00A6661C"/>
    <w:rsid w:val="00A715B6"/>
    <w:rsid w:val="00A718BA"/>
    <w:rsid w:val="00A724F3"/>
    <w:rsid w:val="00A7258D"/>
    <w:rsid w:val="00A7375F"/>
    <w:rsid w:val="00A74007"/>
    <w:rsid w:val="00A74589"/>
    <w:rsid w:val="00A75012"/>
    <w:rsid w:val="00A762E4"/>
    <w:rsid w:val="00A77501"/>
    <w:rsid w:val="00A80391"/>
    <w:rsid w:val="00A807EA"/>
    <w:rsid w:val="00A81997"/>
    <w:rsid w:val="00A823F6"/>
    <w:rsid w:val="00A86AD6"/>
    <w:rsid w:val="00A90634"/>
    <w:rsid w:val="00A97499"/>
    <w:rsid w:val="00AA0A89"/>
    <w:rsid w:val="00AA1478"/>
    <w:rsid w:val="00AA16AA"/>
    <w:rsid w:val="00AA21E9"/>
    <w:rsid w:val="00AA6429"/>
    <w:rsid w:val="00AB098C"/>
    <w:rsid w:val="00AB1E64"/>
    <w:rsid w:val="00AB25E2"/>
    <w:rsid w:val="00AB26C7"/>
    <w:rsid w:val="00AB3CAF"/>
    <w:rsid w:val="00AB5799"/>
    <w:rsid w:val="00AB6696"/>
    <w:rsid w:val="00AB7C95"/>
    <w:rsid w:val="00AC01AA"/>
    <w:rsid w:val="00AC024F"/>
    <w:rsid w:val="00AC06CA"/>
    <w:rsid w:val="00AC2394"/>
    <w:rsid w:val="00AC4F72"/>
    <w:rsid w:val="00AD0FAF"/>
    <w:rsid w:val="00AD1813"/>
    <w:rsid w:val="00AD1F09"/>
    <w:rsid w:val="00AD221F"/>
    <w:rsid w:val="00AD2544"/>
    <w:rsid w:val="00AD52B2"/>
    <w:rsid w:val="00AE20DD"/>
    <w:rsid w:val="00AE24AB"/>
    <w:rsid w:val="00AE2C8F"/>
    <w:rsid w:val="00AE453D"/>
    <w:rsid w:val="00AE50E6"/>
    <w:rsid w:val="00AE7BAF"/>
    <w:rsid w:val="00AF10DE"/>
    <w:rsid w:val="00AF1D5F"/>
    <w:rsid w:val="00AF5AEE"/>
    <w:rsid w:val="00AF741A"/>
    <w:rsid w:val="00B00D06"/>
    <w:rsid w:val="00B01ADB"/>
    <w:rsid w:val="00B025F8"/>
    <w:rsid w:val="00B026FD"/>
    <w:rsid w:val="00B03C49"/>
    <w:rsid w:val="00B04161"/>
    <w:rsid w:val="00B04176"/>
    <w:rsid w:val="00B056F9"/>
    <w:rsid w:val="00B058B7"/>
    <w:rsid w:val="00B07598"/>
    <w:rsid w:val="00B077AD"/>
    <w:rsid w:val="00B10257"/>
    <w:rsid w:val="00B107FB"/>
    <w:rsid w:val="00B11E3D"/>
    <w:rsid w:val="00B147A7"/>
    <w:rsid w:val="00B1586C"/>
    <w:rsid w:val="00B16B6C"/>
    <w:rsid w:val="00B17953"/>
    <w:rsid w:val="00B17AB3"/>
    <w:rsid w:val="00B17E82"/>
    <w:rsid w:val="00B22064"/>
    <w:rsid w:val="00B23A21"/>
    <w:rsid w:val="00B24EBC"/>
    <w:rsid w:val="00B2608C"/>
    <w:rsid w:val="00B31DB2"/>
    <w:rsid w:val="00B3282F"/>
    <w:rsid w:val="00B33297"/>
    <w:rsid w:val="00B43102"/>
    <w:rsid w:val="00B4575A"/>
    <w:rsid w:val="00B45D32"/>
    <w:rsid w:val="00B50927"/>
    <w:rsid w:val="00B50F2C"/>
    <w:rsid w:val="00B525FC"/>
    <w:rsid w:val="00B53597"/>
    <w:rsid w:val="00B53FAF"/>
    <w:rsid w:val="00B54278"/>
    <w:rsid w:val="00B54A1E"/>
    <w:rsid w:val="00B55263"/>
    <w:rsid w:val="00B55499"/>
    <w:rsid w:val="00B5565F"/>
    <w:rsid w:val="00B575BA"/>
    <w:rsid w:val="00B608CE"/>
    <w:rsid w:val="00B613D7"/>
    <w:rsid w:val="00B621B7"/>
    <w:rsid w:val="00B62E81"/>
    <w:rsid w:val="00B65511"/>
    <w:rsid w:val="00B6640B"/>
    <w:rsid w:val="00B67B6F"/>
    <w:rsid w:val="00B702E9"/>
    <w:rsid w:val="00B703EA"/>
    <w:rsid w:val="00B71CFA"/>
    <w:rsid w:val="00B727D2"/>
    <w:rsid w:val="00B74686"/>
    <w:rsid w:val="00B76429"/>
    <w:rsid w:val="00B76CDD"/>
    <w:rsid w:val="00B80826"/>
    <w:rsid w:val="00B83A36"/>
    <w:rsid w:val="00B8464F"/>
    <w:rsid w:val="00B85E9D"/>
    <w:rsid w:val="00B8703F"/>
    <w:rsid w:val="00B90FAE"/>
    <w:rsid w:val="00B9416E"/>
    <w:rsid w:val="00B956D4"/>
    <w:rsid w:val="00B97068"/>
    <w:rsid w:val="00B97446"/>
    <w:rsid w:val="00BA2FEB"/>
    <w:rsid w:val="00BA3886"/>
    <w:rsid w:val="00BA38B6"/>
    <w:rsid w:val="00BA4285"/>
    <w:rsid w:val="00BA4B1E"/>
    <w:rsid w:val="00BA5A05"/>
    <w:rsid w:val="00BA7432"/>
    <w:rsid w:val="00BA78C6"/>
    <w:rsid w:val="00BB08F4"/>
    <w:rsid w:val="00BB2841"/>
    <w:rsid w:val="00BB4293"/>
    <w:rsid w:val="00BB627C"/>
    <w:rsid w:val="00BC060C"/>
    <w:rsid w:val="00BC1AA0"/>
    <w:rsid w:val="00BC2495"/>
    <w:rsid w:val="00BC7EB9"/>
    <w:rsid w:val="00BD1025"/>
    <w:rsid w:val="00BD1CF0"/>
    <w:rsid w:val="00BD2643"/>
    <w:rsid w:val="00BD2AC0"/>
    <w:rsid w:val="00BD33C7"/>
    <w:rsid w:val="00BD56B1"/>
    <w:rsid w:val="00BD6558"/>
    <w:rsid w:val="00BD73FF"/>
    <w:rsid w:val="00BE09F6"/>
    <w:rsid w:val="00BE230B"/>
    <w:rsid w:val="00BE3135"/>
    <w:rsid w:val="00BE3788"/>
    <w:rsid w:val="00BE3CFF"/>
    <w:rsid w:val="00BE4436"/>
    <w:rsid w:val="00BE5641"/>
    <w:rsid w:val="00BE6386"/>
    <w:rsid w:val="00BE7BBD"/>
    <w:rsid w:val="00BF24AE"/>
    <w:rsid w:val="00BF3022"/>
    <w:rsid w:val="00BF3214"/>
    <w:rsid w:val="00BF4958"/>
    <w:rsid w:val="00BF4A96"/>
    <w:rsid w:val="00BF5573"/>
    <w:rsid w:val="00BF659D"/>
    <w:rsid w:val="00C00182"/>
    <w:rsid w:val="00C00664"/>
    <w:rsid w:val="00C01AB7"/>
    <w:rsid w:val="00C01C52"/>
    <w:rsid w:val="00C03716"/>
    <w:rsid w:val="00C12947"/>
    <w:rsid w:val="00C138FF"/>
    <w:rsid w:val="00C13F5C"/>
    <w:rsid w:val="00C15867"/>
    <w:rsid w:val="00C167D4"/>
    <w:rsid w:val="00C2296D"/>
    <w:rsid w:val="00C23155"/>
    <w:rsid w:val="00C2375E"/>
    <w:rsid w:val="00C256E6"/>
    <w:rsid w:val="00C31197"/>
    <w:rsid w:val="00C320DE"/>
    <w:rsid w:val="00C335AF"/>
    <w:rsid w:val="00C3459D"/>
    <w:rsid w:val="00C347F9"/>
    <w:rsid w:val="00C37052"/>
    <w:rsid w:val="00C40230"/>
    <w:rsid w:val="00C40C41"/>
    <w:rsid w:val="00C41811"/>
    <w:rsid w:val="00C43714"/>
    <w:rsid w:val="00C44380"/>
    <w:rsid w:val="00C4552D"/>
    <w:rsid w:val="00C45885"/>
    <w:rsid w:val="00C46470"/>
    <w:rsid w:val="00C46D39"/>
    <w:rsid w:val="00C50F22"/>
    <w:rsid w:val="00C54C43"/>
    <w:rsid w:val="00C555A6"/>
    <w:rsid w:val="00C555EA"/>
    <w:rsid w:val="00C57971"/>
    <w:rsid w:val="00C62739"/>
    <w:rsid w:val="00C62FD5"/>
    <w:rsid w:val="00C639CC"/>
    <w:rsid w:val="00C641FD"/>
    <w:rsid w:val="00C651FD"/>
    <w:rsid w:val="00C70E93"/>
    <w:rsid w:val="00C720CE"/>
    <w:rsid w:val="00C74DDB"/>
    <w:rsid w:val="00C76BA4"/>
    <w:rsid w:val="00C81C43"/>
    <w:rsid w:val="00C83A48"/>
    <w:rsid w:val="00C85865"/>
    <w:rsid w:val="00C85E85"/>
    <w:rsid w:val="00C873E0"/>
    <w:rsid w:val="00C9201C"/>
    <w:rsid w:val="00C95B03"/>
    <w:rsid w:val="00C968C5"/>
    <w:rsid w:val="00C97C47"/>
    <w:rsid w:val="00CA0149"/>
    <w:rsid w:val="00CA0BFC"/>
    <w:rsid w:val="00CA1265"/>
    <w:rsid w:val="00CA126C"/>
    <w:rsid w:val="00CA2EAE"/>
    <w:rsid w:val="00CA30E2"/>
    <w:rsid w:val="00CA4AC1"/>
    <w:rsid w:val="00CA5BEE"/>
    <w:rsid w:val="00CA7161"/>
    <w:rsid w:val="00CA7567"/>
    <w:rsid w:val="00CA7576"/>
    <w:rsid w:val="00CB0316"/>
    <w:rsid w:val="00CB0B11"/>
    <w:rsid w:val="00CB5354"/>
    <w:rsid w:val="00CB664A"/>
    <w:rsid w:val="00CB71C4"/>
    <w:rsid w:val="00CC13AD"/>
    <w:rsid w:val="00CC3897"/>
    <w:rsid w:val="00CC3F57"/>
    <w:rsid w:val="00CC6A14"/>
    <w:rsid w:val="00CC70A3"/>
    <w:rsid w:val="00CD29B8"/>
    <w:rsid w:val="00CD3622"/>
    <w:rsid w:val="00CD4442"/>
    <w:rsid w:val="00CD53C3"/>
    <w:rsid w:val="00CD574E"/>
    <w:rsid w:val="00CD73D6"/>
    <w:rsid w:val="00CE0C9A"/>
    <w:rsid w:val="00CE4C22"/>
    <w:rsid w:val="00CF3DBD"/>
    <w:rsid w:val="00CF41EC"/>
    <w:rsid w:val="00CF5D04"/>
    <w:rsid w:val="00CF694F"/>
    <w:rsid w:val="00CF7A6F"/>
    <w:rsid w:val="00D018F7"/>
    <w:rsid w:val="00D03305"/>
    <w:rsid w:val="00D04DE4"/>
    <w:rsid w:val="00D06350"/>
    <w:rsid w:val="00D063F1"/>
    <w:rsid w:val="00D079F2"/>
    <w:rsid w:val="00D1002F"/>
    <w:rsid w:val="00D12EB6"/>
    <w:rsid w:val="00D14F22"/>
    <w:rsid w:val="00D22F26"/>
    <w:rsid w:val="00D236E6"/>
    <w:rsid w:val="00D267F6"/>
    <w:rsid w:val="00D27145"/>
    <w:rsid w:val="00D30DDB"/>
    <w:rsid w:val="00D33CE3"/>
    <w:rsid w:val="00D376BE"/>
    <w:rsid w:val="00D43587"/>
    <w:rsid w:val="00D4435A"/>
    <w:rsid w:val="00D47953"/>
    <w:rsid w:val="00D47DF4"/>
    <w:rsid w:val="00D50153"/>
    <w:rsid w:val="00D5108E"/>
    <w:rsid w:val="00D51150"/>
    <w:rsid w:val="00D52E36"/>
    <w:rsid w:val="00D53AB3"/>
    <w:rsid w:val="00D57918"/>
    <w:rsid w:val="00D6120F"/>
    <w:rsid w:val="00D62F1A"/>
    <w:rsid w:val="00D677EC"/>
    <w:rsid w:val="00D67E25"/>
    <w:rsid w:val="00D73DC6"/>
    <w:rsid w:val="00D74216"/>
    <w:rsid w:val="00D74C1A"/>
    <w:rsid w:val="00D75333"/>
    <w:rsid w:val="00D754C1"/>
    <w:rsid w:val="00D7668B"/>
    <w:rsid w:val="00D77393"/>
    <w:rsid w:val="00D77A35"/>
    <w:rsid w:val="00D81B3E"/>
    <w:rsid w:val="00D82884"/>
    <w:rsid w:val="00D83BEF"/>
    <w:rsid w:val="00D83F4A"/>
    <w:rsid w:val="00D85CB9"/>
    <w:rsid w:val="00D87687"/>
    <w:rsid w:val="00D900E8"/>
    <w:rsid w:val="00D9059F"/>
    <w:rsid w:val="00D9064E"/>
    <w:rsid w:val="00D90BCE"/>
    <w:rsid w:val="00D90C70"/>
    <w:rsid w:val="00D90E49"/>
    <w:rsid w:val="00D91D16"/>
    <w:rsid w:val="00D927E0"/>
    <w:rsid w:val="00D95DC7"/>
    <w:rsid w:val="00D95E95"/>
    <w:rsid w:val="00D9648A"/>
    <w:rsid w:val="00D964E9"/>
    <w:rsid w:val="00D96ADE"/>
    <w:rsid w:val="00DA19BD"/>
    <w:rsid w:val="00DB0A2D"/>
    <w:rsid w:val="00DB4BC3"/>
    <w:rsid w:val="00DB52D7"/>
    <w:rsid w:val="00DB6357"/>
    <w:rsid w:val="00DB69D5"/>
    <w:rsid w:val="00DC34F5"/>
    <w:rsid w:val="00DC5525"/>
    <w:rsid w:val="00DC6841"/>
    <w:rsid w:val="00DC6A10"/>
    <w:rsid w:val="00DC767A"/>
    <w:rsid w:val="00DC7AFC"/>
    <w:rsid w:val="00DD4A4A"/>
    <w:rsid w:val="00DD5DF1"/>
    <w:rsid w:val="00DE295E"/>
    <w:rsid w:val="00DE3C3F"/>
    <w:rsid w:val="00DE4DA4"/>
    <w:rsid w:val="00DE657E"/>
    <w:rsid w:val="00DE6ED9"/>
    <w:rsid w:val="00DE73ED"/>
    <w:rsid w:val="00DF26D9"/>
    <w:rsid w:val="00DF36CD"/>
    <w:rsid w:val="00DF4135"/>
    <w:rsid w:val="00DF4704"/>
    <w:rsid w:val="00DF6FA6"/>
    <w:rsid w:val="00E001C4"/>
    <w:rsid w:val="00E00FAB"/>
    <w:rsid w:val="00E01BA4"/>
    <w:rsid w:val="00E024AA"/>
    <w:rsid w:val="00E0443E"/>
    <w:rsid w:val="00E04A95"/>
    <w:rsid w:val="00E1029A"/>
    <w:rsid w:val="00E105A2"/>
    <w:rsid w:val="00E115EA"/>
    <w:rsid w:val="00E12FF0"/>
    <w:rsid w:val="00E154FB"/>
    <w:rsid w:val="00E16642"/>
    <w:rsid w:val="00E174C1"/>
    <w:rsid w:val="00E20E1A"/>
    <w:rsid w:val="00E21773"/>
    <w:rsid w:val="00E250F1"/>
    <w:rsid w:val="00E257C3"/>
    <w:rsid w:val="00E2754D"/>
    <w:rsid w:val="00E306CF"/>
    <w:rsid w:val="00E31267"/>
    <w:rsid w:val="00E32141"/>
    <w:rsid w:val="00E3331D"/>
    <w:rsid w:val="00E33691"/>
    <w:rsid w:val="00E33AA3"/>
    <w:rsid w:val="00E34207"/>
    <w:rsid w:val="00E3550D"/>
    <w:rsid w:val="00E371C5"/>
    <w:rsid w:val="00E401AB"/>
    <w:rsid w:val="00E41FF1"/>
    <w:rsid w:val="00E42961"/>
    <w:rsid w:val="00E45645"/>
    <w:rsid w:val="00E47F20"/>
    <w:rsid w:val="00E51F36"/>
    <w:rsid w:val="00E57B6C"/>
    <w:rsid w:val="00E614E0"/>
    <w:rsid w:val="00E63391"/>
    <w:rsid w:val="00E661CF"/>
    <w:rsid w:val="00E67061"/>
    <w:rsid w:val="00E670B1"/>
    <w:rsid w:val="00E70075"/>
    <w:rsid w:val="00E70317"/>
    <w:rsid w:val="00E713C8"/>
    <w:rsid w:val="00E72D8C"/>
    <w:rsid w:val="00E73F7F"/>
    <w:rsid w:val="00E742BC"/>
    <w:rsid w:val="00E75294"/>
    <w:rsid w:val="00E76D95"/>
    <w:rsid w:val="00E76ED1"/>
    <w:rsid w:val="00E8063E"/>
    <w:rsid w:val="00E816B4"/>
    <w:rsid w:val="00E81998"/>
    <w:rsid w:val="00E8517C"/>
    <w:rsid w:val="00E85409"/>
    <w:rsid w:val="00E86691"/>
    <w:rsid w:val="00E868BF"/>
    <w:rsid w:val="00E90B74"/>
    <w:rsid w:val="00E9124C"/>
    <w:rsid w:val="00E93B82"/>
    <w:rsid w:val="00E95ACA"/>
    <w:rsid w:val="00E96583"/>
    <w:rsid w:val="00EA0023"/>
    <w:rsid w:val="00EA027E"/>
    <w:rsid w:val="00EA2C7C"/>
    <w:rsid w:val="00EA3E01"/>
    <w:rsid w:val="00EA429F"/>
    <w:rsid w:val="00EA4F9E"/>
    <w:rsid w:val="00EA5D51"/>
    <w:rsid w:val="00EA63CA"/>
    <w:rsid w:val="00EA6649"/>
    <w:rsid w:val="00EA6D3B"/>
    <w:rsid w:val="00EB00AD"/>
    <w:rsid w:val="00EB1021"/>
    <w:rsid w:val="00EB136C"/>
    <w:rsid w:val="00EB18DD"/>
    <w:rsid w:val="00EB2A6F"/>
    <w:rsid w:val="00EB3AAA"/>
    <w:rsid w:val="00EB480E"/>
    <w:rsid w:val="00EB5EC6"/>
    <w:rsid w:val="00EB6233"/>
    <w:rsid w:val="00EB7FC9"/>
    <w:rsid w:val="00EC0A38"/>
    <w:rsid w:val="00EC1CEB"/>
    <w:rsid w:val="00EC1EA9"/>
    <w:rsid w:val="00EC25C8"/>
    <w:rsid w:val="00EC3E0F"/>
    <w:rsid w:val="00ED27E8"/>
    <w:rsid w:val="00ED5F3B"/>
    <w:rsid w:val="00ED6AE2"/>
    <w:rsid w:val="00ED7137"/>
    <w:rsid w:val="00ED7386"/>
    <w:rsid w:val="00EE16F1"/>
    <w:rsid w:val="00EE3CB9"/>
    <w:rsid w:val="00EE48CA"/>
    <w:rsid w:val="00EE77E7"/>
    <w:rsid w:val="00EF007F"/>
    <w:rsid w:val="00EF3383"/>
    <w:rsid w:val="00EF6F2F"/>
    <w:rsid w:val="00F01638"/>
    <w:rsid w:val="00F01B92"/>
    <w:rsid w:val="00F06E6A"/>
    <w:rsid w:val="00F12525"/>
    <w:rsid w:val="00F13D6E"/>
    <w:rsid w:val="00F16524"/>
    <w:rsid w:val="00F1703F"/>
    <w:rsid w:val="00F17452"/>
    <w:rsid w:val="00F21088"/>
    <w:rsid w:val="00F21F90"/>
    <w:rsid w:val="00F22B47"/>
    <w:rsid w:val="00F22FA4"/>
    <w:rsid w:val="00F241A0"/>
    <w:rsid w:val="00F24455"/>
    <w:rsid w:val="00F25536"/>
    <w:rsid w:val="00F27618"/>
    <w:rsid w:val="00F327E7"/>
    <w:rsid w:val="00F35746"/>
    <w:rsid w:val="00F36B67"/>
    <w:rsid w:val="00F4001E"/>
    <w:rsid w:val="00F402C7"/>
    <w:rsid w:val="00F43BBD"/>
    <w:rsid w:val="00F4406E"/>
    <w:rsid w:val="00F447C7"/>
    <w:rsid w:val="00F47803"/>
    <w:rsid w:val="00F50ABA"/>
    <w:rsid w:val="00F51193"/>
    <w:rsid w:val="00F5141B"/>
    <w:rsid w:val="00F53729"/>
    <w:rsid w:val="00F53D8E"/>
    <w:rsid w:val="00F554A9"/>
    <w:rsid w:val="00F5717A"/>
    <w:rsid w:val="00F57CAE"/>
    <w:rsid w:val="00F6468B"/>
    <w:rsid w:val="00F6473A"/>
    <w:rsid w:val="00F64DC7"/>
    <w:rsid w:val="00F671B8"/>
    <w:rsid w:val="00F716FD"/>
    <w:rsid w:val="00F74148"/>
    <w:rsid w:val="00F752D4"/>
    <w:rsid w:val="00F76948"/>
    <w:rsid w:val="00F76FC3"/>
    <w:rsid w:val="00F80355"/>
    <w:rsid w:val="00F80410"/>
    <w:rsid w:val="00F8165A"/>
    <w:rsid w:val="00F83F7C"/>
    <w:rsid w:val="00F83F8C"/>
    <w:rsid w:val="00F84ADB"/>
    <w:rsid w:val="00F84FA5"/>
    <w:rsid w:val="00F85895"/>
    <w:rsid w:val="00F86690"/>
    <w:rsid w:val="00F901F0"/>
    <w:rsid w:val="00F91464"/>
    <w:rsid w:val="00F91B4A"/>
    <w:rsid w:val="00F91FF0"/>
    <w:rsid w:val="00F92F9E"/>
    <w:rsid w:val="00FA32FC"/>
    <w:rsid w:val="00FA578A"/>
    <w:rsid w:val="00FA6834"/>
    <w:rsid w:val="00FB06E5"/>
    <w:rsid w:val="00FB0C81"/>
    <w:rsid w:val="00FB34E5"/>
    <w:rsid w:val="00FB45D5"/>
    <w:rsid w:val="00FC2200"/>
    <w:rsid w:val="00FC2419"/>
    <w:rsid w:val="00FC2540"/>
    <w:rsid w:val="00FC5A92"/>
    <w:rsid w:val="00FC6229"/>
    <w:rsid w:val="00FC6403"/>
    <w:rsid w:val="00FD2267"/>
    <w:rsid w:val="00FD27CD"/>
    <w:rsid w:val="00FD323E"/>
    <w:rsid w:val="00FD524B"/>
    <w:rsid w:val="00FE0414"/>
    <w:rsid w:val="00FE0622"/>
    <w:rsid w:val="00FE2E75"/>
    <w:rsid w:val="00FF0204"/>
    <w:rsid w:val="00FF0C82"/>
    <w:rsid w:val="00FF12D8"/>
    <w:rsid w:val="00FF3AED"/>
    <w:rsid w:val="00FF3F99"/>
    <w:rsid w:val="00FF523F"/>
    <w:rsid w:val="00FF6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728E2A66"/>
  <w15:docId w15:val="{DD99F8AB-188A-4D8A-AC94-DA8B12CCF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E2F"/>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A6E0E"/>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A6E0E"/>
    <w:rPr>
      <w:lang w:val="en-GB"/>
    </w:rPr>
  </w:style>
  <w:style w:type="character" w:styleId="FootnoteReference">
    <w:name w:val="footnote reference"/>
    <w:aliases w:val="Footnote text"/>
    <w:basedOn w:val="DefaultParagraphFont"/>
    <w:uiPriority w:val="99"/>
    <w:unhideWhenUsed/>
    <w:rsid w:val="006A6E0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A6E0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05DF6"/>
    <w:rPr>
      <w:sz w:val="22"/>
      <w:szCs w:val="22"/>
      <w:lang w:val="en-GB"/>
    </w:rPr>
  </w:style>
  <w:style w:type="paragraph" w:styleId="ListParagraph">
    <w:name w:val="List Paragraph"/>
    <w:aliases w:val="列出段落YUAN"/>
    <w:basedOn w:val="Normal"/>
    <w:link w:val="ListParagraphChar"/>
    <w:uiPriority w:val="34"/>
    <w:qFormat/>
    <w:rsid w:val="00B6640B"/>
    <w:pPr>
      <w:ind w:left="720"/>
      <w:contextualSpacing/>
    </w:pPr>
  </w:style>
  <w:style w:type="paragraph" w:customStyle="1" w:styleId="CM18">
    <w:name w:val="CM18"/>
    <w:basedOn w:val="Normal"/>
    <w:next w:val="Normal"/>
    <w:rsid w:val="000652E6"/>
    <w:pPr>
      <w:widowControl w:val="0"/>
      <w:autoSpaceDE w:val="0"/>
      <w:autoSpaceDN w:val="0"/>
      <w:adjustRightInd w:val="0"/>
      <w:spacing w:after="285"/>
      <w:jc w:val="left"/>
    </w:pPr>
    <w:rPr>
      <w:sz w:val="24"/>
      <w:szCs w:val="24"/>
      <w:lang w:val="en-US"/>
    </w:rPr>
  </w:style>
  <w:style w:type="character" w:customStyle="1" w:styleId="Heading4Char">
    <w:name w:val="Heading 4 Char"/>
    <w:aliases w:val="Heading 11 Char,para 4 Char,Título 41 Char,heading 4 Char,Heading 41 Char"/>
    <w:link w:val="Heading4"/>
    <w:rsid w:val="00D90BCE"/>
    <w:rPr>
      <w:sz w:val="22"/>
      <w:szCs w:val="22"/>
      <w:lang w:val="en-GB"/>
    </w:rPr>
  </w:style>
  <w:style w:type="character" w:customStyle="1" w:styleId="Heading6Char">
    <w:name w:val="Heading 6 Char"/>
    <w:link w:val="Heading6"/>
    <w:rsid w:val="00D90BCE"/>
    <w:rPr>
      <w:rFonts w:ascii="Arial" w:hAnsi="Arial"/>
      <w:i/>
      <w:sz w:val="22"/>
      <w:szCs w:val="22"/>
      <w:lang w:val="en-GB"/>
    </w:rPr>
  </w:style>
  <w:style w:type="character" w:customStyle="1" w:styleId="Heading7Char">
    <w:name w:val="Heading 7 Char"/>
    <w:link w:val="Heading7"/>
    <w:rsid w:val="00D90BCE"/>
    <w:rPr>
      <w:rFonts w:ascii="Arial" w:hAnsi="Arial"/>
      <w:sz w:val="22"/>
      <w:szCs w:val="22"/>
      <w:lang w:val="en-GB"/>
    </w:rPr>
  </w:style>
  <w:style w:type="character" w:customStyle="1" w:styleId="Heading9Char">
    <w:name w:val="Heading 9 Char"/>
    <w:link w:val="Heading9"/>
    <w:rsid w:val="00D90BCE"/>
    <w:rPr>
      <w:rFonts w:ascii="Arial" w:hAnsi="Arial"/>
      <w:i/>
      <w:sz w:val="18"/>
      <w:szCs w:val="22"/>
      <w:lang w:val="en-GB"/>
    </w:rPr>
  </w:style>
  <w:style w:type="character" w:customStyle="1" w:styleId="HeaderChar">
    <w:name w:val="Header Char"/>
    <w:link w:val="Header"/>
    <w:rsid w:val="00D90BCE"/>
    <w:rPr>
      <w:sz w:val="22"/>
      <w:szCs w:val="22"/>
      <w:lang w:val="en-GB"/>
    </w:rPr>
  </w:style>
  <w:style w:type="character" w:customStyle="1" w:styleId="FooterChar">
    <w:name w:val="Footer Char"/>
    <w:link w:val="Footer"/>
    <w:uiPriority w:val="99"/>
    <w:rsid w:val="00D90BCE"/>
    <w:rPr>
      <w:sz w:val="22"/>
      <w:szCs w:val="22"/>
      <w:lang w:val="en-GB"/>
    </w:rPr>
  </w:style>
  <w:style w:type="character" w:customStyle="1" w:styleId="ListParagraphChar">
    <w:name w:val="List Paragraph Char"/>
    <w:aliases w:val="列出段落YUAN Char"/>
    <w:link w:val="ListParagraph"/>
    <w:uiPriority w:val="34"/>
    <w:locked/>
    <w:rsid w:val="00D90BCE"/>
    <w:rPr>
      <w:sz w:val="22"/>
      <w:szCs w:val="22"/>
      <w:lang w:val="en-GB"/>
    </w:rPr>
  </w:style>
  <w:style w:type="character" w:customStyle="1" w:styleId="Char">
    <w:name w:val="列出段落 Char"/>
    <w:link w:val="ListParagraph1"/>
    <w:uiPriority w:val="99"/>
    <w:locked/>
    <w:rsid w:val="00D90BCE"/>
    <w:rPr>
      <w:rFonts w:ascii="Calibri" w:eastAsia="SimSun" w:hAnsi="Calibri" w:cs="Calibri"/>
      <w:sz w:val="22"/>
    </w:rPr>
  </w:style>
  <w:style w:type="paragraph" w:customStyle="1" w:styleId="ListParagraph1">
    <w:name w:val="List Paragraph1"/>
    <w:basedOn w:val="Normal"/>
    <w:link w:val="Char"/>
    <w:uiPriority w:val="99"/>
    <w:qFormat/>
    <w:rsid w:val="00D90BCE"/>
    <w:pPr>
      <w:spacing w:after="200" w:line="276" w:lineRule="auto"/>
      <w:ind w:left="720"/>
      <w:jc w:val="left"/>
    </w:pPr>
    <w:rPr>
      <w:rFonts w:ascii="Calibri" w:eastAsia="SimSun" w:hAnsi="Calibri" w:cs="Calibri"/>
      <w:szCs w:val="20"/>
      <w:lang w:val="en-US"/>
    </w:rPr>
  </w:style>
  <w:style w:type="paragraph" w:customStyle="1" w:styleId="a--">
    <w:name w:val="a-(-)"/>
    <w:basedOn w:val="Normal"/>
    <w:rsid w:val="007A25D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5C44D0"/>
    <w:pPr>
      <w:spacing w:after="200" w:line="276" w:lineRule="auto"/>
      <w:ind w:left="720"/>
      <w:contextualSpacing/>
      <w:jc w:val="left"/>
    </w:pPr>
    <w:rPr>
      <w:rFonts w:ascii="Calibri" w:eastAsia="Calibri" w:hAnsi="Calibri"/>
      <w:lang w:val="en-US"/>
    </w:rPr>
  </w:style>
  <w:style w:type="character" w:customStyle="1" w:styleId="ColorfulList-Accent1Char">
    <w:name w:val="Colorful List - Accent 1 Char"/>
    <w:basedOn w:val="DefaultParagraphFont"/>
    <w:link w:val="ColorfulList-Accent11"/>
    <w:uiPriority w:val="34"/>
    <w:rsid w:val="005C44D0"/>
    <w:rPr>
      <w:rFonts w:ascii="Calibri" w:eastAsia="Calibri" w:hAnsi="Calibri"/>
      <w:sz w:val="22"/>
      <w:szCs w:val="22"/>
    </w:rPr>
  </w:style>
  <w:style w:type="paragraph" w:styleId="NoSpacing">
    <w:name w:val="No Spacing"/>
    <w:uiPriority w:val="1"/>
    <w:qFormat/>
    <w:rsid w:val="00FD27CD"/>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F83F8C"/>
    <w:pPr>
      <w:ind w:left="720"/>
      <w:jc w:val="left"/>
    </w:pPr>
    <w:rPr>
      <w:sz w:val="24"/>
      <w:szCs w:val="24"/>
      <w:lang w:val="en-US"/>
    </w:rPr>
  </w:style>
  <w:style w:type="character" w:customStyle="1" w:styleId="MediumGrid1-Accent2Char">
    <w:name w:val="Medium Grid 1 - Accent 2 Char"/>
    <w:link w:val="MediumGrid1-Accent21"/>
    <w:uiPriority w:val="34"/>
    <w:locked/>
    <w:rsid w:val="00F83F8C"/>
    <w:rPr>
      <w:sz w:val="24"/>
      <w:szCs w:val="24"/>
    </w:rPr>
  </w:style>
  <w:style w:type="character" w:styleId="Hyperlink">
    <w:name w:val="Hyperlink"/>
    <w:unhideWhenUsed/>
    <w:rsid w:val="00F83F8C"/>
    <w:rPr>
      <w:color w:val="0000FF"/>
      <w:u w:val="single"/>
    </w:rPr>
  </w:style>
  <w:style w:type="paragraph" w:customStyle="1" w:styleId="xmsonormal">
    <w:name w:val="x_msonormal"/>
    <w:basedOn w:val="Normal"/>
    <w:rsid w:val="000A22C6"/>
    <w:pPr>
      <w:spacing w:before="100" w:beforeAutospacing="1" w:after="100" w:afterAutospacing="1"/>
      <w:jc w:val="left"/>
    </w:pPr>
    <w:rPr>
      <w:sz w:val="24"/>
      <w:szCs w:val="24"/>
      <w:lang w:val="en-US"/>
    </w:rPr>
  </w:style>
  <w:style w:type="paragraph" w:customStyle="1" w:styleId="TableHeading">
    <w:name w:val="TableHeading"/>
    <w:basedOn w:val="Normal"/>
    <w:rsid w:val="00BA38B6"/>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BA38B6"/>
    <w:pPr>
      <w:tabs>
        <w:tab w:val="left" w:pos="720"/>
      </w:tabs>
      <w:jc w:val="left"/>
    </w:pPr>
    <w:rPr>
      <w:sz w:val="20"/>
      <w:szCs w:val="20"/>
      <w:lang w:val="en-US"/>
    </w:rPr>
  </w:style>
  <w:style w:type="paragraph" w:customStyle="1" w:styleId="Body">
    <w:name w:val="Body"/>
    <w:basedOn w:val="Normal"/>
    <w:rsid w:val="008241A7"/>
    <w:pPr>
      <w:suppressAutoHyphens/>
      <w:autoSpaceDE w:val="0"/>
      <w:autoSpaceDN w:val="0"/>
      <w:spacing w:before="120"/>
      <w:jc w:val="left"/>
    </w:pPr>
    <w:rPr>
      <w:sz w:val="24"/>
      <w:szCs w:val="24"/>
      <w:lang w:val="en-US"/>
    </w:rPr>
  </w:style>
  <w:style w:type="paragraph" w:customStyle="1" w:styleId="Style2">
    <w:name w:val="Style2"/>
    <w:basedOn w:val="Heading1"/>
    <w:link w:val="Style2Char"/>
    <w:qFormat/>
    <w:rsid w:val="007D177C"/>
    <w:pPr>
      <w:numPr>
        <w:numId w:val="0"/>
      </w:numPr>
    </w:pPr>
    <w:rPr>
      <w:rFonts w:eastAsiaTheme="minorEastAsia"/>
      <w:b/>
      <w:lang w:eastAsia="zh-CN"/>
    </w:rPr>
  </w:style>
  <w:style w:type="character" w:customStyle="1" w:styleId="Style2Char">
    <w:name w:val="Style2 Char"/>
    <w:basedOn w:val="Heading1Char1"/>
    <w:link w:val="Style2"/>
    <w:rsid w:val="007D177C"/>
    <w:rPr>
      <w:rFonts w:eastAsiaTheme="minorEastAsia"/>
      <w:b/>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29040">
      <w:bodyDiv w:val="1"/>
      <w:marLeft w:val="0"/>
      <w:marRight w:val="0"/>
      <w:marTop w:val="0"/>
      <w:marBottom w:val="0"/>
      <w:divBdr>
        <w:top w:val="none" w:sz="0" w:space="0" w:color="auto"/>
        <w:left w:val="none" w:sz="0" w:space="0" w:color="auto"/>
        <w:bottom w:val="none" w:sz="0" w:space="0" w:color="auto"/>
        <w:right w:val="none" w:sz="0" w:space="0" w:color="auto"/>
      </w:divBdr>
    </w:div>
    <w:div w:id="312221013">
      <w:bodyDiv w:val="1"/>
      <w:marLeft w:val="0"/>
      <w:marRight w:val="0"/>
      <w:marTop w:val="0"/>
      <w:marBottom w:val="0"/>
      <w:divBdr>
        <w:top w:val="none" w:sz="0" w:space="0" w:color="auto"/>
        <w:left w:val="none" w:sz="0" w:space="0" w:color="auto"/>
        <w:bottom w:val="none" w:sz="0" w:space="0" w:color="auto"/>
        <w:right w:val="none" w:sz="0" w:space="0" w:color="auto"/>
      </w:divBdr>
    </w:div>
    <w:div w:id="405424111">
      <w:bodyDiv w:val="1"/>
      <w:marLeft w:val="0"/>
      <w:marRight w:val="0"/>
      <w:marTop w:val="0"/>
      <w:marBottom w:val="0"/>
      <w:divBdr>
        <w:top w:val="none" w:sz="0" w:space="0" w:color="auto"/>
        <w:left w:val="none" w:sz="0" w:space="0" w:color="auto"/>
        <w:bottom w:val="none" w:sz="0" w:space="0" w:color="auto"/>
        <w:right w:val="none" w:sz="0" w:space="0" w:color="auto"/>
      </w:divBdr>
    </w:div>
    <w:div w:id="501512233">
      <w:bodyDiv w:val="1"/>
      <w:marLeft w:val="0"/>
      <w:marRight w:val="0"/>
      <w:marTop w:val="0"/>
      <w:marBottom w:val="0"/>
      <w:divBdr>
        <w:top w:val="none" w:sz="0" w:space="0" w:color="auto"/>
        <w:left w:val="none" w:sz="0" w:space="0" w:color="auto"/>
        <w:bottom w:val="none" w:sz="0" w:space="0" w:color="auto"/>
        <w:right w:val="none" w:sz="0" w:space="0" w:color="auto"/>
      </w:divBdr>
    </w:div>
    <w:div w:id="570697672">
      <w:bodyDiv w:val="1"/>
      <w:marLeft w:val="0"/>
      <w:marRight w:val="0"/>
      <w:marTop w:val="0"/>
      <w:marBottom w:val="0"/>
      <w:divBdr>
        <w:top w:val="none" w:sz="0" w:space="0" w:color="auto"/>
        <w:left w:val="none" w:sz="0" w:space="0" w:color="auto"/>
        <w:bottom w:val="none" w:sz="0" w:space="0" w:color="auto"/>
        <w:right w:val="none" w:sz="0" w:space="0" w:color="auto"/>
      </w:divBdr>
    </w:div>
    <w:div w:id="762380369">
      <w:bodyDiv w:val="1"/>
      <w:marLeft w:val="0"/>
      <w:marRight w:val="0"/>
      <w:marTop w:val="0"/>
      <w:marBottom w:val="0"/>
      <w:divBdr>
        <w:top w:val="none" w:sz="0" w:space="0" w:color="auto"/>
        <w:left w:val="none" w:sz="0" w:space="0" w:color="auto"/>
        <w:bottom w:val="none" w:sz="0" w:space="0" w:color="auto"/>
        <w:right w:val="none" w:sz="0" w:space="0" w:color="auto"/>
      </w:divBdr>
      <w:divsChild>
        <w:div w:id="836726172">
          <w:marLeft w:val="0"/>
          <w:marRight w:val="0"/>
          <w:marTop w:val="0"/>
          <w:marBottom w:val="0"/>
          <w:divBdr>
            <w:top w:val="none" w:sz="0" w:space="0" w:color="auto"/>
            <w:left w:val="none" w:sz="0" w:space="0" w:color="auto"/>
            <w:bottom w:val="none" w:sz="0" w:space="0" w:color="auto"/>
            <w:right w:val="none" w:sz="0" w:space="0" w:color="auto"/>
          </w:divBdr>
          <w:divsChild>
            <w:div w:id="1888371127">
              <w:marLeft w:val="0"/>
              <w:marRight w:val="0"/>
              <w:marTop w:val="0"/>
              <w:marBottom w:val="0"/>
              <w:divBdr>
                <w:top w:val="none" w:sz="0" w:space="0" w:color="auto"/>
                <w:left w:val="none" w:sz="0" w:space="0" w:color="auto"/>
                <w:bottom w:val="none" w:sz="0" w:space="0" w:color="auto"/>
                <w:right w:val="none" w:sz="0" w:space="0" w:color="auto"/>
              </w:divBdr>
              <w:divsChild>
                <w:div w:id="1173300980">
                  <w:marLeft w:val="0"/>
                  <w:marRight w:val="0"/>
                  <w:marTop w:val="0"/>
                  <w:marBottom w:val="0"/>
                  <w:divBdr>
                    <w:top w:val="none" w:sz="0" w:space="0" w:color="auto"/>
                    <w:left w:val="none" w:sz="0" w:space="0" w:color="auto"/>
                    <w:bottom w:val="none" w:sz="0" w:space="0" w:color="auto"/>
                    <w:right w:val="none" w:sz="0" w:space="0" w:color="auto"/>
                  </w:divBdr>
                  <w:divsChild>
                    <w:div w:id="560945967">
                      <w:marLeft w:val="0"/>
                      <w:marRight w:val="0"/>
                      <w:marTop w:val="45"/>
                      <w:marBottom w:val="0"/>
                      <w:divBdr>
                        <w:top w:val="none" w:sz="0" w:space="0" w:color="auto"/>
                        <w:left w:val="none" w:sz="0" w:space="0" w:color="auto"/>
                        <w:bottom w:val="none" w:sz="0" w:space="0" w:color="auto"/>
                        <w:right w:val="none" w:sz="0" w:space="0" w:color="auto"/>
                      </w:divBdr>
                      <w:divsChild>
                        <w:div w:id="1490829627">
                          <w:marLeft w:val="0"/>
                          <w:marRight w:val="0"/>
                          <w:marTop w:val="0"/>
                          <w:marBottom w:val="0"/>
                          <w:divBdr>
                            <w:top w:val="none" w:sz="0" w:space="0" w:color="auto"/>
                            <w:left w:val="none" w:sz="0" w:space="0" w:color="auto"/>
                            <w:bottom w:val="none" w:sz="0" w:space="0" w:color="auto"/>
                            <w:right w:val="none" w:sz="0" w:space="0" w:color="auto"/>
                          </w:divBdr>
                          <w:divsChild>
                            <w:div w:id="2034652759">
                              <w:marLeft w:val="2070"/>
                              <w:marRight w:val="3960"/>
                              <w:marTop w:val="0"/>
                              <w:marBottom w:val="0"/>
                              <w:divBdr>
                                <w:top w:val="none" w:sz="0" w:space="0" w:color="auto"/>
                                <w:left w:val="none" w:sz="0" w:space="0" w:color="auto"/>
                                <w:bottom w:val="none" w:sz="0" w:space="0" w:color="auto"/>
                                <w:right w:val="none" w:sz="0" w:space="0" w:color="auto"/>
                              </w:divBdr>
                              <w:divsChild>
                                <w:div w:id="676225281">
                                  <w:marLeft w:val="0"/>
                                  <w:marRight w:val="0"/>
                                  <w:marTop w:val="0"/>
                                  <w:marBottom w:val="0"/>
                                  <w:divBdr>
                                    <w:top w:val="none" w:sz="0" w:space="0" w:color="auto"/>
                                    <w:left w:val="none" w:sz="0" w:space="0" w:color="auto"/>
                                    <w:bottom w:val="none" w:sz="0" w:space="0" w:color="auto"/>
                                    <w:right w:val="none" w:sz="0" w:space="0" w:color="auto"/>
                                  </w:divBdr>
                                  <w:divsChild>
                                    <w:div w:id="1147089174">
                                      <w:marLeft w:val="0"/>
                                      <w:marRight w:val="0"/>
                                      <w:marTop w:val="0"/>
                                      <w:marBottom w:val="0"/>
                                      <w:divBdr>
                                        <w:top w:val="none" w:sz="0" w:space="0" w:color="auto"/>
                                        <w:left w:val="none" w:sz="0" w:space="0" w:color="auto"/>
                                        <w:bottom w:val="none" w:sz="0" w:space="0" w:color="auto"/>
                                        <w:right w:val="none" w:sz="0" w:space="0" w:color="auto"/>
                                      </w:divBdr>
                                      <w:divsChild>
                                        <w:div w:id="1642925375">
                                          <w:marLeft w:val="0"/>
                                          <w:marRight w:val="0"/>
                                          <w:marTop w:val="0"/>
                                          <w:marBottom w:val="0"/>
                                          <w:divBdr>
                                            <w:top w:val="none" w:sz="0" w:space="0" w:color="auto"/>
                                            <w:left w:val="none" w:sz="0" w:space="0" w:color="auto"/>
                                            <w:bottom w:val="none" w:sz="0" w:space="0" w:color="auto"/>
                                            <w:right w:val="none" w:sz="0" w:space="0" w:color="auto"/>
                                          </w:divBdr>
                                          <w:divsChild>
                                            <w:div w:id="138352130">
                                              <w:marLeft w:val="0"/>
                                              <w:marRight w:val="0"/>
                                              <w:marTop w:val="90"/>
                                              <w:marBottom w:val="0"/>
                                              <w:divBdr>
                                                <w:top w:val="none" w:sz="0" w:space="0" w:color="auto"/>
                                                <w:left w:val="none" w:sz="0" w:space="0" w:color="auto"/>
                                                <w:bottom w:val="none" w:sz="0" w:space="0" w:color="auto"/>
                                                <w:right w:val="none" w:sz="0" w:space="0" w:color="auto"/>
                                              </w:divBdr>
                                              <w:divsChild>
                                                <w:div w:id="869684807">
                                                  <w:marLeft w:val="0"/>
                                                  <w:marRight w:val="0"/>
                                                  <w:marTop w:val="0"/>
                                                  <w:marBottom w:val="0"/>
                                                  <w:divBdr>
                                                    <w:top w:val="none" w:sz="0" w:space="0" w:color="auto"/>
                                                    <w:left w:val="none" w:sz="0" w:space="0" w:color="auto"/>
                                                    <w:bottom w:val="none" w:sz="0" w:space="0" w:color="auto"/>
                                                    <w:right w:val="none" w:sz="0" w:space="0" w:color="auto"/>
                                                  </w:divBdr>
                                                  <w:divsChild>
                                                    <w:div w:id="102385380">
                                                      <w:marLeft w:val="0"/>
                                                      <w:marRight w:val="0"/>
                                                      <w:marTop w:val="0"/>
                                                      <w:marBottom w:val="0"/>
                                                      <w:divBdr>
                                                        <w:top w:val="none" w:sz="0" w:space="0" w:color="auto"/>
                                                        <w:left w:val="none" w:sz="0" w:space="0" w:color="auto"/>
                                                        <w:bottom w:val="none" w:sz="0" w:space="0" w:color="auto"/>
                                                        <w:right w:val="none" w:sz="0" w:space="0" w:color="auto"/>
                                                      </w:divBdr>
                                                      <w:divsChild>
                                                        <w:div w:id="2013801819">
                                                          <w:marLeft w:val="0"/>
                                                          <w:marRight w:val="0"/>
                                                          <w:marTop w:val="0"/>
                                                          <w:marBottom w:val="390"/>
                                                          <w:divBdr>
                                                            <w:top w:val="none" w:sz="0" w:space="0" w:color="auto"/>
                                                            <w:left w:val="none" w:sz="0" w:space="0" w:color="auto"/>
                                                            <w:bottom w:val="none" w:sz="0" w:space="0" w:color="auto"/>
                                                            <w:right w:val="none" w:sz="0" w:space="0" w:color="auto"/>
                                                          </w:divBdr>
                                                          <w:divsChild>
                                                            <w:div w:id="1756004194">
                                                              <w:marLeft w:val="0"/>
                                                              <w:marRight w:val="0"/>
                                                              <w:marTop w:val="0"/>
                                                              <w:marBottom w:val="0"/>
                                                              <w:divBdr>
                                                                <w:top w:val="none" w:sz="0" w:space="0" w:color="auto"/>
                                                                <w:left w:val="none" w:sz="0" w:space="0" w:color="auto"/>
                                                                <w:bottom w:val="none" w:sz="0" w:space="0" w:color="auto"/>
                                                                <w:right w:val="none" w:sz="0" w:space="0" w:color="auto"/>
                                                              </w:divBdr>
                                                              <w:divsChild>
                                                                <w:div w:id="833373738">
                                                                  <w:marLeft w:val="0"/>
                                                                  <w:marRight w:val="0"/>
                                                                  <w:marTop w:val="0"/>
                                                                  <w:marBottom w:val="0"/>
                                                                  <w:divBdr>
                                                                    <w:top w:val="none" w:sz="0" w:space="0" w:color="auto"/>
                                                                    <w:left w:val="none" w:sz="0" w:space="0" w:color="auto"/>
                                                                    <w:bottom w:val="none" w:sz="0" w:space="0" w:color="auto"/>
                                                                    <w:right w:val="none" w:sz="0" w:space="0" w:color="auto"/>
                                                                  </w:divBdr>
                                                                  <w:divsChild>
                                                                    <w:div w:id="412167579">
                                                                      <w:marLeft w:val="0"/>
                                                                      <w:marRight w:val="0"/>
                                                                      <w:marTop w:val="0"/>
                                                                      <w:marBottom w:val="0"/>
                                                                      <w:divBdr>
                                                                        <w:top w:val="none" w:sz="0" w:space="0" w:color="auto"/>
                                                                        <w:left w:val="none" w:sz="0" w:space="0" w:color="auto"/>
                                                                        <w:bottom w:val="none" w:sz="0" w:space="0" w:color="auto"/>
                                                                        <w:right w:val="none" w:sz="0" w:space="0" w:color="auto"/>
                                                                      </w:divBdr>
                                                                      <w:divsChild>
                                                                        <w:div w:id="2111078153">
                                                                          <w:marLeft w:val="0"/>
                                                                          <w:marRight w:val="0"/>
                                                                          <w:marTop w:val="0"/>
                                                                          <w:marBottom w:val="0"/>
                                                                          <w:divBdr>
                                                                            <w:top w:val="none" w:sz="0" w:space="0" w:color="auto"/>
                                                                            <w:left w:val="none" w:sz="0" w:space="0" w:color="auto"/>
                                                                            <w:bottom w:val="none" w:sz="0" w:space="0" w:color="auto"/>
                                                                            <w:right w:val="none" w:sz="0" w:space="0" w:color="auto"/>
                                                                          </w:divBdr>
                                                                          <w:divsChild>
                                                                            <w:div w:id="1729841774">
                                                                              <w:marLeft w:val="0"/>
                                                                              <w:marRight w:val="0"/>
                                                                              <w:marTop w:val="0"/>
                                                                              <w:marBottom w:val="0"/>
                                                                              <w:divBdr>
                                                                                <w:top w:val="none" w:sz="0" w:space="0" w:color="auto"/>
                                                                                <w:left w:val="none" w:sz="0" w:space="0" w:color="auto"/>
                                                                                <w:bottom w:val="none" w:sz="0" w:space="0" w:color="auto"/>
                                                                                <w:right w:val="none" w:sz="0" w:space="0" w:color="auto"/>
                                                                              </w:divBdr>
                                                                              <w:divsChild>
                                                                                <w:div w:id="2088844892">
                                                                                  <w:marLeft w:val="0"/>
                                                                                  <w:marRight w:val="0"/>
                                                                                  <w:marTop w:val="0"/>
                                                                                  <w:marBottom w:val="0"/>
                                                                                  <w:divBdr>
                                                                                    <w:top w:val="none" w:sz="0" w:space="0" w:color="auto"/>
                                                                                    <w:left w:val="none" w:sz="0" w:space="0" w:color="auto"/>
                                                                                    <w:bottom w:val="none" w:sz="0" w:space="0" w:color="auto"/>
                                                                                    <w:right w:val="none" w:sz="0" w:space="0" w:color="auto"/>
                                                                                  </w:divBdr>
                                                                                  <w:divsChild>
                                                                                    <w:div w:id="41946276">
                                                                                      <w:marLeft w:val="0"/>
                                                                                      <w:marRight w:val="0"/>
                                                                                      <w:marTop w:val="0"/>
                                                                                      <w:marBottom w:val="0"/>
                                                                                      <w:divBdr>
                                                                                        <w:top w:val="none" w:sz="0" w:space="0" w:color="auto"/>
                                                                                        <w:left w:val="none" w:sz="0" w:space="0" w:color="auto"/>
                                                                                        <w:bottom w:val="none" w:sz="0" w:space="0" w:color="auto"/>
                                                                                        <w:right w:val="none" w:sz="0" w:space="0" w:color="auto"/>
                                                                                      </w:divBdr>
                                                                                      <w:divsChild>
                                                                                        <w:div w:id="187742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1355810">
      <w:bodyDiv w:val="1"/>
      <w:marLeft w:val="0"/>
      <w:marRight w:val="0"/>
      <w:marTop w:val="0"/>
      <w:marBottom w:val="0"/>
      <w:divBdr>
        <w:top w:val="none" w:sz="0" w:space="0" w:color="auto"/>
        <w:left w:val="none" w:sz="0" w:space="0" w:color="auto"/>
        <w:bottom w:val="none" w:sz="0" w:space="0" w:color="auto"/>
        <w:right w:val="none" w:sz="0" w:space="0" w:color="auto"/>
      </w:divBdr>
    </w:div>
    <w:div w:id="876740890">
      <w:bodyDiv w:val="1"/>
      <w:marLeft w:val="0"/>
      <w:marRight w:val="0"/>
      <w:marTop w:val="0"/>
      <w:marBottom w:val="0"/>
      <w:divBdr>
        <w:top w:val="none" w:sz="0" w:space="0" w:color="auto"/>
        <w:left w:val="none" w:sz="0" w:space="0" w:color="auto"/>
        <w:bottom w:val="none" w:sz="0" w:space="0" w:color="auto"/>
        <w:right w:val="none" w:sz="0" w:space="0" w:color="auto"/>
      </w:divBdr>
    </w:div>
    <w:div w:id="938608091">
      <w:bodyDiv w:val="1"/>
      <w:marLeft w:val="0"/>
      <w:marRight w:val="0"/>
      <w:marTop w:val="0"/>
      <w:marBottom w:val="0"/>
      <w:divBdr>
        <w:top w:val="none" w:sz="0" w:space="0" w:color="auto"/>
        <w:left w:val="none" w:sz="0" w:space="0" w:color="auto"/>
        <w:bottom w:val="none" w:sz="0" w:space="0" w:color="auto"/>
        <w:right w:val="none" w:sz="0" w:space="0" w:color="auto"/>
      </w:divBdr>
    </w:div>
    <w:div w:id="1246496046">
      <w:bodyDiv w:val="1"/>
      <w:marLeft w:val="0"/>
      <w:marRight w:val="0"/>
      <w:marTop w:val="0"/>
      <w:marBottom w:val="0"/>
      <w:divBdr>
        <w:top w:val="none" w:sz="0" w:space="0" w:color="auto"/>
        <w:left w:val="none" w:sz="0" w:space="0" w:color="auto"/>
        <w:bottom w:val="none" w:sz="0" w:space="0" w:color="auto"/>
        <w:right w:val="none" w:sz="0" w:space="0" w:color="auto"/>
      </w:divBdr>
    </w:div>
    <w:div w:id="1348750352">
      <w:bodyDiv w:val="1"/>
      <w:marLeft w:val="0"/>
      <w:marRight w:val="0"/>
      <w:marTop w:val="0"/>
      <w:marBottom w:val="0"/>
      <w:divBdr>
        <w:top w:val="none" w:sz="0" w:space="0" w:color="auto"/>
        <w:left w:val="none" w:sz="0" w:space="0" w:color="auto"/>
        <w:bottom w:val="none" w:sz="0" w:space="0" w:color="auto"/>
        <w:right w:val="none" w:sz="0" w:space="0" w:color="auto"/>
      </w:divBdr>
    </w:div>
    <w:div w:id="1351252781">
      <w:bodyDiv w:val="1"/>
      <w:marLeft w:val="0"/>
      <w:marRight w:val="0"/>
      <w:marTop w:val="0"/>
      <w:marBottom w:val="0"/>
      <w:divBdr>
        <w:top w:val="none" w:sz="0" w:space="0" w:color="auto"/>
        <w:left w:val="none" w:sz="0" w:space="0" w:color="auto"/>
        <w:bottom w:val="none" w:sz="0" w:space="0" w:color="auto"/>
        <w:right w:val="none" w:sz="0" w:space="0" w:color="auto"/>
      </w:divBdr>
    </w:div>
    <w:div w:id="1408453543">
      <w:bodyDiv w:val="1"/>
      <w:marLeft w:val="0"/>
      <w:marRight w:val="0"/>
      <w:marTop w:val="0"/>
      <w:marBottom w:val="0"/>
      <w:divBdr>
        <w:top w:val="none" w:sz="0" w:space="0" w:color="auto"/>
        <w:left w:val="none" w:sz="0" w:space="0" w:color="auto"/>
        <w:bottom w:val="none" w:sz="0" w:space="0" w:color="auto"/>
        <w:right w:val="none" w:sz="0" w:space="0" w:color="auto"/>
      </w:divBdr>
    </w:div>
    <w:div w:id="1453132799">
      <w:bodyDiv w:val="1"/>
      <w:marLeft w:val="0"/>
      <w:marRight w:val="0"/>
      <w:marTop w:val="0"/>
      <w:marBottom w:val="0"/>
      <w:divBdr>
        <w:top w:val="none" w:sz="0" w:space="0" w:color="auto"/>
        <w:left w:val="none" w:sz="0" w:space="0" w:color="auto"/>
        <w:bottom w:val="none" w:sz="0" w:space="0" w:color="auto"/>
        <w:right w:val="none" w:sz="0" w:space="0" w:color="auto"/>
      </w:divBdr>
    </w:div>
    <w:div w:id="1536192794">
      <w:bodyDiv w:val="1"/>
      <w:marLeft w:val="0"/>
      <w:marRight w:val="0"/>
      <w:marTop w:val="0"/>
      <w:marBottom w:val="0"/>
      <w:divBdr>
        <w:top w:val="none" w:sz="0" w:space="0" w:color="auto"/>
        <w:left w:val="none" w:sz="0" w:space="0" w:color="auto"/>
        <w:bottom w:val="none" w:sz="0" w:space="0" w:color="auto"/>
        <w:right w:val="none" w:sz="0" w:space="0" w:color="auto"/>
      </w:divBdr>
    </w:div>
    <w:div w:id="1581328020">
      <w:bodyDiv w:val="1"/>
      <w:marLeft w:val="0"/>
      <w:marRight w:val="0"/>
      <w:marTop w:val="0"/>
      <w:marBottom w:val="0"/>
      <w:divBdr>
        <w:top w:val="none" w:sz="0" w:space="0" w:color="auto"/>
        <w:left w:val="none" w:sz="0" w:space="0" w:color="auto"/>
        <w:bottom w:val="none" w:sz="0" w:space="0" w:color="auto"/>
        <w:right w:val="none" w:sz="0" w:space="0" w:color="auto"/>
      </w:divBdr>
    </w:div>
    <w:div w:id="17415563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6100212">
      <w:bodyDiv w:val="1"/>
      <w:marLeft w:val="0"/>
      <w:marRight w:val="0"/>
      <w:marTop w:val="0"/>
      <w:marBottom w:val="0"/>
      <w:divBdr>
        <w:top w:val="none" w:sz="0" w:space="0" w:color="auto"/>
        <w:left w:val="none" w:sz="0" w:space="0" w:color="auto"/>
        <w:bottom w:val="none" w:sz="0" w:space="0" w:color="auto"/>
        <w:right w:val="none" w:sz="0" w:space="0" w:color="auto"/>
      </w:divBdr>
    </w:div>
    <w:div w:id="2104720689">
      <w:bodyDiv w:val="1"/>
      <w:marLeft w:val="0"/>
      <w:marRight w:val="0"/>
      <w:marTop w:val="0"/>
      <w:marBottom w:val="0"/>
      <w:divBdr>
        <w:top w:val="none" w:sz="0" w:space="0" w:color="auto"/>
        <w:left w:val="none" w:sz="0" w:space="0" w:color="auto"/>
        <w:bottom w:val="none" w:sz="0" w:space="0" w:color="auto"/>
        <w:right w:val="none" w:sz="0" w:space="0" w:color="auto"/>
      </w:divBdr>
    </w:div>
    <w:div w:id="210557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UNEP/OzL.Pro/ExCom/82/20 - re-issued </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F0B535E3-79AE-46EC-9ADA-00ECBB8C70F2}"/>
</file>

<file path=customXml/itemProps2.xml><?xml version="1.0" encoding="utf-8"?>
<ds:datastoreItem xmlns:ds="http://schemas.openxmlformats.org/officeDocument/2006/customXml" ds:itemID="{B68BAE20-5164-44C5-B9AC-C8F47055F0BC}"/>
</file>

<file path=customXml/itemProps3.xml><?xml version="1.0" encoding="utf-8"?>
<ds:datastoreItem xmlns:ds="http://schemas.openxmlformats.org/officeDocument/2006/customXml" ds:itemID="{597539D7-0A57-467C-A7CF-4FC9C06B9A40}"/>
</file>

<file path=customXml/itemProps4.xml><?xml version="1.0" encoding="utf-8"?>
<ds:datastoreItem xmlns:ds="http://schemas.openxmlformats.org/officeDocument/2006/customXml" ds:itemID="{5E56D352-BCFC-4FD9-97AB-2C81918259B6}"/>
</file>

<file path=docProps/app.xml><?xml version="1.0" encoding="utf-8"?>
<Properties xmlns="http://schemas.openxmlformats.org/officeDocument/2006/extended-properties" xmlns:vt="http://schemas.openxmlformats.org/officeDocument/2006/docPropsVTypes">
  <Template>normal</Template>
  <TotalTime>35</TotalTime>
  <Pages>83</Pages>
  <Words>36521</Words>
  <Characters>208173</Characters>
  <Application>Microsoft Office Word</Application>
  <DocSecurity>0</DocSecurity>
  <Lines>1734</Lines>
  <Paragraphs>488</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vt:lpstr>
    </vt:vector>
  </TitlesOfParts>
  <Company/>
  <LinksUpToDate>false</LinksUpToDate>
  <CharactersWithSpaces>244206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(Part 1)</dc:title>
  <dc:subject/>
  <dc:creator>Eduardo Ganem</dc:creator>
  <cp:keywords/>
  <dc:description/>
  <cp:lastModifiedBy>Despina Psillou</cp:lastModifiedBy>
  <cp:revision>13</cp:revision>
  <cp:lastPrinted>2018-11-20T17:52:00Z</cp:lastPrinted>
  <dcterms:created xsi:type="dcterms:W3CDTF">2018-11-20T17:53:00Z</dcterms:created>
  <dcterms:modified xsi:type="dcterms:W3CDTF">2018-11-20T21:28:00Z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UNEP/OzL.Pro/ExCom/82/20</vt:lpwstr>
  </property>
  <property fmtid="{D5CDD505-2E9C-101B-9397-08002B2CF9AE}" pid="3" name="Revision date">
    <vt:lpwstr>17/11/2018</vt:lpwstr>
  </property>
  <property fmtid="{D5CDD505-2E9C-101B-9397-08002B2CF9AE}" pid="4" name="ContentTypeId">
    <vt:lpwstr>0x010100E84C8415FE8D8F42AA10616BA921B3F7</vt:lpwstr>
  </property>
</Properties>
</file>