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F6A24">
        <w:fldChar w:fldCharType="begin"/>
      </w:r>
      <w:r w:rsidR="003F6A24">
        <w:instrText xml:space="preserve"> DOCPROPERTY "Document number"  \* MERGEFORMAT </w:instrText>
      </w:r>
      <w:r w:rsidR="003F6A24">
        <w:fldChar w:fldCharType="separate"/>
      </w:r>
      <w:r w:rsidR="00AC1DC2">
        <w:t>UNEP/</w:t>
      </w:r>
      <w:proofErr w:type="spellStart"/>
      <w:r w:rsidR="00AC1DC2">
        <w:t>OzL.Pro</w:t>
      </w:r>
      <w:proofErr w:type="spellEnd"/>
      <w:r w:rsidR="00AC1DC2">
        <w:t>/</w:t>
      </w:r>
      <w:proofErr w:type="spellStart"/>
      <w:r w:rsidR="00AC1DC2">
        <w:t>ExCom</w:t>
      </w:r>
      <w:proofErr w:type="spellEnd"/>
      <w:r w:rsidR="00AC1DC2">
        <w:t>/84/24</w:t>
      </w:r>
      <w:r w:rsidR="003F6A24">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AC1DC2">
        <w:t>2 December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AC1DC2" w:rsidRPr="000F769F" w:rsidRDefault="00AC1DC2" w:rsidP="00AC1DC2">
      <w:pPr>
        <w:jc w:val="center"/>
        <w:rPr>
          <w:b/>
          <w:bCs/>
          <w:color w:val="000000" w:themeColor="text1"/>
          <w:lang w:val="en-CA"/>
        </w:rPr>
      </w:pPr>
      <w:r w:rsidRPr="000F769F">
        <w:rPr>
          <w:b/>
          <w:bCs/>
          <w:color w:val="000000" w:themeColor="text1"/>
          <w:lang w:val="en-CA"/>
        </w:rPr>
        <w:t xml:space="preserve">UPDATE ON THE STATUS OF IMPLEMENTATION OF </w:t>
      </w:r>
    </w:p>
    <w:p w:rsidR="00AC1DC2" w:rsidRPr="000F769F" w:rsidRDefault="00AC1DC2" w:rsidP="00AC1DC2">
      <w:pPr>
        <w:jc w:val="center"/>
        <w:rPr>
          <w:b/>
          <w:bCs/>
          <w:color w:val="000000" w:themeColor="text1"/>
          <w:lang w:val="en-CA"/>
        </w:rPr>
      </w:pPr>
      <w:r w:rsidRPr="000F769F">
        <w:rPr>
          <w:b/>
          <w:bCs/>
          <w:color w:val="000000" w:themeColor="text1"/>
          <w:lang w:val="en-CA"/>
        </w:rPr>
        <w:t>THE 2019–2021 CONSOLIDATED BUSINESS PLAN OF THE MULTILATERAL FUND</w:t>
      </w:r>
    </w:p>
    <w:p w:rsidR="00AC1DC2" w:rsidRPr="000F769F" w:rsidRDefault="00AC1DC2" w:rsidP="00AC1DC2">
      <w:pPr>
        <w:jc w:val="center"/>
        <w:rPr>
          <w:b/>
          <w:bCs/>
          <w:color w:val="000000" w:themeColor="text1"/>
          <w:lang w:val="en-CA"/>
        </w:rPr>
      </w:pPr>
    </w:p>
    <w:p w:rsidR="00AC1DC2" w:rsidRPr="000F769F" w:rsidRDefault="00AC1DC2" w:rsidP="00AC1DC2">
      <w:pPr>
        <w:jc w:val="center"/>
        <w:rPr>
          <w:b/>
          <w:bCs/>
          <w:color w:val="000000" w:themeColor="text1"/>
          <w:lang w:val="en-CA"/>
        </w:rPr>
      </w:pPr>
    </w:p>
    <w:p w:rsidR="00AC1DC2" w:rsidRPr="000F769F" w:rsidRDefault="00AC1DC2" w:rsidP="00AC1DC2">
      <w:pPr>
        <w:pStyle w:val="StyleHeader4Para4Left0Firstline0"/>
        <w:numPr>
          <w:ilvl w:val="0"/>
          <w:numId w:val="0"/>
        </w:numPr>
        <w:spacing w:after="0"/>
        <w:rPr>
          <w:b/>
          <w:bCs/>
          <w:sz w:val="22"/>
          <w:lang w:val="en-CA"/>
        </w:rPr>
      </w:pPr>
      <w:r w:rsidRPr="000F769F">
        <w:rPr>
          <w:b/>
          <w:bCs/>
          <w:sz w:val="22"/>
          <w:lang w:val="en-CA"/>
        </w:rPr>
        <w:t>Introduction</w:t>
      </w:r>
    </w:p>
    <w:p w:rsidR="00AC1DC2" w:rsidRPr="000F769F" w:rsidRDefault="00AC1DC2" w:rsidP="00AC1DC2">
      <w:pPr>
        <w:pStyle w:val="StyleHeader4Para4Left0Firstline0"/>
        <w:numPr>
          <w:ilvl w:val="0"/>
          <w:numId w:val="0"/>
        </w:numPr>
        <w:spacing w:after="0"/>
        <w:rPr>
          <w:b/>
          <w:bCs/>
          <w:sz w:val="22"/>
          <w:lang w:val="en-CA"/>
        </w:rPr>
      </w:pPr>
    </w:p>
    <w:p w:rsidR="00AC1DC2" w:rsidRPr="000F769F" w:rsidRDefault="00AC1DC2" w:rsidP="00AC1DC2">
      <w:pPr>
        <w:pStyle w:val="Heading1"/>
        <w:rPr>
          <w:lang w:val="en-CA"/>
        </w:rPr>
      </w:pPr>
      <w:r w:rsidRPr="000F769F">
        <w:rPr>
          <w:lang w:val="en-CA"/>
        </w:rPr>
        <w:t>This document consists of:</w:t>
      </w:r>
    </w:p>
    <w:p w:rsidR="00AC1DC2" w:rsidRPr="000F769F" w:rsidRDefault="00AC1DC2" w:rsidP="00AC1DC2">
      <w:pPr>
        <w:pStyle w:val="Heading2"/>
        <w:numPr>
          <w:ilvl w:val="0"/>
          <w:numId w:val="0"/>
        </w:numPr>
        <w:spacing w:after="0"/>
        <w:ind w:left="720"/>
        <w:rPr>
          <w:color w:val="000000" w:themeColor="text1"/>
          <w:lang w:val="en-CA"/>
        </w:rPr>
      </w:pPr>
      <w:r w:rsidRPr="000F769F">
        <w:rPr>
          <w:color w:val="000000" w:themeColor="text1"/>
          <w:lang w:val="en-CA"/>
        </w:rPr>
        <w:t>Part I:</w:t>
      </w:r>
      <w:r w:rsidRPr="000F769F">
        <w:rPr>
          <w:color w:val="000000" w:themeColor="text1"/>
          <w:lang w:val="en-CA"/>
        </w:rPr>
        <w:tab/>
        <w:t>An update on the status of the implementation of the 2019</w:t>
      </w:r>
      <w:r w:rsidRPr="000F769F">
        <w:rPr>
          <w:lang w:val="en-CA"/>
        </w:rPr>
        <w:t>–</w:t>
      </w:r>
      <w:r w:rsidRPr="000F769F">
        <w:rPr>
          <w:color w:val="000000" w:themeColor="text1"/>
          <w:lang w:val="en-CA"/>
        </w:rPr>
        <w:t>2021 business plans</w:t>
      </w:r>
    </w:p>
    <w:p w:rsidR="00AC1DC2" w:rsidRPr="000F769F" w:rsidRDefault="00AC1DC2" w:rsidP="00AC1DC2">
      <w:pPr>
        <w:rPr>
          <w:color w:val="000000" w:themeColor="text1"/>
          <w:lang w:val="en-CA"/>
        </w:rPr>
      </w:pPr>
    </w:p>
    <w:p w:rsidR="00AC1DC2" w:rsidRPr="000F769F" w:rsidRDefault="00AC1DC2" w:rsidP="00AC1DC2">
      <w:pPr>
        <w:pStyle w:val="Heading2"/>
        <w:numPr>
          <w:ilvl w:val="0"/>
          <w:numId w:val="0"/>
        </w:numPr>
        <w:spacing w:after="0"/>
        <w:ind w:left="720"/>
        <w:rPr>
          <w:color w:val="000000" w:themeColor="text1"/>
          <w:lang w:val="en-CA"/>
        </w:rPr>
      </w:pPr>
      <w:r w:rsidRPr="000F769F">
        <w:rPr>
          <w:color w:val="000000" w:themeColor="text1"/>
          <w:lang w:val="en-CA"/>
        </w:rPr>
        <w:t>Part II:</w:t>
      </w:r>
      <w:r w:rsidRPr="000F769F">
        <w:rPr>
          <w:color w:val="000000" w:themeColor="text1"/>
          <w:lang w:val="en-CA"/>
        </w:rPr>
        <w:tab/>
        <w:t>Resource allocation for the 2018</w:t>
      </w:r>
      <w:r w:rsidRPr="000F769F">
        <w:rPr>
          <w:lang w:val="en-CA"/>
        </w:rPr>
        <w:t>–</w:t>
      </w:r>
      <w:r w:rsidRPr="000F769F">
        <w:rPr>
          <w:color w:val="000000" w:themeColor="text1"/>
          <w:lang w:val="en-CA"/>
        </w:rPr>
        <w:t>2020 triennium</w:t>
      </w:r>
    </w:p>
    <w:p w:rsidR="00AC1DC2" w:rsidRPr="000F769F" w:rsidRDefault="00AC1DC2" w:rsidP="00AC1DC2">
      <w:pPr>
        <w:rPr>
          <w:color w:val="000000" w:themeColor="text1"/>
          <w:lang w:val="en-CA"/>
        </w:rPr>
      </w:pPr>
    </w:p>
    <w:p w:rsidR="00AC1DC2" w:rsidRDefault="00A1002E" w:rsidP="00AC1DC2">
      <w:pPr>
        <w:rPr>
          <w:color w:val="000000" w:themeColor="text1"/>
          <w:lang w:val="en-CA"/>
        </w:rPr>
      </w:pPr>
      <w:r>
        <w:rPr>
          <w:color w:val="000000" w:themeColor="text1"/>
          <w:lang w:val="en-CA"/>
        </w:rPr>
        <w:tab/>
        <w:t>Recommendation</w:t>
      </w:r>
    </w:p>
    <w:p w:rsidR="00A1002E" w:rsidRDefault="00A1002E" w:rsidP="00AC1DC2">
      <w:pPr>
        <w:rPr>
          <w:color w:val="000000" w:themeColor="text1"/>
          <w:lang w:val="en-CA"/>
        </w:rPr>
      </w:pPr>
    </w:p>
    <w:p w:rsidR="00A1002E" w:rsidRPr="000F769F" w:rsidRDefault="00A1002E" w:rsidP="00AC1DC2">
      <w:pPr>
        <w:rPr>
          <w:color w:val="000000" w:themeColor="text1"/>
          <w:lang w:val="en-CA"/>
        </w:rPr>
      </w:pPr>
      <w:r>
        <w:rPr>
          <w:color w:val="000000" w:themeColor="text1"/>
          <w:lang w:val="en-CA"/>
        </w:rPr>
        <w:tab/>
        <w:t xml:space="preserve">Annex I: </w:t>
      </w:r>
      <w:r w:rsidRPr="00A1002E">
        <w:rPr>
          <w:color w:val="000000" w:themeColor="text1"/>
          <w:lang w:val="en-CA"/>
        </w:rPr>
        <w:t>HFC phase-out activities submitted to the 84</w:t>
      </w:r>
      <w:r w:rsidRPr="00A1002E">
        <w:rPr>
          <w:color w:val="000000" w:themeColor="text1"/>
          <w:vertAlign w:val="superscript"/>
          <w:lang w:val="en-CA"/>
        </w:rPr>
        <w:t>th</w:t>
      </w:r>
      <w:r>
        <w:rPr>
          <w:color w:val="000000" w:themeColor="text1"/>
          <w:lang w:val="en-CA"/>
        </w:rPr>
        <w:t xml:space="preserve"> </w:t>
      </w:r>
      <w:r w:rsidRPr="00A1002E">
        <w:rPr>
          <w:color w:val="000000" w:themeColor="text1"/>
          <w:lang w:val="en-CA"/>
        </w:rPr>
        <w:t>meeting</w:t>
      </w:r>
    </w:p>
    <w:p w:rsidR="00AC1DC2" w:rsidRPr="000F769F" w:rsidRDefault="00AC1DC2" w:rsidP="00AC1DC2">
      <w:pPr>
        <w:pStyle w:val="Heading2"/>
        <w:numPr>
          <w:ilvl w:val="0"/>
          <w:numId w:val="0"/>
        </w:numPr>
        <w:spacing w:after="0"/>
        <w:rPr>
          <w:color w:val="000000" w:themeColor="text1"/>
          <w:lang w:val="en-CA"/>
        </w:rPr>
      </w:pPr>
    </w:p>
    <w:p w:rsidR="00AC1DC2" w:rsidRPr="000F769F" w:rsidRDefault="00AC1DC2" w:rsidP="00AC1DC2">
      <w:pPr>
        <w:pStyle w:val="Heading2"/>
        <w:numPr>
          <w:ilvl w:val="0"/>
          <w:numId w:val="0"/>
        </w:numPr>
        <w:spacing w:after="0"/>
        <w:ind w:left="1440" w:hanging="1440"/>
        <w:rPr>
          <w:b/>
          <w:color w:val="000000" w:themeColor="text1"/>
          <w:lang w:val="en-CA"/>
        </w:rPr>
      </w:pPr>
    </w:p>
    <w:p w:rsidR="00AC1DC2" w:rsidRPr="000F769F" w:rsidRDefault="00AC1DC2" w:rsidP="00AC1DC2">
      <w:pPr>
        <w:pStyle w:val="Heading2"/>
        <w:numPr>
          <w:ilvl w:val="0"/>
          <w:numId w:val="0"/>
        </w:numPr>
        <w:spacing w:after="0"/>
        <w:ind w:left="1440" w:hanging="1440"/>
        <w:rPr>
          <w:b/>
          <w:color w:val="000000" w:themeColor="text1"/>
          <w:lang w:val="en-CA"/>
        </w:rPr>
      </w:pPr>
      <w:r w:rsidRPr="000F769F">
        <w:rPr>
          <w:b/>
          <w:color w:val="000000" w:themeColor="text1"/>
          <w:lang w:val="en-CA"/>
        </w:rPr>
        <w:t>PART I:</w:t>
      </w:r>
      <w:r w:rsidRPr="000F769F">
        <w:rPr>
          <w:b/>
          <w:color w:val="000000" w:themeColor="text1"/>
          <w:lang w:val="en-CA"/>
        </w:rPr>
        <w:tab/>
        <w:t xml:space="preserve">UPDATE ON THE STATUS OF THE IMPLEMENTATION OF THE </w:t>
      </w:r>
      <w:r w:rsidRPr="000F769F">
        <w:rPr>
          <w:b/>
          <w:bCs/>
          <w:color w:val="000000" w:themeColor="text1"/>
          <w:lang w:val="en-CA"/>
        </w:rPr>
        <w:t xml:space="preserve">2019–2021 </w:t>
      </w:r>
      <w:r w:rsidRPr="000F769F">
        <w:rPr>
          <w:b/>
          <w:color w:val="000000" w:themeColor="text1"/>
          <w:lang w:val="en-CA"/>
        </w:rPr>
        <w:t>BUSINESS PLANS</w:t>
      </w:r>
    </w:p>
    <w:p w:rsidR="00AC1DC2" w:rsidRPr="000F769F" w:rsidRDefault="00AC1DC2" w:rsidP="00AC1DC2">
      <w:pPr>
        <w:rPr>
          <w:color w:val="000000" w:themeColor="text1"/>
          <w:lang w:val="en-CA"/>
        </w:rPr>
      </w:pPr>
    </w:p>
    <w:p w:rsidR="00052C5C" w:rsidRDefault="00AC1DC2" w:rsidP="00AC1DC2">
      <w:pPr>
        <w:pStyle w:val="Heading1"/>
      </w:pPr>
      <w:r w:rsidRPr="000F769F">
        <w:rPr>
          <w:lang w:val="en-CA"/>
        </w:rPr>
        <w:t>At its 82</w:t>
      </w:r>
      <w:r w:rsidRPr="000F769F">
        <w:rPr>
          <w:vertAlign w:val="superscript"/>
          <w:lang w:val="en-CA"/>
        </w:rPr>
        <w:t>nd</w:t>
      </w:r>
      <w:r w:rsidRPr="000F769F">
        <w:rPr>
          <w:lang w:val="en-CA"/>
        </w:rPr>
        <w:t xml:space="preserve"> meeting, the Executive Committee endorsed the 2019–2021 consolidated business plan of the Multilateral Fund. In response to decision 82/45(b) and (c), the Secretariat adjusted the consolidated 2019–2021 business plan, as shown in Table 1.</w:t>
      </w:r>
    </w:p>
    <w:p w:rsidR="00AC1DC2" w:rsidRDefault="00AC1DC2" w:rsidP="00AC1DC2">
      <w:pPr>
        <w:tabs>
          <w:tab w:val="left" w:pos="8280"/>
        </w:tabs>
      </w:pPr>
      <w:r>
        <w:br w:type="page"/>
      </w:r>
    </w:p>
    <w:p w:rsidR="00AC1DC2" w:rsidRPr="000F769F" w:rsidRDefault="00AC1DC2" w:rsidP="00AC1DC2">
      <w:pPr>
        <w:keepNext/>
        <w:keepLines/>
        <w:tabs>
          <w:tab w:val="left" w:pos="142"/>
          <w:tab w:val="left" w:pos="720"/>
          <w:tab w:val="left" w:pos="1440"/>
          <w:tab w:val="left" w:pos="2160"/>
          <w:tab w:val="left" w:pos="2880"/>
          <w:tab w:val="left" w:pos="3600"/>
        </w:tabs>
        <w:rPr>
          <w:b/>
          <w:bCs/>
          <w:lang w:val="en-CA"/>
        </w:rPr>
      </w:pPr>
      <w:r w:rsidRPr="000F769F">
        <w:rPr>
          <w:b/>
          <w:lang w:val="en-CA"/>
        </w:rPr>
        <w:lastRenderedPageBreak/>
        <w:t>Table 1. R</w:t>
      </w:r>
      <w:r w:rsidRPr="000F769F">
        <w:rPr>
          <w:b/>
          <w:bCs/>
          <w:lang w:val="en-CA"/>
        </w:rPr>
        <w:t xml:space="preserve">esource allocation of </w:t>
      </w:r>
      <w:r w:rsidRPr="000F769F">
        <w:rPr>
          <w:b/>
          <w:lang w:val="en-CA"/>
        </w:rPr>
        <w:t>the adjusted 2019–2021 consolidated business plans of</w:t>
      </w:r>
      <w:r w:rsidRPr="000F769F">
        <w:rPr>
          <w:b/>
          <w:bCs/>
          <w:lang w:val="en-CA"/>
        </w:rPr>
        <w:t xml:space="preserve"> the Multilateral Fund (</w:t>
      </w:r>
      <w:r w:rsidR="000A6453">
        <w:rPr>
          <w:b/>
          <w:bCs/>
          <w:lang w:val="en-CA"/>
        </w:rPr>
        <w:t>US $</w:t>
      </w:r>
      <w:r w:rsidRPr="000F769F">
        <w:rPr>
          <w:b/>
          <w:bCs/>
          <w:lang w:val="en-CA"/>
        </w:rPr>
        <w:t>)</w:t>
      </w:r>
    </w:p>
    <w:tbl>
      <w:tblPr>
        <w:tblW w:w="9356" w:type="dxa"/>
        <w:tblLook w:val="04A0" w:firstRow="1" w:lastRow="0" w:firstColumn="1" w:lastColumn="0" w:noHBand="0" w:noVBand="1"/>
      </w:tblPr>
      <w:tblGrid>
        <w:gridCol w:w="3823"/>
        <w:gridCol w:w="1417"/>
        <w:gridCol w:w="1418"/>
        <w:gridCol w:w="1275"/>
        <w:gridCol w:w="1423"/>
      </w:tblGrid>
      <w:tr w:rsidR="00A1002E" w:rsidRPr="000F769F" w:rsidTr="00CA4F6A">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Item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1002E" w:rsidRPr="000F769F" w:rsidRDefault="00A1002E" w:rsidP="00A1002E">
            <w:pPr>
              <w:jc w:val="center"/>
              <w:rPr>
                <w:b/>
                <w:bCs/>
                <w:sz w:val="20"/>
                <w:szCs w:val="20"/>
                <w:lang w:val="en-CA" w:eastAsia="en-CA"/>
              </w:rPr>
            </w:pPr>
            <w:r w:rsidRPr="000F769F">
              <w:rPr>
                <w:b/>
                <w:bCs/>
                <w:sz w:val="20"/>
                <w:szCs w:val="20"/>
                <w:lang w:val="en-CA" w:eastAsia="en-CA"/>
              </w:rPr>
              <w:t>2019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1002E" w:rsidRPr="000F769F" w:rsidRDefault="00A1002E" w:rsidP="00A1002E">
            <w:pPr>
              <w:jc w:val="center"/>
              <w:rPr>
                <w:b/>
                <w:bCs/>
                <w:sz w:val="20"/>
                <w:szCs w:val="20"/>
                <w:lang w:val="en-CA" w:eastAsia="en-CA"/>
              </w:rPr>
            </w:pPr>
            <w:r w:rsidRPr="000F769F">
              <w:rPr>
                <w:b/>
                <w:bCs/>
                <w:sz w:val="20"/>
                <w:szCs w:val="20"/>
                <w:lang w:val="en-CA" w:eastAsia="en-CA"/>
              </w:rPr>
              <w:t>2020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A1002E" w:rsidRPr="000F769F" w:rsidRDefault="00A1002E" w:rsidP="00A1002E">
            <w:pPr>
              <w:jc w:val="center"/>
              <w:rPr>
                <w:b/>
                <w:bCs/>
                <w:sz w:val="20"/>
                <w:szCs w:val="20"/>
                <w:lang w:val="en-CA" w:eastAsia="en-CA"/>
              </w:rPr>
            </w:pPr>
            <w:r w:rsidRPr="000F769F">
              <w:rPr>
                <w:b/>
                <w:bCs/>
                <w:sz w:val="20"/>
                <w:szCs w:val="20"/>
                <w:lang w:val="en-CA" w:eastAsia="en-CA"/>
              </w:rPr>
              <w:t>2021</w:t>
            </w:r>
          </w:p>
        </w:tc>
        <w:tc>
          <w:tcPr>
            <w:tcW w:w="1423" w:type="dxa"/>
            <w:tcBorders>
              <w:top w:val="single" w:sz="4" w:space="0" w:color="auto"/>
              <w:left w:val="nil"/>
              <w:bottom w:val="single" w:sz="4" w:space="0" w:color="auto"/>
              <w:right w:val="single" w:sz="4" w:space="0" w:color="auto"/>
            </w:tcBorders>
            <w:shd w:val="clear" w:color="auto" w:fill="auto"/>
            <w:noWrap/>
            <w:vAlign w:val="center"/>
            <w:hideMark/>
          </w:tcPr>
          <w:p w:rsidR="00A1002E" w:rsidRPr="000F769F" w:rsidRDefault="00A1002E" w:rsidP="00A1002E">
            <w:pPr>
              <w:jc w:val="center"/>
              <w:rPr>
                <w:b/>
                <w:bCs/>
                <w:sz w:val="20"/>
                <w:szCs w:val="20"/>
                <w:lang w:val="en-CA" w:eastAsia="en-CA"/>
              </w:rPr>
            </w:pPr>
            <w:r w:rsidRPr="000F769F">
              <w:rPr>
                <w:b/>
                <w:bCs/>
                <w:sz w:val="20"/>
                <w:szCs w:val="20"/>
                <w:lang w:val="en-CA" w:eastAsia="en-CA"/>
              </w:rPr>
              <w:t>Total</w:t>
            </w:r>
          </w:p>
        </w:tc>
      </w:tr>
      <w:tr w:rsidR="00A1002E" w:rsidRPr="000F769F" w:rsidTr="00CA4F6A">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Required for compliance</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Approved HCFC phase-out management plans (HPMPs)</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96,379,090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111,848,069</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85,792,031</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294,019,190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stage I</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353,978</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353,978</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stage I – additional funding</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645,788</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645,788</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project preparation (PRP) – stage II</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1,414,723</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395,650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130,800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1,941,173</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stage II</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1,761,439</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15,034,014</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5,046,206</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21,841,660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HCFC production – stage II</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23,496,000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23,496,000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23,496,000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70,488,000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PRP – stage III</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246,675</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894,088</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160,500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1,301,263</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stage III</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1,299,272</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112,059</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1,411,331</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verification</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588,600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588,600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1,765,800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Required for compliance subtotal</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123,886,528</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154,555,459</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115,326,196</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393,768,183</w:t>
            </w:r>
          </w:p>
        </w:tc>
      </w:tr>
      <w:tr w:rsidR="00A1002E" w:rsidRPr="000F769F" w:rsidTr="00CA4F6A">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HFC activities</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HFC – enabling activities</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679,450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679,450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HFC – investment PRP</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62,100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62,100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 xml:space="preserve">HFC – investment </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15,512,484</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15,512,484</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HFC activities subtotal</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16,254,034</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16,254,034</w:t>
            </w:r>
          </w:p>
        </w:tc>
      </w:tr>
      <w:tr w:rsidR="00A1002E" w:rsidRPr="000F769F" w:rsidTr="00CA4F6A">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Standard activities</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 xml:space="preserve">Compliance </w:t>
            </w:r>
            <w:r>
              <w:rPr>
                <w:sz w:val="20"/>
                <w:szCs w:val="20"/>
                <w:lang w:val="en-CA" w:eastAsia="en-CA"/>
              </w:rPr>
              <w:t>A</w:t>
            </w:r>
            <w:r w:rsidRPr="000F769F">
              <w:rPr>
                <w:sz w:val="20"/>
                <w:szCs w:val="20"/>
                <w:lang w:val="en-CA" w:eastAsia="en-CA"/>
              </w:rPr>
              <w:t xml:space="preserve">ssistance </w:t>
            </w:r>
            <w:r>
              <w:rPr>
                <w:sz w:val="20"/>
                <w:szCs w:val="20"/>
                <w:lang w:val="en-CA" w:eastAsia="en-CA"/>
              </w:rPr>
              <w:t>P</w:t>
            </w:r>
            <w:r w:rsidRPr="000F769F">
              <w:rPr>
                <w:sz w:val="20"/>
                <w:szCs w:val="20"/>
                <w:lang w:val="en-CA" w:eastAsia="en-CA"/>
              </w:rPr>
              <w:t>rogramme (CAP)</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11,300,749</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11,639,772</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11,988,965</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34,929,486</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Core unit</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5,931,915</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5,961,294</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5,990,878</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17,884,086</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Institutional strengthening (IS)</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10,461,285</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10,886,318</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10,546,285</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31,893,889</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Secretariat, Executive Committee, and Monitoring and Evaluation costs minus Canadian counterpart</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6,954,313</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7,114,045</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20,867,591</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Treasurer</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500,000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1,500,000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Standard activities subtotal</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34,993,182</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35,941,697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36,140,173</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107,075,052</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Grand total</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175,133,744</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190,497,157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151,466,369</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b/>
                <w:bCs/>
                <w:sz w:val="20"/>
                <w:szCs w:val="20"/>
                <w:lang w:val="en-CA" w:eastAsia="en-CA"/>
              </w:rPr>
            </w:pPr>
            <w:r w:rsidRPr="000F769F">
              <w:rPr>
                <w:b/>
                <w:bCs/>
                <w:sz w:val="20"/>
                <w:szCs w:val="20"/>
                <w:lang w:val="en-CA" w:eastAsia="en-CA"/>
              </w:rPr>
              <w:t>517,097,269</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Indicative budget</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174,600,000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171,000,000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180,000,000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525,600,000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Difference</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533,744</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19,497,157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-28,533,631</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-8,502,731</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b/>
                <w:bCs/>
                <w:sz w:val="20"/>
                <w:szCs w:val="20"/>
                <w:lang w:val="en-CA" w:eastAsia="en-CA"/>
              </w:rPr>
            </w:pPr>
            <w:r w:rsidRPr="000F769F">
              <w:rPr>
                <w:b/>
                <w:bCs/>
                <w:sz w:val="20"/>
                <w:szCs w:val="20"/>
                <w:lang w:val="en-CA" w:eastAsia="en-CA"/>
              </w:rPr>
              <w:t>Funding distribution by agency</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 </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 </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 </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 </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France</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78,769</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692,895</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771,664</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Germany</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1,628,838</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2,611,677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2,394,232</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6,634,747</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Italy</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565,000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264,840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829,840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Japan</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305,529</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90,400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90,400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486,329</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UNDP</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31,787,842</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53,743,937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32,001,629</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117,533,408</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UNEP</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27,470,794</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28,440,307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25,909,156</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81,820.258</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UNIDO</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59,822,423</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50,437,927</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41,319,974</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151,580,323</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tcPr>
          <w:p w:rsidR="00A1002E" w:rsidRPr="000F769F" w:rsidRDefault="00A1002E" w:rsidP="00A1002E">
            <w:pPr>
              <w:jc w:val="left"/>
              <w:rPr>
                <w:sz w:val="20"/>
                <w:szCs w:val="20"/>
                <w:lang w:val="en-CA" w:eastAsia="en-CA"/>
              </w:rPr>
            </w:pPr>
            <w:r w:rsidRPr="000F769F">
              <w:rPr>
                <w:sz w:val="20"/>
                <w:szCs w:val="20"/>
                <w:lang w:val="en-CA" w:eastAsia="en-CA"/>
              </w:rPr>
              <w:t>World Bank</w:t>
            </w:r>
          </w:p>
        </w:tc>
        <w:tc>
          <w:tcPr>
            <w:tcW w:w="1417" w:type="dxa"/>
            <w:tcBorders>
              <w:top w:val="nil"/>
              <w:left w:val="nil"/>
              <w:bottom w:val="single" w:sz="4" w:space="0" w:color="auto"/>
              <w:right w:val="single" w:sz="4" w:space="0" w:color="auto"/>
            </w:tcBorders>
            <w:shd w:val="clear" w:color="auto" w:fill="auto"/>
            <w:noWrap/>
            <w:vAlign w:val="center"/>
          </w:tcPr>
          <w:p w:rsidR="00A1002E" w:rsidRPr="000F769F" w:rsidRDefault="00A1002E" w:rsidP="00A1002E">
            <w:pPr>
              <w:jc w:val="right"/>
              <w:rPr>
                <w:sz w:val="20"/>
                <w:szCs w:val="20"/>
                <w:lang w:val="en-CA" w:eastAsia="en-CA"/>
              </w:rPr>
            </w:pPr>
            <w:r w:rsidRPr="000F769F">
              <w:rPr>
                <w:sz w:val="20"/>
                <w:szCs w:val="20"/>
                <w:lang w:val="en-CA" w:eastAsia="en-CA"/>
              </w:rPr>
              <w:t>45,586,716</w:t>
            </w:r>
          </w:p>
        </w:tc>
        <w:tc>
          <w:tcPr>
            <w:tcW w:w="1418" w:type="dxa"/>
            <w:tcBorders>
              <w:top w:val="nil"/>
              <w:left w:val="nil"/>
              <w:bottom w:val="single" w:sz="4" w:space="0" w:color="auto"/>
              <w:right w:val="single" w:sz="4" w:space="0" w:color="auto"/>
            </w:tcBorders>
            <w:shd w:val="clear" w:color="auto" w:fill="auto"/>
            <w:noWrap/>
            <w:vAlign w:val="center"/>
          </w:tcPr>
          <w:p w:rsidR="00A1002E" w:rsidRPr="000F769F" w:rsidRDefault="00A1002E" w:rsidP="00A1002E">
            <w:pPr>
              <w:jc w:val="right"/>
              <w:rPr>
                <w:sz w:val="20"/>
                <w:szCs w:val="20"/>
                <w:lang w:val="en-CA" w:eastAsia="en-CA"/>
              </w:rPr>
            </w:pPr>
            <w:r w:rsidRPr="000F769F">
              <w:rPr>
                <w:sz w:val="20"/>
                <w:szCs w:val="20"/>
                <w:lang w:val="en-CA" w:eastAsia="en-CA"/>
              </w:rPr>
              <w:t>46,172,260</w:t>
            </w:r>
          </w:p>
        </w:tc>
        <w:tc>
          <w:tcPr>
            <w:tcW w:w="1275" w:type="dxa"/>
            <w:tcBorders>
              <w:top w:val="nil"/>
              <w:left w:val="nil"/>
              <w:bottom w:val="single" w:sz="4" w:space="0" w:color="auto"/>
              <w:right w:val="single" w:sz="4" w:space="0" w:color="auto"/>
            </w:tcBorders>
            <w:shd w:val="clear" w:color="auto" w:fill="auto"/>
            <w:noWrap/>
            <w:vAlign w:val="center"/>
          </w:tcPr>
          <w:p w:rsidR="00A1002E" w:rsidRPr="000F769F" w:rsidRDefault="00A1002E" w:rsidP="00A1002E">
            <w:pPr>
              <w:jc w:val="right"/>
              <w:rPr>
                <w:sz w:val="20"/>
                <w:szCs w:val="20"/>
                <w:lang w:val="en-CA" w:eastAsia="en-CA"/>
              </w:rPr>
            </w:pPr>
            <w:r w:rsidRPr="000F769F">
              <w:rPr>
                <w:sz w:val="20"/>
                <w:szCs w:val="20"/>
                <w:lang w:val="en-CA" w:eastAsia="en-CA"/>
              </w:rPr>
              <w:t>41,548,333</w:t>
            </w:r>
          </w:p>
        </w:tc>
        <w:tc>
          <w:tcPr>
            <w:tcW w:w="1423" w:type="dxa"/>
            <w:tcBorders>
              <w:top w:val="nil"/>
              <w:left w:val="nil"/>
              <w:bottom w:val="single" w:sz="4" w:space="0" w:color="auto"/>
              <w:right w:val="single" w:sz="4" w:space="0" w:color="auto"/>
            </w:tcBorders>
            <w:shd w:val="clear" w:color="auto" w:fill="auto"/>
            <w:noWrap/>
            <w:vAlign w:val="center"/>
          </w:tcPr>
          <w:p w:rsidR="00A1002E" w:rsidRPr="000F769F" w:rsidRDefault="00A1002E" w:rsidP="00A1002E">
            <w:pPr>
              <w:jc w:val="right"/>
              <w:rPr>
                <w:sz w:val="20"/>
                <w:szCs w:val="20"/>
                <w:lang w:val="en-CA" w:eastAsia="en-CA"/>
              </w:rPr>
            </w:pPr>
            <w:r w:rsidRPr="000F769F">
              <w:rPr>
                <w:sz w:val="20"/>
                <w:szCs w:val="20"/>
                <w:lang w:val="en-CA" w:eastAsia="en-CA"/>
              </w:rPr>
              <w:t>133,307,309</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HPMP verification*</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588,600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588,600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1,765,800</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Secretariat, Executive Committee, and Monitoring and Evaluation costs minus Canadian counterpart</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6,954,313</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7,114,045</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20,867,591</w:t>
            </w:r>
          </w:p>
        </w:tc>
      </w:tr>
      <w:tr w:rsidR="00A1002E" w:rsidRPr="000F769F" w:rsidTr="00CA4F6A">
        <w:tc>
          <w:tcPr>
            <w:tcW w:w="3823" w:type="dxa"/>
            <w:tcBorders>
              <w:top w:val="nil"/>
              <w:left w:val="single" w:sz="4" w:space="0" w:color="auto"/>
              <w:bottom w:val="single" w:sz="4" w:space="0" w:color="auto"/>
              <w:right w:val="single" w:sz="4" w:space="0" w:color="auto"/>
            </w:tcBorders>
            <w:shd w:val="clear" w:color="auto" w:fill="auto"/>
            <w:noWrap/>
            <w:vAlign w:val="center"/>
            <w:hideMark/>
          </w:tcPr>
          <w:p w:rsidR="00A1002E" w:rsidRPr="000F769F" w:rsidRDefault="00A1002E" w:rsidP="00A1002E">
            <w:pPr>
              <w:jc w:val="left"/>
              <w:rPr>
                <w:sz w:val="20"/>
                <w:szCs w:val="20"/>
                <w:lang w:val="en-CA" w:eastAsia="en-CA"/>
              </w:rPr>
            </w:pPr>
            <w:r w:rsidRPr="000F769F">
              <w:rPr>
                <w:sz w:val="20"/>
                <w:szCs w:val="20"/>
                <w:lang w:val="en-CA" w:eastAsia="en-CA"/>
              </w:rPr>
              <w:t>Treasurer</w:t>
            </w:r>
          </w:p>
        </w:tc>
        <w:tc>
          <w:tcPr>
            <w:tcW w:w="1417"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500,000</w:t>
            </w:r>
          </w:p>
        </w:tc>
        <w:tc>
          <w:tcPr>
            <w:tcW w:w="1423" w:type="dxa"/>
            <w:tcBorders>
              <w:top w:val="nil"/>
              <w:left w:val="nil"/>
              <w:bottom w:val="single" w:sz="4" w:space="0" w:color="auto"/>
              <w:right w:val="single" w:sz="4" w:space="0" w:color="auto"/>
            </w:tcBorders>
            <w:shd w:val="clear" w:color="auto" w:fill="auto"/>
            <w:noWrap/>
            <w:vAlign w:val="center"/>
            <w:hideMark/>
          </w:tcPr>
          <w:p w:rsidR="00A1002E" w:rsidRPr="000F769F" w:rsidRDefault="00A1002E" w:rsidP="00A1002E">
            <w:pPr>
              <w:jc w:val="right"/>
              <w:rPr>
                <w:sz w:val="20"/>
                <w:szCs w:val="20"/>
                <w:lang w:val="en-CA" w:eastAsia="en-CA"/>
              </w:rPr>
            </w:pPr>
            <w:r w:rsidRPr="000F769F">
              <w:rPr>
                <w:sz w:val="20"/>
                <w:szCs w:val="20"/>
                <w:lang w:val="en-CA" w:eastAsia="en-CA"/>
              </w:rPr>
              <w:t>1,500,000</w:t>
            </w:r>
          </w:p>
        </w:tc>
      </w:tr>
    </w:tbl>
    <w:p w:rsidR="00AC1DC2" w:rsidRPr="00A1002E" w:rsidRDefault="00AC1DC2" w:rsidP="00AC1DC2">
      <w:pPr>
        <w:widowControl w:val="0"/>
        <w:rPr>
          <w:bCs/>
          <w:sz w:val="18"/>
          <w:szCs w:val="18"/>
          <w:lang w:val="en-CA"/>
        </w:rPr>
      </w:pPr>
      <w:r w:rsidRPr="00A1002E">
        <w:rPr>
          <w:bCs/>
          <w:sz w:val="18"/>
          <w:szCs w:val="18"/>
          <w:lang w:val="en-CA"/>
        </w:rPr>
        <w:t>* Funding for the preparation of HPMP verification reports for low-volume-consuming countries (LVC) is approved by the Executive Committee on an annual basis.</w:t>
      </w:r>
    </w:p>
    <w:p w:rsidR="00052C5C" w:rsidRDefault="00052C5C" w:rsidP="00AC1DC2">
      <w:pPr>
        <w:tabs>
          <w:tab w:val="left" w:pos="8280"/>
        </w:tabs>
      </w:pPr>
    </w:p>
    <w:p w:rsidR="00AC1DC2" w:rsidRDefault="00AC1DC2" w:rsidP="00AC1DC2">
      <w:pPr>
        <w:keepNext/>
        <w:jc w:val="left"/>
        <w:rPr>
          <w:b/>
          <w:color w:val="000000" w:themeColor="text1"/>
          <w:lang w:val="en-CA"/>
        </w:rPr>
      </w:pPr>
      <w:r w:rsidRPr="000F769F">
        <w:rPr>
          <w:b/>
          <w:color w:val="000000" w:themeColor="text1"/>
          <w:lang w:val="en-CA"/>
        </w:rPr>
        <w:t>Status of implementation of the 2019 business plans</w:t>
      </w:r>
    </w:p>
    <w:p w:rsidR="00AC1DC2" w:rsidRPr="000F769F" w:rsidRDefault="00AC1DC2" w:rsidP="00AC1DC2">
      <w:pPr>
        <w:keepNext/>
        <w:jc w:val="left"/>
        <w:rPr>
          <w:b/>
          <w:color w:val="000000" w:themeColor="text1"/>
          <w:lang w:val="en-CA"/>
        </w:rPr>
      </w:pPr>
    </w:p>
    <w:p w:rsidR="00AC1DC2" w:rsidRPr="000F769F" w:rsidRDefault="00AC1DC2" w:rsidP="00AC1DC2">
      <w:pPr>
        <w:pStyle w:val="Heading1"/>
        <w:rPr>
          <w:lang w:val="en-CA"/>
        </w:rPr>
      </w:pPr>
      <w:r w:rsidRPr="000F769F">
        <w:rPr>
          <w:lang w:val="en-CA"/>
        </w:rPr>
        <w:t xml:space="preserve">The total funding available for 2019 amounts to </w:t>
      </w:r>
      <w:r w:rsidR="000A6453">
        <w:rPr>
          <w:lang w:val="en-CA"/>
        </w:rPr>
        <w:t>US $</w:t>
      </w:r>
      <w:r w:rsidRPr="000F769F">
        <w:rPr>
          <w:lang w:val="en-CA"/>
        </w:rPr>
        <w:t>174,600,000</w:t>
      </w:r>
      <w:r w:rsidR="00A1002E">
        <w:rPr>
          <w:lang w:val="en-CA"/>
        </w:rPr>
        <w:t>.</w:t>
      </w:r>
      <w:r w:rsidRPr="000F769F">
        <w:rPr>
          <w:rStyle w:val="FootnoteReference"/>
          <w:lang w:val="en-CA"/>
        </w:rPr>
        <w:footnoteReference w:id="1"/>
      </w:r>
      <w:r w:rsidRPr="000F769F">
        <w:rPr>
          <w:lang w:val="en-CA"/>
        </w:rPr>
        <w:t xml:space="preserve"> Of this amount, </w:t>
      </w:r>
      <w:r w:rsidR="000A6453">
        <w:rPr>
          <w:lang w:val="en-CA"/>
        </w:rPr>
        <w:t>US $</w:t>
      </w:r>
      <w:r w:rsidRPr="000F769F">
        <w:rPr>
          <w:lang w:val="en-CA"/>
        </w:rPr>
        <w:t>9,520,278 has been approved at the 83</w:t>
      </w:r>
      <w:r w:rsidRPr="000F769F">
        <w:rPr>
          <w:vertAlign w:val="superscript"/>
          <w:lang w:val="en-CA"/>
        </w:rPr>
        <w:t>rd</w:t>
      </w:r>
      <w:r w:rsidRPr="000F769F">
        <w:rPr>
          <w:lang w:val="en-CA"/>
        </w:rPr>
        <w:t xml:space="preserve"> meeting. </w:t>
      </w:r>
      <w:r w:rsidRPr="000F769F">
        <w:rPr>
          <w:color w:val="000000" w:themeColor="text1"/>
          <w:lang w:val="en-CA"/>
        </w:rPr>
        <w:t>Funding requests submitted to the 84</w:t>
      </w:r>
      <w:r w:rsidRPr="000F769F">
        <w:rPr>
          <w:color w:val="000000" w:themeColor="text1"/>
          <w:vertAlign w:val="superscript"/>
          <w:lang w:val="en-CA"/>
        </w:rPr>
        <w:t>th</w:t>
      </w:r>
      <w:r w:rsidRPr="000F769F">
        <w:rPr>
          <w:color w:val="000000" w:themeColor="text1"/>
          <w:lang w:val="en-CA"/>
        </w:rPr>
        <w:t xml:space="preserve"> meeting amounts to </w:t>
      </w:r>
      <w:r w:rsidR="000A6453">
        <w:rPr>
          <w:color w:val="000000" w:themeColor="text1"/>
          <w:lang w:val="en-CA"/>
        </w:rPr>
        <w:lastRenderedPageBreak/>
        <w:t>US $</w:t>
      </w:r>
      <w:r w:rsidRPr="000F769F">
        <w:rPr>
          <w:color w:val="000000" w:themeColor="text1"/>
          <w:lang w:val="en-CA"/>
        </w:rPr>
        <w:t xml:space="preserve">130,778,657. If funding requests for all project proposals submitted are approved, a balance of </w:t>
      </w:r>
      <w:r w:rsidR="000A6453">
        <w:rPr>
          <w:color w:val="000000" w:themeColor="text1"/>
          <w:lang w:val="en-CA"/>
        </w:rPr>
        <w:t>US $</w:t>
      </w:r>
      <w:r w:rsidRPr="000F769F">
        <w:rPr>
          <w:color w:val="000000" w:themeColor="text1"/>
          <w:lang w:val="en-CA"/>
        </w:rPr>
        <w:t xml:space="preserve">34,834,809 would be available from the 2019 business plan, as shown in Table 2. </w:t>
      </w:r>
    </w:p>
    <w:p w:rsidR="00052C5C" w:rsidRPr="00AC1DC2" w:rsidRDefault="00AC1DC2" w:rsidP="00AC1DC2">
      <w:pPr>
        <w:tabs>
          <w:tab w:val="left" w:pos="8280"/>
        </w:tabs>
        <w:rPr>
          <w:b/>
        </w:rPr>
      </w:pPr>
      <w:r w:rsidRPr="00AC1DC2">
        <w:rPr>
          <w:b/>
        </w:rPr>
        <w:t>Table 2. 2019 consolidated business plan, submissions to the 84th meeting, and balance (</w:t>
      </w:r>
      <w:r w:rsidR="000A6453">
        <w:rPr>
          <w:b/>
        </w:rPr>
        <w:t>US $</w:t>
      </w:r>
      <w:r w:rsidRPr="00AC1DC2">
        <w:rPr>
          <w:b/>
        </w:rPr>
        <w:t>)*</w:t>
      </w:r>
    </w:p>
    <w:tbl>
      <w:tblPr>
        <w:tblW w:w="9400" w:type="dxa"/>
        <w:tblInd w:w="-5" w:type="dxa"/>
        <w:tblLayout w:type="fixed"/>
        <w:tblLook w:val="04A0" w:firstRow="1" w:lastRow="0" w:firstColumn="1" w:lastColumn="0" w:noHBand="0" w:noVBand="1"/>
      </w:tblPr>
      <w:tblGrid>
        <w:gridCol w:w="2880"/>
        <w:gridCol w:w="1276"/>
        <w:gridCol w:w="1276"/>
        <w:gridCol w:w="1276"/>
        <w:gridCol w:w="1276"/>
        <w:gridCol w:w="1416"/>
      </w:tblGrid>
      <w:tr w:rsidR="00AC1DC2" w:rsidRPr="00AC1DC2" w:rsidTr="00CA4F6A">
        <w:trPr>
          <w:tblHeader/>
        </w:trPr>
        <w:tc>
          <w:tcPr>
            <w:tcW w:w="2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1DC2" w:rsidRPr="00AC1DC2" w:rsidRDefault="00AC1DC2" w:rsidP="00AC1DC2">
            <w:pPr>
              <w:rPr>
                <w:b/>
                <w:bCs/>
                <w:color w:val="000000"/>
                <w:sz w:val="20"/>
                <w:szCs w:val="20"/>
                <w:lang w:val="en-US"/>
              </w:rPr>
            </w:pPr>
            <w:r w:rsidRPr="00AC1DC2">
              <w:rPr>
                <w:b/>
                <w:bCs/>
                <w:color w:val="000000"/>
                <w:sz w:val="20"/>
                <w:szCs w:val="20"/>
                <w:lang w:val="en-CA" w:eastAsia="en-CA"/>
              </w:rPr>
              <w:t>Budget items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AC1DC2" w:rsidRPr="00AC1DC2" w:rsidRDefault="00AC1DC2" w:rsidP="00AC1DC2">
            <w:pPr>
              <w:jc w:val="center"/>
              <w:rPr>
                <w:b/>
                <w:bCs/>
                <w:color w:val="000000"/>
                <w:sz w:val="20"/>
                <w:szCs w:val="20"/>
                <w:lang w:val="en-US"/>
              </w:rPr>
            </w:pPr>
            <w:r w:rsidRPr="00AC1DC2">
              <w:rPr>
                <w:b/>
                <w:bCs/>
                <w:color w:val="000000"/>
                <w:sz w:val="20"/>
                <w:szCs w:val="20"/>
                <w:lang w:val="en-CA" w:eastAsia="en-CA"/>
              </w:rPr>
              <w:t>Total value in business plan</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AC1DC2" w:rsidRPr="00AC1DC2" w:rsidRDefault="00AC1DC2" w:rsidP="00AC1DC2">
            <w:pPr>
              <w:jc w:val="center"/>
              <w:rPr>
                <w:b/>
                <w:bCs/>
                <w:color w:val="000000"/>
                <w:sz w:val="20"/>
                <w:szCs w:val="20"/>
                <w:lang w:val="en-US"/>
              </w:rPr>
            </w:pPr>
            <w:r w:rsidRPr="00AC1DC2">
              <w:rPr>
                <w:b/>
                <w:bCs/>
                <w:color w:val="000000"/>
                <w:sz w:val="20"/>
                <w:szCs w:val="20"/>
              </w:rPr>
              <w:t>Approvals at the 83</w:t>
            </w:r>
            <w:r w:rsidRPr="00AC1DC2">
              <w:rPr>
                <w:b/>
                <w:bCs/>
                <w:color w:val="000000"/>
                <w:sz w:val="20"/>
                <w:szCs w:val="20"/>
                <w:vertAlign w:val="superscript"/>
              </w:rPr>
              <w:t>rd</w:t>
            </w:r>
            <w:r w:rsidRPr="00AC1DC2">
              <w:rPr>
                <w:b/>
                <w:bCs/>
                <w:color w:val="000000"/>
                <w:sz w:val="20"/>
                <w:szCs w:val="20"/>
              </w:rPr>
              <w:t xml:space="preserve"> meeting</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center"/>
              <w:rPr>
                <w:b/>
                <w:bCs/>
                <w:color w:val="000000"/>
                <w:sz w:val="20"/>
                <w:szCs w:val="20"/>
                <w:lang w:val="en-CA" w:eastAsia="en-CA"/>
              </w:rPr>
            </w:pPr>
            <w:r w:rsidRPr="00AC1DC2">
              <w:rPr>
                <w:b/>
                <w:color w:val="000000"/>
                <w:sz w:val="20"/>
                <w:szCs w:val="20"/>
                <w:lang w:val="en-CA" w:eastAsia="en-CA"/>
              </w:rPr>
              <w:t>Submissions 84</w:t>
            </w:r>
            <w:r w:rsidRPr="00AC1DC2">
              <w:rPr>
                <w:b/>
                <w:color w:val="000000"/>
                <w:sz w:val="20"/>
                <w:szCs w:val="20"/>
                <w:vertAlign w:val="superscript"/>
                <w:lang w:val="en-CA" w:eastAsia="en-CA"/>
              </w:rPr>
              <w:t>th</w:t>
            </w:r>
            <w:r w:rsidRPr="00AC1DC2">
              <w:rPr>
                <w:b/>
                <w:color w:val="000000"/>
                <w:sz w:val="20"/>
                <w:szCs w:val="20"/>
                <w:lang w:val="en-CA" w:eastAsia="en-CA"/>
              </w:rPr>
              <w:t xml:space="preserve"> meeting**</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center"/>
              <w:rPr>
                <w:b/>
                <w:color w:val="000000"/>
                <w:sz w:val="20"/>
                <w:szCs w:val="20"/>
                <w:lang w:val="en-CA" w:eastAsia="en-CA"/>
              </w:rPr>
            </w:pPr>
            <w:r w:rsidRPr="00AC1DC2">
              <w:rPr>
                <w:b/>
                <w:color w:val="000000"/>
                <w:sz w:val="20"/>
                <w:szCs w:val="20"/>
                <w:lang w:val="en-CA" w:eastAsia="en-CA"/>
              </w:rPr>
              <w:t xml:space="preserve">Total </w:t>
            </w:r>
          </w:p>
          <w:p w:rsidR="00AC1DC2" w:rsidRPr="00AC1DC2" w:rsidRDefault="00AC1DC2" w:rsidP="00AC1DC2">
            <w:pPr>
              <w:ind w:left="-106" w:right="-110"/>
              <w:jc w:val="center"/>
              <w:rPr>
                <w:b/>
                <w:bCs/>
                <w:color w:val="000000"/>
                <w:sz w:val="20"/>
                <w:szCs w:val="20"/>
              </w:rPr>
            </w:pPr>
            <w:r w:rsidRPr="00AC1DC2">
              <w:rPr>
                <w:b/>
                <w:color w:val="000000"/>
                <w:sz w:val="20"/>
                <w:szCs w:val="20"/>
                <w:lang w:val="en-CA" w:eastAsia="en-CA"/>
              </w:rPr>
              <w:t>(83</w:t>
            </w:r>
            <w:r w:rsidRPr="00AC1DC2">
              <w:rPr>
                <w:b/>
                <w:color w:val="000000"/>
                <w:sz w:val="20"/>
                <w:szCs w:val="20"/>
                <w:vertAlign w:val="superscript"/>
                <w:lang w:val="en-CA" w:eastAsia="en-CA"/>
              </w:rPr>
              <w:t>rd</w:t>
            </w:r>
            <w:r w:rsidRPr="00AC1DC2">
              <w:rPr>
                <w:b/>
                <w:color w:val="000000"/>
                <w:sz w:val="20"/>
                <w:szCs w:val="20"/>
                <w:lang w:val="en-CA" w:eastAsia="en-CA"/>
              </w:rPr>
              <w:t xml:space="preserve"> and 84</w:t>
            </w:r>
            <w:r w:rsidRPr="00AC1DC2">
              <w:rPr>
                <w:b/>
                <w:color w:val="000000"/>
                <w:sz w:val="20"/>
                <w:szCs w:val="20"/>
                <w:vertAlign w:val="superscript"/>
                <w:lang w:val="en-CA" w:eastAsia="en-CA"/>
              </w:rPr>
              <w:t>th</w:t>
            </w:r>
            <w:r w:rsidRPr="00AC1DC2">
              <w:rPr>
                <w:b/>
                <w:color w:val="000000"/>
                <w:sz w:val="20"/>
                <w:szCs w:val="20"/>
                <w:lang w:val="en-CA" w:eastAsia="en-CA"/>
              </w:rPr>
              <w:t>)</w:t>
            </w:r>
          </w:p>
        </w:tc>
        <w:tc>
          <w:tcPr>
            <w:tcW w:w="141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AC1DC2" w:rsidRPr="00AC1DC2" w:rsidRDefault="00AC1DC2" w:rsidP="00AC1DC2">
            <w:pPr>
              <w:jc w:val="center"/>
              <w:rPr>
                <w:b/>
                <w:bCs/>
                <w:color w:val="000000"/>
                <w:sz w:val="20"/>
                <w:szCs w:val="20"/>
              </w:rPr>
            </w:pPr>
            <w:r w:rsidRPr="00AC1DC2">
              <w:rPr>
                <w:b/>
                <w:color w:val="000000"/>
                <w:sz w:val="20"/>
                <w:szCs w:val="20"/>
                <w:lang w:val="en-CA" w:eastAsia="en-CA"/>
              </w:rPr>
              <w:t>Balance (above)/below</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Bilateral agencies</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2,578,136</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0</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2,822,543</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2,822,543</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(244,407)</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UNDP</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 xml:space="preserve"> 31,787,842 </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1,647,767</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30,536,587</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32,184,354</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(396,512)</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UNEP</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 xml:space="preserve"> 27,470,794 </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3,711,600</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19,194,030</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22,905,630</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4,565,164</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UNIDO</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 xml:space="preserve"> 59,822,423 </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4,160,911</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28,312,527</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32,473,438</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27,348,985</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World Bank</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45,586,716</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0</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42,044,637</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42,044,637</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3,542,079</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HPMP verification</w:t>
            </w:r>
          </w:p>
        </w:tc>
        <w:tc>
          <w:tcPr>
            <w:tcW w:w="1276" w:type="dxa"/>
            <w:tcBorders>
              <w:top w:val="nil"/>
              <w:left w:val="nil"/>
              <w:bottom w:val="single" w:sz="4" w:space="0" w:color="auto"/>
              <w:right w:val="single" w:sz="4" w:space="0" w:color="auto"/>
            </w:tcBorders>
            <w:shd w:val="clear" w:color="auto" w:fill="auto"/>
            <w:noWrap/>
          </w:tcPr>
          <w:p w:rsidR="00AC1DC2" w:rsidRPr="00AC1DC2" w:rsidRDefault="00AC1DC2" w:rsidP="00AC1DC2">
            <w:pPr>
              <w:jc w:val="right"/>
              <w:rPr>
                <w:color w:val="000000"/>
                <w:sz w:val="20"/>
                <w:szCs w:val="20"/>
                <w:lang w:val="en-US"/>
              </w:rPr>
            </w:pPr>
            <w:r w:rsidRPr="00AC1DC2">
              <w:rPr>
                <w:color w:val="000000"/>
                <w:sz w:val="20"/>
                <w:szCs w:val="20"/>
                <w:lang w:val="en-US"/>
              </w:rPr>
              <w:t>588,600</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r w:rsidRPr="00AC1DC2">
              <w:rPr>
                <w:color w:val="000000"/>
                <w:sz w:val="20"/>
                <w:szCs w:val="20"/>
                <w:lang w:val="en-US"/>
              </w:rPr>
              <w:t>0</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569,100</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569,100</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19,500</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b/>
                <w:bCs/>
                <w:color w:val="000000"/>
                <w:sz w:val="20"/>
                <w:szCs w:val="20"/>
                <w:lang w:val="en-US"/>
              </w:rPr>
            </w:pPr>
            <w:r w:rsidRPr="00AC1DC2">
              <w:rPr>
                <w:b/>
                <w:bCs/>
                <w:color w:val="000000"/>
                <w:sz w:val="20"/>
                <w:szCs w:val="20"/>
                <w:lang w:val="en-CA" w:eastAsia="en-CA"/>
              </w:rPr>
              <w:t>Sub-total (agencies)</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b/>
                <w:sz w:val="20"/>
                <w:szCs w:val="20"/>
              </w:rPr>
            </w:pPr>
            <w:r w:rsidRPr="00AC1DC2">
              <w:rPr>
                <w:b/>
                <w:sz w:val="20"/>
                <w:szCs w:val="20"/>
              </w:rPr>
              <w:t>167,834,511</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b/>
                <w:sz w:val="20"/>
                <w:szCs w:val="20"/>
              </w:rPr>
            </w:pPr>
            <w:r w:rsidRPr="00AC1DC2">
              <w:rPr>
                <w:b/>
                <w:sz w:val="20"/>
                <w:szCs w:val="20"/>
              </w:rPr>
              <w:t>9,520,278</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b/>
                <w:sz w:val="20"/>
                <w:szCs w:val="20"/>
              </w:rPr>
            </w:pPr>
            <w:bookmarkStart w:id="0" w:name="OLE_LINK1"/>
            <w:r w:rsidRPr="00AC1DC2">
              <w:rPr>
                <w:b/>
                <w:sz w:val="20"/>
                <w:szCs w:val="20"/>
              </w:rPr>
              <w:t>123,479,424</w:t>
            </w:r>
            <w:bookmarkEnd w:id="0"/>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b/>
                <w:sz w:val="20"/>
                <w:szCs w:val="20"/>
              </w:rPr>
            </w:pPr>
            <w:r w:rsidRPr="00AC1DC2">
              <w:rPr>
                <w:b/>
                <w:sz w:val="20"/>
                <w:szCs w:val="20"/>
              </w:rPr>
              <w:t>132,999,702</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b/>
                <w:sz w:val="20"/>
                <w:szCs w:val="20"/>
              </w:rPr>
            </w:pPr>
            <w:r w:rsidRPr="00AC1DC2">
              <w:rPr>
                <w:b/>
                <w:sz w:val="20"/>
                <w:szCs w:val="20"/>
              </w:rPr>
              <w:t>34,834,809</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ind w:right="-113"/>
              <w:jc w:val="left"/>
              <w:rPr>
                <w:color w:val="000000"/>
                <w:sz w:val="20"/>
                <w:szCs w:val="20"/>
                <w:lang w:val="en-US"/>
              </w:rPr>
            </w:pPr>
            <w:r w:rsidRPr="00AC1DC2">
              <w:rPr>
                <w:color w:val="000000"/>
                <w:sz w:val="20"/>
                <w:szCs w:val="20"/>
                <w:lang w:val="en-CA" w:eastAsia="en-CA"/>
              </w:rPr>
              <w:t>Secretariat/Exec</w:t>
            </w:r>
            <w:r w:rsidR="00164A0C">
              <w:rPr>
                <w:color w:val="000000"/>
                <w:sz w:val="20"/>
                <w:szCs w:val="20"/>
                <w:lang w:val="en-CA" w:eastAsia="en-CA"/>
              </w:rPr>
              <w:t>utive Committee/Monitoring and E</w:t>
            </w:r>
            <w:r w:rsidRPr="00AC1DC2">
              <w:rPr>
                <w:color w:val="000000"/>
                <w:sz w:val="20"/>
                <w:szCs w:val="20"/>
                <w:lang w:val="en-CA" w:eastAsia="en-CA"/>
              </w:rPr>
              <w:t>valuation (excluding Canadian counterpart)</w:t>
            </w:r>
          </w:p>
        </w:tc>
        <w:tc>
          <w:tcPr>
            <w:tcW w:w="1276" w:type="dxa"/>
            <w:tcBorders>
              <w:top w:val="nil"/>
              <w:left w:val="nil"/>
              <w:bottom w:val="single" w:sz="4" w:space="0" w:color="auto"/>
              <w:right w:val="single" w:sz="4" w:space="0" w:color="auto"/>
            </w:tcBorders>
            <w:shd w:val="clear" w:color="auto" w:fill="auto"/>
            <w:noWrap/>
          </w:tcPr>
          <w:p w:rsidR="00AC1DC2" w:rsidRPr="00AC1DC2" w:rsidRDefault="00AC1DC2" w:rsidP="00AC1DC2">
            <w:pPr>
              <w:jc w:val="right"/>
              <w:rPr>
                <w:sz w:val="20"/>
                <w:szCs w:val="20"/>
                <w:lang w:val="en-US"/>
              </w:rPr>
            </w:pPr>
            <w:r w:rsidRPr="00AC1DC2">
              <w:rPr>
                <w:color w:val="000000"/>
                <w:sz w:val="20"/>
                <w:szCs w:val="20"/>
                <w:lang w:val="en-CA" w:eastAsia="en-CA"/>
              </w:rPr>
              <w:t>6,799,233</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6,799,233</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6,799,233</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0</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hideMark/>
          </w:tcPr>
          <w:p w:rsidR="00AC1DC2" w:rsidRPr="00AC1DC2" w:rsidRDefault="00AC1DC2" w:rsidP="00AC1DC2">
            <w:pPr>
              <w:rPr>
                <w:color w:val="000000"/>
                <w:sz w:val="20"/>
                <w:szCs w:val="20"/>
                <w:lang w:val="en-US"/>
              </w:rPr>
            </w:pPr>
            <w:r w:rsidRPr="00AC1DC2">
              <w:rPr>
                <w:color w:val="000000"/>
                <w:sz w:val="20"/>
                <w:szCs w:val="20"/>
                <w:lang w:val="en-CA" w:eastAsia="en-CA"/>
              </w:rPr>
              <w:t>Treasurer</w:t>
            </w:r>
          </w:p>
        </w:tc>
        <w:tc>
          <w:tcPr>
            <w:tcW w:w="1276" w:type="dxa"/>
            <w:tcBorders>
              <w:top w:val="nil"/>
              <w:left w:val="nil"/>
              <w:bottom w:val="single" w:sz="4" w:space="0" w:color="auto"/>
              <w:right w:val="single" w:sz="4" w:space="0" w:color="auto"/>
            </w:tcBorders>
            <w:shd w:val="clear" w:color="auto" w:fill="auto"/>
            <w:noWrap/>
          </w:tcPr>
          <w:p w:rsidR="00AC1DC2" w:rsidRPr="00AC1DC2" w:rsidRDefault="00AC1DC2" w:rsidP="00AC1DC2">
            <w:pPr>
              <w:jc w:val="right"/>
              <w:rPr>
                <w:sz w:val="20"/>
                <w:szCs w:val="20"/>
                <w:lang w:val="en-US"/>
              </w:rPr>
            </w:pPr>
            <w:r w:rsidRPr="00AC1DC2">
              <w:rPr>
                <w:sz w:val="20"/>
                <w:szCs w:val="20"/>
                <w:lang w:val="en-US"/>
              </w:rPr>
              <w:t>500,000</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color w:val="000000"/>
                <w:sz w:val="20"/>
                <w:szCs w:val="20"/>
                <w:lang w:val="en-US"/>
              </w:rPr>
            </w:pP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500,000</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500,000</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0</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tcPr>
          <w:p w:rsidR="00AC1DC2" w:rsidRPr="00AC1DC2" w:rsidRDefault="00AC1DC2" w:rsidP="00AC1DC2">
            <w:pPr>
              <w:rPr>
                <w:b/>
                <w:bCs/>
                <w:color w:val="000000"/>
                <w:sz w:val="20"/>
                <w:szCs w:val="20"/>
                <w:lang w:val="en-US"/>
              </w:rPr>
            </w:pPr>
            <w:r w:rsidRPr="00AC1DC2">
              <w:rPr>
                <w:b/>
                <w:bCs/>
                <w:color w:val="000000"/>
                <w:sz w:val="20"/>
                <w:szCs w:val="20"/>
                <w:lang w:val="en-CA" w:eastAsia="en-CA"/>
              </w:rPr>
              <w:t>Sub-total (standard costs)</w:t>
            </w:r>
          </w:p>
        </w:tc>
        <w:tc>
          <w:tcPr>
            <w:tcW w:w="1276" w:type="dxa"/>
            <w:tcBorders>
              <w:top w:val="nil"/>
              <w:left w:val="nil"/>
              <w:bottom w:val="single" w:sz="4" w:space="0" w:color="auto"/>
              <w:right w:val="single" w:sz="4" w:space="0" w:color="auto"/>
            </w:tcBorders>
            <w:shd w:val="clear" w:color="auto" w:fill="auto"/>
            <w:vAlign w:val="center"/>
          </w:tcPr>
          <w:p w:rsidR="00AC1DC2" w:rsidRPr="00AC1DC2" w:rsidRDefault="00AC1DC2" w:rsidP="00AC1DC2">
            <w:pPr>
              <w:jc w:val="right"/>
              <w:rPr>
                <w:b/>
                <w:bCs/>
                <w:color w:val="000000"/>
                <w:sz w:val="20"/>
                <w:szCs w:val="20"/>
                <w:lang w:val="en-US"/>
              </w:rPr>
            </w:pPr>
            <w:r w:rsidRPr="00AC1DC2">
              <w:rPr>
                <w:b/>
                <w:bCs/>
                <w:color w:val="000000"/>
                <w:sz w:val="20"/>
                <w:szCs w:val="20"/>
                <w:lang w:val="en-US"/>
              </w:rPr>
              <w:t>7,299,233</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b/>
                <w:bCs/>
                <w:color w:val="000000"/>
                <w:sz w:val="20"/>
                <w:szCs w:val="20"/>
                <w:lang w:val="en-US"/>
              </w:rPr>
            </w:pP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7,299,233</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sz w:val="20"/>
                <w:szCs w:val="20"/>
              </w:rPr>
            </w:pPr>
            <w:r w:rsidRPr="00AC1DC2">
              <w:rPr>
                <w:sz w:val="20"/>
                <w:szCs w:val="20"/>
              </w:rPr>
              <w:t>7,299,233</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sz w:val="20"/>
                <w:szCs w:val="20"/>
              </w:rPr>
            </w:pPr>
            <w:r w:rsidRPr="00AC1DC2">
              <w:rPr>
                <w:sz w:val="20"/>
                <w:szCs w:val="20"/>
              </w:rPr>
              <w:t>0</w:t>
            </w:r>
          </w:p>
        </w:tc>
      </w:tr>
      <w:tr w:rsidR="00AC1DC2" w:rsidRPr="00AC1DC2" w:rsidTr="00CA4F6A">
        <w:tc>
          <w:tcPr>
            <w:tcW w:w="2880" w:type="dxa"/>
            <w:tcBorders>
              <w:top w:val="nil"/>
              <w:left w:val="single" w:sz="4" w:space="0" w:color="auto"/>
              <w:bottom w:val="single" w:sz="4" w:space="0" w:color="auto"/>
              <w:right w:val="single" w:sz="4" w:space="0" w:color="auto"/>
            </w:tcBorders>
            <w:shd w:val="clear" w:color="auto" w:fill="auto"/>
          </w:tcPr>
          <w:p w:rsidR="00AC1DC2" w:rsidRPr="00AC1DC2" w:rsidRDefault="00AC1DC2" w:rsidP="00AC1DC2">
            <w:pPr>
              <w:rPr>
                <w:b/>
                <w:bCs/>
                <w:color w:val="000000"/>
                <w:sz w:val="20"/>
                <w:szCs w:val="20"/>
                <w:lang w:val="en-US"/>
              </w:rPr>
            </w:pPr>
            <w:r w:rsidRPr="00AC1DC2">
              <w:rPr>
                <w:b/>
                <w:bCs/>
                <w:color w:val="000000"/>
                <w:sz w:val="20"/>
                <w:szCs w:val="20"/>
                <w:lang w:val="en-CA" w:eastAsia="en-CA"/>
              </w:rPr>
              <w:t>Total</w:t>
            </w:r>
          </w:p>
        </w:tc>
        <w:tc>
          <w:tcPr>
            <w:tcW w:w="1276" w:type="dxa"/>
            <w:tcBorders>
              <w:top w:val="nil"/>
              <w:left w:val="nil"/>
              <w:bottom w:val="single" w:sz="4" w:space="0" w:color="auto"/>
              <w:right w:val="single" w:sz="4" w:space="0" w:color="auto"/>
            </w:tcBorders>
            <w:shd w:val="clear" w:color="auto" w:fill="auto"/>
            <w:vAlign w:val="center"/>
          </w:tcPr>
          <w:p w:rsidR="00AC1DC2" w:rsidRPr="00AC1DC2" w:rsidRDefault="00AC1DC2" w:rsidP="00AC1DC2">
            <w:pPr>
              <w:jc w:val="right"/>
              <w:rPr>
                <w:b/>
                <w:bCs/>
                <w:color w:val="000000"/>
                <w:sz w:val="20"/>
                <w:szCs w:val="20"/>
                <w:lang w:val="en-US"/>
              </w:rPr>
            </w:pPr>
            <w:r w:rsidRPr="00AC1DC2">
              <w:rPr>
                <w:b/>
                <w:bCs/>
                <w:color w:val="000000"/>
                <w:sz w:val="20"/>
                <w:szCs w:val="20"/>
                <w:lang w:val="en-US"/>
              </w:rPr>
              <w:t>175,133,744</w:t>
            </w:r>
          </w:p>
        </w:tc>
        <w:tc>
          <w:tcPr>
            <w:tcW w:w="1276" w:type="dxa"/>
            <w:tcBorders>
              <w:top w:val="nil"/>
              <w:left w:val="nil"/>
              <w:bottom w:val="single" w:sz="4" w:space="0" w:color="auto"/>
              <w:right w:val="single" w:sz="4" w:space="0" w:color="auto"/>
            </w:tcBorders>
            <w:shd w:val="clear" w:color="auto" w:fill="auto"/>
          </w:tcPr>
          <w:p w:rsidR="00AC1DC2" w:rsidRPr="00AC1DC2" w:rsidRDefault="00AC1DC2" w:rsidP="00AC1DC2">
            <w:pPr>
              <w:jc w:val="right"/>
              <w:rPr>
                <w:b/>
                <w:bCs/>
                <w:color w:val="000000"/>
                <w:sz w:val="20"/>
                <w:szCs w:val="20"/>
                <w:lang w:val="en-US"/>
              </w:rPr>
            </w:pPr>
            <w:r w:rsidRPr="00AC1DC2">
              <w:rPr>
                <w:b/>
                <w:sz w:val="20"/>
                <w:szCs w:val="20"/>
              </w:rPr>
              <w:t>9,520,278</w:t>
            </w:r>
          </w:p>
        </w:tc>
        <w:tc>
          <w:tcPr>
            <w:tcW w:w="1276" w:type="dxa"/>
            <w:tcBorders>
              <w:top w:val="single" w:sz="4" w:space="0" w:color="auto"/>
              <w:left w:val="nil"/>
              <w:bottom w:val="single" w:sz="4" w:space="0" w:color="auto"/>
              <w:right w:val="single" w:sz="4" w:space="0" w:color="auto"/>
            </w:tcBorders>
          </w:tcPr>
          <w:p w:rsidR="00AC1DC2" w:rsidRPr="00AC1DC2" w:rsidRDefault="00AC1DC2" w:rsidP="00AC1DC2">
            <w:pPr>
              <w:jc w:val="right"/>
              <w:rPr>
                <w:b/>
                <w:sz w:val="20"/>
                <w:szCs w:val="20"/>
              </w:rPr>
            </w:pPr>
            <w:r w:rsidRPr="00AC1DC2">
              <w:rPr>
                <w:b/>
                <w:sz w:val="20"/>
                <w:szCs w:val="20"/>
              </w:rPr>
              <w:t>130,778,657</w:t>
            </w:r>
          </w:p>
        </w:tc>
        <w:tc>
          <w:tcPr>
            <w:tcW w:w="1276" w:type="dxa"/>
            <w:tcBorders>
              <w:top w:val="single" w:sz="4" w:space="0" w:color="auto"/>
              <w:left w:val="single" w:sz="4" w:space="0" w:color="auto"/>
              <w:bottom w:val="single" w:sz="4" w:space="0" w:color="auto"/>
              <w:right w:val="single" w:sz="4" w:space="0" w:color="auto"/>
            </w:tcBorders>
          </w:tcPr>
          <w:p w:rsidR="00AC1DC2" w:rsidRPr="00AC1DC2" w:rsidRDefault="00AC1DC2" w:rsidP="00AC1DC2">
            <w:pPr>
              <w:jc w:val="right"/>
              <w:rPr>
                <w:b/>
                <w:sz w:val="20"/>
                <w:szCs w:val="20"/>
              </w:rPr>
            </w:pPr>
            <w:r w:rsidRPr="00AC1DC2">
              <w:rPr>
                <w:b/>
                <w:sz w:val="20"/>
                <w:szCs w:val="20"/>
              </w:rPr>
              <w:t>140,298,935</w:t>
            </w: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AC1DC2" w:rsidRPr="00AC1DC2" w:rsidRDefault="00AC1DC2" w:rsidP="00AC1DC2">
            <w:pPr>
              <w:jc w:val="right"/>
              <w:rPr>
                <w:b/>
                <w:sz w:val="20"/>
                <w:szCs w:val="20"/>
              </w:rPr>
            </w:pPr>
            <w:r w:rsidRPr="00AC1DC2">
              <w:rPr>
                <w:b/>
                <w:sz w:val="20"/>
                <w:szCs w:val="20"/>
              </w:rPr>
              <w:t>34,834,809</w:t>
            </w:r>
          </w:p>
        </w:tc>
      </w:tr>
    </w:tbl>
    <w:p w:rsidR="00AC1DC2" w:rsidRPr="00AC1DC2" w:rsidRDefault="00AC1DC2" w:rsidP="00AC1DC2">
      <w:pPr>
        <w:tabs>
          <w:tab w:val="left" w:pos="360"/>
        </w:tabs>
        <w:rPr>
          <w:color w:val="000000" w:themeColor="text1"/>
          <w:sz w:val="18"/>
          <w:szCs w:val="18"/>
          <w:lang w:val="en-CA"/>
        </w:rPr>
      </w:pPr>
      <w:r w:rsidRPr="00AC1DC2">
        <w:rPr>
          <w:color w:val="000000" w:themeColor="text1"/>
          <w:sz w:val="18"/>
          <w:szCs w:val="18"/>
          <w:lang w:val="en-CA"/>
        </w:rPr>
        <w:t>* Including core unit costs.</w:t>
      </w:r>
    </w:p>
    <w:p w:rsidR="00AC1DC2" w:rsidRDefault="00AC1DC2" w:rsidP="00AC1DC2">
      <w:pPr>
        <w:tabs>
          <w:tab w:val="left" w:pos="360"/>
        </w:tabs>
        <w:rPr>
          <w:color w:val="000000" w:themeColor="text1"/>
          <w:sz w:val="18"/>
          <w:szCs w:val="18"/>
          <w:lang w:val="en-CA"/>
        </w:rPr>
      </w:pPr>
      <w:r w:rsidRPr="00AC1DC2">
        <w:rPr>
          <w:color w:val="000000" w:themeColor="text1"/>
          <w:sz w:val="18"/>
          <w:szCs w:val="18"/>
          <w:lang w:val="en-CA"/>
        </w:rPr>
        <w:t>** As at 2 December 2019</w:t>
      </w:r>
    </w:p>
    <w:p w:rsidR="00AC1DC2" w:rsidRPr="00AC1DC2" w:rsidRDefault="00AC1DC2" w:rsidP="00AC1DC2">
      <w:pPr>
        <w:tabs>
          <w:tab w:val="left" w:pos="360"/>
        </w:tabs>
        <w:rPr>
          <w:color w:val="000000" w:themeColor="text1"/>
          <w:sz w:val="18"/>
          <w:szCs w:val="18"/>
          <w:lang w:val="en-CA"/>
        </w:rPr>
      </w:pPr>
    </w:p>
    <w:p w:rsidR="00AC1DC2" w:rsidRPr="000F769F" w:rsidRDefault="00AC1DC2" w:rsidP="00AC1DC2">
      <w:pPr>
        <w:pStyle w:val="Heading1"/>
        <w:rPr>
          <w:lang w:val="en-CA"/>
        </w:rPr>
      </w:pPr>
      <w:r w:rsidRPr="000F769F">
        <w:rPr>
          <w:lang w:val="en-CA"/>
        </w:rPr>
        <w:t>The value of project proposals submitted to the 84</w:t>
      </w:r>
      <w:r w:rsidRPr="000F769F">
        <w:rPr>
          <w:vertAlign w:val="superscript"/>
          <w:lang w:val="en-CA"/>
        </w:rPr>
        <w:t>th</w:t>
      </w:r>
      <w:r w:rsidRPr="000F769F">
        <w:rPr>
          <w:lang w:val="en-CA"/>
        </w:rPr>
        <w:t xml:space="preserve"> meeting of </w:t>
      </w:r>
      <w:r w:rsidR="000A6453">
        <w:rPr>
          <w:lang w:val="en-CA"/>
        </w:rPr>
        <w:t>US $</w:t>
      </w:r>
      <w:r w:rsidRPr="000F769F">
        <w:rPr>
          <w:color w:val="000000" w:themeColor="text1"/>
          <w:lang w:val="en-CA"/>
        </w:rPr>
        <w:t xml:space="preserve">123,479,424 </w:t>
      </w:r>
      <w:r w:rsidRPr="000F769F">
        <w:rPr>
          <w:lang w:val="en-CA"/>
        </w:rPr>
        <w:t xml:space="preserve">is </w:t>
      </w:r>
      <w:r w:rsidR="000A6453">
        <w:rPr>
          <w:lang w:val="en-CA"/>
        </w:rPr>
        <w:t>US $</w:t>
      </w:r>
      <w:r w:rsidRPr="000F769F">
        <w:rPr>
          <w:lang w:val="en-CA"/>
        </w:rPr>
        <w:t xml:space="preserve">355,330 above their value in the 2019 business plan, including </w:t>
      </w:r>
      <w:r w:rsidR="000A6453">
        <w:rPr>
          <w:lang w:val="en-CA"/>
        </w:rPr>
        <w:t>US $</w:t>
      </w:r>
      <w:r w:rsidRPr="000F769F">
        <w:rPr>
          <w:lang w:val="en-CA"/>
        </w:rPr>
        <w:t>3,580,552 associated with project proposals not included in the 2019 business plan.</w:t>
      </w:r>
      <w:r w:rsidRPr="000F769F">
        <w:rPr>
          <w:vertAlign w:val="superscript"/>
        </w:rPr>
        <w:footnoteReference w:id="2"/>
      </w:r>
    </w:p>
    <w:p w:rsidR="00AC1DC2" w:rsidRPr="000F769F" w:rsidRDefault="00AC1DC2" w:rsidP="00AC1DC2">
      <w:pPr>
        <w:pStyle w:val="Heading1"/>
        <w:rPr>
          <w:lang w:val="en-CA"/>
        </w:rPr>
      </w:pPr>
      <w:r w:rsidRPr="000F769F">
        <w:rPr>
          <w:lang w:val="en-CA"/>
        </w:rPr>
        <w:t>The value of HFC phase-down activities submitted to the 84</w:t>
      </w:r>
      <w:r w:rsidRPr="000F769F">
        <w:rPr>
          <w:vertAlign w:val="superscript"/>
          <w:lang w:val="en-CA"/>
        </w:rPr>
        <w:t>th</w:t>
      </w:r>
      <w:r w:rsidRPr="000F769F">
        <w:rPr>
          <w:lang w:val="en-CA"/>
        </w:rPr>
        <w:t xml:space="preserve"> meeting is </w:t>
      </w:r>
      <w:r w:rsidR="000A6453">
        <w:rPr>
          <w:lang w:val="en-CA"/>
        </w:rPr>
        <w:t>US $</w:t>
      </w:r>
      <w:r w:rsidRPr="000F769F">
        <w:rPr>
          <w:lang w:val="en-CA"/>
        </w:rPr>
        <w:t>2,539,511</w:t>
      </w:r>
      <w:r w:rsidR="00164A0C">
        <w:rPr>
          <w:lang w:val="en-CA"/>
        </w:rPr>
        <w:t>,</w:t>
      </w:r>
      <w:r w:rsidRPr="000F769F">
        <w:rPr>
          <w:lang w:val="en-CA"/>
        </w:rPr>
        <w:t xml:space="preserve"> of which </w:t>
      </w:r>
      <w:r w:rsidR="000A6453">
        <w:rPr>
          <w:lang w:val="en-CA"/>
        </w:rPr>
        <w:t>US $</w:t>
      </w:r>
      <w:r w:rsidRPr="000F769F">
        <w:rPr>
          <w:lang w:val="en-CA"/>
        </w:rPr>
        <w:t>1,101,777 is associated with project proposals not included in the 2019 business plan.</w:t>
      </w:r>
      <w:r w:rsidRPr="000F769F" w:rsidDel="0037741E">
        <w:rPr>
          <w:lang w:val="en-CA"/>
        </w:rPr>
        <w:t xml:space="preserve"> </w:t>
      </w:r>
      <w:r w:rsidRPr="000F769F">
        <w:rPr>
          <w:color w:val="000000" w:themeColor="text1"/>
          <w:lang w:val="en-CA"/>
        </w:rPr>
        <w:t>Annex I to the present document lists HFC-related projects submitted by the implementing agencies to the 84</w:t>
      </w:r>
      <w:r w:rsidRPr="000F769F">
        <w:rPr>
          <w:color w:val="000000" w:themeColor="text1"/>
          <w:vertAlign w:val="superscript"/>
          <w:lang w:val="en-CA"/>
        </w:rPr>
        <w:t>th</w:t>
      </w:r>
      <w:r w:rsidRPr="000F769F">
        <w:rPr>
          <w:color w:val="000000" w:themeColor="text1"/>
          <w:lang w:val="en-CA"/>
        </w:rPr>
        <w:t xml:space="preserve"> meeting.</w:t>
      </w:r>
    </w:p>
    <w:p w:rsidR="00AC1DC2" w:rsidRPr="000F769F" w:rsidRDefault="00AC1DC2" w:rsidP="00AC1DC2">
      <w:pPr>
        <w:pStyle w:val="Heading1"/>
        <w:rPr>
          <w:color w:val="000000" w:themeColor="text1"/>
          <w:lang w:val="en-CA"/>
        </w:rPr>
      </w:pPr>
      <w:r w:rsidRPr="000F769F">
        <w:rPr>
          <w:lang w:val="en-CA"/>
        </w:rPr>
        <w:t xml:space="preserve">Project proposals with a value of </w:t>
      </w:r>
      <w:r w:rsidR="000A6453">
        <w:rPr>
          <w:lang w:val="en-CA"/>
        </w:rPr>
        <w:t>US $</w:t>
      </w:r>
      <w:r w:rsidRPr="000F769F">
        <w:rPr>
          <w:lang w:val="en-CA"/>
        </w:rPr>
        <w:t>44,710,417</w:t>
      </w:r>
      <w:r w:rsidRPr="000F769F">
        <w:rPr>
          <w:rStyle w:val="FootnoteReference"/>
          <w:lang w:val="en-CA"/>
        </w:rPr>
        <w:footnoteReference w:id="3"/>
      </w:r>
      <w:r w:rsidRPr="000F769F">
        <w:rPr>
          <w:lang w:val="en-CA"/>
        </w:rPr>
        <w:t xml:space="preserve"> that were included in the 2019 business plan</w:t>
      </w:r>
      <w:r w:rsidR="00164A0C">
        <w:rPr>
          <w:lang w:val="en-CA"/>
        </w:rPr>
        <w:t>,</w:t>
      </w:r>
      <w:r w:rsidRPr="000F769F">
        <w:rPr>
          <w:lang w:val="en-CA"/>
        </w:rPr>
        <w:t xml:space="preserve"> were not submitted to the 84</w:t>
      </w:r>
      <w:r w:rsidRPr="000F769F">
        <w:rPr>
          <w:vertAlign w:val="superscript"/>
          <w:lang w:val="en-CA"/>
        </w:rPr>
        <w:t>th</w:t>
      </w:r>
      <w:r w:rsidRPr="000F769F">
        <w:rPr>
          <w:lang w:val="en-CA"/>
        </w:rPr>
        <w:t xml:space="preserve"> meeting. These proposals have been included in the Consolidated business plan of the Multilateral Fund for 2020–2022.</w:t>
      </w:r>
      <w:r w:rsidRPr="000F769F">
        <w:rPr>
          <w:rStyle w:val="FootnoteReference"/>
          <w:lang w:val="en-CA"/>
        </w:rPr>
        <w:footnoteReference w:id="4"/>
      </w:r>
    </w:p>
    <w:p w:rsidR="00AC1DC2" w:rsidRPr="000F769F" w:rsidRDefault="00AC1DC2" w:rsidP="00AC1DC2">
      <w:pPr>
        <w:pStyle w:val="Heading1"/>
        <w:keepNext/>
        <w:numPr>
          <w:ilvl w:val="0"/>
          <w:numId w:val="0"/>
        </w:numPr>
        <w:rPr>
          <w:b/>
          <w:bCs/>
          <w:color w:val="000000" w:themeColor="text1"/>
          <w:lang w:val="en-CA"/>
        </w:rPr>
      </w:pPr>
      <w:r w:rsidRPr="000F769F">
        <w:rPr>
          <w:b/>
          <w:bCs/>
          <w:color w:val="000000" w:themeColor="text1"/>
          <w:lang w:val="en-CA"/>
        </w:rPr>
        <w:t>Forward commitments</w:t>
      </w:r>
    </w:p>
    <w:p w:rsidR="000A6453" w:rsidRDefault="00AC1DC2" w:rsidP="00AC1DC2">
      <w:pPr>
        <w:pStyle w:val="Heading1"/>
        <w:rPr>
          <w:lang w:val="en-CA"/>
        </w:rPr>
      </w:pPr>
      <w:r w:rsidRPr="000F769F">
        <w:rPr>
          <w:lang w:val="en-CA"/>
        </w:rPr>
        <w:t xml:space="preserve">The total amount for existing forward commitments for multi-year agreements (MYAs) for the period 2019 to 2031 is </w:t>
      </w:r>
      <w:r w:rsidR="000A6453">
        <w:rPr>
          <w:lang w:val="en-CA"/>
        </w:rPr>
        <w:t>US $</w:t>
      </w:r>
      <w:r w:rsidRPr="000F769F">
        <w:rPr>
          <w:lang w:val="en-CA"/>
        </w:rPr>
        <w:t>647.24 million, assuming that the funding requests of MYAs submitted to the 84</w:t>
      </w:r>
      <w:r w:rsidRPr="000F769F">
        <w:rPr>
          <w:vertAlign w:val="superscript"/>
          <w:lang w:val="en-CA"/>
        </w:rPr>
        <w:t>th</w:t>
      </w:r>
      <w:r w:rsidRPr="000F769F">
        <w:rPr>
          <w:lang w:val="en-CA"/>
        </w:rPr>
        <w:t xml:space="preserve"> meeting will be approved in principle, as shown in Table </w:t>
      </w:r>
      <w:r w:rsidR="00164A0C">
        <w:rPr>
          <w:lang w:val="en-CA"/>
        </w:rPr>
        <w:t>3</w:t>
      </w:r>
      <w:r w:rsidRPr="000F769F">
        <w:rPr>
          <w:lang w:val="en-CA"/>
        </w:rPr>
        <w:t>.</w:t>
      </w:r>
    </w:p>
    <w:p w:rsidR="000A6453" w:rsidRDefault="000A6453">
      <w:pPr>
        <w:jc w:val="left"/>
        <w:rPr>
          <w:lang w:val="en-CA"/>
        </w:rPr>
      </w:pPr>
      <w:r>
        <w:rPr>
          <w:lang w:val="en-CA"/>
        </w:rPr>
        <w:br w:type="page"/>
      </w:r>
    </w:p>
    <w:p w:rsidR="00AC1DC2" w:rsidRPr="000F769F" w:rsidRDefault="00164A0C" w:rsidP="00AC1DC2">
      <w:pPr>
        <w:keepNext/>
        <w:rPr>
          <w:b/>
          <w:bCs/>
          <w:color w:val="000000" w:themeColor="text1"/>
        </w:rPr>
      </w:pPr>
      <w:r>
        <w:rPr>
          <w:b/>
          <w:bCs/>
          <w:color w:val="000000" w:themeColor="text1"/>
        </w:rPr>
        <w:lastRenderedPageBreak/>
        <w:t>Table 3</w:t>
      </w:r>
      <w:r w:rsidR="00AC1DC2" w:rsidRPr="000F769F">
        <w:rPr>
          <w:b/>
          <w:bCs/>
          <w:color w:val="000000" w:themeColor="text1"/>
        </w:rPr>
        <w:t>. Forward commitments (2019–2031) (</w:t>
      </w:r>
      <w:r w:rsidR="000A6453">
        <w:rPr>
          <w:b/>
          <w:bCs/>
          <w:color w:val="000000" w:themeColor="text1"/>
        </w:rPr>
        <w:t>US $</w:t>
      </w:r>
      <w:r w:rsidR="00AC1DC2" w:rsidRPr="000F769F">
        <w:rPr>
          <w:b/>
          <w:bCs/>
          <w:color w:val="000000" w:themeColor="text1"/>
        </w:rPr>
        <w:t>000)</w:t>
      </w:r>
    </w:p>
    <w:tbl>
      <w:tblPr>
        <w:tblW w:w="9355" w:type="dxa"/>
        <w:tblLayout w:type="fixed"/>
        <w:tblLook w:val="04A0" w:firstRow="1" w:lastRow="0" w:firstColumn="1" w:lastColumn="0" w:noHBand="0" w:noVBand="1"/>
      </w:tblPr>
      <w:tblGrid>
        <w:gridCol w:w="985"/>
        <w:gridCol w:w="697"/>
        <w:gridCol w:w="698"/>
        <w:gridCol w:w="697"/>
        <w:gridCol w:w="698"/>
        <w:gridCol w:w="697"/>
        <w:gridCol w:w="698"/>
        <w:gridCol w:w="697"/>
        <w:gridCol w:w="698"/>
        <w:gridCol w:w="697"/>
        <w:gridCol w:w="698"/>
        <w:gridCol w:w="697"/>
        <w:gridCol w:w="698"/>
      </w:tblGrid>
      <w:tr w:rsidR="00164A0C" w:rsidRPr="00024E4E" w:rsidTr="000A6453">
        <w:tc>
          <w:tcPr>
            <w:tcW w:w="9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164A0C" w:rsidRPr="00024E4E" w:rsidRDefault="00164A0C" w:rsidP="00164A0C">
            <w:pPr>
              <w:jc w:val="center"/>
              <w:rPr>
                <w:b/>
                <w:bCs/>
                <w:color w:val="000000"/>
                <w:sz w:val="18"/>
                <w:szCs w:val="18"/>
                <w:lang w:val="en-CA" w:eastAsia="en-CA"/>
              </w:rPr>
            </w:pPr>
            <w:r w:rsidRPr="00024E4E">
              <w:rPr>
                <w:b/>
                <w:bCs/>
                <w:color w:val="000000"/>
                <w:sz w:val="18"/>
                <w:szCs w:val="18"/>
                <w:lang w:val="en-CA" w:eastAsia="en-CA"/>
              </w:rPr>
              <w:t>Description</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2019</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2020</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2021</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2022</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2023</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2024</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2025</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2026</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2027</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2030</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sz w:val="18"/>
                <w:szCs w:val="18"/>
                <w:lang w:val="en-CA" w:eastAsia="en-CA"/>
              </w:rPr>
            </w:pPr>
            <w:r w:rsidRPr="00024E4E">
              <w:rPr>
                <w:b/>
                <w:bCs/>
                <w:sz w:val="18"/>
                <w:szCs w:val="18"/>
                <w:lang w:val="en-CA" w:eastAsia="en-CA"/>
              </w:rPr>
              <w:t>2031</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center"/>
              <w:rPr>
                <w:b/>
                <w:bCs/>
                <w:color w:val="000000"/>
                <w:sz w:val="18"/>
                <w:szCs w:val="18"/>
                <w:lang w:val="en-CA" w:eastAsia="en-CA"/>
              </w:rPr>
            </w:pPr>
            <w:r w:rsidRPr="00024E4E">
              <w:rPr>
                <w:b/>
                <w:bCs/>
                <w:color w:val="000000"/>
                <w:sz w:val="18"/>
                <w:szCs w:val="18"/>
                <w:lang w:val="en-CA" w:eastAsia="en-CA"/>
              </w:rPr>
              <w:t>Total</w:t>
            </w:r>
          </w:p>
        </w:tc>
      </w:tr>
      <w:tr w:rsidR="00164A0C" w:rsidRPr="00024E4E" w:rsidTr="000A6453">
        <w:tc>
          <w:tcPr>
            <w:tcW w:w="985"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164A0C" w:rsidRPr="00024E4E" w:rsidRDefault="00164A0C" w:rsidP="00164A0C">
            <w:pPr>
              <w:jc w:val="left"/>
              <w:rPr>
                <w:color w:val="000000"/>
                <w:sz w:val="18"/>
                <w:szCs w:val="18"/>
                <w:lang w:val="en-CA" w:eastAsia="en-CA"/>
              </w:rPr>
            </w:pPr>
            <w:r w:rsidRPr="00024E4E">
              <w:rPr>
                <w:color w:val="000000"/>
                <w:sz w:val="18"/>
                <w:szCs w:val="18"/>
                <w:lang w:val="en-CA" w:eastAsia="en-CA"/>
              </w:rPr>
              <w:t>Approved in principle</w:t>
            </w:r>
            <w:r w:rsidRPr="00043D92">
              <w:rPr>
                <w:color w:val="000000"/>
                <w:sz w:val="18"/>
                <w:szCs w:val="18"/>
                <w:lang w:val="en-CA" w:eastAsia="en-CA"/>
              </w:rPr>
              <w:t>*</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79,440</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135,145</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104,089</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81,455</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58,556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29,137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30,319</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33,237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16,078</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212</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57</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567,725</w:t>
            </w:r>
          </w:p>
        </w:tc>
      </w:tr>
      <w:tr w:rsidR="00164A0C" w:rsidRPr="00024E4E" w:rsidTr="000A6453">
        <w:tc>
          <w:tcPr>
            <w:tcW w:w="985"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164A0C" w:rsidRPr="00024E4E" w:rsidRDefault="00164A0C" w:rsidP="00164A0C">
            <w:pPr>
              <w:ind w:right="-136"/>
              <w:jc w:val="left"/>
              <w:rPr>
                <w:color w:val="000000"/>
                <w:sz w:val="18"/>
                <w:szCs w:val="18"/>
                <w:lang w:val="en-CA" w:eastAsia="en-CA"/>
              </w:rPr>
            </w:pPr>
            <w:r w:rsidRPr="00024E4E">
              <w:rPr>
                <w:color w:val="000000"/>
                <w:sz w:val="18"/>
                <w:szCs w:val="18"/>
                <w:lang w:val="en-CA" w:eastAsia="en-CA"/>
              </w:rPr>
              <w:t>Submitted to 84</w:t>
            </w:r>
            <w:r w:rsidRPr="00164A0C">
              <w:rPr>
                <w:color w:val="000000"/>
                <w:sz w:val="18"/>
                <w:szCs w:val="18"/>
                <w:vertAlign w:val="superscript"/>
                <w:lang w:val="en-CA" w:eastAsia="en-CA"/>
              </w:rPr>
              <w:t>th</w:t>
            </w:r>
            <w:r>
              <w:rPr>
                <w:color w:val="000000"/>
                <w:sz w:val="18"/>
                <w:szCs w:val="18"/>
                <w:lang w:val="en-CA" w:eastAsia="en-CA"/>
              </w:rPr>
              <w:t xml:space="preserve"> </w:t>
            </w:r>
            <w:r w:rsidRPr="00024E4E">
              <w:rPr>
                <w:color w:val="000000"/>
                <w:sz w:val="18"/>
                <w:szCs w:val="18"/>
                <w:lang w:val="en-CA" w:eastAsia="en-CA"/>
              </w:rPr>
              <w:t>meeting</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26,756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25,551</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25,964</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527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0</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316</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156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0</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135</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111</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0</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sz w:val="18"/>
                <w:szCs w:val="18"/>
                <w:lang w:val="en-CA" w:eastAsia="en-CA"/>
              </w:rPr>
            </w:pPr>
            <w:r w:rsidRPr="00024E4E">
              <w:rPr>
                <w:sz w:val="18"/>
                <w:szCs w:val="18"/>
                <w:lang w:val="en-CA" w:eastAsia="en-CA"/>
              </w:rPr>
              <w:t>79,516</w:t>
            </w:r>
          </w:p>
        </w:tc>
      </w:tr>
      <w:tr w:rsidR="00164A0C" w:rsidRPr="00024E4E" w:rsidTr="000A6453">
        <w:tc>
          <w:tcPr>
            <w:tcW w:w="985"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164A0C" w:rsidRPr="00024E4E" w:rsidRDefault="00164A0C" w:rsidP="00164A0C">
            <w:pPr>
              <w:jc w:val="left"/>
              <w:rPr>
                <w:color w:val="000000"/>
                <w:sz w:val="18"/>
                <w:szCs w:val="18"/>
                <w:lang w:val="en-CA" w:eastAsia="en-CA"/>
              </w:rPr>
            </w:pPr>
            <w:r w:rsidRPr="00024E4E">
              <w:rPr>
                <w:color w:val="000000"/>
                <w:sz w:val="18"/>
                <w:szCs w:val="18"/>
                <w:lang w:val="en-CA" w:eastAsia="en-CA"/>
              </w:rPr>
              <w:t xml:space="preserve">Total </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106,196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160,696</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130,053</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81,982</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58,556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29,453</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30,475</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33,237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16,213</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323</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57</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rsidR="00164A0C" w:rsidRPr="00024E4E" w:rsidRDefault="00164A0C" w:rsidP="00164A0C">
            <w:pPr>
              <w:jc w:val="right"/>
              <w:rPr>
                <w:b/>
                <w:bCs/>
                <w:sz w:val="18"/>
                <w:szCs w:val="18"/>
                <w:lang w:val="en-CA" w:eastAsia="en-CA"/>
              </w:rPr>
            </w:pPr>
            <w:r w:rsidRPr="00024E4E">
              <w:rPr>
                <w:b/>
                <w:bCs/>
                <w:sz w:val="18"/>
                <w:szCs w:val="18"/>
                <w:lang w:val="en-CA" w:eastAsia="en-CA"/>
              </w:rPr>
              <w:t>647,240</w:t>
            </w:r>
          </w:p>
        </w:tc>
      </w:tr>
    </w:tbl>
    <w:p w:rsidR="00AC1DC2" w:rsidRPr="00AC1DC2" w:rsidRDefault="00AC1DC2" w:rsidP="00AC1DC2">
      <w:pPr>
        <w:keepNext/>
        <w:rPr>
          <w:bCs/>
          <w:color w:val="000000" w:themeColor="text1"/>
          <w:sz w:val="18"/>
          <w:szCs w:val="20"/>
        </w:rPr>
      </w:pPr>
      <w:r w:rsidRPr="00AC1DC2">
        <w:rPr>
          <w:bCs/>
          <w:color w:val="000000" w:themeColor="text1"/>
          <w:sz w:val="18"/>
          <w:szCs w:val="20"/>
        </w:rPr>
        <w:t>*In</w:t>
      </w:r>
      <w:r>
        <w:rPr>
          <w:bCs/>
          <w:color w:val="000000" w:themeColor="text1"/>
          <w:sz w:val="18"/>
          <w:szCs w:val="20"/>
        </w:rPr>
        <w:t>cluding revised HPMP agreements</w:t>
      </w:r>
      <w:r w:rsidR="000A6453">
        <w:rPr>
          <w:bCs/>
          <w:color w:val="000000" w:themeColor="text1"/>
          <w:sz w:val="18"/>
          <w:szCs w:val="20"/>
        </w:rPr>
        <w:t>.</w:t>
      </w:r>
    </w:p>
    <w:p w:rsidR="00AC1DC2" w:rsidRPr="000F769F" w:rsidRDefault="00AC1DC2" w:rsidP="00AC1DC2">
      <w:pPr>
        <w:keepNext/>
        <w:rPr>
          <w:bCs/>
          <w:color w:val="000000" w:themeColor="text1"/>
          <w:sz w:val="20"/>
          <w:szCs w:val="20"/>
        </w:rPr>
      </w:pPr>
    </w:p>
    <w:p w:rsidR="00E825D2" w:rsidRPr="000F769F" w:rsidRDefault="00E825D2" w:rsidP="00E825D2">
      <w:pPr>
        <w:pStyle w:val="Heading2"/>
        <w:numPr>
          <w:ilvl w:val="0"/>
          <w:numId w:val="0"/>
        </w:numPr>
        <w:spacing w:after="0"/>
        <w:rPr>
          <w:b/>
          <w:color w:val="000000" w:themeColor="text1"/>
          <w:lang w:val="en-CA"/>
        </w:rPr>
      </w:pPr>
      <w:r w:rsidRPr="000F769F">
        <w:rPr>
          <w:b/>
          <w:color w:val="000000" w:themeColor="text1"/>
          <w:lang w:val="en-CA"/>
        </w:rPr>
        <w:t>PART II: RESOURCE ALLOCATION FOR THE 2018-2020 TRIENNIUM</w:t>
      </w:r>
    </w:p>
    <w:p w:rsidR="00E825D2" w:rsidRPr="000F769F" w:rsidRDefault="00E825D2" w:rsidP="00E825D2">
      <w:pPr>
        <w:rPr>
          <w:lang w:val="en-CA"/>
        </w:rPr>
      </w:pPr>
    </w:p>
    <w:p w:rsidR="00E825D2" w:rsidRPr="000F769F" w:rsidRDefault="00E825D2" w:rsidP="00E825D2">
      <w:pPr>
        <w:pStyle w:val="Heading1"/>
        <w:rPr>
          <w:lang w:val="en-CA"/>
        </w:rPr>
      </w:pPr>
      <w:r w:rsidRPr="000F769F">
        <w:rPr>
          <w:lang w:val="en-CA"/>
        </w:rPr>
        <w:t>The resources approved by the Parties to the Montreal Protocol for the 2018–2020 triennium</w:t>
      </w:r>
      <w:r w:rsidRPr="000F769F">
        <w:rPr>
          <w:rStyle w:val="FootnoteReference"/>
          <w:lang w:val="en-CA"/>
        </w:rPr>
        <w:footnoteReference w:id="5"/>
      </w:r>
      <w:r w:rsidRPr="000F769F">
        <w:rPr>
          <w:lang w:val="en-CA"/>
        </w:rPr>
        <w:t xml:space="preserve"> amount to </w:t>
      </w:r>
      <w:r w:rsidR="000A6453">
        <w:rPr>
          <w:lang w:val="en-CA"/>
        </w:rPr>
        <w:t>US $</w:t>
      </w:r>
      <w:r w:rsidRPr="000F769F">
        <w:rPr>
          <w:lang w:val="en-CA"/>
        </w:rPr>
        <w:t xml:space="preserve">540,000,000. Of this amount, </w:t>
      </w:r>
      <w:r w:rsidR="000A6453">
        <w:rPr>
          <w:lang w:val="en-CA"/>
        </w:rPr>
        <w:t>US $</w:t>
      </w:r>
      <w:r w:rsidRPr="009859BF">
        <w:rPr>
          <w:lang w:val="en-CA"/>
        </w:rPr>
        <w:t>144,921,792</w:t>
      </w:r>
      <w:r>
        <w:rPr>
          <w:lang w:val="en-CA"/>
        </w:rPr>
        <w:t xml:space="preserve"> </w:t>
      </w:r>
      <w:r w:rsidRPr="000F769F">
        <w:rPr>
          <w:lang w:val="en-CA"/>
        </w:rPr>
        <w:t xml:space="preserve">had been allocated to activities approved in 2018, with </w:t>
      </w:r>
      <w:r w:rsidR="000A6453">
        <w:rPr>
          <w:lang w:val="en-CA"/>
        </w:rPr>
        <w:t>US $</w:t>
      </w:r>
      <w:r w:rsidRPr="009859BF">
        <w:rPr>
          <w:lang w:val="en-CA"/>
        </w:rPr>
        <w:t>395,078,208</w:t>
      </w:r>
      <w:r>
        <w:rPr>
          <w:lang w:val="en-CA"/>
        </w:rPr>
        <w:t xml:space="preserve"> </w:t>
      </w:r>
      <w:r w:rsidRPr="000F769F">
        <w:rPr>
          <w:lang w:val="en-CA"/>
        </w:rPr>
        <w:t xml:space="preserve">remaining for 2019 and 2020. </w:t>
      </w:r>
    </w:p>
    <w:p w:rsidR="00E825D2" w:rsidRPr="000F769F" w:rsidRDefault="00E825D2" w:rsidP="00E825D2">
      <w:pPr>
        <w:pStyle w:val="Heading1"/>
        <w:rPr>
          <w:lang w:val="en-CA"/>
        </w:rPr>
      </w:pPr>
      <w:r w:rsidRPr="000F769F">
        <w:rPr>
          <w:lang w:val="en-CA"/>
        </w:rPr>
        <w:t>Taking into account approvals at the 81</w:t>
      </w:r>
      <w:r w:rsidRPr="000F769F">
        <w:rPr>
          <w:vertAlign w:val="superscript"/>
          <w:lang w:val="en-CA"/>
        </w:rPr>
        <w:t>st</w:t>
      </w:r>
      <w:r w:rsidRPr="000F769F">
        <w:rPr>
          <w:lang w:val="en-CA"/>
        </w:rPr>
        <w:t>, 82</w:t>
      </w:r>
      <w:r w:rsidRPr="000F769F">
        <w:rPr>
          <w:vertAlign w:val="superscript"/>
          <w:lang w:val="en-CA"/>
        </w:rPr>
        <w:t>nd</w:t>
      </w:r>
      <w:r w:rsidRPr="000F769F">
        <w:rPr>
          <w:lang w:val="en-CA"/>
        </w:rPr>
        <w:t>, 83</w:t>
      </w:r>
      <w:r w:rsidRPr="000F769F">
        <w:rPr>
          <w:vertAlign w:val="superscript"/>
          <w:lang w:val="en-CA"/>
        </w:rPr>
        <w:t xml:space="preserve">rd </w:t>
      </w:r>
      <w:r w:rsidRPr="000F769F">
        <w:rPr>
          <w:lang w:val="en-CA"/>
        </w:rPr>
        <w:t>meetings, submissions to the 84</w:t>
      </w:r>
      <w:r w:rsidRPr="000F769F">
        <w:rPr>
          <w:vertAlign w:val="superscript"/>
          <w:lang w:val="en-CA"/>
        </w:rPr>
        <w:t>th</w:t>
      </w:r>
      <w:r w:rsidRPr="000F769F">
        <w:rPr>
          <w:lang w:val="en-CA"/>
        </w:rPr>
        <w:t xml:space="preserve"> meeting, and the Secretariat’s/Executive Committee’s and the Treasurer’s costs, the remaining resources available for the 2018-2020 triennium would be </w:t>
      </w:r>
      <w:r w:rsidR="000A6453">
        <w:rPr>
          <w:lang w:val="en-CA"/>
        </w:rPr>
        <w:t>US $</w:t>
      </w:r>
      <w:r w:rsidRPr="000F769F">
        <w:rPr>
          <w:lang w:val="en-CA"/>
        </w:rPr>
        <w:t>64.28 million</w:t>
      </w:r>
      <w:r>
        <w:rPr>
          <w:lang w:val="en-CA"/>
        </w:rPr>
        <w:t>, as shown in Table 4.</w:t>
      </w:r>
    </w:p>
    <w:p w:rsidR="00AC1DC2" w:rsidRPr="000F769F" w:rsidRDefault="00AC1DC2" w:rsidP="00AC1DC2">
      <w:pPr>
        <w:jc w:val="left"/>
        <w:rPr>
          <w:b/>
          <w:lang w:val="en-CA"/>
        </w:rPr>
      </w:pPr>
      <w:r w:rsidRPr="000F769F">
        <w:rPr>
          <w:b/>
          <w:lang w:val="en-CA"/>
        </w:rPr>
        <w:t xml:space="preserve">Table </w:t>
      </w:r>
      <w:r w:rsidR="00E825D2">
        <w:rPr>
          <w:b/>
          <w:lang w:val="en-CA"/>
        </w:rPr>
        <w:t>4</w:t>
      </w:r>
      <w:r w:rsidRPr="000F769F">
        <w:rPr>
          <w:b/>
          <w:lang w:val="en-CA"/>
        </w:rPr>
        <w:t>: Resource allocation for the current 2018-2020 triennium (</w:t>
      </w:r>
      <w:r w:rsidR="000A6453">
        <w:rPr>
          <w:b/>
          <w:lang w:val="en-CA"/>
        </w:rPr>
        <w:t>US $</w:t>
      </w:r>
      <w:r w:rsidRPr="000F769F">
        <w:rPr>
          <w:b/>
          <w:lang w:val="en-CA"/>
        </w:rPr>
        <w:t>)</w:t>
      </w:r>
    </w:p>
    <w:tbl>
      <w:tblPr>
        <w:tblW w:w="9355" w:type="dxa"/>
        <w:tblLook w:val="04A0" w:firstRow="1" w:lastRow="0" w:firstColumn="1" w:lastColumn="0" w:noHBand="0" w:noVBand="1"/>
      </w:tblPr>
      <w:tblGrid>
        <w:gridCol w:w="3160"/>
        <w:gridCol w:w="1548"/>
        <w:gridCol w:w="1549"/>
        <w:gridCol w:w="1549"/>
        <w:gridCol w:w="1549"/>
      </w:tblGrid>
      <w:tr w:rsidR="00E825D2" w:rsidRPr="00E825D2" w:rsidTr="000A6453">
        <w:tc>
          <w:tcPr>
            <w:tcW w:w="3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b/>
                <w:bCs/>
                <w:color w:val="000000"/>
                <w:sz w:val="20"/>
                <w:szCs w:val="20"/>
                <w:lang w:val="en-CA" w:eastAsia="en-CA"/>
              </w:rPr>
            </w:pPr>
            <w:r w:rsidRPr="00E825D2">
              <w:rPr>
                <w:b/>
                <w:bCs/>
                <w:color w:val="000000"/>
                <w:sz w:val="20"/>
                <w:szCs w:val="20"/>
                <w:lang w:val="en-CA" w:eastAsia="en-CA"/>
              </w:rPr>
              <w:t> Description</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2018</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2019</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2020</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Total</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b/>
                <w:bCs/>
                <w:color w:val="000000"/>
                <w:sz w:val="20"/>
                <w:szCs w:val="20"/>
                <w:lang w:val="en-CA" w:eastAsia="en-CA"/>
              </w:rPr>
            </w:pPr>
            <w:r w:rsidRPr="00E825D2">
              <w:rPr>
                <w:b/>
                <w:bCs/>
                <w:color w:val="000000"/>
                <w:sz w:val="20"/>
                <w:szCs w:val="20"/>
                <w:lang w:val="en-CA" w:eastAsia="en-CA"/>
              </w:rPr>
              <w:t>Resource allocation</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center"/>
              <w:rPr>
                <w:b/>
                <w:bCs/>
                <w:color w:val="000000"/>
                <w:sz w:val="20"/>
                <w:szCs w:val="20"/>
                <w:lang w:val="en-CA" w:eastAsia="en-CA"/>
              </w:rPr>
            </w:pPr>
            <w:r w:rsidRPr="00E825D2">
              <w:rPr>
                <w:b/>
                <w:bCs/>
                <w:color w:val="000000"/>
                <w:sz w:val="20"/>
                <w:szCs w:val="20"/>
                <w:lang w:val="en-CA" w:eastAsia="en-CA"/>
              </w:rPr>
              <w:t> </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Initial resource allocation (a)</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194,400,000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174,600,000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171,000,000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540,000,000</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b/>
                <w:bCs/>
                <w:color w:val="000000"/>
                <w:sz w:val="20"/>
                <w:szCs w:val="20"/>
                <w:lang w:val="en-CA" w:eastAsia="en-CA"/>
              </w:rPr>
            </w:pPr>
            <w:r w:rsidRPr="00E825D2">
              <w:rPr>
                <w:b/>
                <w:bCs/>
                <w:color w:val="000000"/>
                <w:sz w:val="20"/>
                <w:szCs w:val="20"/>
                <w:lang w:val="en-CA" w:eastAsia="en-CA"/>
              </w:rPr>
              <w:t>Revised resource allocation (b)*</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144,921,792</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224,078,208</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171,000,000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540,000,000</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b/>
                <w:bCs/>
                <w:color w:val="000000"/>
                <w:sz w:val="20"/>
                <w:szCs w:val="20"/>
                <w:lang w:val="en-CA" w:eastAsia="en-CA"/>
              </w:rPr>
            </w:pPr>
            <w:r w:rsidRPr="00E825D2">
              <w:rPr>
                <w:b/>
                <w:bCs/>
                <w:color w:val="000000"/>
                <w:sz w:val="20"/>
                <w:szCs w:val="20"/>
                <w:lang w:val="en-CA" w:eastAsia="en-CA"/>
              </w:rPr>
              <w:t>Approved funding</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 </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Approvals - 81</w:t>
            </w:r>
            <w:r w:rsidRPr="00E825D2">
              <w:rPr>
                <w:color w:val="000000"/>
                <w:sz w:val="20"/>
                <w:szCs w:val="20"/>
                <w:vertAlign w:val="superscript"/>
                <w:lang w:val="en-CA" w:eastAsia="en-CA"/>
              </w:rPr>
              <w:t>st</w:t>
            </w:r>
            <w:r w:rsidRPr="00E825D2">
              <w:rPr>
                <w:color w:val="000000"/>
                <w:sz w:val="20"/>
                <w:szCs w:val="20"/>
                <w:lang w:val="en-CA" w:eastAsia="en-CA"/>
              </w:rPr>
              <w:t xml:space="preserve"> meeting</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73,930,598</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73,930,598</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Approvals - 82</w:t>
            </w:r>
            <w:r w:rsidRPr="00E825D2">
              <w:rPr>
                <w:color w:val="000000"/>
                <w:sz w:val="20"/>
                <w:szCs w:val="20"/>
                <w:vertAlign w:val="superscript"/>
                <w:lang w:val="en-CA" w:eastAsia="en-CA"/>
              </w:rPr>
              <w:t>nd</w:t>
            </w:r>
            <w:r w:rsidRPr="00E825D2">
              <w:rPr>
                <w:color w:val="000000"/>
                <w:sz w:val="20"/>
                <w:szCs w:val="20"/>
                <w:lang w:val="en-CA" w:eastAsia="en-CA"/>
              </w:rPr>
              <w:t xml:space="preserve"> meeting</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64,546,960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64,546,960</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Approvals - 83</w:t>
            </w:r>
            <w:r w:rsidRPr="00E825D2">
              <w:rPr>
                <w:color w:val="000000"/>
                <w:sz w:val="20"/>
                <w:szCs w:val="20"/>
                <w:vertAlign w:val="superscript"/>
                <w:lang w:val="en-CA" w:eastAsia="en-CA"/>
              </w:rPr>
              <w:t>rd</w:t>
            </w:r>
            <w:r w:rsidRPr="00E825D2">
              <w:rPr>
                <w:color w:val="000000"/>
                <w:sz w:val="20"/>
                <w:szCs w:val="20"/>
                <w:lang w:val="en-CA" w:eastAsia="en-CA"/>
              </w:rPr>
              <w:t xml:space="preserve"> meeting</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9,520,278</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9,520,278</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Submissions to the 84</w:t>
            </w:r>
            <w:r w:rsidRPr="00E825D2">
              <w:rPr>
                <w:color w:val="000000"/>
                <w:sz w:val="20"/>
                <w:szCs w:val="20"/>
                <w:vertAlign w:val="superscript"/>
                <w:lang w:val="en-CA" w:eastAsia="en-CA"/>
              </w:rPr>
              <w:t>th</w:t>
            </w:r>
            <w:r w:rsidRPr="00E825D2">
              <w:rPr>
                <w:color w:val="000000"/>
                <w:sz w:val="20"/>
                <w:szCs w:val="20"/>
                <w:lang w:val="en-CA" w:eastAsia="en-CA"/>
              </w:rPr>
              <w:t xml:space="preserve"> meeting</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123,479,424</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123,479,424</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 xml:space="preserve">Business plan values </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left"/>
              <w:rPr>
                <w:sz w:val="20"/>
                <w:szCs w:val="20"/>
                <w:lang w:val="en-CA" w:eastAsia="en-CA"/>
              </w:rPr>
            </w:pPr>
            <w:r w:rsidRPr="00E825D2">
              <w:rPr>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183,042,844</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183,042,844</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jc w:val="left"/>
              <w:rPr>
                <w:color w:val="000000"/>
                <w:sz w:val="20"/>
                <w:szCs w:val="20"/>
                <w:lang w:val="en-CA" w:eastAsia="en-CA"/>
              </w:rPr>
            </w:pPr>
            <w:r w:rsidRPr="00E825D2">
              <w:rPr>
                <w:color w:val="000000"/>
                <w:sz w:val="20"/>
                <w:szCs w:val="20"/>
                <w:lang w:val="en-CA" w:eastAsia="en-CA"/>
              </w:rPr>
              <w:t>Secretariat’s/Executive Committee’s cost (excluding Canadian counterpart)</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5,944,234</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6,799,233**</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6,954,313**</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19,697,780</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color w:val="000000"/>
                <w:sz w:val="20"/>
                <w:szCs w:val="20"/>
                <w:lang w:val="en-CA" w:eastAsia="en-CA"/>
              </w:rPr>
            </w:pPr>
            <w:r w:rsidRPr="00E825D2">
              <w:rPr>
                <w:color w:val="000000"/>
                <w:sz w:val="20"/>
                <w:szCs w:val="20"/>
                <w:lang w:val="en-CA" w:eastAsia="en-CA"/>
              </w:rPr>
              <w:t>Treasurer</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500,000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500,000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500,000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1,500,000</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b/>
                <w:bCs/>
                <w:color w:val="000000"/>
                <w:sz w:val="20"/>
                <w:szCs w:val="20"/>
                <w:lang w:val="en-CA" w:eastAsia="en-CA"/>
              </w:rPr>
            </w:pPr>
            <w:r w:rsidRPr="00E825D2">
              <w:rPr>
                <w:b/>
                <w:bCs/>
                <w:color w:val="000000"/>
                <w:sz w:val="20"/>
                <w:szCs w:val="20"/>
                <w:lang w:val="en-CA" w:eastAsia="en-CA"/>
              </w:rPr>
              <w:t xml:space="preserve">Approved funding total (c) </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144,921,792</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140,298,935</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190,497,157</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475,717,884</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jc w:val="left"/>
              <w:rPr>
                <w:color w:val="000000"/>
                <w:sz w:val="20"/>
                <w:szCs w:val="20"/>
                <w:lang w:val="en-CA" w:eastAsia="en-CA"/>
              </w:rPr>
            </w:pPr>
            <w:r w:rsidRPr="00E825D2">
              <w:rPr>
                <w:color w:val="000000"/>
                <w:sz w:val="20"/>
                <w:szCs w:val="20"/>
                <w:lang w:val="en-CA" w:eastAsia="en-CA"/>
              </w:rPr>
              <w:t xml:space="preserve">Amount available from 2018 resource allocation (a) - (c) </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49,478,208</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color w:val="000000"/>
                <w:sz w:val="20"/>
                <w:szCs w:val="20"/>
                <w:lang w:val="en-CA" w:eastAsia="en-CA"/>
              </w:rPr>
            </w:pPr>
            <w:r w:rsidRPr="00E825D2">
              <w:rPr>
                <w:color w:val="000000"/>
                <w:sz w:val="20"/>
                <w:szCs w:val="20"/>
                <w:lang w:val="en-CA" w:eastAsia="en-CA"/>
              </w:rPr>
              <w:t> </w:t>
            </w:r>
          </w:p>
        </w:tc>
      </w:tr>
      <w:tr w:rsidR="00E825D2" w:rsidRPr="00E825D2" w:rsidTr="000A6453">
        <w:tc>
          <w:tcPr>
            <w:tcW w:w="3160" w:type="dxa"/>
            <w:tcBorders>
              <w:top w:val="nil"/>
              <w:left w:val="single" w:sz="4" w:space="0" w:color="auto"/>
              <w:bottom w:val="single" w:sz="4" w:space="0" w:color="auto"/>
              <w:right w:val="single" w:sz="4" w:space="0" w:color="auto"/>
            </w:tcBorders>
            <w:shd w:val="clear" w:color="auto" w:fill="auto"/>
            <w:vAlign w:val="center"/>
            <w:hideMark/>
          </w:tcPr>
          <w:p w:rsidR="00E825D2" w:rsidRPr="00E825D2" w:rsidRDefault="00E825D2" w:rsidP="00E825D2">
            <w:pPr>
              <w:rPr>
                <w:b/>
                <w:bCs/>
                <w:color w:val="000000"/>
                <w:sz w:val="20"/>
                <w:szCs w:val="20"/>
                <w:lang w:val="en-CA" w:eastAsia="en-CA"/>
              </w:rPr>
            </w:pPr>
            <w:r w:rsidRPr="00E825D2">
              <w:rPr>
                <w:b/>
                <w:bCs/>
                <w:color w:val="000000"/>
                <w:sz w:val="20"/>
                <w:szCs w:val="20"/>
                <w:lang w:val="en-CA" w:eastAsia="en-CA"/>
              </w:rPr>
              <w:t xml:space="preserve">Remaining resources (b) - (c) </w:t>
            </w:r>
          </w:p>
        </w:tc>
        <w:tc>
          <w:tcPr>
            <w:tcW w:w="1548"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0</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83,779,273</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-19,497,157</w:t>
            </w:r>
          </w:p>
        </w:tc>
        <w:tc>
          <w:tcPr>
            <w:tcW w:w="1549" w:type="dxa"/>
            <w:tcBorders>
              <w:top w:val="nil"/>
              <w:left w:val="nil"/>
              <w:bottom w:val="single" w:sz="4" w:space="0" w:color="auto"/>
              <w:right w:val="single" w:sz="4" w:space="0" w:color="auto"/>
            </w:tcBorders>
            <w:shd w:val="clear" w:color="auto" w:fill="auto"/>
            <w:vAlign w:val="center"/>
            <w:hideMark/>
          </w:tcPr>
          <w:p w:rsidR="00E825D2" w:rsidRPr="00E825D2" w:rsidRDefault="00E825D2" w:rsidP="00E825D2">
            <w:pPr>
              <w:jc w:val="right"/>
              <w:rPr>
                <w:b/>
                <w:bCs/>
                <w:color w:val="000000"/>
                <w:sz w:val="20"/>
                <w:szCs w:val="20"/>
                <w:lang w:val="en-CA" w:eastAsia="en-CA"/>
              </w:rPr>
            </w:pPr>
            <w:r w:rsidRPr="00E825D2">
              <w:rPr>
                <w:b/>
                <w:bCs/>
                <w:color w:val="000000"/>
                <w:sz w:val="20"/>
                <w:szCs w:val="20"/>
                <w:lang w:val="en-CA" w:eastAsia="en-CA"/>
              </w:rPr>
              <w:t>64,282,116</w:t>
            </w:r>
          </w:p>
        </w:tc>
      </w:tr>
    </w:tbl>
    <w:p w:rsidR="00AC1DC2" w:rsidRPr="00AC1DC2" w:rsidRDefault="00AC1DC2" w:rsidP="00AC1DC2">
      <w:pPr>
        <w:rPr>
          <w:sz w:val="18"/>
          <w:szCs w:val="18"/>
          <w:lang w:val="en-CA"/>
        </w:rPr>
      </w:pPr>
      <w:r w:rsidRPr="00AC1DC2">
        <w:rPr>
          <w:sz w:val="18"/>
          <w:szCs w:val="18"/>
          <w:lang w:val="en-CA"/>
        </w:rPr>
        <w:t xml:space="preserve">* The resource allocation for 2018 was decreased based on actual costs in 2018 by </w:t>
      </w:r>
      <w:r w:rsidR="000A6453">
        <w:rPr>
          <w:sz w:val="18"/>
          <w:szCs w:val="18"/>
          <w:lang w:val="en-CA"/>
        </w:rPr>
        <w:t>US $</w:t>
      </w:r>
      <w:r w:rsidRPr="00AC1DC2">
        <w:rPr>
          <w:sz w:val="18"/>
          <w:szCs w:val="18"/>
          <w:lang w:val="en-CA"/>
        </w:rPr>
        <w:t>49,478,208 and the initial allocation for 2019 was adjusted by this amount.</w:t>
      </w:r>
    </w:p>
    <w:p w:rsidR="00AC1DC2" w:rsidRPr="00AC1DC2" w:rsidRDefault="00AC1DC2" w:rsidP="00AC1DC2">
      <w:pPr>
        <w:rPr>
          <w:sz w:val="18"/>
          <w:szCs w:val="18"/>
          <w:lang w:val="en-CA"/>
        </w:rPr>
      </w:pPr>
      <w:r>
        <w:rPr>
          <w:sz w:val="18"/>
          <w:szCs w:val="18"/>
          <w:lang w:val="en-CA"/>
        </w:rPr>
        <w:t>** Estimated</w:t>
      </w:r>
    </w:p>
    <w:p w:rsidR="00AC1DC2" w:rsidRPr="000F769F" w:rsidRDefault="00AC1DC2" w:rsidP="00AC1DC2">
      <w:pPr>
        <w:rPr>
          <w:sz w:val="20"/>
          <w:szCs w:val="20"/>
          <w:lang w:val="en-CA"/>
        </w:rPr>
      </w:pPr>
    </w:p>
    <w:p w:rsidR="00AC1DC2" w:rsidRPr="000F769F" w:rsidRDefault="00AC1DC2" w:rsidP="006D3DF4">
      <w:pPr>
        <w:keepNext/>
        <w:rPr>
          <w:b/>
          <w:color w:val="000000" w:themeColor="text1"/>
        </w:rPr>
      </w:pPr>
      <w:r w:rsidRPr="000F769F">
        <w:rPr>
          <w:b/>
          <w:color w:val="000000" w:themeColor="text1"/>
        </w:rPr>
        <w:t>Possible factors impacting financial planning and cash flow during the 2018-2020 triennium</w:t>
      </w:r>
    </w:p>
    <w:p w:rsidR="00AC1DC2" w:rsidRPr="000F769F" w:rsidRDefault="00AC1DC2" w:rsidP="006D3DF4">
      <w:pPr>
        <w:keepNext/>
        <w:rPr>
          <w:color w:val="000000" w:themeColor="text1"/>
        </w:rPr>
      </w:pPr>
    </w:p>
    <w:p w:rsidR="006D3DF4" w:rsidRPr="000F769F" w:rsidRDefault="006D3DF4" w:rsidP="006D3DF4">
      <w:pPr>
        <w:pStyle w:val="Heading1"/>
      </w:pPr>
      <w:r w:rsidRPr="000F769F">
        <w:t xml:space="preserve">The cash flow of the Multilateral Fund for the 2018-2020 triennium is influenced by several factors, </w:t>
      </w:r>
      <w:r w:rsidRPr="000F769F">
        <w:rPr>
          <w:i/>
        </w:rPr>
        <w:t>inter alia</w:t>
      </w:r>
      <w:r w:rsidRPr="000F769F">
        <w:t>: receipt of agreed 2018-2020 pledged contributions; interest to be accrued; the loss/gain due to the fixed</w:t>
      </w:r>
      <w:r w:rsidRPr="000F769F">
        <w:noBreakHyphen/>
        <w:t>exchange rate mechanism (FERM); payment of contributions in arrears included in the carry</w:t>
      </w:r>
      <w:r w:rsidRPr="000F769F">
        <w:noBreakHyphen/>
        <w:t>over; and the balances returned from cancelled or completed projects. The following paragraphs provide forecasted information for the 2018-2020 triennium based on actual data from 2018 and 2019.</w:t>
      </w:r>
    </w:p>
    <w:p w:rsidR="006D3DF4" w:rsidRPr="000F769F" w:rsidRDefault="006D3DF4" w:rsidP="006D3DF4">
      <w:pPr>
        <w:rPr>
          <w:color w:val="000000" w:themeColor="text1"/>
          <w:u w:val="single"/>
        </w:rPr>
      </w:pPr>
      <w:r w:rsidRPr="000F769F">
        <w:rPr>
          <w:color w:val="000000" w:themeColor="text1"/>
          <w:u w:val="single"/>
        </w:rPr>
        <w:t>Receipt of agreed pledged contributions</w:t>
      </w:r>
    </w:p>
    <w:p w:rsidR="006D3DF4" w:rsidRPr="000F769F" w:rsidRDefault="006D3DF4" w:rsidP="006D3DF4">
      <w:pPr>
        <w:rPr>
          <w:color w:val="000000" w:themeColor="text1"/>
          <w:u w:val="single"/>
        </w:rPr>
      </w:pPr>
    </w:p>
    <w:p w:rsidR="006D3DF4" w:rsidRPr="000F769F" w:rsidRDefault="006D3DF4" w:rsidP="000A6453">
      <w:pPr>
        <w:pStyle w:val="Heading1"/>
        <w:widowControl w:val="0"/>
      </w:pPr>
      <w:r w:rsidRPr="000F769F">
        <w:t xml:space="preserve">Based on the rate of pledges received in 2017 and 2018 (i.e. 97.4 per cent), of the </w:t>
      </w:r>
      <w:r w:rsidR="000A6453">
        <w:t>US $</w:t>
      </w:r>
      <w:r w:rsidRPr="000F769F">
        <w:t xml:space="preserve">166.67 million annual contribution, </w:t>
      </w:r>
      <w:r w:rsidR="000A6453">
        <w:t>US $</w:t>
      </w:r>
      <w:r w:rsidRPr="000F769F">
        <w:t xml:space="preserve">162.31 million is expected to be received for each year </w:t>
      </w:r>
      <w:r w:rsidRPr="000F769F">
        <w:lastRenderedPageBreak/>
        <w:t xml:space="preserve">during the 2018-2020 triennium, for a total of </w:t>
      </w:r>
      <w:r w:rsidR="000A6453">
        <w:t>US $</w:t>
      </w:r>
      <w:r w:rsidRPr="000F769F">
        <w:t>486.93 million.</w:t>
      </w:r>
    </w:p>
    <w:p w:rsidR="006D3DF4" w:rsidRPr="000F769F" w:rsidRDefault="006D3DF4" w:rsidP="006D3DF4">
      <w:pPr>
        <w:rPr>
          <w:color w:val="000000" w:themeColor="text1"/>
          <w:u w:val="single"/>
        </w:rPr>
      </w:pPr>
      <w:r w:rsidRPr="000F769F">
        <w:rPr>
          <w:color w:val="000000" w:themeColor="text1"/>
          <w:u w:val="single"/>
        </w:rPr>
        <w:t>Payment of outstanding contributions in arrears included in the carry-over</w:t>
      </w:r>
    </w:p>
    <w:p w:rsidR="006D3DF4" w:rsidRPr="000F769F" w:rsidRDefault="006D3DF4" w:rsidP="006D3DF4"/>
    <w:p w:rsidR="006D3DF4" w:rsidRPr="000F769F" w:rsidRDefault="006D3DF4" w:rsidP="006D3DF4">
      <w:pPr>
        <w:pStyle w:val="Heading1"/>
      </w:pPr>
      <w:r w:rsidRPr="000F769F">
        <w:t xml:space="preserve">Based on updated information up to September 2019, </w:t>
      </w:r>
      <w:r w:rsidRPr="000F769F">
        <w:rPr>
          <w:color w:val="000000" w:themeColor="text1"/>
        </w:rPr>
        <w:t xml:space="preserve">the actual carry-over is </w:t>
      </w:r>
      <w:r w:rsidR="000A6453">
        <w:rPr>
          <w:color w:val="000000" w:themeColor="text1"/>
        </w:rPr>
        <w:t>US $</w:t>
      </w:r>
      <w:r w:rsidRPr="000F769F">
        <w:rPr>
          <w:color w:val="000000" w:themeColor="text1"/>
        </w:rPr>
        <w:t xml:space="preserve">39,767,556 including </w:t>
      </w:r>
      <w:r w:rsidR="000A6453">
        <w:t>US $</w:t>
      </w:r>
      <w:r w:rsidRPr="000F769F">
        <w:t xml:space="preserve">22,219,910 of outstanding contributions expected to be collected. </w:t>
      </w:r>
    </w:p>
    <w:p w:rsidR="006D3DF4" w:rsidRPr="000F769F" w:rsidRDefault="006D3DF4" w:rsidP="006D3DF4">
      <w:pPr>
        <w:rPr>
          <w:color w:val="000000" w:themeColor="text1"/>
          <w:u w:val="single"/>
        </w:rPr>
      </w:pPr>
      <w:r w:rsidRPr="000F769F">
        <w:rPr>
          <w:color w:val="000000" w:themeColor="text1"/>
          <w:u w:val="single"/>
        </w:rPr>
        <w:t>Potential interest accrued during the 2018-2020 triennium</w:t>
      </w:r>
    </w:p>
    <w:p w:rsidR="006D3DF4" w:rsidRPr="000F769F" w:rsidRDefault="006D3DF4" w:rsidP="006D3DF4">
      <w:pPr>
        <w:rPr>
          <w:color w:val="000000" w:themeColor="text1"/>
        </w:rPr>
      </w:pPr>
    </w:p>
    <w:p w:rsidR="006D3DF4" w:rsidRPr="000F769F" w:rsidRDefault="006D3DF4" w:rsidP="006D3DF4">
      <w:pPr>
        <w:pStyle w:val="Heading1"/>
      </w:pPr>
      <w:r w:rsidRPr="000F769F">
        <w:t>Based on the cash balance in 2018 and 2019 and using the average interest collected for 2018 and up to September of 2019, it might be expected that the interest accrued during the 2018</w:t>
      </w:r>
      <w:r w:rsidRPr="000F769F">
        <w:noBreakHyphen/>
        <w:t xml:space="preserve">2020 triennium would amount to </w:t>
      </w:r>
      <w:r w:rsidR="000A6453">
        <w:t>US $</w:t>
      </w:r>
      <w:r w:rsidRPr="000F769F">
        <w:t xml:space="preserve">9.82 million. </w:t>
      </w:r>
    </w:p>
    <w:p w:rsidR="006D3DF4" w:rsidRPr="000F769F" w:rsidRDefault="006D3DF4" w:rsidP="006D3DF4">
      <w:pPr>
        <w:pStyle w:val="Heading1"/>
        <w:numPr>
          <w:ilvl w:val="0"/>
          <w:numId w:val="0"/>
        </w:numPr>
        <w:rPr>
          <w:color w:val="000000" w:themeColor="text1"/>
          <w:u w:val="single"/>
        </w:rPr>
      </w:pPr>
      <w:r w:rsidRPr="000F769F">
        <w:rPr>
          <w:color w:val="000000" w:themeColor="text1"/>
          <w:u w:val="single"/>
        </w:rPr>
        <w:t>Gains/losses due to the FERM</w:t>
      </w:r>
    </w:p>
    <w:p w:rsidR="006D3DF4" w:rsidRPr="000F769F" w:rsidRDefault="006D3DF4" w:rsidP="006D3DF4">
      <w:pPr>
        <w:pStyle w:val="Heading1"/>
        <w:rPr>
          <w:color w:val="000000" w:themeColor="text1"/>
          <w:u w:val="single"/>
        </w:rPr>
      </w:pPr>
      <w:r w:rsidRPr="000F769F">
        <w:t xml:space="preserve">The potential impact on resources for the 2018-2020 triennium due to the FERM has been estimated at a gain of </w:t>
      </w:r>
      <w:r w:rsidR="000A6453">
        <w:t>US $</w:t>
      </w:r>
      <w:r w:rsidRPr="000F769F">
        <w:t>3.28 million.</w:t>
      </w:r>
    </w:p>
    <w:p w:rsidR="006D3DF4" w:rsidRPr="000F769F" w:rsidRDefault="006D3DF4" w:rsidP="006D3DF4">
      <w:pPr>
        <w:pStyle w:val="Heading1"/>
        <w:numPr>
          <w:ilvl w:val="0"/>
          <w:numId w:val="0"/>
        </w:numPr>
        <w:rPr>
          <w:color w:val="000000" w:themeColor="text1"/>
          <w:u w:val="single"/>
        </w:rPr>
      </w:pPr>
      <w:r w:rsidRPr="000F769F">
        <w:rPr>
          <w:color w:val="000000" w:themeColor="text1"/>
          <w:u w:val="single"/>
        </w:rPr>
        <w:t>Potential balances returned from cancelled or completed projects</w:t>
      </w:r>
    </w:p>
    <w:p w:rsidR="00AC1DC2" w:rsidRPr="006D3DF4" w:rsidRDefault="006D3DF4" w:rsidP="006D3DF4">
      <w:pPr>
        <w:pStyle w:val="Heading1"/>
      </w:pPr>
      <w:r w:rsidRPr="000F769F">
        <w:t xml:space="preserve">It is difficult to calculate the potential total funds associated with return of balances from cancelled or completed projects during the 2018-2020 triennium. As reference. the average funds returned for the 2015-2018 period was </w:t>
      </w:r>
      <w:r w:rsidR="000A6453">
        <w:t>US $</w:t>
      </w:r>
      <w:r w:rsidRPr="000F769F">
        <w:t xml:space="preserve">5.5 million per year. Bilateral and implementing agencies are strongly encouraged to immediately return all the balances for those projects which have been operationally completed or cancelled. </w:t>
      </w:r>
    </w:p>
    <w:p w:rsidR="00AC1DC2" w:rsidRPr="000F769F" w:rsidRDefault="00AC1DC2" w:rsidP="00AC1DC2">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lang w:val="en-CA"/>
        </w:rPr>
      </w:pPr>
      <w:r w:rsidRPr="000F769F">
        <w:rPr>
          <w:b/>
          <w:bCs/>
          <w:color w:val="000000" w:themeColor="text1"/>
          <w:lang w:val="en-CA"/>
        </w:rPr>
        <w:t>RECOMMENDATION</w:t>
      </w:r>
    </w:p>
    <w:p w:rsidR="00AC1DC2" w:rsidRPr="000F769F" w:rsidRDefault="00AC1DC2" w:rsidP="00AC1DC2">
      <w:pPr>
        <w:keepNext/>
        <w:rPr>
          <w:color w:val="000000" w:themeColor="text1"/>
          <w:lang w:val="en-CA"/>
        </w:rPr>
      </w:pPr>
    </w:p>
    <w:p w:rsidR="00AC1DC2" w:rsidRPr="000F769F" w:rsidRDefault="00AC1DC2" w:rsidP="00F645EA">
      <w:pPr>
        <w:pStyle w:val="Heading1"/>
        <w:rPr>
          <w:lang w:val="en-CA"/>
        </w:rPr>
      </w:pPr>
      <w:r w:rsidRPr="000F769F">
        <w:rPr>
          <w:lang w:val="en-CA"/>
        </w:rPr>
        <w:t>The Executive Committee may wish to note:</w:t>
      </w:r>
    </w:p>
    <w:p w:rsidR="00AC1DC2" w:rsidRPr="000F769F" w:rsidRDefault="00AC1DC2" w:rsidP="00F645EA">
      <w:pPr>
        <w:pStyle w:val="Heading2"/>
        <w:rPr>
          <w:color w:val="000000" w:themeColor="text1"/>
          <w:lang w:val="en-CA"/>
        </w:rPr>
      </w:pPr>
      <w:r w:rsidRPr="000F769F">
        <w:rPr>
          <w:color w:val="000000" w:themeColor="text1"/>
          <w:lang w:val="en-CA"/>
        </w:rPr>
        <w:t>The u</w:t>
      </w:r>
      <w:r w:rsidRPr="000F769F">
        <w:rPr>
          <w:lang w:val="en-CA"/>
        </w:rPr>
        <w:t>pdate on the status of implementation of the 2019–2021 consolidated business plan of the Multilateral Fund</w:t>
      </w:r>
      <w:r w:rsidRPr="000F769F">
        <w:rPr>
          <w:color w:val="000000" w:themeColor="text1"/>
          <w:lang w:val="en-CA"/>
        </w:rPr>
        <w:t xml:space="preserve"> as contained in document UNEP/OzL.Pro/ExCom/84/24; and </w:t>
      </w:r>
    </w:p>
    <w:p w:rsidR="00052C5C" w:rsidRDefault="00AC1DC2" w:rsidP="00F645EA">
      <w:pPr>
        <w:pStyle w:val="Heading2"/>
        <w:rPr>
          <w:lang w:val="en-CA"/>
        </w:rPr>
      </w:pPr>
      <w:r w:rsidRPr="000F769F">
        <w:rPr>
          <w:lang w:val="en-CA"/>
        </w:rPr>
        <w:t xml:space="preserve">That </w:t>
      </w:r>
      <w:r w:rsidR="000A6453">
        <w:rPr>
          <w:lang w:val="en-CA"/>
        </w:rPr>
        <w:t>US $</w:t>
      </w:r>
      <w:r w:rsidRPr="000F769F">
        <w:rPr>
          <w:color w:val="000000" w:themeColor="text1"/>
          <w:lang w:val="en-CA"/>
        </w:rPr>
        <w:t xml:space="preserve">2,539,511 </w:t>
      </w:r>
      <w:r w:rsidRPr="000F769F">
        <w:rPr>
          <w:lang w:val="en-CA"/>
        </w:rPr>
        <w:t>in HFC phase-down activities were submitted to the 84</w:t>
      </w:r>
      <w:r w:rsidRPr="000F769F">
        <w:rPr>
          <w:vertAlign w:val="superscript"/>
          <w:lang w:val="en-CA"/>
        </w:rPr>
        <w:t>th</w:t>
      </w:r>
      <w:r w:rsidRPr="000F769F">
        <w:rPr>
          <w:lang w:val="en-CA"/>
        </w:rPr>
        <w:t xml:space="preserve"> meeting</w:t>
      </w:r>
      <w:r w:rsidR="006D3DF4">
        <w:rPr>
          <w:lang w:val="en-CA"/>
        </w:rPr>
        <w:t>,</w:t>
      </w:r>
      <w:r w:rsidRPr="000F769F">
        <w:rPr>
          <w:lang w:val="en-CA"/>
        </w:rPr>
        <w:t xml:space="preserve"> including </w:t>
      </w:r>
      <w:r w:rsidR="000A6453">
        <w:rPr>
          <w:lang w:val="en-CA"/>
        </w:rPr>
        <w:t>US $</w:t>
      </w:r>
      <w:r w:rsidRPr="000F769F">
        <w:rPr>
          <w:lang w:val="en-CA"/>
        </w:rPr>
        <w:t>1,101,777 that had not been included in the 2019–2021 business plans.</w:t>
      </w:r>
    </w:p>
    <w:p w:rsidR="00A1002E" w:rsidRDefault="00A1002E" w:rsidP="00A1002E">
      <w:pPr>
        <w:rPr>
          <w:lang w:val="en-CA"/>
        </w:rPr>
        <w:sectPr w:rsidR="00A1002E"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rsidR="00A1002E" w:rsidRPr="00A1002E" w:rsidRDefault="00A1002E" w:rsidP="00A1002E">
      <w:pPr>
        <w:rPr>
          <w:lang w:val="en-CA"/>
        </w:rPr>
      </w:pPr>
    </w:p>
    <w:p w:rsidR="00A1002E" w:rsidRPr="000F769F" w:rsidRDefault="00A1002E" w:rsidP="003F6A24">
      <w:pPr>
        <w:jc w:val="center"/>
        <w:rPr>
          <w:b/>
          <w:bCs/>
          <w:color w:val="000000" w:themeColor="text1"/>
          <w:lang w:val="en-CA"/>
        </w:rPr>
      </w:pPr>
      <w:r w:rsidRPr="000F769F">
        <w:rPr>
          <w:b/>
          <w:bCs/>
          <w:color w:val="000000" w:themeColor="text1"/>
          <w:lang w:val="en-CA"/>
        </w:rPr>
        <w:t>Annex I</w:t>
      </w:r>
    </w:p>
    <w:p w:rsidR="00A1002E" w:rsidRPr="000F769F" w:rsidRDefault="00A1002E" w:rsidP="003F6A24">
      <w:pPr>
        <w:jc w:val="center"/>
        <w:rPr>
          <w:b/>
          <w:bCs/>
          <w:color w:val="000000" w:themeColor="text1"/>
          <w:lang w:val="en-CA"/>
        </w:rPr>
      </w:pPr>
    </w:p>
    <w:p w:rsidR="00A1002E" w:rsidRPr="000F769F" w:rsidRDefault="00A1002E" w:rsidP="003F6A24">
      <w:pPr>
        <w:jc w:val="center"/>
        <w:rPr>
          <w:b/>
          <w:bCs/>
          <w:color w:val="000000" w:themeColor="text1"/>
          <w:lang w:val="en-CA"/>
        </w:rPr>
      </w:pPr>
      <w:r w:rsidRPr="000F769F">
        <w:rPr>
          <w:b/>
          <w:bCs/>
          <w:color w:val="000000" w:themeColor="text1"/>
          <w:lang w:val="en-CA"/>
        </w:rPr>
        <w:t>HFC PHASE</w:t>
      </w:r>
      <w:r w:rsidR="005F5E98">
        <w:rPr>
          <w:b/>
          <w:bCs/>
          <w:color w:val="000000" w:themeColor="text1"/>
          <w:lang w:val="en-CA"/>
        </w:rPr>
        <w:noBreakHyphen/>
      </w:r>
      <w:r w:rsidRPr="000F769F">
        <w:rPr>
          <w:b/>
          <w:bCs/>
          <w:color w:val="000000" w:themeColor="text1"/>
          <w:lang w:val="en-CA"/>
        </w:rPr>
        <w:t>DOWN ACTIVITIES SUBMITTED TO THE 84</w:t>
      </w:r>
      <w:r w:rsidRPr="000F769F">
        <w:rPr>
          <w:b/>
          <w:bCs/>
          <w:color w:val="000000" w:themeColor="text1"/>
          <w:vertAlign w:val="superscript"/>
          <w:lang w:val="en-CA"/>
        </w:rPr>
        <w:t>TH</w:t>
      </w:r>
      <w:r w:rsidRPr="000F769F">
        <w:rPr>
          <w:b/>
          <w:bCs/>
          <w:color w:val="000000" w:themeColor="text1"/>
          <w:lang w:val="en-CA"/>
        </w:rPr>
        <w:t xml:space="preserve"> MEETING</w:t>
      </w:r>
    </w:p>
    <w:p w:rsidR="00A1002E" w:rsidRPr="000F769F" w:rsidRDefault="00A1002E" w:rsidP="003F6A24">
      <w:pPr>
        <w:jc w:val="center"/>
        <w:rPr>
          <w:b/>
          <w:bCs/>
          <w:color w:val="000000" w:themeColor="text1"/>
          <w:lang w:val="en-CA"/>
        </w:rPr>
      </w:pPr>
    </w:p>
    <w:tbl>
      <w:tblPr>
        <w:tblW w:w="5000" w:type="pct"/>
        <w:tblLook w:val="04A0" w:firstRow="1" w:lastRow="0" w:firstColumn="1" w:lastColumn="0" w:noHBand="0" w:noVBand="1"/>
      </w:tblPr>
      <w:tblGrid>
        <w:gridCol w:w="1056"/>
        <w:gridCol w:w="861"/>
        <w:gridCol w:w="650"/>
        <w:gridCol w:w="761"/>
        <w:gridCol w:w="3168"/>
        <w:gridCol w:w="1427"/>
        <w:gridCol w:w="1427"/>
      </w:tblGrid>
      <w:tr w:rsidR="00A1002E" w:rsidRPr="006D3DF4" w:rsidTr="003F6A24">
        <w:trPr>
          <w:trHeight w:val="864"/>
        </w:trPr>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1002E" w:rsidRPr="006D3DF4" w:rsidRDefault="00A1002E" w:rsidP="003F6A24">
            <w:pPr>
              <w:jc w:val="left"/>
              <w:rPr>
                <w:b/>
                <w:bCs/>
                <w:sz w:val="20"/>
                <w:szCs w:val="20"/>
                <w:lang w:val="en-CA" w:eastAsia="en-CA"/>
              </w:rPr>
            </w:pPr>
            <w:r w:rsidRPr="006D3DF4">
              <w:rPr>
                <w:b/>
                <w:bCs/>
                <w:sz w:val="20"/>
                <w:szCs w:val="20"/>
                <w:lang w:val="en-CA" w:eastAsia="en-CA"/>
              </w:rPr>
              <w:t>Country</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A1002E" w:rsidRPr="006D3DF4" w:rsidRDefault="00A1002E" w:rsidP="003F6A24">
            <w:pPr>
              <w:jc w:val="center"/>
              <w:rPr>
                <w:b/>
                <w:bCs/>
                <w:sz w:val="20"/>
                <w:szCs w:val="20"/>
                <w:lang w:val="en-CA" w:eastAsia="en-CA"/>
              </w:rPr>
            </w:pPr>
            <w:r w:rsidRPr="006D3DF4">
              <w:rPr>
                <w:b/>
                <w:bCs/>
                <w:sz w:val="20"/>
                <w:szCs w:val="20"/>
                <w:lang w:val="en-CA" w:eastAsia="en-CA"/>
              </w:rPr>
              <w:t>Agency</w:t>
            </w:r>
          </w:p>
        </w:tc>
        <w:tc>
          <w:tcPr>
            <w:tcW w:w="348" w:type="pct"/>
            <w:tcBorders>
              <w:top w:val="single" w:sz="4" w:space="0" w:color="auto"/>
              <w:left w:val="nil"/>
              <w:bottom w:val="single" w:sz="4" w:space="0" w:color="auto"/>
              <w:right w:val="single" w:sz="4" w:space="0" w:color="auto"/>
            </w:tcBorders>
            <w:shd w:val="clear" w:color="auto" w:fill="auto"/>
            <w:vAlign w:val="center"/>
            <w:hideMark/>
          </w:tcPr>
          <w:p w:rsidR="00A1002E" w:rsidRPr="006D3DF4" w:rsidRDefault="00A1002E" w:rsidP="003F6A24">
            <w:pPr>
              <w:jc w:val="center"/>
              <w:rPr>
                <w:b/>
                <w:bCs/>
                <w:sz w:val="20"/>
                <w:szCs w:val="20"/>
                <w:lang w:val="en-CA" w:eastAsia="en-CA"/>
              </w:rPr>
            </w:pPr>
            <w:r w:rsidRPr="006D3DF4">
              <w:rPr>
                <w:b/>
                <w:bCs/>
                <w:sz w:val="20"/>
                <w:szCs w:val="20"/>
                <w:lang w:val="en-CA" w:eastAsia="en-CA"/>
              </w:rPr>
              <w:t>Type</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A1002E" w:rsidRPr="006D3DF4" w:rsidRDefault="00A1002E" w:rsidP="003F6A24">
            <w:pPr>
              <w:jc w:val="center"/>
              <w:rPr>
                <w:b/>
                <w:bCs/>
                <w:sz w:val="20"/>
                <w:szCs w:val="20"/>
                <w:lang w:val="en-CA" w:eastAsia="en-CA"/>
              </w:rPr>
            </w:pPr>
            <w:r w:rsidRPr="006D3DF4">
              <w:rPr>
                <w:b/>
                <w:bCs/>
                <w:sz w:val="20"/>
                <w:szCs w:val="20"/>
                <w:lang w:val="en-CA" w:eastAsia="en-CA"/>
              </w:rPr>
              <w:t>Sector</w:t>
            </w:r>
          </w:p>
        </w:tc>
        <w:tc>
          <w:tcPr>
            <w:tcW w:w="1694" w:type="pct"/>
            <w:tcBorders>
              <w:top w:val="single" w:sz="4" w:space="0" w:color="auto"/>
              <w:left w:val="nil"/>
              <w:bottom w:val="single" w:sz="4" w:space="0" w:color="auto"/>
              <w:right w:val="single" w:sz="4" w:space="0" w:color="auto"/>
            </w:tcBorders>
            <w:shd w:val="clear" w:color="auto" w:fill="auto"/>
            <w:vAlign w:val="center"/>
            <w:hideMark/>
          </w:tcPr>
          <w:p w:rsidR="00A1002E" w:rsidRPr="006D3DF4" w:rsidRDefault="00A1002E" w:rsidP="003F6A24">
            <w:pPr>
              <w:jc w:val="center"/>
              <w:rPr>
                <w:b/>
                <w:bCs/>
                <w:sz w:val="20"/>
                <w:szCs w:val="20"/>
                <w:lang w:val="en-CA" w:eastAsia="en-CA"/>
              </w:rPr>
            </w:pPr>
            <w:r w:rsidRPr="006D3DF4">
              <w:rPr>
                <w:b/>
                <w:bCs/>
                <w:sz w:val="20"/>
                <w:szCs w:val="20"/>
                <w:lang w:val="en-CA" w:eastAsia="en-CA"/>
              </w:rPr>
              <w:t xml:space="preserve">Project </w:t>
            </w:r>
            <w:r w:rsidR="003F6A24">
              <w:rPr>
                <w:b/>
                <w:bCs/>
                <w:sz w:val="20"/>
                <w:szCs w:val="20"/>
                <w:lang w:val="en-CA" w:eastAsia="en-CA"/>
              </w:rPr>
              <w:t>t</w:t>
            </w:r>
            <w:r w:rsidRPr="006D3DF4">
              <w:rPr>
                <w:b/>
                <w:bCs/>
                <w:sz w:val="20"/>
                <w:szCs w:val="20"/>
                <w:lang w:val="en-CA" w:eastAsia="en-CA"/>
              </w:rPr>
              <w:t>itle</w:t>
            </w:r>
          </w:p>
        </w:tc>
        <w:tc>
          <w:tcPr>
            <w:tcW w:w="763" w:type="pct"/>
            <w:tcBorders>
              <w:top w:val="single" w:sz="4" w:space="0" w:color="auto"/>
              <w:left w:val="nil"/>
              <w:bottom w:val="single" w:sz="4" w:space="0" w:color="auto"/>
              <w:right w:val="single" w:sz="4" w:space="0" w:color="auto"/>
            </w:tcBorders>
            <w:shd w:val="clear" w:color="auto" w:fill="auto"/>
            <w:vAlign w:val="center"/>
            <w:hideMark/>
          </w:tcPr>
          <w:p w:rsidR="00A1002E" w:rsidRPr="006D3DF4" w:rsidRDefault="00A1002E" w:rsidP="003F6A24">
            <w:pPr>
              <w:jc w:val="center"/>
              <w:rPr>
                <w:b/>
                <w:bCs/>
                <w:sz w:val="20"/>
                <w:szCs w:val="20"/>
                <w:lang w:val="en-CA" w:eastAsia="en-CA"/>
              </w:rPr>
            </w:pPr>
            <w:r w:rsidRPr="006D3DF4">
              <w:rPr>
                <w:b/>
                <w:bCs/>
                <w:sz w:val="20"/>
                <w:szCs w:val="20"/>
                <w:lang w:val="en-CA" w:eastAsia="en-CA"/>
              </w:rPr>
              <w:t>Amount reviewed or recommended (</w:t>
            </w:r>
            <w:r w:rsidR="000A6453">
              <w:rPr>
                <w:b/>
                <w:bCs/>
                <w:sz w:val="20"/>
                <w:szCs w:val="20"/>
                <w:lang w:val="en-CA" w:eastAsia="en-CA"/>
              </w:rPr>
              <w:t>US $</w:t>
            </w:r>
            <w:r w:rsidRPr="006D3DF4">
              <w:rPr>
                <w:b/>
                <w:bCs/>
                <w:sz w:val="20"/>
                <w:szCs w:val="20"/>
                <w:lang w:val="en-CA" w:eastAsia="en-CA"/>
              </w:rPr>
              <w:t>)</w:t>
            </w:r>
          </w:p>
        </w:tc>
        <w:tc>
          <w:tcPr>
            <w:tcW w:w="763" w:type="pct"/>
            <w:tcBorders>
              <w:top w:val="single" w:sz="4" w:space="0" w:color="auto"/>
              <w:left w:val="nil"/>
              <w:bottom w:val="single" w:sz="4" w:space="0" w:color="auto"/>
              <w:right w:val="single" w:sz="4" w:space="0" w:color="auto"/>
            </w:tcBorders>
            <w:shd w:val="clear" w:color="auto" w:fill="auto"/>
            <w:vAlign w:val="center"/>
            <w:hideMark/>
          </w:tcPr>
          <w:p w:rsidR="00A1002E" w:rsidRPr="006D3DF4" w:rsidRDefault="00A1002E" w:rsidP="003F6A24">
            <w:pPr>
              <w:jc w:val="center"/>
              <w:rPr>
                <w:b/>
                <w:bCs/>
                <w:sz w:val="20"/>
                <w:szCs w:val="20"/>
                <w:lang w:val="en-CA" w:eastAsia="en-CA"/>
              </w:rPr>
            </w:pPr>
            <w:r w:rsidRPr="006D3DF4">
              <w:rPr>
                <w:b/>
                <w:bCs/>
                <w:sz w:val="20"/>
                <w:szCs w:val="20"/>
                <w:lang w:val="en-CA" w:eastAsia="en-CA"/>
              </w:rPr>
              <w:t>Support costs reviewed or recommended (</w:t>
            </w:r>
            <w:r w:rsidR="000A6453">
              <w:rPr>
                <w:b/>
                <w:bCs/>
                <w:sz w:val="20"/>
                <w:szCs w:val="20"/>
                <w:lang w:val="en-CA" w:eastAsia="en-CA"/>
              </w:rPr>
              <w:t>US $</w:t>
            </w:r>
            <w:r w:rsidRPr="006D3DF4">
              <w:rPr>
                <w:b/>
                <w:bCs/>
                <w:sz w:val="20"/>
                <w:szCs w:val="20"/>
                <w:lang w:val="en-CA" w:eastAsia="en-CA"/>
              </w:rPr>
              <w:t>)</w:t>
            </w:r>
          </w:p>
        </w:tc>
      </w:tr>
      <w:tr w:rsidR="00A1002E" w:rsidRPr="006D3DF4" w:rsidTr="003F6A24">
        <w:trPr>
          <w:trHeight w:val="204"/>
        </w:trPr>
        <w:tc>
          <w:tcPr>
            <w:tcW w:w="565" w:type="pct"/>
            <w:tcBorders>
              <w:top w:val="nil"/>
              <w:left w:val="single" w:sz="4" w:space="0" w:color="auto"/>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Algeria</w:t>
            </w:r>
          </w:p>
        </w:tc>
        <w:tc>
          <w:tcPr>
            <w:tcW w:w="460"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UNIDO</w:t>
            </w:r>
          </w:p>
        </w:tc>
        <w:tc>
          <w:tcPr>
            <w:tcW w:w="348"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TAS</w:t>
            </w:r>
          </w:p>
        </w:tc>
        <w:tc>
          <w:tcPr>
            <w:tcW w:w="407"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SEV</w:t>
            </w:r>
          </w:p>
        </w:tc>
        <w:tc>
          <w:tcPr>
            <w:tcW w:w="1694"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Enabling activities for HFC phase</w:t>
            </w:r>
            <w:r w:rsidR="006D3DF4">
              <w:rPr>
                <w:sz w:val="20"/>
                <w:szCs w:val="20"/>
                <w:lang w:val="en-CA" w:eastAsia="en-CA"/>
              </w:rPr>
              <w:noBreakHyphen/>
            </w:r>
            <w:r w:rsidRPr="006D3DF4">
              <w:rPr>
                <w:sz w:val="20"/>
                <w:szCs w:val="20"/>
                <w:lang w:val="en-CA" w:eastAsia="en-CA"/>
              </w:rPr>
              <w:t>down</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150,000</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10,500</w:t>
            </w:r>
          </w:p>
        </w:tc>
      </w:tr>
      <w:tr w:rsidR="00A1002E" w:rsidRPr="006D3DF4" w:rsidTr="003F6A24">
        <w:trPr>
          <w:trHeight w:val="408"/>
        </w:trPr>
        <w:tc>
          <w:tcPr>
            <w:tcW w:w="565" w:type="pct"/>
            <w:tcBorders>
              <w:top w:val="nil"/>
              <w:left w:val="single" w:sz="4" w:space="0" w:color="auto"/>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Argentina</w:t>
            </w:r>
          </w:p>
        </w:tc>
        <w:tc>
          <w:tcPr>
            <w:tcW w:w="460"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UNIDO</w:t>
            </w:r>
          </w:p>
        </w:tc>
        <w:tc>
          <w:tcPr>
            <w:tcW w:w="348"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INV</w:t>
            </w:r>
          </w:p>
        </w:tc>
        <w:tc>
          <w:tcPr>
            <w:tcW w:w="407"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PRO</w:t>
            </w:r>
          </w:p>
        </w:tc>
        <w:tc>
          <w:tcPr>
            <w:tcW w:w="1694"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Control and phase-out of HFC-23 emissions in production of HCFC</w:t>
            </w:r>
            <w:r w:rsidR="006D3DF4">
              <w:rPr>
                <w:sz w:val="20"/>
                <w:szCs w:val="20"/>
                <w:lang w:val="en-CA" w:eastAsia="en-CA"/>
              </w:rPr>
              <w:noBreakHyphen/>
            </w:r>
            <w:r w:rsidRPr="006D3DF4">
              <w:rPr>
                <w:sz w:val="20"/>
                <w:szCs w:val="20"/>
                <w:lang w:val="en-CA" w:eastAsia="en-CA"/>
              </w:rPr>
              <w:t>22 at FIASA</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1,343,677</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94,057</w:t>
            </w:r>
          </w:p>
        </w:tc>
      </w:tr>
      <w:tr w:rsidR="00A1002E" w:rsidRPr="006D3DF4" w:rsidTr="003F6A24">
        <w:trPr>
          <w:trHeight w:val="408"/>
        </w:trPr>
        <w:tc>
          <w:tcPr>
            <w:tcW w:w="565" w:type="pct"/>
            <w:tcBorders>
              <w:top w:val="nil"/>
              <w:left w:val="single" w:sz="4" w:space="0" w:color="auto"/>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Cuba</w:t>
            </w:r>
          </w:p>
        </w:tc>
        <w:tc>
          <w:tcPr>
            <w:tcW w:w="460"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UNDP</w:t>
            </w:r>
          </w:p>
        </w:tc>
        <w:tc>
          <w:tcPr>
            <w:tcW w:w="348"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INV</w:t>
            </w:r>
          </w:p>
        </w:tc>
        <w:tc>
          <w:tcPr>
            <w:tcW w:w="407"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REF</w:t>
            </w:r>
          </w:p>
        </w:tc>
        <w:tc>
          <w:tcPr>
            <w:tcW w:w="1694"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Conversion from HFC-134a to HFC-290 (propane) in the manufacture of chillers at Frioclima</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120,000</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10,800</w:t>
            </w:r>
          </w:p>
        </w:tc>
      </w:tr>
      <w:tr w:rsidR="00A1002E" w:rsidRPr="006D3DF4" w:rsidTr="003F6A24">
        <w:trPr>
          <w:trHeight w:val="408"/>
        </w:trPr>
        <w:tc>
          <w:tcPr>
            <w:tcW w:w="565" w:type="pct"/>
            <w:tcBorders>
              <w:top w:val="nil"/>
              <w:left w:val="single" w:sz="4" w:space="0" w:color="auto"/>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Egypt</w:t>
            </w:r>
          </w:p>
        </w:tc>
        <w:tc>
          <w:tcPr>
            <w:tcW w:w="460"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UNDP</w:t>
            </w:r>
          </w:p>
        </w:tc>
        <w:tc>
          <w:tcPr>
            <w:tcW w:w="348"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PRP</w:t>
            </w:r>
          </w:p>
        </w:tc>
        <w:tc>
          <w:tcPr>
            <w:tcW w:w="407"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FFI</w:t>
            </w:r>
          </w:p>
        </w:tc>
        <w:tc>
          <w:tcPr>
            <w:tcW w:w="1694"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Preparation for HFC investment project in the fire-fighting equipment assembly sector</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30,000</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2,100</w:t>
            </w:r>
          </w:p>
        </w:tc>
      </w:tr>
      <w:tr w:rsidR="00A1002E" w:rsidRPr="006D3DF4" w:rsidTr="003F6A24">
        <w:trPr>
          <w:trHeight w:val="204"/>
        </w:trPr>
        <w:tc>
          <w:tcPr>
            <w:tcW w:w="565" w:type="pct"/>
            <w:tcBorders>
              <w:top w:val="nil"/>
              <w:left w:val="single" w:sz="4" w:space="0" w:color="auto"/>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Haiti</w:t>
            </w:r>
          </w:p>
        </w:tc>
        <w:tc>
          <w:tcPr>
            <w:tcW w:w="460"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UNDP</w:t>
            </w:r>
          </w:p>
        </w:tc>
        <w:tc>
          <w:tcPr>
            <w:tcW w:w="348"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TAS</w:t>
            </w:r>
          </w:p>
        </w:tc>
        <w:tc>
          <w:tcPr>
            <w:tcW w:w="407"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SEV</w:t>
            </w:r>
          </w:p>
        </w:tc>
        <w:tc>
          <w:tcPr>
            <w:tcW w:w="1694"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Enabling activities for HFC phase-down</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95,000</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6,650</w:t>
            </w:r>
          </w:p>
        </w:tc>
      </w:tr>
      <w:tr w:rsidR="00A1002E" w:rsidRPr="006D3DF4" w:rsidTr="003F6A24">
        <w:trPr>
          <w:trHeight w:val="408"/>
        </w:trPr>
        <w:tc>
          <w:tcPr>
            <w:tcW w:w="565" w:type="pct"/>
            <w:tcBorders>
              <w:top w:val="nil"/>
              <w:left w:val="single" w:sz="4" w:space="0" w:color="auto"/>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Mexico</w:t>
            </w:r>
          </w:p>
        </w:tc>
        <w:tc>
          <w:tcPr>
            <w:tcW w:w="460"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UNIDO</w:t>
            </w:r>
          </w:p>
        </w:tc>
        <w:tc>
          <w:tcPr>
            <w:tcW w:w="348"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INV</w:t>
            </w:r>
          </w:p>
        </w:tc>
        <w:tc>
          <w:tcPr>
            <w:tcW w:w="407"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PRO</w:t>
            </w:r>
          </w:p>
        </w:tc>
        <w:tc>
          <w:tcPr>
            <w:tcW w:w="1694"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left"/>
              <w:rPr>
                <w:sz w:val="20"/>
                <w:szCs w:val="20"/>
                <w:lang w:val="en-CA" w:eastAsia="en-CA"/>
              </w:rPr>
            </w:pPr>
            <w:r w:rsidRPr="006D3DF4">
              <w:rPr>
                <w:sz w:val="20"/>
                <w:szCs w:val="20"/>
                <w:lang w:val="en-CA" w:eastAsia="en-CA"/>
              </w:rPr>
              <w:t>Control and phase-out of HFC-23 emissions in production of HCFC</w:t>
            </w:r>
            <w:r w:rsidR="006D3DF4">
              <w:rPr>
                <w:sz w:val="20"/>
                <w:szCs w:val="20"/>
                <w:lang w:val="en-CA" w:eastAsia="en-CA"/>
              </w:rPr>
              <w:noBreakHyphen/>
            </w:r>
            <w:r w:rsidRPr="006D3DF4">
              <w:rPr>
                <w:sz w:val="20"/>
                <w:szCs w:val="20"/>
                <w:lang w:val="en-CA" w:eastAsia="en-CA"/>
              </w:rPr>
              <w:t>22 at Quimobasicos</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632,455</w:t>
            </w:r>
          </w:p>
        </w:tc>
        <w:tc>
          <w:tcPr>
            <w:tcW w:w="763" w:type="pct"/>
            <w:tcBorders>
              <w:top w:val="nil"/>
              <w:left w:val="nil"/>
              <w:bottom w:val="single" w:sz="4" w:space="0" w:color="auto"/>
              <w:right w:val="single" w:sz="4" w:space="0" w:color="auto"/>
            </w:tcBorders>
            <w:shd w:val="clear" w:color="auto" w:fill="auto"/>
            <w:hideMark/>
          </w:tcPr>
          <w:p w:rsidR="00A1002E" w:rsidRPr="006D3DF4" w:rsidRDefault="00A1002E" w:rsidP="006D3DF4">
            <w:pPr>
              <w:jc w:val="right"/>
              <w:rPr>
                <w:sz w:val="20"/>
                <w:szCs w:val="20"/>
                <w:lang w:val="en-CA" w:eastAsia="en-CA"/>
              </w:rPr>
            </w:pPr>
            <w:r w:rsidRPr="006D3DF4">
              <w:rPr>
                <w:sz w:val="20"/>
                <w:szCs w:val="20"/>
                <w:lang w:val="en-CA" w:eastAsia="en-CA"/>
              </w:rPr>
              <w:t>44,272</w:t>
            </w:r>
          </w:p>
        </w:tc>
      </w:tr>
      <w:tr w:rsidR="00A1002E" w:rsidRPr="006D3DF4" w:rsidTr="003F6A24">
        <w:trPr>
          <w:trHeight w:val="204"/>
        </w:trPr>
        <w:tc>
          <w:tcPr>
            <w:tcW w:w="565" w:type="pct"/>
            <w:tcBorders>
              <w:top w:val="nil"/>
              <w:left w:val="single" w:sz="4" w:space="0" w:color="auto"/>
              <w:bottom w:val="single" w:sz="4" w:space="0" w:color="auto"/>
              <w:right w:val="single" w:sz="4" w:space="0" w:color="auto"/>
            </w:tcBorders>
            <w:shd w:val="clear" w:color="auto" w:fill="auto"/>
            <w:noWrap/>
            <w:vAlign w:val="bottom"/>
            <w:hideMark/>
          </w:tcPr>
          <w:p w:rsidR="00A1002E" w:rsidRPr="006D3DF4" w:rsidRDefault="00A1002E" w:rsidP="006D3DF4">
            <w:pPr>
              <w:jc w:val="left"/>
              <w:rPr>
                <w:b/>
                <w:bCs/>
                <w:sz w:val="20"/>
                <w:szCs w:val="20"/>
                <w:lang w:val="en-CA" w:eastAsia="en-CA"/>
              </w:rPr>
            </w:pPr>
            <w:r w:rsidRPr="006D3DF4">
              <w:rPr>
                <w:b/>
                <w:bCs/>
                <w:sz w:val="20"/>
                <w:szCs w:val="20"/>
                <w:lang w:val="en-CA" w:eastAsia="en-CA"/>
              </w:rPr>
              <w:t>Total</w:t>
            </w:r>
          </w:p>
        </w:tc>
        <w:tc>
          <w:tcPr>
            <w:tcW w:w="460" w:type="pct"/>
            <w:tcBorders>
              <w:top w:val="nil"/>
              <w:left w:val="nil"/>
              <w:bottom w:val="single" w:sz="4" w:space="0" w:color="auto"/>
              <w:right w:val="single" w:sz="4" w:space="0" w:color="auto"/>
            </w:tcBorders>
            <w:shd w:val="clear" w:color="auto" w:fill="auto"/>
            <w:noWrap/>
            <w:vAlign w:val="bottom"/>
            <w:hideMark/>
          </w:tcPr>
          <w:p w:rsidR="00A1002E" w:rsidRPr="006D3DF4" w:rsidRDefault="00A1002E" w:rsidP="006D3DF4">
            <w:pPr>
              <w:jc w:val="left"/>
              <w:rPr>
                <w:b/>
                <w:bCs/>
                <w:sz w:val="20"/>
                <w:szCs w:val="20"/>
                <w:lang w:val="en-CA" w:eastAsia="en-CA"/>
              </w:rPr>
            </w:pPr>
            <w:r w:rsidRPr="006D3DF4">
              <w:rPr>
                <w:b/>
                <w:bCs/>
                <w:sz w:val="20"/>
                <w:szCs w:val="20"/>
                <w:lang w:val="en-CA" w:eastAsia="en-CA"/>
              </w:rPr>
              <w:t> </w:t>
            </w:r>
          </w:p>
        </w:tc>
        <w:tc>
          <w:tcPr>
            <w:tcW w:w="348" w:type="pct"/>
            <w:tcBorders>
              <w:top w:val="nil"/>
              <w:left w:val="nil"/>
              <w:bottom w:val="single" w:sz="4" w:space="0" w:color="auto"/>
              <w:right w:val="single" w:sz="4" w:space="0" w:color="auto"/>
            </w:tcBorders>
            <w:shd w:val="clear" w:color="auto" w:fill="auto"/>
            <w:noWrap/>
            <w:vAlign w:val="bottom"/>
            <w:hideMark/>
          </w:tcPr>
          <w:p w:rsidR="00A1002E" w:rsidRPr="006D3DF4" w:rsidRDefault="00A1002E" w:rsidP="006D3DF4">
            <w:pPr>
              <w:jc w:val="left"/>
              <w:rPr>
                <w:b/>
                <w:bCs/>
                <w:sz w:val="20"/>
                <w:szCs w:val="20"/>
                <w:lang w:val="en-CA" w:eastAsia="en-CA"/>
              </w:rPr>
            </w:pPr>
            <w:r w:rsidRPr="006D3DF4">
              <w:rPr>
                <w:b/>
                <w:bCs/>
                <w:sz w:val="20"/>
                <w:szCs w:val="20"/>
                <w:lang w:val="en-CA" w:eastAsia="en-CA"/>
              </w:rPr>
              <w:t> </w:t>
            </w:r>
          </w:p>
        </w:tc>
        <w:tc>
          <w:tcPr>
            <w:tcW w:w="407" w:type="pct"/>
            <w:tcBorders>
              <w:top w:val="nil"/>
              <w:left w:val="nil"/>
              <w:bottom w:val="single" w:sz="4" w:space="0" w:color="auto"/>
              <w:right w:val="single" w:sz="4" w:space="0" w:color="auto"/>
            </w:tcBorders>
            <w:shd w:val="clear" w:color="auto" w:fill="auto"/>
            <w:noWrap/>
            <w:vAlign w:val="bottom"/>
            <w:hideMark/>
          </w:tcPr>
          <w:p w:rsidR="00A1002E" w:rsidRPr="006D3DF4" w:rsidRDefault="00A1002E" w:rsidP="006D3DF4">
            <w:pPr>
              <w:jc w:val="left"/>
              <w:rPr>
                <w:b/>
                <w:bCs/>
                <w:sz w:val="20"/>
                <w:szCs w:val="20"/>
                <w:lang w:val="en-CA" w:eastAsia="en-CA"/>
              </w:rPr>
            </w:pPr>
            <w:r w:rsidRPr="006D3DF4">
              <w:rPr>
                <w:b/>
                <w:bCs/>
                <w:sz w:val="20"/>
                <w:szCs w:val="20"/>
                <w:lang w:val="en-CA" w:eastAsia="en-CA"/>
              </w:rPr>
              <w:t> </w:t>
            </w:r>
          </w:p>
        </w:tc>
        <w:tc>
          <w:tcPr>
            <w:tcW w:w="1694" w:type="pct"/>
            <w:tcBorders>
              <w:top w:val="nil"/>
              <w:left w:val="nil"/>
              <w:bottom w:val="single" w:sz="4" w:space="0" w:color="auto"/>
              <w:right w:val="single" w:sz="4" w:space="0" w:color="auto"/>
            </w:tcBorders>
            <w:shd w:val="clear" w:color="auto" w:fill="auto"/>
            <w:noWrap/>
            <w:vAlign w:val="bottom"/>
            <w:hideMark/>
          </w:tcPr>
          <w:p w:rsidR="00A1002E" w:rsidRPr="006D3DF4" w:rsidRDefault="00A1002E" w:rsidP="006D3DF4">
            <w:pPr>
              <w:jc w:val="left"/>
              <w:rPr>
                <w:b/>
                <w:bCs/>
                <w:sz w:val="20"/>
                <w:szCs w:val="20"/>
                <w:lang w:val="en-CA" w:eastAsia="en-CA"/>
              </w:rPr>
            </w:pPr>
            <w:r w:rsidRPr="006D3DF4">
              <w:rPr>
                <w:b/>
                <w:bCs/>
                <w:sz w:val="20"/>
                <w:szCs w:val="20"/>
                <w:lang w:val="en-CA" w:eastAsia="en-CA"/>
              </w:rPr>
              <w:t> </w:t>
            </w:r>
          </w:p>
        </w:tc>
        <w:tc>
          <w:tcPr>
            <w:tcW w:w="763" w:type="pct"/>
            <w:tcBorders>
              <w:top w:val="nil"/>
              <w:left w:val="nil"/>
              <w:bottom w:val="single" w:sz="4" w:space="0" w:color="auto"/>
              <w:right w:val="single" w:sz="4" w:space="0" w:color="auto"/>
            </w:tcBorders>
            <w:shd w:val="clear" w:color="auto" w:fill="auto"/>
            <w:noWrap/>
            <w:vAlign w:val="bottom"/>
            <w:hideMark/>
          </w:tcPr>
          <w:p w:rsidR="00A1002E" w:rsidRPr="006D3DF4" w:rsidRDefault="00A1002E" w:rsidP="006D3DF4">
            <w:pPr>
              <w:jc w:val="right"/>
              <w:rPr>
                <w:b/>
                <w:bCs/>
                <w:sz w:val="20"/>
                <w:szCs w:val="20"/>
                <w:lang w:val="en-CA" w:eastAsia="en-CA"/>
              </w:rPr>
            </w:pPr>
            <w:r w:rsidRPr="006D3DF4">
              <w:rPr>
                <w:b/>
                <w:bCs/>
                <w:sz w:val="20"/>
                <w:szCs w:val="20"/>
                <w:lang w:val="en-CA" w:eastAsia="en-CA"/>
              </w:rPr>
              <w:t>2,371,132</w:t>
            </w:r>
          </w:p>
        </w:tc>
        <w:tc>
          <w:tcPr>
            <w:tcW w:w="763" w:type="pct"/>
            <w:tcBorders>
              <w:top w:val="nil"/>
              <w:left w:val="nil"/>
              <w:bottom w:val="single" w:sz="4" w:space="0" w:color="auto"/>
              <w:right w:val="single" w:sz="4" w:space="0" w:color="auto"/>
            </w:tcBorders>
            <w:shd w:val="clear" w:color="auto" w:fill="auto"/>
            <w:noWrap/>
            <w:vAlign w:val="bottom"/>
            <w:hideMark/>
          </w:tcPr>
          <w:p w:rsidR="00A1002E" w:rsidRPr="006D3DF4" w:rsidRDefault="00A1002E" w:rsidP="006D3DF4">
            <w:pPr>
              <w:jc w:val="right"/>
              <w:rPr>
                <w:b/>
                <w:bCs/>
                <w:sz w:val="20"/>
                <w:szCs w:val="20"/>
                <w:lang w:val="en-CA" w:eastAsia="en-CA"/>
              </w:rPr>
            </w:pPr>
            <w:r w:rsidRPr="006D3DF4">
              <w:rPr>
                <w:b/>
                <w:bCs/>
                <w:sz w:val="20"/>
                <w:szCs w:val="20"/>
                <w:lang w:val="en-CA" w:eastAsia="en-CA"/>
              </w:rPr>
              <w:t>168,379</w:t>
            </w:r>
          </w:p>
        </w:tc>
      </w:tr>
    </w:tbl>
    <w:p w:rsidR="00A2547B" w:rsidRDefault="00A2547B" w:rsidP="001C3C80">
      <w:pPr>
        <w:tabs>
          <w:tab w:val="left" w:pos="8280"/>
        </w:tabs>
      </w:pPr>
    </w:p>
    <w:p w:rsidR="00A2547B" w:rsidRDefault="00A2547B"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3F6A24">
        <w:tc>
          <w:tcPr>
            <w:tcW w:w="1871" w:type="dxa"/>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2" w:type="dxa"/>
            <w:tcBorders>
              <w:bottom w:val="single" w:sz="4" w:space="0" w:color="auto"/>
            </w:tcBorders>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3"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A1002E">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5EA" w:rsidRDefault="00F645EA" w:rsidP="004A504B">
      <w:r>
        <w:separator/>
      </w:r>
    </w:p>
  </w:endnote>
  <w:endnote w:type="continuationSeparator" w:id="0">
    <w:p w:rsidR="00F645EA" w:rsidRDefault="00F645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EA" w:rsidRPr="0033525D" w:rsidRDefault="00F645EA">
    <w:pPr>
      <w:jc w:val="center"/>
    </w:pPr>
    <w:r>
      <w:fldChar w:fldCharType="begin"/>
    </w:r>
    <w:r>
      <w:instrText xml:space="preserve"> PAGE </w:instrText>
    </w:r>
    <w:r>
      <w:fldChar w:fldCharType="separate"/>
    </w:r>
    <w:r w:rsidR="004D4BE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EA" w:rsidRPr="0033525D" w:rsidRDefault="00F645EA">
    <w:pPr>
      <w:jc w:val="center"/>
    </w:pPr>
    <w:r>
      <w:fldChar w:fldCharType="begin"/>
    </w:r>
    <w:r>
      <w:instrText xml:space="preserve"> PAGE </w:instrText>
    </w:r>
    <w:r>
      <w:fldChar w:fldCharType="separate"/>
    </w:r>
    <w:r w:rsidR="004D4BE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EA" w:rsidRDefault="00F645E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645EA" w:rsidRDefault="00F645E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557701"/>
      <w:docPartObj>
        <w:docPartGallery w:val="Page Numbers (Bottom of Page)"/>
        <w:docPartUnique/>
      </w:docPartObj>
    </w:sdtPr>
    <w:sdtEndPr>
      <w:rPr>
        <w:noProof/>
      </w:rPr>
    </w:sdtEndPr>
    <w:sdtContent>
      <w:p w:rsidR="00A1002E" w:rsidRDefault="00A1002E">
        <w:pPr>
          <w:pStyle w:val="Footer"/>
          <w:jc w:val="center"/>
        </w:pPr>
        <w:r>
          <w:fldChar w:fldCharType="begin"/>
        </w:r>
        <w:r>
          <w:instrText xml:space="preserve"> PAGE   \* MERGEFORMAT </w:instrText>
        </w:r>
        <w:r>
          <w:fldChar w:fldCharType="separate"/>
        </w:r>
        <w:r w:rsidR="004D4BEF">
          <w:rPr>
            <w:noProof/>
          </w:rPr>
          <w:t>1</w:t>
        </w:r>
        <w:r>
          <w:rPr>
            <w:noProof/>
          </w:rPr>
          <w:fldChar w:fldCharType="end"/>
        </w:r>
      </w:p>
    </w:sdtContent>
  </w:sdt>
  <w:p w:rsidR="00A1002E" w:rsidRPr="00A1002E" w:rsidRDefault="00A1002E" w:rsidP="00A100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5EA" w:rsidRDefault="00F645EA" w:rsidP="004A504B">
      <w:r>
        <w:separator/>
      </w:r>
    </w:p>
  </w:footnote>
  <w:footnote w:type="continuationSeparator" w:id="0">
    <w:p w:rsidR="00F645EA" w:rsidRDefault="00F645EA" w:rsidP="004A504B">
      <w:r>
        <w:continuationSeparator/>
      </w:r>
    </w:p>
  </w:footnote>
  <w:footnote w:id="1">
    <w:p w:rsidR="00F645EA" w:rsidRPr="000F769F" w:rsidRDefault="00F645EA" w:rsidP="00AC1DC2">
      <w:pPr>
        <w:pStyle w:val="FootnoteText"/>
      </w:pPr>
      <w:r w:rsidRPr="000F769F">
        <w:rPr>
          <w:rStyle w:val="FootnoteReference"/>
        </w:rPr>
        <w:footnoteRef/>
      </w:r>
      <w:r w:rsidRPr="000F769F">
        <w:t xml:space="preserve"> Resource allocation adopted at the 81</w:t>
      </w:r>
      <w:r w:rsidRPr="000F769F">
        <w:rPr>
          <w:vertAlign w:val="superscript"/>
        </w:rPr>
        <w:t>st</w:t>
      </w:r>
      <w:r w:rsidRPr="000F769F">
        <w:t xml:space="preserve"> meeting (</w:t>
      </w:r>
      <w:r w:rsidR="00164A0C">
        <w:t>d</w:t>
      </w:r>
      <w:r w:rsidRPr="000F769F">
        <w:t>ecision</w:t>
      </w:r>
      <w:r w:rsidR="00164A0C">
        <w:t xml:space="preserve"> </w:t>
      </w:r>
      <w:r w:rsidRPr="000F769F">
        <w:t>81/26(b).</w:t>
      </w:r>
    </w:p>
  </w:footnote>
  <w:footnote w:id="2">
    <w:p w:rsidR="00F645EA" w:rsidRPr="000F769F" w:rsidRDefault="00F645EA" w:rsidP="00AC1DC2">
      <w:pPr>
        <w:pStyle w:val="FootnoteText"/>
      </w:pPr>
      <w:r w:rsidRPr="000F769F">
        <w:rPr>
          <w:rStyle w:val="FootnoteReference"/>
        </w:rPr>
        <w:footnoteRef/>
      </w:r>
      <w:r w:rsidRPr="000F769F">
        <w:t xml:space="preserve"> Stage I of the HPMP for Serbia (UNEP and UNID</w:t>
      </w:r>
      <w:r>
        <w:t>O</w:t>
      </w:r>
      <w:r w:rsidRPr="000F769F">
        <w:t xml:space="preserve">); stage II of the HPMP for Tunisia (UNIDO); HCFC investment project for Pakistan (UNIDO); project preparation for stage II of the HPMP for Bahrain (UNEP and UNIDO), Equatorial Guinea (UNEP and UNIDO), Georgia (UNDP), Liberia (UNEP and UNIDO), Mali (UNDP), Mozambique (UNDP) and Sierra Leone (UNEP and (UNIDO); project preparation for stage III of the HPMP for Armenia (UNEP and UNIDO) and the Republic of Moldova (UNEP); HFC enabling activities for Algeria (UNIDO) and Haiti (UNDP), HFC investment project preparation for Egypt (UNDP); HFC investment projects for Cuba (UNDP) and Mexico (UNIDO); and IS project for India (UNDP). </w:t>
      </w:r>
    </w:p>
  </w:footnote>
  <w:footnote w:id="3">
    <w:p w:rsidR="00F645EA" w:rsidRPr="000F769F" w:rsidRDefault="00F645EA" w:rsidP="00AC1DC2">
      <w:pPr>
        <w:pStyle w:val="FootnoteText"/>
      </w:pPr>
      <w:r w:rsidRPr="000F769F">
        <w:rPr>
          <w:rStyle w:val="FootnoteReference"/>
        </w:rPr>
        <w:footnoteRef/>
      </w:r>
      <w:r w:rsidRPr="000F769F">
        <w:t xml:space="preserve"> These activities include: 77 HCFC activities for 49 countries (</w:t>
      </w:r>
      <w:r w:rsidR="000A6453">
        <w:t>US $</w:t>
      </w:r>
      <w:r w:rsidRPr="000F769F">
        <w:t>32.22 million), 13 HFC-related activities for 11 countries (</w:t>
      </w:r>
      <w:r w:rsidR="000A6453">
        <w:t>US $</w:t>
      </w:r>
      <w:r w:rsidRPr="000F769F">
        <w:t>6.62 million) and 43 IS activities (</w:t>
      </w:r>
      <w:r w:rsidR="000A6453">
        <w:t>US $</w:t>
      </w:r>
      <w:r w:rsidRPr="000F769F">
        <w:t>5.87 million).</w:t>
      </w:r>
    </w:p>
  </w:footnote>
  <w:footnote w:id="4">
    <w:p w:rsidR="00F645EA" w:rsidRPr="00773C39" w:rsidRDefault="00F645EA" w:rsidP="00AC1DC2">
      <w:pPr>
        <w:pStyle w:val="FootnoteText"/>
        <w:rPr>
          <w:lang w:val="en-CA"/>
        </w:rPr>
      </w:pPr>
      <w:r w:rsidRPr="000F769F">
        <w:rPr>
          <w:rStyle w:val="FootnoteReference"/>
        </w:rPr>
        <w:footnoteRef/>
      </w:r>
      <w:r w:rsidRPr="000F769F">
        <w:t xml:space="preserve"> UNEP/OzL.Pro/ExCom/84/26</w:t>
      </w:r>
    </w:p>
  </w:footnote>
  <w:footnote w:id="5">
    <w:p w:rsidR="00E825D2" w:rsidRPr="0012043B" w:rsidRDefault="00E825D2" w:rsidP="00E825D2">
      <w:pPr>
        <w:pStyle w:val="FootnoteText"/>
      </w:pPr>
      <w:r w:rsidRPr="00351FC3">
        <w:rPr>
          <w:rStyle w:val="FootnoteReference"/>
        </w:rPr>
        <w:footnoteRef/>
      </w:r>
      <w:r w:rsidRPr="00351FC3">
        <w:t xml:space="preserve"> </w:t>
      </w:r>
      <w:r w:rsidRPr="00351FC3">
        <w:rPr>
          <w:lang w:val="en-CA"/>
        </w:rPr>
        <w:t>Decision XXIX/1</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EA" w:rsidRPr="0033525D" w:rsidRDefault="003F6A24">
    <w:r>
      <w:fldChar w:fldCharType="begin"/>
    </w:r>
    <w:r>
      <w:instrText xml:space="preserve"> DOCPROPERTY "Document number"  \* MERGEFORMAT </w:instrText>
    </w:r>
    <w:r>
      <w:fldChar w:fldCharType="separate"/>
    </w:r>
    <w:r w:rsidR="004D4BEF">
      <w:t>UNEP/</w:t>
    </w:r>
    <w:proofErr w:type="spellStart"/>
    <w:r w:rsidR="004D4BEF">
      <w:t>OzL.Pro</w:t>
    </w:r>
    <w:proofErr w:type="spellEnd"/>
    <w:r w:rsidR="004D4BEF">
      <w:t>/</w:t>
    </w:r>
    <w:proofErr w:type="spellStart"/>
    <w:r w:rsidR="004D4BEF">
      <w:t>ExCom</w:t>
    </w:r>
    <w:proofErr w:type="spellEnd"/>
    <w:r w:rsidR="004D4BEF">
      <w:t>/84/24</w:t>
    </w:r>
    <w:r>
      <w:fldChar w:fldCharType="end"/>
    </w:r>
  </w:p>
  <w:p w:rsidR="00F645EA" w:rsidRPr="0033525D" w:rsidRDefault="00F645EA"/>
  <w:p w:rsidR="00F645EA" w:rsidRPr="0033525D" w:rsidRDefault="00F645E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5EA" w:rsidRPr="0033525D" w:rsidRDefault="003F6A24">
    <w:pPr>
      <w:jc w:val="right"/>
    </w:pPr>
    <w:r>
      <w:fldChar w:fldCharType="begin"/>
    </w:r>
    <w:r>
      <w:instrText xml:space="preserve"> DOCPROPERTY "Document number"  \* MERGEFORMAT </w:instrText>
    </w:r>
    <w:r>
      <w:fldChar w:fldCharType="separate"/>
    </w:r>
    <w:r w:rsidR="004D4BEF">
      <w:t>UNEP/</w:t>
    </w:r>
    <w:proofErr w:type="spellStart"/>
    <w:r w:rsidR="004D4BEF">
      <w:t>OzL.Pro</w:t>
    </w:r>
    <w:proofErr w:type="spellEnd"/>
    <w:r w:rsidR="004D4BEF">
      <w:t>/</w:t>
    </w:r>
    <w:proofErr w:type="spellStart"/>
    <w:r w:rsidR="004D4BEF">
      <w:t>ExCom</w:t>
    </w:r>
    <w:proofErr w:type="spellEnd"/>
    <w:r w:rsidR="004D4BEF">
      <w:t>/84/24</w:t>
    </w:r>
    <w:r>
      <w:fldChar w:fldCharType="end"/>
    </w:r>
  </w:p>
  <w:p w:rsidR="00F645EA" w:rsidRPr="0033525D" w:rsidRDefault="00F645EA"/>
  <w:p w:rsidR="00F645EA" w:rsidRPr="0033525D" w:rsidRDefault="00F645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BEF" w:rsidRDefault="004D4BE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2E" w:rsidRPr="0033525D" w:rsidRDefault="004D4BEF" w:rsidP="00A1002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/84/24</w:t>
    </w:r>
    <w:r>
      <w:fldChar w:fldCharType="end"/>
    </w:r>
  </w:p>
  <w:p w:rsidR="00A1002E" w:rsidRDefault="004D4BEF" w:rsidP="00A1002E">
    <w:pPr>
      <w:pStyle w:val="Header"/>
      <w:jc w:val="right"/>
    </w:pPr>
    <w:r>
      <w:t>Annex I</w:t>
    </w:r>
    <w:bookmarkStart w:id="1" w:name="_GoBack"/>
    <w:bookmarkEnd w:id="1"/>
  </w:p>
  <w:p w:rsidR="00A1002E" w:rsidRDefault="00A1002E" w:rsidP="00A1002E">
    <w:pPr>
      <w:pStyle w:val="Header"/>
      <w:jc w:val="right"/>
    </w:pPr>
  </w:p>
  <w:p w:rsidR="00A1002E" w:rsidRDefault="00A1002E" w:rsidP="00A1002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C1DC2"/>
    <w:rsid w:val="00000FED"/>
    <w:rsid w:val="00003C5D"/>
    <w:rsid w:val="0000434E"/>
    <w:rsid w:val="00017C3F"/>
    <w:rsid w:val="000211A9"/>
    <w:rsid w:val="00031260"/>
    <w:rsid w:val="0003681A"/>
    <w:rsid w:val="00052C5C"/>
    <w:rsid w:val="00061EC2"/>
    <w:rsid w:val="00080ED0"/>
    <w:rsid w:val="00085B8F"/>
    <w:rsid w:val="00090481"/>
    <w:rsid w:val="00092009"/>
    <w:rsid w:val="000A6453"/>
    <w:rsid w:val="000A6C26"/>
    <w:rsid w:val="000D52A4"/>
    <w:rsid w:val="000E07BC"/>
    <w:rsid w:val="000E59CB"/>
    <w:rsid w:val="000F1CD4"/>
    <w:rsid w:val="000F4103"/>
    <w:rsid w:val="000F70A7"/>
    <w:rsid w:val="00113CCA"/>
    <w:rsid w:val="00122F25"/>
    <w:rsid w:val="00135980"/>
    <w:rsid w:val="00164719"/>
    <w:rsid w:val="00164A0C"/>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62847"/>
    <w:rsid w:val="00264ACF"/>
    <w:rsid w:val="002808E6"/>
    <w:rsid w:val="00281BB2"/>
    <w:rsid w:val="002B08D9"/>
    <w:rsid w:val="002B72E9"/>
    <w:rsid w:val="002C7998"/>
    <w:rsid w:val="002F1E53"/>
    <w:rsid w:val="002F263D"/>
    <w:rsid w:val="002F2CAA"/>
    <w:rsid w:val="0030052C"/>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7906"/>
    <w:rsid w:val="003F3C50"/>
    <w:rsid w:val="003F5FBE"/>
    <w:rsid w:val="003F6A24"/>
    <w:rsid w:val="00406A6A"/>
    <w:rsid w:val="00406B22"/>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4BEF"/>
    <w:rsid w:val="004D6236"/>
    <w:rsid w:val="004D7F90"/>
    <w:rsid w:val="004E4DBB"/>
    <w:rsid w:val="004E4E41"/>
    <w:rsid w:val="004E7F9C"/>
    <w:rsid w:val="004F18A7"/>
    <w:rsid w:val="004F3493"/>
    <w:rsid w:val="004F5143"/>
    <w:rsid w:val="00512B09"/>
    <w:rsid w:val="00515B2F"/>
    <w:rsid w:val="00533796"/>
    <w:rsid w:val="00555D75"/>
    <w:rsid w:val="00560DF0"/>
    <w:rsid w:val="0056759C"/>
    <w:rsid w:val="0059513E"/>
    <w:rsid w:val="005A4390"/>
    <w:rsid w:val="005B48FF"/>
    <w:rsid w:val="005F5E98"/>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3DF4"/>
    <w:rsid w:val="006D54F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002E"/>
    <w:rsid w:val="00A111B6"/>
    <w:rsid w:val="00A2547B"/>
    <w:rsid w:val="00A26D27"/>
    <w:rsid w:val="00A376EE"/>
    <w:rsid w:val="00A42A99"/>
    <w:rsid w:val="00A5151A"/>
    <w:rsid w:val="00A56465"/>
    <w:rsid w:val="00A57E0A"/>
    <w:rsid w:val="00A823F6"/>
    <w:rsid w:val="00A93BBA"/>
    <w:rsid w:val="00AA0A89"/>
    <w:rsid w:val="00AA6429"/>
    <w:rsid w:val="00AC01AA"/>
    <w:rsid w:val="00AC1DC2"/>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A4F6A"/>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10F3"/>
    <w:rsid w:val="00E825D2"/>
    <w:rsid w:val="00E85409"/>
    <w:rsid w:val="00EA429F"/>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645EA"/>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3C5EE"/>
  <w15:docId w15:val="{BF5A48A7-A6FB-4EDC-987D-9B73B260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AC1DC2"/>
    <w:rPr>
      <w:sz w:val="22"/>
      <w:szCs w:val="22"/>
      <w:lang w:val="en-GB"/>
    </w:rPr>
  </w:style>
  <w:style w:type="paragraph" w:styleId="FootnoteText">
    <w:name w:val="footnote text"/>
    <w:aliases w:val="Fußnotentextf"/>
    <w:basedOn w:val="Normal"/>
    <w:link w:val="FootnoteTextChar"/>
    <w:uiPriority w:val="99"/>
    <w:unhideWhenUsed/>
    <w:rsid w:val="00AC1DC2"/>
    <w:rPr>
      <w:sz w:val="20"/>
      <w:szCs w:val="20"/>
    </w:rPr>
  </w:style>
  <w:style w:type="character" w:customStyle="1" w:styleId="FootnoteTextChar">
    <w:name w:val="Footnote Text Char"/>
    <w:aliases w:val="Fußnotentextf Char"/>
    <w:basedOn w:val="DefaultParagraphFont"/>
    <w:link w:val="FootnoteText"/>
    <w:uiPriority w:val="99"/>
    <w:rsid w:val="00AC1DC2"/>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uiPriority w:val="99"/>
    <w:unhideWhenUsed/>
    <w:rsid w:val="00AC1DC2"/>
    <w:rPr>
      <w:vertAlign w:val="superscript"/>
    </w:rPr>
  </w:style>
  <w:style w:type="character" w:customStyle="1" w:styleId="FooterChar">
    <w:name w:val="Footer Char"/>
    <w:basedOn w:val="DefaultParagraphFont"/>
    <w:link w:val="Footer"/>
    <w:uiPriority w:val="99"/>
    <w:rsid w:val="00A1002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UNEP/OzL.Pro/ExCom/84/24</Document_x0020_Number>
    <DocumentType xmlns="64e33b30-101d-41de-b951-961aab25ea29">Pre-session</DocumentType>
  </documentManagement>
</p:properties>
</file>

<file path=customXml/itemProps1.xml><?xml version="1.0" encoding="utf-8"?>
<ds:datastoreItem xmlns:ds="http://schemas.openxmlformats.org/officeDocument/2006/customXml" ds:itemID="{0EBBD06B-294A-454B-A50E-756A18A92AB5}"/>
</file>

<file path=customXml/itemProps2.xml><?xml version="1.0" encoding="utf-8"?>
<ds:datastoreItem xmlns:ds="http://schemas.openxmlformats.org/officeDocument/2006/customXml" ds:itemID="{A57D27A2-E777-4F09-BBBD-891B7508044C}"/>
</file>

<file path=customXml/itemProps3.xml><?xml version="1.0" encoding="utf-8"?>
<ds:datastoreItem xmlns:ds="http://schemas.openxmlformats.org/officeDocument/2006/customXml" ds:itemID="{FD8AD485-94CD-469A-8185-584F6BE12A3C}"/>
</file>

<file path=customXml/itemProps4.xml><?xml version="1.0" encoding="utf-8"?>
<ds:datastoreItem xmlns:ds="http://schemas.openxmlformats.org/officeDocument/2006/customXml" ds:itemID="{0C12712B-C087-4ADE-B5F0-B7D709BBEC2D}"/>
</file>

<file path=docProps/app.xml><?xml version="1.0" encoding="utf-8"?>
<Properties xmlns="http://schemas.openxmlformats.org/officeDocument/2006/extended-properties" xmlns:vt="http://schemas.openxmlformats.org/officeDocument/2006/docPropsVTypes">
  <Template>Eec84G</Template>
  <TotalTime>37</TotalTime>
  <Pages>7</Pages>
  <Words>1587</Words>
  <Characters>9830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Update on the status of implementation of the 2019-2021 consolidated business plan of the Multilateral Fund</vt:lpstr>
    </vt:vector>
  </TitlesOfParts>
  <Company>UNMFS</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2019-2021 consolidated business plan of the Multilateral Fund</dc:title>
  <dc:creator>Nanette Guerin</dc:creator>
  <cp:lastModifiedBy>Saša CVIJETIĆ</cp:lastModifiedBy>
  <cp:revision>11</cp:revision>
  <cp:lastPrinted>2019-12-03T03:00:00Z</cp:lastPrinted>
  <dcterms:created xsi:type="dcterms:W3CDTF">2019-12-03T01:21:00Z</dcterms:created>
  <dcterms:modified xsi:type="dcterms:W3CDTF">2019-12-03T03:01:00Z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UNEP/OzL.Pro/ExCom/84/24</vt:lpwstr>
  </property>
  <property fmtid="{D5CDD505-2E9C-101B-9397-08002B2CF9AE}" pid="3" name="Revision date">
    <vt:lpwstr>12/02/2019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