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82" w:type="dxa"/>
        <w:tblInd w:w="-432" w:type="dxa"/>
        <w:tblLayout w:type="fixed"/>
        <w:tblLook w:val="0000" w:firstRow="0" w:lastRow="0" w:firstColumn="0" w:lastColumn="0" w:noHBand="0" w:noVBand="0"/>
      </w:tblPr>
      <w:tblGrid>
        <w:gridCol w:w="1845"/>
        <w:gridCol w:w="3945"/>
        <w:gridCol w:w="4092"/>
      </w:tblGrid>
      <w:tr w:rsidR="0087455A" w:rsidRPr="001B2886" w14:paraId="431BD524" w14:textId="77777777" w:rsidTr="00067E46">
        <w:trPr>
          <w:trHeight w:val="658"/>
        </w:trPr>
        <w:tc>
          <w:tcPr>
            <w:tcW w:w="5790" w:type="dxa"/>
            <w:gridSpan w:val="2"/>
            <w:tcBorders>
              <w:bottom w:val="single" w:sz="18" w:space="0" w:color="auto"/>
            </w:tcBorders>
          </w:tcPr>
          <w:p w14:paraId="06ADEDEC" w14:textId="77777777" w:rsidR="0087455A" w:rsidRPr="001B2886" w:rsidRDefault="0024162E" w:rsidP="00C911E8">
            <w:pPr>
              <w:rPr>
                <w:rFonts w:ascii="Univers" w:hAnsi="Univers"/>
                <w:b/>
                <w:sz w:val="28"/>
                <w:szCs w:val="28"/>
                <w:lang w:val="es-ES"/>
              </w:rPr>
            </w:pPr>
            <w:r w:rsidRPr="001B2886">
              <w:rPr>
                <w:rFonts w:ascii="Univers" w:hAnsi="Univers"/>
                <w:b/>
                <w:sz w:val="28"/>
                <w:szCs w:val="28"/>
                <w:lang w:val="es-ES"/>
              </w:rPr>
              <w:t>NACIONES</w:t>
            </w:r>
          </w:p>
          <w:p w14:paraId="598D1B39" w14:textId="77777777" w:rsidR="0087455A" w:rsidRPr="001B2886" w:rsidRDefault="0024162E" w:rsidP="00C911E8">
            <w:pPr>
              <w:rPr>
                <w:rFonts w:ascii="Univers" w:hAnsi="Univers"/>
                <w:b/>
                <w:sz w:val="28"/>
                <w:szCs w:val="28"/>
                <w:lang w:val="es-ES"/>
              </w:rPr>
            </w:pPr>
            <w:r w:rsidRPr="001B2886">
              <w:rPr>
                <w:rFonts w:ascii="Univers" w:hAnsi="Univers"/>
                <w:b/>
                <w:sz w:val="28"/>
                <w:szCs w:val="28"/>
                <w:lang w:val="es-ES"/>
              </w:rPr>
              <w:t>UNIDAS</w:t>
            </w:r>
          </w:p>
        </w:tc>
        <w:tc>
          <w:tcPr>
            <w:tcW w:w="4092" w:type="dxa"/>
            <w:tcBorders>
              <w:bottom w:val="single" w:sz="18" w:space="0" w:color="auto"/>
            </w:tcBorders>
          </w:tcPr>
          <w:p w14:paraId="155A4528" w14:textId="77777777" w:rsidR="0087455A" w:rsidRPr="001B2886" w:rsidRDefault="0024162E" w:rsidP="0014372A">
            <w:pPr>
              <w:jc w:val="right"/>
              <w:rPr>
                <w:rFonts w:asciiTheme="minorBidi" w:hAnsiTheme="minorBidi" w:cstheme="minorBidi"/>
                <w:sz w:val="52"/>
                <w:szCs w:val="52"/>
                <w:lang w:val="es-ES"/>
              </w:rPr>
            </w:pPr>
            <w:r w:rsidRPr="001B2886">
              <w:rPr>
                <w:rFonts w:asciiTheme="minorBidi" w:hAnsiTheme="minorBidi" w:cstheme="minorBidi"/>
                <w:b/>
                <w:sz w:val="72"/>
                <w:lang w:val="es-ES"/>
              </w:rPr>
              <w:t>EP</w:t>
            </w:r>
          </w:p>
        </w:tc>
      </w:tr>
      <w:tr w:rsidR="0087455A" w:rsidRPr="00067E46" w14:paraId="6A53626A" w14:textId="77777777" w:rsidTr="00067E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1845" w:type="dxa"/>
            <w:tcBorders>
              <w:top w:val="nil"/>
              <w:left w:val="nil"/>
              <w:bottom w:val="single" w:sz="36" w:space="0" w:color="auto"/>
              <w:right w:val="nil"/>
            </w:tcBorders>
          </w:tcPr>
          <w:p w14:paraId="1DCC961B" w14:textId="77777777" w:rsidR="0087455A" w:rsidRPr="001B2886" w:rsidRDefault="0024162E" w:rsidP="00C911E8">
            <w:pPr>
              <w:spacing w:before="120"/>
              <w:rPr>
                <w:lang w:val="es-ES"/>
              </w:rPr>
            </w:pPr>
            <w:r w:rsidRPr="001B2886">
              <w:rPr>
                <w:noProof/>
                <w:lang w:val="en-CA" w:eastAsia="en-CA"/>
              </w:rPr>
              <w:drawing>
                <wp:anchor distT="0" distB="0" distL="114300" distR="114300" simplePos="0" relativeHeight="251660288" behindDoc="0" locked="0" layoutInCell="1" allowOverlap="1" wp14:anchorId="2CEE28EA" wp14:editId="069688EB">
                  <wp:simplePos x="0" y="0"/>
                  <wp:positionH relativeFrom="column">
                    <wp:posOffset>40005</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1B2886">
              <w:rPr>
                <w:noProof/>
                <w:lang w:val="en-CA" w:eastAsia="en-CA"/>
              </w:rPr>
              <w:drawing>
                <wp:anchor distT="0" distB="0" distL="114300" distR="114300" simplePos="0" relativeHeight="251661312" behindDoc="1" locked="0" layoutInCell="0" allowOverlap="1" wp14:anchorId="091374D0" wp14:editId="4A74FD6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944" w:type="dxa"/>
            <w:tcBorders>
              <w:top w:val="nil"/>
              <w:left w:val="nil"/>
              <w:bottom w:val="single" w:sz="36" w:space="0" w:color="auto"/>
              <w:right w:val="nil"/>
            </w:tcBorders>
          </w:tcPr>
          <w:p w14:paraId="44BC3886" w14:textId="77777777" w:rsidR="0014372A" w:rsidRDefault="0014372A" w:rsidP="00C911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p>
          <w:p w14:paraId="46DB6BB5" w14:textId="08F54748" w:rsidR="0087455A" w:rsidRPr="001B2886" w:rsidRDefault="0024162E" w:rsidP="00C911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1B2886">
              <w:rPr>
                <w:rFonts w:ascii="Univers" w:hAnsi="Univers"/>
                <w:b/>
                <w:sz w:val="32"/>
                <w:lang w:val="es-ES"/>
              </w:rPr>
              <w:t>Programa de las</w:t>
            </w:r>
          </w:p>
          <w:p w14:paraId="6ABFE8A0" w14:textId="77777777" w:rsidR="0087455A" w:rsidRPr="001B2886" w:rsidRDefault="0024162E" w:rsidP="00C911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1B2886">
              <w:rPr>
                <w:rFonts w:ascii="Univers" w:hAnsi="Univers"/>
                <w:b/>
                <w:sz w:val="32"/>
                <w:lang w:val="es-ES"/>
              </w:rPr>
              <w:t>Naciones Unidas</w:t>
            </w:r>
          </w:p>
          <w:p w14:paraId="5F4C3537" w14:textId="77777777" w:rsidR="0087455A" w:rsidRPr="001B2886" w:rsidRDefault="0024162E" w:rsidP="00C911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1B2886">
              <w:rPr>
                <w:rFonts w:ascii="Univers" w:hAnsi="Univers"/>
                <w:b/>
                <w:sz w:val="32"/>
                <w:lang w:val="es-ES"/>
              </w:rPr>
              <w:t>para el Medio Ambiente</w:t>
            </w:r>
          </w:p>
          <w:p w14:paraId="09A258D3" w14:textId="77777777" w:rsidR="0087455A" w:rsidRPr="001B2886" w:rsidRDefault="0087455A" w:rsidP="00C911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343641F6" w14:textId="77777777" w:rsidR="0087455A" w:rsidRPr="001B2886" w:rsidRDefault="0087455A" w:rsidP="00C911E8">
            <w:pPr>
              <w:spacing w:before="720"/>
              <w:ind w:left="158"/>
              <w:rPr>
                <w:lang w:val="es-ES"/>
              </w:rPr>
            </w:pPr>
          </w:p>
        </w:tc>
        <w:tc>
          <w:tcPr>
            <w:tcW w:w="4092" w:type="dxa"/>
            <w:tcBorders>
              <w:top w:val="nil"/>
              <w:left w:val="nil"/>
              <w:bottom w:val="single" w:sz="36" w:space="0" w:color="auto"/>
              <w:right w:val="nil"/>
            </w:tcBorders>
          </w:tcPr>
          <w:p w14:paraId="2FDCEC28" w14:textId="77777777" w:rsidR="0014372A" w:rsidRDefault="0014372A" w:rsidP="00C911E8">
            <w:pPr>
              <w:rPr>
                <w:lang w:val="es-ES"/>
              </w:rPr>
            </w:pPr>
          </w:p>
          <w:p w14:paraId="68D307B3" w14:textId="2651EC24" w:rsidR="0087455A" w:rsidRPr="001B2886" w:rsidRDefault="0024162E" w:rsidP="00C911E8">
            <w:pPr>
              <w:rPr>
                <w:lang w:val="es-ES"/>
              </w:rPr>
            </w:pPr>
            <w:proofErr w:type="spellStart"/>
            <w:r w:rsidRPr="001B2886">
              <w:rPr>
                <w:lang w:val="es-ES"/>
              </w:rPr>
              <w:t>Distr</w:t>
            </w:r>
            <w:proofErr w:type="spellEnd"/>
            <w:r w:rsidRPr="001B2886">
              <w:rPr>
                <w:lang w:val="es-ES"/>
              </w:rPr>
              <w:t>.</w:t>
            </w:r>
          </w:p>
          <w:p w14:paraId="02DB5026" w14:textId="77777777" w:rsidR="0087455A" w:rsidRPr="001B2886" w:rsidRDefault="0024162E" w:rsidP="00C911E8">
            <w:pPr>
              <w:rPr>
                <w:lang w:val="es-ES"/>
              </w:rPr>
            </w:pPr>
            <w:r w:rsidRPr="001B2886">
              <w:rPr>
                <w:lang w:val="es-ES"/>
              </w:rPr>
              <w:t>GENERAL</w:t>
            </w:r>
          </w:p>
          <w:p w14:paraId="329E676B" w14:textId="77777777" w:rsidR="0087455A" w:rsidRPr="001B2886" w:rsidRDefault="0087455A" w:rsidP="00C911E8">
            <w:pPr>
              <w:rPr>
                <w:lang w:val="es-ES"/>
              </w:rPr>
            </w:pPr>
          </w:p>
          <w:p w14:paraId="01F254C3" w14:textId="33B46496" w:rsidR="0087455A" w:rsidRPr="001B2886" w:rsidRDefault="0024162E" w:rsidP="00C911E8">
            <w:pPr>
              <w:rPr>
                <w:lang w:val="es-ES"/>
              </w:rPr>
            </w:pPr>
            <w:r w:rsidRPr="001B2886">
              <w:rPr>
                <w:lang w:val="es-ES"/>
              </w:rPr>
              <w:fldChar w:fldCharType="begin"/>
            </w:r>
            <w:r w:rsidRPr="001B2886">
              <w:rPr>
                <w:lang w:val="es-ES"/>
              </w:rPr>
              <w:instrText xml:space="preserve"> DOCPROPERTY "Document number"  \* MERGEFORMAT </w:instrText>
            </w:r>
            <w:r w:rsidRPr="001B2886">
              <w:rPr>
                <w:lang w:val="es-ES"/>
              </w:rPr>
              <w:fldChar w:fldCharType="separate"/>
            </w:r>
            <w:r w:rsidR="00067E46">
              <w:rPr>
                <w:lang w:val="es-ES"/>
              </w:rPr>
              <w:t>UNEP/</w:t>
            </w:r>
            <w:proofErr w:type="spellStart"/>
            <w:r w:rsidR="00067E46">
              <w:rPr>
                <w:lang w:val="es-ES"/>
              </w:rPr>
              <w:t>OzL.Pro</w:t>
            </w:r>
            <w:proofErr w:type="spellEnd"/>
            <w:r w:rsidR="00067E46">
              <w:rPr>
                <w:lang w:val="es-ES"/>
              </w:rPr>
              <w:t>/</w:t>
            </w:r>
            <w:proofErr w:type="spellStart"/>
            <w:r w:rsidR="00067E46">
              <w:rPr>
                <w:lang w:val="es-ES"/>
              </w:rPr>
              <w:t>ExCom</w:t>
            </w:r>
            <w:proofErr w:type="spellEnd"/>
            <w:r w:rsidR="00067E46">
              <w:rPr>
                <w:lang w:val="es-ES"/>
              </w:rPr>
              <w:t>/88/68</w:t>
            </w:r>
            <w:r w:rsidRPr="001B2886">
              <w:rPr>
                <w:lang w:val="es-ES"/>
              </w:rPr>
              <w:fldChar w:fldCharType="end"/>
            </w:r>
          </w:p>
          <w:p w14:paraId="48AA5BA3" w14:textId="3C850888" w:rsidR="002959B4" w:rsidRPr="001B2886" w:rsidRDefault="002959B4" w:rsidP="00C911E8">
            <w:pPr>
              <w:rPr>
                <w:lang w:val="es-ES"/>
              </w:rPr>
            </w:pPr>
            <w:r w:rsidRPr="001B2886">
              <w:rPr>
                <w:lang w:val="es-ES"/>
              </w:rPr>
              <w:fldChar w:fldCharType="begin"/>
            </w:r>
            <w:r w:rsidRPr="001B2886">
              <w:rPr>
                <w:lang w:val="es-ES"/>
              </w:rPr>
              <w:instrText xml:space="preserve"> DOCPROPERTY "Revision date" \@ "d MMMM YYYY"  \* MERGEFORMAT </w:instrText>
            </w:r>
            <w:r w:rsidRPr="001B2886">
              <w:rPr>
                <w:lang w:val="es-ES"/>
              </w:rPr>
              <w:fldChar w:fldCharType="separate"/>
            </w:r>
            <w:r w:rsidR="001B2886" w:rsidRPr="001B2886">
              <w:rPr>
                <w:lang w:val="es-ES"/>
              </w:rPr>
              <w:t>1</w:t>
            </w:r>
            <w:r w:rsidR="00222D4D">
              <w:rPr>
                <w:lang w:val="es-ES"/>
              </w:rPr>
              <w:t>2</w:t>
            </w:r>
            <w:r w:rsidR="00F9224D" w:rsidRPr="001B2886">
              <w:rPr>
                <w:lang w:val="es-ES"/>
              </w:rPr>
              <w:t xml:space="preserve"> de </w:t>
            </w:r>
            <w:r w:rsidR="00B76AEE" w:rsidRPr="001B2886">
              <w:rPr>
                <w:lang w:val="es-ES"/>
              </w:rPr>
              <w:t>noviem</w:t>
            </w:r>
            <w:r w:rsidR="00F9224D" w:rsidRPr="001B2886">
              <w:rPr>
                <w:lang w:val="es-ES"/>
              </w:rPr>
              <w:t>bre de 2021</w:t>
            </w:r>
            <w:r w:rsidRPr="001B2886">
              <w:rPr>
                <w:lang w:val="es-ES"/>
              </w:rPr>
              <w:fldChar w:fldCharType="end"/>
            </w:r>
          </w:p>
          <w:p w14:paraId="4A8A48CB" w14:textId="77777777" w:rsidR="00114CAA" w:rsidRPr="001B2886" w:rsidRDefault="00114CAA" w:rsidP="00C911E8">
            <w:pPr>
              <w:rPr>
                <w:caps/>
                <w:lang w:val="es-ES"/>
              </w:rPr>
            </w:pPr>
          </w:p>
          <w:p w14:paraId="361776A7" w14:textId="77777777" w:rsidR="0087455A" w:rsidRPr="001B2886" w:rsidRDefault="0024162E" w:rsidP="00C911E8">
            <w:pPr>
              <w:rPr>
                <w:lang w:val="es-ES"/>
              </w:rPr>
            </w:pPr>
            <w:r w:rsidRPr="001B2886">
              <w:rPr>
                <w:lang w:val="es-ES"/>
              </w:rPr>
              <w:t xml:space="preserve">ESPAÑOL </w:t>
            </w:r>
          </w:p>
          <w:p w14:paraId="3D2FB584" w14:textId="77777777" w:rsidR="0087455A" w:rsidRPr="001B2886" w:rsidRDefault="0024162E" w:rsidP="00C911E8">
            <w:pPr>
              <w:rPr>
                <w:lang w:val="es-ES"/>
              </w:rPr>
            </w:pPr>
            <w:r w:rsidRPr="001B2886">
              <w:rPr>
                <w:lang w:val="es-ES"/>
              </w:rPr>
              <w:t>ORIGINAL: INGLÉS</w:t>
            </w:r>
          </w:p>
        </w:tc>
      </w:tr>
    </w:tbl>
    <w:p w14:paraId="6651EBCE" w14:textId="77777777" w:rsidR="0087455A" w:rsidRPr="001B2886" w:rsidRDefault="0024162E" w:rsidP="00C911E8">
      <w:pPr>
        <w:jc w:val="left"/>
        <w:rPr>
          <w:lang w:val="es-ES"/>
        </w:rPr>
      </w:pPr>
      <w:r w:rsidRPr="001B2886">
        <w:rPr>
          <w:lang w:val="es-ES"/>
        </w:rPr>
        <w:t>COMITÉ EJECUTIVO DEL FONDO MULTILATERAL</w:t>
      </w:r>
      <w:r w:rsidRPr="001B2886">
        <w:rPr>
          <w:lang w:val="es-ES"/>
        </w:rPr>
        <w:br/>
        <w:t xml:space="preserve">  PARA LA APLICACIÓN DEL</w:t>
      </w:r>
      <w:r w:rsidRPr="001B2886">
        <w:rPr>
          <w:lang w:val="es-ES"/>
        </w:rPr>
        <w:br/>
        <w:t xml:space="preserve">  PROTOCOLO DE MONTREAL</w:t>
      </w:r>
    </w:p>
    <w:p w14:paraId="571E507E" w14:textId="0AA69047" w:rsidR="001174E9" w:rsidRPr="001B2886" w:rsidRDefault="00106F6E" w:rsidP="00C911E8">
      <w:pPr>
        <w:jc w:val="left"/>
        <w:rPr>
          <w:lang w:val="es-ES"/>
        </w:rPr>
      </w:pPr>
      <w:r w:rsidRPr="001B2886">
        <w:rPr>
          <w:lang w:val="es-ES"/>
        </w:rPr>
        <w:t xml:space="preserve">Octogésima </w:t>
      </w:r>
      <w:r w:rsidR="00344EAB" w:rsidRPr="001B2886">
        <w:rPr>
          <w:lang w:val="es-ES"/>
        </w:rPr>
        <w:t>octav</w:t>
      </w:r>
      <w:r w:rsidR="002959B4" w:rsidRPr="001B2886">
        <w:rPr>
          <w:lang w:val="es-ES"/>
        </w:rPr>
        <w:t>a</w:t>
      </w:r>
      <w:r w:rsidR="003863A4" w:rsidRPr="001B2886">
        <w:rPr>
          <w:lang w:val="es-ES"/>
        </w:rPr>
        <w:t xml:space="preserve"> Reunión</w:t>
      </w:r>
      <w:r w:rsidR="003863A4" w:rsidRPr="001B2886">
        <w:rPr>
          <w:lang w:val="es-ES"/>
        </w:rPr>
        <w:br/>
      </w:r>
      <w:r w:rsidR="001174E9" w:rsidRPr="001B2886">
        <w:rPr>
          <w:lang w:val="es-ES"/>
        </w:rPr>
        <w:t>Montreal, 15 </w:t>
      </w:r>
      <w:r w:rsidR="000D7CEA" w:rsidRPr="001B2886">
        <w:rPr>
          <w:lang w:val="es-ES"/>
        </w:rPr>
        <w:noBreakHyphen/>
      </w:r>
      <w:r w:rsidR="001174E9" w:rsidRPr="001B2886">
        <w:rPr>
          <w:lang w:val="es-ES"/>
        </w:rPr>
        <w:t> 19 de noviembre de 2021</w:t>
      </w:r>
      <w:r w:rsidR="001174E9" w:rsidRPr="001B2886">
        <w:rPr>
          <w:rStyle w:val="FootnoteReference"/>
          <w:lang w:val="es-ES"/>
        </w:rPr>
        <w:footnoteReference w:id="1"/>
      </w:r>
    </w:p>
    <w:p w14:paraId="4102E790" w14:textId="63B7D7A9" w:rsidR="001174E9" w:rsidRDefault="001174E9" w:rsidP="00C911E8">
      <w:pPr>
        <w:rPr>
          <w:lang w:val="es-ES"/>
        </w:rPr>
      </w:pPr>
    </w:p>
    <w:p w14:paraId="1ED94B62" w14:textId="77777777" w:rsidR="00775B48" w:rsidRPr="001B2886" w:rsidRDefault="00775B48" w:rsidP="00C911E8">
      <w:pPr>
        <w:rPr>
          <w:lang w:val="es-ES"/>
        </w:rPr>
      </w:pPr>
    </w:p>
    <w:p w14:paraId="428FC995" w14:textId="3996E6FB" w:rsidR="00C911E8" w:rsidRPr="0014372A" w:rsidRDefault="00067E46" w:rsidP="00C911E8">
      <w:pPr>
        <w:pStyle w:val="StyleHeader4Para4Left0Firstline0"/>
        <w:widowControl/>
        <w:numPr>
          <w:ilvl w:val="0"/>
          <w:numId w:val="0"/>
        </w:numPr>
        <w:tabs>
          <w:tab w:val="clear" w:pos="2880"/>
          <w:tab w:val="clear" w:pos="5760"/>
        </w:tabs>
        <w:spacing w:after="0"/>
        <w:jc w:val="center"/>
        <w:rPr>
          <w:b/>
          <w:color w:val="000000" w:themeColor="text1"/>
          <w:sz w:val="22"/>
          <w:lang w:val="es-ES"/>
        </w:rPr>
      </w:pPr>
      <w:r w:rsidRPr="0014372A">
        <w:rPr>
          <w:b/>
          <w:color w:val="000000" w:themeColor="text1"/>
          <w:sz w:val="22"/>
          <w:lang w:val="es-ES"/>
        </w:rPr>
        <w:t>ANALISIS DEL REGIMEN DE COSTOS ADMINISTRATIVOS Y FINANCIACION DE LAS UNIDADES CENTRALES (DECISION 86/92 C))</w:t>
      </w:r>
    </w:p>
    <w:p w14:paraId="21352495" w14:textId="77777777" w:rsidR="00C911E8" w:rsidRPr="0014372A" w:rsidRDefault="00C911E8" w:rsidP="00C911E8">
      <w:pPr>
        <w:rPr>
          <w:lang w:val="es-ES"/>
        </w:rPr>
      </w:pPr>
    </w:p>
    <w:p w14:paraId="0EC93E99" w14:textId="77777777" w:rsidR="00C911E8" w:rsidRPr="00024601" w:rsidRDefault="00C911E8" w:rsidP="00C911E8">
      <w:pPr>
        <w:pStyle w:val="Heading1"/>
        <w:rPr>
          <w:b/>
          <w:color w:val="000000" w:themeColor="text1"/>
        </w:rPr>
      </w:pPr>
      <w:proofErr w:type="spellStart"/>
      <w:r>
        <w:rPr>
          <w:b/>
          <w:color w:val="000000" w:themeColor="text1"/>
        </w:rPr>
        <w:t>Antecedentes</w:t>
      </w:r>
      <w:proofErr w:type="spellEnd"/>
    </w:p>
    <w:p w14:paraId="59733E96" w14:textId="77777777" w:rsidR="00C911E8" w:rsidRPr="0014372A" w:rsidRDefault="00C911E8" w:rsidP="00C911E8">
      <w:pPr>
        <w:pStyle w:val="Heading1"/>
        <w:numPr>
          <w:ilvl w:val="0"/>
          <w:numId w:val="14"/>
        </w:numPr>
        <w:ind w:left="0" w:firstLine="0"/>
        <w:rPr>
          <w:lang w:val="es-ES"/>
        </w:rPr>
      </w:pPr>
      <w:r w:rsidRPr="0014372A">
        <w:rPr>
          <w:lang w:val="es-ES"/>
        </w:rPr>
        <w:t>En la 84ª reunión, el Comité Ejecutivo, entre otras cosas, pidió a la Secretaría que presentara en la 86ª reunión el resultado de su análisis sobre el régimen de costos administrativos y la financiación de las unidades centrales, teniendo en cuenta las decisiones pertinentes del Comité Ejecutivo, incluidas aquellas adoptadas en las reuniones 84ª y 85ª, sobre la base de lo cual el Comité decidiría si puede mantenerse el régimen de costos administrativos del Fondo Multilateral del trienio 2018−2020 para el trienio 2021−2023 (decisión 84/61 c)).</w:t>
      </w:r>
    </w:p>
    <w:p w14:paraId="3534D384" w14:textId="77777777" w:rsidR="00C911E8" w:rsidRPr="0014372A" w:rsidRDefault="00C911E8" w:rsidP="00C911E8">
      <w:pPr>
        <w:pStyle w:val="Heading1"/>
        <w:numPr>
          <w:ilvl w:val="0"/>
          <w:numId w:val="14"/>
        </w:numPr>
        <w:ind w:left="0" w:firstLine="0"/>
        <w:rPr>
          <w:lang w:val="es-ES"/>
        </w:rPr>
      </w:pPr>
      <w:r w:rsidRPr="0014372A">
        <w:rPr>
          <w:lang w:val="es-ES"/>
        </w:rPr>
        <w:t>En la 86ª reunión, el Comité Ejecutivo examinó, durante el proceso de aprobación en el período entre sesiones (IAP-86)</w:t>
      </w:r>
      <w:r w:rsidRPr="00C911E8">
        <w:rPr>
          <w:rStyle w:val="FootnoteTextChar"/>
          <w:vertAlign w:val="superscript"/>
        </w:rPr>
        <w:footnoteReference w:id="2"/>
      </w:r>
      <w:r w:rsidRPr="0014372A">
        <w:rPr>
          <w:lang w:val="es-ES"/>
        </w:rPr>
        <w:t>, el presupuesto del Programa de Asistencia al Cumplimiento (PAC) del PNUMA para 2021</w:t>
      </w:r>
      <w:r w:rsidRPr="00C911E8">
        <w:rPr>
          <w:rStyle w:val="FootnoteTextChar"/>
          <w:vertAlign w:val="superscript"/>
        </w:rPr>
        <w:footnoteReference w:id="3"/>
      </w:r>
      <w:r w:rsidRPr="0014372A">
        <w:rPr>
          <w:vertAlign w:val="superscript"/>
          <w:lang w:val="es-ES"/>
        </w:rPr>
        <w:t xml:space="preserve"> </w:t>
      </w:r>
      <w:r w:rsidRPr="0014372A">
        <w:rPr>
          <w:lang w:val="es-ES"/>
        </w:rPr>
        <w:t>y los presupuestos de unidad central para el PNUD, la ONUDI y el Banco Mundial para 2021</w:t>
      </w:r>
      <w:r w:rsidRPr="00C911E8">
        <w:rPr>
          <w:rStyle w:val="FootnoteTextChar"/>
          <w:vertAlign w:val="superscript"/>
        </w:rPr>
        <w:footnoteReference w:id="4"/>
      </w:r>
      <w:r w:rsidRPr="0014372A">
        <w:rPr>
          <w:lang w:val="es-ES"/>
        </w:rPr>
        <w:t>. Posteriormente, el Comité Ejecutivo aprobó el presupuesto del PAC del PNUMA (decisión 86/61) y los presupuestos de unidad central de los organismos de ejecución, señalando que los niveles para los presupuestos de unidad central de 2021 se ajustarían sobre la base de los resultados del debate acerca del Análisis del régimen de costos administrativos y financiación de las unidades centrales (decisión 84/61 c)), en la 86ª reunión pospuesta, en marzo de 2021 (es decir, IAP-86ext)</w:t>
      </w:r>
      <w:r w:rsidRPr="00C911E8">
        <w:rPr>
          <w:rStyle w:val="FootnoteTextChar"/>
          <w:vertAlign w:val="superscript"/>
        </w:rPr>
        <w:footnoteReference w:id="5"/>
      </w:r>
      <w:r w:rsidRPr="0014372A">
        <w:rPr>
          <w:lang w:val="es-ES"/>
        </w:rPr>
        <w:t xml:space="preserve"> (decisión 86/62). </w:t>
      </w:r>
    </w:p>
    <w:p w14:paraId="46A32C52" w14:textId="77777777" w:rsidR="00C911E8" w:rsidRPr="0014372A" w:rsidRDefault="00C911E8" w:rsidP="00C911E8">
      <w:pPr>
        <w:pStyle w:val="Heading1"/>
        <w:numPr>
          <w:ilvl w:val="0"/>
          <w:numId w:val="14"/>
        </w:numPr>
        <w:ind w:left="0" w:firstLine="0"/>
        <w:rPr>
          <w:lang w:val="es-ES"/>
        </w:rPr>
      </w:pPr>
      <w:r w:rsidRPr="0014372A">
        <w:rPr>
          <w:lang w:val="es-ES"/>
        </w:rPr>
        <w:t>En la 86ª reunión, el Comité Ejecutivo también examinó el análisis del régimen de costos administrativos y la financiación de las unidades centrales</w:t>
      </w:r>
      <w:r w:rsidRPr="00C911E8">
        <w:rPr>
          <w:rStyle w:val="FootnoteTextChar"/>
          <w:vertAlign w:val="superscript"/>
        </w:rPr>
        <w:footnoteReference w:id="6"/>
      </w:r>
      <w:r w:rsidRPr="0014372A">
        <w:rPr>
          <w:lang w:val="es-ES"/>
        </w:rPr>
        <w:t xml:space="preserve"> presentado por la Secretaría en respuesta a la decisión 84/61 c). En el documento se indicaba que, en el escenario de mantenimiento del </w:t>
      </w:r>
      <w:r w:rsidRPr="0014372A">
        <w:rPr>
          <w:i/>
          <w:iCs/>
          <w:lang w:val="es-ES"/>
        </w:rPr>
        <w:t>statu quo</w:t>
      </w:r>
      <w:r w:rsidRPr="0014372A">
        <w:rPr>
          <w:lang w:val="es-ES"/>
        </w:rPr>
        <w:t xml:space="preserve"> para la evaluación del régimen de costos administrativos para el periodo 2021–2023, la Secretaría había analizado, </w:t>
      </w:r>
      <w:r w:rsidRPr="0014372A">
        <w:rPr>
          <w:lang w:val="es-ES"/>
        </w:rPr>
        <w:lastRenderedPageBreak/>
        <w:t>entre otras cosas, la información disponible de los proyectos que se habrían aprobado en la 85ª reunión y los proyectos que se habrían presentado en la 86ª reunión; las decisiones que el Comité Ejecutivo habría adoptado (en sus reuniones 85ª y 86ª) sobre cuestiones políticas, especialmente aquellas relacionadas con la reducción de los HFC y la financiación de los proyectos de fortalecimiento institucional; y el documento sobre la reposición del Fondo Multilateral para el trienio 2021–2023 que habría preparado el equipo de tareas del Grupo de Evaluación Tecnológica y Económica (GETE) y sometido a la consideración de la 32ª Reunión de las Partes del Protocolo de Montreal. Dado que no se adoptaron decisiones sobre el régimen de costos administrativos en la 86ª reunión del Comité Ejecutivo, la Secretaría consideró apropiado presentar el análisis del régimen de costos administrativos solicitado en la decisión 84/61 c) a la 88ª reunión, teniendo en cuenta los debates y/o las decisiones sobre cuestiones de políticas pertinentes del Comité Ejecutivo durante sus reuniones en 2021, y los debates de las Partes sobre la reposición del Fondo Multilateral.</w:t>
      </w:r>
    </w:p>
    <w:p w14:paraId="7CE8168F" w14:textId="77777777" w:rsidR="00C911E8" w:rsidRPr="0014372A" w:rsidRDefault="00C911E8" w:rsidP="00C911E8">
      <w:pPr>
        <w:pStyle w:val="Heading1"/>
        <w:numPr>
          <w:ilvl w:val="0"/>
          <w:numId w:val="14"/>
        </w:numPr>
        <w:ind w:left="0" w:firstLine="0"/>
        <w:rPr>
          <w:lang w:val="es-ES"/>
        </w:rPr>
      </w:pPr>
      <w:r w:rsidRPr="0014372A">
        <w:rPr>
          <w:lang w:val="es-ES"/>
        </w:rPr>
        <w:t>Al adoptar el documento de análisis (en el proceso IAP-86ext), el Comité Ejecutivo decidió permitir a los organismos bilaterales y de ejecución seguir utilizando el régimen de costos administrativos existente para los proyectos que está previsto presentar en 2021, excepcionalmente y sin que siente precedente; y pidió a la Secretaría que presentara, en la 88ª reunión, los resultados del análisis del régimen de costos administrativos y la financiación de las unidades centrales. teniendo en cuenta las decisiones pertinentes del Comité Ejecutivo, incluidas las tomadas desde la 84ª reunión hasta la 87ª reunión, y los resultados pertinentes de las conversaciones entre las Partes sobre la reposición del Fondo Multilateral para el trienio 2021–2023. Sobre esta base, el Comité decidiría si el régimen de costos administrativos del Fondo Multilateral para trienio 2018–2020 debe mantenerse en el trienio 2021–2023 (decisión 86/92).</w:t>
      </w:r>
    </w:p>
    <w:p w14:paraId="6EB664CE" w14:textId="77777777" w:rsidR="00C911E8" w:rsidRPr="005A5C53" w:rsidRDefault="00C911E8" w:rsidP="00C911E8">
      <w:pPr>
        <w:rPr>
          <w:u w:val="single"/>
        </w:rPr>
      </w:pPr>
      <w:proofErr w:type="spellStart"/>
      <w:r>
        <w:rPr>
          <w:u w:val="single"/>
        </w:rPr>
        <w:t>Alcance</w:t>
      </w:r>
      <w:proofErr w:type="spellEnd"/>
      <w:r>
        <w:rPr>
          <w:u w:val="single"/>
        </w:rPr>
        <w:t xml:space="preserve"> del </w:t>
      </w:r>
      <w:proofErr w:type="spellStart"/>
      <w:r>
        <w:rPr>
          <w:u w:val="single"/>
        </w:rPr>
        <w:t>documento</w:t>
      </w:r>
      <w:proofErr w:type="spellEnd"/>
    </w:p>
    <w:p w14:paraId="66463296" w14:textId="77777777" w:rsidR="00C911E8" w:rsidRDefault="00C911E8" w:rsidP="00C911E8"/>
    <w:p w14:paraId="2E0F9928" w14:textId="77777777" w:rsidR="00C911E8" w:rsidRPr="0014372A" w:rsidRDefault="00C911E8" w:rsidP="00C911E8">
      <w:pPr>
        <w:pStyle w:val="Heading1"/>
        <w:numPr>
          <w:ilvl w:val="0"/>
          <w:numId w:val="14"/>
        </w:numPr>
        <w:ind w:left="0" w:firstLine="0"/>
        <w:rPr>
          <w:lang w:val="es-ES"/>
        </w:rPr>
      </w:pPr>
      <w:r w:rsidRPr="0014372A">
        <w:rPr>
          <w:lang w:val="es-ES"/>
        </w:rPr>
        <w:t xml:space="preserve">La Secretaría ha preparado el presente documento en respuesta a la decisión 86/92. </w:t>
      </w:r>
    </w:p>
    <w:p w14:paraId="27736641" w14:textId="77777777" w:rsidR="00C911E8" w:rsidRDefault="00C911E8" w:rsidP="00C911E8">
      <w:pPr>
        <w:pStyle w:val="Heading1"/>
        <w:numPr>
          <w:ilvl w:val="0"/>
          <w:numId w:val="14"/>
        </w:numPr>
        <w:ind w:left="0" w:firstLine="0"/>
      </w:pPr>
      <w:r w:rsidRPr="0014372A">
        <w:rPr>
          <w:lang w:val="es-ES"/>
        </w:rPr>
        <w:t xml:space="preserve">Al preparar el documento, la Secretaría observó que persistían las limitaciones que existían cuando se preparó un análisis similar del régimen de costos administrativos y de la financiación de las unidades centrales para la 86ª reunión. </w:t>
      </w:r>
      <w:proofErr w:type="spellStart"/>
      <w:r>
        <w:t>Estas</w:t>
      </w:r>
      <w:proofErr w:type="spellEnd"/>
      <w:r>
        <w:t xml:space="preserve"> </w:t>
      </w:r>
      <w:proofErr w:type="spellStart"/>
      <w:r>
        <w:t>limitaciones</w:t>
      </w:r>
      <w:proofErr w:type="spellEnd"/>
      <w:r>
        <w:t xml:space="preserve"> se </w:t>
      </w:r>
      <w:proofErr w:type="spellStart"/>
      <w:r>
        <w:t>describen</w:t>
      </w:r>
      <w:proofErr w:type="spellEnd"/>
      <w:r>
        <w:t xml:space="preserve"> </w:t>
      </w:r>
      <w:proofErr w:type="spellStart"/>
      <w:r>
        <w:t>brevemente</w:t>
      </w:r>
      <w:proofErr w:type="spellEnd"/>
      <w:r>
        <w:t xml:space="preserve"> a </w:t>
      </w:r>
      <w:proofErr w:type="spellStart"/>
      <w:r>
        <w:t>continuación</w:t>
      </w:r>
      <w:proofErr w:type="spellEnd"/>
      <w:r>
        <w:t>.</w:t>
      </w:r>
    </w:p>
    <w:p w14:paraId="11269379" w14:textId="77777777" w:rsidR="00C911E8" w:rsidRPr="0014372A" w:rsidRDefault="00C911E8" w:rsidP="00C911E8">
      <w:pPr>
        <w:rPr>
          <w:i/>
          <w:lang w:val="es-ES"/>
        </w:rPr>
      </w:pPr>
      <w:r w:rsidRPr="0014372A">
        <w:rPr>
          <w:i/>
          <w:lang w:val="es-ES"/>
        </w:rPr>
        <w:t>Repercusiones de la pandemia de COVID-19 en el funcionamiento del Fondo Multilateral</w:t>
      </w:r>
    </w:p>
    <w:p w14:paraId="0FF443DB" w14:textId="77777777" w:rsidR="00C911E8" w:rsidRPr="0014372A" w:rsidRDefault="00C911E8" w:rsidP="00C911E8">
      <w:pPr>
        <w:rPr>
          <w:lang w:val="es-ES"/>
        </w:rPr>
      </w:pPr>
    </w:p>
    <w:p w14:paraId="28DBD332" w14:textId="77777777" w:rsidR="00C911E8" w:rsidRPr="0014372A" w:rsidRDefault="00C911E8" w:rsidP="00C911E8">
      <w:pPr>
        <w:pStyle w:val="Heading1"/>
        <w:numPr>
          <w:ilvl w:val="0"/>
          <w:numId w:val="14"/>
        </w:numPr>
        <w:ind w:left="0" w:firstLine="0"/>
        <w:rPr>
          <w:lang w:val="es-ES"/>
        </w:rPr>
      </w:pPr>
      <w:r w:rsidRPr="0014372A">
        <w:rPr>
          <w:lang w:val="es-ES"/>
        </w:rPr>
        <w:t xml:space="preserve">En 2020 y 2021, el Comité Ejecutivo no pudo celebrar reuniones presenciales como estaba previsto inicialmente. A fin de garantizar la continuidad de las actividades relacionadas con el cumplimiento en los países que operan al amparo del artículo 5, el Comité Ejecutivo puso en práctica, con carácter excepcional y sin sentar un precedente, procesos de aprobación en el período entre sesiones para las reuniones 85ª, 86ª, 87ª y 88ª, con el fin de examinar determinados documentos de reunión, combinados con reuniones en línea (“formato de sesión plenaria” con interpretación y “formato de grupo de contacto” sin interpretación) para examinar algunos otros documentos que no se habían abordado mediante esos procesos. </w:t>
      </w:r>
    </w:p>
    <w:p w14:paraId="1441E634" w14:textId="77777777" w:rsidR="00C911E8" w:rsidRPr="0014372A" w:rsidRDefault="00C911E8" w:rsidP="00C911E8">
      <w:pPr>
        <w:pStyle w:val="Heading1"/>
        <w:numPr>
          <w:ilvl w:val="0"/>
          <w:numId w:val="14"/>
        </w:numPr>
        <w:ind w:left="0" w:firstLine="0"/>
        <w:rPr>
          <w:lang w:val="es-ES"/>
        </w:rPr>
      </w:pPr>
      <w:r w:rsidRPr="0014372A">
        <w:rPr>
          <w:lang w:val="es-ES"/>
        </w:rPr>
        <w:t>Sin embargo, el Comité decidió aplazar el examen de varios de los documentos relacionados con políticas, algunos de ellos hasta que pudiera celebrarse una reunión presencial</w:t>
      </w:r>
      <w:r w:rsidRPr="00C911E8">
        <w:rPr>
          <w:rStyle w:val="FootnoteTextChar"/>
          <w:vertAlign w:val="superscript"/>
        </w:rPr>
        <w:footnoteReference w:id="7"/>
      </w:r>
      <w:r w:rsidRPr="0014372A">
        <w:rPr>
          <w:lang w:val="es-ES"/>
        </w:rPr>
        <w:t>. Los documentos que inciden en el análisis del régimen de costos administrativos son los siguientes:</w:t>
      </w:r>
    </w:p>
    <w:p w14:paraId="3F2925D8" w14:textId="45001A1F" w:rsidR="00C911E8" w:rsidRPr="0014372A" w:rsidRDefault="00C911E8" w:rsidP="00C911E8">
      <w:pPr>
        <w:pStyle w:val="Heading2"/>
        <w:widowControl/>
        <w:rPr>
          <w:lang w:val="es-ES"/>
        </w:rPr>
      </w:pPr>
      <w:r w:rsidRPr="0014372A">
        <w:rPr>
          <w:lang w:val="es-ES"/>
        </w:rPr>
        <w:t>Las directrices sobre los costos para la reducción de los HFC en los países que operan al amparo del artículo 5: Proyecto de criterios para la financiación (decisión 83/65 d)) (se</w:t>
      </w:r>
      <w:r w:rsidR="00067E46" w:rsidRPr="0014372A">
        <w:rPr>
          <w:lang w:val="es-ES"/>
        </w:rPr>
        <w:t> </w:t>
      </w:r>
      <w:r w:rsidRPr="0014372A">
        <w:rPr>
          <w:lang w:val="es-ES"/>
        </w:rPr>
        <w:t xml:space="preserve">tratará en la 89ª reunión); </w:t>
      </w:r>
    </w:p>
    <w:p w14:paraId="289D97DA" w14:textId="77777777" w:rsidR="00C911E8" w:rsidRPr="0014372A" w:rsidRDefault="00C911E8" w:rsidP="00C911E8">
      <w:pPr>
        <w:pStyle w:val="Heading2"/>
        <w:widowControl/>
        <w:rPr>
          <w:lang w:val="es-ES"/>
        </w:rPr>
      </w:pPr>
      <w:r w:rsidRPr="0014372A">
        <w:rPr>
          <w:lang w:val="es-ES"/>
        </w:rPr>
        <w:lastRenderedPageBreak/>
        <w:t>Posibles estrategias, medidas de políticas y compromisos, así como proyectos y actividades, que podrían integrarse en la etapa I de los planes de reducción de los HFC para los países que operan al amparo del artículo 5, a fin de garantizar que haya límites al crecimiento y reducciones del consumo de HFC que se sostengan con el paso del tiempo (decisión 87/49) (se tratará en la 86ª reunión);</w:t>
      </w:r>
    </w:p>
    <w:p w14:paraId="40D74B81" w14:textId="77777777" w:rsidR="00C911E8" w:rsidRPr="0014372A" w:rsidRDefault="00C911E8" w:rsidP="00C911E8">
      <w:pPr>
        <w:pStyle w:val="Heading2"/>
        <w:widowControl/>
        <w:rPr>
          <w:lang w:val="es-ES"/>
        </w:rPr>
      </w:pPr>
      <w:r w:rsidRPr="0014372A">
        <w:rPr>
          <w:lang w:val="es-ES"/>
        </w:rPr>
        <w:t>Análisis del nivel y las modalidades de financiación para la reducción de los HFC en el sector de servicio y mantenimiento de equipos de refrigeración (decisiones 83/65 b) y 84/86 b) ii)) (se tratará en la 88ª reunión);</w:t>
      </w:r>
    </w:p>
    <w:p w14:paraId="1E786E61" w14:textId="77777777" w:rsidR="00C911E8" w:rsidRPr="0014372A" w:rsidRDefault="00C911E8" w:rsidP="00C911E8">
      <w:pPr>
        <w:pStyle w:val="Heading2"/>
        <w:widowControl/>
        <w:rPr>
          <w:lang w:val="es-ES"/>
        </w:rPr>
      </w:pPr>
      <w:r w:rsidRPr="0014372A">
        <w:rPr>
          <w:lang w:val="es-ES"/>
        </w:rPr>
        <w:t>Actualización del análisis de las repercusiones de la ejecución paralela o integrada de las actividades de eliminación de los HCFC y de reducción de los HFC (decisión 84/86 b) i)) (se tratará en la 89ª reunión);</w:t>
      </w:r>
    </w:p>
    <w:p w14:paraId="0D2F42E7" w14:textId="77777777" w:rsidR="00C911E8" w:rsidRPr="0014372A" w:rsidRDefault="00C911E8" w:rsidP="00C911E8">
      <w:pPr>
        <w:pStyle w:val="Heading2"/>
        <w:widowControl/>
        <w:rPr>
          <w:lang w:val="es-ES"/>
        </w:rPr>
      </w:pPr>
      <w:r w:rsidRPr="0014372A">
        <w:rPr>
          <w:lang w:val="es-ES"/>
        </w:rPr>
        <w:t>Reseña de los proyectos de fortalecimiento institucional, con sus niveles de financiación (decisión 74/51 d)) (se tratará en la 89ª reunión);</w:t>
      </w:r>
    </w:p>
    <w:p w14:paraId="69264C37" w14:textId="77777777" w:rsidR="00C911E8" w:rsidRPr="0014372A" w:rsidRDefault="00C911E8" w:rsidP="00C911E8">
      <w:pPr>
        <w:pStyle w:val="Heading2"/>
        <w:widowControl/>
        <w:rPr>
          <w:lang w:val="es-ES"/>
        </w:rPr>
      </w:pPr>
      <w:r w:rsidRPr="0014372A">
        <w:rPr>
          <w:lang w:val="es-ES"/>
        </w:rPr>
        <w:t>Informe de síntesis en el que se describen las mejores prácticas y las maneras en que el Comité Ejecutivo puede considerar cómo llevar a la práctica el párrafo 24 de la decisión XXVIII/2 (decisión 84/87 b)) (se tratará en la 89ª reunión);</w:t>
      </w:r>
    </w:p>
    <w:p w14:paraId="7D46D1F0" w14:textId="77777777" w:rsidR="00C911E8" w:rsidRPr="0014372A" w:rsidRDefault="00C911E8" w:rsidP="00C911E8">
      <w:pPr>
        <w:pStyle w:val="Heading2"/>
        <w:widowControl/>
        <w:rPr>
          <w:lang w:val="es-ES"/>
        </w:rPr>
      </w:pPr>
      <w:r w:rsidRPr="0014372A">
        <w:rPr>
          <w:lang w:val="es-ES"/>
        </w:rPr>
        <w:t xml:space="preserve">Análisis e información sobre los costos adicionales y su duración, y la eficacia de los costos de todos los proyectos de inversión aprobados (decisión 84/87 a)) (se tratará en la 89ª reunión);  </w:t>
      </w:r>
    </w:p>
    <w:p w14:paraId="20F0DCF9" w14:textId="77777777" w:rsidR="00C911E8" w:rsidRPr="0014372A" w:rsidRDefault="00C911E8" w:rsidP="00C911E8">
      <w:pPr>
        <w:pStyle w:val="Heading2"/>
        <w:widowControl/>
        <w:rPr>
          <w:lang w:val="es-ES"/>
        </w:rPr>
      </w:pPr>
      <w:r w:rsidRPr="0014372A">
        <w:rPr>
          <w:lang w:val="es-ES"/>
        </w:rPr>
        <w:t>Documento sobre las maneras de llevar a la práctica el párrafo 16 de la decisión XXVIII/2 y el párrafo 2 de la decisión XXX/5 de las Partes (decisión 84/88) (se tratará en la 89ª reunión); e</w:t>
      </w:r>
    </w:p>
    <w:p w14:paraId="535A0ECD" w14:textId="77777777" w:rsidR="00C911E8" w:rsidRPr="0014372A" w:rsidRDefault="00C911E8" w:rsidP="00C911E8">
      <w:pPr>
        <w:pStyle w:val="Heading2"/>
        <w:widowControl/>
        <w:rPr>
          <w:lang w:val="es-ES"/>
        </w:rPr>
      </w:pPr>
      <w:r w:rsidRPr="0014372A">
        <w:rPr>
          <w:lang w:val="es-ES"/>
        </w:rPr>
        <w:t>Informe en el que se identifiquen las opciones, y los procedimientos y condiciones pertinentes, según proceda, a fin de movilizar recursos financieros para mantener o mejorar la eficiencia energética al sustituir los HFC por alternativas de bajo potencial de calentamiento atmosférico en los subsectores pertinentes de fabricación de espumas y en los sectores de equipos de refrigeración, aire acondicionado y bombas de calor (decisión 87/51) (se tratará en la 89ª reunión).</w:t>
      </w:r>
    </w:p>
    <w:p w14:paraId="40F6C037" w14:textId="77777777" w:rsidR="00C911E8" w:rsidRPr="0014372A" w:rsidRDefault="00C911E8" w:rsidP="00C911E8">
      <w:pPr>
        <w:pStyle w:val="Heading1"/>
        <w:numPr>
          <w:ilvl w:val="0"/>
          <w:numId w:val="14"/>
        </w:numPr>
        <w:ind w:left="0" w:firstLine="0"/>
        <w:rPr>
          <w:lang w:val="es-ES"/>
        </w:rPr>
      </w:pPr>
      <w:r w:rsidRPr="0014372A">
        <w:rPr>
          <w:lang w:val="es-ES"/>
        </w:rPr>
        <w:t>La pandemia de COVID-19 también tuvo repercusiones negativas en los proyectos y actividades del Fondo, provocando demoras en su ejecución. Para superar parcialmente algunas de las demoras, los organismos bilaterales y de ejecución ayudaron a las dependencias nacionales del ozono (DNO) a adaptar los procesos de ejecución mediante, entre otras cosas, videoconferencias para las consultas, programas de capacitación en línea para funcionarios de aduanas y técnicos de refrigeración, informes de verificación en línea, reuniones regionales en línea, seminarios web y plataformas de intercambio de archivos para actividades específicas de los proyectos (por ejemplo, trabajos preparatorios del proyecto que no necesitan reuniones presenciales, elaboración de los mandatos y especificaciones para los expertos técnicos y para equipos).</w:t>
      </w:r>
    </w:p>
    <w:p w14:paraId="5538CD7A" w14:textId="77777777" w:rsidR="00C911E8" w:rsidRPr="0014372A" w:rsidRDefault="00C911E8" w:rsidP="00C911E8">
      <w:pPr>
        <w:pStyle w:val="Heading1"/>
        <w:numPr>
          <w:ilvl w:val="0"/>
          <w:numId w:val="14"/>
        </w:numPr>
        <w:ind w:left="0" w:firstLine="0"/>
        <w:rPr>
          <w:lang w:val="es-ES"/>
        </w:rPr>
      </w:pPr>
      <w:r w:rsidRPr="0014372A">
        <w:rPr>
          <w:lang w:val="es-ES"/>
        </w:rPr>
        <w:t xml:space="preserve">Tras deliberar con los organismos sobre este asunto, la Secretaría señaló que se espera que las actividades se reanuden durante 2022, aunque persiste la incertidumbre sobre la rapidez con la que la situación volvería a la normalidad anterior a la COVID-19. Dado el amplio apoyo de los organismos bilaterales y de ejecución para llevar a cabo las actividades en curso en el marco de los planes de gestión de la eliminación de los HCFC (PGEH) y las actividades recientemente aprobadas para la preparación de los planes de reducción de los HFC (KIP), la Secretaría considera pertinente seguir evaluando y </w:t>
      </w:r>
      <w:r w:rsidRPr="0014372A">
        <w:rPr>
          <w:lang w:val="es-ES"/>
        </w:rPr>
        <w:lastRenderedPageBreak/>
        <w:t>supervisando la evolución de las repercusiones de la pandemia de COVID-19 en el funcionamiento del Fondo Multilateral.</w:t>
      </w:r>
    </w:p>
    <w:p w14:paraId="7F2FB6CE" w14:textId="77777777" w:rsidR="00C911E8" w:rsidRPr="0014372A" w:rsidRDefault="00C911E8" w:rsidP="00067E46">
      <w:pPr>
        <w:pStyle w:val="Heading1"/>
        <w:keepNext/>
        <w:keepLines/>
        <w:widowControl w:val="0"/>
        <w:rPr>
          <w:i/>
          <w:lang w:val="es-ES"/>
        </w:rPr>
      </w:pPr>
      <w:r w:rsidRPr="0014372A">
        <w:rPr>
          <w:i/>
          <w:lang w:val="es-ES"/>
        </w:rPr>
        <w:t>Situación de la reposición del Fondo Multilateral para el período 2021–2023</w:t>
      </w:r>
    </w:p>
    <w:p w14:paraId="6484F5D8" w14:textId="30FF136F" w:rsidR="00C911E8" w:rsidRPr="0014372A" w:rsidRDefault="00C911E8" w:rsidP="00067E46">
      <w:pPr>
        <w:pStyle w:val="Heading1"/>
        <w:numPr>
          <w:ilvl w:val="0"/>
          <w:numId w:val="14"/>
        </w:numPr>
        <w:spacing w:after="120"/>
        <w:ind w:left="0" w:firstLine="0"/>
        <w:rPr>
          <w:lang w:val="es-ES"/>
        </w:rPr>
      </w:pPr>
      <w:r w:rsidRPr="0014372A">
        <w:rPr>
          <w:lang w:val="es-ES"/>
        </w:rPr>
        <w:t xml:space="preserve">Al igual </w:t>
      </w:r>
      <w:proofErr w:type="spellStart"/>
      <w:r w:rsidR="00067E46" w:rsidRPr="0014372A">
        <w:rPr>
          <w:lang w:val="es-ES"/>
        </w:rPr>
        <w:t>qu’el</w:t>
      </w:r>
      <w:proofErr w:type="spellEnd"/>
      <w:r w:rsidRPr="0014372A">
        <w:rPr>
          <w:lang w:val="es-ES"/>
        </w:rPr>
        <w:t xml:space="preserve"> Comité Ejecutivo, las Partes del Protocolo de Montreal no pudieron celebrar reuniones presenciales en 2020 y 2021. Las Partes, aunque celebraron sus reuniones en la forma de trabajo en línea con un orden del día reducido, no pudieron adoptar las decisiones pertinentes. Con respecto a la reposición del Fondo Multilateral para el período 2021–2023, las Partes adoptaron, entre otras, las dos decisiones siguientes:</w:t>
      </w:r>
    </w:p>
    <w:p w14:paraId="5BD846CB" w14:textId="77777777" w:rsidR="00C911E8" w:rsidRPr="0014372A" w:rsidRDefault="00C911E8" w:rsidP="00067E46">
      <w:pPr>
        <w:pStyle w:val="Heading2"/>
        <w:widowControl/>
        <w:numPr>
          <w:ilvl w:val="1"/>
          <w:numId w:val="16"/>
        </w:numPr>
        <w:spacing w:after="120"/>
        <w:rPr>
          <w:lang w:val="es-ES"/>
        </w:rPr>
      </w:pPr>
      <w:r w:rsidRPr="0014372A">
        <w:rPr>
          <w:lang w:val="es-ES"/>
        </w:rPr>
        <w:t>En su 32ª Reunión</w:t>
      </w:r>
      <w:r w:rsidRPr="00C911E8">
        <w:rPr>
          <w:rStyle w:val="FootnoteTextChar"/>
          <w:vertAlign w:val="superscript"/>
        </w:rPr>
        <w:footnoteReference w:id="8"/>
      </w:r>
      <w:r w:rsidRPr="0014372A">
        <w:rPr>
          <w:lang w:val="es-ES"/>
        </w:rPr>
        <w:t xml:space="preserve">, aprobaron un presupuesto provisional del Fondo Multilateral para el trienio 2021–2023 de 268 millones de $EUA, dando prioridad a los fondos para el año 2021 dentro del trienio 2021–2023, hasta que las Partes adopten una decisión definitiva sobre la reposición, incluido un presupuesto revisado, para el trienio 2021–2023, en el entendimiento de que el presupuesto provisional se ejecutará con cargo a las cuotas previstas adeudadas al Fondo Multilateral y a otras fuentes para el trienio 2018–2020 (decisión XXXII/1); y </w:t>
      </w:r>
    </w:p>
    <w:p w14:paraId="1320C618" w14:textId="77777777" w:rsidR="00C911E8" w:rsidRPr="0014372A" w:rsidRDefault="00C911E8" w:rsidP="00067E46">
      <w:pPr>
        <w:pStyle w:val="Heading2"/>
        <w:widowControl/>
        <w:spacing w:after="120"/>
        <w:rPr>
          <w:lang w:val="es-ES"/>
        </w:rPr>
      </w:pPr>
      <w:r w:rsidRPr="0014372A">
        <w:rPr>
          <w:lang w:val="es-ES"/>
        </w:rPr>
        <w:t>En su 33ª Reunión</w:t>
      </w:r>
      <w:r w:rsidRPr="00C911E8">
        <w:rPr>
          <w:rStyle w:val="FootnoteTextChar"/>
          <w:vertAlign w:val="superscript"/>
        </w:rPr>
        <w:footnoteReference w:id="9"/>
      </w:r>
      <w:r w:rsidRPr="0014372A">
        <w:rPr>
          <w:lang w:val="es-ES"/>
        </w:rPr>
        <w:t>, aprobaron un presupuesto provisional actualizado para el Fondo para el trienio 2021–2023, de 400 millones de $EUA, hasta que las Partes adopten una decisión definitiva sobre la reposición, incluido un presupuesto revisado, para el trienio 2021–2023, en el entendimiento de que el presupuesto provisional se ejecutará con cargo a las cuotas previstas adeudadas al Fondo Multilateral y a otras fuentes para el trienio 2018–2020 y a las contribuciones ya realizadas por las Partes en 2021 (decisión XXXIII/1).</w:t>
      </w:r>
    </w:p>
    <w:p w14:paraId="6B5C5338" w14:textId="77777777" w:rsidR="00C911E8" w:rsidRPr="0014372A" w:rsidRDefault="00C911E8" w:rsidP="00067E46">
      <w:pPr>
        <w:pStyle w:val="Heading1"/>
        <w:numPr>
          <w:ilvl w:val="0"/>
          <w:numId w:val="14"/>
        </w:numPr>
        <w:spacing w:after="120"/>
        <w:ind w:left="0" w:firstLine="0"/>
        <w:rPr>
          <w:lang w:val="es-ES"/>
        </w:rPr>
      </w:pPr>
      <w:r w:rsidRPr="0014372A">
        <w:rPr>
          <w:lang w:val="es-ES"/>
        </w:rPr>
        <w:t>Las Partes también autorizaron a la Secretaría del Ozono a que organice una reunión extraordinaria de las Partes en 2022 para que estas puedan adoptar una decisión sobre la reposición del Fondo Multilateral para el trienio 2021–2023, siempre y cuando las circunstancias relacionadas con la pandemia mundial lo permitan (decisión XXXIII/3).</w:t>
      </w:r>
    </w:p>
    <w:p w14:paraId="4FF176A4" w14:textId="77777777" w:rsidR="00C911E8" w:rsidRPr="00864BF7" w:rsidRDefault="00C911E8" w:rsidP="00067E46">
      <w:pPr>
        <w:pStyle w:val="Heading1"/>
        <w:spacing w:after="120"/>
        <w:rPr>
          <w:color w:val="000000" w:themeColor="text1"/>
          <w:u w:val="single"/>
        </w:rPr>
      </w:pPr>
      <w:proofErr w:type="spellStart"/>
      <w:r>
        <w:rPr>
          <w:color w:val="000000" w:themeColor="text1"/>
          <w:u w:val="single"/>
        </w:rPr>
        <w:t>Metodología</w:t>
      </w:r>
      <w:proofErr w:type="spellEnd"/>
      <w:r>
        <w:rPr>
          <w:color w:val="000000" w:themeColor="text1"/>
          <w:u w:val="single"/>
        </w:rPr>
        <w:t xml:space="preserve"> </w:t>
      </w:r>
    </w:p>
    <w:p w14:paraId="7D614F9C" w14:textId="77777777" w:rsidR="00C911E8" w:rsidRPr="0014372A" w:rsidRDefault="00C911E8" w:rsidP="00067E46">
      <w:pPr>
        <w:pStyle w:val="Heading1"/>
        <w:numPr>
          <w:ilvl w:val="0"/>
          <w:numId w:val="14"/>
        </w:numPr>
        <w:spacing w:after="120"/>
        <w:ind w:left="0" w:firstLine="0"/>
        <w:rPr>
          <w:color w:val="000000" w:themeColor="text1"/>
          <w:lang w:val="es-ES"/>
        </w:rPr>
      </w:pPr>
      <w:r w:rsidRPr="0014372A">
        <w:rPr>
          <w:lang w:val="es-ES"/>
        </w:rPr>
        <w:t>Considerando que se pospusieron las decisiones y que se dispone de información limitada, la Secretaría realizó un análisis preliminar del régimen de costos administrativos para el trienio 2021–2023, basado en un examen de los siguientes documentos:</w:t>
      </w:r>
    </w:p>
    <w:p w14:paraId="1938124E" w14:textId="77777777" w:rsidR="00C911E8" w:rsidRPr="0014372A" w:rsidRDefault="00C911E8" w:rsidP="00067E46">
      <w:pPr>
        <w:pStyle w:val="Heading2"/>
        <w:widowControl/>
        <w:numPr>
          <w:ilvl w:val="1"/>
          <w:numId w:val="17"/>
        </w:numPr>
        <w:spacing w:after="120"/>
        <w:rPr>
          <w:color w:val="000000" w:themeColor="text1"/>
          <w:lang w:val="es-ES"/>
        </w:rPr>
      </w:pPr>
      <w:r w:rsidRPr="0014372A">
        <w:rPr>
          <w:lang w:val="es-ES"/>
        </w:rPr>
        <w:t>Los planes administrativos refundidos del Fondo Multilateral para 2021–2023 avalados por el Comité en su 86ª reunión</w:t>
      </w:r>
      <w:r w:rsidRPr="00C911E8">
        <w:rPr>
          <w:rStyle w:val="FootnoteTextChar"/>
          <w:vertAlign w:val="superscript"/>
        </w:rPr>
        <w:footnoteReference w:id="10"/>
      </w:r>
      <w:r w:rsidRPr="0014372A">
        <w:rPr>
          <w:lang w:val="es-ES"/>
        </w:rPr>
        <w:t>, para evaluar el total de los gastos de apoyo de los organismos de ejecución para sus operaciones durante este período;</w:t>
      </w:r>
    </w:p>
    <w:p w14:paraId="1722ECEA" w14:textId="77777777" w:rsidR="00C911E8" w:rsidRPr="0014372A" w:rsidRDefault="00C911E8" w:rsidP="00067E46">
      <w:pPr>
        <w:pStyle w:val="Heading2"/>
        <w:widowControl/>
        <w:spacing w:after="120"/>
        <w:rPr>
          <w:color w:val="000000" w:themeColor="text1"/>
          <w:lang w:val="es-ES"/>
        </w:rPr>
      </w:pPr>
      <w:r w:rsidRPr="0014372A">
        <w:rPr>
          <w:lang w:val="es-ES"/>
        </w:rPr>
        <w:t>El presupuesto del PAC del PNUMA para 2021 y los presupuestos de las unidades centrales del PNUD, la ONUDI y el Banco Mundial para 2021, aprobados en la 86ª reunión;</w:t>
      </w:r>
    </w:p>
    <w:p w14:paraId="31E797CA" w14:textId="77777777" w:rsidR="00C911E8" w:rsidRPr="0014372A" w:rsidRDefault="00C911E8" w:rsidP="00067E46">
      <w:pPr>
        <w:pStyle w:val="Heading2"/>
        <w:widowControl/>
        <w:spacing w:after="120"/>
        <w:rPr>
          <w:color w:val="000000" w:themeColor="text1"/>
          <w:lang w:val="es-ES"/>
        </w:rPr>
      </w:pPr>
      <w:r w:rsidRPr="0014372A">
        <w:rPr>
          <w:lang w:val="es-ES"/>
        </w:rPr>
        <w:t>El Presupuesto del PAC del PNUMA para 2022</w:t>
      </w:r>
      <w:r w:rsidRPr="00C911E8">
        <w:rPr>
          <w:rStyle w:val="FootnoteTextChar"/>
          <w:vertAlign w:val="superscript"/>
        </w:rPr>
        <w:footnoteReference w:id="11"/>
      </w:r>
      <w:r w:rsidRPr="0014372A">
        <w:rPr>
          <w:lang w:val="es-ES"/>
        </w:rPr>
        <w:t xml:space="preserve"> y los presupuestos de las unidades centrales del PNUD, la ONUDI y el Banco Mundial para 2022</w:t>
      </w:r>
      <w:r w:rsidRPr="00C911E8">
        <w:rPr>
          <w:rStyle w:val="FootnoteTextChar"/>
          <w:vertAlign w:val="superscript"/>
        </w:rPr>
        <w:footnoteReference w:id="12"/>
      </w:r>
      <w:r w:rsidRPr="0014372A">
        <w:rPr>
          <w:lang w:val="es-ES"/>
        </w:rPr>
        <w:t>, presentados en la 88ª reunión;</w:t>
      </w:r>
    </w:p>
    <w:p w14:paraId="1CB6DE80" w14:textId="77777777" w:rsidR="00C911E8" w:rsidRPr="0014372A" w:rsidRDefault="00C911E8" w:rsidP="00067E46">
      <w:pPr>
        <w:pStyle w:val="Heading2"/>
        <w:widowControl/>
        <w:rPr>
          <w:color w:val="000000" w:themeColor="text1"/>
          <w:lang w:val="es-ES"/>
        </w:rPr>
      </w:pPr>
      <w:r w:rsidRPr="0014372A">
        <w:rPr>
          <w:lang w:val="es-ES"/>
        </w:rPr>
        <w:t>Actualización del análisis de las repercusiones de la ejecución paralela o integrada de las actividades de eliminación de los HCFC y de reducción de los HFC (decisión 84/86 b) i))</w:t>
      </w:r>
      <w:r w:rsidRPr="00C911E8">
        <w:rPr>
          <w:rStyle w:val="FootnoteTextChar"/>
          <w:color w:val="000000" w:themeColor="text1"/>
          <w:vertAlign w:val="superscript"/>
        </w:rPr>
        <w:footnoteReference w:id="13"/>
      </w:r>
      <w:r w:rsidRPr="0014372A">
        <w:rPr>
          <w:lang w:val="es-ES"/>
        </w:rPr>
        <w:t xml:space="preserve">, </w:t>
      </w:r>
      <w:r w:rsidRPr="0014372A">
        <w:rPr>
          <w:lang w:val="es-ES"/>
        </w:rPr>
        <w:lastRenderedPageBreak/>
        <w:t>para evaluar las repercusiones de estas decisiones y esta información en el régimen de costos administrativos para el trienio 2021–2023.</w:t>
      </w:r>
    </w:p>
    <w:p w14:paraId="2E829E3B" w14:textId="77777777" w:rsidR="00C911E8" w:rsidRPr="0014372A" w:rsidRDefault="00C911E8" w:rsidP="00C911E8">
      <w:pPr>
        <w:pStyle w:val="Heading1"/>
        <w:numPr>
          <w:ilvl w:val="0"/>
          <w:numId w:val="14"/>
        </w:numPr>
        <w:ind w:left="0" w:firstLine="0"/>
        <w:rPr>
          <w:lang w:val="es-ES"/>
        </w:rPr>
      </w:pPr>
      <w:r w:rsidRPr="0014372A">
        <w:rPr>
          <w:lang w:val="es-ES"/>
        </w:rPr>
        <w:t xml:space="preserve">La Secretaría también deliberó con cada uno de los organismos de ejecución sobre las implicaciones del régimen de costos administrativos en el trienio 2021–2023, observando que durante el trienio, las actividades relacionadas con los PGEH se ejecutarían junto con las actividades preparatorias de los KIP, en vista de la aprobación de las directrices para la preparación de los planes de reducción de los HFC para los países que operan al amparo del artículo 5 (decisión 87/50); estas actividades afectarían los niveles de gastos de apoyo de los organismos necesarios para prestar asistencia a esos países. </w:t>
      </w:r>
    </w:p>
    <w:p w14:paraId="7DEBBBB0" w14:textId="77777777" w:rsidR="00C911E8" w:rsidRPr="0014372A" w:rsidRDefault="00C911E8" w:rsidP="00C911E8">
      <w:pPr>
        <w:pStyle w:val="Heading1"/>
        <w:numPr>
          <w:ilvl w:val="0"/>
          <w:numId w:val="14"/>
        </w:numPr>
        <w:ind w:left="0" w:firstLine="0"/>
        <w:rPr>
          <w:lang w:val="es-ES"/>
        </w:rPr>
      </w:pPr>
      <w:r w:rsidRPr="0014372A">
        <w:rPr>
          <w:lang w:val="es-ES"/>
        </w:rPr>
        <w:t>Al respecto, a partir de la 87ª reunión, se ha aprobado financiación para la preparación de KIP para 35 países que operan al amparo del artículo 5 y se han presentado solicitudes de financiación para otros 19 países que operan al amparo del artículo 5 en la 88ª reunión; las solicitudes de financiación para la preparación de los KIP de otros 70 y 29 países que operan al amparo del artículo 5 se han incluido en el plan administrativo refundido para 2022 y 2023, respectivamente</w:t>
      </w:r>
      <w:r w:rsidRPr="00C911E8">
        <w:rPr>
          <w:vertAlign w:val="superscript"/>
        </w:rPr>
        <w:footnoteReference w:id="14"/>
      </w:r>
      <w:r w:rsidRPr="0014372A">
        <w:rPr>
          <w:lang w:val="es-ES"/>
        </w:rPr>
        <w:t>. Estas actividades supondrían un aumento de la carga de trabajo de los organismos bilaterales y de ejecución y de las dependencias nacionales del ozono. Sin embargo, el alcance y la magnitud de las actividades relacionadas con la presentación de los KIP y, lo que es más importante, su ejecución, se comprenderán mejor una vez que concluyan los debates sobre las cuestiones de políticas pendientes relacionadas con los HFC, las directrices para los planes de reducción de los HFC, las posibles estrategias para la reducción de los HFC y los asuntos relacionados con la mejora de la eficiencia energética durante la reducción los HFC</w:t>
      </w:r>
      <w:r w:rsidRPr="00C911E8">
        <w:rPr>
          <w:rStyle w:val="FootnoteTextChar"/>
          <w:vertAlign w:val="superscript"/>
        </w:rPr>
        <w:footnoteReference w:id="15"/>
      </w:r>
      <w:r w:rsidRPr="0014372A">
        <w:rPr>
          <w:vertAlign w:val="superscript"/>
          <w:lang w:val="es-ES"/>
        </w:rPr>
        <w:t xml:space="preserve"> </w:t>
      </w:r>
      <w:r w:rsidRPr="0014372A">
        <w:rPr>
          <w:lang w:val="es-ES"/>
        </w:rPr>
        <w:t>y se adopten decisiones. Teniendo en cuenta estas consideraciones, el Comité Ejecutivo pidió a la Secretaría que preparara un análisis relacionado con la capacidad de las instituciones del Fondo Multilateral y de los países que operan al amparo del artículo 5 para abordar la reducción de los HFC, que se consideraría en la 91ª reunión.</w:t>
      </w:r>
    </w:p>
    <w:p w14:paraId="578C3FB4" w14:textId="77777777" w:rsidR="00C911E8" w:rsidRPr="0014372A" w:rsidRDefault="00C911E8" w:rsidP="00C911E8">
      <w:pPr>
        <w:rPr>
          <w:b/>
          <w:lang w:val="es-ES"/>
        </w:rPr>
      </w:pPr>
      <w:r w:rsidRPr="0014372A">
        <w:rPr>
          <w:b/>
          <w:lang w:val="es-ES"/>
        </w:rPr>
        <w:t>Reseña del régimen de costos administrativos del Fondo Multilateral</w:t>
      </w:r>
    </w:p>
    <w:p w14:paraId="3A74C477" w14:textId="77777777" w:rsidR="00C911E8" w:rsidRPr="0014372A" w:rsidRDefault="00C911E8" w:rsidP="00C911E8">
      <w:pPr>
        <w:rPr>
          <w:lang w:val="es-ES"/>
        </w:rPr>
      </w:pPr>
    </w:p>
    <w:p w14:paraId="2CA1EE89" w14:textId="77777777" w:rsidR="00C911E8" w:rsidRPr="0014372A" w:rsidRDefault="00C911E8" w:rsidP="00C911E8">
      <w:pPr>
        <w:pStyle w:val="Heading1"/>
        <w:numPr>
          <w:ilvl w:val="0"/>
          <w:numId w:val="14"/>
        </w:numPr>
        <w:ind w:left="0" w:firstLine="0"/>
        <w:rPr>
          <w:lang w:val="es-ES"/>
        </w:rPr>
      </w:pPr>
      <w:r w:rsidRPr="0014372A">
        <w:rPr>
          <w:lang w:val="es-ES"/>
        </w:rPr>
        <w:t xml:space="preserve">Desde la creación del Fondo Multilateral, las tasas de gastos de apoyo a los programas, calculadas como una proporción de la financiación aprobada para proyectos por trienio, han rondado por lo general por debajo del 13%, como se muestra en el Cuadro 1. </w:t>
      </w:r>
    </w:p>
    <w:p w14:paraId="5B48C76C" w14:textId="77777777" w:rsidR="00C911E8" w:rsidRPr="0014372A" w:rsidRDefault="00C911E8" w:rsidP="00C911E8">
      <w:pPr>
        <w:keepNext/>
        <w:rPr>
          <w:b/>
          <w:color w:val="000000" w:themeColor="text1"/>
          <w:sz w:val="21"/>
          <w:szCs w:val="21"/>
          <w:lang w:val="es-ES"/>
        </w:rPr>
      </w:pPr>
      <w:r w:rsidRPr="0014372A">
        <w:rPr>
          <w:b/>
          <w:color w:val="000000" w:themeColor="text1"/>
          <w:sz w:val="21"/>
          <w:lang w:val="es-ES"/>
        </w:rPr>
        <w:t>Cuadro 1. Costos administrativos pagados por el Fondo Multilateral por trienio a partir de 1991 (porcentaje)</w:t>
      </w:r>
      <w:r w:rsidRPr="00024601">
        <w:rPr>
          <w:rStyle w:val="FootnoteReference"/>
          <w:b/>
          <w:color w:val="000000" w:themeColor="text1"/>
          <w:sz w:val="21"/>
          <w:szCs w:val="21"/>
        </w:rPr>
        <w:footnoteReference w:id="16"/>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9"/>
        <w:gridCol w:w="910"/>
        <w:gridCol w:w="910"/>
        <w:gridCol w:w="910"/>
        <w:gridCol w:w="910"/>
        <w:gridCol w:w="910"/>
        <w:gridCol w:w="910"/>
        <w:gridCol w:w="909"/>
        <w:gridCol w:w="909"/>
        <w:gridCol w:w="909"/>
      </w:tblGrid>
      <w:tr w:rsidR="00C911E8" w:rsidRPr="00642DD0" w14:paraId="49AF0BBD" w14:textId="77777777" w:rsidTr="0075721B">
        <w:trPr>
          <w:tblHeader/>
        </w:trPr>
        <w:tc>
          <w:tcPr>
            <w:tcW w:w="624" w:type="pct"/>
            <w:shd w:val="clear" w:color="auto" w:fill="auto"/>
            <w:noWrap/>
            <w:tcMar>
              <w:left w:w="29" w:type="dxa"/>
              <w:right w:w="0" w:type="dxa"/>
            </w:tcMar>
            <w:vAlign w:val="center"/>
            <w:hideMark/>
          </w:tcPr>
          <w:p w14:paraId="12176948" w14:textId="77777777" w:rsidR="00C911E8" w:rsidRPr="00642DD0" w:rsidRDefault="00C911E8" w:rsidP="00C911E8">
            <w:pPr>
              <w:keepNext/>
              <w:jc w:val="center"/>
              <w:rPr>
                <w:b/>
                <w:bCs/>
                <w:color w:val="000000" w:themeColor="text1"/>
                <w:sz w:val="20"/>
                <w:szCs w:val="20"/>
              </w:rPr>
            </w:pPr>
            <w:proofErr w:type="spellStart"/>
            <w:r>
              <w:rPr>
                <w:b/>
                <w:color w:val="000000" w:themeColor="text1"/>
                <w:sz w:val="20"/>
              </w:rPr>
              <w:t>Organismo</w:t>
            </w:r>
            <w:proofErr w:type="spellEnd"/>
          </w:p>
        </w:tc>
        <w:tc>
          <w:tcPr>
            <w:tcW w:w="486" w:type="pct"/>
            <w:tcMar>
              <w:left w:w="58" w:type="dxa"/>
              <w:right w:w="58" w:type="dxa"/>
            </w:tcMar>
            <w:vAlign w:val="center"/>
          </w:tcPr>
          <w:p w14:paraId="272EA9FA" w14:textId="77777777" w:rsidR="00C911E8" w:rsidRPr="00642DD0" w:rsidRDefault="00C911E8" w:rsidP="00C911E8">
            <w:pPr>
              <w:keepNext/>
              <w:jc w:val="center"/>
              <w:rPr>
                <w:b/>
                <w:bCs/>
                <w:color w:val="000000" w:themeColor="text1"/>
                <w:sz w:val="20"/>
                <w:szCs w:val="20"/>
              </w:rPr>
            </w:pPr>
            <w:r>
              <w:rPr>
                <w:b/>
                <w:color w:val="000000" w:themeColor="text1"/>
                <w:sz w:val="20"/>
              </w:rPr>
              <w:t>1991–1999</w:t>
            </w:r>
          </w:p>
        </w:tc>
        <w:tc>
          <w:tcPr>
            <w:tcW w:w="486" w:type="pct"/>
            <w:shd w:val="clear" w:color="auto" w:fill="auto"/>
            <w:noWrap/>
            <w:tcMar>
              <w:left w:w="58" w:type="dxa"/>
              <w:right w:w="58" w:type="dxa"/>
            </w:tcMar>
            <w:vAlign w:val="center"/>
            <w:hideMark/>
          </w:tcPr>
          <w:p w14:paraId="443BA5D9" w14:textId="77777777" w:rsidR="00C911E8" w:rsidRPr="00642DD0" w:rsidRDefault="00C911E8" w:rsidP="00C911E8">
            <w:pPr>
              <w:keepNext/>
              <w:jc w:val="center"/>
              <w:rPr>
                <w:b/>
                <w:bCs/>
                <w:color w:val="000000" w:themeColor="text1"/>
                <w:sz w:val="20"/>
                <w:szCs w:val="20"/>
              </w:rPr>
            </w:pPr>
            <w:r>
              <w:rPr>
                <w:b/>
                <w:color w:val="000000" w:themeColor="text1"/>
                <w:sz w:val="20"/>
              </w:rPr>
              <w:t>2000–2002</w:t>
            </w:r>
          </w:p>
        </w:tc>
        <w:tc>
          <w:tcPr>
            <w:tcW w:w="486" w:type="pct"/>
            <w:shd w:val="clear" w:color="auto" w:fill="auto"/>
            <w:noWrap/>
            <w:tcMar>
              <w:left w:w="58" w:type="dxa"/>
              <w:right w:w="58" w:type="dxa"/>
            </w:tcMar>
            <w:vAlign w:val="center"/>
            <w:hideMark/>
          </w:tcPr>
          <w:p w14:paraId="3F56615B" w14:textId="77777777" w:rsidR="00C911E8" w:rsidRPr="00642DD0" w:rsidRDefault="00C911E8" w:rsidP="00C911E8">
            <w:pPr>
              <w:keepNext/>
              <w:jc w:val="center"/>
              <w:rPr>
                <w:b/>
                <w:bCs/>
                <w:color w:val="000000" w:themeColor="text1"/>
                <w:sz w:val="20"/>
                <w:szCs w:val="20"/>
              </w:rPr>
            </w:pPr>
            <w:r>
              <w:rPr>
                <w:b/>
                <w:color w:val="000000" w:themeColor="text1"/>
                <w:sz w:val="20"/>
              </w:rPr>
              <w:t>2003–2005</w:t>
            </w:r>
          </w:p>
        </w:tc>
        <w:tc>
          <w:tcPr>
            <w:tcW w:w="486" w:type="pct"/>
            <w:shd w:val="clear" w:color="auto" w:fill="auto"/>
            <w:noWrap/>
            <w:tcMar>
              <w:left w:w="58" w:type="dxa"/>
              <w:right w:w="58" w:type="dxa"/>
            </w:tcMar>
            <w:vAlign w:val="center"/>
            <w:hideMark/>
          </w:tcPr>
          <w:p w14:paraId="6FE1ACA2" w14:textId="77777777" w:rsidR="00C911E8" w:rsidRPr="00642DD0" w:rsidRDefault="00C911E8" w:rsidP="00C911E8">
            <w:pPr>
              <w:keepNext/>
              <w:jc w:val="center"/>
              <w:rPr>
                <w:b/>
                <w:bCs/>
                <w:color w:val="000000" w:themeColor="text1"/>
                <w:sz w:val="20"/>
                <w:szCs w:val="20"/>
              </w:rPr>
            </w:pPr>
            <w:r>
              <w:rPr>
                <w:b/>
                <w:color w:val="000000" w:themeColor="text1"/>
                <w:sz w:val="20"/>
              </w:rPr>
              <w:t>2006–2008</w:t>
            </w:r>
          </w:p>
        </w:tc>
        <w:tc>
          <w:tcPr>
            <w:tcW w:w="486" w:type="pct"/>
            <w:shd w:val="clear" w:color="auto" w:fill="auto"/>
            <w:noWrap/>
            <w:tcMar>
              <w:left w:w="58" w:type="dxa"/>
              <w:right w:w="58" w:type="dxa"/>
            </w:tcMar>
            <w:vAlign w:val="center"/>
            <w:hideMark/>
          </w:tcPr>
          <w:p w14:paraId="3FA8B51E" w14:textId="77777777" w:rsidR="00C911E8" w:rsidRPr="00642DD0" w:rsidRDefault="00C911E8" w:rsidP="00C911E8">
            <w:pPr>
              <w:keepNext/>
              <w:jc w:val="center"/>
              <w:rPr>
                <w:b/>
                <w:bCs/>
                <w:color w:val="000000" w:themeColor="text1"/>
                <w:sz w:val="20"/>
                <w:szCs w:val="20"/>
              </w:rPr>
            </w:pPr>
            <w:r>
              <w:rPr>
                <w:b/>
                <w:color w:val="000000" w:themeColor="text1"/>
                <w:sz w:val="20"/>
              </w:rPr>
              <w:t>2009–2011</w:t>
            </w:r>
          </w:p>
        </w:tc>
        <w:tc>
          <w:tcPr>
            <w:tcW w:w="486" w:type="pct"/>
            <w:shd w:val="clear" w:color="auto" w:fill="auto"/>
            <w:noWrap/>
            <w:tcMar>
              <w:left w:w="58" w:type="dxa"/>
              <w:right w:w="58" w:type="dxa"/>
            </w:tcMar>
            <w:vAlign w:val="center"/>
            <w:hideMark/>
          </w:tcPr>
          <w:p w14:paraId="463919E3" w14:textId="77777777" w:rsidR="00C911E8" w:rsidRPr="00642DD0" w:rsidRDefault="00C911E8" w:rsidP="00C911E8">
            <w:pPr>
              <w:keepNext/>
              <w:jc w:val="center"/>
              <w:rPr>
                <w:b/>
                <w:bCs/>
                <w:color w:val="000000" w:themeColor="text1"/>
                <w:sz w:val="20"/>
                <w:szCs w:val="20"/>
              </w:rPr>
            </w:pPr>
            <w:r>
              <w:rPr>
                <w:b/>
                <w:color w:val="000000" w:themeColor="text1"/>
                <w:sz w:val="20"/>
              </w:rPr>
              <w:t>2012–2014</w:t>
            </w:r>
          </w:p>
        </w:tc>
        <w:tc>
          <w:tcPr>
            <w:tcW w:w="486" w:type="pct"/>
            <w:tcMar>
              <w:left w:w="58" w:type="dxa"/>
              <w:right w:w="58" w:type="dxa"/>
            </w:tcMar>
            <w:vAlign w:val="center"/>
          </w:tcPr>
          <w:p w14:paraId="17A2F913" w14:textId="77777777" w:rsidR="00C911E8" w:rsidRPr="00642DD0" w:rsidRDefault="00C911E8" w:rsidP="00C911E8">
            <w:pPr>
              <w:keepNext/>
              <w:jc w:val="center"/>
              <w:rPr>
                <w:b/>
                <w:bCs/>
                <w:color w:val="000000" w:themeColor="text1"/>
                <w:sz w:val="20"/>
                <w:szCs w:val="20"/>
              </w:rPr>
            </w:pPr>
            <w:r>
              <w:rPr>
                <w:b/>
                <w:color w:val="000000" w:themeColor="text1"/>
                <w:sz w:val="20"/>
              </w:rPr>
              <w:t>2015–2017</w:t>
            </w:r>
          </w:p>
        </w:tc>
        <w:tc>
          <w:tcPr>
            <w:tcW w:w="486" w:type="pct"/>
            <w:tcMar>
              <w:left w:w="58" w:type="dxa"/>
              <w:right w:w="58" w:type="dxa"/>
            </w:tcMar>
            <w:vAlign w:val="center"/>
          </w:tcPr>
          <w:p w14:paraId="623A1F0C" w14:textId="77777777" w:rsidR="00C911E8" w:rsidRPr="00642DD0" w:rsidRDefault="00C911E8" w:rsidP="00C911E8">
            <w:pPr>
              <w:keepNext/>
              <w:jc w:val="center"/>
              <w:rPr>
                <w:b/>
                <w:bCs/>
                <w:color w:val="000000" w:themeColor="text1"/>
                <w:sz w:val="20"/>
                <w:szCs w:val="20"/>
              </w:rPr>
            </w:pPr>
            <w:r>
              <w:rPr>
                <w:b/>
                <w:color w:val="000000" w:themeColor="text1"/>
                <w:sz w:val="20"/>
              </w:rPr>
              <w:t>2018–2020</w:t>
            </w:r>
          </w:p>
        </w:tc>
        <w:tc>
          <w:tcPr>
            <w:tcW w:w="486" w:type="pct"/>
            <w:tcMar>
              <w:left w:w="58" w:type="dxa"/>
              <w:right w:w="58" w:type="dxa"/>
            </w:tcMar>
          </w:tcPr>
          <w:p w14:paraId="6AC604B2" w14:textId="77777777" w:rsidR="00C911E8" w:rsidRPr="00642DD0" w:rsidRDefault="00C911E8" w:rsidP="00C911E8">
            <w:pPr>
              <w:keepNext/>
              <w:jc w:val="center"/>
              <w:rPr>
                <w:b/>
                <w:bCs/>
                <w:color w:val="000000" w:themeColor="text1"/>
                <w:sz w:val="20"/>
                <w:szCs w:val="20"/>
              </w:rPr>
            </w:pPr>
            <w:r>
              <w:rPr>
                <w:b/>
                <w:color w:val="000000" w:themeColor="text1"/>
                <w:sz w:val="20"/>
              </w:rPr>
              <w:t>2021–2023**</w:t>
            </w:r>
          </w:p>
        </w:tc>
      </w:tr>
      <w:tr w:rsidR="00C911E8" w:rsidRPr="00642DD0" w14:paraId="5CAA72F9" w14:textId="77777777" w:rsidTr="0075721B">
        <w:tc>
          <w:tcPr>
            <w:tcW w:w="624" w:type="pct"/>
            <w:shd w:val="clear" w:color="auto" w:fill="auto"/>
            <w:noWrap/>
            <w:tcMar>
              <w:left w:w="29" w:type="dxa"/>
              <w:right w:w="0" w:type="dxa"/>
            </w:tcMar>
            <w:vAlign w:val="bottom"/>
            <w:hideMark/>
          </w:tcPr>
          <w:p w14:paraId="5B621ADD" w14:textId="77777777" w:rsidR="00C911E8" w:rsidRPr="00642DD0" w:rsidRDefault="00C911E8" w:rsidP="00C911E8">
            <w:pPr>
              <w:keepNext/>
              <w:rPr>
                <w:color w:val="000000" w:themeColor="text1"/>
                <w:sz w:val="20"/>
                <w:szCs w:val="20"/>
              </w:rPr>
            </w:pPr>
            <w:proofErr w:type="spellStart"/>
            <w:r>
              <w:rPr>
                <w:color w:val="000000" w:themeColor="text1"/>
                <w:sz w:val="20"/>
              </w:rPr>
              <w:t>Bilaterales</w:t>
            </w:r>
            <w:proofErr w:type="spellEnd"/>
          </w:p>
        </w:tc>
        <w:tc>
          <w:tcPr>
            <w:tcW w:w="486" w:type="pct"/>
            <w:shd w:val="clear" w:color="auto" w:fill="auto"/>
            <w:tcMar>
              <w:left w:w="0" w:type="dxa"/>
              <w:right w:w="187" w:type="dxa"/>
            </w:tcMar>
            <w:vAlign w:val="center"/>
          </w:tcPr>
          <w:p w14:paraId="5DAD7BE1" w14:textId="77777777" w:rsidR="00C911E8" w:rsidRPr="00642DD0" w:rsidRDefault="00C911E8" w:rsidP="00C911E8">
            <w:pPr>
              <w:keepNext/>
              <w:jc w:val="right"/>
              <w:rPr>
                <w:color w:val="000000"/>
                <w:sz w:val="20"/>
                <w:szCs w:val="20"/>
              </w:rPr>
            </w:pPr>
            <w:r>
              <w:rPr>
                <w:color w:val="000000"/>
                <w:sz w:val="20"/>
              </w:rPr>
              <w:t>2,8</w:t>
            </w:r>
          </w:p>
        </w:tc>
        <w:tc>
          <w:tcPr>
            <w:tcW w:w="486" w:type="pct"/>
            <w:shd w:val="clear" w:color="auto" w:fill="auto"/>
            <w:noWrap/>
            <w:tcMar>
              <w:left w:w="0" w:type="dxa"/>
              <w:right w:w="187" w:type="dxa"/>
            </w:tcMar>
            <w:vAlign w:val="center"/>
            <w:hideMark/>
          </w:tcPr>
          <w:p w14:paraId="637660A5" w14:textId="77777777" w:rsidR="00C911E8" w:rsidRPr="00642DD0" w:rsidRDefault="00C911E8" w:rsidP="00C911E8">
            <w:pPr>
              <w:keepNext/>
              <w:jc w:val="right"/>
              <w:rPr>
                <w:color w:val="000000"/>
                <w:sz w:val="20"/>
                <w:szCs w:val="20"/>
              </w:rPr>
            </w:pPr>
            <w:r>
              <w:rPr>
                <w:color w:val="000000"/>
                <w:sz w:val="20"/>
              </w:rPr>
              <w:t>11,4</w:t>
            </w:r>
          </w:p>
        </w:tc>
        <w:tc>
          <w:tcPr>
            <w:tcW w:w="486" w:type="pct"/>
            <w:shd w:val="clear" w:color="auto" w:fill="auto"/>
            <w:noWrap/>
            <w:tcMar>
              <w:left w:w="0" w:type="dxa"/>
              <w:right w:w="187" w:type="dxa"/>
            </w:tcMar>
            <w:vAlign w:val="center"/>
            <w:hideMark/>
          </w:tcPr>
          <w:p w14:paraId="4F668816" w14:textId="77777777" w:rsidR="00C911E8" w:rsidRPr="00642DD0" w:rsidRDefault="00C911E8" w:rsidP="00C911E8">
            <w:pPr>
              <w:keepNext/>
              <w:jc w:val="right"/>
              <w:rPr>
                <w:color w:val="000000"/>
                <w:sz w:val="20"/>
                <w:szCs w:val="20"/>
              </w:rPr>
            </w:pPr>
            <w:r>
              <w:rPr>
                <w:color w:val="000000"/>
                <w:sz w:val="20"/>
              </w:rPr>
              <w:t>10,7</w:t>
            </w:r>
          </w:p>
        </w:tc>
        <w:tc>
          <w:tcPr>
            <w:tcW w:w="486" w:type="pct"/>
            <w:shd w:val="clear" w:color="auto" w:fill="auto"/>
            <w:noWrap/>
            <w:tcMar>
              <w:left w:w="0" w:type="dxa"/>
              <w:right w:w="187" w:type="dxa"/>
            </w:tcMar>
            <w:vAlign w:val="center"/>
            <w:hideMark/>
          </w:tcPr>
          <w:p w14:paraId="2B7F8E48" w14:textId="77777777" w:rsidR="00C911E8" w:rsidRPr="00642DD0" w:rsidRDefault="00C911E8" w:rsidP="00C911E8">
            <w:pPr>
              <w:keepNext/>
              <w:jc w:val="right"/>
              <w:rPr>
                <w:color w:val="000000"/>
                <w:sz w:val="20"/>
                <w:szCs w:val="20"/>
              </w:rPr>
            </w:pPr>
            <w:r>
              <w:rPr>
                <w:color w:val="000000"/>
                <w:sz w:val="20"/>
              </w:rPr>
              <w:t>12,4</w:t>
            </w:r>
          </w:p>
        </w:tc>
        <w:tc>
          <w:tcPr>
            <w:tcW w:w="486" w:type="pct"/>
            <w:shd w:val="clear" w:color="auto" w:fill="auto"/>
            <w:noWrap/>
            <w:tcMar>
              <w:left w:w="0" w:type="dxa"/>
              <w:right w:w="187" w:type="dxa"/>
            </w:tcMar>
            <w:vAlign w:val="center"/>
            <w:hideMark/>
          </w:tcPr>
          <w:p w14:paraId="57823546" w14:textId="77777777" w:rsidR="00C911E8" w:rsidRPr="00642DD0" w:rsidRDefault="00C911E8" w:rsidP="00C911E8">
            <w:pPr>
              <w:keepNext/>
              <w:jc w:val="right"/>
              <w:rPr>
                <w:color w:val="000000"/>
                <w:sz w:val="20"/>
                <w:szCs w:val="20"/>
              </w:rPr>
            </w:pPr>
            <w:r>
              <w:rPr>
                <w:color w:val="000000"/>
                <w:sz w:val="20"/>
              </w:rPr>
              <w:t>12,3</w:t>
            </w:r>
          </w:p>
        </w:tc>
        <w:tc>
          <w:tcPr>
            <w:tcW w:w="486" w:type="pct"/>
            <w:shd w:val="clear" w:color="auto" w:fill="auto"/>
            <w:noWrap/>
            <w:tcMar>
              <w:left w:w="0" w:type="dxa"/>
              <w:right w:w="187" w:type="dxa"/>
            </w:tcMar>
            <w:vAlign w:val="center"/>
            <w:hideMark/>
          </w:tcPr>
          <w:p w14:paraId="3942A575" w14:textId="77777777" w:rsidR="00C911E8" w:rsidRPr="00642DD0" w:rsidRDefault="00C911E8" w:rsidP="00C911E8">
            <w:pPr>
              <w:keepNext/>
              <w:jc w:val="right"/>
              <w:rPr>
                <w:color w:val="000000"/>
                <w:sz w:val="20"/>
                <w:szCs w:val="20"/>
              </w:rPr>
            </w:pPr>
            <w:r>
              <w:rPr>
                <w:color w:val="000000"/>
                <w:sz w:val="20"/>
              </w:rPr>
              <w:t>11,7</w:t>
            </w:r>
          </w:p>
        </w:tc>
        <w:tc>
          <w:tcPr>
            <w:tcW w:w="486" w:type="pct"/>
            <w:shd w:val="clear" w:color="auto" w:fill="auto"/>
            <w:tcMar>
              <w:left w:w="0" w:type="dxa"/>
              <w:right w:w="187" w:type="dxa"/>
            </w:tcMar>
            <w:vAlign w:val="center"/>
          </w:tcPr>
          <w:p w14:paraId="4CD249FA" w14:textId="77777777" w:rsidR="00C911E8" w:rsidRPr="00642DD0" w:rsidRDefault="00C911E8" w:rsidP="00C911E8">
            <w:pPr>
              <w:keepNext/>
              <w:jc w:val="right"/>
              <w:rPr>
                <w:color w:val="000000"/>
                <w:sz w:val="20"/>
                <w:szCs w:val="20"/>
              </w:rPr>
            </w:pPr>
            <w:r>
              <w:rPr>
                <w:color w:val="000000"/>
                <w:sz w:val="20"/>
              </w:rPr>
              <w:t>11,8</w:t>
            </w:r>
          </w:p>
        </w:tc>
        <w:tc>
          <w:tcPr>
            <w:tcW w:w="486" w:type="pct"/>
            <w:shd w:val="clear" w:color="auto" w:fill="auto"/>
            <w:tcMar>
              <w:left w:w="0" w:type="dxa"/>
              <w:right w:w="187" w:type="dxa"/>
            </w:tcMar>
            <w:vAlign w:val="center"/>
          </w:tcPr>
          <w:p w14:paraId="3A6CD8CF" w14:textId="77777777" w:rsidR="00C911E8" w:rsidRPr="00642DD0" w:rsidRDefault="00C911E8" w:rsidP="00C911E8">
            <w:pPr>
              <w:keepNext/>
              <w:jc w:val="right"/>
              <w:rPr>
                <w:color w:val="000000"/>
                <w:sz w:val="20"/>
                <w:szCs w:val="20"/>
              </w:rPr>
            </w:pPr>
            <w:r>
              <w:rPr>
                <w:color w:val="000000"/>
                <w:sz w:val="20"/>
              </w:rPr>
              <w:t>11,5</w:t>
            </w:r>
          </w:p>
        </w:tc>
        <w:tc>
          <w:tcPr>
            <w:tcW w:w="486" w:type="pct"/>
            <w:shd w:val="clear" w:color="auto" w:fill="auto"/>
            <w:tcMar>
              <w:left w:w="0" w:type="dxa"/>
              <w:right w:w="187" w:type="dxa"/>
            </w:tcMar>
          </w:tcPr>
          <w:p w14:paraId="7CC640A2" w14:textId="77777777" w:rsidR="00C911E8" w:rsidRPr="00642DD0" w:rsidRDefault="00C911E8" w:rsidP="00C911E8">
            <w:pPr>
              <w:keepNext/>
              <w:jc w:val="right"/>
              <w:rPr>
                <w:color w:val="000000"/>
                <w:sz w:val="20"/>
                <w:szCs w:val="20"/>
              </w:rPr>
            </w:pPr>
            <w:r>
              <w:rPr>
                <w:color w:val="000000"/>
                <w:sz w:val="20"/>
              </w:rPr>
              <w:t>11,8</w:t>
            </w:r>
          </w:p>
        </w:tc>
      </w:tr>
      <w:tr w:rsidR="00C911E8" w:rsidRPr="00642DD0" w14:paraId="5BF26917" w14:textId="77777777" w:rsidTr="0075721B">
        <w:tc>
          <w:tcPr>
            <w:tcW w:w="624" w:type="pct"/>
            <w:shd w:val="clear" w:color="auto" w:fill="auto"/>
            <w:noWrap/>
            <w:tcMar>
              <w:left w:w="29" w:type="dxa"/>
              <w:right w:w="0" w:type="dxa"/>
            </w:tcMar>
            <w:vAlign w:val="bottom"/>
            <w:hideMark/>
          </w:tcPr>
          <w:p w14:paraId="1209987F" w14:textId="77777777" w:rsidR="00C911E8" w:rsidRPr="00642DD0" w:rsidRDefault="00C911E8" w:rsidP="00C911E8">
            <w:pPr>
              <w:keepNext/>
              <w:rPr>
                <w:color w:val="000000" w:themeColor="text1"/>
                <w:sz w:val="20"/>
                <w:szCs w:val="20"/>
              </w:rPr>
            </w:pPr>
            <w:r>
              <w:rPr>
                <w:color w:val="000000" w:themeColor="text1"/>
                <w:sz w:val="20"/>
              </w:rPr>
              <w:t>PNUD</w:t>
            </w:r>
          </w:p>
        </w:tc>
        <w:tc>
          <w:tcPr>
            <w:tcW w:w="486" w:type="pct"/>
            <w:shd w:val="clear" w:color="auto" w:fill="auto"/>
            <w:tcMar>
              <w:left w:w="0" w:type="dxa"/>
              <w:right w:w="187" w:type="dxa"/>
            </w:tcMar>
            <w:vAlign w:val="center"/>
          </w:tcPr>
          <w:p w14:paraId="152BF20B" w14:textId="77777777" w:rsidR="00C911E8" w:rsidRPr="00642DD0" w:rsidRDefault="00C911E8" w:rsidP="00C911E8">
            <w:pPr>
              <w:keepNext/>
              <w:jc w:val="right"/>
              <w:rPr>
                <w:color w:val="000000"/>
                <w:sz w:val="20"/>
                <w:szCs w:val="20"/>
              </w:rPr>
            </w:pPr>
            <w:r>
              <w:rPr>
                <w:color w:val="000000"/>
                <w:sz w:val="20"/>
              </w:rPr>
              <w:t>12,9</w:t>
            </w:r>
          </w:p>
        </w:tc>
        <w:tc>
          <w:tcPr>
            <w:tcW w:w="486" w:type="pct"/>
            <w:shd w:val="clear" w:color="auto" w:fill="auto"/>
            <w:noWrap/>
            <w:tcMar>
              <w:left w:w="0" w:type="dxa"/>
              <w:right w:w="187" w:type="dxa"/>
            </w:tcMar>
            <w:vAlign w:val="center"/>
            <w:hideMark/>
          </w:tcPr>
          <w:p w14:paraId="51F1426C" w14:textId="77777777" w:rsidR="00C911E8" w:rsidRPr="00642DD0" w:rsidRDefault="00C911E8" w:rsidP="00C911E8">
            <w:pPr>
              <w:keepNext/>
              <w:jc w:val="right"/>
              <w:rPr>
                <w:color w:val="000000"/>
                <w:sz w:val="20"/>
                <w:szCs w:val="20"/>
              </w:rPr>
            </w:pPr>
            <w:r>
              <w:rPr>
                <w:color w:val="000000"/>
                <w:sz w:val="20"/>
              </w:rPr>
              <w:t>12,9</w:t>
            </w:r>
          </w:p>
        </w:tc>
        <w:tc>
          <w:tcPr>
            <w:tcW w:w="486" w:type="pct"/>
            <w:shd w:val="clear" w:color="auto" w:fill="auto"/>
            <w:noWrap/>
            <w:tcMar>
              <w:left w:w="0" w:type="dxa"/>
              <w:right w:w="187" w:type="dxa"/>
            </w:tcMar>
            <w:vAlign w:val="center"/>
            <w:hideMark/>
          </w:tcPr>
          <w:p w14:paraId="2F8E0C71" w14:textId="77777777" w:rsidR="00C911E8" w:rsidRPr="00642DD0" w:rsidRDefault="00C911E8" w:rsidP="00C911E8">
            <w:pPr>
              <w:keepNext/>
              <w:jc w:val="right"/>
              <w:rPr>
                <w:color w:val="000000"/>
                <w:sz w:val="20"/>
                <w:szCs w:val="20"/>
              </w:rPr>
            </w:pPr>
            <w:r>
              <w:rPr>
                <w:color w:val="000000"/>
                <w:sz w:val="20"/>
              </w:rPr>
              <w:t>13,2</w:t>
            </w:r>
          </w:p>
        </w:tc>
        <w:tc>
          <w:tcPr>
            <w:tcW w:w="486" w:type="pct"/>
            <w:shd w:val="clear" w:color="auto" w:fill="auto"/>
            <w:noWrap/>
            <w:tcMar>
              <w:left w:w="0" w:type="dxa"/>
              <w:right w:w="187" w:type="dxa"/>
            </w:tcMar>
            <w:vAlign w:val="center"/>
            <w:hideMark/>
          </w:tcPr>
          <w:p w14:paraId="77801168" w14:textId="77777777" w:rsidR="00C911E8" w:rsidRPr="00642DD0" w:rsidRDefault="00C911E8" w:rsidP="00C911E8">
            <w:pPr>
              <w:keepNext/>
              <w:jc w:val="right"/>
              <w:rPr>
                <w:color w:val="000000"/>
                <w:sz w:val="20"/>
                <w:szCs w:val="20"/>
              </w:rPr>
            </w:pPr>
            <w:r>
              <w:rPr>
                <w:color w:val="000000"/>
                <w:sz w:val="20"/>
              </w:rPr>
              <w:t>18,3</w:t>
            </w:r>
          </w:p>
        </w:tc>
        <w:tc>
          <w:tcPr>
            <w:tcW w:w="486" w:type="pct"/>
            <w:shd w:val="clear" w:color="auto" w:fill="auto"/>
            <w:noWrap/>
            <w:tcMar>
              <w:left w:w="0" w:type="dxa"/>
              <w:right w:w="187" w:type="dxa"/>
            </w:tcMar>
            <w:vAlign w:val="center"/>
            <w:hideMark/>
          </w:tcPr>
          <w:p w14:paraId="0728B221" w14:textId="77777777" w:rsidR="00C911E8" w:rsidRPr="00642DD0" w:rsidRDefault="00C911E8" w:rsidP="00C911E8">
            <w:pPr>
              <w:keepNext/>
              <w:jc w:val="right"/>
              <w:rPr>
                <w:color w:val="000000"/>
                <w:sz w:val="20"/>
                <w:szCs w:val="20"/>
              </w:rPr>
            </w:pPr>
            <w:r>
              <w:rPr>
                <w:color w:val="000000"/>
                <w:sz w:val="20"/>
              </w:rPr>
              <w:t>14,0</w:t>
            </w:r>
          </w:p>
        </w:tc>
        <w:tc>
          <w:tcPr>
            <w:tcW w:w="486" w:type="pct"/>
            <w:shd w:val="clear" w:color="auto" w:fill="auto"/>
            <w:noWrap/>
            <w:tcMar>
              <w:left w:w="0" w:type="dxa"/>
              <w:right w:w="187" w:type="dxa"/>
            </w:tcMar>
            <w:vAlign w:val="center"/>
            <w:hideMark/>
          </w:tcPr>
          <w:p w14:paraId="3F464C78" w14:textId="77777777" w:rsidR="00C911E8" w:rsidRPr="00642DD0" w:rsidRDefault="00C911E8" w:rsidP="00C911E8">
            <w:pPr>
              <w:keepNext/>
              <w:jc w:val="right"/>
              <w:rPr>
                <w:color w:val="000000"/>
                <w:sz w:val="20"/>
                <w:szCs w:val="20"/>
              </w:rPr>
            </w:pPr>
            <w:r>
              <w:rPr>
                <w:color w:val="000000"/>
                <w:sz w:val="20"/>
              </w:rPr>
              <w:t>13,9</w:t>
            </w:r>
          </w:p>
        </w:tc>
        <w:tc>
          <w:tcPr>
            <w:tcW w:w="486" w:type="pct"/>
            <w:shd w:val="clear" w:color="auto" w:fill="auto"/>
            <w:tcMar>
              <w:left w:w="0" w:type="dxa"/>
              <w:right w:w="187" w:type="dxa"/>
            </w:tcMar>
            <w:vAlign w:val="center"/>
          </w:tcPr>
          <w:p w14:paraId="06F05F14" w14:textId="77777777" w:rsidR="00C911E8" w:rsidRPr="00642DD0" w:rsidRDefault="00C911E8" w:rsidP="00C911E8">
            <w:pPr>
              <w:keepNext/>
              <w:jc w:val="right"/>
              <w:rPr>
                <w:color w:val="000000"/>
                <w:sz w:val="20"/>
                <w:szCs w:val="20"/>
              </w:rPr>
            </w:pPr>
            <w:r>
              <w:rPr>
                <w:color w:val="000000"/>
                <w:sz w:val="20"/>
              </w:rPr>
              <w:t>12,6</w:t>
            </w:r>
          </w:p>
        </w:tc>
        <w:tc>
          <w:tcPr>
            <w:tcW w:w="486" w:type="pct"/>
            <w:shd w:val="clear" w:color="auto" w:fill="auto"/>
            <w:tcMar>
              <w:left w:w="0" w:type="dxa"/>
              <w:right w:w="187" w:type="dxa"/>
            </w:tcMar>
            <w:vAlign w:val="center"/>
          </w:tcPr>
          <w:p w14:paraId="4E7C40AE" w14:textId="77777777" w:rsidR="00C911E8" w:rsidRPr="00642DD0" w:rsidRDefault="00C911E8" w:rsidP="00C911E8">
            <w:pPr>
              <w:keepNext/>
              <w:jc w:val="right"/>
              <w:rPr>
                <w:color w:val="000000"/>
                <w:sz w:val="20"/>
                <w:szCs w:val="20"/>
              </w:rPr>
            </w:pPr>
            <w:r>
              <w:rPr>
                <w:color w:val="000000"/>
                <w:sz w:val="20"/>
              </w:rPr>
              <w:t>14,7</w:t>
            </w:r>
          </w:p>
        </w:tc>
        <w:tc>
          <w:tcPr>
            <w:tcW w:w="486" w:type="pct"/>
            <w:shd w:val="clear" w:color="auto" w:fill="auto"/>
            <w:tcMar>
              <w:left w:w="0" w:type="dxa"/>
              <w:right w:w="187" w:type="dxa"/>
            </w:tcMar>
          </w:tcPr>
          <w:p w14:paraId="0FCA38D1" w14:textId="77777777" w:rsidR="00C911E8" w:rsidRPr="00642DD0" w:rsidRDefault="00C911E8" w:rsidP="00C911E8">
            <w:pPr>
              <w:keepNext/>
              <w:jc w:val="right"/>
              <w:rPr>
                <w:color w:val="000000"/>
                <w:sz w:val="20"/>
                <w:szCs w:val="20"/>
              </w:rPr>
            </w:pPr>
            <w:r>
              <w:rPr>
                <w:color w:val="000000"/>
                <w:sz w:val="20"/>
              </w:rPr>
              <w:t>12,8</w:t>
            </w:r>
          </w:p>
        </w:tc>
      </w:tr>
      <w:tr w:rsidR="00C911E8" w:rsidRPr="00642DD0" w14:paraId="4B99FB87" w14:textId="77777777" w:rsidTr="0075721B">
        <w:tc>
          <w:tcPr>
            <w:tcW w:w="624" w:type="pct"/>
            <w:shd w:val="clear" w:color="auto" w:fill="auto"/>
            <w:noWrap/>
            <w:tcMar>
              <w:left w:w="29" w:type="dxa"/>
              <w:right w:w="0" w:type="dxa"/>
            </w:tcMar>
            <w:vAlign w:val="bottom"/>
            <w:hideMark/>
          </w:tcPr>
          <w:p w14:paraId="7DB675E9" w14:textId="77777777" w:rsidR="00C911E8" w:rsidRPr="00642DD0" w:rsidRDefault="00C911E8" w:rsidP="00C911E8">
            <w:pPr>
              <w:rPr>
                <w:color w:val="000000" w:themeColor="text1"/>
                <w:sz w:val="20"/>
                <w:szCs w:val="20"/>
              </w:rPr>
            </w:pPr>
            <w:r>
              <w:rPr>
                <w:color w:val="000000" w:themeColor="text1"/>
                <w:sz w:val="20"/>
              </w:rPr>
              <w:t>PNUMA*</w:t>
            </w:r>
          </w:p>
        </w:tc>
        <w:tc>
          <w:tcPr>
            <w:tcW w:w="486" w:type="pct"/>
            <w:shd w:val="clear" w:color="auto" w:fill="auto"/>
            <w:tcMar>
              <w:left w:w="0" w:type="dxa"/>
              <w:right w:w="187" w:type="dxa"/>
            </w:tcMar>
            <w:vAlign w:val="center"/>
          </w:tcPr>
          <w:p w14:paraId="5BD674B0" w14:textId="77777777" w:rsidR="00C911E8" w:rsidRPr="00642DD0" w:rsidRDefault="00C911E8" w:rsidP="00C911E8">
            <w:pPr>
              <w:jc w:val="right"/>
              <w:rPr>
                <w:color w:val="000000"/>
                <w:sz w:val="20"/>
                <w:szCs w:val="20"/>
              </w:rPr>
            </w:pPr>
            <w:r>
              <w:rPr>
                <w:color w:val="000000"/>
                <w:sz w:val="20"/>
              </w:rPr>
              <w:t>13,0</w:t>
            </w:r>
          </w:p>
        </w:tc>
        <w:tc>
          <w:tcPr>
            <w:tcW w:w="486" w:type="pct"/>
            <w:shd w:val="clear" w:color="auto" w:fill="auto"/>
            <w:noWrap/>
            <w:tcMar>
              <w:left w:w="0" w:type="dxa"/>
              <w:right w:w="187" w:type="dxa"/>
            </w:tcMar>
            <w:vAlign w:val="center"/>
            <w:hideMark/>
          </w:tcPr>
          <w:p w14:paraId="4D476651" w14:textId="77777777" w:rsidR="00C911E8" w:rsidRPr="00642DD0" w:rsidRDefault="00C911E8" w:rsidP="00C911E8">
            <w:pPr>
              <w:jc w:val="right"/>
              <w:rPr>
                <w:color w:val="000000"/>
                <w:sz w:val="20"/>
                <w:szCs w:val="20"/>
              </w:rPr>
            </w:pPr>
            <w:r>
              <w:rPr>
                <w:color w:val="000000"/>
                <w:sz w:val="20"/>
              </w:rPr>
              <w:t>9,7</w:t>
            </w:r>
          </w:p>
        </w:tc>
        <w:tc>
          <w:tcPr>
            <w:tcW w:w="486" w:type="pct"/>
            <w:shd w:val="clear" w:color="auto" w:fill="auto"/>
            <w:noWrap/>
            <w:tcMar>
              <w:left w:w="0" w:type="dxa"/>
              <w:right w:w="187" w:type="dxa"/>
            </w:tcMar>
            <w:vAlign w:val="center"/>
            <w:hideMark/>
          </w:tcPr>
          <w:p w14:paraId="472D1E39" w14:textId="77777777" w:rsidR="00C911E8" w:rsidRPr="00642DD0" w:rsidRDefault="00C911E8" w:rsidP="00C911E8">
            <w:pPr>
              <w:jc w:val="right"/>
              <w:rPr>
                <w:color w:val="000000"/>
                <w:sz w:val="20"/>
                <w:szCs w:val="20"/>
              </w:rPr>
            </w:pPr>
            <w:r>
              <w:rPr>
                <w:color w:val="000000"/>
                <w:sz w:val="20"/>
              </w:rPr>
              <w:t>7,3</w:t>
            </w:r>
          </w:p>
        </w:tc>
        <w:tc>
          <w:tcPr>
            <w:tcW w:w="486" w:type="pct"/>
            <w:shd w:val="clear" w:color="auto" w:fill="auto"/>
            <w:noWrap/>
            <w:tcMar>
              <w:left w:w="0" w:type="dxa"/>
              <w:right w:w="187" w:type="dxa"/>
            </w:tcMar>
            <w:vAlign w:val="center"/>
            <w:hideMark/>
          </w:tcPr>
          <w:p w14:paraId="28ED40A8" w14:textId="77777777" w:rsidR="00C911E8" w:rsidRPr="00642DD0" w:rsidRDefault="00C911E8" w:rsidP="00C911E8">
            <w:pPr>
              <w:jc w:val="right"/>
              <w:rPr>
                <w:color w:val="000000"/>
                <w:sz w:val="20"/>
                <w:szCs w:val="20"/>
              </w:rPr>
            </w:pPr>
            <w:r>
              <w:rPr>
                <w:color w:val="000000"/>
                <w:sz w:val="20"/>
              </w:rPr>
              <w:t>7,9</w:t>
            </w:r>
          </w:p>
        </w:tc>
        <w:tc>
          <w:tcPr>
            <w:tcW w:w="486" w:type="pct"/>
            <w:shd w:val="clear" w:color="auto" w:fill="auto"/>
            <w:noWrap/>
            <w:tcMar>
              <w:left w:w="0" w:type="dxa"/>
              <w:right w:w="187" w:type="dxa"/>
            </w:tcMar>
            <w:vAlign w:val="center"/>
            <w:hideMark/>
          </w:tcPr>
          <w:p w14:paraId="30D63F9A" w14:textId="77777777" w:rsidR="00C911E8" w:rsidRPr="00642DD0" w:rsidRDefault="00C911E8" w:rsidP="00C911E8">
            <w:pPr>
              <w:jc w:val="right"/>
              <w:rPr>
                <w:color w:val="000000"/>
                <w:sz w:val="20"/>
                <w:szCs w:val="20"/>
              </w:rPr>
            </w:pPr>
            <w:r>
              <w:rPr>
                <w:color w:val="000000"/>
                <w:sz w:val="20"/>
              </w:rPr>
              <w:t>7,6</w:t>
            </w:r>
          </w:p>
        </w:tc>
        <w:tc>
          <w:tcPr>
            <w:tcW w:w="486" w:type="pct"/>
            <w:shd w:val="clear" w:color="auto" w:fill="auto"/>
            <w:noWrap/>
            <w:tcMar>
              <w:left w:w="0" w:type="dxa"/>
              <w:right w:w="187" w:type="dxa"/>
            </w:tcMar>
            <w:vAlign w:val="center"/>
            <w:hideMark/>
          </w:tcPr>
          <w:p w14:paraId="2652D73B" w14:textId="77777777" w:rsidR="00C911E8" w:rsidRPr="00642DD0" w:rsidRDefault="00C911E8" w:rsidP="00C911E8">
            <w:pPr>
              <w:jc w:val="right"/>
              <w:rPr>
                <w:color w:val="000000"/>
                <w:sz w:val="20"/>
                <w:szCs w:val="20"/>
              </w:rPr>
            </w:pPr>
            <w:r>
              <w:rPr>
                <w:color w:val="000000"/>
                <w:sz w:val="20"/>
              </w:rPr>
              <w:t>7,0</w:t>
            </w:r>
          </w:p>
        </w:tc>
        <w:tc>
          <w:tcPr>
            <w:tcW w:w="486" w:type="pct"/>
            <w:shd w:val="clear" w:color="auto" w:fill="auto"/>
            <w:tcMar>
              <w:left w:w="0" w:type="dxa"/>
              <w:right w:w="187" w:type="dxa"/>
            </w:tcMar>
            <w:vAlign w:val="center"/>
          </w:tcPr>
          <w:p w14:paraId="5317B592" w14:textId="77777777" w:rsidR="00C911E8" w:rsidRPr="00642DD0" w:rsidRDefault="00C911E8" w:rsidP="00C911E8">
            <w:pPr>
              <w:jc w:val="right"/>
              <w:rPr>
                <w:color w:val="000000"/>
                <w:sz w:val="20"/>
                <w:szCs w:val="20"/>
              </w:rPr>
            </w:pPr>
            <w:r>
              <w:rPr>
                <w:color w:val="000000"/>
                <w:sz w:val="20"/>
              </w:rPr>
              <w:t>7,6</w:t>
            </w:r>
          </w:p>
        </w:tc>
        <w:tc>
          <w:tcPr>
            <w:tcW w:w="486" w:type="pct"/>
            <w:shd w:val="clear" w:color="auto" w:fill="auto"/>
            <w:tcMar>
              <w:left w:w="0" w:type="dxa"/>
              <w:right w:w="187" w:type="dxa"/>
            </w:tcMar>
            <w:vAlign w:val="center"/>
          </w:tcPr>
          <w:p w14:paraId="4F9D7249" w14:textId="77777777" w:rsidR="00C911E8" w:rsidRPr="00642DD0" w:rsidRDefault="00C911E8" w:rsidP="00C911E8">
            <w:pPr>
              <w:jc w:val="right"/>
              <w:rPr>
                <w:color w:val="000000"/>
                <w:sz w:val="20"/>
                <w:szCs w:val="20"/>
              </w:rPr>
            </w:pPr>
            <w:r>
              <w:rPr>
                <w:color w:val="000000"/>
                <w:sz w:val="20"/>
              </w:rPr>
              <w:t>7,7</w:t>
            </w:r>
          </w:p>
        </w:tc>
        <w:tc>
          <w:tcPr>
            <w:tcW w:w="486" w:type="pct"/>
            <w:shd w:val="clear" w:color="auto" w:fill="auto"/>
            <w:tcMar>
              <w:left w:w="0" w:type="dxa"/>
              <w:right w:w="187" w:type="dxa"/>
            </w:tcMar>
          </w:tcPr>
          <w:p w14:paraId="663648F6" w14:textId="77777777" w:rsidR="00C911E8" w:rsidRPr="00642DD0" w:rsidRDefault="00C911E8" w:rsidP="00C911E8">
            <w:pPr>
              <w:jc w:val="right"/>
              <w:rPr>
                <w:color w:val="000000"/>
                <w:sz w:val="20"/>
                <w:szCs w:val="20"/>
              </w:rPr>
            </w:pPr>
            <w:r>
              <w:rPr>
                <w:color w:val="000000"/>
                <w:sz w:val="20"/>
              </w:rPr>
              <w:t>8,0</w:t>
            </w:r>
          </w:p>
        </w:tc>
      </w:tr>
      <w:tr w:rsidR="00C911E8" w:rsidRPr="00642DD0" w14:paraId="1F420085" w14:textId="77777777" w:rsidTr="0075721B">
        <w:tc>
          <w:tcPr>
            <w:tcW w:w="624" w:type="pct"/>
            <w:shd w:val="clear" w:color="auto" w:fill="auto"/>
            <w:noWrap/>
            <w:tcMar>
              <w:left w:w="29" w:type="dxa"/>
              <w:right w:w="0" w:type="dxa"/>
            </w:tcMar>
            <w:vAlign w:val="bottom"/>
            <w:hideMark/>
          </w:tcPr>
          <w:p w14:paraId="6D53550A" w14:textId="77777777" w:rsidR="00C911E8" w:rsidRPr="00642DD0" w:rsidRDefault="00C911E8" w:rsidP="00C911E8">
            <w:pPr>
              <w:rPr>
                <w:color w:val="000000" w:themeColor="text1"/>
                <w:sz w:val="20"/>
                <w:szCs w:val="20"/>
              </w:rPr>
            </w:pPr>
            <w:r>
              <w:rPr>
                <w:color w:val="000000" w:themeColor="text1"/>
                <w:sz w:val="20"/>
              </w:rPr>
              <w:t>ONUDI</w:t>
            </w:r>
          </w:p>
        </w:tc>
        <w:tc>
          <w:tcPr>
            <w:tcW w:w="486" w:type="pct"/>
            <w:shd w:val="clear" w:color="auto" w:fill="auto"/>
            <w:tcMar>
              <w:left w:w="0" w:type="dxa"/>
              <w:right w:w="187" w:type="dxa"/>
            </w:tcMar>
            <w:vAlign w:val="center"/>
          </w:tcPr>
          <w:p w14:paraId="30F24929" w14:textId="77777777" w:rsidR="00C911E8" w:rsidRPr="00642DD0" w:rsidRDefault="00C911E8" w:rsidP="00C911E8">
            <w:pPr>
              <w:jc w:val="right"/>
              <w:rPr>
                <w:color w:val="000000"/>
                <w:sz w:val="20"/>
                <w:szCs w:val="20"/>
              </w:rPr>
            </w:pPr>
            <w:r>
              <w:rPr>
                <w:color w:val="000000"/>
                <w:sz w:val="20"/>
              </w:rPr>
              <w:t>12,8</w:t>
            </w:r>
          </w:p>
        </w:tc>
        <w:tc>
          <w:tcPr>
            <w:tcW w:w="486" w:type="pct"/>
            <w:shd w:val="clear" w:color="auto" w:fill="auto"/>
            <w:noWrap/>
            <w:tcMar>
              <w:left w:w="0" w:type="dxa"/>
              <w:right w:w="187" w:type="dxa"/>
            </w:tcMar>
            <w:vAlign w:val="center"/>
            <w:hideMark/>
          </w:tcPr>
          <w:p w14:paraId="59ED6C5B" w14:textId="77777777" w:rsidR="00C911E8" w:rsidRPr="00642DD0" w:rsidRDefault="00C911E8" w:rsidP="00C911E8">
            <w:pPr>
              <w:jc w:val="right"/>
              <w:rPr>
                <w:color w:val="000000"/>
                <w:sz w:val="20"/>
                <w:szCs w:val="20"/>
              </w:rPr>
            </w:pPr>
            <w:r>
              <w:rPr>
                <w:color w:val="000000"/>
                <w:sz w:val="20"/>
              </w:rPr>
              <w:t>13,4</w:t>
            </w:r>
          </w:p>
        </w:tc>
        <w:tc>
          <w:tcPr>
            <w:tcW w:w="486" w:type="pct"/>
            <w:shd w:val="clear" w:color="auto" w:fill="auto"/>
            <w:noWrap/>
            <w:tcMar>
              <w:left w:w="0" w:type="dxa"/>
              <w:right w:w="187" w:type="dxa"/>
            </w:tcMar>
            <w:vAlign w:val="center"/>
            <w:hideMark/>
          </w:tcPr>
          <w:p w14:paraId="0462BD53" w14:textId="77777777" w:rsidR="00C911E8" w:rsidRPr="00642DD0" w:rsidRDefault="00C911E8" w:rsidP="00C911E8">
            <w:pPr>
              <w:jc w:val="right"/>
              <w:rPr>
                <w:color w:val="000000"/>
                <w:sz w:val="20"/>
                <w:szCs w:val="20"/>
              </w:rPr>
            </w:pPr>
            <w:r>
              <w:rPr>
                <w:color w:val="000000"/>
                <w:sz w:val="20"/>
              </w:rPr>
              <w:t>11,7</w:t>
            </w:r>
          </w:p>
        </w:tc>
        <w:tc>
          <w:tcPr>
            <w:tcW w:w="486" w:type="pct"/>
            <w:shd w:val="clear" w:color="auto" w:fill="auto"/>
            <w:noWrap/>
            <w:tcMar>
              <w:left w:w="0" w:type="dxa"/>
              <w:right w:w="187" w:type="dxa"/>
            </w:tcMar>
            <w:vAlign w:val="center"/>
            <w:hideMark/>
          </w:tcPr>
          <w:p w14:paraId="5B05B998" w14:textId="77777777" w:rsidR="00C911E8" w:rsidRPr="00642DD0" w:rsidRDefault="00C911E8" w:rsidP="00C911E8">
            <w:pPr>
              <w:jc w:val="right"/>
              <w:rPr>
                <w:color w:val="000000"/>
                <w:sz w:val="20"/>
                <w:szCs w:val="20"/>
              </w:rPr>
            </w:pPr>
            <w:r>
              <w:rPr>
                <w:color w:val="000000"/>
                <w:sz w:val="20"/>
              </w:rPr>
              <w:t>14,4</w:t>
            </w:r>
          </w:p>
        </w:tc>
        <w:tc>
          <w:tcPr>
            <w:tcW w:w="486" w:type="pct"/>
            <w:shd w:val="clear" w:color="auto" w:fill="auto"/>
            <w:noWrap/>
            <w:tcMar>
              <w:left w:w="0" w:type="dxa"/>
              <w:right w:w="187" w:type="dxa"/>
            </w:tcMar>
            <w:vAlign w:val="center"/>
            <w:hideMark/>
          </w:tcPr>
          <w:p w14:paraId="05ADEF03" w14:textId="77777777" w:rsidR="00C911E8" w:rsidRPr="00642DD0" w:rsidRDefault="00C911E8" w:rsidP="00C911E8">
            <w:pPr>
              <w:jc w:val="right"/>
              <w:rPr>
                <w:color w:val="000000"/>
                <w:sz w:val="20"/>
                <w:szCs w:val="20"/>
              </w:rPr>
            </w:pPr>
            <w:r>
              <w:rPr>
                <w:color w:val="000000"/>
                <w:sz w:val="20"/>
              </w:rPr>
              <w:t>11,8</w:t>
            </w:r>
          </w:p>
        </w:tc>
        <w:tc>
          <w:tcPr>
            <w:tcW w:w="486" w:type="pct"/>
            <w:shd w:val="clear" w:color="auto" w:fill="auto"/>
            <w:noWrap/>
            <w:tcMar>
              <w:left w:w="0" w:type="dxa"/>
              <w:right w:w="187" w:type="dxa"/>
            </w:tcMar>
            <w:vAlign w:val="center"/>
            <w:hideMark/>
          </w:tcPr>
          <w:p w14:paraId="7CB7040D" w14:textId="77777777" w:rsidR="00C911E8" w:rsidRPr="00642DD0" w:rsidRDefault="00C911E8" w:rsidP="00C911E8">
            <w:pPr>
              <w:jc w:val="right"/>
              <w:rPr>
                <w:color w:val="000000"/>
                <w:sz w:val="20"/>
                <w:szCs w:val="20"/>
              </w:rPr>
            </w:pPr>
            <w:r>
              <w:rPr>
                <w:color w:val="000000"/>
                <w:sz w:val="20"/>
              </w:rPr>
              <w:t>13,7</w:t>
            </w:r>
          </w:p>
        </w:tc>
        <w:tc>
          <w:tcPr>
            <w:tcW w:w="486" w:type="pct"/>
            <w:shd w:val="clear" w:color="auto" w:fill="auto"/>
            <w:tcMar>
              <w:left w:w="0" w:type="dxa"/>
              <w:right w:w="187" w:type="dxa"/>
            </w:tcMar>
            <w:vAlign w:val="center"/>
          </w:tcPr>
          <w:p w14:paraId="14236F3F" w14:textId="77777777" w:rsidR="00C911E8" w:rsidRPr="00642DD0" w:rsidRDefault="00C911E8" w:rsidP="00C911E8">
            <w:pPr>
              <w:jc w:val="right"/>
              <w:rPr>
                <w:color w:val="000000"/>
                <w:sz w:val="20"/>
                <w:szCs w:val="20"/>
              </w:rPr>
            </w:pPr>
            <w:r>
              <w:rPr>
                <w:color w:val="000000"/>
                <w:sz w:val="20"/>
              </w:rPr>
              <w:t>13,8</w:t>
            </w:r>
          </w:p>
        </w:tc>
        <w:tc>
          <w:tcPr>
            <w:tcW w:w="486" w:type="pct"/>
            <w:shd w:val="clear" w:color="auto" w:fill="auto"/>
            <w:tcMar>
              <w:left w:w="0" w:type="dxa"/>
              <w:right w:w="187" w:type="dxa"/>
            </w:tcMar>
            <w:vAlign w:val="center"/>
          </w:tcPr>
          <w:p w14:paraId="2E6F7591" w14:textId="77777777" w:rsidR="00C911E8" w:rsidRPr="00642DD0" w:rsidRDefault="00C911E8" w:rsidP="00C911E8">
            <w:pPr>
              <w:jc w:val="right"/>
              <w:rPr>
                <w:color w:val="000000"/>
                <w:sz w:val="20"/>
                <w:szCs w:val="20"/>
              </w:rPr>
            </w:pPr>
            <w:r>
              <w:rPr>
                <w:color w:val="000000"/>
                <w:sz w:val="20"/>
              </w:rPr>
              <w:t>16,2</w:t>
            </w:r>
          </w:p>
        </w:tc>
        <w:tc>
          <w:tcPr>
            <w:tcW w:w="486" w:type="pct"/>
            <w:shd w:val="clear" w:color="auto" w:fill="auto"/>
            <w:tcMar>
              <w:left w:w="0" w:type="dxa"/>
              <w:right w:w="187" w:type="dxa"/>
            </w:tcMar>
          </w:tcPr>
          <w:p w14:paraId="04FDFF91" w14:textId="77777777" w:rsidR="00C911E8" w:rsidRPr="00642DD0" w:rsidRDefault="00C911E8" w:rsidP="00C911E8">
            <w:pPr>
              <w:jc w:val="right"/>
              <w:rPr>
                <w:color w:val="000000"/>
                <w:sz w:val="20"/>
                <w:szCs w:val="20"/>
              </w:rPr>
            </w:pPr>
            <w:r>
              <w:rPr>
                <w:color w:val="000000"/>
                <w:sz w:val="20"/>
              </w:rPr>
              <w:t>14,8</w:t>
            </w:r>
          </w:p>
        </w:tc>
      </w:tr>
      <w:tr w:rsidR="00C911E8" w:rsidRPr="00642DD0" w14:paraId="3934BE8E" w14:textId="77777777" w:rsidTr="0075721B">
        <w:tc>
          <w:tcPr>
            <w:tcW w:w="624" w:type="pct"/>
            <w:shd w:val="clear" w:color="auto" w:fill="auto"/>
            <w:noWrap/>
            <w:tcMar>
              <w:left w:w="29" w:type="dxa"/>
              <w:right w:w="0" w:type="dxa"/>
            </w:tcMar>
            <w:vAlign w:val="bottom"/>
            <w:hideMark/>
          </w:tcPr>
          <w:p w14:paraId="421AB38D" w14:textId="77777777" w:rsidR="00C911E8" w:rsidRPr="00642DD0" w:rsidRDefault="00C911E8" w:rsidP="00C911E8">
            <w:pPr>
              <w:rPr>
                <w:color w:val="000000" w:themeColor="text1"/>
                <w:sz w:val="20"/>
                <w:szCs w:val="20"/>
              </w:rPr>
            </w:pPr>
            <w:r>
              <w:rPr>
                <w:color w:val="000000" w:themeColor="text1"/>
                <w:sz w:val="20"/>
              </w:rPr>
              <w:t>Banco Mundial</w:t>
            </w:r>
          </w:p>
        </w:tc>
        <w:tc>
          <w:tcPr>
            <w:tcW w:w="486" w:type="pct"/>
            <w:shd w:val="clear" w:color="auto" w:fill="auto"/>
            <w:tcMar>
              <w:left w:w="0" w:type="dxa"/>
              <w:right w:w="187" w:type="dxa"/>
            </w:tcMar>
            <w:vAlign w:val="center"/>
          </w:tcPr>
          <w:p w14:paraId="1566FBC5" w14:textId="77777777" w:rsidR="00C911E8" w:rsidRPr="00642DD0" w:rsidRDefault="00C911E8" w:rsidP="00C911E8">
            <w:pPr>
              <w:jc w:val="right"/>
              <w:rPr>
                <w:color w:val="000000"/>
                <w:sz w:val="20"/>
                <w:szCs w:val="20"/>
              </w:rPr>
            </w:pPr>
            <w:r>
              <w:rPr>
                <w:color w:val="000000"/>
                <w:sz w:val="20"/>
              </w:rPr>
              <w:t>8,6</w:t>
            </w:r>
          </w:p>
        </w:tc>
        <w:tc>
          <w:tcPr>
            <w:tcW w:w="486" w:type="pct"/>
            <w:shd w:val="clear" w:color="auto" w:fill="auto"/>
            <w:noWrap/>
            <w:tcMar>
              <w:left w:w="0" w:type="dxa"/>
              <w:right w:w="187" w:type="dxa"/>
            </w:tcMar>
            <w:vAlign w:val="center"/>
            <w:hideMark/>
          </w:tcPr>
          <w:p w14:paraId="2AD57C59" w14:textId="77777777" w:rsidR="00C911E8" w:rsidRPr="00642DD0" w:rsidRDefault="00C911E8" w:rsidP="00C911E8">
            <w:pPr>
              <w:jc w:val="right"/>
              <w:rPr>
                <w:color w:val="000000"/>
                <w:sz w:val="20"/>
                <w:szCs w:val="20"/>
              </w:rPr>
            </w:pPr>
            <w:r>
              <w:rPr>
                <w:color w:val="000000"/>
                <w:sz w:val="20"/>
              </w:rPr>
              <w:t>10,0</w:t>
            </w:r>
          </w:p>
        </w:tc>
        <w:tc>
          <w:tcPr>
            <w:tcW w:w="486" w:type="pct"/>
            <w:shd w:val="clear" w:color="auto" w:fill="auto"/>
            <w:noWrap/>
            <w:tcMar>
              <w:left w:w="0" w:type="dxa"/>
              <w:right w:w="187" w:type="dxa"/>
            </w:tcMar>
            <w:vAlign w:val="center"/>
            <w:hideMark/>
          </w:tcPr>
          <w:p w14:paraId="5B103C9F" w14:textId="77777777" w:rsidR="00C911E8" w:rsidRPr="00642DD0" w:rsidRDefault="00C911E8" w:rsidP="00C911E8">
            <w:pPr>
              <w:jc w:val="right"/>
              <w:rPr>
                <w:color w:val="000000"/>
                <w:sz w:val="20"/>
                <w:szCs w:val="20"/>
              </w:rPr>
            </w:pPr>
            <w:r>
              <w:rPr>
                <w:color w:val="000000"/>
                <w:sz w:val="20"/>
              </w:rPr>
              <w:t>9,9</w:t>
            </w:r>
          </w:p>
        </w:tc>
        <w:tc>
          <w:tcPr>
            <w:tcW w:w="486" w:type="pct"/>
            <w:shd w:val="clear" w:color="auto" w:fill="auto"/>
            <w:noWrap/>
            <w:tcMar>
              <w:left w:w="0" w:type="dxa"/>
              <w:right w:w="187" w:type="dxa"/>
            </w:tcMar>
            <w:vAlign w:val="center"/>
            <w:hideMark/>
          </w:tcPr>
          <w:p w14:paraId="18F274E2" w14:textId="77777777" w:rsidR="00C911E8" w:rsidRPr="00642DD0" w:rsidRDefault="00C911E8" w:rsidP="00C911E8">
            <w:pPr>
              <w:jc w:val="right"/>
              <w:rPr>
                <w:color w:val="000000"/>
                <w:sz w:val="20"/>
                <w:szCs w:val="20"/>
              </w:rPr>
            </w:pPr>
            <w:r>
              <w:rPr>
                <w:color w:val="000000"/>
                <w:sz w:val="20"/>
              </w:rPr>
              <w:t>10,1</w:t>
            </w:r>
          </w:p>
        </w:tc>
        <w:tc>
          <w:tcPr>
            <w:tcW w:w="486" w:type="pct"/>
            <w:shd w:val="clear" w:color="auto" w:fill="auto"/>
            <w:noWrap/>
            <w:tcMar>
              <w:left w:w="0" w:type="dxa"/>
              <w:right w:w="187" w:type="dxa"/>
            </w:tcMar>
            <w:vAlign w:val="center"/>
            <w:hideMark/>
          </w:tcPr>
          <w:p w14:paraId="287AC2C4" w14:textId="77777777" w:rsidR="00C911E8" w:rsidRPr="00642DD0" w:rsidRDefault="00C911E8" w:rsidP="00C911E8">
            <w:pPr>
              <w:jc w:val="right"/>
              <w:rPr>
                <w:color w:val="000000"/>
                <w:sz w:val="20"/>
                <w:szCs w:val="20"/>
              </w:rPr>
            </w:pPr>
            <w:r>
              <w:rPr>
                <w:color w:val="000000"/>
                <w:sz w:val="20"/>
              </w:rPr>
              <w:t>13,4</w:t>
            </w:r>
          </w:p>
        </w:tc>
        <w:tc>
          <w:tcPr>
            <w:tcW w:w="486" w:type="pct"/>
            <w:shd w:val="clear" w:color="auto" w:fill="auto"/>
            <w:noWrap/>
            <w:tcMar>
              <w:left w:w="0" w:type="dxa"/>
              <w:right w:w="187" w:type="dxa"/>
            </w:tcMar>
            <w:vAlign w:val="center"/>
            <w:hideMark/>
          </w:tcPr>
          <w:p w14:paraId="088EA9AE" w14:textId="77777777" w:rsidR="00C911E8" w:rsidRPr="00642DD0" w:rsidRDefault="00C911E8" w:rsidP="00C911E8">
            <w:pPr>
              <w:jc w:val="right"/>
              <w:rPr>
                <w:color w:val="000000"/>
                <w:sz w:val="20"/>
                <w:szCs w:val="20"/>
              </w:rPr>
            </w:pPr>
            <w:r>
              <w:rPr>
                <w:color w:val="000000"/>
                <w:sz w:val="20"/>
              </w:rPr>
              <w:t>11,0</w:t>
            </w:r>
          </w:p>
        </w:tc>
        <w:tc>
          <w:tcPr>
            <w:tcW w:w="486" w:type="pct"/>
            <w:shd w:val="clear" w:color="auto" w:fill="auto"/>
            <w:tcMar>
              <w:left w:w="0" w:type="dxa"/>
              <w:right w:w="187" w:type="dxa"/>
            </w:tcMar>
            <w:vAlign w:val="center"/>
          </w:tcPr>
          <w:p w14:paraId="64102ED5" w14:textId="77777777" w:rsidR="00C911E8" w:rsidRPr="00642DD0" w:rsidRDefault="00C911E8" w:rsidP="00C911E8">
            <w:pPr>
              <w:jc w:val="right"/>
              <w:rPr>
                <w:color w:val="000000"/>
                <w:sz w:val="20"/>
                <w:szCs w:val="20"/>
              </w:rPr>
            </w:pPr>
            <w:r>
              <w:rPr>
                <w:color w:val="000000"/>
                <w:sz w:val="20"/>
              </w:rPr>
              <w:t>12,7</w:t>
            </w:r>
          </w:p>
        </w:tc>
        <w:tc>
          <w:tcPr>
            <w:tcW w:w="486" w:type="pct"/>
            <w:shd w:val="clear" w:color="auto" w:fill="auto"/>
            <w:tcMar>
              <w:left w:w="0" w:type="dxa"/>
              <w:right w:w="187" w:type="dxa"/>
            </w:tcMar>
            <w:vAlign w:val="center"/>
          </w:tcPr>
          <w:p w14:paraId="5BE18B2D" w14:textId="77777777" w:rsidR="00C911E8" w:rsidRPr="00642DD0" w:rsidRDefault="00C911E8" w:rsidP="00C911E8">
            <w:pPr>
              <w:jc w:val="right"/>
              <w:rPr>
                <w:color w:val="000000"/>
                <w:sz w:val="20"/>
                <w:szCs w:val="20"/>
              </w:rPr>
            </w:pPr>
            <w:r>
              <w:rPr>
                <w:color w:val="000000"/>
                <w:sz w:val="20"/>
              </w:rPr>
              <w:t>22,4</w:t>
            </w:r>
          </w:p>
        </w:tc>
        <w:tc>
          <w:tcPr>
            <w:tcW w:w="486" w:type="pct"/>
            <w:shd w:val="clear" w:color="auto" w:fill="auto"/>
            <w:tcMar>
              <w:left w:w="0" w:type="dxa"/>
              <w:right w:w="187" w:type="dxa"/>
            </w:tcMar>
          </w:tcPr>
          <w:p w14:paraId="76A52977" w14:textId="77777777" w:rsidR="00C911E8" w:rsidRPr="00642DD0" w:rsidRDefault="00C911E8" w:rsidP="00C911E8">
            <w:pPr>
              <w:jc w:val="right"/>
              <w:rPr>
                <w:color w:val="000000"/>
                <w:sz w:val="20"/>
                <w:szCs w:val="20"/>
              </w:rPr>
            </w:pPr>
            <w:r>
              <w:rPr>
                <w:color w:val="000000"/>
                <w:sz w:val="20"/>
              </w:rPr>
              <w:t>15,5</w:t>
            </w:r>
          </w:p>
        </w:tc>
      </w:tr>
      <w:tr w:rsidR="00C911E8" w:rsidRPr="00642DD0" w14:paraId="4E76E02B" w14:textId="77777777" w:rsidTr="0075721B">
        <w:tc>
          <w:tcPr>
            <w:tcW w:w="624" w:type="pct"/>
            <w:shd w:val="clear" w:color="auto" w:fill="auto"/>
            <w:noWrap/>
            <w:tcMar>
              <w:left w:w="29" w:type="dxa"/>
            </w:tcMar>
            <w:vAlign w:val="bottom"/>
            <w:hideMark/>
          </w:tcPr>
          <w:p w14:paraId="377F1F09" w14:textId="77777777" w:rsidR="00C911E8" w:rsidRPr="00642DD0" w:rsidRDefault="00C911E8" w:rsidP="00C911E8">
            <w:pPr>
              <w:rPr>
                <w:color w:val="000000" w:themeColor="text1"/>
                <w:sz w:val="20"/>
                <w:szCs w:val="20"/>
              </w:rPr>
            </w:pPr>
            <w:proofErr w:type="spellStart"/>
            <w:r>
              <w:rPr>
                <w:color w:val="000000" w:themeColor="text1"/>
                <w:sz w:val="20"/>
              </w:rPr>
              <w:t>Promedio</w:t>
            </w:r>
            <w:proofErr w:type="spellEnd"/>
          </w:p>
        </w:tc>
        <w:tc>
          <w:tcPr>
            <w:tcW w:w="486" w:type="pct"/>
            <w:shd w:val="clear" w:color="auto" w:fill="auto"/>
            <w:tcMar>
              <w:left w:w="0" w:type="dxa"/>
              <w:right w:w="187" w:type="dxa"/>
            </w:tcMar>
            <w:vAlign w:val="center"/>
          </w:tcPr>
          <w:p w14:paraId="22D660C2" w14:textId="77777777" w:rsidR="00C911E8" w:rsidRPr="00642DD0" w:rsidRDefault="00C911E8" w:rsidP="00C911E8">
            <w:pPr>
              <w:jc w:val="right"/>
              <w:rPr>
                <w:b/>
                <w:bCs/>
                <w:color w:val="000000"/>
                <w:sz w:val="20"/>
                <w:szCs w:val="20"/>
              </w:rPr>
            </w:pPr>
            <w:r>
              <w:rPr>
                <w:b/>
                <w:color w:val="000000"/>
                <w:sz w:val="20"/>
              </w:rPr>
              <w:t>10,7</w:t>
            </w:r>
          </w:p>
        </w:tc>
        <w:tc>
          <w:tcPr>
            <w:tcW w:w="486" w:type="pct"/>
            <w:shd w:val="clear" w:color="auto" w:fill="auto"/>
            <w:noWrap/>
            <w:tcMar>
              <w:left w:w="0" w:type="dxa"/>
              <w:right w:w="187" w:type="dxa"/>
            </w:tcMar>
            <w:vAlign w:val="center"/>
            <w:hideMark/>
          </w:tcPr>
          <w:p w14:paraId="154AA6B4" w14:textId="77777777" w:rsidR="00C911E8" w:rsidRPr="00642DD0" w:rsidRDefault="00C911E8" w:rsidP="00C911E8">
            <w:pPr>
              <w:jc w:val="right"/>
              <w:rPr>
                <w:b/>
                <w:bCs/>
                <w:color w:val="000000"/>
                <w:sz w:val="20"/>
                <w:szCs w:val="20"/>
              </w:rPr>
            </w:pPr>
            <w:r>
              <w:rPr>
                <w:b/>
                <w:color w:val="000000"/>
                <w:sz w:val="20"/>
              </w:rPr>
              <w:t>11,6</w:t>
            </w:r>
          </w:p>
        </w:tc>
        <w:tc>
          <w:tcPr>
            <w:tcW w:w="486" w:type="pct"/>
            <w:shd w:val="clear" w:color="auto" w:fill="auto"/>
            <w:noWrap/>
            <w:tcMar>
              <w:left w:w="0" w:type="dxa"/>
              <w:right w:w="187" w:type="dxa"/>
            </w:tcMar>
            <w:vAlign w:val="center"/>
            <w:hideMark/>
          </w:tcPr>
          <w:p w14:paraId="6BEA1204" w14:textId="77777777" w:rsidR="00C911E8" w:rsidRPr="00642DD0" w:rsidRDefault="00C911E8" w:rsidP="00C911E8">
            <w:pPr>
              <w:jc w:val="right"/>
              <w:rPr>
                <w:b/>
                <w:bCs/>
                <w:color w:val="000000"/>
                <w:sz w:val="20"/>
                <w:szCs w:val="20"/>
              </w:rPr>
            </w:pPr>
            <w:r>
              <w:rPr>
                <w:b/>
                <w:color w:val="000000"/>
                <w:sz w:val="20"/>
              </w:rPr>
              <w:t>10,8</w:t>
            </w:r>
          </w:p>
        </w:tc>
        <w:tc>
          <w:tcPr>
            <w:tcW w:w="486" w:type="pct"/>
            <w:shd w:val="clear" w:color="auto" w:fill="auto"/>
            <w:noWrap/>
            <w:tcMar>
              <w:left w:w="0" w:type="dxa"/>
              <w:right w:w="187" w:type="dxa"/>
            </w:tcMar>
            <w:vAlign w:val="center"/>
            <w:hideMark/>
          </w:tcPr>
          <w:p w14:paraId="0DC2205D" w14:textId="77777777" w:rsidR="00C911E8" w:rsidRPr="00642DD0" w:rsidRDefault="00C911E8" w:rsidP="00C911E8">
            <w:pPr>
              <w:jc w:val="right"/>
              <w:rPr>
                <w:b/>
                <w:bCs/>
                <w:color w:val="000000"/>
                <w:sz w:val="20"/>
                <w:szCs w:val="20"/>
              </w:rPr>
            </w:pPr>
            <w:r>
              <w:rPr>
                <w:b/>
                <w:color w:val="000000"/>
                <w:sz w:val="20"/>
              </w:rPr>
              <w:t>12,0</w:t>
            </w:r>
          </w:p>
        </w:tc>
        <w:tc>
          <w:tcPr>
            <w:tcW w:w="486" w:type="pct"/>
            <w:shd w:val="clear" w:color="auto" w:fill="auto"/>
            <w:noWrap/>
            <w:tcMar>
              <w:left w:w="0" w:type="dxa"/>
              <w:right w:w="187" w:type="dxa"/>
            </w:tcMar>
            <w:vAlign w:val="center"/>
            <w:hideMark/>
          </w:tcPr>
          <w:p w14:paraId="6B603B77" w14:textId="77777777" w:rsidR="00C911E8" w:rsidRPr="00642DD0" w:rsidRDefault="00C911E8" w:rsidP="00C911E8">
            <w:pPr>
              <w:jc w:val="right"/>
              <w:rPr>
                <w:b/>
                <w:bCs/>
                <w:color w:val="000000"/>
                <w:sz w:val="20"/>
                <w:szCs w:val="20"/>
              </w:rPr>
            </w:pPr>
            <w:r>
              <w:rPr>
                <w:b/>
                <w:color w:val="000000"/>
                <w:sz w:val="20"/>
              </w:rPr>
              <w:t>12,1</w:t>
            </w:r>
          </w:p>
        </w:tc>
        <w:tc>
          <w:tcPr>
            <w:tcW w:w="486" w:type="pct"/>
            <w:shd w:val="clear" w:color="auto" w:fill="auto"/>
            <w:noWrap/>
            <w:tcMar>
              <w:left w:w="0" w:type="dxa"/>
              <w:right w:w="187" w:type="dxa"/>
            </w:tcMar>
            <w:vAlign w:val="center"/>
            <w:hideMark/>
          </w:tcPr>
          <w:p w14:paraId="65D64076" w14:textId="77777777" w:rsidR="00C911E8" w:rsidRPr="00642DD0" w:rsidRDefault="00C911E8" w:rsidP="00C911E8">
            <w:pPr>
              <w:jc w:val="right"/>
              <w:rPr>
                <w:b/>
                <w:bCs/>
                <w:color w:val="000000"/>
                <w:sz w:val="20"/>
                <w:szCs w:val="20"/>
              </w:rPr>
            </w:pPr>
            <w:r>
              <w:rPr>
                <w:b/>
                <w:color w:val="000000"/>
                <w:sz w:val="20"/>
              </w:rPr>
              <w:t>12,1</w:t>
            </w:r>
          </w:p>
        </w:tc>
        <w:tc>
          <w:tcPr>
            <w:tcW w:w="486" w:type="pct"/>
            <w:shd w:val="clear" w:color="auto" w:fill="auto"/>
            <w:tcMar>
              <w:left w:w="0" w:type="dxa"/>
              <w:right w:w="187" w:type="dxa"/>
            </w:tcMar>
            <w:vAlign w:val="center"/>
          </w:tcPr>
          <w:p w14:paraId="6773CF00" w14:textId="77777777" w:rsidR="00C911E8" w:rsidRPr="00642DD0" w:rsidRDefault="00C911E8" w:rsidP="00C911E8">
            <w:pPr>
              <w:jc w:val="right"/>
              <w:rPr>
                <w:b/>
                <w:bCs/>
                <w:color w:val="000000"/>
                <w:sz w:val="20"/>
                <w:szCs w:val="20"/>
              </w:rPr>
            </w:pPr>
            <w:r>
              <w:rPr>
                <w:b/>
                <w:color w:val="000000"/>
                <w:sz w:val="20"/>
              </w:rPr>
              <w:t>12,1</w:t>
            </w:r>
          </w:p>
        </w:tc>
        <w:tc>
          <w:tcPr>
            <w:tcW w:w="486" w:type="pct"/>
            <w:shd w:val="clear" w:color="auto" w:fill="auto"/>
            <w:tcMar>
              <w:left w:w="0" w:type="dxa"/>
              <w:right w:w="187" w:type="dxa"/>
            </w:tcMar>
            <w:vAlign w:val="center"/>
          </w:tcPr>
          <w:p w14:paraId="60D90E90" w14:textId="77777777" w:rsidR="00C911E8" w:rsidRPr="00642DD0" w:rsidRDefault="00C911E8" w:rsidP="00C911E8">
            <w:pPr>
              <w:jc w:val="right"/>
              <w:rPr>
                <w:b/>
                <w:bCs/>
                <w:color w:val="000000"/>
                <w:sz w:val="20"/>
                <w:szCs w:val="20"/>
              </w:rPr>
            </w:pPr>
            <w:r>
              <w:rPr>
                <w:b/>
                <w:color w:val="000000"/>
                <w:sz w:val="20"/>
              </w:rPr>
              <w:t>14,2</w:t>
            </w:r>
          </w:p>
        </w:tc>
        <w:tc>
          <w:tcPr>
            <w:tcW w:w="486" w:type="pct"/>
            <w:shd w:val="clear" w:color="auto" w:fill="auto"/>
            <w:tcMar>
              <w:left w:w="0" w:type="dxa"/>
              <w:right w:w="187" w:type="dxa"/>
            </w:tcMar>
          </w:tcPr>
          <w:p w14:paraId="021082CF" w14:textId="77777777" w:rsidR="00C911E8" w:rsidRPr="00642DD0" w:rsidRDefault="00C911E8" w:rsidP="00C911E8">
            <w:pPr>
              <w:jc w:val="right"/>
              <w:rPr>
                <w:b/>
                <w:color w:val="000000"/>
                <w:sz w:val="20"/>
                <w:szCs w:val="20"/>
              </w:rPr>
            </w:pPr>
            <w:r>
              <w:rPr>
                <w:b/>
                <w:color w:val="000000"/>
                <w:sz w:val="20"/>
              </w:rPr>
              <w:t>12,6</w:t>
            </w:r>
          </w:p>
        </w:tc>
      </w:tr>
    </w:tbl>
    <w:p w14:paraId="4182A877" w14:textId="15E91E31" w:rsidR="00C911E8" w:rsidRPr="0014372A" w:rsidRDefault="00C911E8" w:rsidP="00C911E8">
      <w:pPr>
        <w:rPr>
          <w:color w:val="000000" w:themeColor="text1"/>
          <w:sz w:val="19"/>
          <w:szCs w:val="19"/>
          <w:lang w:val="es-ES"/>
        </w:rPr>
      </w:pPr>
      <w:r w:rsidRPr="0014372A">
        <w:rPr>
          <w:color w:val="000000" w:themeColor="text1"/>
          <w:sz w:val="19"/>
          <w:lang w:val="es-ES"/>
        </w:rPr>
        <w:t>* Incluye los gastos de apoyo a los programas del PAC (aprobado</w:t>
      </w:r>
      <w:r w:rsidR="00775B48" w:rsidRPr="0014372A">
        <w:rPr>
          <w:color w:val="000000" w:themeColor="text1"/>
          <w:sz w:val="19"/>
          <w:lang w:val="es-ES"/>
        </w:rPr>
        <w:t>s</w:t>
      </w:r>
      <w:r w:rsidRPr="0014372A">
        <w:rPr>
          <w:color w:val="000000" w:themeColor="text1"/>
          <w:sz w:val="19"/>
          <w:lang w:val="es-ES"/>
        </w:rPr>
        <w:t xml:space="preserve"> por primera vez en 2001), pero no incluye los costos administrativos pagados como costos directos como parte del PAC.</w:t>
      </w:r>
    </w:p>
    <w:p w14:paraId="4C85BBB7" w14:textId="77777777" w:rsidR="00C911E8" w:rsidRPr="0014372A" w:rsidRDefault="00C911E8" w:rsidP="00C911E8">
      <w:pPr>
        <w:spacing w:after="240"/>
        <w:rPr>
          <w:caps/>
          <w:color w:val="000000" w:themeColor="text1"/>
          <w:sz w:val="24"/>
          <w:szCs w:val="24"/>
          <w:lang w:val="es-ES"/>
        </w:rPr>
      </w:pPr>
      <w:r w:rsidRPr="0014372A">
        <w:rPr>
          <w:color w:val="000000" w:themeColor="text1"/>
          <w:sz w:val="19"/>
          <w:lang w:val="es-ES"/>
        </w:rPr>
        <w:lastRenderedPageBreak/>
        <w:t>** Basado en los montos reales aprobados en la 87ª reunión, las presentaciones a la 88ª reunión y las actividades previstas para 2022 y 2023.</w:t>
      </w:r>
    </w:p>
    <w:p w14:paraId="417F3731" w14:textId="5C5E202F" w:rsidR="00C911E8" w:rsidRPr="0014372A" w:rsidRDefault="00C911E8" w:rsidP="00C911E8">
      <w:pPr>
        <w:pStyle w:val="Heading1"/>
        <w:numPr>
          <w:ilvl w:val="0"/>
          <w:numId w:val="14"/>
        </w:numPr>
        <w:ind w:left="0" w:firstLine="0"/>
        <w:rPr>
          <w:lang w:val="es-ES"/>
        </w:rPr>
      </w:pPr>
      <w:r w:rsidRPr="0014372A">
        <w:rPr>
          <w:lang w:val="es-ES"/>
        </w:rPr>
        <w:t>En algunos períodos y en relación con determinados organismos de ejecución, los gastos de apoyo a los programas fueron superiores al 13% debido a la disminución de la financiación aprobada para proyectos, que dio lugar a un aumento proporcional correspondiente de los presupuestos de las unidades centrales (por ejemplo, el PNUD en 2003–2005, 2006–2008, 2009–2011, 2012–2014 y 2018–2020; la ONUDI en 2000</w:t>
      </w:r>
      <w:r w:rsidRPr="0014372A">
        <w:rPr>
          <w:lang w:val="es-ES"/>
        </w:rPr>
        <w:noBreakHyphen/>
        <w:t>2002, 2006</w:t>
      </w:r>
      <w:r w:rsidRPr="0014372A">
        <w:rPr>
          <w:lang w:val="es-ES"/>
        </w:rPr>
        <w:noBreakHyphen/>
        <w:t>2008, 2012–2014, 2015–2017 y 2018–2020; y el Banco Mundial en 2009</w:t>
      </w:r>
      <w:r w:rsidR="00067E46" w:rsidRPr="0014372A">
        <w:rPr>
          <w:lang w:val="es-ES"/>
        </w:rPr>
        <w:noBreakHyphen/>
      </w:r>
      <w:r w:rsidRPr="0014372A">
        <w:rPr>
          <w:lang w:val="es-ES"/>
        </w:rPr>
        <w:t>2011 y 2018</w:t>
      </w:r>
      <w:r w:rsidRPr="0014372A">
        <w:rPr>
          <w:lang w:val="es-ES"/>
        </w:rPr>
        <w:noBreakHyphen/>
        <w:t>2020). Además, durante los trienios 2006–2008 y 2009</w:t>
      </w:r>
      <w:r w:rsidRPr="0014372A">
        <w:rPr>
          <w:lang w:val="es-ES"/>
        </w:rPr>
        <w:noBreakHyphen/>
        <w:t xml:space="preserve">2011, la mayor parte de la financiación aprobada se relacionaba con la eliminación de los CFC, principalmente utilizados en el sector de servicio y mantenimiento de equipos refrigeración (donde el umbral de relación de costo a eficacia se fijó en 5,00 $EUA/kg para los países de bajo volumen de consumo), y cuando las actividades de inversión y </w:t>
      </w:r>
      <w:proofErr w:type="gramStart"/>
      <w:r w:rsidRPr="0014372A">
        <w:rPr>
          <w:lang w:val="es-ES"/>
        </w:rPr>
        <w:t>ajenas inversión</w:t>
      </w:r>
      <w:proofErr w:type="gramEnd"/>
      <w:r w:rsidRPr="0014372A">
        <w:rPr>
          <w:lang w:val="es-ES"/>
        </w:rPr>
        <w:t xml:space="preserve"> para la eliminación de los HCFC no habían comenzado plenamente.</w:t>
      </w:r>
    </w:p>
    <w:p w14:paraId="4875393A" w14:textId="77777777" w:rsidR="00C911E8" w:rsidRPr="004C463B" w:rsidRDefault="00C911E8" w:rsidP="00C911E8">
      <w:pPr>
        <w:rPr>
          <w:u w:val="single"/>
        </w:rPr>
      </w:pPr>
      <w:r>
        <w:rPr>
          <w:u w:val="single"/>
        </w:rPr>
        <w:t xml:space="preserve">Breve </w:t>
      </w:r>
      <w:proofErr w:type="spellStart"/>
      <w:r>
        <w:rPr>
          <w:u w:val="single"/>
        </w:rPr>
        <w:t>análisis</w:t>
      </w:r>
      <w:proofErr w:type="spellEnd"/>
      <w:r>
        <w:rPr>
          <w:u w:val="single"/>
        </w:rPr>
        <w:t xml:space="preserve"> del </w:t>
      </w:r>
      <w:proofErr w:type="spellStart"/>
      <w:r>
        <w:rPr>
          <w:u w:val="single"/>
        </w:rPr>
        <w:t>trienio</w:t>
      </w:r>
      <w:proofErr w:type="spellEnd"/>
      <w:r>
        <w:rPr>
          <w:u w:val="single"/>
        </w:rPr>
        <w:t> 2018–2020</w:t>
      </w:r>
    </w:p>
    <w:p w14:paraId="54214B86" w14:textId="77777777" w:rsidR="00C911E8" w:rsidRPr="004C463B" w:rsidRDefault="00C911E8" w:rsidP="00C911E8"/>
    <w:p w14:paraId="1C5B2B46" w14:textId="77777777" w:rsidR="00C911E8" w:rsidRPr="0014372A" w:rsidRDefault="00C911E8" w:rsidP="00C911E8">
      <w:pPr>
        <w:pStyle w:val="Heading1"/>
        <w:numPr>
          <w:ilvl w:val="0"/>
          <w:numId w:val="14"/>
        </w:numPr>
        <w:ind w:left="0" w:firstLine="0"/>
        <w:rPr>
          <w:lang w:val="es-ES"/>
        </w:rPr>
      </w:pPr>
      <w:r w:rsidRPr="0014372A">
        <w:rPr>
          <w:lang w:val="es-ES"/>
        </w:rPr>
        <w:t xml:space="preserve">En particular, durante el trienio 2018–2020, hubo una marcada disminución de la financiación de proyectos en comparación con el trienio 2015–2017 (y los trienios anteriores), como se muestra en el Cuadro 2.  </w:t>
      </w:r>
    </w:p>
    <w:p w14:paraId="7097DCDE" w14:textId="48AEF7D8" w:rsidR="00C911E8" w:rsidRPr="0014372A" w:rsidRDefault="00C911E8" w:rsidP="00C911E8">
      <w:pPr>
        <w:keepNext/>
        <w:rPr>
          <w:lang w:val="es-ES"/>
        </w:rPr>
      </w:pPr>
      <w:r w:rsidRPr="0014372A">
        <w:rPr>
          <w:b/>
          <w:lang w:val="es-ES"/>
        </w:rPr>
        <w:t>Cuadro 2:</w:t>
      </w:r>
      <w:r w:rsidRPr="0014372A">
        <w:rPr>
          <w:lang w:val="es-ES"/>
        </w:rPr>
        <w:t xml:space="preserve"> </w:t>
      </w:r>
      <w:r w:rsidRPr="0014372A">
        <w:rPr>
          <w:b/>
          <w:color w:val="000000" w:themeColor="text1"/>
          <w:sz w:val="21"/>
          <w:lang w:val="es-ES"/>
        </w:rPr>
        <w:t>Costos administrativos pagados por el Fondo para los trienios 2015–2017, 2018–2020 y 2021</w:t>
      </w:r>
      <w:r w:rsidR="00067E46" w:rsidRPr="0014372A">
        <w:rPr>
          <w:b/>
          <w:color w:val="000000" w:themeColor="text1"/>
          <w:sz w:val="21"/>
          <w:lang w:val="es-ES"/>
        </w:rPr>
        <w:noBreakHyphen/>
      </w:r>
      <w:r w:rsidRPr="0014372A">
        <w:rPr>
          <w:b/>
          <w:color w:val="000000" w:themeColor="text1"/>
          <w:sz w:val="21"/>
          <w:lang w:val="es-ES"/>
        </w:rPr>
        <w:t>2023</w:t>
      </w:r>
    </w:p>
    <w:tbl>
      <w:tblPr>
        <w:tblW w:w="9360" w:type="dxa"/>
        <w:tblLayout w:type="fixed"/>
        <w:tblLook w:val="04A0" w:firstRow="1" w:lastRow="0" w:firstColumn="1" w:lastColumn="0" w:noHBand="0" w:noVBand="1"/>
      </w:tblPr>
      <w:tblGrid>
        <w:gridCol w:w="953"/>
        <w:gridCol w:w="934"/>
        <w:gridCol w:w="935"/>
        <w:gridCol w:w="935"/>
        <w:gridCol w:w="934"/>
        <w:gridCol w:w="933"/>
        <w:gridCol w:w="934"/>
        <w:gridCol w:w="934"/>
        <w:gridCol w:w="934"/>
        <w:gridCol w:w="934"/>
      </w:tblGrid>
      <w:tr w:rsidR="00C911E8" w:rsidRPr="00BE3A36" w14:paraId="3EB3158B" w14:textId="77777777" w:rsidTr="0075721B">
        <w:tc>
          <w:tcPr>
            <w:tcW w:w="953" w:type="dxa"/>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14:paraId="0D011295" w14:textId="77777777" w:rsidR="00C911E8" w:rsidRPr="00BE3A36" w:rsidRDefault="00C911E8" w:rsidP="00C911E8">
            <w:pPr>
              <w:keepNext/>
              <w:jc w:val="center"/>
              <w:rPr>
                <w:b/>
                <w:color w:val="000000"/>
                <w:sz w:val="18"/>
                <w:szCs w:val="18"/>
              </w:rPr>
            </w:pPr>
            <w:proofErr w:type="spellStart"/>
            <w:r>
              <w:rPr>
                <w:b/>
                <w:color w:val="000000"/>
                <w:sz w:val="18"/>
              </w:rPr>
              <w:t>Organismo</w:t>
            </w:r>
            <w:proofErr w:type="spellEnd"/>
          </w:p>
        </w:tc>
        <w:tc>
          <w:tcPr>
            <w:tcW w:w="2804"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7D32A130" w14:textId="77777777" w:rsidR="00C911E8" w:rsidRPr="00BE3A36" w:rsidRDefault="00C911E8" w:rsidP="00C911E8">
            <w:pPr>
              <w:keepNext/>
              <w:jc w:val="center"/>
              <w:rPr>
                <w:b/>
                <w:color w:val="000000"/>
                <w:sz w:val="18"/>
                <w:szCs w:val="18"/>
              </w:rPr>
            </w:pPr>
            <w:r>
              <w:rPr>
                <w:b/>
                <w:color w:val="000000"/>
                <w:sz w:val="18"/>
              </w:rPr>
              <w:t>2015–2017*</w:t>
            </w:r>
          </w:p>
        </w:tc>
        <w:tc>
          <w:tcPr>
            <w:tcW w:w="2801"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1A5E9E15" w14:textId="77777777" w:rsidR="00C911E8" w:rsidRPr="00BE3A36" w:rsidRDefault="00C911E8" w:rsidP="00C911E8">
            <w:pPr>
              <w:keepNext/>
              <w:jc w:val="center"/>
              <w:rPr>
                <w:b/>
                <w:color w:val="000000"/>
                <w:sz w:val="18"/>
                <w:szCs w:val="18"/>
              </w:rPr>
            </w:pPr>
            <w:r>
              <w:rPr>
                <w:b/>
                <w:color w:val="000000"/>
                <w:sz w:val="18"/>
              </w:rPr>
              <w:t>2018–2020*</w:t>
            </w:r>
          </w:p>
        </w:tc>
        <w:tc>
          <w:tcPr>
            <w:tcW w:w="2802"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3AE357FB" w14:textId="77777777" w:rsidR="00C911E8" w:rsidRPr="00BE3A36" w:rsidRDefault="00C911E8" w:rsidP="00C911E8">
            <w:pPr>
              <w:keepNext/>
              <w:jc w:val="center"/>
              <w:rPr>
                <w:b/>
                <w:color w:val="000000"/>
                <w:sz w:val="18"/>
                <w:szCs w:val="18"/>
              </w:rPr>
            </w:pPr>
            <w:r>
              <w:rPr>
                <w:b/>
                <w:color w:val="000000"/>
                <w:sz w:val="18"/>
              </w:rPr>
              <w:t>2021–2023**</w:t>
            </w:r>
          </w:p>
        </w:tc>
      </w:tr>
      <w:tr w:rsidR="00C911E8" w:rsidRPr="00BE3A36" w14:paraId="24DEA66E" w14:textId="77777777" w:rsidTr="0075721B">
        <w:tc>
          <w:tcPr>
            <w:tcW w:w="953" w:type="dxa"/>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74E5BC5" w14:textId="77777777" w:rsidR="00C911E8" w:rsidRPr="00BE3A36" w:rsidRDefault="00C911E8" w:rsidP="00C911E8">
            <w:pPr>
              <w:jc w:val="center"/>
              <w:rPr>
                <w:b/>
                <w:color w:val="000000"/>
                <w:sz w:val="18"/>
                <w:szCs w:val="18"/>
                <w:lang w:eastAsia="en-CA"/>
              </w:rPr>
            </w:pPr>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14239273" w14:textId="2F5C15A3" w:rsidR="00C911E8" w:rsidRPr="00BE3A36" w:rsidRDefault="00C911E8" w:rsidP="00C911E8">
            <w:pPr>
              <w:jc w:val="center"/>
              <w:rPr>
                <w:b/>
                <w:color w:val="000000"/>
                <w:sz w:val="18"/>
                <w:szCs w:val="18"/>
              </w:rPr>
            </w:pPr>
            <w:proofErr w:type="spellStart"/>
            <w:r>
              <w:rPr>
                <w:b/>
                <w:color w:val="000000"/>
                <w:sz w:val="18"/>
              </w:rPr>
              <w:t>Financia-ción</w:t>
            </w:r>
            <w:proofErr w:type="spellEnd"/>
          </w:p>
        </w:tc>
        <w:tc>
          <w:tcPr>
            <w:tcW w:w="935"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33B5FF40" w14:textId="77777777" w:rsidR="00C911E8" w:rsidRPr="00BE3A36" w:rsidRDefault="00C911E8" w:rsidP="00C911E8">
            <w:pPr>
              <w:jc w:val="center"/>
              <w:rPr>
                <w:b/>
                <w:color w:val="000000"/>
                <w:sz w:val="18"/>
                <w:szCs w:val="18"/>
              </w:rPr>
            </w:pPr>
            <w:proofErr w:type="spellStart"/>
            <w:r>
              <w:rPr>
                <w:b/>
                <w:color w:val="000000"/>
                <w:sz w:val="18"/>
              </w:rPr>
              <w:t>Gastos</w:t>
            </w:r>
            <w:proofErr w:type="spellEnd"/>
            <w:r>
              <w:rPr>
                <w:b/>
                <w:color w:val="000000"/>
                <w:sz w:val="18"/>
              </w:rPr>
              <w:t xml:space="preserve"> de </w:t>
            </w:r>
            <w:proofErr w:type="spellStart"/>
            <w:r>
              <w:rPr>
                <w:b/>
                <w:color w:val="000000"/>
                <w:sz w:val="18"/>
              </w:rPr>
              <w:t>apoyo</w:t>
            </w:r>
            <w:proofErr w:type="spellEnd"/>
          </w:p>
        </w:tc>
        <w:tc>
          <w:tcPr>
            <w:tcW w:w="935"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680DF9F0" w14:textId="77777777" w:rsidR="00C911E8" w:rsidRPr="00BE3A36" w:rsidRDefault="00C911E8" w:rsidP="00C911E8">
            <w:pPr>
              <w:jc w:val="center"/>
              <w:rPr>
                <w:b/>
                <w:color w:val="000000"/>
                <w:sz w:val="18"/>
                <w:szCs w:val="18"/>
              </w:rPr>
            </w:pPr>
            <w:proofErr w:type="spellStart"/>
            <w:r>
              <w:rPr>
                <w:b/>
                <w:color w:val="000000"/>
                <w:sz w:val="18"/>
              </w:rPr>
              <w:t>Gastos</w:t>
            </w:r>
            <w:proofErr w:type="spellEnd"/>
            <w:r>
              <w:rPr>
                <w:b/>
                <w:color w:val="000000"/>
                <w:sz w:val="18"/>
              </w:rPr>
              <w:t xml:space="preserve"> de </w:t>
            </w:r>
            <w:proofErr w:type="spellStart"/>
            <w:r>
              <w:rPr>
                <w:b/>
                <w:color w:val="000000"/>
                <w:sz w:val="18"/>
              </w:rPr>
              <w:t>apoyo</w:t>
            </w:r>
            <w:proofErr w:type="spellEnd"/>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7B3A5529" w14:textId="53EBCA09" w:rsidR="00C911E8" w:rsidRPr="00BE3A36" w:rsidRDefault="00C911E8" w:rsidP="00C911E8">
            <w:pPr>
              <w:jc w:val="center"/>
              <w:rPr>
                <w:b/>
                <w:color w:val="000000"/>
                <w:sz w:val="18"/>
                <w:szCs w:val="18"/>
              </w:rPr>
            </w:pPr>
            <w:proofErr w:type="spellStart"/>
            <w:r>
              <w:rPr>
                <w:b/>
                <w:color w:val="000000"/>
                <w:sz w:val="18"/>
              </w:rPr>
              <w:t>Financia-ción</w:t>
            </w:r>
            <w:proofErr w:type="spellEnd"/>
          </w:p>
        </w:tc>
        <w:tc>
          <w:tcPr>
            <w:tcW w:w="933"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7E1F218" w14:textId="77777777" w:rsidR="00C911E8" w:rsidRPr="00BE3A36" w:rsidRDefault="00C911E8" w:rsidP="00C911E8">
            <w:pPr>
              <w:jc w:val="center"/>
              <w:rPr>
                <w:b/>
                <w:color w:val="000000"/>
                <w:sz w:val="18"/>
                <w:szCs w:val="18"/>
              </w:rPr>
            </w:pPr>
            <w:proofErr w:type="spellStart"/>
            <w:r>
              <w:rPr>
                <w:b/>
                <w:color w:val="000000"/>
                <w:sz w:val="18"/>
              </w:rPr>
              <w:t>Gastos</w:t>
            </w:r>
            <w:proofErr w:type="spellEnd"/>
            <w:r>
              <w:rPr>
                <w:b/>
                <w:color w:val="000000"/>
                <w:sz w:val="18"/>
              </w:rPr>
              <w:t xml:space="preserve"> de </w:t>
            </w:r>
            <w:proofErr w:type="spellStart"/>
            <w:r>
              <w:rPr>
                <w:b/>
                <w:color w:val="000000"/>
                <w:sz w:val="18"/>
              </w:rPr>
              <w:t>apoyo</w:t>
            </w:r>
            <w:proofErr w:type="spellEnd"/>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211414A" w14:textId="77777777" w:rsidR="00C911E8" w:rsidRPr="00BE3A36" w:rsidRDefault="00C911E8" w:rsidP="00C911E8">
            <w:pPr>
              <w:jc w:val="center"/>
              <w:rPr>
                <w:b/>
                <w:color w:val="000000"/>
                <w:sz w:val="18"/>
                <w:szCs w:val="18"/>
              </w:rPr>
            </w:pPr>
            <w:proofErr w:type="spellStart"/>
            <w:r>
              <w:rPr>
                <w:b/>
                <w:color w:val="000000"/>
                <w:sz w:val="18"/>
              </w:rPr>
              <w:t>Gastos</w:t>
            </w:r>
            <w:proofErr w:type="spellEnd"/>
            <w:r>
              <w:rPr>
                <w:b/>
                <w:color w:val="000000"/>
                <w:sz w:val="18"/>
              </w:rPr>
              <w:t xml:space="preserve"> de </w:t>
            </w:r>
            <w:proofErr w:type="spellStart"/>
            <w:r>
              <w:rPr>
                <w:b/>
                <w:color w:val="000000"/>
                <w:sz w:val="18"/>
              </w:rPr>
              <w:t>apoyo</w:t>
            </w:r>
            <w:proofErr w:type="spellEnd"/>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6B025AB2" w14:textId="17B2A1B3" w:rsidR="00C911E8" w:rsidRPr="00BE3A36" w:rsidRDefault="00C911E8" w:rsidP="00C911E8">
            <w:pPr>
              <w:jc w:val="center"/>
              <w:rPr>
                <w:b/>
                <w:color w:val="000000"/>
                <w:sz w:val="18"/>
                <w:szCs w:val="18"/>
              </w:rPr>
            </w:pPr>
            <w:proofErr w:type="spellStart"/>
            <w:r>
              <w:rPr>
                <w:b/>
                <w:color w:val="000000"/>
                <w:sz w:val="18"/>
              </w:rPr>
              <w:t>Financia-ción</w:t>
            </w:r>
            <w:proofErr w:type="spellEnd"/>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545E3BF4" w14:textId="77777777" w:rsidR="00C911E8" w:rsidRPr="00BE3A36" w:rsidRDefault="00C911E8" w:rsidP="00C911E8">
            <w:pPr>
              <w:jc w:val="center"/>
              <w:rPr>
                <w:b/>
                <w:color w:val="000000"/>
                <w:sz w:val="18"/>
                <w:szCs w:val="18"/>
              </w:rPr>
            </w:pPr>
            <w:proofErr w:type="spellStart"/>
            <w:r>
              <w:rPr>
                <w:b/>
                <w:color w:val="000000"/>
                <w:sz w:val="18"/>
              </w:rPr>
              <w:t>Gastos</w:t>
            </w:r>
            <w:proofErr w:type="spellEnd"/>
            <w:r>
              <w:rPr>
                <w:b/>
                <w:color w:val="000000"/>
                <w:sz w:val="18"/>
              </w:rPr>
              <w:t xml:space="preserve"> de </w:t>
            </w:r>
            <w:proofErr w:type="spellStart"/>
            <w:r>
              <w:rPr>
                <w:b/>
                <w:color w:val="000000"/>
                <w:sz w:val="18"/>
              </w:rPr>
              <w:t>apoyo</w:t>
            </w:r>
            <w:proofErr w:type="spellEnd"/>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3E2ECF97" w14:textId="77777777" w:rsidR="00C911E8" w:rsidRPr="00BE3A36" w:rsidRDefault="00C911E8" w:rsidP="00C911E8">
            <w:pPr>
              <w:jc w:val="center"/>
              <w:rPr>
                <w:b/>
                <w:color w:val="000000"/>
                <w:sz w:val="18"/>
                <w:szCs w:val="18"/>
              </w:rPr>
            </w:pPr>
            <w:proofErr w:type="spellStart"/>
            <w:r>
              <w:rPr>
                <w:b/>
                <w:color w:val="000000"/>
                <w:sz w:val="18"/>
              </w:rPr>
              <w:t>Gastos</w:t>
            </w:r>
            <w:proofErr w:type="spellEnd"/>
            <w:r>
              <w:rPr>
                <w:b/>
                <w:color w:val="000000"/>
                <w:sz w:val="18"/>
              </w:rPr>
              <w:t xml:space="preserve"> de </w:t>
            </w:r>
            <w:proofErr w:type="spellStart"/>
            <w:r>
              <w:rPr>
                <w:b/>
                <w:color w:val="000000"/>
                <w:sz w:val="18"/>
              </w:rPr>
              <w:t>apoyo</w:t>
            </w:r>
            <w:proofErr w:type="spellEnd"/>
          </w:p>
        </w:tc>
      </w:tr>
      <w:tr w:rsidR="00C911E8" w:rsidRPr="00BE3A36" w14:paraId="3C92A14D" w14:textId="77777777" w:rsidTr="0075721B">
        <w:tc>
          <w:tcPr>
            <w:tcW w:w="95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CA383E2" w14:textId="77777777" w:rsidR="00C911E8" w:rsidRPr="00BE3A36" w:rsidRDefault="00C911E8" w:rsidP="00C911E8">
            <w:pPr>
              <w:rPr>
                <w:color w:val="000000"/>
                <w:sz w:val="18"/>
                <w:szCs w:val="18"/>
              </w:rPr>
            </w:pPr>
            <w:proofErr w:type="spellStart"/>
            <w:r>
              <w:rPr>
                <w:color w:val="000000"/>
                <w:sz w:val="18"/>
              </w:rPr>
              <w:t>Bilaterales</w:t>
            </w:r>
            <w:proofErr w:type="spellEnd"/>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7807383C" w14:textId="77777777" w:rsidR="00C911E8" w:rsidRPr="00BE3A36" w:rsidRDefault="00C911E8" w:rsidP="00C911E8">
            <w:pPr>
              <w:jc w:val="right"/>
              <w:rPr>
                <w:color w:val="000000"/>
                <w:sz w:val="18"/>
                <w:szCs w:val="18"/>
              </w:rPr>
            </w:pPr>
            <w:r>
              <w:rPr>
                <w:color w:val="000000"/>
                <w:sz w:val="18"/>
              </w:rPr>
              <w:t>13 137 457</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48054C68" w14:textId="77777777" w:rsidR="00C911E8" w:rsidRPr="00BE3A36" w:rsidRDefault="00C911E8" w:rsidP="00C911E8">
            <w:pPr>
              <w:jc w:val="right"/>
              <w:rPr>
                <w:color w:val="000000"/>
                <w:sz w:val="18"/>
                <w:szCs w:val="18"/>
              </w:rPr>
            </w:pPr>
            <w:r>
              <w:rPr>
                <w:color w:val="000000"/>
                <w:sz w:val="18"/>
              </w:rPr>
              <w:t>1 544 708</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0E51204E" w14:textId="77777777" w:rsidR="00C911E8" w:rsidRPr="00BE3A36" w:rsidRDefault="00C911E8" w:rsidP="00C911E8">
            <w:pPr>
              <w:jc w:val="right"/>
              <w:rPr>
                <w:color w:val="000000"/>
                <w:sz w:val="18"/>
                <w:szCs w:val="18"/>
              </w:rPr>
            </w:pPr>
            <w:r>
              <w:rPr>
                <w:color w:val="000000"/>
                <w:sz w:val="18"/>
              </w:rPr>
              <w:t>11,76%</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595100BD" w14:textId="77777777" w:rsidR="00C911E8" w:rsidRPr="00BE3A36" w:rsidRDefault="00C911E8" w:rsidP="00C911E8">
            <w:pPr>
              <w:jc w:val="right"/>
              <w:rPr>
                <w:color w:val="000000"/>
                <w:sz w:val="18"/>
                <w:szCs w:val="18"/>
              </w:rPr>
            </w:pPr>
            <w:r>
              <w:rPr>
                <w:color w:val="000000"/>
                <w:sz w:val="18"/>
              </w:rPr>
              <w:t>13 128 336</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1396398A" w14:textId="77777777" w:rsidR="00C911E8" w:rsidRPr="00BE3A36" w:rsidRDefault="00C911E8" w:rsidP="00C911E8">
            <w:pPr>
              <w:jc w:val="right"/>
              <w:rPr>
                <w:color w:val="000000"/>
                <w:sz w:val="18"/>
                <w:szCs w:val="18"/>
              </w:rPr>
            </w:pPr>
            <w:r>
              <w:rPr>
                <w:color w:val="000000"/>
                <w:sz w:val="18"/>
              </w:rPr>
              <w:t>1 509 434</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052A25AC" w14:textId="77777777" w:rsidR="00C911E8" w:rsidRPr="00BE3A36" w:rsidRDefault="00C911E8" w:rsidP="00C911E8">
            <w:pPr>
              <w:jc w:val="right"/>
              <w:rPr>
                <w:color w:val="000000"/>
                <w:sz w:val="18"/>
                <w:szCs w:val="18"/>
              </w:rPr>
            </w:pPr>
            <w:r>
              <w:rPr>
                <w:color w:val="000000"/>
                <w:sz w:val="18"/>
              </w:rPr>
              <w:t>11,50%</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CF3F65A" w14:textId="77777777" w:rsidR="00C911E8" w:rsidRPr="00BE3A36" w:rsidRDefault="00C911E8" w:rsidP="00C911E8">
            <w:pPr>
              <w:jc w:val="right"/>
              <w:rPr>
                <w:color w:val="000000"/>
                <w:sz w:val="18"/>
                <w:szCs w:val="18"/>
              </w:rPr>
            </w:pPr>
            <w:r>
              <w:rPr>
                <w:color w:val="000000"/>
                <w:sz w:val="18"/>
              </w:rPr>
              <w:t>9 729 722</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763E9D61" w14:textId="77777777" w:rsidR="00C911E8" w:rsidRPr="00BE3A36" w:rsidRDefault="00C911E8" w:rsidP="00C911E8">
            <w:pPr>
              <w:jc w:val="right"/>
              <w:rPr>
                <w:color w:val="000000"/>
                <w:sz w:val="18"/>
                <w:szCs w:val="18"/>
              </w:rPr>
            </w:pPr>
            <w:r>
              <w:rPr>
                <w:color w:val="000000"/>
                <w:sz w:val="18"/>
              </w:rPr>
              <w:t>1 148 821</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5B288567" w14:textId="77777777" w:rsidR="00C911E8" w:rsidRPr="00BE3A36" w:rsidRDefault="00C911E8" w:rsidP="00C911E8">
            <w:pPr>
              <w:jc w:val="right"/>
              <w:rPr>
                <w:color w:val="000000"/>
                <w:sz w:val="18"/>
                <w:szCs w:val="18"/>
              </w:rPr>
            </w:pPr>
            <w:r>
              <w:rPr>
                <w:color w:val="000000"/>
                <w:sz w:val="18"/>
              </w:rPr>
              <w:t>11,81%</w:t>
            </w:r>
          </w:p>
        </w:tc>
      </w:tr>
      <w:tr w:rsidR="00C911E8" w:rsidRPr="00BE3A36" w14:paraId="3439AAEB" w14:textId="77777777" w:rsidTr="0075721B">
        <w:tc>
          <w:tcPr>
            <w:tcW w:w="95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042DB7D" w14:textId="77777777" w:rsidR="00C911E8" w:rsidRPr="00BE3A36" w:rsidRDefault="00C911E8" w:rsidP="00C911E8">
            <w:pPr>
              <w:rPr>
                <w:color w:val="000000"/>
                <w:sz w:val="18"/>
                <w:szCs w:val="18"/>
              </w:rPr>
            </w:pPr>
            <w:r>
              <w:rPr>
                <w:color w:val="000000"/>
                <w:sz w:val="18"/>
              </w:rPr>
              <w:t>PNUD</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7FEB466A" w14:textId="77777777" w:rsidR="00C911E8" w:rsidRPr="00BE3A36" w:rsidRDefault="00C911E8" w:rsidP="00C911E8">
            <w:pPr>
              <w:jc w:val="right"/>
              <w:rPr>
                <w:color w:val="000000"/>
                <w:sz w:val="18"/>
                <w:szCs w:val="18"/>
              </w:rPr>
            </w:pPr>
            <w:r>
              <w:rPr>
                <w:color w:val="000000"/>
                <w:sz w:val="18"/>
              </w:rPr>
              <w:t>110 970 958</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7FF941F2" w14:textId="77777777" w:rsidR="00C911E8" w:rsidRPr="00BE3A36" w:rsidRDefault="00C911E8" w:rsidP="00C911E8">
            <w:pPr>
              <w:jc w:val="right"/>
              <w:rPr>
                <w:color w:val="000000"/>
                <w:sz w:val="18"/>
                <w:szCs w:val="18"/>
              </w:rPr>
            </w:pPr>
            <w:r>
              <w:rPr>
                <w:color w:val="000000"/>
                <w:sz w:val="18"/>
              </w:rPr>
              <w:t>14 036 859</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1863E16B" w14:textId="77777777" w:rsidR="00C911E8" w:rsidRPr="00BE3A36" w:rsidRDefault="00C911E8" w:rsidP="00C911E8">
            <w:pPr>
              <w:jc w:val="right"/>
              <w:rPr>
                <w:color w:val="000000"/>
                <w:sz w:val="18"/>
                <w:szCs w:val="18"/>
              </w:rPr>
            </w:pPr>
            <w:r>
              <w:rPr>
                <w:color w:val="000000"/>
                <w:sz w:val="18"/>
              </w:rPr>
              <w:t>12,65%</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ACB8D21" w14:textId="77777777" w:rsidR="00C911E8" w:rsidRPr="00BE3A36" w:rsidRDefault="00C911E8" w:rsidP="00C911E8">
            <w:pPr>
              <w:jc w:val="right"/>
              <w:rPr>
                <w:color w:val="000000"/>
                <w:sz w:val="18"/>
                <w:szCs w:val="18"/>
              </w:rPr>
            </w:pPr>
            <w:r>
              <w:rPr>
                <w:color w:val="000000"/>
                <w:sz w:val="18"/>
              </w:rPr>
              <w:t>82 222 848</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7DF1FADC" w14:textId="77777777" w:rsidR="00C911E8" w:rsidRPr="00BE3A36" w:rsidRDefault="00C911E8" w:rsidP="00C911E8">
            <w:pPr>
              <w:jc w:val="right"/>
              <w:rPr>
                <w:color w:val="000000"/>
                <w:sz w:val="18"/>
                <w:szCs w:val="18"/>
              </w:rPr>
            </w:pPr>
            <w:r>
              <w:rPr>
                <w:color w:val="000000"/>
                <w:sz w:val="18"/>
              </w:rPr>
              <w:t>12 072 610</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731BBE3" w14:textId="77777777" w:rsidR="00C911E8" w:rsidRPr="00BE3A36" w:rsidRDefault="00C911E8" w:rsidP="00C911E8">
            <w:pPr>
              <w:jc w:val="right"/>
              <w:rPr>
                <w:color w:val="000000"/>
                <w:sz w:val="18"/>
                <w:szCs w:val="18"/>
              </w:rPr>
            </w:pPr>
            <w:r>
              <w:rPr>
                <w:color w:val="000000"/>
                <w:sz w:val="18"/>
              </w:rPr>
              <w:t>14,68%</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5A01D7F1" w14:textId="77777777" w:rsidR="00C911E8" w:rsidRPr="00BE3A36" w:rsidRDefault="00C911E8" w:rsidP="00C911E8">
            <w:pPr>
              <w:jc w:val="right"/>
              <w:rPr>
                <w:color w:val="000000"/>
                <w:sz w:val="18"/>
                <w:szCs w:val="18"/>
              </w:rPr>
            </w:pPr>
            <w:r>
              <w:rPr>
                <w:color w:val="000000"/>
                <w:sz w:val="18"/>
              </w:rPr>
              <w:t>116 349 367</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13C628A6" w14:textId="77777777" w:rsidR="00C911E8" w:rsidRPr="00BE3A36" w:rsidRDefault="00C911E8" w:rsidP="00C911E8">
            <w:pPr>
              <w:jc w:val="right"/>
              <w:rPr>
                <w:color w:val="000000"/>
                <w:sz w:val="18"/>
                <w:szCs w:val="18"/>
              </w:rPr>
            </w:pPr>
            <w:r>
              <w:rPr>
                <w:color w:val="000000"/>
                <w:sz w:val="18"/>
              </w:rPr>
              <w:t>14 922 098</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34121197" w14:textId="77777777" w:rsidR="00C911E8" w:rsidRPr="00BE3A36" w:rsidRDefault="00C911E8" w:rsidP="00C911E8">
            <w:pPr>
              <w:jc w:val="right"/>
              <w:rPr>
                <w:color w:val="000000"/>
                <w:sz w:val="18"/>
                <w:szCs w:val="18"/>
              </w:rPr>
            </w:pPr>
            <w:r>
              <w:rPr>
                <w:color w:val="000000"/>
                <w:sz w:val="18"/>
              </w:rPr>
              <w:t>12,83%</w:t>
            </w:r>
          </w:p>
        </w:tc>
      </w:tr>
      <w:tr w:rsidR="00C911E8" w:rsidRPr="00BE3A36" w14:paraId="57C28EB8" w14:textId="77777777" w:rsidTr="0075721B">
        <w:tc>
          <w:tcPr>
            <w:tcW w:w="95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35EC3C7" w14:textId="77777777" w:rsidR="00C911E8" w:rsidRPr="00BE3A36" w:rsidRDefault="00C911E8" w:rsidP="00C911E8">
            <w:pPr>
              <w:rPr>
                <w:color w:val="000000"/>
                <w:sz w:val="18"/>
                <w:szCs w:val="18"/>
              </w:rPr>
            </w:pPr>
            <w:r>
              <w:rPr>
                <w:color w:val="000000"/>
                <w:sz w:val="18"/>
              </w:rPr>
              <w:t>PNUMA</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05896AEF" w14:textId="77777777" w:rsidR="00C911E8" w:rsidRPr="00BE3A36" w:rsidRDefault="00C911E8" w:rsidP="00C911E8">
            <w:pPr>
              <w:jc w:val="right"/>
              <w:rPr>
                <w:color w:val="000000"/>
                <w:sz w:val="18"/>
                <w:szCs w:val="18"/>
              </w:rPr>
            </w:pPr>
            <w:r>
              <w:rPr>
                <w:color w:val="000000"/>
                <w:sz w:val="18"/>
              </w:rPr>
              <w:t>57 099 089</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03D80ACD" w14:textId="77777777" w:rsidR="00C911E8" w:rsidRPr="00BE3A36" w:rsidRDefault="00C911E8" w:rsidP="00C911E8">
            <w:pPr>
              <w:jc w:val="right"/>
              <w:rPr>
                <w:color w:val="000000"/>
                <w:sz w:val="18"/>
                <w:szCs w:val="18"/>
              </w:rPr>
            </w:pPr>
            <w:r>
              <w:rPr>
                <w:color w:val="000000"/>
                <w:sz w:val="18"/>
              </w:rPr>
              <w:t>4 350 070</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122301E3" w14:textId="77777777" w:rsidR="00C911E8" w:rsidRPr="00BE3A36" w:rsidRDefault="00C911E8" w:rsidP="00C911E8">
            <w:pPr>
              <w:jc w:val="right"/>
              <w:rPr>
                <w:color w:val="000000"/>
                <w:sz w:val="18"/>
                <w:szCs w:val="18"/>
              </w:rPr>
            </w:pPr>
            <w:r>
              <w:rPr>
                <w:color w:val="000000"/>
                <w:sz w:val="18"/>
              </w:rPr>
              <w:t>7,62%</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640C29C5" w14:textId="77777777" w:rsidR="00C911E8" w:rsidRPr="00BE3A36" w:rsidRDefault="00C911E8" w:rsidP="00C911E8">
            <w:pPr>
              <w:jc w:val="right"/>
              <w:rPr>
                <w:color w:val="000000"/>
                <w:sz w:val="18"/>
                <w:szCs w:val="18"/>
              </w:rPr>
            </w:pPr>
            <w:r>
              <w:rPr>
                <w:color w:val="000000"/>
                <w:sz w:val="18"/>
              </w:rPr>
              <w:t>63 091 330</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41AB4F45" w14:textId="77777777" w:rsidR="00C911E8" w:rsidRPr="00BE3A36" w:rsidRDefault="00C911E8" w:rsidP="00C911E8">
            <w:pPr>
              <w:jc w:val="right"/>
              <w:rPr>
                <w:color w:val="000000"/>
                <w:sz w:val="18"/>
                <w:szCs w:val="18"/>
              </w:rPr>
            </w:pPr>
            <w:r>
              <w:rPr>
                <w:color w:val="000000"/>
                <w:sz w:val="18"/>
              </w:rPr>
              <w:t>4 856 460</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640CE8B3" w14:textId="77777777" w:rsidR="00C911E8" w:rsidRPr="00BE3A36" w:rsidRDefault="00C911E8" w:rsidP="00C911E8">
            <w:pPr>
              <w:jc w:val="right"/>
              <w:rPr>
                <w:color w:val="000000"/>
                <w:sz w:val="18"/>
                <w:szCs w:val="18"/>
              </w:rPr>
            </w:pPr>
            <w:r>
              <w:rPr>
                <w:color w:val="000000"/>
                <w:sz w:val="18"/>
              </w:rPr>
              <w:t>7,70%</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5E4804AD" w14:textId="77777777" w:rsidR="00C911E8" w:rsidRPr="00BE3A36" w:rsidRDefault="00C911E8" w:rsidP="00C911E8">
            <w:pPr>
              <w:jc w:val="right"/>
              <w:rPr>
                <w:color w:val="000000"/>
                <w:sz w:val="18"/>
                <w:szCs w:val="18"/>
              </w:rPr>
            </w:pPr>
            <w:r>
              <w:rPr>
                <w:color w:val="000000"/>
                <w:sz w:val="18"/>
              </w:rPr>
              <w:t>80 275 275</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0BE83F09" w14:textId="77777777" w:rsidR="00C911E8" w:rsidRPr="00BE3A36" w:rsidRDefault="00C911E8" w:rsidP="00C911E8">
            <w:pPr>
              <w:jc w:val="right"/>
              <w:rPr>
                <w:color w:val="000000"/>
                <w:sz w:val="18"/>
                <w:szCs w:val="18"/>
              </w:rPr>
            </w:pPr>
            <w:r>
              <w:rPr>
                <w:color w:val="000000"/>
                <w:sz w:val="18"/>
              </w:rPr>
              <w:t>6 437 675</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67C6FC1B" w14:textId="77777777" w:rsidR="00C911E8" w:rsidRPr="00BE3A36" w:rsidRDefault="00C911E8" w:rsidP="00C911E8">
            <w:pPr>
              <w:jc w:val="right"/>
              <w:rPr>
                <w:color w:val="000000"/>
                <w:sz w:val="18"/>
                <w:szCs w:val="18"/>
              </w:rPr>
            </w:pPr>
            <w:r>
              <w:rPr>
                <w:color w:val="000000"/>
                <w:sz w:val="18"/>
              </w:rPr>
              <w:t>8,02%</w:t>
            </w:r>
          </w:p>
        </w:tc>
      </w:tr>
      <w:tr w:rsidR="00C911E8" w:rsidRPr="00BE3A36" w14:paraId="5F267171" w14:textId="77777777" w:rsidTr="0075721B">
        <w:tc>
          <w:tcPr>
            <w:tcW w:w="95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DEA0CCC" w14:textId="77777777" w:rsidR="00C911E8" w:rsidRPr="00BE3A36" w:rsidRDefault="00C911E8" w:rsidP="00C911E8">
            <w:pPr>
              <w:rPr>
                <w:color w:val="000000"/>
                <w:sz w:val="18"/>
                <w:szCs w:val="18"/>
              </w:rPr>
            </w:pPr>
            <w:r>
              <w:rPr>
                <w:color w:val="000000"/>
                <w:sz w:val="18"/>
              </w:rPr>
              <w:t>ONUDI</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76F9D3C9" w14:textId="77777777" w:rsidR="00C911E8" w:rsidRPr="00BE3A36" w:rsidRDefault="00C911E8" w:rsidP="00C911E8">
            <w:pPr>
              <w:jc w:val="right"/>
              <w:rPr>
                <w:color w:val="000000"/>
                <w:sz w:val="18"/>
                <w:szCs w:val="18"/>
              </w:rPr>
            </w:pPr>
            <w:r>
              <w:rPr>
                <w:color w:val="000000"/>
                <w:sz w:val="18"/>
              </w:rPr>
              <w:t>92 046 015</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693EB283" w14:textId="77777777" w:rsidR="00C911E8" w:rsidRPr="00BE3A36" w:rsidRDefault="00C911E8" w:rsidP="00C911E8">
            <w:pPr>
              <w:jc w:val="right"/>
              <w:rPr>
                <w:color w:val="000000"/>
                <w:sz w:val="18"/>
                <w:szCs w:val="18"/>
              </w:rPr>
            </w:pPr>
            <w:r>
              <w:rPr>
                <w:color w:val="000000"/>
                <w:sz w:val="18"/>
              </w:rPr>
              <w:t>12 700 308</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25534C65" w14:textId="77777777" w:rsidR="00C911E8" w:rsidRPr="00BE3A36" w:rsidRDefault="00C911E8" w:rsidP="00C911E8">
            <w:pPr>
              <w:jc w:val="right"/>
              <w:rPr>
                <w:color w:val="000000"/>
                <w:sz w:val="18"/>
                <w:szCs w:val="18"/>
              </w:rPr>
            </w:pPr>
            <w:r>
              <w:rPr>
                <w:color w:val="000000"/>
                <w:sz w:val="18"/>
              </w:rPr>
              <w:t>13,80%</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07A67B63" w14:textId="77777777" w:rsidR="00C911E8" w:rsidRPr="00BE3A36" w:rsidRDefault="00C911E8" w:rsidP="00C911E8">
            <w:pPr>
              <w:jc w:val="right"/>
              <w:rPr>
                <w:color w:val="000000"/>
                <w:sz w:val="18"/>
                <w:szCs w:val="18"/>
              </w:rPr>
            </w:pPr>
            <w:r>
              <w:rPr>
                <w:color w:val="000000"/>
                <w:sz w:val="18"/>
              </w:rPr>
              <w:t>67 837 355</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18D83D63" w14:textId="77777777" w:rsidR="00C911E8" w:rsidRPr="00BE3A36" w:rsidRDefault="00C911E8" w:rsidP="00C911E8">
            <w:pPr>
              <w:jc w:val="right"/>
              <w:rPr>
                <w:color w:val="000000"/>
                <w:sz w:val="18"/>
                <w:szCs w:val="18"/>
              </w:rPr>
            </w:pPr>
            <w:r>
              <w:rPr>
                <w:color w:val="000000"/>
                <w:sz w:val="18"/>
              </w:rPr>
              <w:t>10 990 848</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AB7D030" w14:textId="77777777" w:rsidR="00C911E8" w:rsidRPr="00BE3A36" w:rsidRDefault="00C911E8" w:rsidP="00C911E8">
            <w:pPr>
              <w:jc w:val="right"/>
              <w:rPr>
                <w:color w:val="000000"/>
                <w:sz w:val="18"/>
                <w:szCs w:val="18"/>
              </w:rPr>
            </w:pPr>
            <w:r>
              <w:rPr>
                <w:color w:val="000000"/>
                <w:sz w:val="18"/>
              </w:rPr>
              <w:t>16,20%</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38BA9762" w14:textId="77777777" w:rsidR="00C911E8" w:rsidRPr="00BE3A36" w:rsidRDefault="00C911E8" w:rsidP="00C911E8">
            <w:pPr>
              <w:jc w:val="right"/>
              <w:rPr>
                <w:color w:val="000000"/>
                <w:sz w:val="18"/>
                <w:szCs w:val="18"/>
              </w:rPr>
            </w:pPr>
            <w:r>
              <w:rPr>
                <w:sz w:val="18"/>
              </w:rPr>
              <w:t>79 947 575</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694E4B30" w14:textId="77777777" w:rsidR="00C911E8" w:rsidRPr="00BE3A36" w:rsidRDefault="00C911E8" w:rsidP="00C911E8">
            <w:pPr>
              <w:jc w:val="right"/>
              <w:rPr>
                <w:color w:val="000000"/>
                <w:sz w:val="18"/>
                <w:szCs w:val="18"/>
              </w:rPr>
            </w:pPr>
            <w:r>
              <w:rPr>
                <w:sz w:val="18"/>
              </w:rPr>
              <w:t>11 844 193</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7BA7604D" w14:textId="77777777" w:rsidR="00C911E8" w:rsidRPr="00BE3A36" w:rsidRDefault="00C911E8" w:rsidP="00C911E8">
            <w:pPr>
              <w:jc w:val="right"/>
              <w:rPr>
                <w:color w:val="000000"/>
                <w:sz w:val="18"/>
                <w:szCs w:val="18"/>
              </w:rPr>
            </w:pPr>
            <w:r>
              <w:rPr>
                <w:color w:val="000000"/>
                <w:sz w:val="18"/>
              </w:rPr>
              <w:t>14,81%</w:t>
            </w:r>
          </w:p>
        </w:tc>
      </w:tr>
      <w:tr w:rsidR="00C911E8" w:rsidRPr="00BE3A36" w14:paraId="2484C2A2" w14:textId="77777777" w:rsidTr="0075721B">
        <w:tc>
          <w:tcPr>
            <w:tcW w:w="95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0DAE579" w14:textId="77777777" w:rsidR="00C911E8" w:rsidRPr="00BE3A36" w:rsidRDefault="00C911E8" w:rsidP="00C911E8">
            <w:pPr>
              <w:rPr>
                <w:color w:val="000000"/>
                <w:sz w:val="18"/>
                <w:szCs w:val="18"/>
              </w:rPr>
            </w:pPr>
            <w:r>
              <w:rPr>
                <w:color w:val="000000"/>
                <w:sz w:val="18"/>
              </w:rPr>
              <w:t>Banco Mundial</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8A2429A" w14:textId="77777777" w:rsidR="00C911E8" w:rsidRPr="00BE3A36" w:rsidRDefault="00C911E8" w:rsidP="00C911E8">
            <w:pPr>
              <w:jc w:val="right"/>
              <w:rPr>
                <w:color w:val="000000"/>
                <w:sz w:val="18"/>
                <w:szCs w:val="18"/>
              </w:rPr>
            </w:pPr>
            <w:r>
              <w:rPr>
                <w:color w:val="000000"/>
                <w:sz w:val="18"/>
              </w:rPr>
              <w:t>77 797 579</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13E1DA27" w14:textId="77777777" w:rsidR="00C911E8" w:rsidRPr="00BE3A36" w:rsidRDefault="00C911E8" w:rsidP="00C911E8">
            <w:pPr>
              <w:jc w:val="right"/>
              <w:rPr>
                <w:color w:val="000000"/>
                <w:sz w:val="18"/>
                <w:szCs w:val="18"/>
              </w:rPr>
            </w:pPr>
            <w:r>
              <w:rPr>
                <w:color w:val="000000"/>
                <w:sz w:val="18"/>
              </w:rPr>
              <w:t>9 889 963</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5A7AB33A" w14:textId="77777777" w:rsidR="00C911E8" w:rsidRPr="00BE3A36" w:rsidRDefault="00C911E8" w:rsidP="00C911E8">
            <w:pPr>
              <w:jc w:val="right"/>
              <w:rPr>
                <w:color w:val="000000"/>
                <w:sz w:val="18"/>
                <w:szCs w:val="18"/>
              </w:rPr>
            </w:pPr>
            <w:r>
              <w:rPr>
                <w:color w:val="000000"/>
                <w:sz w:val="18"/>
              </w:rPr>
              <w:t>12,71%</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03AA697" w14:textId="77777777" w:rsidR="00C911E8" w:rsidRPr="00BE3A36" w:rsidRDefault="00C911E8" w:rsidP="00C911E8">
            <w:pPr>
              <w:jc w:val="right"/>
              <w:rPr>
                <w:color w:val="000000"/>
                <w:sz w:val="18"/>
                <w:szCs w:val="18"/>
              </w:rPr>
            </w:pPr>
            <w:r>
              <w:rPr>
                <w:color w:val="000000"/>
                <w:sz w:val="18"/>
              </w:rPr>
              <w:t>31 488 575</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5515C59F" w14:textId="77777777" w:rsidR="00C911E8" w:rsidRPr="00BE3A36" w:rsidRDefault="00C911E8" w:rsidP="00C911E8">
            <w:pPr>
              <w:jc w:val="right"/>
              <w:rPr>
                <w:color w:val="000000"/>
                <w:sz w:val="18"/>
                <w:szCs w:val="18"/>
              </w:rPr>
            </w:pPr>
            <w:r>
              <w:rPr>
                <w:color w:val="000000"/>
                <w:sz w:val="18"/>
              </w:rPr>
              <w:t>7 046 976</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F4B4BA3" w14:textId="77777777" w:rsidR="00C911E8" w:rsidRPr="00BE3A36" w:rsidRDefault="00C911E8" w:rsidP="00C911E8">
            <w:pPr>
              <w:jc w:val="right"/>
              <w:rPr>
                <w:color w:val="000000"/>
                <w:sz w:val="18"/>
                <w:szCs w:val="18"/>
              </w:rPr>
            </w:pPr>
            <w:r>
              <w:rPr>
                <w:color w:val="000000"/>
                <w:sz w:val="18"/>
              </w:rPr>
              <w:t>22,38%</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6A1951D" w14:textId="77777777" w:rsidR="00C911E8" w:rsidRPr="00BE3A36" w:rsidRDefault="00C911E8" w:rsidP="00C911E8">
            <w:pPr>
              <w:jc w:val="right"/>
              <w:rPr>
                <w:color w:val="000000"/>
                <w:sz w:val="18"/>
                <w:szCs w:val="18"/>
              </w:rPr>
            </w:pPr>
            <w:r>
              <w:rPr>
                <w:color w:val="000000"/>
                <w:sz w:val="18"/>
              </w:rPr>
              <w:t>58 203 404</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FE25EC3" w14:textId="77777777" w:rsidR="00C911E8" w:rsidRPr="00BE3A36" w:rsidRDefault="00C911E8" w:rsidP="00C911E8">
            <w:pPr>
              <w:jc w:val="right"/>
              <w:rPr>
                <w:color w:val="000000"/>
                <w:sz w:val="18"/>
                <w:szCs w:val="18"/>
              </w:rPr>
            </w:pPr>
            <w:r>
              <w:rPr>
                <w:color w:val="000000"/>
                <w:sz w:val="18"/>
              </w:rPr>
              <w:t>9 032 304</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6A5A47E3" w14:textId="77777777" w:rsidR="00C911E8" w:rsidRPr="00BE3A36" w:rsidRDefault="00C911E8" w:rsidP="00C911E8">
            <w:pPr>
              <w:jc w:val="right"/>
              <w:rPr>
                <w:color w:val="000000"/>
                <w:sz w:val="18"/>
                <w:szCs w:val="18"/>
              </w:rPr>
            </w:pPr>
            <w:r>
              <w:rPr>
                <w:color w:val="000000"/>
                <w:sz w:val="18"/>
              </w:rPr>
              <w:t>15,52%</w:t>
            </w:r>
          </w:p>
        </w:tc>
      </w:tr>
      <w:tr w:rsidR="00C911E8" w:rsidRPr="00BE3A36" w14:paraId="3D6912DC" w14:textId="77777777" w:rsidTr="0075721B">
        <w:tc>
          <w:tcPr>
            <w:tcW w:w="95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42B7B4C" w14:textId="77777777" w:rsidR="00C911E8" w:rsidRPr="00BE3A36" w:rsidRDefault="00C911E8" w:rsidP="00C911E8">
            <w:pPr>
              <w:rPr>
                <w:color w:val="000000"/>
                <w:sz w:val="18"/>
                <w:szCs w:val="18"/>
              </w:rPr>
            </w:pPr>
            <w:r>
              <w:rPr>
                <w:color w:val="000000"/>
                <w:sz w:val="18"/>
              </w:rPr>
              <w:t>Total</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6325E029" w14:textId="77777777" w:rsidR="00C911E8" w:rsidRPr="00BE3A36" w:rsidRDefault="00C911E8" w:rsidP="00C911E8">
            <w:pPr>
              <w:jc w:val="right"/>
              <w:rPr>
                <w:color w:val="000000"/>
                <w:sz w:val="18"/>
                <w:szCs w:val="18"/>
              </w:rPr>
            </w:pPr>
            <w:r>
              <w:rPr>
                <w:color w:val="000000"/>
                <w:sz w:val="18"/>
              </w:rPr>
              <w:t>351 051 098</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3F155EA9" w14:textId="77777777" w:rsidR="00C911E8" w:rsidRPr="00BE3A36" w:rsidRDefault="00C911E8" w:rsidP="00C911E8">
            <w:pPr>
              <w:jc w:val="right"/>
              <w:rPr>
                <w:color w:val="000000"/>
                <w:sz w:val="18"/>
                <w:szCs w:val="18"/>
              </w:rPr>
            </w:pPr>
            <w:r>
              <w:rPr>
                <w:color w:val="000000"/>
                <w:sz w:val="18"/>
              </w:rPr>
              <w:t>42 521 909</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31DD4419" w14:textId="77777777" w:rsidR="00C911E8" w:rsidRPr="00BE3A36" w:rsidRDefault="00C911E8" w:rsidP="00C911E8">
            <w:pPr>
              <w:jc w:val="right"/>
              <w:rPr>
                <w:color w:val="000000"/>
                <w:sz w:val="18"/>
                <w:szCs w:val="18"/>
              </w:rPr>
            </w:pPr>
            <w:r>
              <w:rPr>
                <w:color w:val="000000"/>
                <w:sz w:val="18"/>
              </w:rPr>
              <w:t>12,11%</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108A5099" w14:textId="77777777" w:rsidR="00C911E8" w:rsidRPr="00BE3A36" w:rsidRDefault="00C911E8" w:rsidP="00C911E8">
            <w:pPr>
              <w:jc w:val="right"/>
              <w:rPr>
                <w:color w:val="000000"/>
                <w:sz w:val="18"/>
                <w:szCs w:val="18"/>
              </w:rPr>
            </w:pPr>
            <w:r>
              <w:rPr>
                <w:color w:val="000000"/>
                <w:sz w:val="18"/>
              </w:rPr>
              <w:t>257 768 444</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2542A512" w14:textId="77777777" w:rsidR="00C911E8" w:rsidRPr="00BE3A36" w:rsidRDefault="00C911E8" w:rsidP="00C911E8">
            <w:pPr>
              <w:jc w:val="right"/>
              <w:rPr>
                <w:color w:val="000000"/>
                <w:sz w:val="18"/>
                <w:szCs w:val="18"/>
              </w:rPr>
            </w:pPr>
            <w:r>
              <w:rPr>
                <w:color w:val="000000"/>
                <w:sz w:val="18"/>
              </w:rPr>
              <w:t>36 476 328</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08C372D1" w14:textId="77777777" w:rsidR="00C911E8" w:rsidRPr="00BE3A36" w:rsidRDefault="00C911E8" w:rsidP="00C911E8">
            <w:pPr>
              <w:jc w:val="right"/>
              <w:rPr>
                <w:color w:val="000000"/>
                <w:sz w:val="18"/>
                <w:szCs w:val="18"/>
              </w:rPr>
            </w:pPr>
            <w:r>
              <w:rPr>
                <w:color w:val="000000"/>
                <w:sz w:val="18"/>
              </w:rPr>
              <w:t>14,15%</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D187625" w14:textId="77777777" w:rsidR="00C911E8" w:rsidRPr="00BE3A36" w:rsidRDefault="00C911E8" w:rsidP="00C911E8">
            <w:pPr>
              <w:jc w:val="right"/>
              <w:rPr>
                <w:color w:val="000000"/>
                <w:sz w:val="18"/>
                <w:szCs w:val="18"/>
              </w:rPr>
            </w:pPr>
            <w:r>
              <w:rPr>
                <w:color w:val="000000"/>
                <w:sz w:val="18"/>
              </w:rPr>
              <w:t>344 505 343</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E794873" w14:textId="77777777" w:rsidR="00C911E8" w:rsidRPr="00BE3A36" w:rsidRDefault="00C911E8" w:rsidP="00C911E8">
            <w:pPr>
              <w:jc w:val="right"/>
              <w:rPr>
                <w:color w:val="000000"/>
                <w:sz w:val="18"/>
                <w:szCs w:val="18"/>
              </w:rPr>
            </w:pPr>
            <w:r>
              <w:rPr>
                <w:color w:val="000000"/>
                <w:sz w:val="18"/>
              </w:rPr>
              <w:t>43 385 091</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DDD49E7" w14:textId="77777777" w:rsidR="00C911E8" w:rsidRPr="00BE3A36" w:rsidRDefault="00C911E8" w:rsidP="00C911E8">
            <w:pPr>
              <w:jc w:val="right"/>
              <w:rPr>
                <w:color w:val="000000"/>
                <w:sz w:val="18"/>
                <w:szCs w:val="18"/>
              </w:rPr>
            </w:pPr>
            <w:r>
              <w:rPr>
                <w:color w:val="000000"/>
                <w:sz w:val="18"/>
              </w:rPr>
              <w:t>12,59%</w:t>
            </w:r>
          </w:p>
        </w:tc>
      </w:tr>
    </w:tbl>
    <w:p w14:paraId="03056A00" w14:textId="77777777" w:rsidR="00C911E8" w:rsidRPr="00BE3A36" w:rsidRDefault="00C911E8" w:rsidP="00C911E8">
      <w:pPr>
        <w:rPr>
          <w:sz w:val="18"/>
          <w:szCs w:val="18"/>
        </w:rPr>
      </w:pPr>
      <w:r>
        <w:rPr>
          <w:sz w:val="18"/>
        </w:rPr>
        <w:t xml:space="preserve">(*) </w:t>
      </w:r>
      <w:proofErr w:type="spellStart"/>
      <w:r>
        <w:rPr>
          <w:sz w:val="18"/>
        </w:rPr>
        <w:t>Financiación</w:t>
      </w:r>
      <w:proofErr w:type="spellEnd"/>
      <w:r>
        <w:rPr>
          <w:sz w:val="18"/>
        </w:rPr>
        <w:t xml:space="preserve"> real</w:t>
      </w:r>
    </w:p>
    <w:p w14:paraId="01C040F2" w14:textId="77777777" w:rsidR="00C911E8" w:rsidRPr="0014372A" w:rsidRDefault="00C911E8" w:rsidP="00C911E8">
      <w:pPr>
        <w:rPr>
          <w:sz w:val="18"/>
          <w:szCs w:val="18"/>
          <w:lang w:val="es-ES"/>
        </w:rPr>
      </w:pPr>
      <w:r w:rsidRPr="0014372A">
        <w:rPr>
          <w:sz w:val="18"/>
          <w:lang w:val="es-ES"/>
        </w:rPr>
        <w:t>(**) Estimación presentada en el plan administrativo refundido para 2021–2023</w:t>
      </w:r>
    </w:p>
    <w:p w14:paraId="47882735" w14:textId="77777777" w:rsidR="00C911E8" w:rsidRPr="0014372A" w:rsidRDefault="00C911E8" w:rsidP="00C911E8">
      <w:pPr>
        <w:rPr>
          <w:lang w:val="es-ES"/>
        </w:rPr>
      </w:pPr>
    </w:p>
    <w:p w14:paraId="4D54FBEF" w14:textId="1F3AFF6B" w:rsidR="00C911E8" w:rsidRPr="0014372A" w:rsidRDefault="00C911E8" w:rsidP="00C911E8">
      <w:pPr>
        <w:pStyle w:val="Heading1"/>
        <w:numPr>
          <w:ilvl w:val="0"/>
          <w:numId w:val="14"/>
        </w:numPr>
        <w:ind w:left="0" w:firstLine="0"/>
        <w:rPr>
          <w:lang w:val="es-ES"/>
        </w:rPr>
      </w:pPr>
      <w:r w:rsidRPr="0014372A">
        <w:rPr>
          <w:lang w:val="es-ES"/>
        </w:rPr>
        <w:t>La disminución de la financiación de proyectos se debió principalmente a los ajustes de los tramos de financiación de la etapa II del PGEH para un país que opera al amparo del artículo 5 y a la continuación de las consultas sobre la aprobación de la etapa II del plan de gestión de la eliminación de la producción de HCFC (PGEPH) para un país que opera al amparo del artículo 5 que no concluyeron hasta la 84ª reunión, es decir, en 2019, un año antes del final del trienio 2018–2020 y unos meses antes de que se declarara la pandemia de COVID-19. A partir de 2020, las limitaciones impuestas por la pandemia de COVID-19 dieron lugar a demoras en la ejecución de los proyectos, lo que afectó la presentación de las solicitudes de tramos de financiación de los PGEH. Durante este trienio, la financiación de las unidades centrales de 2018, 2019</w:t>
      </w:r>
      <w:r w:rsidR="00775B48" w:rsidRPr="0014372A">
        <w:rPr>
          <w:lang w:val="es-ES"/>
        </w:rPr>
        <w:t> </w:t>
      </w:r>
      <w:r w:rsidRPr="0014372A">
        <w:rPr>
          <w:lang w:val="es-ES"/>
        </w:rPr>
        <w:t xml:space="preserve">y 2020 para el PNUD, la ONUDI y el Banco Mundial se aprobó en consonancia con la decisión 79/41; por </w:t>
      </w:r>
      <w:proofErr w:type="gramStart"/>
      <w:r w:rsidRPr="0014372A">
        <w:rPr>
          <w:lang w:val="es-ES"/>
        </w:rPr>
        <w:t>consiguiente</w:t>
      </w:r>
      <w:proofErr w:type="gramEnd"/>
      <w:r w:rsidRPr="0014372A">
        <w:rPr>
          <w:lang w:val="es-ES"/>
        </w:rPr>
        <w:t xml:space="preserve"> los niveles más bajos de financiación de proyectos aprobados dieron lugar a un mayor porcentaje de gastos de apoyo a los programas con respecto a los fondos totales aprobados.  </w:t>
      </w:r>
    </w:p>
    <w:p w14:paraId="5051D04C" w14:textId="77777777" w:rsidR="00C911E8" w:rsidRPr="0014372A" w:rsidRDefault="00C911E8" w:rsidP="00C911E8">
      <w:pPr>
        <w:pStyle w:val="Heading1"/>
        <w:numPr>
          <w:ilvl w:val="0"/>
          <w:numId w:val="14"/>
        </w:numPr>
        <w:ind w:left="0" w:firstLine="0"/>
        <w:rPr>
          <w:lang w:val="es-ES"/>
        </w:rPr>
      </w:pPr>
      <w:r w:rsidRPr="0014372A">
        <w:rPr>
          <w:lang w:val="es-ES"/>
        </w:rPr>
        <w:t xml:space="preserve">Sin embargo, para el trienio 2021–2023, la financiación global de los proyectos y actividades y los gastos de apoyo a los programas conexos serían ligeramente inferiores a los niveles del trienio 2015–2017, con un gasto de apoyo a los programas global inferior al 13%, aunque para la ONUDI y el Banco Mundial los gastos de apoyo a los programas conexos son superiores al 13%. Además, debido a la distribución relativa de los costos de las unidades centrales con respecto a los costos de apoyo administrativo para los distintos organismos, el crecimiento de los costos de apoyo administrativo es inferior al crecimiento de la financiación global de los proyectos. </w:t>
      </w:r>
    </w:p>
    <w:p w14:paraId="6DB0D098" w14:textId="77777777" w:rsidR="00C911E8" w:rsidRPr="0014372A" w:rsidRDefault="00C911E8" w:rsidP="00C911E8">
      <w:pPr>
        <w:pStyle w:val="Heading1"/>
        <w:numPr>
          <w:ilvl w:val="0"/>
          <w:numId w:val="14"/>
        </w:numPr>
        <w:ind w:left="0" w:firstLine="0"/>
        <w:rPr>
          <w:lang w:val="es-ES"/>
        </w:rPr>
      </w:pPr>
      <w:r w:rsidRPr="0014372A">
        <w:rPr>
          <w:lang w:val="es-ES"/>
        </w:rPr>
        <w:lastRenderedPageBreak/>
        <w:t xml:space="preserve">Según los datos que figuran en el plan administrativo refundido para 2021–2023, la financiación relacionada con la ejecución de actividades relacionadas con los HCFC, la preparación de los KIP y la renovación de los proyectos de fortalecimiento institucional representan más del 85% de la financiación total. Las actividades preparatorias de los KIP (por ejemplo, planificación del proyecto, recopilación y el análisis de datos sobre los HFC, elaboración de la estrategia general para la reducción de los HFC, incluido el sector de servicio y mantenimiento de equipos de refrigeración, y actividades de inversión relacionadas con los HFC, cuando proceda), supondrían un esfuerzo importante que deberían gestionar los organismos bilaterales y de ejecución con el apoyo de expertos técnicos, el personal de las dependencias nacionales del ozono y los interesados directos nacionales pertinentes. Los organismos deberían prestar asistencia a los países durante 2022 y 2023 para la finalización de los KIP y el inicio de la ejecución de los KIP tras la aprobación por el Comité Ejecutivo. </w:t>
      </w:r>
    </w:p>
    <w:p w14:paraId="333F4105" w14:textId="77777777" w:rsidR="00C911E8" w:rsidRPr="0014372A" w:rsidRDefault="00C911E8" w:rsidP="00C911E8">
      <w:pPr>
        <w:pStyle w:val="Heading1"/>
        <w:numPr>
          <w:ilvl w:val="0"/>
          <w:numId w:val="14"/>
        </w:numPr>
        <w:ind w:left="0" w:firstLine="0"/>
        <w:rPr>
          <w:lang w:val="es-ES"/>
        </w:rPr>
      </w:pPr>
      <w:r w:rsidRPr="0014372A">
        <w:rPr>
          <w:lang w:val="es-ES"/>
        </w:rPr>
        <w:t>Se espera que la ejecución del primer conjunto de KIP comience a partir de 2023. Se prevé que el Comité Ejecutivo tratará varias cuestiones de políticas relacionadas con la reducción de los HFC durante el año 2022; las decisiones de esas deliberaciones determinarían el nivel de financiación disponible para la ejecución de los KIP, las futuras actividades de los proyectos de fortalecimiento institucional y los gastos de apoyo conexos.</w:t>
      </w:r>
    </w:p>
    <w:p w14:paraId="1CAE2294" w14:textId="77777777" w:rsidR="00C911E8" w:rsidRPr="004C463B" w:rsidRDefault="00C911E8" w:rsidP="00C911E8">
      <w:pPr>
        <w:rPr>
          <w:u w:val="single"/>
        </w:rPr>
      </w:pPr>
      <w:proofErr w:type="spellStart"/>
      <w:r>
        <w:rPr>
          <w:u w:val="single"/>
        </w:rPr>
        <w:t>Conclusión</w:t>
      </w:r>
      <w:proofErr w:type="spellEnd"/>
    </w:p>
    <w:p w14:paraId="5F713F5C" w14:textId="77777777" w:rsidR="00C911E8" w:rsidRPr="004C463B" w:rsidRDefault="00C911E8" w:rsidP="00C911E8"/>
    <w:p w14:paraId="1698A416" w14:textId="77777777" w:rsidR="00C911E8" w:rsidRPr="0014372A" w:rsidRDefault="00C911E8" w:rsidP="00C911E8">
      <w:pPr>
        <w:pStyle w:val="Heading1"/>
        <w:numPr>
          <w:ilvl w:val="0"/>
          <w:numId w:val="14"/>
        </w:numPr>
        <w:ind w:left="0" w:firstLine="0"/>
        <w:rPr>
          <w:lang w:val="es-ES"/>
        </w:rPr>
      </w:pPr>
      <w:r w:rsidRPr="0014372A">
        <w:rPr>
          <w:lang w:val="es-ES"/>
        </w:rPr>
        <w:t>Teniendo en cuenta las consultas en curso sobre las cuestiones de políticas relacionadas con la reducción de los HFC y el plan actual para el trienio 2021–2023, la Secretaría considera que mantener los costos de apoyo administrativo para los organismos de ejecución en los mismos niveles que en el trienio 2018–2020 podría dar lugar a un apoyo continuo y sin problemas para la ejecución de las actividades de los proyectos durante el trienio 2021</w:t>
      </w:r>
      <w:r w:rsidRPr="0014372A">
        <w:rPr>
          <w:lang w:val="es-ES"/>
        </w:rPr>
        <w:noBreakHyphen/>
        <w:t xml:space="preserve">2023. La Secretaría considera además que, basándose en los resultados de las decisiones en materia de políticas relativas a la reducción de los HFC, incluido un análisis de la capacidad de las instituciones del Fondo Multilateral y de los países que operan al amparo del artículo 5 para abordar la reducción de los HFC, el régimen de costos administrativos para el próximo trienio debería revisarse para el trienio 2024–2026. </w:t>
      </w:r>
    </w:p>
    <w:p w14:paraId="78DB9689" w14:textId="77777777" w:rsidR="00C911E8" w:rsidRPr="00AF09A3" w:rsidRDefault="00C911E8" w:rsidP="00C911E8">
      <w:pPr>
        <w:keepNext/>
        <w:rPr>
          <w:b/>
        </w:rPr>
      </w:pPr>
      <w:proofErr w:type="spellStart"/>
      <w:r>
        <w:rPr>
          <w:b/>
        </w:rPr>
        <w:t>Recomendaciones</w:t>
      </w:r>
      <w:proofErr w:type="spellEnd"/>
    </w:p>
    <w:p w14:paraId="1B2B0EF7" w14:textId="77777777" w:rsidR="00C911E8" w:rsidRDefault="00C911E8" w:rsidP="00C911E8">
      <w:pPr>
        <w:keepNext/>
      </w:pPr>
    </w:p>
    <w:p w14:paraId="5DE9E3AF" w14:textId="77777777" w:rsidR="00C911E8" w:rsidRPr="0014372A" w:rsidRDefault="00C911E8" w:rsidP="00C911E8">
      <w:pPr>
        <w:pStyle w:val="Heading1"/>
        <w:keepNext/>
        <w:numPr>
          <w:ilvl w:val="0"/>
          <w:numId w:val="14"/>
        </w:numPr>
        <w:ind w:left="0" w:firstLine="0"/>
        <w:rPr>
          <w:lang w:val="es-ES"/>
        </w:rPr>
      </w:pPr>
      <w:r w:rsidRPr="0014372A">
        <w:rPr>
          <w:lang w:val="es-ES"/>
        </w:rPr>
        <w:t>El Comité Ejecutivo tal vez desee:</w:t>
      </w:r>
    </w:p>
    <w:p w14:paraId="70D09520" w14:textId="77777777" w:rsidR="00C911E8" w:rsidRPr="0014372A" w:rsidRDefault="00C911E8" w:rsidP="00C911E8">
      <w:pPr>
        <w:pStyle w:val="Heading2"/>
        <w:widowControl/>
        <w:numPr>
          <w:ilvl w:val="1"/>
          <w:numId w:val="15"/>
        </w:numPr>
        <w:rPr>
          <w:lang w:val="es-ES"/>
        </w:rPr>
      </w:pPr>
      <w:r w:rsidRPr="0014372A">
        <w:rPr>
          <w:lang w:val="es-ES"/>
        </w:rPr>
        <w:t>Tomar nota de la información que figura en el documento UNEP/</w:t>
      </w:r>
      <w:proofErr w:type="spellStart"/>
      <w:r w:rsidRPr="0014372A">
        <w:rPr>
          <w:lang w:val="es-ES"/>
        </w:rPr>
        <w:t>OzL.Pro</w:t>
      </w:r>
      <w:proofErr w:type="spellEnd"/>
      <w:r w:rsidRPr="0014372A">
        <w:rPr>
          <w:lang w:val="es-ES"/>
        </w:rPr>
        <w:t>/</w:t>
      </w:r>
      <w:proofErr w:type="spellStart"/>
      <w:r w:rsidRPr="0014372A">
        <w:rPr>
          <w:lang w:val="es-ES"/>
        </w:rPr>
        <w:t>ExCom</w:t>
      </w:r>
      <w:proofErr w:type="spellEnd"/>
      <w:r w:rsidRPr="0014372A">
        <w:rPr>
          <w:lang w:val="es-ES"/>
        </w:rPr>
        <w:t xml:space="preserve">/88/68 sobre el análisis del régimen de costos administrativos y la financiación de las unidades centrales (decisión 84/61 c)); </w:t>
      </w:r>
    </w:p>
    <w:p w14:paraId="0CF5E3B1" w14:textId="77777777" w:rsidR="00C911E8" w:rsidRPr="0014372A" w:rsidRDefault="00C911E8" w:rsidP="00C911E8">
      <w:pPr>
        <w:pStyle w:val="Heading2"/>
        <w:widowControl/>
        <w:rPr>
          <w:lang w:val="es-ES"/>
        </w:rPr>
      </w:pPr>
      <w:r w:rsidRPr="0014372A">
        <w:rPr>
          <w:lang w:val="es-ES"/>
        </w:rPr>
        <w:t>Permitir a los organismos bilaterales y de ejecución que sigan utilizando el actual régimen de costos administrativos para los proyectos que se presenten en 2022 y 2023; y</w:t>
      </w:r>
    </w:p>
    <w:p w14:paraId="502CA28A" w14:textId="77777777" w:rsidR="00C911E8" w:rsidRPr="0014372A" w:rsidRDefault="00C911E8" w:rsidP="00C911E8">
      <w:pPr>
        <w:pStyle w:val="Heading2"/>
        <w:widowControl/>
        <w:rPr>
          <w:lang w:val="es-ES"/>
        </w:rPr>
      </w:pPr>
      <w:r w:rsidRPr="0014372A">
        <w:rPr>
          <w:lang w:val="es-ES"/>
        </w:rPr>
        <w:t>Pedir a la Secretaría que presente, en la última reunión de 2023, el análisis del régimen de costos administrativos y la financiación de las unidades centrales, teniendo en cuenta las decisiones pertinentes del Comité Ejecutivo, incluidas aquellas adoptadas hasta la última reunión de 2023 inclusive, sobre la base de lo cual el Comité decidiría si debe mantenerse el régimen de costos administrativos del Fondo Multilateral del trienio 2021–2023 para el trienio 2024–2026.</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911E8" w:rsidRPr="0014372A" w14:paraId="61CE5E55" w14:textId="77777777" w:rsidTr="0075721B">
        <w:trPr>
          <w:jc w:val="center"/>
        </w:trPr>
        <w:tc>
          <w:tcPr>
            <w:tcW w:w="1871" w:type="dxa"/>
          </w:tcPr>
          <w:p w14:paraId="5B646C89" w14:textId="77777777" w:rsidR="00C911E8" w:rsidRPr="0014372A" w:rsidRDefault="00C911E8" w:rsidP="00C911E8">
            <w:pPr>
              <w:rPr>
                <w:lang w:val="es-ES"/>
              </w:rPr>
            </w:pPr>
          </w:p>
        </w:tc>
        <w:tc>
          <w:tcPr>
            <w:tcW w:w="1872" w:type="dxa"/>
          </w:tcPr>
          <w:p w14:paraId="36A4ACE5" w14:textId="77777777" w:rsidR="00C911E8" w:rsidRPr="0014372A" w:rsidRDefault="00C911E8" w:rsidP="00C911E8">
            <w:pPr>
              <w:rPr>
                <w:lang w:val="es-ES"/>
              </w:rPr>
            </w:pPr>
          </w:p>
        </w:tc>
        <w:tc>
          <w:tcPr>
            <w:tcW w:w="1872" w:type="dxa"/>
            <w:tcBorders>
              <w:bottom w:val="single" w:sz="4" w:space="0" w:color="auto"/>
            </w:tcBorders>
          </w:tcPr>
          <w:p w14:paraId="6689A0F6" w14:textId="77777777" w:rsidR="00C911E8" w:rsidRPr="0014372A" w:rsidRDefault="00C911E8" w:rsidP="00C911E8">
            <w:pPr>
              <w:rPr>
                <w:lang w:val="es-ES"/>
              </w:rPr>
            </w:pPr>
          </w:p>
        </w:tc>
        <w:tc>
          <w:tcPr>
            <w:tcW w:w="1872" w:type="dxa"/>
          </w:tcPr>
          <w:p w14:paraId="48F0DA0E" w14:textId="77777777" w:rsidR="00C911E8" w:rsidRPr="0014372A" w:rsidRDefault="00C911E8" w:rsidP="00C911E8">
            <w:pPr>
              <w:rPr>
                <w:lang w:val="es-ES"/>
              </w:rPr>
            </w:pPr>
          </w:p>
        </w:tc>
        <w:tc>
          <w:tcPr>
            <w:tcW w:w="1873" w:type="dxa"/>
          </w:tcPr>
          <w:p w14:paraId="5AEA1903" w14:textId="77777777" w:rsidR="00C911E8" w:rsidRPr="0014372A" w:rsidRDefault="00C911E8" w:rsidP="00C911E8">
            <w:pPr>
              <w:rPr>
                <w:lang w:val="es-ES"/>
              </w:rPr>
            </w:pPr>
          </w:p>
        </w:tc>
      </w:tr>
    </w:tbl>
    <w:p w14:paraId="4505BF57" w14:textId="77777777" w:rsidR="00C911E8" w:rsidRPr="0014372A" w:rsidRDefault="00C911E8" w:rsidP="00C911E8">
      <w:pPr>
        <w:rPr>
          <w:lang w:val="es-ES"/>
        </w:rPr>
      </w:pPr>
    </w:p>
    <w:p w14:paraId="7983CC19" w14:textId="04254E52" w:rsidR="00F970D2" w:rsidRPr="001B2886" w:rsidRDefault="00F970D2" w:rsidP="00C911E8">
      <w:pPr>
        <w:rPr>
          <w:b/>
          <w:vanish/>
          <w:lang w:val="es-ES"/>
        </w:rPr>
      </w:pPr>
    </w:p>
    <w:sectPr w:rsidR="00F970D2" w:rsidRPr="001B2886" w:rsidSect="002C63AC">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2" w:left="1440" w:header="720" w:footer="476"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A17F35" w14:textId="77777777" w:rsidR="00287E96" w:rsidRDefault="00287E96">
      <w:r>
        <w:separator/>
      </w:r>
    </w:p>
  </w:endnote>
  <w:endnote w:type="continuationSeparator" w:id="0">
    <w:p w14:paraId="6A4A77AB" w14:textId="77777777" w:rsidR="00287E96" w:rsidRDefault="00287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056616"/>
      <w:docPartObj>
        <w:docPartGallery w:val="Page Numbers (Bottom of Page)"/>
        <w:docPartUnique/>
      </w:docPartObj>
    </w:sdtPr>
    <w:sdtEndPr>
      <w:rPr>
        <w:noProof/>
      </w:rPr>
    </w:sdtEndPr>
    <w:sdtContent>
      <w:p w14:paraId="50C36286" w14:textId="60BC76E9" w:rsidR="00067E46" w:rsidRDefault="00067E46">
        <w:pPr>
          <w:pStyle w:val="Footer"/>
          <w:jc w:val="center"/>
        </w:pPr>
        <w:r>
          <w:fldChar w:fldCharType="begin"/>
        </w:r>
        <w:r>
          <w:instrText xml:space="preserve"> PAGE   \* MERGEFORMAT </w:instrText>
        </w:r>
        <w:r>
          <w:fldChar w:fldCharType="separate"/>
        </w:r>
        <w:r w:rsidR="0014372A">
          <w:rPr>
            <w:noProof/>
          </w:rPr>
          <w:t>6</w:t>
        </w:r>
        <w:r>
          <w:rPr>
            <w:noProof/>
          </w:rPr>
          <w:fldChar w:fldCharType="end"/>
        </w:r>
      </w:p>
    </w:sdtContent>
  </w:sdt>
  <w:p w14:paraId="5ADBE0D5" w14:textId="77777777" w:rsidR="00067E46" w:rsidRDefault="00067E4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366141"/>
      <w:docPartObj>
        <w:docPartGallery w:val="Page Numbers (Bottom of Page)"/>
        <w:docPartUnique/>
      </w:docPartObj>
    </w:sdtPr>
    <w:sdtEndPr>
      <w:rPr>
        <w:noProof/>
      </w:rPr>
    </w:sdtEndPr>
    <w:sdtContent>
      <w:p w14:paraId="6DB71250" w14:textId="63D56E2D" w:rsidR="00067E46" w:rsidRDefault="00067E46">
        <w:pPr>
          <w:pStyle w:val="Footer"/>
          <w:jc w:val="center"/>
        </w:pPr>
        <w:r>
          <w:fldChar w:fldCharType="begin"/>
        </w:r>
        <w:r>
          <w:instrText xml:space="preserve"> PAGE   \* MERGEFORMAT </w:instrText>
        </w:r>
        <w:r>
          <w:fldChar w:fldCharType="separate"/>
        </w:r>
        <w:r w:rsidR="0014372A">
          <w:rPr>
            <w:noProof/>
          </w:rPr>
          <w:t>5</w:t>
        </w:r>
        <w:r>
          <w:rPr>
            <w:noProof/>
          </w:rPr>
          <w:fldChar w:fldCharType="end"/>
        </w:r>
      </w:p>
    </w:sdtContent>
  </w:sdt>
  <w:p w14:paraId="6A910767" w14:textId="77777777" w:rsidR="00067E46" w:rsidRDefault="00067E4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7EF0D" w14:textId="58092B95" w:rsidR="001564EE" w:rsidRPr="0014372A" w:rsidRDefault="00067E46" w:rsidP="00067E46">
    <w:pPr>
      <w:pBdr>
        <w:top w:val="single" w:sz="4" w:space="1" w:color="auto"/>
        <w:left w:val="single" w:sz="4" w:space="4" w:color="auto"/>
        <w:bottom w:val="single" w:sz="4" w:space="1" w:color="auto"/>
        <w:right w:val="single" w:sz="4" w:space="19" w:color="auto"/>
      </w:pBdr>
      <w:jc w:val="center"/>
      <w:rPr>
        <w:sz w:val="16"/>
        <w:szCs w:val="16"/>
        <w:lang w:val="es-ES"/>
      </w:rPr>
    </w:pPr>
    <w:r w:rsidRPr="0014372A">
      <w:rPr>
        <w:sz w:val="16"/>
        <w:szCs w:val="20"/>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27F32E" w14:textId="77777777" w:rsidR="00287E96" w:rsidRDefault="00287E96">
      <w:r>
        <w:separator/>
      </w:r>
    </w:p>
  </w:footnote>
  <w:footnote w:type="continuationSeparator" w:id="0">
    <w:p w14:paraId="422E15A1" w14:textId="77777777" w:rsidR="00287E96" w:rsidRDefault="00287E96">
      <w:r>
        <w:continuationSeparator/>
      </w:r>
    </w:p>
  </w:footnote>
  <w:footnote w:id="1">
    <w:p w14:paraId="7B57B75F" w14:textId="4BBD91A4" w:rsidR="00EA2BA9" w:rsidRPr="001B2886" w:rsidRDefault="00EA2BA9" w:rsidP="001174E9">
      <w:pPr>
        <w:pStyle w:val="FootnoteText"/>
        <w:rPr>
          <w:lang w:val="es-ES"/>
        </w:rPr>
      </w:pPr>
      <w:r w:rsidRPr="001B2886">
        <w:rPr>
          <w:rStyle w:val="FootnoteReference"/>
          <w:lang w:val="es-ES"/>
        </w:rPr>
        <w:footnoteRef/>
      </w:r>
      <w:r w:rsidRPr="001B2886">
        <w:rPr>
          <w:lang w:val="es-ES"/>
        </w:rPr>
        <w:t xml:space="preserve"> En noviembre y diciembre de 2021 se celebrarán reuniones en línea y se llevará a cabo el proceso de aprobación entre períodos de sesiones, debido al coronavirus (COVID</w:t>
      </w:r>
      <w:r w:rsidR="000D7CEA" w:rsidRPr="001B2886">
        <w:rPr>
          <w:lang w:val="es-ES"/>
        </w:rPr>
        <w:noBreakHyphen/>
      </w:r>
      <w:r w:rsidRPr="001B2886">
        <w:rPr>
          <w:lang w:val="es-ES"/>
        </w:rPr>
        <w:t>19).</w:t>
      </w:r>
    </w:p>
  </w:footnote>
  <w:footnote w:id="2">
    <w:p w14:paraId="088A4BFE" w14:textId="77777777" w:rsidR="00C911E8" w:rsidRPr="0014372A" w:rsidRDefault="00C911E8" w:rsidP="00C911E8">
      <w:pPr>
        <w:pStyle w:val="FootnoteText"/>
        <w:rPr>
          <w:lang w:val="es-ES"/>
        </w:rPr>
      </w:pPr>
      <w:r>
        <w:rPr>
          <w:rStyle w:val="FootnoteReference"/>
        </w:rPr>
        <w:footnoteRef/>
      </w:r>
      <w:r w:rsidRPr="0014372A">
        <w:rPr>
          <w:lang w:val="es-ES"/>
        </w:rPr>
        <w:t xml:space="preserve"> El proceso IAP-86 se llevó a cabo del 16 de noviembre al 3 de diciembre de 2020.</w:t>
      </w:r>
    </w:p>
  </w:footnote>
  <w:footnote w:id="3">
    <w:p w14:paraId="3C920B84" w14:textId="77777777" w:rsidR="00C911E8" w:rsidRPr="0014372A" w:rsidRDefault="00C911E8" w:rsidP="00C911E8">
      <w:pPr>
        <w:pStyle w:val="FootnoteText"/>
        <w:rPr>
          <w:lang w:val="es-ES"/>
        </w:rPr>
      </w:pPr>
      <w:r>
        <w:rPr>
          <w:rStyle w:val="FootnoteReference"/>
        </w:rPr>
        <w:footnoteRef/>
      </w:r>
      <w:r w:rsidRPr="0014372A">
        <w:rPr>
          <w:lang w:val="es-ES"/>
        </w:rPr>
        <w:t xml:space="preserve"> UNEP/</w:t>
      </w:r>
      <w:proofErr w:type="spellStart"/>
      <w:r w:rsidRPr="0014372A">
        <w:rPr>
          <w:lang w:val="es-ES"/>
        </w:rPr>
        <w:t>OzL.Pro</w:t>
      </w:r>
      <w:proofErr w:type="spellEnd"/>
      <w:r w:rsidRPr="0014372A">
        <w:rPr>
          <w:lang w:val="es-ES"/>
        </w:rPr>
        <w:t>/</w:t>
      </w:r>
      <w:proofErr w:type="spellStart"/>
      <w:r w:rsidRPr="0014372A">
        <w:rPr>
          <w:lang w:val="es-ES"/>
        </w:rPr>
        <w:t>ExCom</w:t>
      </w:r>
      <w:proofErr w:type="spellEnd"/>
      <w:r w:rsidRPr="0014372A">
        <w:rPr>
          <w:lang w:val="es-ES"/>
        </w:rPr>
        <w:t>/86/36.</w:t>
      </w:r>
    </w:p>
  </w:footnote>
  <w:footnote w:id="4">
    <w:p w14:paraId="49D0A24A" w14:textId="77777777" w:rsidR="00C911E8" w:rsidRPr="0014372A" w:rsidRDefault="00C911E8" w:rsidP="00C911E8">
      <w:pPr>
        <w:pStyle w:val="FootnoteText"/>
        <w:rPr>
          <w:lang w:val="es-ES"/>
        </w:rPr>
      </w:pPr>
      <w:r>
        <w:rPr>
          <w:rStyle w:val="FootnoteReference"/>
        </w:rPr>
        <w:footnoteRef/>
      </w:r>
      <w:r w:rsidRPr="0014372A">
        <w:rPr>
          <w:lang w:val="es-ES"/>
        </w:rPr>
        <w:t xml:space="preserve"> UNEP/</w:t>
      </w:r>
      <w:proofErr w:type="spellStart"/>
      <w:r w:rsidRPr="0014372A">
        <w:rPr>
          <w:lang w:val="es-ES"/>
        </w:rPr>
        <w:t>OzL.Pro</w:t>
      </w:r>
      <w:proofErr w:type="spellEnd"/>
      <w:r w:rsidRPr="0014372A">
        <w:rPr>
          <w:lang w:val="es-ES"/>
        </w:rPr>
        <w:t>/</w:t>
      </w:r>
      <w:proofErr w:type="spellStart"/>
      <w:r w:rsidRPr="0014372A">
        <w:rPr>
          <w:lang w:val="es-ES"/>
        </w:rPr>
        <w:t>ExCom</w:t>
      </w:r>
      <w:proofErr w:type="spellEnd"/>
      <w:r w:rsidRPr="0014372A">
        <w:rPr>
          <w:lang w:val="es-ES"/>
        </w:rPr>
        <w:t>/86/37.</w:t>
      </w:r>
    </w:p>
  </w:footnote>
  <w:footnote w:id="5">
    <w:p w14:paraId="63EEDAD4" w14:textId="77777777" w:rsidR="00C911E8" w:rsidRPr="0014372A" w:rsidRDefault="00C911E8" w:rsidP="00C911E8">
      <w:pPr>
        <w:pStyle w:val="FootnoteText"/>
        <w:rPr>
          <w:lang w:val="es-ES"/>
        </w:rPr>
      </w:pPr>
      <w:r>
        <w:rPr>
          <w:rStyle w:val="FootnoteReference"/>
        </w:rPr>
        <w:footnoteRef/>
      </w:r>
      <w:r w:rsidRPr="0014372A">
        <w:rPr>
          <w:lang w:val="es-ES"/>
        </w:rPr>
        <w:t xml:space="preserve"> El proceso IAP-86ext se llevó a cabo del 29 de marzo al 7 de mayo de 2021.</w:t>
      </w:r>
    </w:p>
  </w:footnote>
  <w:footnote w:id="6">
    <w:p w14:paraId="5A255E7F" w14:textId="74743301" w:rsidR="0014372A" w:rsidRDefault="00C911E8" w:rsidP="0014372A">
      <w:pPr>
        <w:pStyle w:val="FootnoteText"/>
        <w:rPr>
          <w:lang w:val="es-ES"/>
        </w:rPr>
      </w:pPr>
      <w:r>
        <w:rPr>
          <w:rStyle w:val="FootnoteReference"/>
        </w:rPr>
        <w:footnoteRef/>
      </w:r>
      <w:r w:rsidRPr="0014372A">
        <w:rPr>
          <w:lang w:val="es-ES"/>
        </w:rPr>
        <w:t xml:space="preserve"> UNEP/</w:t>
      </w:r>
      <w:proofErr w:type="spellStart"/>
      <w:r w:rsidRPr="0014372A">
        <w:rPr>
          <w:lang w:val="es-ES"/>
        </w:rPr>
        <w:t>OzL.Pro</w:t>
      </w:r>
      <w:proofErr w:type="spellEnd"/>
      <w:r w:rsidRPr="0014372A">
        <w:rPr>
          <w:lang w:val="es-ES"/>
        </w:rPr>
        <w:t>/</w:t>
      </w:r>
      <w:proofErr w:type="spellStart"/>
      <w:r w:rsidRPr="0014372A">
        <w:rPr>
          <w:lang w:val="es-ES"/>
        </w:rPr>
        <w:t>ExCom</w:t>
      </w:r>
      <w:proofErr w:type="spellEnd"/>
      <w:r w:rsidRPr="0014372A">
        <w:rPr>
          <w:lang w:val="es-ES"/>
        </w:rPr>
        <w:t>/86/85.</w:t>
      </w:r>
      <w:bookmarkStart w:id="0" w:name="_GoBack"/>
      <w:bookmarkEnd w:id="0"/>
    </w:p>
    <w:p w14:paraId="1D5664C2" w14:textId="77777777" w:rsidR="0014372A" w:rsidRPr="0014372A" w:rsidRDefault="0014372A" w:rsidP="00C911E8">
      <w:pPr>
        <w:pStyle w:val="FootnoteText"/>
        <w:rPr>
          <w:lang w:val="es-ES"/>
        </w:rPr>
      </w:pPr>
    </w:p>
  </w:footnote>
  <w:footnote w:id="7">
    <w:p w14:paraId="12263BA0" w14:textId="77777777" w:rsidR="00C911E8" w:rsidRPr="0014372A" w:rsidRDefault="00C911E8" w:rsidP="00C911E8">
      <w:pPr>
        <w:pStyle w:val="FootnoteText"/>
        <w:rPr>
          <w:lang w:val="es-ES"/>
        </w:rPr>
      </w:pPr>
      <w:r>
        <w:rPr>
          <w:rStyle w:val="FootnoteReference"/>
        </w:rPr>
        <w:footnoteRef/>
      </w:r>
      <w:r w:rsidRPr="0014372A">
        <w:rPr>
          <w:lang w:val="es-ES"/>
        </w:rPr>
        <w:t xml:space="preserve"> Está previsto que la 89ª reunión se celebre en forma presencial para debatir las cuestiones de políticas pendientes que no pudieron concluirse mediante el correspondiente proceso de aprobación entre períodos de sesiones y las reuniones virtuales, de acuerdo con la decisión 87/60 a).</w:t>
      </w:r>
    </w:p>
  </w:footnote>
  <w:footnote w:id="8">
    <w:p w14:paraId="5FCA14CE" w14:textId="77777777" w:rsidR="00C911E8" w:rsidRPr="0014372A" w:rsidRDefault="00C911E8" w:rsidP="00C911E8">
      <w:pPr>
        <w:pStyle w:val="FootnoteText"/>
        <w:rPr>
          <w:lang w:val="es-ES"/>
        </w:rPr>
      </w:pPr>
      <w:r>
        <w:rPr>
          <w:rStyle w:val="FootnoteReference"/>
        </w:rPr>
        <w:footnoteRef/>
      </w:r>
      <w:r w:rsidRPr="0014372A">
        <w:rPr>
          <w:lang w:val="es-ES"/>
        </w:rPr>
        <w:t xml:space="preserve"> Reunión en línea, celebrada del 23 al 27 de noviembre de 2020.</w:t>
      </w:r>
    </w:p>
  </w:footnote>
  <w:footnote w:id="9">
    <w:p w14:paraId="668D1F11" w14:textId="77777777" w:rsidR="00C911E8" w:rsidRPr="0014372A" w:rsidRDefault="00C911E8" w:rsidP="00C911E8">
      <w:pPr>
        <w:pStyle w:val="FootnoteText"/>
        <w:rPr>
          <w:lang w:val="es-ES"/>
        </w:rPr>
      </w:pPr>
      <w:r>
        <w:rPr>
          <w:rStyle w:val="FootnoteReference"/>
        </w:rPr>
        <w:footnoteRef/>
      </w:r>
      <w:r w:rsidRPr="0014372A">
        <w:rPr>
          <w:lang w:val="es-ES"/>
        </w:rPr>
        <w:t xml:space="preserve"> Reunión en línea, celebrada del 23 al 29 de octubre de 2021.</w:t>
      </w:r>
    </w:p>
  </w:footnote>
  <w:footnote w:id="10">
    <w:p w14:paraId="4EEDAF29" w14:textId="77777777" w:rsidR="00C911E8" w:rsidRPr="0014372A" w:rsidRDefault="00C911E8" w:rsidP="00C911E8">
      <w:pPr>
        <w:pStyle w:val="FootnoteText"/>
        <w:rPr>
          <w:lang w:val="es-ES"/>
        </w:rPr>
      </w:pPr>
      <w:r>
        <w:rPr>
          <w:rStyle w:val="FootnoteReference"/>
        </w:rPr>
        <w:footnoteRef/>
      </w:r>
      <w:r w:rsidRPr="0014372A">
        <w:rPr>
          <w:lang w:val="es-ES"/>
        </w:rPr>
        <w:t xml:space="preserve"> UNEP/</w:t>
      </w:r>
      <w:proofErr w:type="spellStart"/>
      <w:r w:rsidRPr="0014372A">
        <w:rPr>
          <w:lang w:val="es-ES"/>
        </w:rPr>
        <w:t>OzL.Pro</w:t>
      </w:r>
      <w:proofErr w:type="spellEnd"/>
      <w:r w:rsidRPr="0014372A">
        <w:rPr>
          <w:lang w:val="es-ES"/>
        </w:rPr>
        <w:t>/</w:t>
      </w:r>
      <w:proofErr w:type="spellStart"/>
      <w:r w:rsidRPr="0014372A">
        <w:rPr>
          <w:lang w:val="es-ES"/>
        </w:rPr>
        <w:t>ExCom</w:t>
      </w:r>
      <w:proofErr w:type="spellEnd"/>
      <w:r w:rsidRPr="0014372A">
        <w:rPr>
          <w:lang w:val="es-ES"/>
        </w:rPr>
        <w:t>/86/25 y decisión 86/45.</w:t>
      </w:r>
    </w:p>
  </w:footnote>
  <w:footnote w:id="11">
    <w:p w14:paraId="0F658586" w14:textId="77777777" w:rsidR="00C911E8" w:rsidRPr="0014372A" w:rsidRDefault="00C911E8" w:rsidP="00C911E8">
      <w:pPr>
        <w:pStyle w:val="FootnoteText"/>
        <w:rPr>
          <w:lang w:val="es-ES"/>
        </w:rPr>
      </w:pPr>
      <w:r>
        <w:rPr>
          <w:rStyle w:val="FootnoteReference"/>
        </w:rPr>
        <w:footnoteRef/>
      </w:r>
      <w:r w:rsidRPr="0014372A">
        <w:rPr>
          <w:lang w:val="es-ES"/>
        </w:rPr>
        <w:t xml:space="preserve"> UNEP/</w:t>
      </w:r>
      <w:proofErr w:type="spellStart"/>
      <w:r w:rsidRPr="0014372A">
        <w:rPr>
          <w:lang w:val="es-ES"/>
        </w:rPr>
        <w:t>OzL.Pro</w:t>
      </w:r>
      <w:proofErr w:type="spellEnd"/>
      <w:r w:rsidRPr="0014372A">
        <w:rPr>
          <w:lang w:val="es-ES"/>
        </w:rPr>
        <w:t>/</w:t>
      </w:r>
      <w:proofErr w:type="spellStart"/>
      <w:r w:rsidRPr="0014372A">
        <w:rPr>
          <w:lang w:val="es-ES"/>
        </w:rPr>
        <w:t>ExCom</w:t>
      </w:r>
      <w:proofErr w:type="spellEnd"/>
      <w:r w:rsidRPr="0014372A">
        <w:rPr>
          <w:lang w:val="es-ES"/>
        </w:rPr>
        <w:t>/88/34.</w:t>
      </w:r>
    </w:p>
  </w:footnote>
  <w:footnote w:id="12">
    <w:p w14:paraId="44C0200D" w14:textId="77777777" w:rsidR="00C911E8" w:rsidRPr="0014372A" w:rsidRDefault="00C911E8" w:rsidP="00C911E8">
      <w:pPr>
        <w:pStyle w:val="FootnoteText"/>
        <w:rPr>
          <w:lang w:val="es-ES"/>
        </w:rPr>
      </w:pPr>
      <w:r>
        <w:rPr>
          <w:rStyle w:val="FootnoteReference"/>
        </w:rPr>
        <w:footnoteRef/>
      </w:r>
      <w:r w:rsidRPr="0014372A">
        <w:rPr>
          <w:lang w:val="es-ES"/>
        </w:rPr>
        <w:t xml:space="preserve"> UNEP/</w:t>
      </w:r>
      <w:proofErr w:type="spellStart"/>
      <w:r w:rsidRPr="0014372A">
        <w:rPr>
          <w:lang w:val="es-ES"/>
        </w:rPr>
        <w:t>OzL.Pro</w:t>
      </w:r>
      <w:proofErr w:type="spellEnd"/>
      <w:r w:rsidRPr="0014372A">
        <w:rPr>
          <w:lang w:val="es-ES"/>
        </w:rPr>
        <w:t>/</w:t>
      </w:r>
      <w:proofErr w:type="spellStart"/>
      <w:r w:rsidRPr="0014372A">
        <w:rPr>
          <w:lang w:val="es-ES"/>
        </w:rPr>
        <w:t>ExCom</w:t>
      </w:r>
      <w:proofErr w:type="spellEnd"/>
      <w:r w:rsidRPr="0014372A">
        <w:rPr>
          <w:lang w:val="es-ES"/>
        </w:rPr>
        <w:t>/88/35.</w:t>
      </w:r>
    </w:p>
  </w:footnote>
  <w:footnote w:id="13">
    <w:p w14:paraId="199A594F" w14:textId="77777777" w:rsidR="00C911E8" w:rsidRPr="0014372A" w:rsidRDefault="00C911E8" w:rsidP="00C911E8">
      <w:pPr>
        <w:pStyle w:val="FootnoteText"/>
        <w:rPr>
          <w:lang w:val="es-ES"/>
        </w:rPr>
      </w:pPr>
      <w:r>
        <w:rPr>
          <w:rStyle w:val="FootnoteReference"/>
        </w:rPr>
        <w:footnoteRef/>
      </w:r>
      <w:r w:rsidRPr="0014372A">
        <w:rPr>
          <w:lang w:val="es-ES"/>
        </w:rPr>
        <w:t xml:space="preserve"> UNEP/</w:t>
      </w:r>
      <w:proofErr w:type="spellStart"/>
      <w:r w:rsidRPr="0014372A">
        <w:rPr>
          <w:lang w:val="es-ES"/>
        </w:rPr>
        <w:t>OzL.Pro</w:t>
      </w:r>
      <w:proofErr w:type="spellEnd"/>
      <w:r w:rsidRPr="0014372A">
        <w:rPr>
          <w:lang w:val="es-ES"/>
        </w:rPr>
        <w:t>/</w:t>
      </w:r>
      <w:proofErr w:type="spellStart"/>
      <w:r w:rsidRPr="0014372A">
        <w:rPr>
          <w:lang w:val="es-ES"/>
        </w:rPr>
        <w:t>ExCom</w:t>
      </w:r>
      <w:proofErr w:type="spellEnd"/>
      <w:r w:rsidRPr="0014372A">
        <w:rPr>
          <w:lang w:val="es-ES"/>
        </w:rPr>
        <w:t>/87/43.</w:t>
      </w:r>
    </w:p>
  </w:footnote>
  <w:footnote w:id="14">
    <w:p w14:paraId="5160E338" w14:textId="77777777" w:rsidR="00C911E8" w:rsidRPr="0014372A" w:rsidRDefault="00C911E8" w:rsidP="00C911E8">
      <w:pPr>
        <w:pStyle w:val="FootnoteText"/>
        <w:rPr>
          <w:lang w:val="es-ES"/>
        </w:rPr>
      </w:pPr>
      <w:r>
        <w:rPr>
          <w:rStyle w:val="FootnoteReference"/>
        </w:rPr>
        <w:footnoteRef/>
      </w:r>
      <w:r w:rsidRPr="0014372A">
        <w:rPr>
          <w:lang w:val="es-ES"/>
        </w:rPr>
        <w:t xml:space="preserve"> El plan administrativo refundido incluye la financiación para la preparación de KIP por un monto de 7 189 942 $EUA, más gastos de apoyo de los organismos de 782 808 $EUA para 2022, y de 3 398 327 $EUA, más gastos de apoyo de los organismos de 318 216 $EUA para 2023.</w:t>
      </w:r>
    </w:p>
  </w:footnote>
  <w:footnote w:id="15">
    <w:p w14:paraId="0CF9CC0A" w14:textId="77777777" w:rsidR="00C911E8" w:rsidRPr="0014372A" w:rsidRDefault="00C911E8" w:rsidP="00C911E8">
      <w:pPr>
        <w:pStyle w:val="FootnoteText"/>
        <w:rPr>
          <w:lang w:val="es-ES"/>
        </w:rPr>
      </w:pPr>
      <w:r>
        <w:rPr>
          <w:rStyle w:val="FootnoteReference"/>
        </w:rPr>
        <w:footnoteRef/>
      </w:r>
      <w:r w:rsidRPr="0014372A">
        <w:rPr>
          <w:lang w:val="es-ES"/>
        </w:rPr>
        <w:t xml:space="preserve"> Las cuestiones de políticas relativas a la admisibilidad para la financiación de las diferentes actividades se finalizarían con el correr del tiempo, tras las consultas sobre estos asuntos en el año 2022.</w:t>
      </w:r>
    </w:p>
  </w:footnote>
  <w:footnote w:id="16">
    <w:p w14:paraId="6615564D" w14:textId="77777777" w:rsidR="00C911E8" w:rsidRPr="0014372A" w:rsidRDefault="00C911E8" w:rsidP="00C911E8">
      <w:pPr>
        <w:pStyle w:val="FootnoteText"/>
        <w:rPr>
          <w:lang w:val="es-ES"/>
        </w:rPr>
      </w:pPr>
      <w:r>
        <w:rPr>
          <w:rStyle w:val="FootnoteReference"/>
        </w:rPr>
        <w:footnoteRef/>
      </w:r>
      <w:r w:rsidRPr="0014372A">
        <w:rPr>
          <w:lang w:val="es-ES"/>
        </w:rPr>
        <w:t xml:space="preserve"> Se presentó un análisis similar en el documento sobre el examen del régimen de costos administrativos para el trienio 2015</w:t>
      </w:r>
      <w:r w:rsidRPr="0014372A">
        <w:rPr>
          <w:lang w:val="es-ES"/>
        </w:rPr>
        <w:noBreakHyphen/>
        <w:t>2017 (UNEP/</w:t>
      </w:r>
      <w:proofErr w:type="spellStart"/>
      <w:r w:rsidRPr="0014372A">
        <w:rPr>
          <w:lang w:val="es-ES"/>
        </w:rPr>
        <w:t>OzL.Pro</w:t>
      </w:r>
      <w:proofErr w:type="spellEnd"/>
      <w:r w:rsidRPr="0014372A">
        <w:rPr>
          <w:lang w:val="es-ES"/>
        </w:rPr>
        <w:t>/</w:t>
      </w:r>
      <w:proofErr w:type="spellStart"/>
      <w:r w:rsidRPr="0014372A">
        <w:rPr>
          <w:lang w:val="es-ES"/>
        </w:rPr>
        <w:t>ExCom</w:t>
      </w:r>
      <w:proofErr w:type="spellEnd"/>
      <w:r w:rsidRPr="0014372A">
        <w:rPr>
          <w:lang w:val="es-ES"/>
        </w:rPr>
        <w:t>/73/51). Las diferencias menores entre algunas de las cifras de ese análisis y las que figuran del Cuadro 1 se deben a proyectos que se habían cerrado y cuyos saldos se han devuelto al Fondo, o a proyectos que se han transferido a otros organismos.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04D40" w14:textId="315AF063" w:rsidR="001564EE" w:rsidRPr="0033525D" w:rsidRDefault="00775B48">
    <w:r>
      <w:fldChar w:fldCharType="begin"/>
    </w:r>
    <w:r>
      <w:instrText xml:space="preserve"> DOCPROPERTY "Document number"  \* MERGEFORMAT </w:instrText>
    </w:r>
    <w:r>
      <w:fldChar w:fldCharType="separate"/>
    </w:r>
    <w:r w:rsidR="00067E46">
      <w:t>UNEP/</w:t>
    </w:r>
    <w:proofErr w:type="spellStart"/>
    <w:r w:rsidR="00067E46">
      <w:t>OzL.Pro</w:t>
    </w:r>
    <w:proofErr w:type="spellEnd"/>
    <w:r w:rsidR="00067E46">
      <w:t>/</w:t>
    </w:r>
    <w:proofErr w:type="spellStart"/>
    <w:r w:rsidR="00067E46">
      <w:t>ExCom</w:t>
    </w:r>
    <w:proofErr w:type="spellEnd"/>
    <w:r w:rsidR="00067E46">
      <w:t>/88/68</w:t>
    </w:r>
    <w:r>
      <w:fldChar w:fldCharType="end"/>
    </w:r>
  </w:p>
  <w:p w14:paraId="1D28CC3D" w14:textId="22370FF4" w:rsidR="001564EE" w:rsidRDefault="00287E96"/>
  <w:p w14:paraId="356BC055" w14:textId="77777777" w:rsidR="0014372A" w:rsidRPr="0033525D" w:rsidRDefault="0014372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73C50" w14:textId="7B935FEC" w:rsidR="001564EE" w:rsidRDefault="00775B48">
    <w:pPr>
      <w:jc w:val="right"/>
    </w:pPr>
    <w:r>
      <w:fldChar w:fldCharType="begin"/>
    </w:r>
    <w:r>
      <w:instrText xml:space="preserve"> DOCPROPERTY "Document number"  \* MERGEFORMAT </w:instrText>
    </w:r>
    <w:r>
      <w:fldChar w:fldCharType="separate"/>
    </w:r>
    <w:r w:rsidR="00067E46">
      <w:t>UNEP/</w:t>
    </w:r>
    <w:proofErr w:type="spellStart"/>
    <w:r w:rsidR="00067E46">
      <w:t>OzL.Pro</w:t>
    </w:r>
    <w:proofErr w:type="spellEnd"/>
    <w:r w:rsidR="00067E46">
      <w:t>/</w:t>
    </w:r>
    <w:proofErr w:type="spellStart"/>
    <w:r w:rsidR="00067E46">
      <w:t>ExCom</w:t>
    </w:r>
    <w:proofErr w:type="spellEnd"/>
    <w:r w:rsidR="00067E46">
      <w:t>/88/68</w:t>
    </w:r>
    <w:r>
      <w:fldChar w:fldCharType="end"/>
    </w:r>
  </w:p>
  <w:p w14:paraId="79DC84C9" w14:textId="018FAEB9" w:rsidR="001564EE" w:rsidRDefault="00287E96" w:rsidP="00386D07">
    <w:pPr>
      <w:jc w:val="right"/>
    </w:pPr>
  </w:p>
  <w:p w14:paraId="002EA6F5" w14:textId="77777777" w:rsidR="0014372A" w:rsidRDefault="0014372A" w:rsidP="00386D07">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CDCFB" w14:textId="77777777" w:rsidR="001564EE" w:rsidRDefault="00287E96" w:rsidP="00386D0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FB"/>
    <w:multiLevelType w:val="multilevel"/>
    <w:tmpl w:val="DC121AD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28D0699D"/>
    <w:multiLevelType w:val="multilevel"/>
    <w:tmpl w:val="3CF4ADFC"/>
    <w:lvl w:ilvl="0">
      <w:start w:val="1"/>
      <w:numFmt w:val="decimal"/>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3" w15:restartNumberingAfterBreak="0">
    <w:nsid w:val="28F87839"/>
    <w:multiLevelType w:val="hybridMultilevel"/>
    <w:tmpl w:val="882EF5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8B245B5"/>
    <w:multiLevelType w:val="hybridMultilevel"/>
    <w:tmpl w:val="D1C4D79E"/>
    <w:lvl w:ilvl="0" w:tplc="A25AD16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4"/>
  </w:num>
  <w:num w:numId="2">
    <w:abstractNumId w:val="8"/>
  </w:num>
  <w:num w:numId="3">
    <w:abstractNumId w:val="9"/>
  </w:num>
  <w:num w:numId="4">
    <w:abstractNumId w:val="11"/>
  </w:num>
  <w:num w:numId="5">
    <w:abstractNumId w:val="6"/>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2"/>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5"/>
  </w:num>
  <w:num w:numId="12">
    <w:abstractNumId w:val="1"/>
  </w:num>
  <w:num w:numId="13">
    <w:abstractNumId w:val="0"/>
  </w:num>
  <w:num w:numId="14">
    <w:abstractNumId w:val="7"/>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64429"/>
    <w:rsid w:val="00067E46"/>
    <w:rsid w:val="00094075"/>
    <w:rsid w:val="000D7CEA"/>
    <w:rsid w:val="00106F6E"/>
    <w:rsid w:val="00114CAA"/>
    <w:rsid w:val="0011737F"/>
    <w:rsid w:val="001174E9"/>
    <w:rsid w:val="001354E9"/>
    <w:rsid w:val="0014372A"/>
    <w:rsid w:val="001B2886"/>
    <w:rsid w:val="001C2D22"/>
    <w:rsid w:val="001F4047"/>
    <w:rsid w:val="002030E1"/>
    <w:rsid w:val="00222D4D"/>
    <w:rsid w:val="00235D4C"/>
    <w:rsid w:val="002404D1"/>
    <w:rsid w:val="0024162E"/>
    <w:rsid w:val="002425B4"/>
    <w:rsid w:val="00244477"/>
    <w:rsid w:val="00287E96"/>
    <w:rsid w:val="002959B4"/>
    <w:rsid w:val="002C63AC"/>
    <w:rsid w:val="0031390B"/>
    <w:rsid w:val="00344D96"/>
    <w:rsid w:val="00344EAB"/>
    <w:rsid w:val="003863A4"/>
    <w:rsid w:val="003B7115"/>
    <w:rsid w:val="00455352"/>
    <w:rsid w:val="00476E28"/>
    <w:rsid w:val="00532F5D"/>
    <w:rsid w:val="00567F9B"/>
    <w:rsid w:val="005A76B5"/>
    <w:rsid w:val="005B1BC5"/>
    <w:rsid w:val="00604727"/>
    <w:rsid w:val="00651D87"/>
    <w:rsid w:val="00775B48"/>
    <w:rsid w:val="00792A47"/>
    <w:rsid w:val="007A1571"/>
    <w:rsid w:val="007C22DC"/>
    <w:rsid w:val="00831BC5"/>
    <w:rsid w:val="0087455A"/>
    <w:rsid w:val="008C0F58"/>
    <w:rsid w:val="00922F89"/>
    <w:rsid w:val="00A46398"/>
    <w:rsid w:val="00AB2928"/>
    <w:rsid w:val="00AB56E5"/>
    <w:rsid w:val="00AC7A52"/>
    <w:rsid w:val="00B554E9"/>
    <w:rsid w:val="00B60EEC"/>
    <w:rsid w:val="00B76AEE"/>
    <w:rsid w:val="00B84ACF"/>
    <w:rsid w:val="00C14E67"/>
    <w:rsid w:val="00C21F71"/>
    <w:rsid w:val="00C911E8"/>
    <w:rsid w:val="00C92F24"/>
    <w:rsid w:val="00CB3D7A"/>
    <w:rsid w:val="00D3313A"/>
    <w:rsid w:val="00D80251"/>
    <w:rsid w:val="00D84B6F"/>
    <w:rsid w:val="00D87673"/>
    <w:rsid w:val="00DB795B"/>
    <w:rsid w:val="00DF2EFB"/>
    <w:rsid w:val="00E17F97"/>
    <w:rsid w:val="00EA2BA9"/>
    <w:rsid w:val="00EA3302"/>
    <w:rsid w:val="00EE420D"/>
    <w:rsid w:val="00F051AC"/>
    <w:rsid w:val="00F10CD9"/>
    <w:rsid w:val="00F12B29"/>
    <w:rsid w:val="00F25F7C"/>
    <w:rsid w:val="00F9224D"/>
    <w:rsid w:val="00F970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9D265"/>
  <w15:docId w15:val="{80D39446-5A10-44B7-8A75-2D2EAA5EF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9"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8"/>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8"/>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8"/>
      </w:numPr>
      <w:spacing w:before="240" w:after="60"/>
      <w:outlineLvl w:val="3"/>
    </w:pPr>
  </w:style>
  <w:style w:type="paragraph" w:styleId="Heading5">
    <w:name w:val="heading 5"/>
    <w:basedOn w:val="Normal"/>
    <w:next w:val="Normal"/>
    <w:link w:val="Heading5Char"/>
    <w:qFormat/>
    <w:pPr>
      <w:keepNext/>
      <w:numPr>
        <w:numId w:val="5"/>
      </w:numPr>
      <w:spacing w:after="240"/>
      <w:ind w:left="3600" w:hanging="720"/>
      <w:outlineLvl w:val="4"/>
    </w:pPr>
  </w:style>
  <w:style w:type="paragraph" w:styleId="Heading6">
    <w:name w:val="heading 6"/>
    <w:basedOn w:val="Normal"/>
    <w:next w:val="Normal"/>
    <w:link w:val="Heading6Char"/>
    <w:qFormat/>
    <w:pPr>
      <w:numPr>
        <w:ilvl w:val="5"/>
        <w:numId w:val="8"/>
      </w:numPr>
      <w:spacing w:before="240" w:after="60"/>
      <w:outlineLvl w:val="5"/>
    </w:pPr>
    <w:rPr>
      <w:rFonts w:ascii="Arial" w:hAnsi="Arial"/>
      <w:i/>
    </w:rPr>
  </w:style>
  <w:style w:type="paragraph" w:styleId="Heading7">
    <w:name w:val="heading 7"/>
    <w:basedOn w:val="Normal"/>
    <w:next w:val="Normal"/>
    <w:link w:val="Heading7Char"/>
    <w:qFormat/>
    <w:pPr>
      <w:numPr>
        <w:ilvl w:val="6"/>
        <w:numId w:val="8"/>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qFormat/>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rsid w:val="002959B4"/>
    <w:rPr>
      <w:lang w:val="en-GB"/>
    </w:rPr>
  </w:style>
  <w:style w:type="character" w:styleId="FootnoteReference">
    <w:name w:val="footnote reference"/>
    <w:aliases w:val="Footnote text,Footnote Text1,Footnote Text2,ftref,16 Point,Superscript 6 Point,-E Fußnotenzeichen,number,Footnote reference number,Footnote symbol,note TESI,SUPERS,stylish,Footnote Reference Superscript,-E Fuﬂnotenzeichen,fr"/>
    <w:basedOn w:val="DefaultParagraphFont"/>
    <w:link w:val="CharCharCharCharCarChar"/>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404D1"/>
    <w:rPr>
      <w:sz w:val="22"/>
      <w:szCs w:val="22"/>
      <w:lang w:val="en-GB"/>
    </w:rPr>
  </w:style>
  <w:style w:type="paragraph" w:styleId="Revision">
    <w:name w:val="Revision"/>
    <w:hidden/>
    <w:uiPriority w:val="99"/>
    <w:semiHidden/>
    <w:rsid w:val="002404D1"/>
    <w:rPr>
      <w:sz w:val="22"/>
      <w:szCs w:val="22"/>
      <w:lang w:val="es-ES"/>
    </w:rPr>
  </w:style>
  <w:style w:type="table" w:customStyle="1" w:styleId="TableGrid20">
    <w:name w:val="Table Grid2"/>
    <w:basedOn w:val="TableNormal"/>
    <w:next w:val="TableGrid"/>
    <w:qFormat/>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404D1"/>
    <w:rPr>
      <w:sz w:val="20"/>
      <w:szCs w:val="20"/>
      <w:lang w:val="es-ES"/>
    </w:rPr>
  </w:style>
  <w:style w:type="character" w:customStyle="1" w:styleId="EndnoteTextChar">
    <w:name w:val="Endnote Text Char"/>
    <w:basedOn w:val="DefaultParagraphFont"/>
    <w:link w:val="EndnoteText"/>
    <w:uiPriority w:val="99"/>
    <w:semiHidden/>
    <w:rsid w:val="002404D1"/>
    <w:rPr>
      <w:lang w:val="es-ES"/>
    </w:rPr>
  </w:style>
  <w:style w:type="character" w:styleId="EndnoteReference">
    <w:name w:val="endnote reference"/>
    <w:basedOn w:val="DefaultParagraphFont"/>
    <w:uiPriority w:val="99"/>
    <w:semiHidden/>
    <w:unhideWhenUsed/>
    <w:rsid w:val="002404D1"/>
    <w:rPr>
      <w:vertAlign w:val="superscript"/>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uiPriority w:val="9"/>
    <w:rsid w:val="002404D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2404D1"/>
    <w:rPr>
      <w:sz w:val="22"/>
      <w:szCs w:val="22"/>
      <w:lang w:val="en-GB"/>
    </w:rPr>
  </w:style>
  <w:style w:type="character" w:customStyle="1" w:styleId="Heading5Char">
    <w:name w:val="Heading 5 Char"/>
    <w:basedOn w:val="DefaultParagraphFont"/>
    <w:link w:val="Heading5"/>
    <w:rsid w:val="002404D1"/>
    <w:rPr>
      <w:sz w:val="22"/>
      <w:szCs w:val="22"/>
      <w:lang w:val="en-GB"/>
    </w:rPr>
  </w:style>
  <w:style w:type="character" w:customStyle="1" w:styleId="Heading6Char">
    <w:name w:val="Heading 6 Char"/>
    <w:basedOn w:val="DefaultParagraphFont"/>
    <w:link w:val="Heading6"/>
    <w:uiPriority w:val="9"/>
    <w:rsid w:val="002404D1"/>
    <w:rPr>
      <w:rFonts w:ascii="Arial" w:hAnsi="Arial"/>
      <w:i/>
      <w:sz w:val="22"/>
      <w:szCs w:val="22"/>
      <w:lang w:val="en-GB"/>
    </w:rPr>
  </w:style>
  <w:style w:type="character" w:customStyle="1" w:styleId="Heading7Char">
    <w:name w:val="Heading 7 Char"/>
    <w:basedOn w:val="DefaultParagraphFont"/>
    <w:link w:val="Heading7"/>
    <w:uiPriority w:val="9"/>
    <w:rsid w:val="002404D1"/>
    <w:rPr>
      <w:rFonts w:ascii="Arial" w:hAnsi="Arial"/>
      <w:sz w:val="22"/>
      <w:szCs w:val="22"/>
      <w:lang w:val="en-GB"/>
    </w:rPr>
  </w:style>
  <w:style w:type="character" w:customStyle="1" w:styleId="Heading8Char">
    <w:name w:val="Heading 8 Char"/>
    <w:basedOn w:val="DefaultParagraphFont"/>
    <w:link w:val="Heading8"/>
    <w:uiPriority w:val="99"/>
    <w:rsid w:val="002404D1"/>
    <w:rPr>
      <w:b/>
      <w:sz w:val="22"/>
      <w:szCs w:val="22"/>
      <w:lang w:val="en-GB"/>
    </w:rPr>
  </w:style>
  <w:style w:type="character" w:customStyle="1" w:styleId="Heading9Char">
    <w:name w:val="Heading 9 Char"/>
    <w:basedOn w:val="DefaultParagraphFont"/>
    <w:link w:val="Heading9"/>
    <w:uiPriority w:val="9"/>
    <w:rsid w:val="002404D1"/>
    <w:rPr>
      <w:rFonts w:ascii="Arial" w:hAnsi="Arial"/>
      <w:i/>
      <w:sz w:val="18"/>
      <w:szCs w:val="22"/>
      <w:lang w:val="en-GB"/>
    </w:rPr>
  </w:style>
  <w:style w:type="numbering" w:customStyle="1" w:styleId="1111111">
    <w:name w:val="1 / 1.1 / 1.1.11"/>
    <w:basedOn w:val="NoList"/>
    <w:next w:val="111111"/>
    <w:semiHidden/>
    <w:rsid w:val="002404D1"/>
  </w:style>
  <w:style w:type="character" w:customStyle="1" w:styleId="HeaderChar">
    <w:name w:val="Header Char"/>
    <w:basedOn w:val="DefaultParagraphFont"/>
    <w:link w:val="Header"/>
    <w:uiPriority w:val="99"/>
    <w:rsid w:val="002404D1"/>
    <w:rPr>
      <w:sz w:val="22"/>
      <w:szCs w:val="22"/>
      <w:lang w:val="en-GB"/>
    </w:rPr>
  </w:style>
  <w:style w:type="numbering" w:customStyle="1" w:styleId="1ai1">
    <w:name w:val="1 / a / i1"/>
    <w:basedOn w:val="NoList"/>
    <w:next w:val="1ai"/>
    <w:semiHidden/>
    <w:rsid w:val="002404D1"/>
  </w:style>
  <w:style w:type="numbering" w:customStyle="1" w:styleId="ArticleSection1">
    <w:name w:val="Article / Section1"/>
    <w:basedOn w:val="NoList"/>
    <w:next w:val="ArticleSection"/>
    <w:semiHidden/>
    <w:rsid w:val="002404D1"/>
  </w:style>
  <w:style w:type="character" w:customStyle="1" w:styleId="BodyText3Char">
    <w:name w:val="Body Text 3 Char"/>
    <w:basedOn w:val="DefaultParagraphFont"/>
    <w:link w:val="BodyText3"/>
    <w:uiPriority w:val="99"/>
    <w:semiHidden/>
    <w:rsid w:val="002404D1"/>
    <w:rPr>
      <w:sz w:val="16"/>
      <w:szCs w:val="16"/>
      <w:lang w:val="en-GB"/>
    </w:rPr>
  </w:style>
  <w:style w:type="character" w:customStyle="1" w:styleId="BodyTextIndent3Char">
    <w:name w:val="Body Text Indent 3 Char"/>
    <w:basedOn w:val="DefaultParagraphFont"/>
    <w:link w:val="BodyTextIndent3"/>
    <w:uiPriority w:val="99"/>
    <w:semiHidden/>
    <w:rsid w:val="002404D1"/>
    <w:rPr>
      <w:sz w:val="16"/>
      <w:szCs w:val="16"/>
      <w:lang w:val="en-GB"/>
    </w:rPr>
  </w:style>
  <w:style w:type="character" w:customStyle="1" w:styleId="PlainTextChar">
    <w:name w:val="Plain Text Char"/>
    <w:basedOn w:val="DefaultParagraphFont"/>
    <w:link w:val="PlainText"/>
    <w:uiPriority w:val="99"/>
    <w:rsid w:val="002404D1"/>
    <w:rPr>
      <w:rFonts w:ascii="Courier New" w:hAnsi="Courier New" w:cs="Courier New"/>
      <w:szCs w:val="22"/>
      <w:lang w:val="en-GB"/>
    </w:rPr>
  </w:style>
  <w:style w:type="character" w:customStyle="1" w:styleId="SubtitleChar">
    <w:name w:val="Subtitle Char"/>
    <w:basedOn w:val="DefaultParagraphFont"/>
    <w:link w:val="Subtitle"/>
    <w:uiPriority w:val="99"/>
    <w:rsid w:val="002404D1"/>
    <w:rPr>
      <w:rFonts w:ascii="Arial" w:hAnsi="Arial" w:cs="Arial"/>
      <w:sz w:val="22"/>
      <w:szCs w:val="22"/>
      <w:lang w:val="en-GB"/>
    </w:rPr>
  </w:style>
  <w:style w:type="character" w:customStyle="1" w:styleId="TitleChar">
    <w:name w:val="Title Char"/>
    <w:basedOn w:val="DefaultParagraphFont"/>
    <w:link w:val="Title"/>
    <w:uiPriority w:val="99"/>
    <w:rsid w:val="002404D1"/>
    <w:rPr>
      <w:rFonts w:ascii="Arial" w:hAnsi="Arial" w:cs="Arial"/>
      <w:b/>
      <w:bCs/>
      <w:kern w:val="28"/>
      <w:sz w:val="22"/>
      <w:szCs w:val="22"/>
      <w:lang w:val="en-GB"/>
    </w:rPr>
  </w:style>
  <w:style w:type="character" w:customStyle="1" w:styleId="DateChar">
    <w:name w:val="Date Char"/>
    <w:basedOn w:val="DefaultParagraphFont"/>
    <w:link w:val="Date"/>
    <w:uiPriority w:val="99"/>
    <w:rsid w:val="002404D1"/>
    <w:rPr>
      <w:sz w:val="22"/>
      <w:szCs w:val="22"/>
      <w:lang w:val="en-GB"/>
    </w:rPr>
  </w:style>
  <w:style w:type="table" w:customStyle="1" w:styleId="TableGrid10">
    <w:name w:val="Table Grid1"/>
    <w:basedOn w:val="TableNormal"/>
    <w:next w:val="TableGrid"/>
    <w:qFormat/>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174E9"/>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174E9"/>
    <w:pPr>
      <w:spacing w:after="160" w:line="240" w:lineRule="exact"/>
    </w:pPr>
    <w:rPr>
      <w:sz w:val="20"/>
      <w:szCs w:val="20"/>
      <w:vertAlign w:val="superscript"/>
      <w:lang w:val="en-US"/>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1174E9"/>
    <w:pPr>
      <w:spacing w:after="200" w:line="276" w:lineRule="auto"/>
      <w:ind w:left="720"/>
      <w:contextualSpacing/>
      <w:jc w:val="left"/>
    </w:pPr>
    <w:rPr>
      <w:rFonts w:ascii="Calibri" w:hAnsi="Calibri" w:cs="Calibri"/>
      <w:lang w:val="es-ES"/>
    </w:rPr>
  </w:style>
  <w:style w:type="character" w:styleId="PageNumber">
    <w:name w:val="page number"/>
    <w:rsid w:val="001174E9"/>
    <w:rPr>
      <w:sz w:val="22"/>
      <w:szCs w:val="22"/>
    </w:rPr>
  </w:style>
  <w:style w:type="paragraph" w:styleId="BodyText">
    <w:name w:val="Body Text"/>
    <w:basedOn w:val="Normal"/>
    <w:link w:val="BodyTextChar"/>
    <w:semiHidden/>
    <w:rsid w:val="001174E9"/>
    <w:pPr>
      <w:spacing w:after="120"/>
    </w:pPr>
    <w:rPr>
      <w:lang w:val="es-ES"/>
    </w:rPr>
  </w:style>
  <w:style w:type="character" w:customStyle="1" w:styleId="BodyTextChar">
    <w:name w:val="Body Text Char"/>
    <w:basedOn w:val="DefaultParagraphFont"/>
    <w:link w:val="BodyText"/>
    <w:semiHidden/>
    <w:rsid w:val="001174E9"/>
    <w:rPr>
      <w:sz w:val="22"/>
      <w:szCs w:val="22"/>
      <w:lang w:val="es-ES"/>
    </w:rPr>
  </w:style>
  <w:style w:type="paragraph" w:styleId="BodyText2">
    <w:name w:val="Body Text 2"/>
    <w:basedOn w:val="Normal"/>
    <w:link w:val="BodyText2Char"/>
    <w:semiHidden/>
    <w:rsid w:val="001174E9"/>
    <w:pPr>
      <w:spacing w:after="120" w:line="480" w:lineRule="auto"/>
    </w:pPr>
    <w:rPr>
      <w:lang w:val="es-ES"/>
    </w:rPr>
  </w:style>
  <w:style w:type="character" w:customStyle="1" w:styleId="BodyText2Char">
    <w:name w:val="Body Text 2 Char"/>
    <w:basedOn w:val="DefaultParagraphFont"/>
    <w:link w:val="BodyText2"/>
    <w:semiHidden/>
    <w:rsid w:val="001174E9"/>
    <w:rPr>
      <w:sz w:val="22"/>
      <w:szCs w:val="22"/>
      <w:lang w:val="es-ES"/>
    </w:rPr>
  </w:style>
  <w:style w:type="paragraph" w:styleId="BodyTextFirstIndent">
    <w:name w:val="Body Text First Indent"/>
    <w:basedOn w:val="BodyText"/>
    <w:link w:val="BodyTextFirstIndentChar"/>
    <w:semiHidden/>
    <w:rsid w:val="001174E9"/>
    <w:pPr>
      <w:ind w:firstLine="210"/>
    </w:pPr>
  </w:style>
  <w:style w:type="character" w:customStyle="1" w:styleId="BodyTextFirstIndentChar">
    <w:name w:val="Body Text First Indent Char"/>
    <w:basedOn w:val="BodyTextChar"/>
    <w:link w:val="BodyTextFirstIndent"/>
    <w:semiHidden/>
    <w:rsid w:val="001174E9"/>
    <w:rPr>
      <w:sz w:val="22"/>
      <w:szCs w:val="22"/>
      <w:lang w:val="es-ES"/>
    </w:rPr>
  </w:style>
  <w:style w:type="paragraph" w:styleId="BodyTextIndent">
    <w:name w:val="Body Text Indent"/>
    <w:basedOn w:val="Normal"/>
    <w:link w:val="BodyTextIndentChar"/>
    <w:semiHidden/>
    <w:rsid w:val="001174E9"/>
    <w:pPr>
      <w:spacing w:after="120"/>
      <w:ind w:left="360"/>
    </w:pPr>
    <w:rPr>
      <w:lang w:val="es-ES"/>
    </w:rPr>
  </w:style>
  <w:style w:type="character" w:customStyle="1" w:styleId="BodyTextIndentChar">
    <w:name w:val="Body Text Indent Char"/>
    <w:basedOn w:val="DefaultParagraphFont"/>
    <w:link w:val="BodyTextIndent"/>
    <w:semiHidden/>
    <w:rsid w:val="001174E9"/>
    <w:rPr>
      <w:sz w:val="22"/>
      <w:szCs w:val="22"/>
      <w:lang w:val="es-ES"/>
    </w:rPr>
  </w:style>
  <w:style w:type="paragraph" w:styleId="BodyTextFirstIndent2">
    <w:name w:val="Body Text First Indent 2"/>
    <w:basedOn w:val="BodyTextIndent"/>
    <w:link w:val="BodyTextFirstIndent2Char"/>
    <w:semiHidden/>
    <w:rsid w:val="001174E9"/>
    <w:pPr>
      <w:ind w:firstLine="210"/>
    </w:pPr>
  </w:style>
  <w:style w:type="character" w:customStyle="1" w:styleId="BodyTextFirstIndent2Char">
    <w:name w:val="Body Text First Indent 2 Char"/>
    <w:basedOn w:val="BodyTextIndentChar"/>
    <w:link w:val="BodyTextFirstIndent2"/>
    <w:semiHidden/>
    <w:rsid w:val="001174E9"/>
    <w:rPr>
      <w:sz w:val="22"/>
      <w:szCs w:val="22"/>
      <w:lang w:val="es-ES"/>
    </w:rPr>
  </w:style>
  <w:style w:type="paragraph" w:styleId="BodyTextIndent2">
    <w:name w:val="Body Text Indent 2"/>
    <w:basedOn w:val="Normal"/>
    <w:link w:val="BodyTextIndent2Char"/>
    <w:semiHidden/>
    <w:rsid w:val="001174E9"/>
    <w:pPr>
      <w:spacing w:after="120" w:line="480" w:lineRule="auto"/>
      <w:ind w:left="360"/>
    </w:pPr>
    <w:rPr>
      <w:lang w:val="es-ES"/>
    </w:rPr>
  </w:style>
  <w:style w:type="character" w:customStyle="1" w:styleId="BodyTextIndent2Char">
    <w:name w:val="Body Text Indent 2 Char"/>
    <w:basedOn w:val="DefaultParagraphFont"/>
    <w:link w:val="BodyTextIndent2"/>
    <w:semiHidden/>
    <w:rsid w:val="001174E9"/>
    <w:rPr>
      <w:sz w:val="22"/>
      <w:szCs w:val="22"/>
      <w:lang w:val="es-ES"/>
    </w:rPr>
  </w:style>
  <w:style w:type="paragraph" w:styleId="Closing">
    <w:name w:val="Closing"/>
    <w:basedOn w:val="Normal"/>
    <w:link w:val="ClosingChar"/>
    <w:semiHidden/>
    <w:rsid w:val="001174E9"/>
    <w:pPr>
      <w:ind w:left="4320"/>
    </w:pPr>
    <w:rPr>
      <w:lang w:val="es-ES"/>
    </w:rPr>
  </w:style>
  <w:style w:type="character" w:customStyle="1" w:styleId="ClosingChar">
    <w:name w:val="Closing Char"/>
    <w:basedOn w:val="DefaultParagraphFont"/>
    <w:link w:val="Closing"/>
    <w:semiHidden/>
    <w:rsid w:val="001174E9"/>
    <w:rPr>
      <w:sz w:val="22"/>
      <w:szCs w:val="22"/>
      <w:lang w:val="es-ES"/>
    </w:rPr>
  </w:style>
  <w:style w:type="paragraph" w:styleId="E-mailSignature">
    <w:name w:val="E-mail Signature"/>
    <w:basedOn w:val="Normal"/>
    <w:link w:val="E-mailSignatureChar"/>
    <w:semiHidden/>
    <w:rsid w:val="001174E9"/>
    <w:rPr>
      <w:lang w:val="es-ES"/>
    </w:rPr>
  </w:style>
  <w:style w:type="character" w:customStyle="1" w:styleId="E-mailSignatureChar">
    <w:name w:val="E-mail Signature Char"/>
    <w:basedOn w:val="DefaultParagraphFont"/>
    <w:link w:val="E-mailSignature"/>
    <w:semiHidden/>
    <w:rsid w:val="001174E9"/>
    <w:rPr>
      <w:sz w:val="22"/>
      <w:szCs w:val="22"/>
      <w:lang w:val="es-ES"/>
    </w:rPr>
  </w:style>
  <w:style w:type="character" w:styleId="Emphasis">
    <w:name w:val="Emphasis"/>
    <w:qFormat/>
    <w:rsid w:val="001174E9"/>
    <w:rPr>
      <w:i/>
      <w:iCs/>
    </w:rPr>
  </w:style>
  <w:style w:type="paragraph" w:styleId="EnvelopeAddress">
    <w:name w:val="envelope address"/>
    <w:basedOn w:val="Normal"/>
    <w:semiHidden/>
    <w:rsid w:val="001174E9"/>
    <w:pPr>
      <w:framePr w:w="7920" w:h="1980" w:hRule="exact" w:hSpace="180" w:wrap="auto" w:hAnchor="page" w:xAlign="center" w:yAlign="bottom"/>
      <w:ind w:left="2880"/>
    </w:pPr>
    <w:rPr>
      <w:rFonts w:ascii="Arial" w:hAnsi="Arial" w:cs="Arial"/>
      <w:szCs w:val="24"/>
      <w:lang w:val="es-ES"/>
    </w:rPr>
  </w:style>
  <w:style w:type="paragraph" w:styleId="EnvelopeReturn">
    <w:name w:val="envelope return"/>
    <w:basedOn w:val="Normal"/>
    <w:semiHidden/>
    <w:rsid w:val="001174E9"/>
    <w:rPr>
      <w:rFonts w:ascii="Arial" w:hAnsi="Arial" w:cs="Arial"/>
      <w:sz w:val="20"/>
      <w:lang w:val="es-ES"/>
    </w:rPr>
  </w:style>
  <w:style w:type="character" w:styleId="FollowedHyperlink">
    <w:name w:val="FollowedHyperlink"/>
    <w:uiPriority w:val="99"/>
    <w:semiHidden/>
    <w:rsid w:val="001174E9"/>
    <w:rPr>
      <w:color w:val="800080"/>
      <w:u w:val="single"/>
    </w:rPr>
  </w:style>
  <w:style w:type="character" w:styleId="HTMLAcronym">
    <w:name w:val="HTML Acronym"/>
    <w:basedOn w:val="DefaultParagraphFont"/>
    <w:semiHidden/>
    <w:rsid w:val="001174E9"/>
  </w:style>
  <w:style w:type="paragraph" w:styleId="HTMLAddress">
    <w:name w:val="HTML Address"/>
    <w:basedOn w:val="Normal"/>
    <w:link w:val="HTMLAddressChar"/>
    <w:semiHidden/>
    <w:rsid w:val="001174E9"/>
    <w:rPr>
      <w:i/>
      <w:iCs/>
      <w:lang w:val="es-ES"/>
    </w:rPr>
  </w:style>
  <w:style w:type="character" w:customStyle="1" w:styleId="HTMLAddressChar">
    <w:name w:val="HTML Address Char"/>
    <w:basedOn w:val="DefaultParagraphFont"/>
    <w:link w:val="HTMLAddress"/>
    <w:semiHidden/>
    <w:rsid w:val="001174E9"/>
    <w:rPr>
      <w:i/>
      <w:iCs/>
      <w:sz w:val="22"/>
      <w:szCs w:val="22"/>
      <w:lang w:val="es-ES"/>
    </w:rPr>
  </w:style>
  <w:style w:type="character" w:styleId="HTMLCite">
    <w:name w:val="HTML Cite"/>
    <w:semiHidden/>
    <w:rsid w:val="001174E9"/>
    <w:rPr>
      <w:i/>
      <w:iCs/>
    </w:rPr>
  </w:style>
  <w:style w:type="character" w:styleId="HTMLCode">
    <w:name w:val="HTML Code"/>
    <w:semiHidden/>
    <w:rsid w:val="001174E9"/>
    <w:rPr>
      <w:rFonts w:ascii="Courier New" w:hAnsi="Courier New" w:cs="Courier New"/>
      <w:sz w:val="20"/>
      <w:szCs w:val="20"/>
    </w:rPr>
  </w:style>
  <w:style w:type="character" w:styleId="HTMLDefinition">
    <w:name w:val="HTML Definition"/>
    <w:semiHidden/>
    <w:rsid w:val="001174E9"/>
    <w:rPr>
      <w:i/>
      <w:iCs/>
    </w:rPr>
  </w:style>
  <w:style w:type="character" w:styleId="HTMLKeyboard">
    <w:name w:val="HTML Keyboard"/>
    <w:semiHidden/>
    <w:rsid w:val="001174E9"/>
    <w:rPr>
      <w:rFonts w:ascii="Courier New" w:hAnsi="Courier New" w:cs="Courier New"/>
      <w:sz w:val="20"/>
      <w:szCs w:val="20"/>
    </w:rPr>
  </w:style>
  <w:style w:type="paragraph" w:styleId="HTMLPreformatted">
    <w:name w:val="HTML Preformatted"/>
    <w:basedOn w:val="Normal"/>
    <w:link w:val="HTMLPreformattedChar"/>
    <w:semiHidden/>
    <w:rsid w:val="001174E9"/>
    <w:rPr>
      <w:rFonts w:ascii="Courier New" w:hAnsi="Courier New" w:cs="Courier New"/>
      <w:sz w:val="20"/>
      <w:lang w:val="es-ES"/>
    </w:rPr>
  </w:style>
  <w:style w:type="character" w:customStyle="1" w:styleId="HTMLPreformattedChar">
    <w:name w:val="HTML Preformatted Char"/>
    <w:basedOn w:val="DefaultParagraphFont"/>
    <w:link w:val="HTMLPreformatted"/>
    <w:semiHidden/>
    <w:rsid w:val="001174E9"/>
    <w:rPr>
      <w:rFonts w:ascii="Courier New" w:hAnsi="Courier New" w:cs="Courier New"/>
      <w:szCs w:val="22"/>
      <w:lang w:val="es-ES"/>
    </w:rPr>
  </w:style>
  <w:style w:type="character" w:styleId="HTMLSample">
    <w:name w:val="HTML Sample"/>
    <w:semiHidden/>
    <w:rsid w:val="001174E9"/>
    <w:rPr>
      <w:rFonts w:ascii="Courier New" w:hAnsi="Courier New" w:cs="Courier New"/>
    </w:rPr>
  </w:style>
  <w:style w:type="character" w:styleId="HTMLTypewriter">
    <w:name w:val="HTML Typewriter"/>
    <w:semiHidden/>
    <w:rsid w:val="001174E9"/>
    <w:rPr>
      <w:rFonts w:ascii="Courier New" w:hAnsi="Courier New" w:cs="Courier New"/>
      <w:sz w:val="20"/>
      <w:szCs w:val="20"/>
    </w:rPr>
  </w:style>
  <w:style w:type="character" w:styleId="HTMLVariable">
    <w:name w:val="HTML Variable"/>
    <w:semiHidden/>
    <w:rsid w:val="001174E9"/>
    <w:rPr>
      <w:i/>
      <w:iCs/>
    </w:rPr>
  </w:style>
  <w:style w:type="character" w:styleId="Hyperlink">
    <w:name w:val="Hyperlink"/>
    <w:semiHidden/>
    <w:rsid w:val="001174E9"/>
    <w:rPr>
      <w:color w:val="0000FF"/>
      <w:u w:val="single"/>
    </w:rPr>
  </w:style>
  <w:style w:type="character" w:styleId="LineNumber">
    <w:name w:val="line number"/>
    <w:basedOn w:val="DefaultParagraphFont"/>
    <w:semiHidden/>
    <w:rsid w:val="001174E9"/>
  </w:style>
  <w:style w:type="paragraph" w:styleId="List">
    <w:name w:val="List"/>
    <w:basedOn w:val="Normal"/>
    <w:semiHidden/>
    <w:rsid w:val="001174E9"/>
    <w:pPr>
      <w:ind w:left="360" w:hanging="360"/>
    </w:pPr>
    <w:rPr>
      <w:lang w:val="es-ES"/>
    </w:rPr>
  </w:style>
  <w:style w:type="paragraph" w:styleId="List2">
    <w:name w:val="List 2"/>
    <w:basedOn w:val="Normal"/>
    <w:semiHidden/>
    <w:rsid w:val="001174E9"/>
    <w:pPr>
      <w:ind w:left="720" w:hanging="360"/>
    </w:pPr>
    <w:rPr>
      <w:lang w:val="es-ES"/>
    </w:rPr>
  </w:style>
  <w:style w:type="paragraph" w:styleId="List3">
    <w:name w:val="List 3"/>
    <w:basedOn w:val="Normal"/>
    <w:semiHidden/>
    <w:rsid w:val="001174E9"/>
    <w:pPr>
      <w:ind w:left="1080" w:hanging="360"/>
    </w:pPr>
    <w:rPr>
      <w:lang w:val="es-ES"/>
    </w:rPr>
  </w:style>
  <w:style w:type="paragraph" w:styleId="List4">
    <w:name w:val="List 4"/>
    <w:basedOn w:val="Normal"/>
    <w:semiHidden/>
    <w:rsid w:val="001174E9"/>
    <w:pPr>
      <w:ind w:left="1440" w:hanging="360"/>
    </w:pPr>
    <w:rPr>
      <w:lang w:val="es-ES"/>
    </w:rPr>
  </w:style>
  <w:style w:type="paragraph" w:styleId="List5">
    <w:name w:val="List 5"/>
    <w:basedOn w:val="Normal"/>
    <w:semiHidden/>
    <w:rsid w:val="001174E9"/>
    <w:pPr>
      <w:ind w:left="1800" w:hanging="360"/>
    </w:pPr>
    <w:rPr>
      <w:lang w:val="es-ES"/>
    </w:rPr>
  </w:style>
  <w:style w:type="paragraph" w:styleId="ListBullet">
    <w:name w:val="List Bullet"/>
    <w:basedOn w:val="Normal"/>
    <w:autoRedefine/>
    <w:semiHidden/>
    <w:rsid w:val="001174E9"/>
    <w:pPr>
      <w:tabs>
        <w:tab w:val="num" w:pos="360"/>
      </w:tabs>
      <w:ind w:left="360" w:hanging="360"/>
    </w:pPr>
    <w:rPr>
      <w:lang w:val="es-ES"/>
    </w:rPr>
  </w:style>
  <w:style w:type="paragraph" w:styleId="ListBullet2">
    <w:name w:val="List Bullet 2"/>
    <w:basedOn w:val="Normal"/>
    <w:autoRedefine/>
    <w:semiHidden/>
    <w:rsid w:val="001174E9"/>
    <w:pPr>
      <w:tabs>
        <w:tab w:val="num" w:pos="720"/>
      </w:tabs>
      <w:ind w:left="720" w:hanging="360"/>
    </w:pPr>
    <w:rPr>
      <w:lang w:val="es-ES"/>
    </w:rPr>
  </w:style>
  <w:style w:type="paragraph" w:styleId="ListBullet3">
    <w:name w:val="List Bullet 3"/>
    <w:basedOn w:val="Normal"/>
    <w:autoRedefine/>
    <w:semiHidden/>
    <w:rsid w:val="001174E9"/>
    <w:pPr>
      <w:tabs>
        <w:tab w:val="num" w:pos="1080"/>
      </w:tabs>
      <w:ind w:left="1080" w:hanging="360"/>
    </w:pPr>
    <w:rPr>
      <w:lang w:val="es-ES"/>
    </w:rPr>
  </w:style>
  <w:style w:type="paragraph" w:styleId="ListBullet4">
    <w:name w:val="List Bullet 4"/>
    <w:basedOn w:val="Normal"/>
    <w:autoRedefine/>
    <w:semiHidden/>
    <w:rsid w:val="001174E9"/>
    <w:pPr>
      <w:tabs>
        <w:tab w:val="num" w:pos="1440"/>
      </w:tabs>
      <w:ind w:left="1440" w:hanging="360"/>
    </w:pPr>
    <w:rPr>
      <w:lang w:val="es-ES"/>
    </w:rPr>
  </w:style>
  <w:style w:type="paragraph" w:styleId="ListBullet5">
    <w:name w:val="List Bullet 5"/>
    <w:basedOn w:val="Normal"/>
    <w:autoRedefine/>
    <w:uiPriority w:val="99"/>
    <w:semiHidden/>
    <w:rsid w:val="001174E9"/>
    <w:pPr>
      <w:tabs>
        <w:tab w:val="num" w:pos="1800"/>
      </w:tabs>
      <w:ind w:left="1800" w:hanging="360"/>
    </w:pPr>
    <w:rPr>
      <w:lang w:val="es-ES"/>
    </w:rPr>
  </w:style>
  <w:style w:type="paragraph" w:styleId="ListContinue">
    <w:name w:val="List Continue"/>
    <w:basedOn w:val="Normal"/>
    <w:semiHidden/>
    <w:rsid w:val="001174E9"/>
    <w:pPr>
      <w:spacing w:after="120"/>
      <w:ind w:left="360"/>
    </w:pPr>
    <w:rPr>
      <w:lang w:val="es-ES"/>
    </w:rPr>
  </w:style>
  <w:style w:type="paragraph" w:styleId="ListContinue2">
    <w:name w:val="List Continue 2"/>
    <w:basedOn w:val="Normal"/>
    <w:semiHidden/>
    <w:rsid w:val="001174E9"/>
    <w:pPr>
      <w:spacing w:after="120"/>
      <w:ind w:left="720"/>
    </w:pPr>
    <w:rPr>
      <w:lang w:val="es-ES"/>
    </w:rPr>
  </w:style>
  <w:style w:type="paragraph" w:styleId="ListContinue3">
    <w:name w:val="List Continue 3"/>
    <w:basedOn w:val="Normal"/>
    <w:semiHidden/>
    <w:rsid w:val="001174E9"/>
    <w:pPr>
      <w:spacing w:after="120"/>
      <w:ind w:left="1080"/>
    </w:pPr>
    <w:rPr>
      <w:lang w:val="es-ES"/>
    </w:rPr>
  </w:style>
  <w:style w:type="paragraph" w:styleId="ListContinue4">
    <w:name w:val="List Continue 4"/>
    <w:basedOn w:val="Normal"/>
    <w:semiHidden/>
    <w:rsid w:val="001174E9"/>
    <w:pPr>
      <w:spacing w:after="120"/>
      <w:ind w:left="1440"/>
    </w:pPr>
    <w:rPr>
      <w:lang w:val="es-ES"/>
    </w:rPr>
  </w:style>
  <w:style w:type="paragraph" w:styleId="ListContinue5">
    <w:name w:val="List Continue 5"/>
    <w:basedOn w:val="Normal"/>
    <w:semiHidden/>
    <w:rsid w:val="001174E9"/>
    <w:pPr>
      <w:spacing w:after="120"/>
      <w:ind w:left="1800"/>
    </w:pPr>
    <w:rPr>
      <w:lang w:val="es-ES"/>
    </w:rPr>
  </w:style>
  <w:style w:type="paragraph" w:styleId="ListNumber">
    <w:name w:val="List Number"/>
    <w:basedOn w:val="Normal"/>
    <w:semiHidden/>
    <w:rsid w:val="001174E9"/>
    <w:pPr>
      <w:tabs>
        <w:tab w:val="num" w:pos="360"/>
      </w:tabs>
      <w:ind w:left="360" w:hanging="360"/>
    </w:pPr>
    <w:rPr>
      <w:lang w:val="es-ES"/>
    </w:rPr>
  </w:style>
  <w:style w:type="paragraph" w:styleId="ListNumber2">
    <w:name w:val="List Number 2"/>
    <w:basedOn w:val="Normal"/>
    <w:semiHidden/>
    <w:rsid w:val="001174E9"/>
    <w:pPr>
      <w:tabs>
        <w:tab w:val="num" w:pos="720"/>
      </w:tabs>
      <w:ind w:left="720" w:hanging="360"/>
    </w:pPr>
    <w:rPr>
      <w:lang w:val="es-ES"/>
    </w:rPr>
  </w:style>
  <w:style w:type="paragraph" w:styleId="ListNumber3">
    <w:name w:val="List Number 3"/>
    <w:basedOn w:val="Normal"/>
    <w:semiHidden/>
    <w:rsid w:val="001174E9"/>
    <w:pPr>
      <w:tabs>
        <w:tab w:val="num" w:pos="1080"/>
      </w:tabs>
      <w:ind w:left="1080" w:hanging="360"/>
    </w:pPr>
    <w:rPr>
      <w:lang w:val="es-ES"/>
    </w:rPr>
  </w:style>
  <w:style w:type="paragraph" w:styleId="ListNumber4">
    <w:name w:val="List Number 4"/>
    <w:basedOn w:val="Normal"/>
    <w:semiHidden/>
    <w:rsid w:val="001174E9"/>
    <w:pPr>
      <w:tabs>
        <w:tab w:val="num" w:pos="1440"/>
      </w:tabs>
      <w:ind w:left="1440" w:hanging="360"/>
    </w:pPr>
    <w:rPr>
      <w:lang w:val="es-ES"/>
    </w:rPr>
  </w:style>
  <w:style w:type="paragraph" w:styleId="ListNumber5">
    <w:name w:val="List Number 5"/>
    <w:basedOn w:val="Normal"/>
    <w:semiHidden/>
    <w:rsid w:val="001174E9"/>
    <w:pPr>
      <w:tabs>
        <w:tab w:val="num" w:pos="1800"/>
      </w:tabs>
      <w:ind w:left="1800" w:hanging="360"/>
    </w:pPr>
    <w:rPr>
      <w:lang w:val="es-ES"/>
    </w:rPr>
  </w:style>
  <w:style w:type="paragraph" w:styleId="MessageHeader">
    <w:name w:val="Message Header"/>
    <w:basedOn w:val="Normal"/>
    <w:link w:val="MessageHeaderChar"/>
    <w:semiHidden/>
    <w:rsid w:val="001174E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s-ES"/>
    </w:rPr>
  </w:style>
  <w:style w:type="character" w:customStyle="1" w:styleId="MessageHeaderChar">
    <w:name w:val="Message Header Char"/>
    <w:basedOn w:val="DefaultParagraphFont"/>
    <w:link w:val="MessageHeader"/>
    <w:semiHidden/>
    <w:rsid w:val="001174E9"/>
    <w:rPr>
      <w:rFonts w:ascii="Arial" w:hAnsi="Arial" w:cs="Arial"/>
      <w:sz w:val="22"/>
      <w:szCs w:val="24"/>
      <w:shd w:val="pct20" w:color="auto" w:fill="auto"/>
      <w:lang w:val="es-ES"/>
    </w:rPr>
  </w:style>
  <w:style w:type="paragraph" w:styleId="NormalWeb">
    <w:name w:val="Normal (Web)"/>
    <w:basedOn w:val="Normal"/>
    <w:uiPriority w:val="99"/>
    <w:semiHidden/>
    <w:rsid w:val="001174E9"/>
    <w:rPr>
      <w:szCs w:val="24"/>
      <w:lang w:val="es-ES"/>
    </w:rPr>
  </w:style>
  <w:style w:type="paragraph" w:styleId="NormalIndent">
    <w:name w:val="Normal Indent"/>
    <w:basedOn w:val="Normal"/>
    <w:semiHidden/>
    <w:rsid w:val="001174E9"/>
    <w:pPr>
      <w:ind w:left="720"/>
    </w:pPr>
    <w:rPr>
      <w:lang w:val="es-ES"/>
    </w:rPr>
  </w:style>
  <w:style w:type="paragraph" w:styleId="NoteHeading">
    <w:name w:val="Note Heading"/>
    <w:basedOn w:val="Normal"/>
    <w:next w:val="Normal"/>
    <w:link w:val="NoteHeadingChar"/>
    <w:semiHidden/>
    <w:rsid w:val="001174E9"/>
    <w:rPr>
      <w:lang w:val="es-ES"/>
    </w:rPr>
  </w:style>
  <w:style w:type="character" w:customStyle="1" w:styleId="NoteHeadingChar">
    <w:name w:val="Note Heading Char"/>
    <w:basedOn w:val="DefaultParagraphFont"/>
    <w:link w:val="NoteHeading"/>
    <w:semiHidden/>
    <w:rsid w:val="001174E9"/>
    <w:rPr>
      <w:sz w:val="22"/>
      <w:szCs w:val="22"/>
      <w:lang w:val="es-ES"/>
    </w:rPr>
  </w:style>
  <w:style w:type="paragraph" w:styleId="Salutation">
    <w:name w:val="Salutation"/>
    <w:basedOn w:val="Normal"/>
    <w:next w:val="Normal"/>
    <w:link w:val="SalutationChar"/>
    <w:semiHidden/>
    <w:rsid w:val="001174E9"/>
    <w:rPr>
      <w:lang w:val="es-ES"/>
    </w:rPr>
  </w:style>
  <w:style w:type="character" w:customStyle="1" w:styleId="SalutationChar">
    <w:name w:val="Salutation Char"/>
    <w:basedOn w:val="DefaultParagraphFont"/>
    <w:link w:val="Salutation"/>
    <w:semiHidden/>
    <w:rsid w:val="001174E9"/>
    <w:rPr>
      <w:sz w:val="22"/>
      <w:szCs w:val="22"/>
      <w:lang w:val="es-ES"/>
    </w:rPr>
  </w:style>
  <w:style w:type="paragraph" w:styleId="Signature">
    <w:name w:val="Signature"/>
    <w:basedOn w:val="Normal"/>
    <w:link w:val="SignatureChar"/>
    <w:semiHidden/>
    <w:rsid w:val="001174E9"/>
    <w:pPr>
      <w:ind w:left="4320"/>
    </w:pPr>
    <w:rPr>
      <w:lang w:val="es-ES"/>
    </w:rPr>
  </w:style>
  <w:style w:type="character" w:customStyle="1" w:styleId="SignatureChar">
    <w:name w:val="Signature Char"/>
    <w:basedOn w:val="DefaultParagraphFont"/>
    <w:link w:val="Signature"/>
    <w:semiHidden/>
    <w:rsid w:val="001174E9"/>
    <w:rPr>
      <w:sz w:val="22"/>
      <w:szCs w:val="22"/>
      <w:lang w:val="es-ES"/>
    </w:rPr>
  </w:style>
  <w:style w:type="character" w:styleId="Strong">
    <w:name w:val="Strong"/>
    <w:qFormat/>
    <w:rsid w:val="001174E9"/>
    <w:rPr>
      <w:b/>
      <w:bCs/>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1174E9"/>
    <w:rPr>
      <w:sz w:val="24"/>
      <w:lang w:val="es-ES" w:eastAsia="en-US" w:bidi="ar-SA"/>
    </w:rPr>
  </w:style>
  <w:style w:type="paragraph" w:customStyle="1" w:styleId="Heading">
    <w:name w:val="Heading"/>
    <w:basedOn w:val="Header"/>
    <w:next w:val="Header"/>
    <w:rsid w:val="001174E9"/>
    <w:pPr>
      <w:tabs>
        <w:tab w:val="clear" w:pos="4320"/>
        <w:tab w:val="clear" w:pos="8640"/>
      </w:tabs>
    </w:pPr>
    <w:rPr>
      <w:b/>
      <w:sz w:val="24"/>
      <w:szCs w:val="20"/>
      <w:u w:val="single"/>
      <w:lang w:val="es-ES"/>
    </w:rPr>
  </w:style>
  <w:style w:type="paragraph" w:customStyle="1" w:styleId="ChapterNumber">
    <w:name w:val="ChapterNumber"/>
    <w:basedOn w:val="Normal"/>
    <w:next w:val="Normal"/>
    <w:rsid w:val="001174E9"/>
    <w:pPr>
      <w:spacing w:after="360"/>
      <w:jc w:val="left"/>
    </w:pPr>
    <w:rPr>
      <w:sz w:val="24"/>
      <w:szCs w:val="20"/>
      <w:lang w:val="es-ES" w:eastAsia="fr-FR"/>
    </w:rPr>
  </w:style>
  <w:style w:type="paragraph" w:customStyle="1" w:styleId="BankNormal">
    <w:name w:val="BankNormal"/>
    <w:basedOn w:val="Normal"/>
    <w:rsid w:val="001174E9"/>
    <w:pPr>
      <w:spacing w:after="240"/>
      <w:jc w:val="left"/>
    </w:pPr>
    <w:rPr>
      <w:sz w:val="24"/>
      <w:szCs w:val="20"/>
      <w:lang w:val="es-ES" w:eastAsia="fr-FR"/>
    </w:rPr>
  </w:style>
  <w:style w:type="paragraph" w:customStyle="1" w:styleId="subhead">
    <w:name w:val="subhead"/>
    <w:basedOn w:val="Normal"/>
    <w:next w:val="Normal"/>
    <w:rsid w:val="001174E9"/>
    <w:pPr>
      <w:tabs>
        <w:tab w:val="left" w:pos="-720"/>
        <w:tab w:val="left" w:pos="0"/>
        <w:tab w:val="left" w:pos="720"/>
        <w:tab w:val="left" w:pos="1440"/>
        <w:tab w:val="left" w:pos="2160"/>
        <w:tab w:val="left" w:pos="2880"/>
        <w:tab w:val="left" w:pos="3600"/>
      </w:tabs>
      <w:jc w:val="center"/>
    </w:pPr>
    <w:rPr>
      <w:sz w:val="24"/>
      <w:szCs w:val="20"/>
      <w:lang w:val="es-ES" w:eastAsia="fr-FR"/>
    </w:rPr>
  </w:style>
  <w:style w:type="paragraph" w:customStyle="1" w:styleId="a-a">
    <w:name w:val="a-(a)"/>
    <w:basedOn w:val="Normal"/>
    <w:next w:val="Normal"/>
    <w:rsid w:val="001174E9"/>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s-ES" w:eastAsia="fr-FR"/>
    </w:rPr>
  </w:style>
  <w:style w:type="paragraph" w:customStyle="1" w:styleId="a-agenda">
    <w:name w:val="a-agenda"/>
    <w:basedOn w:val="Normal"/>
    <w:next w:val="Normal"/>
    <w:rsid w:val="001174E9"/>
    <w:pPr>
      <w:keepNext/>
      <w:keepLines/>
      <w:tabs>
        <w:tab w:val="left" w:pos="-1440"/>
        <w:tab w:val="left" w:pos="-720"/>
        <w:tab w:val="left" w:pos="0"/>
        <w:tab w:val="left" w:pos="720"/>
        <w:tab w:val="left" w:pos="1440"/>
        <w:tab w:val="left" w:pos="2160"/>
        <w:tab w:val="left" w:pos="2880"/>
        <w:tab w:val="left" w:pos="3600"/>
      </w:tabs>
    </w:pPr>
    <w:rPr>
      <w:b/>
      <w:caps/>
      <w:sz w:val="24"/>
      <w:szCs w:val="20"/>
      <w:lang w:val="es-ES" w:eastAsia="fr-FR"/>
    </w:rPr>
  </w:style>
  <w:style w:type="paragraph" w:customStyle="1" w:styleId="a-smalla">
    <w:name w:val="a-small(a)"/>
    <w:basedOn w:val="Normal"/>
    <w:next w:val="Normal"/>
    <w:rsid w:val="001174E9"/>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s-ES" w:eastAsia="fr-FR"/>
    </w:rPr>
  </w:style>
  <w:style w:type="paragraph" w:customStyle="1" w:styleId="a-smalli">
    <w:name w:val="a-small(i)"/>
    <w:basedOn w:val="Normal"/>
    <w:next w:val="Normal"/>
    <w:rsid w:val="001174E9"/>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s-ES" w:eastAsia="fr-FR"/>
    </w:rPr>
  </w:style>
  <w:style w:type="paragraph" w:customStyle="1" w:styleId="a-smalla0">
    <w:name w:val="a-small.a."/>
    <w:basedOn w:val="a-smalli"/>
    <w:next w:val="Normal"/>
    <w:rsid w:val="001174E9"/>
    <w:pPr>
      <w:ind w:left="2880"/>
    </w:pPr>
  </w:style>
  <w:style w:type="character" w:customStyle="1" w:styleId="EquationCaption">
    <w:name w:val="_Equation Caption"/>
    <w:rsid w:val="001174E9"/>
  </w:style>
  <w:style w:type="paragraph" w:customStyle="1" w:styleId="Style1">
    <w:name w:val="Style1"/>
    <w:basedOn w:val="Normal"/>
    <w:rsid w:val="001174E9"/>
    <w:pPr>
      <w:spacing w:after="120"/>
      <w:jc w:val="left"/>
    </w:pPr>
    <w:rPr>
      <w:rFonts w:ascii="Symbol" w:hAnsi="Symbol"/>
      <w:sz w:val="24"/>
      <w:szCs w:val="20"/>
      <w:lang w:val="es-ES" w:eastAsia="fr-FR"/>
    </w:rPr>
  </w:style>
  <w:style w:type="paragraph" w:customStyle="1" w:styleId="wfxRecipient">
    <w:name w:val="wfxRecipient"/>
    <w:basedOn w:val="Normal"/>
    <w:rsid w:val="001174E9"/>
    <w:pPr>
      <w:spacing w:after="120"/>
      <w:jc w:val="left"/>
    </w:pPr>
    <w:rPr>
      <w:sz w:val="24"/>
      <w:szCs w:val="20"/>
      <w:lang w:val="es-ES" w:eastAsia="fr-FR"/>
    </w:rPr>
  </w:style>
  <w:style w:type="paragraph" w:customStyle="1" w:styleId="wfxFaxNum">
    <w:name w:val="wfxFaxNum"/>
    <w:basedOn w:val="Normal"/>
    <w:rsid w:val="001174E9"/>
    <w:pPr>
      <w:spacing w:after="120"/>
      <w:jc w:val="left"/>
    </w:pPr>
    <w:rPr>
      <w:sz w:val="24"/>
      <w:szCs w:val="20"/>
      <w:lang w:val="es-ES" w:eastAsia="fr-FR"/>
    </w:rPr>
  </w:style>
  <w:style w:type="paragraph" w:customStyle="1" w:styleId="FaxBod">
    <w:name w:val="FaxBod"/>
    <w:basedOn w:val="Heading5"/>
    <w:rsid w:val="001174E9"/>
    <w:pPr>
      <w:keepNext w:val="0"/>
      <w:numPr>
        <w:numId w:val="0"/>
      </w:numPr>
      <w:tabs>
        <w:tab w:val="left" w:pos="-540"/>
      </w:tabs>
      <w:ind w:left="450"/>
      <w:jc w:val="left"/>
      <w:outlineLvl w:val="9"/>
    </w:pPr>
    <w:rPr>
      <w:sz w:val="24"/>
      <w:szCs w:val="20"/>
      <w:lang w:val="es-ES"/>
    </w:rPr>
  </w:style>
  <w:style w:type="paragraph" w:customStyle="1" w:styleId="xl34">
    <w:name w:val="xl3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5">
    <w:name w:val="xl3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36">
    <w:name w:val="xl3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7">
    <w:name w:val="xl3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8">
    <w:name w:val="xl3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9">
    <w:name w:val="xl3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0">
    <w:name w:val="xl4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1">
    <w:name w:val="xl4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2">
    <w:name w:val="xl4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3">
    <w:name w:val="xl4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fr-CA"/>
    </w:rPr>
  </w:style>
  <w:style w:type="paragraph" w:customStyle="1" w:styleId="xl44">
    <w:name w:val="xl4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5">
    <w:name w:val="xl4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6">
    <w:name w:val="xl4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7">
    <w:name w:val="xl4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8">
    <w:name w:val="xl4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9">
    <w:name w:val="xl4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country">
    <w:name w:val="country"/>
    <w:basedOn w:val="Normal"/>
    <w:rsid w:val="001174E9"/>
    <w:pPr>
      <w:widowControl w:val="0"/>
      <w:tabs>
        <w:tab w:val="left" w:pos="3600"/>
      </w:tabs>
      <w:autoSpaceDE w:val="0"/>
      <w:autoSpaceDN w:val="0"/>
      <w:adjustRightInd w:val="0"/>
      <w:jc w:val="left"/>
    </w:pPr>
    <w:rPr>
      <w:b/>
      <w:sz w:val="28"/>
      <w:szCs w:val="28"/>
      <w:lang w:val="es-ES"/>
    </w:rPr>
  </w:style>
  <w:style w:type="paragraph" w:customStyle="1" w:styleId="Parastyle">
    <w:name w:val="Para style"/>
    <w:basedOn w:val="Normal"/>
    <w:rsid w:val="001174E9"/>
    <w:pPr>
      <w:widowControl w:val="0"/>
      <w:numPr>
        <w:numId w:val="7"/>
      </w:numPr>
      <w:tabs>
        <w:tab w:val="left" w:pos="90"/>
        <w:tab w:val="left" w:pos="2590"/>
        <w:tab w:val="left" w:pos="7654"/>
        <w:tab w:val="right" w:pos="9964"/>
      </w:tabs>
      <w:autoSpaceDE w:val="0"/>
      <w:autoSpaceDN w:val="0"/>
      <w:adjustRightInd w:val="0"/>
      <w:spacing w:before="377"/>
      <w:jc w:val="left"/>
    </w:pPr>
    <w:rPr>
      <w:sz w:val="24"/>
      <w:szCs w:val="20"/>
      <w:lang w:val="es-ES"/>
    </w:rPr>
  </w:style>
  <w:style w:type="paragraph" w:customStyle="1" w:styleId="xl50">
    <w:name w:val="xl5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rPr>
  </w:style>
  <w:style w:type="paragraph" w:customStyle="1" w:styleId="xl76">
    <w:name w:val="xl7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7">
    <w:name w:val="xl7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8">
    <w:name w:val="xl7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9">
    <w:name w:val="xl7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80">
    <w:name w:val="xl8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1">
    <w:name w:val="xl8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2">
    <w:name w:val="xl8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3">
    <w:name w:val="xl8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s-ES"/>
    </w:rPr>
  </w:style>
  <w:style w:type="paragraph" w:customStyle="1" w:styleId="xl84">
    <w:name w:val="xl8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5">
    <w:name w:val="xl8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6">
    <w:name w:val="xl8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7">
    <w:name w:val="xl8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8">
    <w:name w:val="xl8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9">
    <w:name w:val="xl8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0">
    <w:name w:val="xl9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1">
    <w:name w:val="xl9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2">
    <w:name w:val="xl9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s-ES"/>
    </w:rPr>
  </w:style>
  <w:style w:type="paragraph" w:customStyle="1" w:styleId="xl93">
    <w:name w:val="xl9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4">
    <w:name w:val="xl9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5">
    <w:name w:val="xl9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6">
    <w:name w:val="xl9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7">
    <w:name w:val="xl97"/>
    <w:basedOn w:val="Normal"/>
    <w:rsid w:val="001174E9"/>
    <w:pPr>
      <w:spacing w:before="100" w:beforeAutospacing="1" w:after="100" w:afterAutospacing="1"/>
      <w:jc w:val="left"/>
    </w:pPr>
    <w:rPr>
      <w:b/>
      <w:bCs/>
      <w:sz w:val="16"/>
      <w:szCs w:val="16"/>
      <w:lang w:val="es-ES"/>
    </w:rPr>
  </w:style>
  <w:style w:type="paragraph" w:customStyle="1" w:styleId="xl75">
    <w:name w:val="xl7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s-ES" w:eastAsia="en-CA"/>
    </w:rPr>
  </w:style>
  <w:style w:type="paragraph" w:customStyle="1" w:styleId="xl98">
    <w:name w:val="xl9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eastAsia="en-CA"/>
    </w:rPr>
  </w:style>
  <w:style w:type="paragraph" w:customStyle="1" w:styleId="xl99">
    <w:name w:val="xl99"/>
    <w:basedOn w:val="Normal"/>
    <w:rsid w:val="001174E9"/>
    <w:pPr>
      <w:spacing w:before="100" w:beforeAutospacing="1" w:after="100" w:afterAutospacing="1"/>
      <w:jc w:val="left"/>
    </w:pPr>
    <w:rPr>
      <w:b/>
      <w:bCs/>
      <w:sz w:val="24"/>
      <w:szCs w:val="24"/>
      <w:lang w:val="es-ES" w:eastAsia="en-CA"/>
    </w:rPr>
  </w:style>
  <w:style w:type="paragraph" w:customStyle="1" w:styleId="xl66">
    <w:name w:val="xl66"/>
    <w:basedOn w:val="Normal"/>
    <w:rsid w:val="001174E9"/>
    <w:pPr>
      <w:spacing w:before="100" w:beforeAutospacing="1" w:after="100" w:afterAutospacing="1"/>
      <w:jc w:val="center"/>
      <w:textAlignment w:val="top"/>
    </w:pPr>
    <w:rPr>
      <w:sz w:val="16"/>
      <w:szCs w:val="16"/>
      <w:lang w:val="es-ES" w:eastAsia="en-CA"/>
    </w:rPr>
  </w:style>
  <w:style w:type="paragraph" w:customStyle="1" w:styleId="xl67">
    <w:name w:val="xl67"/>
    <w:basedOn w:val="Normal"/>
    <w:rsid w:val="001174E9"/>
    <w:pPr>
      <w:spacing w:before="100" w:beforeAutospacing="1" w:after="100" w:afterAutospacing="1"/>
      <w:jc w:val="left"/>
    </w:pPr>
    <w:rPr>
      <w:sz w:val="16"/>
      <w:szCs w:val="16"/>
      <w:lang w:val="es-ES" w:eastAsia="en-CA"/>
    </w:rPr>
  </w:style>
  <w:style w:type="paragraph" w:customStyle="1" w:styleId="xl68">
    <w:name w:val="xl6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69">
    <w:name w:val="xl6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0">
    <w:name w:val="xl7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1">
    <w:name w:val="xl7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2">
    <w:name w:val="xl7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xl73">
    <w:name w:val="xl7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4">
    <w:name w:val="xl7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font5">
    <w:name w:val="font5"/>
    <w:basedOn w:val="Normal"/>
    <w:rsid w:val="001174E9"/>
    <w:pPr>
      <w:spacing w:before="100" w:beforeAutospacing="1" w:after="100" w:afterAutospacing="1"/>
      <w:jc w:val="left"/>
    </w:pPr>
    <w:rPr>
      <w:sz w:val="16"/>
      <w:szCs w:val="16"/>
      <w:lang w:val="es-ES" w:eastAsia="en-CA"/>
    </w:rPr>
  </w:style>
  <w:style w:type="paragraph" w:customStyle="1" w:styleId="font6">
    <w:name w:val="font6"/>
    <w:basedOn w:val="Normal"/>
    <w:rsid w:val="001174E9"/>
    <w:pPr>
      <w:spacing w:before="100" w:beforeAutospacing="1" w:after="100" w:afterAutospacing="1"/>
      <w:jc w:val="left"/>
    </w:pPr>
    <w:rPr>
      <w:sz w:val="16"/>
      <w:szCs w:val="16"/>
      <w:lang w:val="es-ES" w:eastAsia="en-CA"/>
    </w:rPr>
  </w:style>
  <w:style w:type="paragraph" w:customStyle="1" w:styleId="xl63">
    <w:name w:val="xl63"/>
    <w:basedOn w:val="Normal"/>
    <w:rsid w:val="001174E9"/>
    <w:pPr>
      <w:spacing w:before="100" w:beforeAutospacing="1" w:after="100" w:afterAutospacing="1"/>
      <w:jc w:val="center"/>
      <w:textAlignment w:val="top"/>
    </w:pPr>
    <w:rPr>
      <w:b/>
      <w:bCs/>
      <w:sz w:val="16"/>
      <w:szCs w:val="16"/>
      <w:lang w:val="es-ES" w:eastAsia="en-CA"/>
    </w:rPr>
  </w:style>
  <w:style w:type="paragraph" w:customStyle="1" w:styleId="xl64">
    <w:name w:val="xl64"/>
    <w:basedOn w:val="Normal"/>
    <w:rsid w:val="001174E9"/>
    <w:pPr>
      <w:spacing w:before="100" w:beforeAutospacing="1" w:after="100" w:afterAutospacing="1"/>
      <w:jc w:val="center"/>
      <w:textAlignment w:val="top"/>
    </w:pPr>
    <w:rPr>
      <w:b/>
      <w:bCs/>
      <w:sz w:val="16"/>
      <w:szCs w:val="16"/>
      <w:lang w:val="es-ES" w:eastAsia="en-CA"/>
    </w:rPr>
  </w:style>
  <w:style w:type="paragraph" w:customStyle="1" w:styleId="xl65">
    <w:name w:val="xl65"/>
    <w:basedOn w:val="Normal"/>
    <w:rsid w:val="001174E9"/>
    <w:pPr>
      <w:spacing w:before="100" w:beforeAutospacing="1" w:after="100" w:afterAutospacing="1"/>
      <w:jc w:val="left"/>
      <w:textAlignment w:val="top"/>
    </w:pPr>
    <w:rPr>
      <w:sz w:val="16"/>
      <w:szCs w:val="16"/>
      <w:lang w:val="es-ES" w:eastAsia="en-CA"/>
    </w:rPr>
  </w:style>
  <w:style w:type="numbering" w:customStyle="1" w:styleId="NoList1">
    <w:name w:val="No List1"/>
    <w:next w:val="NoList"/>
    <w:uiPriority w:val="99"/>
    <w:semiHidden/>
    <w:unhideWhenUsed/>
    <w:rsid w:val="001174E9"/>
  </w:style>
  <w:style w:type="paragraph" w:customStyle="1" w:styleId="Formatvorlage1">
    <w:name w:val="Formatvorlage1"/>
    <w:basedOn w:val="Heading1"/>
    <w:next w:val="Normal"/>
    <w:autoRedefine/>
    <w:qFormat/>
    <w:rsid w:val="001174E9"/>
    <w:pPr>
      <w:tabs>
        <w:tab w:val="num" w:pos="0"/>
      </w:tabs>
      <w:spacing w:after="120"/>
    </w:pPr>
    <w:rPr>
      <w:rFonts w:asciiTheme="minorHAnsi" w:hAnsiTheme="minorHAnsi"/>
      <w:bCs/>
      <w:sz w:val="24"/>
      <w:szCs w:val="24"/>
      <w:lang w:val="es-ES"/>
    </w:rPr>
  </w:style>
  <w:style w:type="paragraph" w:customStyle="1" w:styleId="CH4">
    <w:name w:val="CH4"/>
    <w:basedOn w:val="Normal"/>
    <w:next w:val="Normal"/>
    <w:rsid w:val="001174E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s-ES"/>
    </w:rPr>
  </w:style>
  <w:style w:type="paragraph" w:customStyle="1" w:styleId="Normalpool">
    <w:name w:val="Normal_pool"/>
    <w:link w:val="NormalpoolChar"/>
    <w:rsid w:val="001174E9"/>
    <w:pPr>
      <w:tabs>
        <w:tab w:val="left" w:pos="1247"/>
        <w:tab w:val="left" w:pos="1814"/>
        <w:tab w:val="left" w:pos="2381"/>
        <w:tab w:val="left" w:pos="2948"/>
        <w:tab w:val="left" w:pos="3515"/>
        <w:tab w:val="left" w:pos="4082"/>
      </w:tabs>
    </w:pPr>
    <w:rPr>
      <w:lang w:val="es-ES"/>
    </w:rPr>
  </w:style>
  <w:style w:type="character" w:customStyle="1" w:styleId="NormalpoolChar">
    <w:name w:val="Normal_pool Char"/>
    <w:link w:val="Normalpool"/>
    <w:locked/>
    <w:rsid w:val="001174E9"/>
    <w:rPr>
      <w:lang w:val="es-ES"/>
    </w:rPr>
  </w:style>
  <w:style w:type="paragraph" w:customStyle="1" w:styleId="msonormal0">
    <w:name w:val="msonormal"/>
    <w:basedOn w:val="Normal"/>
    <w:uiPriority w:val="99"/>
    <w:rsid w:val="001174E9"/>
    <w:pPr>
      <w:spacing w:before="100" w:beforeAutospacing="1" w:after="100" w:afterAutospacing="1"/>
      <w:jc w:val="left"/>
    </w:pPr>
    <w:rPr>
      <w:sz w:val="24"/>
      <w:szCs w:val="24"/>
      <w:lang w:val="es-ES" w:eastAsia="en-CA"/>
    </w:rPr>
  </w:style>
  <w:style w:type="character" w:customStyle="1" w:styleId="Ttulo1Car1">
    <w:name w:val="Título 1 Car1"/>
    <w:aliases w:val="Para (1) Car1,Heading 1 Char Car1,Heading 1 Char3 Char Car1,Heading 1 Char Char1 Char Car1,Heading 1 Char1 Char Char1 Char Car1,Heading 1 Char Char Char Char1 Char1 Car1,Para (1) Char Char Char Char1 Char Car1,Heading 1 Char3 Car1"/>
    <w:basedOn w:val="DefaultParagraphFont"/>
    <w:uiPriority w:val="9"/>
    <w:rsid w:val="000D7CEA"/>
    <w:rPr>
      <w:rFonts w:asciiTheme="majorHAnsi" w:eastAsiaTheme="majorEastAsia" w:hAnsiTheme="majorHAnsi" w:cstheme="majorBidi"/>
      <w:color w:val="365F91" w:themeColor="accent1" w:themeShade="BF"/>
      <w:sz w:val="32"/>
      <w:szCs w:val="32"/>
    </w:rPr>
  </w:style>
  <w:style w:type="character" w:customStyle="1" w:styleId="Ttulo2Car1">
    <w:name w:val="Título 2 Car1"/>
    <w:aliases w:val="SubPara (a) Car1,Heading 2 Char3 Car1,Heading 2 Char Char2 Car1,Heading 2 Char1 Char Char1 Car1,SubPara (a) Char Char Char1 Car1,Heading 2 Char Char Char Char1 Car1,Heading 2 Char1 Char Char Char Char1 Car1,Heading 2 Char1 Car1"/>
    <w:basedOn w:val="DefaultParagraphFont"/>
    <w:uiPriority w:val="9"/>
    <w:semiHidden/>
    <w:rsid w:val="000D7CEA"/>
    <w:rPr>
      <w:rFonts w:asciiTheme="majorHAnsi" w:eastAsiaTheme="majorEastAsia" w:hAnsiTheme="majorHAnsi" w:cstheme="majorBidi"/>
      <w:color w:val="365F91" w:themeColor="accent1" w:themeShade="BF"/>
      <w:sz w:val="26"/>
      <w:szCs w:val="26"/>
    </w:rPr>
  </w:style>
  <w:style w:type="character" w:customStyle="1" w:styleId="Ttulo3Car1">
    <w:name w:val="Título 3 Car1"/>
    <w:aliases w:val="Char Car1,Char Char Car1,Heading 3 Char Car1,Heading 3 Char1 Car1,Heading 3 Char Char Car1,Char Char Char Car1,Char Char1 Car1,Heading 3 Char1 Char Car1,Heading 3 Char Char Char Car1,Char Char Char Char Car1,Char Char1 Char Car1"/>
    <w:basedOn w:val="DefaultParagraphFont"/>
    <w:uiPriority w:val="9"/>
    <w:semiHidden/>
    <w:rsid w:val="000D7CEA"/>
    <w:rPr>
      <w:rFonts w:asciiTheme="majorHAnsi" w:eastAsiaTheme="majorEastAsia" w:hAnsiTheme="majorHAnsi" w:cstheme="majorBidi"/>
      <w:color w:val="243F60" w:themeColor="accent1" w:themeShade="7F"/>
      <w:sz w:val="24"/>
      <w:szCs w:val="24"/>
    </w:rPr>
  </w:style>
  <w:style w:type="character" w:customStyle="1" w:styleId="Ttulo4Car1">
    <w:name w:val="Título 4 Car1"/>
    <w:aliases w:val="Heading 11 Car1,para 4 Car1,Título 41 Car1,heading 4 Car1,Heading 41 Car1,标题 41 Car1"/>
    <w:basedOn w:val="DefaultParagraphFont"/>
    <w:uiPriority w:val="9"/>
    <w:semiHidden/>
    <w:rsid w:val="000D7CEA"/>
    <w:rPr>
      <w:rFonts w:asciiTheme="majorHAnsi" w:eastAsiaTheme="majorEastAsia" w:hAnsiTheme="majorHAnsi" w:cstheme="majorBidi"/>
      <w:i/>
      <w:iCs/>
      <w:color w:val="365F91" w:themeColor="accent1" w:themeShade="BF"/>
      <w:sz w:val="22"/>
      <w:szCs w:val="22"/>
    </w:rPr>
  </w:style>
  <w:style w:type="character" w:customStyle="1" w:styleId="TextonotapieCar1">
    <w:name w:val="Texto nota pie Car1"/>
    <w:aliases w:val="Char1 Car1,Char1 Char Char Car1,Fußnotentextf Car1,FOOTNOTES Car1,fn Car1,single space Car1,Footnote Car1,Footnote Text Char1 Char Car1,Footnote Text Char Char Char Car1,Footnote Text Char1 Char Char Char Car1"/>
    <w:basedOn w:val="DefaultParagraphFont"/>
    <w:uiPriority w:val="99"/>
    <w:semiHidden/>
    <w:rsid w:val="000D7CEA"/>
    <w:rPr>
      <w:lang w:val="es-ES"/>
    </w:rPr>
  </w:style>
  <w:style w:type="paragraph" w:styleId="NoSpacing">
    <w:name w:val="No Spacing"/>
    <w:uiPriority w:val="1"/>
    <w:qFormat/>
    <w:rsid w:val="000D7CEA"/>
    <w:pPr>
      <w:jc w:val="both"/>
    </w:pPr>
    <w:rPr>
      <w:sz w:val="22"/>
      <w:szCs w:val="22"/>
      <w:lang w:val="es-ES"/>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0D7CEA"/>
    <w:rPr>
      <w:rFonts w:ascii="Calibri" w:hAnsi="Calibri" w:cs="Calibri"/>
      <w:sz w:val="22"/>
      <w:szCs w:val="22"/>
      <w:lang w:val="es-ES"/>
    </w:rPr>
  </w:style>
  <w:style w:type="paragraph" w:customStyle="1" w:styleId="LightGrid-Accent31">
    <w:name w:val="Light Grid - Accent 31"/>
    <w:basedOn w:val="Normal"/>
    <w:uiPriority w:val="34"/>
    <w:qFormat/>
    <w:rsid w:val="000D7CEA"/>
    <w:pPr>
      <w:ind w:left="720"/>
      <w:contextualSpacing/>
    </w:pPr>
    <w:rPr>
      <w:rFonts w:eastAsia="SimSun"/>
      <w:lang w:val="es-ES"/>
    </w:rPr>
  </w:style>
  <w:style w:type="paragraph" w:customStyle="1" w:styleId="Footer1">
    <w:name w:val="Footer1"/>
    <w:basedOn w:val="Normal"/>
    <w:uiPriority w:val="99"/>
    <w:rsid w:val="000D7CEA"/>
    <w:pPr>
      <w:widowControl w:val="0"/>
      <w:tabs>
        <w:tab w:val="center" w:pos="4320"/>
        <w:tab w:val="right" w:pos="8640"/>
        <w:tab w:val="left" w:pos="9000"/>
      </w:tabs>
      <w:snapToGrid w:val="0"/>
      <w:jc w:val="left"/>
    </w:pPr>
    <w:rPr>
      <w:sz w:val="20"/>
      <w:szCs w:val="20"/>
      <w:lang w:val="es-ES"/>
    </w:rPr>
  </w:style>
  <w:style w:type="paragraph" w:customStyle="1" w:styleId="NormalIndent1">
    <w:name w:val="Normal Indent1"/>
    <w:basedOn w:val="Normal"/>
    <w:uiPriority w:val="99"/>
    <w:rsid w:val="000D7CEA"/>
    <w:pPr>
      <w:widowControl w:val="0"/>
      <w:ind w:firstLineChars="200" w:firstLine="420"/>
    </w:pPr>
    <w:rPr>
      <w:rFonts w:eastAsia="SimSun"/>
      <w:kern w:val="2"/>
      <w:sz w:val="21"/>
      <w:szCs w:val="20"/>
      <w:lang w:val="es-ES" w:eastAsia="zh-CN"/>
    </w:rPr>
  </w:style>
  <w:style w:type="paragraph" w:customStyle="1" w:styleId="Projecthead">
    <w:name w:val="Project head"/>
    <w:basedOn w:val="Normal"/>
    <w:uiPriority w:val="99"/>
    <w:qFormat/>
    <w:rsid w:val="000D7CEA"/>
    <w:pPr>
      <w:spacing w:after="240" w:line="360" w:lineRule="auto"/>
      <w:jc w:val="left"/>
    </w:pPr>
    <w:rPr>
      <w:i/>
      <w:sz w:val="24"/>
      <w:szCs w:val="24"/>
      <w:lang w:val="es-ES"/>
    </w:rPr>
  </w:style>
  <w:style w:type="table" w:customStyle="1" w:styleId="TableGrid30">
    <w:name w:val="Table Grid3"/>
    <w:basedOn w:val="TableNormal"/>
    <w:qFormat/>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0D7CEA"/>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UNEP/OzL.Pro/ExCom/88/68</Document_x0020_Number>
  </documentManagement>
</p:properties>
</file>

<file path=customXml/itemProps1.xml><?xml version="1.0" encoding="utf-8"?>
<ds:datastoreItem xmlns:ds="http://schemas.openxmlformats.org/officeDocument/2006/customXml" ds:itemID="{91673560-C170-4998-8C6C-DEF3D86B2CDA}"/>
</file>

<file path=customXml/itemProps2.xml><?xml version="1.0" encoding="utf-8"?>
<ds:datastoreItem xmlns:ds="http://schemas.openxmlformats.org/officeDocument/2006/customXml" ds:itemID="{2AA3575A-239B-4190-BD1D-2739E2C2DD1D}"/>
</file>

<file path=customXml/itemProps3.xml><?xml version="1.0" encoding="utf-8"?>
<ds:datastoreItem xmlns:ds="http://schemas.openxmlformats.org/officeDocument/2006/customXml" ds:itemID="{6FEDBE2B-FE89-4AB6-82BF-5F8FF7E995C9}"/>
</file>

<file path=customXml/itemProps4.xml><?xml version="1.0" encoding="utf-8"?>
<ds:datastoreItem xmlns:ds="http://schemas.openxmlformats.org/officeDocument/2006/customXml" ds:itemID="{2B12AB66-0E9F-49B5-AEF5-5ABA526EB121}"/>
</file>

<file path=docProps/app.xml><?xml version="1.0" encoding="utf-8"?>
<Properties xmlns="http://schemas.openxmlformats.org/officeDocument/2006/extended-properties" xmlns:vt="http://schemas.openxmlformats.org/officeDocument/2006/docPropsVTypes">
  <Template>Normal</Template>
  <TotalTime>3</TotalTime>
  <Pages>7</Pages>
  <Words>3483</Words>
  <Characters>19858</Characters>
  <Application>Microsoft Office Word</Application>
  <DocSecurity>0</DocSecurity>
  <Lines>165</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Análisis del régimen de costos administrativos y financiación de las unidades centrales (decisión 86/92 c))</vt:lpstr>
      <vt:lpstr/>
    </vt:vector>
  </TitlesOfParts>
  <Company>UNMFS</Company>
  <LinksUpToDate>false</LinksUpToDate>
  <CharactersWithSpaces>23295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del régimen de costos administrativos y financiación de las unidades centrales (decisión 86/92 c))</dc:title>
  <dc:creator>Mulu Alem</dc:creator>
  <cp:lastModifiedBy>HBE</cp:lastModifiedBy>
  <cp:revision>3</cp:revision>
  <cp:lastPrinted>2001-05-26T16:40:00Z</cp:lastPrinted>
  <dcterms:created xsi:type="dcterms:W3CDTF">2021-11-08T16:51:00Z</dcterms:created>
  <dcterms:modified xsi:type="dcterms:W3CDTF">2021-11-22T15:05:00Z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UNEP/OzL.Pro/ExCom/88/68</vt:lpwstr>
  </property>
  <property fmtid="{D5CDD505-2E9C-101B-9397-08002B2CF9AE}" pid="3" name="Revision date">
    <vt:lpwstr>11/12/2021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