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-10422</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1462DF">
              <w:rPr>
                <w:lang w:val="es-ES"/>
              </w:rPr>
              <w:t>UNEP/</w:t>
            </w:r>
            <w:proofErr w:type="spellStart"/>
            <w:r w:rsidR="001462DF">
              <w:rPr>
                <w:lang w:val="es-ES"/>
              </w:rPr>
              <w:t>OzL.Pro</w:t>
            </w:r>
            <w:proofErr w:type="spellEnd"/>
            <w:r w:rsidR="001462DF">
              <w:rPr>
                <w:lang w:val="es-ES"/>
              </w:rPr>
              <w:t>/</w:t>
            </w:r>
            <w:proofErr w:type="spellStart"/>
            <w:r w:rsidR="001462DF">
              <w:rPr>
                <w:lang w:val="es-ES"/>
              </w:rPr>
              <w:t>ExCom</w:t>
            </w:r>
            <w:proofErr w:type="spellEnd"/>
            <w:r w:rsidR="001462DF">
              <w:rPr>
                <w:lang w:val="es-ES"/>
              </w:rPr>
              <w:t>/84/27</w:t>
            </w:r>
            <w:r>
              <w:fldChar w:fldCharType="end"/>
            </w:r>
          </w:p>
          <w:p w:rsidR="0087455A" w:rsidRDefault="00F5437B" w:rsidP="00F10CD9">
            <w:pPr>
              <w:rPr>
                <w:caps/>
                <w:lang w:val="es-ES"/>
              </w:rPr>
            </w:pPr>
            <w:r>
              <w:rPr>
                <w:caps/>
                <w:lang w:val="es-ES"/>
              </w:rPr>
              <w:t>20</w:t>
            </w:r>
            <w:r w:rsidR="00114CAA">
              <w:rPr>
                <w:caps/>
                <w:lang w:val="es-ES"/>
              </w:rPr>
              <w:t xml:space="preserve"> </w:t>
            </w:r>
            <w:r w:rsidR="00114CAA">
              <w:rPr>
                <w:lang w:val="es-ES"/>
              </w:rPr>
              <w:t xml:space="preserve">de </w:t>
            </w:r>
            <w:r>
              <w:rPr>
                <w:lang w:val="es-ES"/>
              </w:rPr>
              <w:t>noviembre</w:t>
            </w:r>
            <w:r w:rsidR="00114CAA">
              <w:rPr>
                <w:lang w:val="es-ES"/>
              </w:rPr>
              <w:t xml:space="preserve"> de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660FD" w:rsidRDefault="008660FD" w:rsidP="00106F6E">
      <w:pPr>
        <w:jc w:val="left"/>
        <w:rPr>
          <w:lang w:val="es-ES"/>
        </w:rPr>
      </w:pPr>
    </w:p>
    <w:p w:rsidR="008660FD" w:rsidRDefault="008660FD" w:rsidP="00106F6E">
      <w:pPr>
        <w:jc w:val="left"/>
        <w:rPr>
          <w:lang w:val="es-ES"/>
        </w:rPr>
      </w:pPr>
    </w:p>
    <w:p w:rsidR="0087455A" w:rsidRDefault="0087455A">
      <w:pPr>
        <w:jc w:val="left"/>
        <w:rPr>
          <w:lang w:val="es-ES"/>
        </w:rPr>
      </w:pPr>
    </w:p>
    <w:p w:rsidR="008660FD" w:rsidRDefault="00777755" w:rsidP="00777755">
      <w:pPr>
        <w:pStyle w:val="Title2"/>
        <w:rPr>
          <w:caps w:val="0"/>
          <w:szCs w:val="24"/>
        </w:rPr>
      </w:pPr>
      <w:r>
        <w:rPr>
          <w:caps w:val="0"/>
          <w:szCs w:val="24"/>
        </w:rPr>
        <w:t xml:space="preserve">PLANES ADMINISTRATIVOS DE LOS ORGANISMOS BILATERALES </w:t>
      </w:r>
    </w:p>
    <w:p w:rsidR="00777755" w:rsidRPr="002A5E38" w:rsidRDefault="00777755" w:rsidP="00777755">
      <w:pPr>
        <w:pStyle w:val="Title2"/>
        <w:rPr>
          <w:caps w:val="0"/>
          <w:szCs w:val="24"/>
        </w:rPr>
      </w:pPr>
      <w:r>
        <w:rPr>
          <w:caps w:val="0"/>
          <w:szCs w:val="24"/>
        </w:rPr>
        <w:t>PARA EL PERÍODO 2020</w:t>
      </w:r>
      <w:r>
        <w:t>–</w:t>
      </w:r>
      <w:r>
        <w:rPr>
          <w:caps w:val="0"/>
          <w:szCs w:val="24"/>
        </w:rPr>
        <w:t>2022</w:t>
      </w:r>
    </w:p>
    <w:p w:rsidR="00777755" w:rsidRDefault="00777755" w:rsidP="00777755">
      <w:pPr>
        <w:pStyle w:val="Title2"/>
        <w:rPr>
          <w:caps w:val="0"/>
          <w:szCs w:val="24"/>
        </w:rPr>
      </w:pPr>
    </w:p>
    <w:p w:rsidR="008660FD" w:rsidRPr="00DF4DDF" w:rsidRDefault="008660FD" w:rsidP="00777755">
      <w:pPr>
        <w:pStyle w:val="Title2"/>
        <w:rPr>
          <w:caps w:val="0"/>
          <w:szCs w:val="24"/>
        </w:rPr>
      </w:pPr>
    </w:p>
    <w:p w:rsidR="00777755" w:rsidRPr="002A5E38" w:rsidRDefault="00777755" w:rsidP="00777755">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Introducción</w:t>
      </w:r>
    </w:p>
    <w:p w:rsidR="00777755" w:rsidRPr="002A5E38" w:rsidRDefault="00777755" w:rsidP="00777755">
      <w:pPr>
        <w:rPr>
          <w:lang w:val="en-CA"/>
        </w:rPr>
      </w:pPr>
    </w:p>
    <w:p w:rsidR="00777755" w:rsidRPr="00DF4DDF" w:rsidRDefault="00777755" w:rsidP="00777755">
      <w:pPr>
        <w:pStyle w:val="Heading1"/>
        <w:rPr>
          <w:lang w:val="es-ES"/>
        </w:rPr>
      </w:pPr>
      <w:r w:rsidRPr="00DF4DDF">
        <w:rPr>
          <w:lang w:val="es-ES"/>
        </w:rPr>
        <w:t xml:space="preserve"> Los siguientes organismos bilaterales presentaron planes administrativos correspondientes a los años 2020-2022 a la 84ª reunión: Alemania y Australia.</w:t>
      </w:r>
      <w:r w:rsidRPr="002A5E38">
        <w:rPr>
          <w:vertAlign w:val="superscript"/>
        </w:rPr>
        <w:footnoteReference w:id="1"/>
      </w:r>
      <w:r w:rsidRPr="00DF4DDF">
        <w:rPr>
          <w:lang w:val="es-ES"/>
        </w:rPr>
        <w:t xml:space="preserve"> Si bien Francia, Italia y Japón no presentaron oficialmente un plan administrativo, en el presente documento se ha incluido un cuadro con la asignación de recursos para Francia, Italia y Japón, sobre la base de las actividades relativas a los planes de gestión de la eliminación de los HCFC aprobados en principio.</w:t>
      </w:r>
    </w:p>
    <w:p w:rsidR="00777755" w:rsidRPr="00DF4DDF" w:rsidRDefault="00777755" w:rsidP="00777755">
      <w:pPr>
        <w:pStyle w:val="Heading1"/>
        <w:rPr>
          <w:lang w:val="es-ES"/>
        </w:rPr>
      </w:pPr>
      <w:r w:rsidRPr="00DF4DDF">
        <w:rPr>
          <w:lang w:val="es-ES"/>
        </w:rPr>
        <w:t xml:space="preserve">La intención de los organismos bilaterales es tener actividades en 16 países que operan al amparo del Artículo 5, a saber: Brasil, China, Colombia, India, Irán (República Islámica del), </w:t>
      </w:r>
      <w:proofErr w:type="spellStart"/>
      <w:r w:rsidRPr="00DF4DDF">
        <w:rPr>
          <w:lang w:val="es-ES"/>
        </w:rPr>
        <w:t>Kenya</w:t>
      </w:r>
      <w:proofErr w:type="spellEnd"/>
      <w:r w:rsidRPr="00DF4DDF">
        <w:rPr>
          <w:lang w:val="es-ES"/>
        </w:rPr>
        <w:t xml:space="preserve">, </w:t>
      </w:r>
      <w:proofErr w:type="spellStart"/>
      <w:r w:rsidRPr="00DF4DDF">
        <w:rPr>
          <w:lang w:val="es-ES"/>
        </w:rPr>
        <w:t>Lesotho</w:t>
      </w:r>
      <w:proofErr w:type="spellEnd"/>
      <w:r w:rsidRPr="00DF4DDF">
        <w:rPr>
          <w:lang w:val="es-ES"/>
        </w:rPr>
        <w:t xml:space="preserve">, Liberia, Mauricio, Namibia, Nigeria, </w:t>
      </w:r>
      <w:proofErr w:type="spellStart"/>
      <w:r w:rsidRPr="00DF4DDF">
        <w:rPr>
          <w:lang w:val="es-ES"/>
        </w:rPr>
        <w:t>Papua</w:t>
      </w:r>
      <w:proofErr w:type="spellEnd"/>
      <w:r w:rsidRPr="00DF4DDF">
        <w:rPr>
          <w:lang w:val="es-ES"/>
        </w:rPr>
        <w:t xml:space="preserve"> Nueva Guinea, República Democrática Popular Lao, Seychelles, </w:t>
      </w:r>
      <w:proofErr w:type="spellStart"/>
      <w:r w:rsidRPr="00DF4DDF">
        <w:rPr>
          <w:lang w:val="es-ES"/>
        </w:rPr>
        <w:t>Viet</w:t>
      </w:r>
      <w:proofErr w:type="spellEnd"/>
      <w:r w:rsidRPr="00DF4DDF">
        <w:rPr>
          <w:lang w:val="es-ES"/>
        </w:rPr>
        <w:t xml:space="preserve"> </w:t>
      </w:r>
      <w:proofErr w:type="spellStart"/>
      <w:r w:rsidRPr="00DF4DDF">
        <w:rPr>
          <w:lang w:val="es-ES"/>
        </w:rPr>
        <w:t>Nam</w:t>
      </w:r>
      <w:proofErr w:type="spellEnd"/>
      <w:r w:rsidRPr="00DF4DDF">
        <w:rPr>
          <w:lang w:val="es-ES"/>
        </w:rPr>
        <w:t xml:space="preserve"> y </w:t>
      </w:r>
      <w:proofErr w:type="spellStart"/>
      <w:r w:rsidRPr="00DF4DDF">
        <w:rPr>
          <w:lang w:val="es-ES"/>
        </w:rPr>
        <w:t>Zimbabwe</w:t>
      </w:r>
      <w:proofErr w:type="spellEnd"/>
      <w:r w:rsidRPr="00DF4DDF">
        <w:rPr>
          <w:lang w:val="es-ES"/>
        </w:rPr>
        <w:t>; y una actividad regional para los países insulares del Pacífico por un valor de 10.531.037 $EUA. Se pedirían 2.857.975 $EUA más para el período posterior a 2022, como se indica en el cuadro 1.</w:t>
      </w:r>
      <w:r w:rsidRPr="002A5E38">
        <w:rPr>
          <w:rStyle w:val="FootnoteReference"/>
        </w:rPr>
        <w:footnoteReference w:id="2"/>
      </w:r>
      <w:r w:rsidRPr="00DF4DDF">
        <w:rPr>
          <w:lang w:val="es-ES"/>
        </w:rPr>
        <w:t xml:space="preserve"> </w:t>
      </w:r>
    </w:p>
    <w:p w:rsidR="00777755" w:rsidRPr="00DF4DDF" w:rsidRDefault="00777755" w:rsidP="00777755">
      <w:pPr>
        <w:keepNext/>
        <w:rPr>
          <w:b/>
          <w:lang w:val="es-ES"/>
        </w:rPr>
      </w:pPr>
      <w:r w:rsidRPr="00DF4DDF">
        <w:rPr>
          <w:b/>
          <w:lang w:val="es-ES"/>
        </w:rPr>
        <w:lastRenderedPageBreak/>
        <w:t>Cuadro 1.</w:t>
      </w:r>
      <w:r w:rsidRPr="00DF4DDF">
        <w:rPr>
          <w:lang w:val="es-ES"/>
        </w:rPr>
        <w:t xml:space="preserve"> </w:t>
      </w:r>
      <w:r w:rsidRPr="00DF4DDF">
        <w:rPr>
          <w:b/>
          <w:lang w:val="es-ES"/>
        </w:rPr>
        <w:t xml:space="preserve">Asignación de recursos en los planes administrativos de los organismos bilaterales para el período </w:t>
      </w:r>
      <w:r w:rsidRPr="00DF4DDF">
        <w:rPr>
          <w:b/>
          <w:caps/>
          <w:szCs w:val="24"/>
          <w:lang w:val="es-ES"/>
        </w:rPr>
        <w:t>2020-2022</w:t>
      </w:r>
      <w:r w:rsidRPr="00DF4DDF">
        <w:rPr>
          <w:b/>
          <w:lang w:val="es-ES"/>
        </w:rPr>
        <w:t xml:space="preserve"> ($</w:t>
      </w:r>
      <w:proofErr w:type="gramStart"/>
      <w:r w:rsidRPr="00DF4DDF">
        <w:rPr>
          <w:b/>
          <w:lang w:val="es-ES"/>
        </w:rPr>
        <w:t>EUA)*</w:t>
      </w:r>
      <w:proofErr w:type="gramEnd"/>
    </w:p>
    <w:tbl>
      <w:tblPr>
        <w:tblW w:w="9356" w:type="dxa"/>
        <w:tblInd w:w="-5" w:type="dxa"/>
        <w:tblLook w:val="04A0" w:firstRow="1" w:lastRow="0" w:firstColumn="1" w:lastColumn="0" w:noHBand="0" w:noVBand="1"/>
      </w:tblPr>
      <w:tblGrid>
        <w:gridCol w:w="2410"/>
        <w:gridCol w:w="1418"/>
        <w:gridCol w:w="1275"/>
        <w:gridCol w:w="1276"/>
        <w:gridCol w:w="1418"/>
        <w:gridCol w:w="1559"/>
      </w:tblGrid>
      <w:tr w:rsidR="00777755" w:rsidRPr="002A5E38" w:rsidTr="00585BEB">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b/>
                <w:bCs/>
                <w:sz w:val="20"/>
                <w:szCs w:val="20"/>
                <w:lang w:val="es-ES"/>
              </w:rPr>
            </w:pPr>
            <w:r w:rsidRPr="00DF4DDF">
              <w:rPr>
                <w:b/>
                <w:bCs/>
                <w:sz w:val="20"/>
                <w:szCs w:val="20"/>
                <w:lang w:val="es-ES"/>
              </w:rPr>
              <w:t> </w:t>
            </w:r>
          </w:p>
        </w:tc>
        <w:tc>
          <w:tcPr>
            <w:tcW w:w="1418"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0"/>
                <w:szCs w:val="20"/>
              </w:rPr>
            </w:pPr>
            <w:r>
              <w:rPr>
                <w:b/>
                <w:bCs/>
                <w:sz w:val="20"/>
                <w:szCs w:val="20"/>
              </w:rPr>
              <w:t>2020</w:t>
            </w:r>
          </w:p>
        </w:tc>
        <w:tc>
          <w:tcPr>
            <w:tcW w:w="1275"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0"/>
                <w:szCs w:val="20"/>
              </w:rPr>
            </w:pPr>
            <w:r>
              <w:rPr>
                <w:b/>
                <w:bCs/>
                <w:sz w:val="20"/>
                <w:szCs w:val="20"/>
              </w:rPr>
              <w:t>2021</w:t>
            </w:r>
          </w:p>
        </w:tc>
        <w:tc>
          <w:tcPr>
            <w:tcW w:w="1276"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0"/>
                <w:szCs w:val="20"/>
              </w:rPr>
            </w:pPr>
            <w:r>
              <w:rPr>
                <w:b/>
                <w:bCs/>
                <w:sz w:val="20"/>
                <w:szCs w:val="20"/>
              </w:rPr>
              <w:t>2022</w:t>
            </w:r>
          </w:p>
        </w:tc>
        <w:tc>
          <w:tcPr>
            <w:tcW w:w="1418"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0"/>
                <w:szCs w:val="20"/>
              </w:rPr>
            </w:pPr>
            <w:r>
              <w:rPr>
                <w:b/>
                <w:bCs/>
                <w:sz w:val="20"/>
                <w:szCs w:val="20"/>
              </w:rPr>
              <w:t xml:space="preserve">Total </w:t>
            </w:r>
          </w:p>
          <w:p w:rsidR="00777755" w:rsidRPr="002A5E38" w:rsidRDefault="00777755" w:rsidP="00E00293">
            <w:pPr>
              <w:jc w:val="center"/>
              <w:rPr>
                <w:b/>
                <w:bCs/>
                <w:sz w:val="20"/>
                <w:szCs w:val="20"/>
              </w:rPr>
            </w:pPr>
            <w:r>
              <w:rPr>
                <w:b/>
                <w:bCs/>
                <w:sz w:val="20"/>
                <w:szCs w:val="20"/>
              </w:rPr>
              <w:t>(2020–2022)</w:t>
            </w:r>
          </w:p>
        </w:tc>
        <w:tc>
          <w:tcPr>
            <w:tcW w:w="1559"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0"/>
                <w:szCs w:val="20"/>
              </w:rPr>
            </w:pPr>
            <w:r>
              <w:rPr>
                <w:b/>
                <w:bCs/>
                <w:sz w:val="20"/>
                <w:szCs w:val="20"/>
              </w:rPr>
              <w:t xml:space="preserve">Total </w:t>
            </w:r>
            <w:proofErr w:type="spellStart"/>
            <w:r>
              <w:rPr>
                <w:b/>
                <w:bCs/>
                <w:sz w:val="20"/>
                <w:szCs w:val="20"/>
              </w:rPr>
              <w:t>después</w:t>
            </w:r>
            <w:proofErr w:type="spellEnd"/>
            <w:r>
              <w:rPr>
                <w:b/>
                <w:bCs/>
                <w:sz w:val="20"/>
                <w:szCs w:val="20"/>
              </w:rPr>
              <w:t xml:space="preserve"> de 2022</w:t>
            </w:r>
          </w:p>
        </w:tc>
      </w:tr>
      <w:tr w:rsidR="00777755" w:rsidRPr="002A5E38" w:rsidTr="00585BEB">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0"/>
                <w:szCs w:val="20"/>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585BE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0"/>
                <w:szCs w:val="20"/>
                <w:lang w:val="es-ES"/>
              </w:rPr>
            </w:pPr>
            <w:r w:rsidRPr="00DF4DDF">
              <w:rPr>
                <w:sz w:val="20"/>
                <w:szCs w:val="20"/>
                <w:lang w:val="es-ES"/>
              </w:rPr>
              <w:t>Planes de gestión de la eliminación de los HCFC aprobados</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5.700.099</w:t>
            </w:r>
          </w:p>
        </w:tc>
        <w:tc>
          <w:tcPr>
            <w:tcW w:w="1275"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2.484.632</w:t>
            </w:r>
          </w:p>
        </w:tc>
        <w:tc>
          <w:tcPr>
            <w:tcW w:w="1276"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1.963.806</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10.148.537</w:t>
            </w:r>
          </w:p>
        </w:tc>
        <w:tc>
          <w:tcPr>
            <w:tcW w:w="1559"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2.415.475</w:t>
            </w:r>
          </w:p>
        </w:tc>
      </w:tr>
      <w:tr w:rsidR="00777755" w:rsidRPr="002A5E38" w:rsidTr="00585BE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0"/>
                <w:szCs w:val="20"/>
                <w:lang w:val="es-ES"/>
              </w:rPr>
            </w:pPr>
            <w:r w:rsidRPr="00DF4DDF">
              <w:rPr>
                <w:sz w:val="20"/>
                <w:szCs w:val="20"/>
                <w:lang w:val="es-ES"/>
              </w:rPr>
              <w:t xml:space="preserve">Etapa II de los planes de gestión de la eliminación de los HCFC </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282.500</w:t>
            </w:r>
          </w:p>
        </w:tc>
        <w:tc>
          <w:tcPr>
            <w:tcW w:w="1275"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100.000</w:t>
            </w:r>
          </w:p>
        </w:tc>
        <w:tc>
          <w:tcPr>
            <w:tcW w:w="1276"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382.500</w:t>
            </w:r>
          </w:p>
        </w:tc>
        <w:tc>
          <w:tcPr>
            <w:tcW w:w="1559"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0"/>
                <w:szCs w:val="20"/>
              </w:rPr>
            </w:pPr>
            <w:r>
              <w:rPr>
                <w:sz w:val="20"/>
                <w:szCs w:val="20"/>
              </w:rPr>
              <w:t>442.500</w:t>
            </w:r>
          </w:p>
        </w:tc>
      </w:tr>
      <w:tr w:rsidR="00777755" w:rsidRPr="002A5E38" w:rsidTr="00585BE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0"/>
                <w:szCs w:val="20"/>
              </w:rPr>
            </w:pPr>
            <w:r>
              <w:rPr>
                <w:b/>
                <w:bCs/>
                <w:sz w:val="20"/>
                <w:szCs w:val="20"/>
              </w:rPr>
              <w:t xml:space="preserve">Total </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0"/>
                <w:szCs w:val="20"/>
              </w:rPr>
            </w:pPr>
            <w:r>
              <w:rPr>
                <w:b/>
                <w:bCs/>
                <w:sz w:val="20"/>
                <w:szCs w:val="20"/>
              </w:rPr>
              <w:t>5.982.599</w:t>
            </w:r>
          </w:p>
        </w:tc>
        <w:tc>
          <w:tcPr>
            <w:tcW w:w="1275"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0"/>
                <w:szCs w:val="20"/>
              </w:rPr>
            </w:pPr>
            <w:r>
              <w:rPr>
                <w:b/>
                <w:bCs/>
                <w:sz w:val="20"/>
                <w:szCs w:val="20"/>
              </w:rPr>
              <w:t>2.584.632</w:t>
            </w:r>
          </w:p>
        </w:tc>
        <w:tc>
          <w:tcPr>
            <w:tcW w:w="1276"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0"/>
                <w:szCs w:val="20"/>
              </w:rPr>
            </w:pPr>
            <w:r>
              <w:rPr>
                <w:b/>
                <w:bCs/>
                <w:sz w:val="20"/>
                <w:szCs w:val="20"/>
              </w:rPr>
              <w:t>1.963.806</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0"/>
                <w:szCs w:val="20"/>
              </w:rPr>
            </w:pPr>
            <w:r>
              <w:rPr>
                <w:b/>
                <w:bCs/>
                <w:sz w:val="20"/>
                <w:szCs w:val="20"/>
              </w:rPr>
              <w:t>10.531.037</w:t>
            </w:r>
          </w:p>
        </w:tc>
        <w:tc>
          <w:tcPr>
            <w:tcW w:w="1559"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0"/>
                <w:szCs w:val="20"/>
              </w:rPr>
            </w:pPr>
            <w:r>
              <w:rPr>
                <w:b/>
                <w:bCs/>
                <w:sz w:val="20"/>
                <w:szCs w:val="20"/>
              </w:rPr>
              <w:t>2.857.975</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pStyle w:val="a--"/>
        <w:keepNext/>
        <w:tabs>
          <w:tab w:val="clear" w:pos="-720"/>
          <w:tab w:val="clear" w:pos="0"/>
          <w:tab w:val="clear" w:pos="720"/>
          <w:tab w:val="clear" w:pos="1440"/>
          <w:tab w:val="clear" w:pos="2160"/>
          <w:tab w:val="clear" w:pos="2880"/>
          <w:tab w:val="clear" w:pos="3600"/>
        </w:tabs>
        <w:suppressAutoHyphens w:val="0"/>
        <w:rPr>
          <w:sz w:val="22"/>
          <w:szCs w:val="22"/>
        </w:rPr>
      </w:pPr>
    </w:p>
    <w:p w:rsidR="00777755" w:rsidRPr="002A5E38" w:rsidRDefault="00777755" w:rsidP="00777755">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OBSERVACIONES</w:t>
      </w:r>
    </w:p>
    <w:p w:rsidR="00777755" w:rsidRPr="002A5E38" w:rsidRDefault="00777755" w:rsidP="00777755">
      <w:pPr>
        <w:keepNext/>
        <w:rPr>
          <w:lang w:val="en-CA"/>
        </w:rPr>
      </w:pPr>
    </w:p>
    <w:p w:rsidR="00777755" w:rsidRPr="00DF4DDF" w:rsidRDefault="00777755" w:rsidP="00777755">
      <w:pPr>
        <w:pStyle w:val="Heading1"/>
        <w:rPr>
          <w:lang w:val="es-ES"/>
        </w:rPr>
      </w:pPr>
      <w:r w:rsidRPr="00DF4DDF">
        <w:rPr>
          <w:lang w:val="es-ES"/>
        </w:rPr>
        <w:t xml:space="preserve">La Secretaría revisó cada uno de los planes administrativos de los organismos bilaterales, hizo observaciones sobre varias de las actividades propuestas y evaluó el valor de las actividades comparado con las contribuciones anuales prometidas. </w:t>
      </w:r>
    </w:p>
    <w:p w:rsidR="00777755" w:rsidRPr="002A5E38" w:rsidRDefault="00777755" w:rsidP="00777755">
      <w:pPr>
        <w:rPr>
          <w:b/>
          <w:bCs/>
        </w:rPr>
      </w:pPr>
      <w:r>
        <w:rPr>
          <w:b/>
          <w:bCs/>
        </w:rPr>
        <w:t>Australia</w:t>
      </w:r>
    </w:p>
    <w:p w:rsidR="00777755" w:rsidRPr="002A5E38" w:rsidRDefault="00777755" w:rsidP="00777755">
      <w:pPr>
        <w:rPr>
          <w:b/>
          <w:bCs/>
          <w:lang w:val="en-CA"/>
        </w:rPr>
      </w:pPr>
    </w:p>
    <w:p w:rsidR="00777755" w:rsidRPr="00DF4DDF" w:rsidRDefault="00777755" w:rsidP="00777755">
      <w:pPr>
        <w:pStyle w:val="Heading1"/>
        <w:rPr>
          <w:lang w:val="es-ES"/>
        </w:rPr>
      </w:pPr>
      <w:r w:rsidRPr="00DF4DDF">
        <w:rPr>
          <w:lang w:val="es-ES"/>
        </w:rPr>
        <w:t xml:space="preserve">La asignación de recursos para 2020-2022 en el plan administrativo de Australia se presenta en el cuadro 2. El veinte por ciento de las contribuciones anuales prometidas de Australia para 2020 asciende a 1.177.933 $EUA. </w:t>
      </w:r>
    </w:p>
    <w:p w:rsidR="00777755" w:rsidRPr="002A5E38" w:rsidRDefault="00777755" w:rsidP="00777755">
      <w:pPr>
        <w:pStyle w:val="subhead"/>
        <w:keepNext/>
        <w:jc w:val="both"/>
        <w:rPr>
          <w:b/>
          <w:sz w:val="22"/>
          <w:szCs w:val="22"/>
        </w:rPr>
      </w:pPr>
      <w:r>
        <w:rPr>
          <w:b/>
          <w:sz w:val="22"/>
          <w:szCs w:val="22"/>
        </w:rPr>
        <w:t>Cuadro 2. Asignación de recursos para Australia ($EUA)*</w:t>
      </w:r>
    </w:p>
    <w:tbl>
      <w:tblPr>
        <w:tblW w:w="9356" w:type="dxa"/>
        <w:tblInd w:w="-5" w:type="dxa"/>
        <w:tblLook w:val="04A0" w:firstRow="1" w:lastRow="0" w:firstColumn="1" w:lastColumn="0" w:noHBand="0" w:noVBand="1"/>
      </w:tblPr>
      <w:tblGrid>
        <w:gridCol w:w="2410"/>
        <w:gridCol w:w="1276"/>
        <w:gridCol w:w="1134"/>
        <w:gridCol w:w="992"/>
        <w:gridCol w:w="1843"/>
        <w:gridCol w:w="1701"/>
      </w:tblGrid>
      <w:tr w:rsidR="00777755" w:rsidRPr="002A5E38" w:rsidTr="00E00293">
        <w:trPr>
          <w:trHeight w:val="192"/>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777755" w:rsidRPr="00DF4DDF" w:rsidRDefault="00777755" w:rsidP="00E00293">
            <w:pPr>
              <w:jc w:val="left"/>
              <w:rPr>
                <w:b/>
                <w:bCs/>
                <w:sz w:val="21"/>
                <w:szCs w:val="21"/>
                <w:lang w:val="es-ES"/>
              </w:rPr>
            </w:pPr>
            <w:r w:rsidRPr="00DF4DDF">
              <w:rPr>
                <w:b/>
                <w:bCs/>
                <w:sz w:val="21"/>
                <w:szCs w:val="21"/>
                <w:lang w:val="es-ES"/>
              </w:rPr>
              <w:t> </w:t>
            </w:r>
          </w:p>
        </w:tc>
        <w:tc>
          <w:tcPr>
            <w:tcW w:w="1276"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2021</w:t>
            </w:r>
          </w:p>
        </w:tc>
        <w:tc>
          <w:tcPr>
            <w:tcW w:w="992"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 xml:space="preserve">Total </w:t>
            </w:r>
            <w:proofErr w:type="spellStart"/>
            <w:r>
              <w:rPr>
                <w:b/>
                <w:bCs/>
                <w:sz w:val="21"/>
                <w:szCs w:val="21"/>
              </w:rPr>
              <w:t>después</w:t>
            </w:r>
            <w:proofErr w:type="spellEnd"/>
            <w:r>
              <w:rPr>
                <w:b/>
                <w:bCs/>
                <w:sz w:val="21"/>
                <w:szCs w:val="21"/>
              </w:rPr>
              <w:t xml:space="preserve"> de 2022</w:t>
            </w:r>
          </w:p>
        </w:tc>
      </w:tr>
      <w:tr w:rsidR="00777755" w:rsidRPr="002A5E38" w:rsidTr="00E00293">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77755" w:rsidRPr="002A5E38" w:rsidRDefault="00777755" w:rsidP="00E00293">
            <w:pPr>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keepNext/>
              <w:jc w:val="left"/>
              <w:rPr>
                <w:sz w:val="21"/>
                <w:szCs w:val="21"/>
                <w:lang w:val="es-ES"/>
              </w:rPr>
            </w:pPr>
            <w:r w:rsidRPr="00DF4DDF">
              <w:rPr>
                <w:sz w:val="21"/>
                <w:szCs w:val="21"/>
                <w:lang w:val="es-ES"/>
              </w:rPr>
              <w:t>Etapa II de los planes de gestión de la eliminación de los HCFC</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282.500</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992"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282.500</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282.500</w:t>
            </w:r>
          </w:p>
        </w:tc>
      </w:tr>
      <w:tr w:rsidR="00777755" w:rsidRPr="002A5E38" w:rsidTr="00E00293">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777755" w:rsidRPr="002A5E38" w:rsidRDefault="00777755" w:rsidP="00E00293">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bCs/>
                <w:sz w:val="21"/>
                <w:szCs w:val="21"/>
              </w:rPr>
            </w:pPr>
            <w:r>
              <w:rPr>
                <w:b/>
                <w:sz w:val="21"/>
                <w:szCs w:val="21"/>
              </w:rPr>
              <w:t>282.500</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bCs/>
                <w:sz w:val="21"/>
                <w:szCs w:val="21"/>
              </w:rPr>
            </w:pPr>
            <w:r>
              <w:rPr>
                <w:b/>
                <w:bCs/>
                <w:sz w:val="21"/>
                <w:szCs w:val="21"/>
              </w:rPr>
              <w:t>0</w:t>
            </w:r>
          </w:p>
        </w:tc>
        <w:tc>
          <w:tcPr>
            <w:tcW w:w="992"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bCs/>
                <w:sz w:val="21"/>
                <w:szCs w:val="21"/>
              </w:rPr>
            </w:pPr>
            <w:r>
              <w:rPr>
                <w:b/>
                <w:bCs/>
                <w:sz w:val="21"/>
                <w:szCs w:val="21"/>
              </w:rPr>
              <w:t>0</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bCs/>
                <w:sz w:val="21"/>
                <w:szCs w:val="21"/>
              </w:rPr>
            </w:pPr>
            <w:r>
              <w:rPr>
                <w:b/>
                <w:sz w:val="21"/>
                <w:szCs w:val="21"/>
              </w:rPr>
              <w:t>282.500</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bCs/>
                <w:sz w:val="21"/>
                <w:szCs w:val="21"/>
              </w:rPr>
            </w:pPr>
            <w:r>
              <w:rPr>
                <w:b/>
                <w:sz w:val="21"/>
                <w:szCs w:val="21"/>
              </w:rPr>
              <w:t>282.500</w:t>
            </w:r>
          </w:p>
        </w:tc>
      </w:tr>
    </w:tbl>
    <w:p w:rsidR="00777755" w:rsidRPr="00DF4DDF" w:rsidRDefault="00777755" w:rsidP="00777755">
      <w:pPr>
        <w:rPr>
          <w:sz w:val="18"/>
          <w:szCs w:val="18"/>
          <w:lang w:val="es-ES"/>
        </w:rPr>
      </w:pPr>
      <w:r w:rsidRPr="00DF4DDF">
        <w:rPr>
          <w:sz w:val="18"/>
          <w:szCs w:val="18"/>
          <w:lang w:val="es-ES"/>
        </w:rPr>
        <w:t xml:space="preserve">  * Incluidos gastos de apoyo al organismo.</w:t>
      </w:r>
    </w:p>
    <w:p w:rsidR="00777755" w:rsidRPr="00DF4DDF" w:rsidRDefault="00777755" w:rsidP="00777755">
      <w:pPr>
        <w:rPr>
          <w:b/>
          <w:bCs/>
          <w:lang w:val="es-ES"/>
        </w:rPr>
      </w:pPr>
    </w:p>
    <w:p w:rsidR="00777755" w:rsidRPr="00DF4DDF" w:rsidRDefault="00777755" w:rsidP="00777755">
      <w:pPr>
        <w:pStyle w:val="Heading1"/>
        <w:rPr>
          <w:lang w:val="es-ES"/>
        </w:rPr>
      </w:pPr>
      <w:r w:rsidRPr="00DF4DDF">
        <w:rPr>
          <w:lang w:val="es-ES"/>
        </w:rPr>
        <w:t xml:space="preserve">El plan administrativo de Australia incluye 565.000 $EUA para la nueva etapa II de los planes de gestión de eliminación de los HCFC para los países insulares del Pacífico, incluyendo 282.500 $EUA para 2020-2022. </w:t>
      </w:r>
    </w:p>
    <w:p w:rsidR="00777755" w:rsidRPr="002A5E38" w:rsidRDefault="00777755" w:rsidP="00777755">
      <w:pPr>
        <w:rPr>
          <w:b/>
          <w:bCs/>
        </w:rPr>
      </w:pPr>
      <w:proofErr w:type="spellStart"/>
      <w:r>
        <w:rPr>
          <w:b/>
          <w:bCs/>
        </w:rPr>
        <w:t>Francia</w:t>
      </w:r>
      <w:proofErr w:type="spellEnd"/>
    </w:p>
    <w:p w:rsidR="00777755" w:rsidRPr="002A5E38" w:rsidRDefault="00777755" w:rsidP="00777755">
      <w:pPr>
        <w:rPr>
          <w:b/>
          <w:bCs/>
          <w:lang w:val="en-CA"/>
        </w:rPr>
      </w:pPr>
    </w:p>
    <w:p w:rsidR="00777755" w:rsidRPr="00DF4DDF" w:rsidRDefault="00777755" w:rsidP="00777755">
      <w:pPr>
        <w:pStyle w:val="Heading1"/>
        <w:rPr>
          <w:lang w:val="es-ES"/>
        </w:rPr>
      </w:pPr>
      <w:r w:rsidRPr="00DF4DDF">
        <w:rPr>
          <w:lang w:val="es-ES"/>
        </w:rPr>
        <w:t xml:space="preserve">La asignación de recursos para 2020-2022 en el plan administrativo de Francia se presenta en el cuadro 3. El veinte por ciento de las contribuciones anuales prometidas de Francia para 2020 asciende a 2.449.100 $EUA. </w:t>
      </w:r>
    </w:p>
    <w:p w:rsidR="00777755" w:rsidRPr="002A5E38" w:rsidRDefault="00777755" w:rsidP="00777755">
      <w:pPr>
        <w:pStyle w:val="subhead"/>
        <w:keepNext/>
        <w:jc w:val="both"/>
        <w:rPr>
          <w:b/>
          <w:sz w:val="22"/>
          <w:szCs w:val="22"/>
        </w:rPr>
      </w:pPr>
      <w:r>
        <w:rPr>
          <w:b/>
          <w:sz w:val="22"/>
          <w:szCs w:val="22"/>
        </w:rPr>
        <w:lastRenderedPageBreak/>
        <w:t>Cuadro 3. Asignación de recursos para Francia ($EUA)*</w:t>
      </w:r>
    </w:p>
    <w:tbl>
      <w:tblPr>
        <w:tblW w:w="9498" w:type="dxa"/>
        <w:tblInd w:w="-5" w:type="dxa"/>
        <w:tblLook w:val="04A0" w:firstRow="1" w:lastRow="0" w:firstColumn="1" w:lastColumn="0" w:noHBand="0" w:noVBand="1"/>
      </w:tblPr>
      <w:tblGrid>
        <w:gridCol w:w="2410"/>
        <w:gridCol w:w="1276"/>
        <w:gridCol w:w="1134"/>
        <w:gridCol w:w="1134"/>
        <w:gridCol w:w="1701"/>
        <w:gridCol w:w="1843"/>
      </w:tblGrid>
      <w:tr w:rsidR="00777755" w:rsidRPr="002A5E38" w:rsidTr="00A93CD6">
        <w:trPr>
          <w:trHeight w:val="219"/>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777755" w:rsidRPr="00DF4DDF" w:rsidRDefault="00777755" w:rsidP="00E00293">
            <w:pPr>
              <w:keepNext/>
              <w:jc w:val="left"/>
              <w:rPr>
                <w:b/>
                <w:bCs/>
                <w:sz w:val="21"/>
                <w:szCs w:val="21"/>
                <w:lang w:val="es-ES"/>
              </w:rPr>
            </w:pPr>
            <w:r w:rsidRPr="00DF4DDF">
              <w:rPr>
                <w:b/>
                <w:bCs/>
                <w:sz w:val="21"/>
                <w:szCs w:val="21"/>
                <w:lang w:val="es-ES"/>
              </w:rPr>
              <w:t> </w:t>
            </w:r>
          </w:p>
        </w:tc>
        <w:tc>
          <w:tcPr>
            <w:tcW w:w="1276"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keepNext/>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keepNext/>
              <w:jc w:val="center"/>
              <w:rPr>
                <w:b/>
                <w:bCs/>
                <w:sz w:val="21"/>
                <w:szCs w:val="21"/>
              </w:rPr>
            </w:pPr>
            <w:r>
              <w:rPr>
                <w:b/>
                <w:bCs/>
                <w:sz w:val="21"/>
                <w:szCs w:val="21"/>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keepNext/>
              <w:jc w:val="center"/>
              <w:rPr>
                <w:b/>
                <w:bCs/>
                <w:sz w:val="21"/>
                <w:szCs w:val="21"/>
              </w:rPr>
            </w:pPr>
            <w:r>
              <w:rPr>
                <w:b/>
                <w:bCs/>
                <w:sz w:val="21"/>
                <w:szCs w:val="21"/>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keepNext/>
              <w:jc w:val="center"/>
              <w:rPr>
                <w:b/>
                <w:bCs/>
                <w:sz w:val="21"/>
                <w:szCs w:val="21"/>
              </w:rPr>
            </w:pPr>
            <w:r>
              <w:rPr>
                <w:b/>
                <w:bCs/>
                <w:sz w:val="21"/>
                <w:szCs w:val="21"/>
              </w:rPr>
              <w:t>Total (2020</w:t>
            </w:r>
            <w:r>
              <w:rPr>
                <w:b/>
                <w:sz w:val="21"/>
                <w:szCs w:val="21"/>
              </w:rPr>
              <w:t>–</w:t>
            </w: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keepNext/>
              <w:jc w:val="center"/>
              <w:rPr>
                <w:b/>
                <w:bCs/>
                <w:sz w:val="21"/>
                <w:szCs w:val="21"/>
              </w:rPr>
            </w:pPr>
            <w:r>
              <w:rPr>
                <w:b/>
                <w:bCs/>
                <w:sz w:val="21"/>
                <w:szCs w:val="21"/>
              </w:rPr>
              <w:t xml:space="preserve">Total </w:t>
            </w:r>
            <w:proofErr w:type="spellStart"/>
            <w:r>
              <w:rPr>
                <w:b/>
                <w:bCs/>
                <w:sz w:val="21"/>
                <w:szCs w:val="21"/>
              </w:rPr>
              <w:t>después</w:t>
            </w:r>
            <w:proofErr w:type="spellEnd"/>
            <w:r>
              <w:rPr>
                <w:b/>
                <w:bCs/>
                <w:sz w:val="21"/>
                <w:szCs w:val="21"/>
              </w:rPr>
              <w:t xml:space="preserve"> de 2022</w:t>
            </w:r>
          </w:p>
        </w:tc>
      </w:tr>
      <w:tr w:rsidR="00777755" w:rsidRPr="002A5E38" w:rsidTr="00A5252E">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777755" w:rsidRPr="002A5E38" w:rsidRDefault="00777755" w:rsidP="00E00293">
            <w:pPr>
              <w:keepNext/>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A93CD6">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777755" w:rsidRPr="00DF4DDF" w:rsidRDefault="00777755" w:rsidP="00E00293">
            <w:pPr>
              <w:keepNext/>
              <w:jc w:val="left"/>
              <w:rPr>
                <w:sz w:val="21"/>
                <w:szCs w:val="21"/>
                <w:lang w:val="es-ES"/>
              </w:rPr>
            </w:pPr>
            <w:r w:rsidRPr="00DF4DDF">
              <w:rPr>
                <w:sz w:val="21"/>
                <w:szCs w:val="21"/>
                <w:lang w:val="es-ES"/>
              </w:rPr>
              <w:t>Planes de gestión de la eliminación de los HCFC aprobados</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sz w:val="21"/>
                <w:szCs w:val="21"/>
              </w:rPr>
            </w:pPr>
            <w:r>
              <w:rPr>
                <w:sz w:val="21"/>
                <w:szCs w:val="21"/>
              </w:rPr>
              <w:t>692.895</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sz w:val="21"/>
                <w:szCs w:val="21"/>
              </w:rPr>
            </w:pPr>
            <w:r>
              <w:rPr>
                <w:sz w:val="21"/>
                <w:szCs w:val="21"/>
              </w:rPr>
              <w:t>0</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sz w:val="21"/>
                <w:szCs w:val="21"/>
              </w:rPr>
            </w:pPr>
            <w:r>
              <w:rPr>
                <w:sz w:val="21"/>
                <w:szCs w:val="21"/>
              </w:rPr>
              <w:t>0</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sz w:val="21"/>
                <w:szCs w:val="21"/>
              </w:rPr>
            </w:pPr>
            <w:r>
              <w:rPr>
                <w:sz w:val="21"/>
                <w:szCs w:val="21"/>
              </w:rPr>
              <w:t>692.895</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sz w:val="21"/>
                <w:szCs w:val="21"/>
              </w:rPr>
            </w:pPr>
            <w:r>
              <w:rPr>
                <w:sz w:val="21"/>
                <w:szCs w:val="21"/>
              </w:rPr>
              <w:t>770.760</w:t>
            </w:r>
          </w:p>
        </w:tc>
      </w:tr>
      <w:tr w:rsidR="00777755" w:rsidRPr="002A5E38" w:rsidTr="00A93CD6">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777755" w:rsidRPr="002A5E38" w:rsidRDefault="00777755" w:rsidP="00E00293">
            <w:pPr>
              <w:keepNext/>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b/>
                <w:sz w:val="21"/>
                <w:szCs w:val="21"/>
              </w:rPr>
            </w:pPr>
            <w:r>
              <w:rPr>
                <w:b/>
                <w:sz w:val="21"/>
                <w:szCs w:val="21"/>
              </w:rPr>
              <w:t>692.895</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b/>
                <w:bCs/>
                <w:sz w:val="21"/>
                <w:szCs w:val="21"/>
              </w:rPr>
            </w:pPr>
            <w:r>
              <w:rPr>
                <w:b/>
                <w:bCs/>
                <w:sz w:val="21"/>
                <w:szCs w:val="21"/>
              </w:rPr>
              <w:t>0</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b/>
                <w:bCs/>
                <w:sz w:val="21"/>
                <w:szCs w:val="21"/>
              </w:rPr>
            </w:pPr>
            <w:r>
              <w:rPr>
                <w:b/>
                <w:bCs/>
                <w:sz w:val="21"/>
                <w:szCs w:val="21"/>
              </w:rPr>
              <w:t>0</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b/>
                <w:sz w:val="21"/>
                <w:szCs w:val="21"/>
              </w:rPr>
            </w:pPr>
            <w:r>
              <w:rPr>
                <w:b/>
                <w:sz w:val="21"/>
                <w:szCs w:val="21"/>
              </w:rPr>
              <w:t>692.895</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keepNext/>
              <w:jc w:val="right"/>
              <w:rPr>
                <w:b/>
                <w:sz w:val="21"/>
                <w:szCs w:val="21"/>
              </w:rPr>
            </w:pPr>
            <w:r>
              <w:rPr>
                <w:b/>
                <w:sz w:val="21"/>
                <w:szCs w:val="21"/>
              </w:rPr>
              <w:t>770.760</w:t>
            </w:r>
          </w:p>
        </w:tc>
      </w:tr>
    </w:tbl>
    <w:p w:rsidR="00777755" w:rsidRPr="00DF4DDF" w:rsidRDefault="00777755" w:rsidP="00777755">
      <w:pPr>
        <w:rPr>
          <w:sz w:val="18"/>
          <w:szCs w:val="18"/>
          <w:lang w:val="es-ES"/>
        </w:rPr>
      </w:pPr>
      <w:r w:rsidRPr="00DF4DDF">
        <w:rPr>
          <w:sz w:val="18"/>
          <w:szCs w:val="18"/>
          <w:lang w:val="es-ES"/>
        </w:rPr>
        <w:t xml:space="preserve">  * Incluidos gastos de apoyo al organismo.</w:t>
      </w:r>
    </w:p>
    <w:p w:rsidR="00777755" w:rsidRPr="00DF4DDF" w:rsidRDefault="00777755" w:rsidP="00777755">
      <w:pPr>
        <w:pStyle w:val="Heading1"/>
        <w:numPr>
          <w:ilvl w:val="0"/>
          <w:numId w:val="0"/>
        </w:numPr>
        <w:spacing w:after="0"/>
        <w:rPr>
          <w:lang w:val="es-ES"/>
        </w:rPr>
      </w:pPr>
    </w:p>
    <w:p w:rsidR="00777755" w:rsidRPr="002A5E38" w:rsidRDefault="00777755" w:rsidP="00777755">
      <w:pPr>
        <w:rPr>
          <w:b/>
          <w:bCs/>
        </w:rPr>
      </w:pPr>
      <w:proofErr w:type="spellStart"/>
      <w:r>
        <w:rPr>
          <w:b/>
          <w:bCs/>
        </w:rPr>
        <w:t>Alemania</w:t>
      </w:r>
      <w:proofErr w:type="spellEnd"/>
    </w:p>
    <w:p w:rsidR="00777755" w:rsidRPr="002A5E38" w:rsidRDefault="00777755" w:rsidP="00777755">
      <w:pPr>
        <w:rPr>
          <w:iCs/>
          <w:lang w:val="en-CA"/>
        </w:rPr>
      </w:pPr>
    </w:p>
    <w:p w:rsidR="00777755" w:rsidRPr="00DF4DDF" w:rsidRDefault="00777755" w:rsidP="00777755">
      <w:pPr>
        <w:pStyle w:val="Heading1"/>
        <w:rPr>
          <w:lang w:val="es-ES"/>
        </w:rPr>
      </w:pPr>
      <w:r w:rsidRPr="00DF4DDF">
        <w:rPr>
          <w:lang w:val="es-ES"/>
        </w:rPr>
        <w:t xml:space="preserve">La asignación de recursos para 2020-2022 en el plan administrativo de Alemania se presenta en el cuadro 4. </w:t>
      </w:r>
    </w:p>
    <w:p w:rsidR="00777755" w:rsidRPr="002A5E38" w:rsidRDefault="00777755" w:rsidP="00777755">
      <w:pPr>
        <w:pStyle w:val="subhead"/>
        <w:keepNext/>
        <w:jc w:val="both"/>
        <w:rPr>
          <w:b/>
          <w:sz w:val="22"/>
          <w:szCs w:val="22"/>
        </w:rPr>
      </w:pPr>
      <w:r>
        <w:rPr>
          <w:b/>
          <w:sz w:val="22"/>
          <w:szCs w:val="22"/>
        </w:rPr>
        <w:t>Cuadro 4. Asignación de recursos para Alemania</w:t>
      </w:r>
      <w:r>
        <w:rPr>
          <w:sz w:val="22"/>
          <w:szCs w:val="22"/>
        </w:rPr>
        <w:t xml:space="preserve"> </w:t>
      </w:r>
      <w:r>
        <w:rPr>
          <w:b/>
          <w:sz w:val="22"/>
          <w:szCs w:val="22"/>
        </w:rPr>
        <w:t>($EUA)*</w:t>
      </w:r>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777755" w:rsidRPr="002A5E38" w:rsidTr="00E00293">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777755" w:rsidRPr="00DF4DDF" w:rsidRDefault="00777755" w:rsidP="00E00293">
            <w:pPr>
              <w:keepNext/>
              <w:jc w:val="left"/>
              <w:rPr>
                <w:b/>
                <w:bCs/>
                <w:sz w:val="21"/>
                <w:szCs w:val="21"/>
                <w:lang w:val="es-ES"/>
              </w:rPr>
            </w:pPr>
            <w:r w:rsidRPr="00DF4DDF">
              <w:rPr>
                <w:b/>
                <w:bCs/>
                <w:sz w:val="21"/>
                <w:szCs w:val="21"/>
                <w:lang w:val="es-ES"/>
              </w:rPr>
              <w:t> </w:t>
            </w:r>
          </w:p>
        </w:tc>
        <w:tc>
          <w:tcPr>
            <w:tcW w:w="1276"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 xml:space="preserve">Total </w:t>
            </w:r>
            <w:proofErr w:type="spellStart"/>
            <w:r>
              <w:rPr>
                <w:b/>
                <w:bCs/>
                <w:sz w:val="21"/>
                <w:szCs w:val="21"/>
              </w:rPr>
              <w:t>después</w:t>
            </w:r>
            <w:proofErr w:type="spellEnd"/>
            <w:r>
              <w:rPr>
                <w:b/>
                <w:bCs/>
                <w:sz w:val="21"/>
                <w:szCs w:val="21"/>
              </w:rPr>
              <w:t xml:space="preserve"> de 2022</w:t>
            </w:r>
          </w:p>
        </w:tc>
      </w:tr>
      <w:tr w:rsidR="00777755" w:rsidRPr="002A5E38" w:rsidTr="00E00293">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keepNext/>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keepNext/>
              <w:jc w:val="left"/>
              <w:rPr>
                <w:sz w:val="21"/>
                <w:szCs w:val="21"/>
                <w:lang w:val="es-ES"/>
              </w:rPr>
            </w:pPr>
            <w:r w:rsidRPr="00DF4DDF">
              <w:rPr>
                <w:sz w:val="21"/>
                <w:szCs w:val="21"/>
                <w:lang w:val="es-ES"/>
              </w:rPr>
              <w:t>Planes de gestión de la eliminación de los HCFC aprobados</w:t>
            </w:r>
          </w:p>
        </w:tc>
        <w:tc>
          <w:tcPr>
            <w:tcW w:w="1276"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4.622.132</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2.394.232</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1.963.806</w:t>
            </w:r>
          </w:p>
        </w:tc>
        <w:tc>
          <w:tcPr>
            <w:tcW w:w="184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8.980.170</w:t>
            </w:r>
          </w:p>
        </w:tc>
        <w:tc>
          <w:tcPr>
            <w:tcW w:w="1701"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1.644.715</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keepNext/>
              <w:jc w:val="left"/>
              <w:rPr>
                <w:sz w:val="21"/>
                <w:szCs w:val="21"/>
                <w:lang w:val="es-ES"/>
              </w:rPr>
            </w:pPr>
            <w:r w:rsidRPr="00DF4DDF">
              <w:rPr>
                <w:sz w:val="21"/>
                <w:szCs w:val="21"/>
                <w:lang w:val="es-ES"/>
              </w:rPr>
              <w:t>Etapa II de los planes de gestión de la eliminación de los HCFC</w:t>
            </w:r>
          </w:p>
        </w:tc>
        <w:tc>
          <w:tcPr>
            <w:tcW w:w="1276"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sidRPr="00DF4DDF">
              <w:rPr>
                <w:sz w:val="21"/>
                <w:szCs w:val="21"/>
                <w:lang w:val="es-ES"/>
              </w:rPr>
              <w:t> </w:t>
            </w:r>
            <w:r>
              <w:rPr>
                <w:sz w:val="21"/>
                <w:szCs w:val="21"/>
              </w:rPr>
              <w:t>0</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100.000</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100.000</w:t>
            </w:r>
          </w:p>
        </w:tc>
        <w:tc>
          <w:tcPr>
            <w:tcW w:w="1701"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160.000</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4.622.132</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2.494.232</w:t>
            </w:r>
          </w:p>
        </w:tc>
        <w:tc>
          <w:tcPr>
            <w:tcW w:w="1134"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1.963.806</w:t>
            </w:r>
          </w:p>
        </w:tc>
        <w:tc>
          <w:tcPr>
            <w:tcW w:w="184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9.080.170</w:t>
            </w:r>
          </w:p>
        </w:tc>
        <w:tc>
          <w:tcPr>
            <w:tcW w:w="1701"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1.804.715</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rPr>
          <w:lang w:val="es-ES"/>
        </w:rPr>
      </w:pPr>
    </w:p>
    <w:p w:rsidR="00777755" w:rsidRPr="00DF4DDF" w:rsidRDefault="00777755" w:rsidP="00777755">
      <w:pPr>
        <w:pStyle w:val="Heading1"/>
        <w:rPr>
          <w:lang w:val="es-ES"/>
        </w:rPr>
      </w:pPr>
      <w:r w:rsidRPr="00DF4DDF">
        <w:rPr>
          <w:lang w:val="es-ES"/>
        </w:rPr>
        <w:t xml:space="preserve">El plan administrativo de Alemania incluye 10,62 millones $EUA para las etapas I y II aprobadas de los planes de gestión de la eliminación de los HCFC, con 8,98 millones $EUA para el período 2020-2022. La Secretaría propone ajustes de costos para reflejar los montos de financiación reales aprobados según los términos de los Acuerdos o el Acuerdo revisado presentado a la reunión 84ª, mediante una reducción de 1.059.916 $EUA para 2020-2022 y un aumento de 100.900 $EUA para después de 2022. </w:t>
      </w:r>
    </w:p>
    <w:p w:rsidR="00777755" w:rsidRPr="00DF4DDF" w:rsidRDefault="00777755" w:rsidP="00777755">
      <w:pPr>
        <w:pStyle w:val="Heading1"/>
        <w:rPr>
          <w:lang w:val="es-ES"/>
        </w:rPr>
      </w:pPr>
      <w:r w:rsidRPr="00DF4DDF">
        <w:rPr>
          <w:lang w:val="es-ES"/>
        </w:rPr>
        <w:t xml:space="preserve">Además, Alemania incluyó financiación para la etapa II de los planes de gestión de la eliminación de los HCFC en países de bajo volumen de consumo, a fin de cumplir con la reducción de 67,5 por ciento por un monto de 260.000 $EUA, incluyendo 160.000 $EUA para después de 2022. </w:t>
      </w:r>
    </w:p>
    <w:p w:rsidR="00777755" w:rsidRPr="00DF4DDF" w:rsidRDefault="00777755" w:rsidP="00777755">
      <w:pPr>
        <w:pStyle w:val="Heading1"/>
        <w:rPr>
          <w:lang w:val="es-ES"/>
        </w:rPr>
      </w:pPr>
      <w:r w:rsidRPr="00DF4DDF">
        <w:rPr>
          <w:lang w:val="es-ES"/>
        </w:rPr>
        <w:t>En el cuadro 5 se indican los resultados de los ajustes propuestos por la Secretaría en el plan administrativo de Alemania.</w:t>
      </w:r>
    </w:p>
    <w:p w:rsidR="00777755" w:rsidRPr="00DF4DDF" w:rsidRDefault="00777755" w:rsidP="00777755">
      <w:pPr>
        <w:pStyle w:val="Heading1"/>
        <w:keepNext/>
        <w:numPr>
          <w:ilvl w:val="0"/>
          <w:numId w:val="0"/>
        </w:numPr>
        <w:spacing w:after="0"/>
        <w:rPr>
          <w:b/>
          <w:lang w:val="es-ES"/>
        </w:rPr>
      </w:pPr>
      <w:r w:rsidRPr="00DF4DDF">
        <w:rPr>
          <w:b/>
          <w:lang w:val="es-ES"/>
        </w:rPr>
        <w:t>Cuadro 5. Resultados de los ajustes en el plan administrativo de Alemania</w:t>
      </w:r>
      <w:r w:rsidRPr="00DF4DDF">
        <w:rPr>
          <w:lang w:val="es-ES"/>
        </w:rPr>
        <w:t xml:space="preserve"> </w:t>
      </w:r>
      <w:r w:rsidRPr="00DF4DDF">
        <w:rPr>
          <w:b/>
          <w:lang w:val="es-ES"/>
        </w:rPr>
        <w:t>($</w:t>
      </w:r>
      <w:proofErr w:type="gramStart"/>
      <w:r w:rsidRPr="00DF4DDF">
        <w:rPr>
          <w:b/>
          <w:lang w:val="es-ES"/>
        </w:rPr>
        <w:t>EUA)*</w:t>
      </w:r>
      <w:proofErr w:type="gramEnd"/>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777755" w:rsidRPr="002A5E38" w:rsidTr="00E00293">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777755" w:rsidRPr="00DF4DDF" w:rsidRDefault="00777755" w:rsidP="00E00293">
            <w:pPr>
              <w:keepNext/>
              <w:jc w:val="left"/>
              <w:rPr>
                <w:b/>
                <w:bCs/>
                <w:sz w:val="21"/>
                <w:szCs w:val="21"/>
                <w:lang w:val="es-ES"/>
              </w:rPr>
            </w:pPr>
            <w:r w:rsidRPr="00DF4DDF">
              <w:rPr>
                <w:b/>
                <w:bCs/>
                <w:sz w:val="21"/>
                <w:szCs w:val="21"/>
                <w:lang w:val="es-ES"/>
              </w:rPr>
              <w:t> </w:t>
            </w:r>
          </w:p>
        </w:tc>
        <w:tc>
          <w:tcPr>
            <w:tcW w:w="1276"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 xml:space="preserve">Total </w:t>
            </w:r>
            <w:proofErr w:type="spellStart"/>
            <w:r>
              <w:rPr>
                <w:b/>
                <w:bCs/>
                <w:sz w:val="21"/>
                <w:szCs w:val="21"/>
              </w:rPr>
              <w:t>después</w:t>
            </w:r>
            <w:proofErr w:type="spellEnd"/>
            <w:r>
              <w:rPr>
                <w:b/>
                <w:bCs/>
                <w:sz w:val="21"/>
                <w:szCs w:val="21"/>
              </w:rPr>
              <w:t xml:space="preserve"> de 2022</w:t>
            </w:r>
          </w:p>
        </w:tc>
      </w:tr>
      <w:tr w:rsidR="00777755" w:rsidRPr="002A5E38" w:rsidTr="00E00293">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keepNext/>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keepNext/>
              <w:jc w:val="left"/>
              <w:rPr>
                <w:sz w:val="21"/>
                <w:szCs w:val="21"/>
                <w:lang w:val="es-ES"/>
              </w:rPr>
            </w:pPr>
            <w:r w:rsidRPr="00DF4DDF">
              <w:rPr>
                <w:sz w:val="21"/>
                <w:szCs w:val="21"/>
                <w:lang w:val="es-ES"/>
              </w:rPr>
              <w:t>Planes de gestión de la eliminación de los HCFC aprobados</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sidRPr="00DF4DDF">
              <w:rPr>
                <w:sz w:val="21"/>
                <w:szCs w:val="21"/>
                <w:lang w:val="es-ES"/>
              </w:rPr>
              <w:t xml:space="preserve"> </w:t>
            </w:r>
            <w:r>
              <w:rPr>
                <w:sz w:val="21"/>
                <w:szCs w:val="21"/>
              </w:rPr>
              <w:t xml:space="preserve">3.562.216 </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2.854.650 </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1.503.388 </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 7.920.254 </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 1.745.615 </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keepNext/>
              <w:jc w:val="left"/>
              <w:rPr>
                <w:sz w:val="21"/>
                <w:szCs w:val="21"/>
                <w:lang w:val="es-ES"/>
              </w:rPr>
            </w:pPr>
            <w:r w:rsidRPr="00DF4DDF">
              <w:rPr>
                <w:sz w:val="21"/>
                <w:szCs w:val="21"/>
                <w:lang w:val="es-ES"/>
              </w:rPr>
              <w:t>Etapa II de los planes de gestión de la eliminación de los HCFC</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 100.000 </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 100.000 </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 xml:space="preserve"> 160.000 </w:t>
            </w:r>
          </w:p>
        </w:tc>
      </w:tr>
      <w:tr w:rsidR="00777755" w:rsidRPr="002A5E38" w:rsidTr="00E00293">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 xml:space="preserve"> 3.562.216 </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 xml:space="preserve">2.954.650 </w:t>
            </w:r>
          </w:p>
        </w:tc>
        <w:tc>
          <w:tcPr>
            <w:tcW w:w="1134"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 xml:space="preserve">1.503.388 </w:t>
            </w:r>
          </w:p>
        </w:tc>
        <w:tc>
          <w:tcPr>
            <w:tcW w:w="1843"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 xml:space="preserve"> 8.020.254 </w:t>
            </w:r>
          </w:p>
        </w:tc>
        <w:tc>
          <w:tcPr>
            <w:tcW w:w="1701" w:type="dxa"/>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 xml:space="preserve"> 1.905.615 </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rPr>
          <w:lang w:val="es-ES"/>
        </w:rPr>
      </w:pPr>
    </w:p>
    <w:p w:rsidR="00777755" w:rsidRPr="00DF4DDF" w:rsidRDefault="00777755" w:rsidP="00777755">
      <w:pPr>
        <w:pStyle w:val="Heading1"/>
        <w:rPr>
          <w:lang w:val="es-ES"/>
        </w:rPr>
      </w:pPr>
      <w:r w:rsidRPr="00DF4DDF">
        <w:rPr>
          <w:lang w:val="es-ES"/>
        </w:rPr>
        <w:lastRenderedPageBreak/>
        <w:t xml:space="preserve">El veinte por ciento de las contribuciones anuales prometidas de Alemania para 2020 asciende a 3.220.267 $EUA o 9.660.800 $EUA para el trienio 2018-2020. Teniendo en cuenta el monto aprobado en las reuniones de la 81ª a la 83ª (5.072.800 $EUA), siempre que las solicitudes presentadas a la 84ª reunión se aprueben en los términos previstos (2.359.392 $EUA), y los valores ajustados de los planes administrativos para 2020 (3.562.216 $EUA), Alemania excedería el veinte por ciento de las contribuciones prometidas para el trienio 2018-2020 en 1.333.608 $EUA. Alemania necesitaría bien reprogramar actividades para años futuros o solicitar a otros organismos bilaterales o de ejecución que ejecuten proyectos de forma que su cooperación bilateral no supere la asignación del veinte por ciento. </w:t>
      </w:r>
    </w:p>
    <w:p w:rsidR="00777755" w:rsidRPr="00DF4DDF" w:rsidRDefault="00777755" w:rsidP="00777755">
      <w:pPr>
        <w:pStyle w:val="Heading1"/>
        <w:rPr>
          <w:lang w:val="es-ES"/>
        </w:rPr>
      </w:pPr>
      <w:r w:rsidRPr="00DF4DDF">
        <w:rPr>
          <w:lang w:val="es-ES"/>
        </w:rPr>
        <w:t>Por tanto, el Comité Ejecutivo puede considerar oportuno examinar de nuevo el nivel de actividades de los planes administrativos de Alemania para el período 2020-2022 a la luz de la asignación de las actividades bilaterales para el trienio 2018-2020. Se informó de esta cuestión al Gobierno de Alemania y respondió que consideraría trasladar o reasignar tramos de acuerdos plurianuales aprobados para mantenerse dentro del nivel del veinte por ciento de las contribuciones prometidas si todos los tramos de acuerdos plurianuales se aprobaran según lo previsto. No obstante, dado el retraso de las aprobaciones, especialmente para China, Alemania podría correr el riesgo de no cumplir plenamente la asignación del veinte por ciento de Alemania. En dicho caso, se deberían adelantar tramos de «después de 2020».</w:t>
      </w:r>
    </w:p>
    <w:p w:rsidR="00777755" w:rsidRPr="002A5E38" w:rsidRDefault="00777755" w:rsidP="00777755">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Italia</w:t>
      </w:r>
    </w:p>
    <w:p w:rsidR="00777755" w:rsidRPr="002A5E38" w:rsidRDefault="00777755" w:rsidP="00777755">
      <w:pPr>
        <w:pStyle w:val="Footer"/>
        <w:keepNext/>
        <w:tabs>
          <w:tab w:val="clear" w:pos="4320"/>
          <w:tab w:val="clear" w:pos="8640"/>
        </w:tabs>
        <w:rPr>
          <w:lang w:val="en-CA"/>
        </w:rPr>
      </w:pPr>
    </w:p>
    <w:p w:rsidR="00777755" w:rsidRPr="00DF4DDF" w:rsidRDefault="00777755" w:rsidP="00777755">
      <w:pPr>
        <w:pStyle w:val="Heading1"/>
        <w:rPr>
          <w:lang w:val="es-ES"/>
        </w:rPr>
      </w:pPr>
      <w:r w:rsidRPr="00DF4DDF">
        <w:rPr>
          <w:lang w:val="es-ES"/>
        </w:rPr>
        <w:t xml:space="preserve">La asignación de recursos en el plan administrativo de Italia para 2020-2022 se presenta en el cuadro 6. El veinte por ciento de las contribuciones anuales prometidas de Italia para 2020 asciende a 1.889.100 $EUA. </w:t>
      </w:r>
    </w:p>
    <w:p w:rsidR="00777755" w:rsidRPr="002A5E38" w:rsidRDefault="00777755" w:rsidP="00777755">
      <w:pPr>
        <w:pStyle w:val="subhead"/>
        <w:keepNext/>
        <w:jc w:val="both"/>
        <w:rPr>
          <w:b/>
          <w:sz w:val="22"/>
          <w:szCs w:val="22"/>
        </w:rPr>
      </w:pPr>
      <w:r>
        <w:rPr>
          <w:b/>
          <w:sz w:val="22"/>
          <w:szCs w:val="22"/>
        </w:rPr>
        <w:t>Cuadro 6. Asignación de recursos para Italia</w:t>
      </w:r>
      <w:r>
        <w:rPr>
          <w:sz w:val="22"/>
          <w:szCs w:val="22"/>
        </w:rPr>
        <w:t xml:space="preserve"> </w:t>
      </w:r>
      <w:r>
        <w:rPr>
          <w:b/>
          <w:sz w:val="22"/>
          <w:szCs w:val="22"/>
        </w:rPr>
        <w:t>($EUA)*</w:t>
      </w:r>
    </w:p>
    <w:tbl>
      <w:tblPr>
        <w:tblW w:w="9214" w:type="dxa"/>
        <w:tblInd w:w="-5" w:type="dxa"/>
        <w:tblLook w:val="04A0" w:firstRow="1" w:lastRow="0" w:firstColumn="1" w:lastColumn="0" w:noHBand="0" w:noVBand="1"/>
      </w:tblPr>
      <w:tblGrid>
        <w:gridCol w:w="2694"/>
        <w:gridCol w:w="1559"/>
        <w:gridCol w:w="1559"/>
        <w:gridCol w:w="1418"/>
        <w:gridCol w:w="1984"/>
      </w:tblGrid>
      <w:tr w:rsidR="00777755" w:rsidRPr="002A5E38" w:rsidTr="00E00293">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rsidR="00777755" w:rsidRPr="00DF4DDF" w:rsidRDefault="00777755" w:rsidP="00E00293">
            <w:pPr>
              <w:jc w:val="left"/>
              <w:rPr>
                <w:b/>
                <w:bCs/>
                <w:sz w:val="21"/>
                <w:szCs w:val="21"/>
                <w:lang w:val="es-ES"/>
              </w:rPr>
            </w:pPr>
            <w:r w:rsidRPr="00DF4DDF">
              <w:rPr>
                <w:b/>
                <w:bCs/>
                <w:sz w:val="21"/>
                <w:szCs w:val="21"/>
                <w:lang w:val="es-ES"/>
              </w:rPr>
              <w:t> </w:t>
            </w:r>
          </w:p>
        </w:tc>
        <w:tc>
          <w:tcPr>
            <w:tcW w:w="1559"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2020</w:t>
            </w:r>
          </w:p>
        </w:tc>
        <w:tc>
          <w:tcPr>
            <w:tcW w:w="1559"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2021</w:t>
            </w:r>
          </w:p>
        </w:tc>
        <w:tc>
          <w:tcPr>
            <w:tcW w:w="1418"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2022**</w:t>
            </w:r>
          </w:p>
        </w:tc>
        <w:tc>
          <w:tcPr>
            <w:tcW w:w="1984"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r>
      <w:tr w:rsidR="00777755" w:rsidRPr="002A5E38" w:rsidTr="00E00293">
        <w:trPr>
          <w:trHeight w:val="264"/>
        </w:trPr>
        <w:tc>
          <w:tcPr>
            <w:tcW w:w="9214" w:type="dxa"/>
            <w:gridSpan w:val="5"/>
            <w:tcBorders>
              <w:top w:val="nil"/>
              <w:left w:val="single" w:sz="4" w:space="0" w:color="auto"/>
              <w:bottom w:val="single" w:sz="4" w:space="0" w:color="auto"/>
              <w:right w:val="single" w:sz="4" w:space="0" w:color="auto"/>
            </w:tcBorders>
            <w:shd w:val="clear" w:color="auto" w:fill="auto"/>
            <w:noWrap/>
            <w:vAlign w:val="center"/>
          </w:tcPr>
          <w:p w:rsidR="00777755" w:rsidRPr="002A5E38" w:rsidRDefault="00777755" w:rsidP="00E00293">
            <w:pPr>
              <w:jc w:val="left"/>
              <w:rPr>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1"/>
                <w:szCs w:val="21"/>
                <w:lang w:val="es-ES"/>
              </w:rPr>
            </w:pPr>
            <w:r w:rsidRPr="00DF4DDF">
              <w:rPr>
                <w:sz w:val="21"/>
                <w:szCs w:val="21"/>
                <w:lang w:val="es-ES"/>
              </w:rPr>
              <w:t>Planes de gestión de la eliminación de los HCFC aprobados</w:t>
            </w:r>
          </w:p>
        </w:tc>
        <w:tc>
          <w:tcPr>
            <w:tcW w:w="1559" w:type="dxa"/>
            <w:tcBorders>
              <w:top w:val="nil"/>
              <w:left w:val="nil"/>
              <w:bottom w:val="single" w:sz="4" w:space="0" w:color="auto"/>
              <w:right w:val="single" w:sz="4" w:space="0" w:color="auto"/>
            </w:tcBorders>
            <w:shd w:val="clear" w:color="auto" w:fill="auto"/>
            <w:noWrap/>
            <w:hideMark/>
          </w:tcPr>
          <w:p w:rsidR="00777755" w:rsidRPr="002A5E38" w:rsidRDefault="00777755" w:rsidP="00E00293">
            <w:pPr>
              <w:jc w:val="right"/>
              <w:rPr>
                <w:sz w:val="21"/>
                <w:szCs w:val="21"/>
              </w:rPr>
            </w:pPr>
            <w:r>
              <w:rPr>
                <w:sz w:val="21"/>
                <w:szCs w:val="21"/>
              </w:rPr>
              <w:t>264.840</w:t>
            </w:r>
          </w:p>
        </w:tc>
        <w:tc>
          <w:tcPr>
            <w:tcW w:w="1559" w:type="dxa"/>
            <w:tcBorders>
              <w:top w:val="nil"/>
              <w:left w:val="nil"/>
              <w:bottom w:val="single" w:sz="4" w:space="0" w:color="auto"/>
              <w:right w:val="single" w:sz="4" w:space="0" w:color="auto"/>
            </w:tcBorders>
            <w:shd w:val="clear" w:color="auto" w:fill="auto"/>
            <w:noWrap/>
            <w:vAlign w:val="center"/>
          </w:tcPr>
          <w:p w:rsidR="00777755" w:rsidRPr="002A5E38" w:rsidRDefault="00777755" w:rsidP="00E00293">
            <w:pPr>
              <w:jc w:val="right"/>
              <w:rPr>
                <w:sz w:val="21"/>
                <w:szCs w:val="21"/>
              </w:rPr>
            </w:pPr>
            <w:r>
              <w:rPr>
                <w:sz w:val="21"/>
                <w:szCs w:val="21"/>
              </w:rPr>
              <w:t>0</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sz w:val="21"/>
                <w:szCs w:val="21"/>
              </w:rPr>
            </w:pPr>
            <w:r>
              <w:rPr>
                <w:sz w:val="21"/>
                <w:szCs w:val="21"/>
              </w:rPr>
              <w:t>0</w:t>
            </w:r>
          </w:p>
        </w:tc>
        <w:tc>
          <w:tcPr>
            <w:tcW w:w="1984" w:type="dxa"/>
            <w:tcBorders>
              <w:top w:val="nil"/>
              <w:left w:val="nil"/>
              <w:bottom w:val="single" w:sz="4" w:space="0" w:color="auto"/>
              <w:right w:val="single" w:sz="4" w:space="0" w:color="auto"/>
            </w:tcBorders>
            <w:shd w:val="clear" w:color="auto" w:fill="auto"/>
            <w:noWrap/>
            <w:hideMark/>
          </w:tcPr>
          <w:p w:rsidR="00777755" w:rsidRPr="002A5E38" w:rsidRDefault="00777755" w:rsidP="00E00293">
            <w:pPr>
              <w:jc w:val="right"/>
              <w:rPr>
                <w:sz w:val="21"/>
                <w:szCs w:val="21"/>
              </w:rPr>
            </w:pPr>
            <w:r>
              <w:rPr>
                <w:sz w:val="21"/>
                <w:szCs w:val="21"/>
              </w:rPr>
              <w:t>264.840</w:t>
            </w:r>
          </w:p>
        </w:tc>
      </w:tr>
      <w:tr w:rsidR="00777755" w:rsidRPr="002A5E38" w:rsidTr="00E00293">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1559" w:type="dxa"/>
            <w:tcBorders>
              <w:top w:val="nil"/>
              <w:left w:val="nil"/>
              <w:bottom w:val="single" w:sz="4" w:space="0" w:color="auto"/>
              <w:right w:val="single" w:sz="4" w:space="0" w:color="auto"/>
            </w:tcBorders>
            <w:shd w:val="clear" w:color="auto" w:fill="auto"/>
            <w:noWrap/>
            <w:hideMark/>
          </w:tcPr>
          <w:p w:rsidR="00777755" w:rsidRPr="002A5E38" w:rsidRDefault="00777755" w:rsidP="00E00293">
            <w:pPr>
              <w:jc w:val="right"/>
              <w:rPr>
                <w:b/>
                <w:sz w:val="21"/>
                <w:szCs w:val="21"/>
              </w:rPr>
            </w:pPr>
            <w:r>
              <w:rPr>
                <w:b/>
                <w:sz w:val="21"/>
                <w:szCs w:val="21"/>
              </w:rPr>
              <w:t>264.840</w:t>
            </w:r>
          </w:p>
        </w:tc>
        <w:tc>
          <w:tcPr>
            <w:tcW w:w="1559" w:type="dxa"/>
            <w:tcBorders>
              <w:top w:val="nil"/>
              <w:left w:val="nil"/>
              <w:bottom w:val="single" w:sz="4" w:space="0" w:color="auto"/>
              <w:right w:val="single" w:sz="4" w:space="0" w:color="auto"/>
            </w:tcBorders>
            <w:shd w:val="clear" w:color="auto" w:fill="auto"/>
            <w:noWrap/>
            <w:vAlign w:val="center"/>
          </w:tcPr>
          <w:p w:rsidR="00777755" w:rsidRPr="002A5E38" w:rsidRDefault="00777755" w:rsidP="00E00293">
            <w:pPr>
              <w:jc w:val="right"/>
              <w:rPr>
                <w:b/>
                <w:bCs/>
                <w:sz w:val="21"/>
                <w:szCs w:val="21"/>
              </w:rPr>
            </w:pPr>
            <w:r>
              <w:rPr>
                <w:b/>
                <w:bCs/>
                <w:sz w:val="21"/>
                <w:szCs w:val="21"/>
              </w:rPr>
              <w:t>0</w:t>
            </w:r>
          </w:p>
        </w:tc>
        <w:tc>
          <w:tcPr>
            <w:tcW w:w="1418" w:type="dxa"/>
            <w:tcBorders>
              <w:top w:val="nil"/>
              <w:left w:val="nil"/>
              <w:bottom w:val="single" w:sz="4" w:space="0" w:color="auto"/>
              <w:right w:val="single" w:sz="4" w:space="0" w:color="auto"/>
            </w:tcBorders>
            <w:shd w:val="clear" w:color="auto" w:fill="auto"/>
            <w:noWrap/>
            <w:vAlign w:val="center"/>
            <w:hideMark/>
          </w:tcPr>
          <w:p w:rsidR="00777755" w:rsidRPr="002A5E38" w:rsidRDefault="00777755" w:rsidP="00E00293">
            <w:pPr>
              <w:jc w:val="right"/>
              <w:rPr>
                <w:b/>
                <w:bCs/>
                <w:sz w:val="21"/>
                <w:szCs w:val="21"/>
              </w:rPr>
            </w:pPr>
            <w:r>
              <w:rPr>
                <w:b/>
                <w:bCs/>
                <w:sz w:val="21"/>
                <w:szCs w:val="21"/>
              </w:rPr>
              <w:t>0</w:t>
            </w:r>
          </w:p>
        </w:tc>
        <w:tc>
          <w:tcPr>
            <w:tcW w:w="1984" w:type="dxa"/>
            <w:tcBorders>
              <w:top w:val="nil"/>
              <w:left w:val="nil"/>
              <w:bottom w:val="single" w:sz="4" w:space="0" w:color="auto"/>
              <w:right w:val="single" w:sz="4" w:space="0" w:color="auto"/>
            </w:tcBorders>
            <w:shd w:val="clear" w:color="auto" w:fill="auto"/>
            <w:noWrap/>
            <w:hideMark/>
          </w:tcPr>
          <w:p w:rsidR="00777755" w:rsidRPr="002A5E38" w:rsidRDefault="00777755" w:rsidP="00E00293">
            <w:pPr>
              <w:jc w:val="right"/>
              <w:rPr>
                <w:b/>
                <w:sz w:val="21"/>
                <w:szCs w:val="21"/>
              </w:rPr>
            </w:pPr>
            <w:r>
              <w:rPr>
                <w:b/>
                <w:sz w:val="21"/>
                <w:szCs w:val="21"/>
              </w:rPr>
              <w:t>264.840</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jc w:val="left"/>
        <w:rPr>
          <w:b/>
          <w:sz w:val="18"/>
          <w:szCs w:val="18"/>
          <w:lang w:val="es-ES"/>
        </w:rPr>
      </w:pPr>
      <w:r w:rsidRPr="00DF4DDF">
        <w:rPr>
          <w:sz w:val="18"/>
          <w:szCs w:val="18"/>
          <w:lang w:val="es-ES"/>
        </w:rPr>
        <w:t>** No se realizarán actividades después de 2022.</w:t>
      </w:r>
    </w:p>
    <w:p w:rsidR="00777755" w:rsidRPr="00DF4DDF" w:rsidRDefault="00777755" w:rsidP="00777755">
      <w:pPr>
        <w:pStyle w:val="Heading1"/>
        <w:numPr>
          <w:ilvl w:val="0"/>
          <w:numId w:val="0"/>
        </w:numPr>
        <w:spacing w:after="0"/>
        <w:rPr>
          <w:lang w:val="es-ES"/>
        </w:rPr>
      </w:pPr>
    </w:p>
    <w:p w:rsidR="00777755" w:rsidRPr="002A5E38" w:rsidRDefault="00777755" w:rsidP="00777755">
      <w:pPr>
        <w:jc w:val="left"/>
        <w:rPr>
          <w:b/>
          <w:bCs/>
        </w:rPr>
      </w:pPr>
      <w:proofErr w:type="spellStart"/>
      <w:r>
        <w:rPr>
          <w:b/>
        </w:rPr>
        <w:t>Japón</w:t>
      </w:r>
      <w:proofErr w:type="spellEnd"/>
    </w:p>
    <w:p w:rsidR="00777755" w:rsidRPr="002A5E38" w:rsidRDefault="00777755" w:rsidP="00777755">
      <w:pPr>
        <w:jc w:val="left"/>
        <w:rPr>
          <w:b/>
          <w:bCs/>
          <w:lang w:val="en-CA"/>
        </w:rPr>
      </w:pPr>
    </w:p>
    <w:p w:rsidR="00777755" w:rsidRPr="00DF4DDF" w:rsidRDefault="00777755" w:rsidP="00777755">
      <w:pPr>
        <w:pStyle w:val="Heading1"/>
        <w:rPr>
          <w:lang w:val="es-ES"/>
        </w:rPr>
      </w:pPr>
      <w:r w:rsidRPr="00DF4DDF">
        <w:rPr>
          <w:lang w:val="es-ES"/>
        </w:rPr>
        <w:t xml:space="preserve">La asignación de recursos en el plan administrativo del Japón para 2020-2022 se presenta en el cuadro 7. El veinte por ciento de las contribuciones anuales prometidas del Japón para 2020 asciende a 4.879.033 $EUA. </w:t>
      </w:r>
    </w:p>
    <w:p w:rsidR="00777755" w:rsidRPr="002A5E38" w:rsidRDefault="00777755" w:rsidP="00777755">
      <w:pPr>
        <w:pStyle w:val="subhead"/>
        <w:keepNext/>
        <w:jc w:val="both"/>
        <w:rPr>
          <w:b/>
          <w:sz w:val="22"/>
          <w:szCs w:val="22"/>
        </w:rPr>
      </w:pPr>
      <w:r>
        <w:rPr>
          <w:b/>
          <w:sz w:val="22"/>
          <w:szCs w:val="22"/>
        </w:rPr>
        <w:t>Cuadro 7. Asignación de recursos para Japón</w:t>
      </w:r>
      <w:r>
        <w:rPr>
          <w:sz w:val="22"/>
          <w:szCs w:val="22"/>
        </w:rPr>
        <w:t xml:space="preserve"> </w:t>
      </w:r>
      <w:r>
        <w:rPr>
          <w:b/>
          <w:sz w:val="22"/>
          <w:szCs w:val="22"/>
        </w:rPr>
        <w:t>($EUA)*</w:t>
      </w:r>
    </w:p>
    <w:tbl>
      <w:tblPr>
        <w:tblW w:w="5000" w:type="pct"/>
        <w:tblLayout w:type="fixed"/>
        <w:tblLook w:val="04A0" w:firstRow="1" w:lastRow="0" w:firstColumn="1" w:lastColumn="0" w:noHBand="0" w:noVBand="1"/>
      </w:tblPr>
      <w:tblGrid>
        <w:gridCol w:w="3113"/>
        <w:gridCol w:w="1455"/>
        <w:gridCol w:w="1457"/>
        <w:gridCol w:w="1457"/>
        <w:gridCol w:w="1868"/>
      </w:tblGrid>
      <w:tr w:rsidR="00777755" w:rsidRPr="002A5E38" w:rsidTr="00E00293">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hideMark/>
          </w:tcPr>
          <w:p w:rsidR="00777755" w:rsidRPr="002A5E38" w:rsidRDefault="00777755" w:rsidP="00E00293">
            <w:pPr>
              <w:jc w:val="left"/>
              <w:rPr>
                <w:b/>
                <w:bCs/>
                <w:sz w:val="21"/>
                <w:szCs w:val="21"/>
              </w:rPr>
            </w:pPr>
            <w:proofErr w:type="spellStart"/>
            <w:r>
              <w:rPr>
                <w:b/>
                <w:bCs/>
                <w:sz w:val="21"/>
                <w:szCs w:val="21"/>
              </w:rPr>
              <w:t>Elemento</w:t>
            </w:r>
            <w:proofErr w:type="spellEnd"/>
          </w:p>
        </w:tc>
        <w:tc>
          <w:tcPr>
            <w:tcW w:w="778"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2020</w:t>
            </w:r>
          </w:p>
        </w:tc>
        <w:tc>
          <w:tcPr>
            <w:tcW w:w="77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2021</w:t>
            </w:r>
          </w:p>
        </w:tc>
        <w:tc>
          <w:tcPr>
            <w:tcW w:w="77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2022**</w:t>
            </w:r>
          </w:p>
        </w:tc>
        <w:tc>
          <w:tcPr>
            <w:tcW w:w="99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r>
      <w:tr w:rsidR="00777755" w:rsidRPr="002A5E38" w:rsidTr="00E00293">
        <w:trPr>
          <w:trHeight w:val="255"/>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rsidR="00777755" w:rsidRPr="002A5E38" w:rsidRDefault="00777755" w:rsidP="00E00293">
            <w:pPr>
              <w:jc w:val="left"/>
              <w:rPr>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1"/>
                <w:szCs w:val="21"/>
                <w:lang w:val="es-ES"/>
              </w:rPr>
            </w:pPr>
            <w:r w:rsidRPr="00DF4DDF">
              <w:rPr>
                <w:sz w:val="21"/>
                <w:szCs w:val="21"/>
                <w:lang w:val="es-ES"/>
              </w:rPr>
              <w:t>Planes de gestión de la eliminación de los HCFC aprobados</w:t>
            </w:r>
          </w:p>
        </w:tc>
        <w:tc>
          <w:tcPr>
            <w:tcW w:w="778"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120.232</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90.400</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99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210.632</w:t>
            </w:r>
          </w:p>
        </w:tc>
      </w:tr>
      <w:tr w:rsidR="00777755" w:rsidRPr="002A5E38" w:rsidTr="00E00293">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778"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120.232</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90.400</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0</w:t>
            </w:r>
          </w:p>
        </w:tc>
        <w:tc>
          <w:tcPr>
            <w:tcW w:w="99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210.632</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jc w:val="left"/>
        <w:rPr>
          <w:sz w:val="18"/>
          <w:szCs w:val="18"/>
          <w:lang w:val="es-ES"/>
        </w:rPr>
      </w:pPr>
      <w:r w:rsidRPr="00DF4DDF">
        <w:rPr>
          <w:sz w:val="18"/>
          <w:szCs w:val="18"/>
          <w:lang w:val="es-ES"/>
        </w:rPr>
        <w:t>** No se realizarán actividades después de 2022.</w:t>
      </w:r>
    </w:p>
    <w:p w:rsidR="00777755" w:rsidRPr="00DF4DDF" w:rsidRDefault="00777755" w:rsidP="00777755">
      <w:pPr>
        <w:jc w:val="left"/>
        <w:rPr>
          <w:sz w:val="18"/>
          <w:szCs w:val="18"/>
          <w:lang w:val="es-ES"/>
        </w:rPr>
      </w:pPr>
    </w:p>
    <w:p w:rsidR="00777755" w:rsidRPr="00DF4DDF" w:rsidRDefault="00777755" w:rsidP="00777755">
      <w:pPr>
        <w:pStyle w:val="Heading1"/>
        <w:rPr>
          <w:lang w:val="es-ES"/>
        </w:rPr>
      </w:pPr>
      <w:r w:rsidRPr="00DF4DDF">
        <w:rPr>
          <w:lang w:val="es-ES"/>
        </w:rPr>
        <w:t>El plan administrativo del Japón incluye 210.632 $EUA para la etapa II aprobada de los planes de gestión de la eliminación para 2020-2022. La Secretaría propone ajustes de costos para reflejar los términos del Acuerdo revisado presentado a la reunión 84ª, mediante un aumento de 90.400 $EUA para 2020 y eliminar los valores para 2021.</w:t>
      </w:r>
    </w:p>
    <w:p w:rsidR="00777755" w:rsidRPr="00DF4DDF" w:rsidRDefault="00777755" w:rsidP="00777755">
      <w:pPr>
        <w:pStyle w:val="Heading1"/>
        <w:rPr>
          <w:lang w:val="es-ES"/>
        </w:rPr>
      </w:pPr>
      <w:r w:rsidRPr="00DF4DDF">
        <w:rPr>
          <w:lang w:val="es-ES"/>
        </w:rPr>
        <w:lastRenderedPageBreak/>
        <w:t>En el cuadro 8 se indican los resultados de los ajustes propuestos por la Secretaría en el plan administrativo del Japón.</w:t>
      </w:r>
    </w:p>
    <w:p w:rsidR="00777755" w:rsidRPr="00DF4DDF" w:rsidRDefault="00777755" w:rsidP="00777755">
      <w:pPr>
        <w:pStyle w:val="Heading1"/>
        <w:keepNext/>
        <w:numPr>
          <w:ilvl w:val="0"/>
          <w:numId w:val="0"/>
        </w:numPr>
        <w:spacing w:after="0"/>
        <w:rPr>
          <w:b/>
          <w:lang w:val="es-ES"/>
        </w:rPr>
      </w:pPr>
      <w:r w:rsidRPr="00DF4DDF">
        <w:rPr>
          <w:b/>
          <w:lang w:val="es-ES"/>
        </w:rPr>
        <w:t>Cuadro 8. Resultados de los ajustes en el plan administrativo del Japón</w:t>
      </w:r>
      <w:r w:rsidRPr="00DF4DDF">
        <w:rPr>
          <w:lang w:val="es-ES"/>
        </w:rPr>
        <w:t xml:space="preserve"> </w:t>
      </w:r>
      <w:r w:rsidRPr="00DF4DDF">
        <w:rPr>
          <w:b/>
          <w:lang w:val="es-ES"/>
        </w:rPr>
        <w:t>($</w:t>
      </w:r>
      <w:proofErr w:type="gramStart"/>
      <w:r w:rsidRPr="00DF4DDF">
        <w:rPr>
          <w:b/>
          <w:lang w:val="es-ES"/>
        </w:rPr>
        <w:t>EUA)*</w:t>
      </w:r>
      <w:proofErr w:type="gramEnd"/>
    </w:p>
    <w:tbl>
      <w:tblPr>
        <w:tblW w:w="5000" w:type="pct"/>
        <w:tblLayout w:type="fixed"/>
        <w:tblLook w:val="04A0" w:firstRow="1" w:lastRow="0" w:firstColumn="1" w:lastColumn="0" w:noHBand="0" w:noVBand="1"/>
      </w:tblPr>
      <w:tblGrid>
        <w:gridCol w:w="3113"/>
        <w:gridCol w:w="1455"/>
        <w:gridCol w:w="1457"/>
        <w:gridCol w:w="1457"/>
        <w:gridCol w:w="1868"/>
      </w:tblGrid>
      <w:tr w:rsidR="00777755" w:rsidRPr="002A5E38" w:rsidTr="00E00293">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hideMark/>
          </w:tcPr>
          <w:p w:rsidR="00777755" w:rsidRPr="002A5E38" w:rsidRDefault="00777755" w:rsidP="00E00293">
            <w:pPr>
              <w:jc w:val="left"/>
              <w:rPr>
                <w:b/>
                <w:bCs/>
                <w:sz w:val="21"/>
                <w:szCs w:val="21"/>
              </w:rPr>
            </w:pPr>
            <w:proofErr w:type="spellStart"/>
            <w:r>
              <w:rPr>
                <w:b/>
                <w:bCs/>
                <w:sz w:val="21"/>
                <w:szCs w:val="21"/>
              </w:rPr>
              <w:t>Elemento</w:t>
            </w:r>
            <w:proofErr w:type="spellEnd"/>
          </w:p>
        </w:tc>
        <w:tc>
          <w:tcPr>
            <w:tcW w:w="778"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2020</w:t>
            </w:r>
          </w:p>
        </w:tc>
        <w:tc>
          <w:tcPr>
            <w:tcW w:w="77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2021</w:t>
            </w:r>
          </w:p>
        </w:tc>
        <w:tc>
          <w:tcPr>
            <w:tcW w:w="77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2022**</w:t>
            </w:r>
          </w:p>
        </w:tc>
        <w:tc>
          <w:tcPr>
            <w:tcW w:w="999" w:type="pct"/>
            <w:tcBorders>
              <w:top w:val="single" w:sz="4" w:space="0" w:color="auto"/>
              <w:left w:val="nil"/>
              <w:bottom w:val="single" w:sz="4" w:space="0" w:color="auto"/>
              <w:right w:val="single" w:sz="4" w:space="0" w:color="auto"/>
            </w:tcBorders>
            <w:shd w:val="clear" w:color="auto" w:fill="auto"/>
            <w:noWrap/>
            <w:hideMark/>
          </w:tcPr>
          <w:p w:rsidR="00777755" w:rsidRPr="002A5E38" w:rsidRDefault="00777755" w:rsidP="00E00293">
            <w:pPr>
              <w:jc w:val="center"/>
              <w:rPr>
                <w:b/>
                <w:bCs/>
                <w:sz w:val="21"/>
                <w:szCs w:val="21"/>
              </w:rPr>
            </w:pPr>
            <w:r>
              <w:rPr>
                <w:b/>
                <w:bCs/>
                <w:sz w:val="21"/>
                <w:szCs w:val="21"/>
              </w:rPr>
              <w:t>Total (2020</w:t>
            </w:r>
            <w:r>
              <w:rPr>
                <w:b/>
                <w:sz w:val="21"/>
                <w:szCs w:val="21"/>
              </w:rPr>
              <w:t>–</w:t>
            </w:r>
            <w:r>
              <w:rPr>
                <w:b/>
                <w:bCs/>
                <w:sz w:val="21"/>
                <w:szCs w:val="21"/>
              </w:rPr>
              <w:t>2022)</w:t>
            </w:r>
          </w:p>
        </w:tc>
      </w:tr>
      <w:tr w:rsidR="00777755" w:rsidRPr="002A5E38" w:rsidTr="00E00293">
        <w:trPr>
          <w:trHeight w:val="255"/>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rsidR="00777755" w:rsidRPr="002A5E38" w:rsidRDefault="00777755" w:rsidP="00E00293">
            <w:pPr>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1"/>
                <w:szCs w:val="21"/>
                <w:lang w:val="es-ES"/>
              </w:rPr>
            </w:pPr>
            <w:r w:rsidRPr="00DF4DDF">
              <w:rPr>
                <w:sz w:val="21"/>
                <w:szCs w:val="21"/>
                <w:lang w:val="es-ES"/>
              </w:rPr>
              <w:t>Planes de gestión de la eliminación de los HCFC aprobados</w:t>
            </w:r>
          </w:p>
        </w:tc>
        <w:tc>
          <w:tcPr>
            <w:tcW w:w="778"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210.632</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0</w:t>
            </w:r>
          </w:p>
        </w:tc>
        <w:tc>
          <w:tcPr>
            <w:tcW w:w="99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sz w:val="21"/>
                <w:szCs w:val="21"/>
              </w:rPr>
            </w:pPr>
            <w:r>
              <w:rPr>
                <w:sz w:val="21"/>
                <w:szCs w:val="21"/>
              </w:rPr>
              <w:t>210.632</w:t>
            </w:r>
          </w:p>
        </w:tc>
      </w:tr>
      <w:tr w:rsidR="00777755" w:rsidRPr="002A5E38" w:rsidTr="00E00293">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778"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210.632</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0</w:t>
            </w:r>
          </w:p>
        </w:tc>
        <w:tc>
          <w:tcPr>
            <w:tcW w:w="77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0</w:t>
            </w:r>
          </w:p>
        </w:tc>
        <w:tc>
          <w:tcPr>
            <w:tcW w:w="999" w:type="pct"/>
            <w:tcBorders>
              <w:top w:val="nil"/>
              <w:left w:val="nil"/>
              <w:bottom w:val="single" w:sz="4" w:space="0" w:color="auto"/>
              <w:right w:val="single" w:sz="4" w:space="0" w:color="auto"/>
            </w:tcBorders>
            <w:shd w:val="clear" w:color="auto" w:fill="auto"/>
            <w:noWrap/>
          </w:tcPr>
          <w:p w:rsidR="00777755" w:rsidRPr="002A5E38" w:rsidRDefault="00777755" w:rsidP="00E00293">
            <w:pPr>
              <w:jc w:val="right"/>
              <w:rPr>
                <w:b/>
                <w:sz w:val="21"/>
                <w:szCs w:val="21"/>
              </w:rPr>
            </w:pPr>
            <w:r>
              <w:rPr>
                <w:b/>
                <w:sz w:val="21"/>
                <w:szCs w:val="21"/>
              </w:rPr>
              <w:t>210.632</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jc w:val="left"/>
        <w:rPr>
          <w:sz w:val="18"/>
          <w:szCs w:val="18"/>
          <w:lang w:val="es-ES"/>
        </w:rPr>
      </w:pPr>
    </w:p>
    <w:p w:rsidR="00777755" w:rsidRPr="00DF4DDF" w:rsidRDefault="00777755" w:rsidP="00777755">
      <w:pPr>
        <w:keepNext/>
        <w:keepLines/>
        <w:rPr>
          <w:rFonts w:ascii="Times New Roman Bold" w:hAnsi="Times New Roman Bold"/>
          <w:b/>
          <w:lang w:val="es-ES"/>
        </w:rPr>
      </w:pPr>
      <w:r w:rsidRPr="00DF4DDF">
        <w:rPr>
          <w:rFonts w:ascii="Times New Roman Bold" w:hAnsi="Times New Roman Bold"/>
          <w:b/>
          <w:lang w:val="es-ES"/>
        </w:rPr>
        <w:t>Ajustes en los planes administrativos de los organismos bilaterales para 2020-2022</w:t>
      </w:r>
    </w:p>
    <w:p w:rsidR="00777755" w:rsidRPr="00DF4DDF" w:rsidRDefault="00777755" w:rsidP="00777755">
      <w:pPr>
        <w:pStyle w:val="Footer"/>
        <w:keepNext/>
        <w:keepLines/>
        <w:tabs>
          <w:tab w:val="clear" w:pos="4320"/>
          <w:tab w:val="clear" w:pos="8640"/>
          <w:tab w:val="left" w:pos="450"/>
          <w:tab w:val="left" w:pos="709"/>
          <w:tab w:val="left" w:pos="990"/>
          <w:tab w:val="left" w:pos="2160"/>
        </w:tabs>
        <w:rPr>
          <w:lang w:val="es-ES"/>
        </w:rPr>
      </w:pPr>
    </w:p>
    <w:p w:rsidR="00777755" w:rsidRPr="00DF4DDF" w:rsidRDefault="00777755" w:rsidP="00777755">
      <w:pPr>
        <w:pStyle w:val="Heading1"/>
        <w:rPr>
          <w:lang w:val="es-ES"/>
        </w:rPr>
      </w:pPr>
      <w:r w:rsidRPr="00DF4DDF">
        <w:rPr>
          <w:lang w:val="es-ES"/>
        </w:rPr>
        <w:t>Después de hacer los ajustes propuestos anteriormente, el valor total de los planes administrativos de los organismos bilaterales para 2020-2022 es de 9.471.121 $EUA, como se indica en el cuadro 9. Estos ajustes se introdujeron en el Plan administrativo refundido del Fondo Multilateral para 2020-2022.</w:t>
      </w:r>
      <w:r w:rsidRPr="002A5E38">
        <w:rPr>
          <w:rStyle w:val="FootnoteReference"/>
          <w:lang w:val="en-CA"/>
        </w:rPr>
        <w:footnoteReference w:id="3"/>
      </w:r>
    </w:p>
    <w:p w:rsidR="00777755" w:rsidRPr="00DF4DDF" w:rsidRDefault="00777755" w:rsidP="00777755">
      <w:pPr>
        <w:pStyle w:val="Heading1"/>
        <w:keepNext/>
        <w:numPr>
          <w:ilvl w:val="0"/>
          <w:numId w:val="0"/>
        </w:numPr>
        <w:spacing w:after="0"/>
        <w:rPr>
          <w:b/>
          <w:lang w:val="es-ES"/>
        </w:rPr>
      </w:pPr>
      <w:r w:rsidRPr="00DF4DDF">
        <w:rPr>
          <w:b/>
          <w:lang w:val="es-ES"/>
        </w:rPr>
        <w:t xml:space="preserve">Cuadro 9. Asignación de recursos en los planes administrativos ajustados de los organismos bilaterales para el período </w:t>
      </w:r>
      <w:r w:rsidRPr="00DF4DDF">
        <w:rPr>
          <w:b/>
          <w:caps/>
          <w:lang w:val="es-ES"/>
        </w:rPr>
        <w:t>2020-2022</w:t>
      </w:r>
      <w:r w:rsidRPr="00DF4DDF">
        <w:rPr>
          <w:b/>
          <w:lang w:val="es-ES"/>
        </w:rPr>
        <w:t xml:space="preserve"> ($</w:t>
      </w:r>
      <w:proofErr w:type="gramStart"/>
      <w:r w:rsidRPr="00DF4DDF">
        <w:rPr>
          <w:b/>
          <w:lang w:val="es-ES"/>
        </w:rPr>
        <w:t>EUA)*</w:t>
      </w:r>
      <w:proofErr w:type="gramEnd"/>
    </w:p>
    <w:tbl>
      <w:tblPr>
        <w:tblW w:w="9214" w:type="dxa"/>
        <w:tblInd w:w="-5" w:type="dxa"/>
        <w:tblLayout w:type="fixed"/>
        <w:tblLook w:val="04A0" w:firstRow="1" w:lastRow="0" w:firstColumn="1" w:lastColumn="0" w:noHBand="0" w:noVBand="1"/>
      </w:tblPr>
      <w:tblGrid>
        <w:gridCol w:w="2410"/>
        <w:gridCol w:w="1323"/>
        <w:gridCol w:w="1323"/>
        <w:gridCol w:w="1323"/>
        <w:gridCol w:w="1418"/>
        <w:gridCol w:w="1417"/>
      </w:tblGrid>
      <w:tr w:rsidR="00777755" w:rsidRPr="002A5E38" w:rsidTr="00E00293">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b/>
                <w:bCs/>
                <w:sz w:val="21"/>
                <w:szCs w:val="21"/>
                <w:lang w:val="es-ES"/>
              </w:rPr>
            </w:pPr>
            <w:r w:rsidRPr="00DF4DDF">
              <w:rPr>
                <w:b/>
                <w:bCs/>
                <w:sz w:val="21"/>
                <w:szCs w:val="21"/>
                <w:lang w:val="es-ES"/>
              </w:rPr>
              <w:t> </w:t>
            </w:r>
          </w:p>
        </w:tc>
        <w:tc>
          <w:tcPr>
            <w:tcW w:w="132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2020</w:t>
            </w:r>
          </w:p>
        </w:tc>
        <w:tc>
          <w:tcPr>
            <w:tcW w:w="132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2021</w:t>
            </w:r>
          </w:p>
        </w:tc>
        <w:tc>
          <w:tcPr>
            <w:tcW w:w="1323"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2022</w:t>
            </w:r>
          </w:p>
        </w:tc>
        <w:tc>
          <w:tcPr>
            <w:tcW w:w="1418"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 xml:space="preserve">Total </w:t>
            </w:r>
          </w:p>
          <w:p w:rsidR="00777755" w:rsidRPr="002A5E38" w:rsidRDefault="00777755" w:rsidP="00E00293">
            <w:pPr>
              <w:jc w:val="center"/>
              <w:rPr>
                <w:b/>
                <w:bCs/>
                <w:sz w:val="21"/>
                <w:szCs w:val="21"/>
              </w:rPr>
            </w:pPr>
            <w:r>
              <w:rPr>
                <w:b/>
                <w:bCs/>
                <w:sz w:val="21"/>
                <w:szCs w:val="21"/>
              </w:rPr>
              <w:t>(2020–2022)</w:t>
            </w:r>
          </w:p>
        </w:tc>
        <w:tc>
          <w:tcPr>
            <w:tcW w:w="1417" w:type="dxa"/>
            <w:tcBorders>
              <w:top w:val="single" w:sz="4" w:space="0" w:color="auto"/>
              <w:left w:val="nil"/>
              <w:bottom w:val="single" w:sz="4" w:space="0" w:color="auto"/>
              <w:right w:val="single" w:sz="4" w:space="0" w:color="auto"/>
            </w:tcBorders>
            <w:shd w:val="clear" w:color="auto" w:fill="auto"/>
            <w:hideMark/>
          </w:tcPr>
          <w:p w:rsidR="00777755" w:rsidRPr="002A5E38" w:rsidRDefault="00777755" w:rsidP="00E00293">
            <w:pPr>
              <w:jc w:val="center"/>
              <w:rPr>
                <w:b/>
                <w:bCs/>
                <w:sz w:val="21"/>
                <w:szCs w:val="21"/>
              </w:rPr>
            </w:pPr>
            <w:r>
              <w:rPr>
                <w:b/>
                <w:bCs/>
                <w:sz w:val="21"/>
                <w:szCs w:val="21"/>
              </w:rPr>
              <w:t xml:space="preserve">Total </w:t>
            </w:r>
            <w:proofErr w:type="spellStart"/>
            <w:r>
              <w:rPr>
                <w:b/>
                <w:bCs/>
                <w:sz w:val="21"/>
                <w:szCs w:val="21"/>
              </w:rPr>
              <w:t>después</w:t>
            </w:r>
            <w:proofErr w:type="spellEnd"/>
            <w:r>
              <w:rPr>
                <w:b/>
                <w:bCs/>
                <w:sz w:val="21"/>
                <w:szCs w:val="21"/>
              </w:rPr>
              <w:t xml:space="preserve"> de 2022</w:t>
            </w:r>
          </w:p>
        </w:tc>
      </w:tr>
      <w:tr w:rsidR="00777755" w:rsidRPr="002A5E38" w:rsidTr="00E00293">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777755" w:rsidRPr="002A5E38" w:rsidTr="00E0029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1"/>
                <w:szCs w:val="21"/>
                <w:lang w:val="es-ES"/>
              </w:rPr>
            </w:pPr>
            <w:r w:rsidRPr="00DF4DDF">
              <w:rPr>
                <w:sz w:val="21"/>
                <w:szCs w:val="21"/>
                <w:lang w:val="es-ES"/>
              </w:rPr>
              <w:t>Planes de gestión de la eliminación de los HCFC aprobados</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4.730.583</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2.854.650</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1.503.388</w:t>
            </w:r>
          </w:p>
        </w:tc>
        <w:tc>
          <w:tcPr>
            <w:tcW w:w="1418"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9.088.621</w:t>
            </w:r>
          </w:p>
        </w:tc>
        <w:tc>
          <w:tcPr>
            <w:tcW w:w="1417"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2.516.375</w:t>
            </w:r>
          </w:p>
        </w:tc>
      </w:tr>
      <w:tr w:rsidR="00777755" w:rsidRPr="002A5E38" w:rsidTr="00E0029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DF4DDF" w:rsidRDefault="00777755" w:rsidP="00E00293">
            <w:pPr>
              <w:jc w:val="left"/>
              <w:rPr>
                <w:sz w:val="21"/>
                <w:szCs w:val="21"/>
                <w:lang w:val="es-ES"/>
              </w:rPr>
            </w:pPr>
            <w:r w:rsidRPr="00DF4DDF">
              <w:rPr>
                <w:sz w:val="21"/>
                <w:szCs w:val="21"/>
                <w:lang w:val="es-ES"/>
              </w:rPr>
              <w:t xml:space="preserve">Etapa II de los planes de gestión de la eliminación de los HCFC </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282.500</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100.000</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p>
        </w:tc>
        <w:tc>
          <w:tcPr>
            <w:tcW w:w="1418"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382.500</w:t>
            </w:r>
          </w:p>
        </w:tc>
        <w:tc>
          <w:tcPr>
            <w:tcW w:w="1417"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sz w:val="21"/>
                <w:szCs w:val="21"/>
              </w:rPr>
            </w:pPr>
            <w:r>
              <w:rPr>
                <w:sz w:val="21"/>
                <w:szCs w:val="21"/>
              </w:rPr>
              <w:t>442.500</w:t>
            </w:r>
          </w:p>
        </w:tc>
      </w:tr>
      <w:tr w:rsidR="00777755" w:rsidRPr="002A5E38" w:rsidTr="00E0029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77755" w:rsidRPr="002A5E38" w:rsidRDefault="00777755" w:rsidP="00E00293">
            <w:pPr>
              <w:jc w:val="left"/>
              <w:rPr>
                <w:b/>
                <w:bCs/>
                <w:sz w:val="21"/>
                <w:szCs w:val="21"/>
              </w:rPr>
            </w:pPr>
            <w:r>
              <w:rPr>
                <w:b/>
                <w:bCs/>
                <w:sz w:val="21"/>
                <w:szCs w:val="21"/>
              </w:rPr>
              <w:t>Total</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5.013.083</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2.954.650</w:t>
            </w:r>
          </w:p>
        </w:tc>
        <w:tc>
          <w:tcPr>
            <w:tcW w:w="1323"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1.503.388</w:t>
            </w:r>
          </w:p>
        </w:tc>
        <w:tc>
          <w:tcPr>
            <w:tcW w:w="1418"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9.471.121</w:t>
            </w:r>
          </w:p>
        </w:tc>
        <w:tc>
          <w:tcPr>
            <w:tcW w:w="1417" w:type="dxa"/>
            <w:tcBorders>
              <w:top w:val="nil"/>
              <w:left w:val="nil"/>
              <w:bottom w:val="single" w:sz="4" w:space="0" w:color="auto"/>
              <w:right w:val="single" w:sz="4" w:space="0" w:color="auto"/>
            </w:tcBorders>
            <w:shd w:val="clear" w:color="auto" w:fill="auto"/>
            <w:noWrap/>
            <w:vAlign w:val="bottom"/>
          </w:tcPr>
          <w:p w:rsidR="00777755" w:rsidRPr="002A5E38" w:rsidRDefault="00777755" w:rsidP="00E00293">
            <w:pPr>
              <w:jc w:val="right"/>
              <w:rPr>
                <w:b/>
                <w:sz w:val="21"/>
                <w:szCs w:val="21"/>
              </w:rPr>
            </w:pPr>
            <w:r>
              <w:rPr>
                <w:b/>
                <w:sz w:val="21"/>
                <w:szCs w:val="21"/>
              </w:rPr>
              <w:t>2.958.875</w:t>
            </w:r>
          </w:p>
        </w:tc>
      </w:tr>
    </w:tbl>
    <w:p w:rsidR="00777755" w:rsidRPr="00DF4DDF" w:rsidRDefault="00777755" w:rsidP="00777755">
      <w:pPr>
        <w:rPr>
          <w:sz w:val="18"/>
          <w:szCs w:val="18"/>
          <w:lang w:val="es-ES"/>
        </w:rPr>
      </w:pPr>
      <w:r w:rsidRPr="00DF4DDF">
        <w:rPr>
          <w:sz w:val="18"/>
          <w:szCs w:val="18"/>
          <w:lang w:val="es-ES"/>
        </w:rPr>
        <w:t>* Incluidos gastos de apoyo al organismo.</w:t>
      </w:r>
    </w:p>
    <w:p w:rsidR="00777755" w:rsidRPr="00DF4DDF" w:rsidRDefault="00777755" w:rsidP="00777755">
      <w:pPr>
        <w:rPr>
          <w:lang w:val="es-ES"/>
        </w:rPr>
      </w:pPr>
    </w:p>
    <w:p w:rsidR="00777755" w:rsidRPr="002A5E38" w:rsidRDefault="00777755" w:rsidP="00777755">
      <w:pPr>
        <w:pStyle w:val="Heading1"/>
        <w:keepNext/>
        <w:keepLines/>
        <w:numPr>
          <w:ilvl w:val="0"/>
          <w:numId w:val="0"/>
        </w:numPr>
        <w:rPr>
          <w:b/>
          <w:bCs/>
        </w:rPr>
      </w:pPr>
      <w:r>
        <w:rPr>
          <w:b/>
          <w:bCs/>
        </w:rPr>
        <w:t>RECOMENDACIÓN</w:t>
      </w:r>
    </w:p>
    <w:p w:rsidR="00777755" w:rsidRPr="00DF4DDF" w:rsidRDefault="00777755" w:rsidP="00777755">
      <w:pPr>
        <w:pStyle w:val="Heading1"/>
        <w:keepNext/>
        <w:keepLines/>
        <w:rPr>
          <w:lang w:val="es-ES"/>
        </w:rPr>
      </w:pPr>
      <w:r w:rsidRPr="00DF4DDF">
        <w:rPr>
          <w:lang w:val="es-ES"/>
        </w:rPr>
        <w:t>El Comité Ejecutivo puede estimar oportuno:</w:t>
      </w:r>
    </w:p>
    <w:p w:rsidR="00777755" w:rsidRPr="00DF4DDF" w:rsidRDefault="00777755" w:rsidP="00777755">
      <w:pPr>
        <w:pStyle w:val="Heading2"/>
        <w:keepNext/>
        <w:keepLines/>
        <w:rPr>
          <w:lang w:val="es-ES"/>
        </w:rPr>
      </w:pPr>
      <w:r w:rsidRPr="00DF4DDF">
        <w:rPr>
          <w:lang w:val="es-ES"/>
        </w:rPr>
        <w:t>Los planes administrativos de los organismos bilaterales para 2020-2022 presentados por los Gobiernos de Australia y Alemania, que figuran en el documento UNEP/</w:t>
      </w:r>
      <w:proofErr w:type="spellStart"/>
      <w:r w:rsidRPr="00DF4DDF">
        <w:rPr>
          <w:lang w:val="es-ES"/>
        </w:rPr>
        <w:t>OzL.Pro</w:t>
      </w:r>
      <w:proofErr w:type="spellEnd"/>
      <w:r w:rsidRPr="00DF4DDF">
        <w:rPr>
          <w:lang w:val="es-ES"/>
        </w:rPr>
        <w:t>/</w:t>
      </w:r>
      <w:proofErr w:type="spellStart"/>
      <w:r w:rsidRPr="00DF4DDF">
        <w:rPr>
          <w:lang w:val="es-ES"/>
        </w:rPr>
        <w:t>ExCom</w:t>
      </w:r>
      <w:proofErr w:type="spellEnd"/>
      <w:r w:rsidRPr="00DF4DDF">
        <w:rPr>
          <w:lang w:val="es-ES"/>
        </w:rPr>
        <w:t xml:space="preserve">/84/27; y </w:t>
      </w:r>
    </w:p>
    <w:p w:rsidR="00777755" w:rsidRPr="00DF4DDF" w:rsidRDefault="00777755" w:rsidP="00777755">
      <w:pPr>
        <w:pStyle w:val="Heading2"/>
        <w:rPr>
          <w:lang w:val="es-ES"/>
        </w:rPr>
      </w:pPr>
      <w:r w:rsidRPr="00DF4DDF">
        <w:rPr>
          <w:lang w:val="es-ES"/>
        </w:rPr>
        <w:t>Que el plan administrativo de Alemania para 2020-2022 debería ser examinado de nuevo teniendo en cuenta la asignación de actividades bilaterales para el trienio 2018-2020.</w:t>
      </w:r>
    </w:p>
    <w:p w:rsidR="00777755" w:rsidRPr="00DF4DDF" w:rsidRDefault="00777755" w:rsidP="0077775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7755" w:rsidRPr="008660FD" w:rsidTr="00E00293">
        <w:tc>
          <w:tcPr>
            <w:tcW w:w="1871" w:type="dxa"/>
          </w:tcPr>
          <w:p w:rsidR="00777755" w:rsidRPr="00DF4DDF" w:rsidRDefault="00777755" w:rsidP="00E00293">
            <w:pPr>
              <w:tabs>
                <w:tab w:val="left" w:pos="8280"/>
              </w:tabs>
              <w:rPr>
                <w:lang w:val="es-ES"/>
              </w:rPr>
            </w:pPr>
          </w:p>
        </w:tc>
        <w:tc>
          <w:tcPr>
            <w:tcW w:w="1872" w:type="dxa"/>
          </w:tcPr>
          <w:p w:rsidR="00777755" w:rsidRPr="00DF4DDF" w:rsidRDefault="00777755" w:rsidP="00E00293">
            <w:pPr>
              <w:tabs>
                <w:tab w:val="left" w:pos="8280"/>
              </w:tabs>
              <w:rPr>
                <w:lang w:val="es-ES"/>
              </w:rPr>
            </w:pPr>
          </w:p>
        </w:tc>
        <w:tc>
          <w:tcPr>
            <w:tcW w:w="1872" w:type="dxa"/>
            <w:tcBorders>
              <w:bottom w:val="single" w:sz="4" w:space="0" w:color="auto"/>
            </w:tcBorders>
          </w:tcPr>
          <w:p w:rsidR="00777755" w:rsidRPr="00DF4DDF" w:rsidRDefault="00777755" w:rsidP="00E00293">
            <w:pPr>
              <w:tabs>
                <w:tab w:val="left" w:pos="8280"/>
              </w:tabs>
              <w:rPr>
                <w:lang w:val="es-ES"/>
              </w:rPr>
            </w:pPr>
          </w:p>
        </w:tc>
        <w:tc>
          <w:tcPr>
            <w:tcW w:w="1872" w:type="dxa"/>
          </w:tcPr>
          <w:p w:rsidR="00777755" w:rsidRPr="00DF4DDF" w:rsidRDefault="00777755" w:rsidP="00E00293">
            <w:pPr>
              <w:tabs>
                <w:tab w:val="left" w:pos="8280"/>
              </w:tabs>
              <w:rPr>
                <w:lang w:val="es-ES"/>
              </w:rPr>
            </w:pPr>
          </w:p>
        </w:tc>
        <w:tc>
          <w:tcPr>
            <w:tcW w:w="1873" w:type="dxa"/>
          </w:tcPr>
          <w:p w:rsidR="00777755" w:rsidRPr="00DF4DDF" w:rsidRDefault="00777755" w:rsidP="00E00293">
            <w:pPr>
              <w:tabs>
                <w:tab w:val="left" w:pos="8280"/>
              </w:tabs>
              <w:rPr>
                <w:lang w:val="es-ES"/>
              </w:rPr>
            </w:pPr>
          </w:p>
        </w:tc>
      </w:tr>
    </w:tbl>
    <w:p w:rsidR="00777755" w:rsidRPr="00DF4DDF" w:rsidRDefault="00777755" w:rsidP="00777755">
      <w:pPr>
        <w:tabs>
          <w:tab w:val="left" w:pos="8280"/>
        </w:tabs>
        <w:rPr>
          <w:lang w:val="es-ES"/>
        </w:rPr>
      </w:pPr>
    </w:p>
    <w:p w:rsidR="0087455A" w:rsidRDefault="0087455A">
      <w:pPr>
        <w:jc w:val="center"/>
        <w:rPr>
          <w:b/>
          <w:bCs/>
          <w:lang w:val="es-ES"/>
        </w:rPr>
      </w:pPr>
    </w:p>
    <w:sectPr w:rsidR="0087455A">
      <w:headerReference w:type="even" r:id="rId10"/>
      <w:headerReference w:type="default" r:id="rId11"/>
      <w:footerReference w:type="even" r:id="rId12"/>
      <w:headerReference w:type="firs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DA1" w:rsidRDefault="00B44DA1">
      <w:r>
        <w:separator/>
      </w:r>
    </w:p>
  </w:endnote>
  <w:endnote w:type="continuationSeparator" w:id="0">
    <w:p w:rsidR="00B44DA1" w:rsidRDefault="00B4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13A" w:rsidRPr="006D413A" w:rsidRDefault="006D413A" w:rsidP="006D413A">
    <w:pPr>
      <w:pStyle w:val="Footer"/>
      <w:jc w:val="center"/>
      <w:rPr>
        <w:lang w:val="es-ES"/>
      </w:rPr>
    </w:pPr>
    <w:r>
      <w:rPr>
        <w:lang w:val="es-ES"/>
      </w:rP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Pr="006D413A" w:rsidRDefault="006D413A" w:rsidP="006D413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DA1" w:rsidRDefault="00B44DA1">
      <w:r>
        <w:separator/>
      </w:r>
    </w:p>
  </w:footnote>
  <w:footnote w:type="continuationSeparator" w:id="0">
    <w:p w:rsidR="00B44DA1" w:rsidRDefault="00B44DA1">
      <w:r>
        <w:continuationSeparator/>
      </w:r>
    </w:p>
  </w:footnote>
  <w:footnote w:id="1">
    <w:p w:rsidR="00777755" w:rsidRDefault="00777755" w:rsidP="00777755">
      <w:pPr>
        <w:pStyle w:val="FootnoteText"/>
      </w:pPr>
      <w:r>
        <w:rPr>
          <w:rStyle w:val="FootnoteReference"/>
        </w:rPr>
        <w:footnoteRef/>
      </w:r>
      <w:r>
        <w:t xml:space="preserve"> La cooperación bilateral puede considerarse como una contribución al Fondo Multilateral de hasta un valor del veinte por ciento del compromiso anual de un país a dicho Fondo. El Comité Ejecutivo decidió permitir flexibilidad en el año en que acrediten los proyectos bilaterales, a condición de que los organismos bilaterales presenten sus planes de trabajo al comienzo del año para su consideración durante las deliberaciones sobre los planes administrativos en la primera reunión del Comité del año (decisión 25/13(a)). La cooperación bilateral por otras Partes que no están al amparo del Artículo 5, como el Canadá, España, los Estados Unidos de América, Finlandia, Francia, Israel, Italia, Polonia, Portugal, el Reino Unido de Gran Bretaña e Irlanda del Norte, la República Checa, la Federación de Rusia, Suecia y Suiza, no presentó planes administrativos bilaterales y el valor total de las actividades bilaterales podría aumentar en caso de hacerse tales presentaciones.</w:t>
      </w:r>
    </w:p>
    <w:p w:rsidR="008660FD" w:rsidRDefault="008660FD" w:rsidP="00777755">
      <w:pPr>
        <w:pStyle w:val="FootnoteText"/>
      </w:pPr>
    </w:p>
    <w:p w:rsidR="008660FD" w:rsidRDefault="008660FD" w:rsidP="00777755">
      <w:pPr>
        <w:pStyle w:val="FootnoteText"/>
      </w:pPr>
    </w:p>
    <w:p w:rsidR="008660FD" w:rsidRPr="002245EB" w:rsidRDefault="008660FD" w:rsidP="00777755">
      <w:pPr>
        <w:pStyle w:val="FootnoteText"/>
      </w:pPr>
    </w:p>
  </w:footnote>
  <w:footnote w:id="2">
    <w:p w:rsidR="00585BEB" w:rsidRDefault="00777755" w:rsidP="00777755">
      <w:pPr>
        <w:pStyle w:val="FootnoteText"/>
      </w:pPr>
      <w:r>
        <w:rPr>
          <w:rStyle w:val="FootnoteReference"/>
        </w:rPr>
        <w:footnoteRef/>
      </w:r>
      <w:r>
        <w:t xml:space="preserve"> Todas las actividades que se realizarán después de 2022 son para la etapa I aprobada de los planes de gestión de la eliminación de los HCFC para Mauricio, </w:t>
      </w:r>
      <w:proofErr w:type="spellStart"/>
      <w:r>
        <w:t>Papua</w:t>
      </w:r>
      <w:proofErr w:type="spellEnd"/>
      <w:r>
        <w:t xml:space="preserve"> Nueva Guinea y Seychelles; para la etapa II de los planes de gestión </w:t>
      </w:r>
    </w:p>
    <w:p w:rsidR="00777755" w:rsidRPr="009A6EAC" w:rsidRDefault="00777755" w:rsidP="00777755">
      <w:pPr>
        <w:pStyle w:val="FootnoteText"/>
      </w:pPr>
      <w:r>
        <w:t xml:space="preserve">de la eliminación de los HCFC para Brasil, China y </w:t>
      </w:r>
      <w:proofErr w:type="spellStart"/>
      <w:r>
        <w:t>Kenya</w:t>
      </w:r>
      <w:proofErr w:type="spellEnd"/>
      <w:r>
        <w:t xml:space="preserve">; y para la nueva etapa II de los planes de gestión de la eliminación de los HCFC para </w:t>
      </w:r>
      <w:proofErr w:type="spellStart"/>
      <w:r>
        <w:t>Lesotho</w:t>
      </w:r>
      <w:proofErr w:type="spellEnd"/>
      <w:r>
        <w:t xml:space="preserve"> y los países insulares del Pacífico. </w:t>
      </w:r>
    </w:p>
  </w:footnote>
  <w:footnote w:id="3">
    <w:p w:rsidR="00777755" w:rsidRPr="00DD2D47" w:rsidRDefault="00777755" w:rsidP="00777755">
      <w:pPr>
        <w:pStyle w:val="FootnoteText"/>
      </w:pPr>
      <w:bookmarkStart w:id="0" w:name="_GoBack"/>
      <w:bookmarkEnd w:id="0"/>
      <w:r>
        <w:rPr>
          <w:rStyle w:val="FootnoteReference"/>
        </w:rPr>
        <w:footnoteRef/>
      </w:r>
      <w:r>
        <w:t xml:space="preserve"> UNEP/</w:t>
      </w:r>
      <w:proofErr w:type="spellStart"/>
      <w:r>
        <w:t>OzL.Pro</w:t>
      </w:r>
      <w:proofErr w:type="spellEnd"/>
      <w:r>
        <w:t>/</w:t>
      </w:r>
      <w:proofErr w:type="spellStart"/>
      <w:r>
        <w:t>ExCom</w:t>
      </w:r>
      <w:proofErr w:type="spellEnd"/>
      <w: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13A" w:rsidRDefault="006D413A" w:rsidP="006D413A">
    <w:pPr>
      <w:jc w:val="left"/>
    </w:pPr>
    <w:r>
      <w:fldChar w:fldCharType="begin"/>
    </w:r>
    <w:r>
      <w:instrText xml:space="preserve"> DOCPROPERTY "Document number"  \* MERGEFORMAT </w:instrText>
    </w:r>
    <w:r>
      <w:fldChar w:fldCharType="separate"/>
    </w:r>
    <w:r w:rsidR="001462DF">
      <w:t>UNEP/</w:t>
    </w:r>
    <w:proofErr w:type="spellStart"/>
    <w:r w:rsidR="001462DF">
      <w:t>OzL.Pro</w:t>
    </w:r>
    <w:proofErr w:type="spellEnd"/>
    <w:r w:rsidR="001462DF">
      <w:t>/</w:t>
    </w:r>
    <w:proofErr w:type="spellStart"/>
    <w:r w:rsidR="001462DF">
      <w:t>ExCom</w:t>
    </w:r>
    <w:proofErr w:type="spellEnd"/>
    <w:r w:rsidR="001462DF">
      <w:t>/84/27</w:t>
    </w:r>
    <w:r>
      <w:fldChar w:fldCharType="end"/>
    </w:r>
  </w:p>
  <w:p w:rsidR="006D413A" w:rsidRDefault="006D413A">
    <w:pPr>
      <w:pStyle w:val="Header"/>
    </w:pPr>
  </w:p>
  <w:p w:rsidR="006D413A" w:rsidRDefault="006D41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13A" w:rsidRDefault="006D413A" w:rsidP="006D413A">
    <w:pPr>
      <w:jc w:val="right"/>
    </w:pPr>
    <w:r>
      <w:fldChar w:fldCharType="begin"/>
    </w:r>
    <w:r>
      <w:instrText xml:space="preserve"> DOCPROPERTY "Document number"  \* MERGEFORMAT </w:instrText>
    </w:r>
    <w:r>
      <w:fldChar w:fldCharType="separate"/>
    </w:r>
    <w:r w:rsidR="001462DF">
      <w:t>UNEP/</w:t>
    </w:r>
    <w:proofErr w:type="spellStart"/>
    <w:r w:rsidR="001462DF">
      <w:t>OzL.Pro</w:t>
    </w:r>
    <w:proofErr w:type="spellEnd"/>
    <w:r w:rsidR="001462DF">
      <w:t>/</w:t>
    </w:r>
    <w:proofErr w:type="spellStart"/>
    <w:r w:rsidR="001462DF">
      <w:t>ExCom</w:t>
    </w:r>
    <w:proofErr w:type="spellEnd"/>
    <w:r w:rsidR="001462DF">
      <w:t>/84/27</w:t>
    </w:r>
    <w:r>
      <w:fldChar w:fldCharType="end"/>
    </w:r>
  </w:p>
  <w:p w:rsidR="006D413A" w:rsidRDefault="006D413A">
    <w:pPr>
      <w:pStyle w:val="Header"/>
    </w:pPr>
  </w:p>
  <w:p w:rsidR="006D413A" w:rsidRDefault="006D41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755"/>
    <w:rsid w:val="00106F6E"/>
    <w:rsid w:val="00114CAA"/>
    <w:rsid w:val="001462DF"/>
    <w:rsid w:val="001C2D22"/>
    <w:rsid w:val="001F4047"/>
    <w:rsid w:val="00235D4C"/>
    <w:rsid w:val="0024162E"/>
    <w:rsid w:val="003863A4"/>
    <w:rsid w:val="003B7115"/>
    <w:rsid w:val="00455352"/>
    <w:rsid w:val="00476E28"/>
    <w:rsid w:val="00585BEB"/>
    <w:rsid w:val="006D413A"/>
    <w:rsid w:val="00777755"/>
    <w:rsid w:val="00831BC5"/>
    <w:rsid w:val="008660FD"/>
    <w:rsid w:val="0087455A"/>
    <w:rsid w:val="00A5252E"/>
    <w:rsid w:val="00A93CD6"/>
    <w:rsid w:val="00AB56E5"/>
    <w:rsid w:val="00B44DA1"/>
    <w:rsid w:val="00C14E67"/>
    <w:rsid w:val="00DB795B"/>
    <w:rsid w:val="00DF4DDF"/>
    <w:rsid w:val="00E17F97"/>
    <w:rsid w:val="00F10CD9"/>
    <w:rsid w:val="00F25F7C"/>
    <w:rsid w:val="00F543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DAA68B"/>
  <w15:docId w15:val="{10557C0E-EFE4-4AA1-9318-786DBB78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777755"/>
    <w:pPr>
      <w:jc w:val="center"/>
      <w:outlineLvl w:val="0"/>
    </w:pPr>
    <w:rPr>
      <w:b/>
      <w:caps/>
      <w:sz w:val="22"/>
      <w:szCs w:val="22"/>
      <w:lang w:val="es-ES"/>
    </w:rPr>
  </w:style>
  <w:style w:type="paragraph" w:customStyle="1" w:styleId="subhead">
    <w:name w:val="subhead"/>
    <w:basedOn w:val="Normal"/>
    <w:next w:val="Normal"/>
    <w:uiPriority w:val="99"/>
    <w:rsid w:val="00777755"/>
    <w:pPr>
      <w:tabs>
        <w:tab w:val="left" w:pos="-720"/>
        <w:tab w:val="left" w:pos="0"/>
        <w:tab w:val="left" w:pos="720"/>
        <w:tab w:val="left" w:pos="1440"/>
        <w:tab w:val="left" w:pos="2160"/>
        <w:tab w:val="left" w:pos="2880"/>
        <w:tab w:val="left" w:pos="3600"/>
      </w:tabs>
      <w:jc w:val="center"/>
    </w:pPr>
    <w:rPr>
      <w:sz w:val="24"/>
      <w:szCs w:val="24"/>
      <w:lang w:val="es-ES"/>
    </w:rPr>
  </w:style>
  <w:style w:type="paragraph" w:customStyle="1" w:styleId="a--">
    <w:name w:val="a-(-)"/>
    <w:basedOn w:val="Normal"/>
    <w:uiPriority w:val="99"/>
    <w:rsid w:val="00777755"/>
    <w:pPr>
      <w:tabs>
        <w:tab w:val="left" w:pos="-720"/>
        <w:tab w:val="left" w:pos="0"/>
        <w:tab w:val="left" w:pos="720"/>
        <w:tab w:val="left" w:pos="1440"/>
        <w:tab w:val="left" w:pos="2160"/>
        <w:tab w:val="left" w:pos="2880"/>
        <w:tab w:val="left" w:pos="3600"/>
      </w:tabs>
      <w:suppressAutoHyphens/>
    </w:pPr>
    <w:rPr>
      <w:b/>
      <w:bCs/>
      <w:sz w:val="24"/>
      <w:szCs w:val="24"/>
      <w:lang w:val="es-ES"/>
    </w:rPr>
  </w:style>
  <w:style w:type="paragraph" w:styleId="FootnoteText">
    <w:name w:val="footnote text"/>
    <w:basedOn w:val="Normal"/>
    <w:link w:val="FootnoteTextChar"/>
    <w:semiHidden/>
    <w:rsid w:val="00777755"/>
    <w:rPr>
      <w:sz w:val="20"/>
      <w:szCs w:val="20"/>
      <w:lang w:val="es-ES"/>
    </w:rPr>
  </w:style>
  <w:style w:type="character" w:customStyle="1" w:styleId="FootnoteTextChar">
    <w:name w:val="Footnote Text Char"/>
    <w:basedOn w:val="DefaultParagraphFont"/>
    <w:link w:val="FootnoteText"/>
    <w:semiHidden/>
    <w:rsid w:val="00777755"/>
    <w:rPr>
      <w:lang w:val="es-ES"/>
    </w:rPr>
  </w:style>
  <w:style w:type="character" w:styleId="FootnoteReference">
    <w:name w:val="footnote reference"/>
    <w:semiHidden/>
    <w:rsid w:val="00777755"/>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7775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tercer%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UNEP/OzL.Pro/ExCom/84/27</Document_x0020_Number>
  </documentManagement>
</p:properties>
</file>

<file path=customXml/itemProps1.xml><?xml version="1.0" encoding="utf-8"?>
<ds:datastoreItem xmlns:ds="http://schemas.openxmlformats.org/officeDocument/2006/customXml" ds:itemID="{AEFFF7FD-4FE0-478C-8FA7-DC5F2123EEA1}"/>
</file>

<file path=customXml/itemProps2.xml><?xml version="1.0" encoding="utf-8"?>
<ds:datastoreItem xmlns:ds="http://schemas.openxmlformats.org/officeDocument/2006/customXml" ds:itemID="{A6C519A1-0652-4B67-B435-DEE08A345401}"/>
</file>

<file path=customXml/itemProps3.xml><?xml version="1.0" encoding="utf-8"?>
<ds:datastoreItem xmlns:ds="http://schemas.openxmlformats.org/officeDocument/2006/customXml" ds:itemID="{FC02AB65-F2D1-45E7-995E-8449F387DE5A}"/>
</file>

<file path=customXml/itemProps4.xml><?xml version="1.0" encoding="utf-8"?>
<ds:datastoreItem xmlns:ds="http://schemas.openxmlformats.org/officeDocument/2006/customXml" ds:itemID="{89EBF0C4-09B0-4A1D-869A-7A378685B5C0}"/>
</file>

<file path=docProps/app.xml><?xml version="1.0" encoding="utf-8"?>
<Properties xmlns="http://schemas.openxmlformats.org/officeDocument/2006/extended-properties" xmlns:vt="http://schemas.openxmlformats.org/officeDocument/2006/docPropsVTypes">
  <Template>S84-template</Template>
  <TotalTime>15</TotalTime>
  <Pages>5</Pages>
  <Words>1602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Planes administrativos de los organismos bilaterales para el período 2020-2022</vt:lpstr>
    </vt:vector>
  </TitlesOfParts>
  <Company>UNMFS</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el período 2020-2022</dc:title>
  <dc:creator>Alejandro Moreno-Ramos</dc:creator>
  <cp:lastModifiedBy>HBE</cp:lastModifiedBy>
  <cp:revision>9</cp:revision>
  <cp:lastPrinted>2001-05-26T16:40:00Z</cp:lastPrinted>
  <dcterms:created xsi:type="dcterms:W3CDTF">2019-11-22T14:21:00Z</dcterms:created>
  <dcterms:modified xsi:type="dcterms:W3CDTF">2019-11-27T23:51:00Z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UNEP/OzL.Pro/ExCom/84/27</vt:lpwstr>
  </property>
  <property fmtid="{D5CDD505-2E9C-101B-9397-08002B2CF9AE}" pid="3" name="Revision date">
    <vt:lpwstr>11/20/2019</vt:lpwstr>
  </property>
  <property fmtid="{D5CDD505-2E9C-101B-9397-08002B2CF9AE}" pid="4" name="ContentTypeId">
    <vt:lpwstr>0x010100CF2D22381220FE4184AFB35730DED85F</vt:lpwstr>
  </property>
</Properties>
</file>