
<file path=[Content_Types].xml><?xml version="1.0" encoding="utf-8"?>
<Types xmlns="http://schemas.openxmlformats.org/package/2006/content-types">
  <Default Extension="bin" ContentType="application/vnd.ms-word.attachedToolbar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customizations.xml" ContentType="application/vnd.ms-word.keyMapCustomizations+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0080" w:type="dxa"/>
        <w:tblInd w:w="-432" w:type="dxa"/>
        <w:tblLayout w:type="fixed"/>
        <w:tblLook w:val="0000" w:firstRow="0" w:lastRow="0" w:firstColumn="0" w:lastColumn="0" w:noHBand="0" w:noVBand="0"/>
      </w:tblPr>
      <w:tblGrid>
        <w:gridCol w:w="2070"/>
        <w:gridCol w:w="3420"/>
        <w:gridCol w:w="4590"/>
      </w:tblGrid>
      <w:tr w:rsidR="005514C8" w:rsidRPr="005514C8">
        <w:trPr>
          <w:trHeight w:val="720"/>
        </w:trPr>
        <w:tc>
          <w:tcPr>
            <w:tcW w:w="5490" w:type="dxa"/>
            <w:gridSpan w:val="2"/>
            <w:tcBorders>
              <w:bottom w:val="single" w:sz="18" w:space="0" w:color="auto"/>
            </w:tcBorders>
          </w:tcPr>
          <w:p w:rsidR="005514C8" w:rsidRPr="005514C8" w:rsidRDefault="005514C8">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Pr>
                <w:rFonts w:ascii="SimHei" w:eastAsia="SimHei" w:hint="eastAsia"/>
                <w:color w:val="000000"/>
                <w:sz w:val="36"/>
                <w:szCs w:val="36"/>
              </w:rPr>
              <w:t>联</w:t>
            </w:r>
            <w:r>
              <w:rPr>
                <w:rFonts w:ascii="SimHei" w:eastAsia="SimHei"/>
                <w:color w:val="000000"/>
                <w:sz w:val="36"/>
                <w:szCs w:val="36"/>
              </w:rPr>
              <w:t xml:space="preserve">  </w:t>
            </w:r>
            <w:r>
              <w:rPr>
                <w:rFonts w:ascii="SimHei" w:eastAsia="SimHei" w:hint="eastAsia"/>
                <w:color w:val="000000"/>
                <w:sz w:val="36"/>
                <w:szCs w:val="36"/>
              </w:rPr>
              <w:t>合</w:t>
            </w:r>
            <w:r>
              <w:rPr>
                <w:rFonts w:ascii="SimHei" w:eastAsia="SimHei"/>
                <w:color w:val="000000"/>
                <w:sz w:val="36"/>
                <w:szCs w:val="36"/>
              </w:rPr>
              <w:t xml:space="preserve">  </w:t>
            </w:r>
            <w:r>
              <w:rPr>
                <w:rFonts w:ascii="SimHei" w:eastAsia="SimHei" w:hint="eastAsia"/>
                <w:color w:val="000000"/>
                <w:sz w:val="36"/>
                <w:szCs w:val="36"/>
              </w:rPr>
              <w:t>国</w:t>
            </w:r>
          </w:p>
        </w:tc>
        <w:tc>
          <w:tcPr>
            <w:tcW w:w="4590" w:type="dxa"/>
            <w:tcBorders>
              <w:bottom w:val="single" w:sz="18" w:space="0" w:color="auto"/>
            </w:tcBorders>
          </w:tcPr>
          <w:p w:rsidR="005514C8" w:rsidRPr="005514C8" w:rsidRDefault="005514C8">
            <w:pPr>
              <w:jc w:val="right"/>
              <w:rPr>
                <w:rFonts w:ascii="Arial" w:hAnsi="Arial" w:cs="Arial"/>
                <w:sz w:val="52"/>
                <w:szCs w:val="52"/>
              </w:rPr>
            </w:pPr>
            <w:r w:rsidRPr="005514C8">
              <w:rPr>
                <w:rFonts w:ascii="Arial" w:hAnsi="Arial" w:cs="Arial"/>
                <w:b/>
                <w:sz w:val="72"/>
              </w:rPr>
              <w:t>EP</w:t>
            </w:r>
          </w:p>
        </w:tc>
      </w:tr>
      <w:tr w:rsidR="005514C8" w:rsidRPr="005514C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134"/>
        </w:trPr>
        <w:tc>
          <w:tcPr>
            <w:tcW w:w="2070" w:type="dxa"/>
            <w:tcBorders>
              <w:top w:val="nil"/>
              <w:left w:val="nil"/>
              <w:bottom w:val="single" w:sz="36" w:space="0" w:color="auto"/>
              <w:right w:val="nil"/>
            </w:tcBorders>
          </w:tcPr>
          <w:p w:rsidR="005514C8" w:rsidRPr="005514C8" w:rsidRDefault="002F6F74">
            <w:pPr>
              <w:spacing w:before="120"/>
            </w:pPr>
            <w:r w:rsidRPr="005514C8">
              <w:rPr>
                <w:noProof/>
                <w:lang w:val="en-US"/>
              </w:rPr>
              <w:drawing>
                <wp:anchor distT="0" distB="0" distL="114300" distR="114300" simplePos="0" relativeHeight="251658240" behindDoc="0" locked="0" layoutInCell="1" allowOverlap="1">
                  <wp:simplePos x="0" y="0"/>
                  <wp:positionH relativeFrom="column">
                    <wp:posOffset>15240</wp:posOffset>
                  </wp:positionH>
                  <wp:positionV relativeFrom="paragraph">
                    <wp:posOffset>878205</wp:posOffset>
                  </wp:positionV>
                  <wp:extent cx="800100" cy="705485"/>
                  <wp:effectExtent l="0" t="0" r="0" b="0"/>
                  <wp:wrapNone/>
                  <wp:docPr id="3" name="Picture 2" descr="说明: 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说明: UNEP"/>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00100" cy="705485"/>
                          </a:xfrm>
                          <a:prstGeom prst="rect">
                            <a:avLst/>
                          </a:prstGeom>
                          <a:noFill/>
                          <a:ln>
                            <a:noFill/>
                          </a:ln>
                        </pic:spPr>
                      </pic:pic>
                    </a:graphicData>
                  </a:graphic>
                  <wp14:sizeRelH relativeFrom="page">
                    <wp14:pctWidth>0</wp14:pctWidth>
                  </wp14:sizeRelH>
                  <wp14:sizeRelV relativeFrom="page">
                    <wp14:pctHeight>0</wp14:pctHeight>
                  </wp14:sizeRelV>
                </wp:anchor>
              </w:drawing>
            </w:r>
            <w:r w:rsidRPr="005514C8">
              <w:rPr>
                <w:noProof/>
                <w:lang w:val="en-US"/>
              </w:rPr>
              <w:drawing>
                <wp:anchor distT="0" distB="0" distL="114300" distR="114300" simplePos="0" relativeHeight="251657216" behindDoc="1" locked="0" layoutInCell="0" allowOverlap="1">
                  <wp:simplePos x="0" y="0"/>
                  <wp:positionH relativeFrom="column">
                    <wp:posOffset>0</wp:posOffset>
                  </wp:positionH>
                  <wp:positionV relativeFrom="paragraph">
                    <wp:posOffset>114300</wp:posOffset>
                  </wp:positionV>
                  <wp:extent cx="822960" cy="731520"/>
                  <wp:effectExtent l="0" t="0" r="0" b="0"/>
                  <wp:wrapNone/>
                  <wp:docPr id="2"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822960" cy="73152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3420" w:type="dxa"/>
            <w:tcBorders>
              <w:top w:val="nil"/>
              <w:left w:val="nil"/>
              <w:bottom w:val="single" w:sz="36" w:space="0" w:color="auto"/>
              <w:right w:val="nil"/>
            </w:tcBorders>
            <w:vAlign w:val="center"/>
          </w:tcPr>
          <w:p w:rsidR="005514C8" w:rsidRPr="005514C8" w:rsidRDefault="005514C8">
            <w:pPr>
              <w:pStyle w:val="Heading3"/>
              <w:numPr>
                <w:ilvl w:val="0"/>
                <w:numId w:val="0"/>
              </w:numPr>
              <w:tabs>
                <w:tab w:val="left" w:pos="0"/>
              </w:tabs>
              <w:spacing w:after="0"/>
              <w:jc w:val="left"/>
              <w:rPr>
                <w:b/>
                <w:sz w:val="32"/>
                <w:lang w:val="en-CA"/>
              </w:rPr>
            </w:pPr>
          </w:p>
          <w:p w:rsidR="005514C8" w:rsidRPr="005514C8" w:rsidRDefault="005514C8">
            <w:pPr>
              <w:pStyle w:val="Heading3"/>
              <w:numPr>
                <w:ilvl w:val="0"/>
                <w:numId w:val="0"/>
              </w:numPr>
              <w:tabs>
                <w:tab w:val="left" w:pos="0"/>
              </w:tabs>
              <w:spacing w:after="0"/>
              <w:jc w:val="left"/>
              <w:rPr>
                <w:b/>
                <w:sz w:val="32"/>
                <w:lang w:val="ru-RU"/>
              </w:rPr>
            </w:pPr>
            <w:r>
              <w:rPr>
                <w:rFonts w:ascii="SimHei" w:eastAsia="SimHei" w:hint="eastAsia"/>
                <w:color w:val="000000"/>
                <w:sz w:val="44"/>
              </w:rPr>
              <w:t>联</w:t>
            </w:r>
            <w:r>
              <w:rPr>
                <w:rFonts w:ascii="SimHei" w:eastAsia="SimHei"/>
                <w:color w:val="000000"/>
                <w:sz w:val="44"/>
              </w:rPr>
              <w:t xml:space="preserve"> </w:t>
            </w:r>
            <w:r>
              <w:rPr>
                <w:rFonts w:ascii="SimHei" w:eastAsia="SimHei" w:hint="eastAsia"/>
                <w:color w:val="000000"/>
                <w:sz w:val="44"/>
              </w:rPr>
              <w:t>合</w:t>
            </w:r>
            <w:r>
              <w:rPr>
                <w:rFonts w:ascii="SimHei" w:eastAsia="SimHei"/>
                <w:color w:val="000000"/>
                <w:sz w:val="44"/>
              </w:rPr>
              <w:t xml:space="preserve"> </w:t>
            </w:r>
            <w:r>
              <w:rPr>
                <w:rFonts w:ascii="SimHei" w:eastAsia="SimHei" w:hint="eastAsia"/>
                <w:color w:val="000000"/>
                <w:sz w:val="44"/>
              </w:rPr>
              <w:t>国</w:t>
            </w:r>
          </w:p>
          <w:p w:rsidR="005514C8" w:rsidRDefault="005514C8">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SimHei" w:eastAsia="SimHei"/>
                <w:color w:val="000000"/>
                <w:sz w:val="44"/>
              </w:rPr>
            </w:pPr>
            <w:r>
              <w:rPr>
                <w:rFonts w:ascii="SimHei" w:eastAsia="SimHei" w:hint="eastAsia"/>
                <w:color w:val="000000"/>
                <w:sz w:val="44"/>
              </w:rPr>
              <w:t>环</w:t>
            </w:r>
            <w:r>
              <w:rPr>
                <w:rFonts w:ascii="SimHei" w:eastAsia="SimHei"/>
                <w:color w:val="000000"/>
                <w:sz w:val="44"/>
                <w:lang w:val="ru-RU"/>
              </w:rPr>
              <w:t xml:space="preserve"> </w:t>
            </w:r>
            <w:r>
              <w:rPr>
                <w:rFonts w:ascii="SimHei" w:eastAsia="SimHei" w:hint="eastAsia"/>
                <w:color w:val="000000"/>
                <w:sz w:val="44"/>
              </w:rPr>
              <w:t>境</w:t>
            </w:r>
            <w:r>
              <w:rPr>
                <w:rFonts w:ascii="SimHei" w:eastAsia="SimHei"/>
                <w:color w:val="000000"/>
                <w:sz w:val="44"/>
                <w:lang w:val="ru-RU"/>
              </w:rPr>
              <w:t xml:space="preserve"> </w:t>
            </w:r>
            <w:r>
              <w:rPr>
                <w:rFonts w:ascii="SimHei" w:eastAsia="SimHei" w:hint="eastAsia"/>
                <w:color w:val="000000"/>
                <w:sz w:val="44"/>
              </w:rPr>
              <w:t>规</w:t>
            </w:r>
            <w:r>
              <w:rPr>
                <w:rFonts w:ascii="SimHei" w:eastAsia="SimHei"/>
                <w:color w:val="000000"/>
                <w:sz w:val="44"/>
                <w:lang w:val="ru-RU"/>
              </w:rPr>
              <w:t xml:space="preserve"> </w:t>
            </w:r>
            <w:r>
              <w:rPr>
                <w:rFonts w:ascii="SimHei" w:eastAsia="SimHei" w:hint="eastAsia"/>
                <w:color w:val="000000"/>
                <w:sz w:val="44"/>
              </w:rPr>
              <w:t>划</w:t>
            </w:r>
            <w:r>
              <w:rPr>
                <w:rFonts w:ascii="SimHei" w:eastAsia="SimHei"/>
                <w:color w:val="000000"/>
                <w:sz w:val="44"/>
                <w:lang w:val="ru-RU"/>
              </w:rPr>
              <w:t xml:space="preserve"> </w:t>
            </w:r>
            <w:r>
              <w:rPr>
                <w:rFonts w:ascii="SimHei" w:eastAsia="SimHei" w:hint="eastAsia"/>
                <w:color w:val="000000"/>
                <w:sz w:val="44"/>
              </w:rPr>
              <w:t>署</w:t>
            </w:r>
          </w:p>
          <w:p w:rsidR="005514C8" w:rsidRDefault="005514C8">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SimHei" w:eastAsia="SimHei"/>
                <w:color w:val="000000"/>
                <w:sz w:val="44"/>
              </w:rPr>
            </w:pPr>
          </w:p>
          <w:p w:rsidR="005514C8" w:rsidRPr="005514C8" w:rsidRDefault="005514C8">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Bold" w:hAnsi="Univers Bold"/>
                <w:b/>
                <w:sz w:val="32"/>
                <w:lang w:val="ru-RU"/>
              </w:rPr>
            </w:pPr>
          </w:p>
        </w:tc>
        <w:tc>
          <w:tcPr>
            <w:tcW w:w="4590" w:type="dxa"/>
            <w:tcBorders>
              <w:top w:val="nil"/>
              <w:left w:val="nil"/>
              <w:bottom w:val="single" w:sz="36" w:space="0" w:color="auto"/>
              <w:right w:val="nil"/>
            </w:tcBorders>
          </w:tcPr>
          <w:p w:rsidR="00E17303" w:rsidRDefault="00E17303" w:rsidP="0016073F"/>
          <w:p w:rsidR="0016073F" w:rsidRDefault="0016073F" w:rsidP="0016073F">
            <w:r>
              <w:t>Distr.</w:t>
            </w:r>
          </w:p>
          <w:p w:rsidR="0016073F" w:rsidRDefault="0016073F" w:rsidP="0016073F">
            <w:r>
              <w:t>GENERAL</w:t>
            </w:r>
          </w:p>
          <w:p w:rsidR="0016073F" w:rsidRDefault="0016073F" w:rsidP="00E17303">
            <w:r>
              <w:t xml:space="preserve">  </w:t>
            </w:r>
          </w:p>
          <w:p w:rsidR="00ED6B0A" w:rsidRPr="009B0D30" w:rsidRDefault="00E17303" w:rsidP="00ED6B0A">
            <w:r>
              <w:fldChar w:fldCharType="begin"/>
            </w:r>
            <w:r>
              <w:instrText xml:space="preserve"> DOCPROPERTY "Document number"  \* MERGEFORMAT </w:instrText>
            </w:r>
            <w:r>
              <w:fldChar w:fldCharType="separate"/>
            </w:r>
            <w:r>
              <w:t>UNEP/</w:t>
            </w:r>
            <w:proofErr w:type="spellStart"/>
            <w:r>
              <w:t>OzL.Pro</w:t>
            </w:r>
            <w:proofErr w:type="spellEnd"/>
            <w:r>
              <w:t>/</w:t>
            </w:r>
            <w:proofErr w:type="spellStart"/>
            <w:r>
              <w:t>ExCom</w:t>
            </w:r>
            <w:proofErr w:type="spellEnd"/>
            <w:r>
              <w:t>/87/20</w:t>
            </w:r>
            <w:r>
              <w:fldChar w:fldCharType="end"/>
            </w:r>
          </w:p>
          <w:p w:rsidR="00ED6B0A" w:rsidRPr="009B0D30" w:rsidRDefault="00ED6B0A" w:rsidP="00ED6B0A">
            <w:r w:rsidRPr="009B0D30">
              <w:fldChar w:fldCharType="begin"/>
            </w:r>
            <w:r w:rsidRPr="009B0D30">
              <w:instrText xml:space="preserve"> DOCPROPERTY "Revision date" \@ "d MMMM YYYY"  \* MERGEFORMAT </w:instrText>
            </w:r>
            <w:r w:rsidRPr="009B0D30">
              <w:fldChar w:fldCharType="separate"/>
            </w:r>
            <w:r w:rsidR="00E17303">
              <w:t>7 June 2021</w:t>
            </w:r>
            <w:r w:rsidRPr="009B0D30">
              <w:fldChar w:fldCharType="end"/>
            </w:r>
          </w:p>
          <w:p w:rsidR="0016073F" w:rsidRDefault="0016073F" w:rsidP="0016073F">
            <w:pPr>
              <w:rPr>
                <w:caps/>
              </w:rPr>
            </w:pPr>
            <w:r>
              <w:rPr>
                <w:caps/>
              </w:rPr>
              <w:t xml:space="preserve"> </w:t>
            </w:r>
          </w:p>
          <w:p w:rsidR="00ED6B0A" w:rsidRDefault="00ED6B0A" w:rsidP="0016073F">
            <w:r>
              <w:t>CHINESE</w:t>
            </w:r>
          </w:p>
          <w:p w:rsidR="0016073F" w:rsidRDefault="0016073F" w:rsidP="0016073F">
            <w:r>
              <w:t>ORIGINAL: ENGLISH</w:t>
            </w:r>
          </w:p>
          <w:p w:rsidR="005514C8" w:rsidRPr="005514C8" w:rsidRDefault="005514C8"/>
        </w:tc>
      </w:tr>
    </w:tbl>
    <w:p w:rsidR="005514C8" w:rsidRDefault="005514C8">
      <w:pPr>
        <w:pStyle w:val="Normal-para"/>
        <w:numPr>
          <w:ilvl w:val="0"/>
          <w:numId w:val="0"/>
        </w:numPr>
        <w:tabs>
          <w:tab w:val="clear" w:pos="490"/>
          <w:tab w:val="clear" w:pos="979"/>
          <w:tab w:val="clear" w:pos="1469"/>
          <w:tab w:val="left" w:pos="3705"/>
        </w:tabs>
        <w:spacing w:before="0" w:after="0"/>
        <w:rPr>
          <w:color w:val="000000"/>
          <w:sz w:val="28"/>
        </w:rPr>
      </w:pPr>
      <w:r>
        <w:rPr>
          <w:rFonts w:hint="eastAsia"/>
          <w:color w:val="000000"/>
          <w:sz w:val="28"/>
        </w:rPr>
        <w:t>执行蒙特利尔议定书</w:t>
      </w:r>
    </w:p>
    <w:p w:rsidR="005514C8" w:rsidRDefault="005514C8">
      <w:pPr>
        <w:pStyle w:val="Normal-para"/>
        <w:numPr>
          <w:ilvl w:val="0"/>
          <w:numId w:val="0"/>
        </w:numPr>
        <w:tabs>
          <w:tab w:val="clear" w:pos="490"/>
          <w:tab w:val="clear" w:pos="979"/>
          <w:tab w:val="clear" w:pos="1469"/>
          <w:tab w:val="left" w:pos="3705"/>
        </w:tabs>
        <w:spacing w:before="0" w:after="0"/>
        <w:rPr>
          <w:color w:val="000000"/>
          <w:sz w:val="28"/>
        </w:rPr>
      </w:pPr>
      <w:r>
        <w:rPr>
          <w:color w:val="000000"/>
          <w:sz w:val="28"/>
          <w:lang w:val="en-CA"/>
        </w:rPr>
        <w:t xml:space="preserve">  </w:t>
      </w:r>
      <w:r>
        <w:rPr>
          <w:rFonts w:hint="eastAsia"/>
          <w:color w:val="000000"/>
          <w:sz w:val="28"/>
        </w:rPr>
        <w:t>多边基金执行委员会</w:t>
      </w:r>
      <w:r>
        <w:rPr>
          <w:color w:val="000000"/>
          <w:sz w:val="28"/>
        </w:rPr>
        <w:tab/>
      </w:r>
    </w:p>
    <w:p w:rsidR="005514C8" w:rsidRDefault="005514C8">
      <w:pPr>
        <w:jc w:val="left"/>
        <w:rPr>
          <w:sz w:val="24"/>
          <w:szCs w:val="24"/>
          <w:lang w:val="en-CA" w:eastAsia="zh-CN"/>
        </w:rPr>
      </w:pPr>
      <w:r>
        <w:rPr>
          <w:rFonts w:hAnsi="SimSun" w:hint="eastAsia"/>
          <w:sz w:val="24"/>
          <w:szCs w:val="24"/>
          <w:lang w:val="en-CA" w:eastAsia="zh-CN"/>
        </w:rPr>
        <w:t>第八十七</w:t>
      </w:r>
      <w:r>
        <w:rPr>
          <w:rFonts w:hAnsi="SimSun"/>
          <w:sz w:val="24"/>
          <w:szCs w:val="24"/>
          <w:lang w:val="en-CA" w:eastAsia="zh-CN"/>
        </w:rPr>
        <w:t>次会议</w:t>
      </w:r>
    </w:p>
    <w:p w:rsidR="005514C8" w:rsidRDefault="005514C8">
      <w:pPr>
        <w:jc w:val="left"/>
        <w:rPr>
          <w:sz w:val="24"/>
          <w:szCs w:val="24"/>
          <w:lang w:eastAsia="zh-CN"/>
        </w:rPr>
      </w:pPr>
      <w:r>
        <w:rPr>
          <w:sz w:val="24"/>
          <w:szCs w:val="24"/>
          <w:lang w:val="en-CA" w:eastAsia="zh-CN"/>
        </w:rPr>
        <w:t>2021</w:t>
      </w:r>
      <w:r>
        <w:rPr>
          <w:rFonts w:hAnsi="SimSun"/>
          <w:sz w:val="24"/>
          <w:szCs w:val="24"/>
          <w:lang w:val="en-CA" w:eastAsia="zh-CN"/>
        </w:rPr>
        <w:t>年</w:t>
      </w:r>
      <w:r>
        <w:rPr>
          <w:rFonts w:hAnsi="SimSun" w:hint="eastAsia"/>
          <w:sz w:val="24"/>
          <w:szCs w:val="24"/>
          <w:lang w:val="en-CA" w:eastAsia="zh-CN"/>
        </w:rPr>
        <w:t>6</w:t>
      </w:r>
      <w:r>
        <w:rPr>
          <w:rFonts w:hAnsi="SimSun"/>
          <w:sz w:val="24"/>
          <w:szCs w:val="24"/>
          <w:lang w:val="en-CA" w:eastAsia="zh-CN"/>
        </w:rPr>
        <w:t>月</w:t>
      </w:r>
      <w:r>
        <w:rPr>
          <w:rFonts w:hAnsi="SimSun" w:hint="eastAsia"/>
          <w:sz w:val="24"/>
          <w:szCs w:val="24"/>
          <w:lang w:val="en-CA" w:eastAsia="zh-CN"/>
        </w:rPr>
        <w:t>28</w:t>
      </w:r>
      <w:r>
        <w:rPr>
          <w:rFonts w:hAnsi="SimSun"/>
          <w:sz w:val="24"/>
          <w:szCs w:val="24"/>
          <w:lang w:val="en-CA" w:eastAsia="zh-CN"/>
        </w:rPr>
        <w:t>日至</w:t>
      </w:r>
      <w:r>
        <w:rPr>
          <w:rFonts w:hAnsi="SimSun" w:hint="eastAsia"/>
          <w:sz w:val="24"/>
          <w:szCs w:val="24"/>
          <w:lang w:val="en-CA" w:eastAsia="zh-CN"/>
        </w:rPr>
        <w:t>7</w:t>
      </w:r>
      <w:r>
        <w:rPr>
          <w:rFonts w:hAnsi="SimSun" w:hint="eastAsia"/>
          <w:sz w:val="24"/>
          <w:szCs w:val="24"/>
          <w:lang w:val="en-CA" w:eastAsia="zh-CN"/>
        </w:rPr>
        <w:t>月</w:t>
      </w:r>
      <w:r>
        <w:rPr>
          <w:rFonts w:hAnsi="SimSun" w:hint="eastAsia"/>
          <w:sz w:val="24"/>
          <w:szCs w:val="24"/>
          <w:lang w:val="en-CA" w:eastAsia="zh-CN"/>
        </w:rPr>
        <w:t>2</w:t>
      </w:r>
      <w:r>
        <w:rPr>
          <w:rFonts w:hAnsi="SimSun"/>
          <w:sz w:val="24"/>
          <w:szCs w:val="24"/>
          <w:lang w:val="en-CA" w:eastAsia="zh-CN"/>
        </w:rPr>
        <w:t>日，蒙特利尔</w:t>
      </w:r>
      <w:r>
        <w:rPr>
          <w:rStyle w:val="FootnoteReference"/>
          <w:sz w:val="24"/>
          <w:szCs w:val="24"/>
        </w:rPr>
        <w:footnoteReference w:id="1"/>
      </w:r>
    </w:p>
    <w:p w:rsidR="005514C8" w:rsidRDefault="005514C8">
      <w:pPr>
        <w:pStyle w:val="Normal-para"/>
        <w:numPr>
          <w:ilvl w:val="0"/>
          <w:numId w:val="0"/>
        </w:numPr>
        <w:tabs>
          <w:tab w:val="clear" w:pos="490"/>
          <w:tab w:val="clear" w:pos="979"/>
          <w:tab w:val="clear" w:pos="1469"/>
          <w:tab w:val="left" w:pos="3705"/>
        </w:tabs>
        <w:spacing w:before="0" w:after="0"/>
        <w:rPr>
          <w:color w:val="000000"/>
          <w:szCs w:val="18"/>
          <w:lang w:val="en-GB"/>
        </w:rPr>
      </w:pPr>
    </w:p>
    <w:p w:rsidR="00E17303" w:rsidRDefault="00E17303">
      <w:pPr>
        <w:jc w:val="center"/>
        <w:rPr>
          <w:b/>
          <w:lang w:val="en-US" w:eastAsia="zh-CN"/>
        </w:rPr>
      </w:pPr>
    </w:p>
    <w:p w:rsidR="005514C8" w:rsidRDefault="005514C8">
      <w:pPr>
        <w:jc w:val="center"/>
        <w:rPr>
          <w:b/>
          <w:lang w:eastAsia="zh-CN"/>
        </w:rPr>
      </w:pPr>
      <w:bookmarkStart w:id="0" w:name="_GoBack"/>
      <w:r>
        <w:rPr>
          <w:rFonts w:hint="eastAsia"/>
          <w:b/>
          <w:lang w:val="en-US" w:eastAsia="zh-CN"/>
        </w:rPr>
        <w:t>项目提案</w:t>
      </w:r>
      <w:r>
        <w:rPr>
          <w:b/>
          <w:lang w:val="zh-CN" w:eastAsia="zh-CN"/>
        </w:rPr>
        <w:t>：贝宁</w:t>
      </w:r>
    </w:p>
    <w:p w:rsidR="005514C8" w:rsidRDefault="005514C8">
      <w:pPr>
        <w:rPr>
          <w:lang w:eastAsia="zh-CN"/>
        </w:rPr>
      </w:pPr>
    </w:p>
    <w:bookmarkEnd w:id="0"/>
    <w:p w:rsidR="005514C8" w:rsidRDefault="005514C8">
      <w:pPr>
        <w:rPr>
          <w:lang w:eastAsia="zh-CN"/>
        </w:rPr>
      </w:pPr>
    </w:p>
    <w:p w:rsidR="005514C8" w:rsidRDefault="005514C8">
      <w:pPr>
        <w:ind w:firstLine="720"/>
        <w:rPr>
          <w:lang w:eastAsia="zh-CN"/>
        </w:rPr>
      </w:pPr>
      <w:r>
        <w:rPr>
          <w:lang w:val="zh-CN" w:eastAsia="zh-CN"/>
        </w:rPr>
        <w:t>本文件包</w:t>
      </w:r>
      <w:r w:rsidR="008F44A9">
        <w:rPr>
          <w:rFonts w:hint="eastAsia"/>
          <w:lang w:val="zh-CN" w:eastAsia="zh-CN"/>
        </w:rPr>
        <w:t>含</w:t>
      </w:r>
      <w:r>
        <w:rPr>
          <w:lang w:val="zh-CN" w:eastAsia="zh-CN"/>
        </w:rPr>
        <w:t>秘书处对下</w:t>
      </w:r>
      <w:r w:rsidR="008F44A9">
        <w:rPr>
          <w:rFonts w:hint="eastAsia"/>
          <w:lang w:val="zh-CN" w:eastAsia="zh-CN"/>
        </w:rPr>
        <w:t>述</w:t>
      </w:r>
      <w:r>
        <w:rPr>
          <w:lang w:val="zh-CN" w:eastAsia="zh-CN"/>
        </w:rPr>
        <w:t>项目</w:t>
      </w:r>
      <w:r>
        <w:rPr>
          <w:rFonts w:hint="eastAsia"/>
          <w:lang w:val="en-US" w:eastAsia="zh-CN"/>
        </w:rPr>
        <w:t>提案</w:t>
      </w:r>
      <w:r>
        <w:rPr>
          <w:lang w:val="zh-CN" w:eastAsia="zh-CN"/>
        </w:rPr>
        <w:t>的评论和建议：</w:t>
      </w:r>
      <w:r>
        <w:rPr>
          <w:lang w:val="zh-CN" w:eastAsia="zh-CN"/>
        </w:rPr>
        <w:t xml:space="preserve"> </w:t>
      </w:r>
    </w:p>
    <w:p w:rsidR="005514C8" w:rsidRDefault="005514C8">
      <w:pPr>
        <w:rPr>
          <w:lang w:eastAsia="zh-CN"/>
        </w:rPr>
      </w:pPr>
    </w:p>
    <w:p w:rsidR="005514C8" w:rsidRDefault="005514C8">
      <w:pPr>
        <w:rPr>
          <w:u w:val="single"/>
        </w:rPr>
      </w:pPr>
      <w:r>
        <w:rPr>
          <w:u w:val="single"/>
          <w:lang w:val="zh-CN" w:eastAsia="zh-CN"/>
        </w:rPr>
        <w:t>淘汰</w:t>
      </w:r>
    </w:p>
    <w:p w:rsidR="005514C8" w:rsidRDefault="005514C8"/>
    <w:tbl>
      <w:tblPr>
        <w:tblW w:w="0" w:type="auto"/>
        <w:tblLook w:val="0000" w:firstRow="0" w:lastRow="0" w:firstColumn="0" w:lastColumn="0" w:noHBand="0" w:noVBand="0"/>
      </w:tblPr>
      <w:tblGrid>
        <w:gridCol w:w="6798"/>
        <w:gridCol w:w="2552"/>
      </w:tblGrid>
      <w:tr w:rsidR="005514C8" w:rsidRPr="005514C8">
        <w:tc>
          <w:tcPr>
            <w:tcW w:w="6798" w:type="dxa"/>
          </w:tcPr>
          <w:p w:rsidR="005514C8" w:rsidRPr="005514C8" w:rsidRDefault="005514C8" w:rsidP="00FE77B6">
            <w:pPr>
              <w:pStyle w:val="ListParagraph"/>
              <w:numPr>
                <w:ilvl w:val="0"/>
                <w:numId w:val="5"/>
              </w:numPr>
              <w:ind w:hanging="830"/>
              <w:rPr>
                <w:lang w:eastAsia="zh-CN"/>
              </w:rPr>
            </w:pPr>
            <w:r w:rsidRPr="00FE77B6">
              <w:rPr>
                <w:rFonts w:eastAsiaTheme="minorEastAsia"/>
                <w:lang w:val="en-CA" w:eastAsia="zh-CN"/>
              </w:rPr>
              <w:t>氟氯烃淘汰管理计划（第一阶段第五次</w:t>
            </w:r>
            <w:r w:rsidR="0002589C" w:rsidRPr="00FE77B6">
              <w:rPr>
                <w:rFonts w:eastAsiaTheme="minorEastAsia"/>
                <w:lang w:val="en-CA" w:eastAsia="zh-CN"/>
              </w:rPr>
              <w:t>拨款</w:t>
            </w:r>
            <w:r w:rsidRPr="00FE77B6">
              <w:rPr>
                <w:rFonts w:eastAsiaTheme="minorEastAsia"/>
                <w:lang w:val="en-CA" w:eastAsia="zh-CN"/>
              </w:rPr>
              <w:t>）</w:t>
            </w:r>
          </w:p>
        </w:tc>
        <w:tc>
          <w:tcPr>
            <w:tcW w:w="2552" w:type="dxa"/>
          </w:tcPr>
          <w:p w:rsidR="005514C8" w:rsidRPr="005514C8" w:rsidRDefault="00FE77B6" w:rsidP="00FE77B6">
            <w:pPr>
              <w:jc w:val="right"/>
              <w:rPr>
                <w:lang w:eastAsia="zh-CN"/>
              </w:rPr>
            </w:pPr>
            <w:r>
              <w:rPr>
                <w:rFonts w:hint="eastAsia"/>
                <w:lang w:eastAsia="zh-CN"/>
              </w:rPr>
              <w:t xml:space="preserve">  </w:t>
            </w:r>
            <w:r w:rsidR="008F44A9">
              <w:rPr>
                <w:rFonts w:hint="eastAsia"/>
                <w:lang w:eastAsia="zh-CN"/>
              </w:rPr>
              <w:t>联合国</w:t>
            </w:r>
            <w:r w:rsidR="005514C8" w:rsidRPr="005514C8">
              <w:rPr>
                <w:lang w:eastAsia="zh-CN"/>
              </w:rPr>
              <w:t>环境规划署和</w:t>
            </w:r>
            <w:r w:rsidR="008F44A9">
              <w:rPr>
                <w:rFonts w:hint="eastAsia"/>
                <w:lang w:eastAsia="zh-CN"/>
              </w:rPr>
              <w:t>联合国</w:t>
            </w:r>
            <w:r w:rsidR="005514C8" w:rsidRPr="005514C8">
              <w:rPr>
                <w:lang w:eastAsia="zh-CN"/>
              </w:rPr>
              <w:t>工发组织</w:t>
            </w:r>
          </w:p>
        </w:tc>
      </w:tr>
    </w:tbl>
    <w:p w:rsidR="005514C8" w:rsidRDefault="005514C8">
      <w:pPr>
        <w:rPr>
          <w:lang w:eastAsia="zh-CN"/>
        </w:rPr>
      </w:pPr>
    </w:p>
    <w:p w:rsidR="005514C8" w:rsidRDefault="005514C8">
      <w:pPr>
        <w:rPr>
          <w:lang w:eastAsia="zh-CN"/>
        </w:rPr>
      </w:pPr>
    </w:p>
    <w:p w:rsidR="005514C8" w:rsidRPr="00FE77B6" w:rsidRDefault="005514C8">
      <w:pPr>
        <w:rPr>
          <w:lang w:eastAsia="zh-CN"/>
        </w:rPr>
      </w:pPr>
    </w:p>
    <w:p w:rsidR="005514C8" w:rsidRDefault="005514C8">
      <w:pPr>
        <w:rPr>
          <w:lang w:eastAsia="zh-CN"/>
        </w:rPr>
      </w:pPr>
      <w:r>
        <w:rPr>
          <w:lang w:eastAsia="zh-CN"/>
        </w:rPr>
        <w:br w:type="page"/>
      </w:r>
    </w:p>
    <w:p w:rsidR="005514C8" w:rsidRDefault="005514C8">
      <w:pPr>
        <w:jc w:val="center"/>
        <w:rPr>
          <w:b/>
          <w:lang w:eastAsia="zh-CN"/>
        </w:rPr>
      </w:pPr>
      <w:r>
        <w:rPr>
          <w:b/>
          <w:lang w:val="zh-CN" w:eastAsia="zh-CN"/>
        </w:rPr>
        <w:lastRenderedPageBreak/>
        <w:t>项目评估表</w:t>
      </w:r>
      <w:r>
        <w:rPr>
          <w:b/>
          <w:rtl/>
          <w:cs/>
          <w:lang w:val="zh-CN" w:eastAsia="zh-CN"/>
        </w:rPr>
        <w:t>——</w:t>
      </w:r>
      <w:r>
        <w:rPr>
          <w:b/>
          <w:lang w:val="zh-CN" w:eastAsia="zh-CN"/>
        </w:rPr>
        <w:t>多年</w:t>
      </w:r>
      <w:r w:rsidR="008F44A9">
        <w:rPr>
          <w:rFonts w:hint="eastAsia"/>
          <w:b/>
          <w:lang w:val="zh-CN" w:eastAsia="zh-CN"/>
        </w:rPr>
        <w:t>期</w:t>
      </w:r>
      <w:r>
        <w:rPr>
          <w:b/>
          <w:lang w:val="zh-CN" w:eastAsia="zh-CN"/>
        </w:rPr>
        <w:t>项目</w:t>
      </w:r>
    </w:p>
    <w:p w:rsidR="005514C8" w:rsidRDefault="005514C8">
      <w:pPr>
        <w:jc w:val="center"/>
        <w:rPr>
          <w:sz w:val="16"/>
          <w:szCs w:val="16"/>
          <w:lang w:eastAsia="zh-CN"/>
        </w:rPr>
      </w:pPr>
    </w:p>
    <w:p w:rsidR="005514C8" w:rsidRDefault="005514C8">
      <w:pPr>
        <w:tabs>
          <w:tab w:val="left" w:pos="2160"/>
          <w:tab w:val="center" w:pos="4680"/>
        </w:tabs>
        <w:jc w:val="center"/>
        <w:rPr>
          <w:b/>
        </w:rPr>
      </w:pPr>
      <w:r>
        <w:rPr>
          <w:b/>
          <w:lang w:val="zh-CN" w:eastAsia="zh-CN"/>
        </w:rPr>
        <w:t>贝宁</w:t>
      </w:r>
    </w:p>
    <w:p w:rsidR="005514C8" w:rsidRDefault="005514C8">
      <w:pPr>
        <w:tabs>
          <w:tab w:val="left" w:pos="2160"/>
          <w:tab w:val="center" w:pos="4680"/>
        </w:tabs>
        <w:jc w:val="center"/>
        <w:rPr>
          <w:sz w:val="16"/>
          <w:szCs w:val="16"/>
        </w:rPr>
      </w:pPr>
    </w:p>
    <w:tbl>
      <w:tblPr>
        <w:tblW w:w="1017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634"/>
        <w:gridCol w:w="2453"/>
        <w:gridCol w:w="2543"/>
        <w:gridCol w:w="2544"/>
      </w:tblGrid>
      <w:tr w:rsidR="005514C8" w:rsidRPr="005514C8">
        <w:trPr>
          <w:trHeight w:val="203"/>
          <w:jc w:val="center"/>
        </w:trPr>
        <w:tc>
          <w:tcPr>
            <w:tcW w:w="2634" w:type="dxa"/>
          </w:tcPr>
          <w:p w:rsidR="005514C8" w:rsidRPr="005514C8" w:rsidRDefault="005514C8">
            <w:pPr>
              <w:spacing w:after="80"/>
              <w:rPr>
                <w:b/>
                <w:sz w:val="18"/>
                <w:szCs w:val="18"/>
              </w:rPr>
            </w:pPr>
            <w:r w:rsidRPr="005514C8">
              <w:rPr>
                <w:b/>
                <w:sz w:val="18"/>
              </w:rPr>
              <w:t xml:space="preserve"> </w:t>
            </w:r>
            <w:r w:rsidRPr="005514C8">
              <w:rPr>
                <w:b/>
                <w:sz w:val="18"/>
              </w:rPr>
              <w:t>（</w:t>
            </w:r>
            <w:proofErr w:type="spellStart"/>
            <w:r w:rsidRPr="005514C8">
              <w:rPr>
                <w:b/>
                <w:sz w:val="18"/>
              </w:rPr>
              <w:t>一）项目名称</w:t>
            </w:r>
            <w:proofErr w:type="spellEnd"/>
          </w:p>
        </w:tc>
        <w:tc>
          <w:tcPr>
            <w:tcW w:w="2453" w:type="dxa"/>
          </w:tcPr>
          <w:p w:rsidR="005514C8" w:rsidRPr="005514C8" w:rsidRDefault="005514C8">
            <w:pPr>
              <w:spacing w:after="80"/>
              <w:jc w:val="center"/>
              <w:rPr>
                <w:b/>
                <w:sz w:val="18"/>
                <w:szCs w:val="18"/>
              </w:rPr>
            </w:pPr>
            <w:proofErr w:type="spellStart"/>
            <w:r w:rsidRPr="005514C8">
              <w:rPr>
                <w:b/>
                <w:sz w:val="18"/>
              </w:rPr>
              <w:t>机构</w:t>
            </w:r>
            <w:proofErr w:type="spellEnd"/>
          </w:p>
        </w:tc>
        <w:tc>
          <w:tcPr>
            <w:tcW w:w="2543" w:type="dxa"/>
          </w:tcPr>
          <w:p w:rsidR="005514C8" w:rsidRPr="005514C8" w:rsidRDefault="008F44A9" w:rsidP="008F44A9">
            <w:pPr>
              <w:spacing w:after="80"/>
              <w:jc w:val="center"/>
              <w:rPr>
                <w:b/>
                <w:sz w:val="18"/>
                <w:szCs w:val="18"/>
              </w:rPr>
            </w:pPr>
            <w:r w:rsidRPr="001D14A6">
              <w:rPr>
                <w:rFonts w:hint="eastAsia"/>
                <w:b/>
                <w:sz w:val="18"/>
                <w:lang w:eastAsia="zh-CN"/>
              </w:rPr>
              <w:t>作出核准的</w:t>
            </w:r>
            <w:proofErr w:type="spellStart"/>
            <w:r w:rsidRPr="001D14A6">
              <w:rPr>
                <w:b/>
                <w:sz w:val="18"/>
              </w:rPr>
              <w:t>会议</w:t>
            </w:r>
            <w:proofErr w:type="spellEnd"/>
          </w:p>
        </w:tc>
        <w:tc>
          <w:tcPr>
            <w:tcW w:w="2544" w:type="dxa"/>
          </w:tcPr>
          <w:p w:rsidR="005514C8" w:rsidRPr="005514C8" w:rsidRDefault="001D14A6" w:rsidP="001D14A6">
            <w:pPr>
              <w:spacing w:after="80"/>
              <w:jc w:val="center"/>
              <w:rPr>
                <w:b/>
                <w:sz w:val="18"/>
                <w:szCs w:val="18"/>
              </w:rPr>
            </w:pPr>
            <w:r>
              <w:rPr>
                <w:rFonts w:hint="eastAsia"/>
                <w:b/>
                <w:sz w:val="18"/>
                <w:lang w:eastAsia="zh-CN"/>
              </w:rPr>
              <w:t>管控</w:t>
            </w:r>
            <w:proofErr w:type="spellStart"/>
            <w:r w:rsidR="005514C8" w:rsidRPr="005514C8">
              <w:rPr>
                <w:b/>
                <w:sz w:val="18"/>
              </w:rPr>
              <w:t>措施</w:t>
            </w:r>
            <w:proofErr w:type="spellEnd"/>
          </w:p>
        </w:tc>
      </w:tr>
      <w:tr w:rsidR="005514C8" w:rsidRPr="005514C8">
        <w:trPr>
          <w:trHeight w:val="173"/>
          <w:jc w:val="center"/>
        </w:trPr>
        <w:tc>
          <w:tcPr>
            <w:tcW w:w="2634" w:type="dxa"/>
          </w:tcPr>
          <w:p w:rsidR="005514C8" w:rsidRPr="005514C8" w:rsidRDefault="005514C8">
            <w:pPr>
              <w:spacing w:after="80"/>
              <w:jc w:val="center"/>
              <w:rPr>
                <w:sz w:val="18"/>
                <w:szCs w:val="18"/>
                <w:lang w:eastAsia="zh-CN"/>
              </w:rPr>
            </w:pPr>
            <w:r w:rsidRPr="005514C8">
              <w:rPr>
                <w:sz w:val="18"/>
                <w:lang w:eastAsia="zh-CN"/>
              </w:rPr>
              <w:t>氟氯烃淘汰计划（第一阶段）</w:t>
            </w:r>
          </w:p>
        </w:tc>
        <w:tc>
          <w:tcPr>
            <w:tcW w:w="2453" w:type="dxa"/>
          </w:tcPr>
          <w:p w:rsidR="005514C8" w:rsidRPr="005514C8" w:rsidRDefault="0002589C">
            <w:pPr>
              <w:spacing w:after="80"/>
              <w:jc w:val="center"/>
              <w:rPr>
                <w:sz w:val="18"/>
                <w:szCs w:val="18"/>
                <w:lang w:eastAsia="zh-CN"/>
              </w:rPr>
            </w:pPr>
            <w:r>
              <w:rPr>
                <w:rFonts w:hint="eastAsia"/>
                <w:sz w:val="18"/>
                <w:lang w:eastAsia="zh-CN"/>
              </w:rPr>
              <w:t>联合国</w:t>
            </w:r>
            <w:r w:rsidR="005514C8" w:rsidRPr="005514C8">
              <w:rPr>
                <w:sz w:val="18"/>
                <w:lang w:eastAsia="zh-CN"/>
              </w:rPr>
              <w:t>环境规划署（牵头）、</w:t>
            </w:r>
            <w:r>
              <w:rPr>
                <w:rFonts w:hint="eastAsia"/>
                <w:sz w:val="18"/>
                <w:lang w:eastAsia="zh-CN"/>
              </w:rPr>
              <w:t>联合国</w:t>
            </w:r>
            <w:r w:rsidR="005514C8" w:rsidRPr="005514C8">
              <w:rPr>
                <w:sz w:val="18"/>
                <w:lang w:eastAsia="zh-CN"/>
              </w:rPr>
              <w:t>工发组织</w:t>
            </w:r>
          </w:p>
        </w:tc>
        <w:tc>
          <w:tcPr>
            <w:tcW w:w="2543" w:type="dxa"/>
          </w:tcPr>
          <w:p w:rsidR="005514C8" w:rsidRPr="005514C8" w:rsidRDefault="005514C8">
            <w:pPr>
              <w:spacing w:after="80"/>
              <w:jc w:val="center"/>
              <w:rPr>
                <w:sz w:val="18"/>
                <w:szCs w:val="18"/>
                <w:lang w:eastAsia="zh-CN"/>
              </w:rPr>
            </w:pPr>
            <w:r w:rsidRPr="005514C8">
              <w:t>第</w:t>
            </w:r>
            <w:r w:rsidRPr="005514C8">
              <w:t>63</w:t>
            </w:r>
            <w:r w:rsidRPr="005514C8">
              <w:t>次</w:t>
            </w:r>
            <w:r w:rsidR="008F44A9">
              <w:rPr>
                <w:rFonts w:hint="eastAsia"/>
                <w:lang w:eastAsia="zh-CN"/>
              </w:rPr>
              <w:t>会议</w:t>
            </w:r>
          </w:p>
        </w:tc>
        <w:tc>
          <w:tcPr>
            <w:tcW w:w="2544" w:type="dxa"/>
          </w:tcPr>
          <w:p w:rsidR="005514C8" w:rsidRPr="005514C8" w:rsidRDefault="005514C8">
            <w:pPr>
              <w:spacing w:after="80"/>
              <w:jc w:val="center"/>
              <w:rPr>
                <w:sz w:val="18"/>
                <w:szCs w:val="18"/>
              </w:rPr>
            </w:pPr>
            <w:r w:rsidRPr="005514C8">
              <w:rPr>
                <w:sz w:val="18"/>
              </w:rPr>
              <w:t>至</w:t>
            </w:r>
            <w:r w:rsidRPr="005514C8">
              <w:rPr>
                <w:sz w:val="18"/>
              </w:rPr>
              <w:t>2020</w:t>
            </w:r>
            <w:proofErr w:type="spellStart"/>
            <w:r w:rsidRPr="005514C8">
              <w:rPr>
                <w:sz w:val="18"/>
              </w:rPr>
              <w:t>年达到</w:t>
            </w:r>
            <w:proofErr w:type="spellEnd"/>
            <w:r w:rsidRPr="005514C8">
              <w:rPr>
                <w:sz w:val="18"/>
              </w:rPr>
              <w:t>35%</w:t>
            </w:r>
          </w:p>
        </w:tc>
      </w:tr>
    </w:tbl>
    <w:p w:rsidR="005514C8" w:rsidRDefault="005514C8">
      <w:pPr>
        <w:spacing w:after="60"/>
        <w:jc w:val="center"/>
        <w:rPr>
          <w:b/>
          <w:sz w:val="16"/>
          <w:szCs w:val="16"/>
          <w:highlight w:val="yellow"/>
        </w:rPr>
      </w:pPr>
    </w:p>
    <w:tbl>
      <w:tblPr>
        <w:tblW w:w="1011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633"/>
        <w:gridCol w:w="2136"/>
        <w:gridCol w:w="3348"/>
      </w:tblGrid>
      <w:tr w:rsidR="005514C8" w:rsidRPr="005514C8">
        <w:trPr>
          <w:trHeight w:val="251"/>
          <w:jc w:val="center"/>
        </w:trPr>
        <w:tc>
          <w:tcPr>
            <w:tcW w:w="4633" w:type="dxa"/>
          </w:tcPr>
          <w:p w:rsidR="005514C8" w:rsidRPr="005514C8" w:rsidRDefault="005514C8">
            <w:pPr>
              <w:spacing w:after="60"/>
              <w:rPr>
                <w:b/>
                <w:sz w:val="18"/>
                <w:szCs w:val="18"/>
                <w:lang w:eastAsia="zh-CN"/>
              </w:rPr>
            </w:pPr>
            <w:r w:rsidRPr="005514C8">
              <w:rPr>
                <w:b/>
                <w:sz w:val="18"/>
                <w:lang w:eastAsia="zh-CN"/>
              </w:rPr>
              <w:t>（二）最新的第</w:t>
            </w:r>
            <w:r w:rsidRPr="005514C8">
              <w:rPr>
                <w:b/>
                <w:sz w:val="18"/>
                <w:lang w:eastAsia="zh-CN"/>
              </w:rPr>
              <w:t>7</w:t>
            </w:r>
            <w:r w:rsidRPr="005514C8">
              <w:rPr>
                <w:b/>
                <w:sz w:val="18"/>
                <w:lang w:eastAsia="zh-CN"/>
              </w:rPr>
              <w:t>条数据（附件</w:t>
            </w:r>
            <w:r w:rsidRPr="005514C8">
              <w:rPr>
                <w:b/>
                <w:sz w:val="18"/>
                <w:lang w:eastAsia="zh-CN"/>
              </w:rPr>
              <w:t>C</w:t>
            </w:r>
            <w:r w:rsidRPr="005514C8">
              <w:rPr>
                <w:rFonts w:hint="eastAsia"/>
                <w:b/>
                <w:sz w:val="18"/>
                <w:lang w:val="en-US" w:eastAsia="zh-CN"/>
              </w:rPr>
              <w:t>第</w:t>
            </w:r>
            <w:r w:rsidRPr="005514C8">
              <w:rPr>
                <w:b/>
                <w:sz w:val="18"/>
                <w:lang w:eastAsia="zh-CN"/>
              </w:rPr>
              <w:t>l</w:t>
            </w:r>
            <w:r w:rsidRPr="005514C8">
              <w:rPr>
                <w:rFonts w:hint="eastAsia"/>
                <w:b/>
                <w:sz w:val="18"/>
                <w:lang w:val="en-US" w:eastAsia="zh-CN"/>
              </w:rPr>
              <w:t>类</w:t>
            </w:r>
            <w:r w:rsidRPr="005514C8">
              <w:rPr>
                <w:b/>
                <w:sz w:val="18"/>
                <w:lang w:eastAsia="zh-CN"/>
              </w:rPr>
              <w:t>）</w:t>
            </w:r>
          </w:p>
        </w:tc>
        <w:tc>
          <w:tcPr>
            <w:tcW w:w="2136" w:type="dxa"/>
          </w:tcPr>
          <w:p w:rsidR="005514C8" w:rsidRPr="005514C8" w:rsidRDefault="005514C8">
            <w:pPr>
              <w:spacing w:after="60"/>
              <w:jc w:val="center"/>
              <w:rPr>
                <w:sz w:val="18"/>
                <w:szCs w:val="18"/>
                <w:highlight w:val="yellow"/>
                <w:lang w:eastAsia="zh-CN"/>
              </w:rPr>
            </w:pPr>
            <w:proofErr w:type="spellStart"/>
            <w:r w:rsidRPr="005514C8">
              <w:rPr>
                <w:sz w:val="18"/>
              </w:rPr>
              <w:t>年度</w:t>
            </w:r>
            <w:proofErr w:type="spellEnd"/>
            <w:r w:rsidRPr="005514C8">
              <w:rPr>
                <w:sz w:val="18"/>
              </w:rPr>
              <w:t>：</w:t>
            </w:r>
            <w:r w:rsidRPr="005514C8">
              <w:rPr>
                <w:sz w:val="18"/>
              </w:rPr>
              <w:t>2020</w:t>
            </w:r>
            <w:r w:rsidR="0002589C">
              <w:rPr>
                <w:rFonts w:hint="eastAsia"/>
                <w:sz w:val="18"/>
                <w:lang w:eastAsia="zh-CN"/>
              </w:rPr>
              <w:t>年</w:t>
            </w:r>
          </w:p>
        </w:tc>
        <w:tc>
          <w:tcPr>
            <w:tcW w:w="3348" w:type="dxa"/>
          </w:tcPr>
          <w:p w:rsidR="005514C8" w:rsidRPr="005514C8" w:rsidRDefault="005514C8">
            <w:pPr>
              <w:spacing w:after="60"/>
              <w:jc w:val="right"/>
              <w:rPr>
                <w:sz w:val="18"/>
                <w:szCs w:val="18"/>
              </w:rPr>
            </w:pPr>
            <w:r w:rsidRPr="005514C8">
              <w:rPr>
                <w:sz w:val="18"/>
              </w:rPr>
              <w:t>13.49</w:t>
            </w:r>
            <w:r w:rsidRPr="005514C8">
              <w:rPr>
                <w:sz w:val="18"/>
              </w:rPr>
              <w:t>（</w:t>
            </w:r>
            <w:r w:rsidRPr="005514C8">
              <w:rPr>
                <w:sz w:val="18"/>
              </w:rPr>
              <w:t>ODP</w:t>
            </w:r>
            <w:r w:rsidRPr="005514C8">
              <w:rPr>
                <w:sz w:val="18"/>
              </w:rPr>
              <w:t>吨）</w:t>
            </w:r>
          </w:p>
        </w:tc>
      </w:tr>
    </w:tbl>
    <w:p w:rsidR="005514C8" w:rsidRDefault="005514C8">
      <w:pPr>
        <w:spacing w:after="60"/>
        <w:jc w:val="center"/>
        <w:rPr>
          <w:b/>
          <w:sz w:val="16"/>
          <w:szCs w:val="16"/>
          <w:highlight w:val="yellow"/>
        </w:rPr>
      </w:pPr>
    </w:p>
    <w:tbl>
      <w:tblPr>
        <w:tblW w:w="1009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40"/>
        <w:gridCol w:w="818"/>
        <w:gridCol w:w="24"/>
        <w:gridCol w:w="1002"/>
        <w:gridCol w:w="614"/>
        <w:gridCol w:w="1346"/>
        <w:gridCol w:w="1268"/>
        <w:gridCol w:w="843"/>
        <w:gridCol w:w="863"/>
        <w:gridCol w:w="757"/>
        <w:gridCol w:w="1224"/>
      </w:tblGrid>
      <w:tr w:rsidR="005514C8" w:rsidRPr="005514C8">
        <w:trPr>
          <w:trHeight w:val="179"/>
          <w:jc w:val="center"/>
        </w:trPr>
        <w:tc>
          <w:tcPr>
            <w:tcW w:w="8118" w:type="dxa"/>
            <w:gridSpan w:val="9"/>
          </w:tcPr>
          <w:p w:rsidR="005514C8" w:rsidRPr="005514C8" w:rsidRDefault="005514C8">
            <w:pPr>
              <w:spacing w:after="60"/>
              <w:rPr>
                <w:b/>
                <w:sz w:val="18"/>
                <w:szCs w:val="18"/>
                <w:lang w:eastAsia="zh-CN"/>
              </w:rPr>
            </w:pPr>
            <w:r w:rsidRPr="005514C8">
              <w:rPr>
                <w:b/>
                <w:sz w:val="18"/>
                <w:lang w:eastAsia="zh-CN"/>
              </w:rPr>
              <w:t>（三）最新的国家方案行业数据（</w:t>
            </w:r>
            <w:r w:rsidRPr="005514C8">
              <w:rPr>
                <w:b/>
                <w:sz w:val="18"/>
                <w:lang w:eastAsia="zh-CN"/>
              </w:rPr>
              <w:t>ODP</w:t>
            </w:r>
            <w:r w:rsidRPr="005514C8">
              <w:rPr>
                <w:b/>
                <w:sz w:val="18"/>
                <w:lang w:eastAsia="zh-CN"/>
              </w:rPr>
              <w:t>吨）</w:t>
            </w:r>
          </w:p>
        </w:tc>
        <w:tc>
          <w:tcPr>
            <w:tcW w:w="1981" w:type="dxa"/>
            <w:gridSpan w:val="2"/>
          </w:tcPr>
          <w:p w:rsidR="005514C8" w:rsidRPr="005514C8" w:rsidRDefault="005514C8">
            <w:pPr>
              <w:spacing w:after="60"/>
              <w:jc w:val="right"/>
              <w:rPr>
                <w:b/>
                <w:sz w:val="18"/>
                <w:szCs w:val="18"/>
                <w:lang w:eastAsia="zh-CN"/>
              </w:rPr>
            </w:pPr>
            <w:proofErr w:type="spellStart"/>
            <w:r w:rsidRPr="005514C8">
              <w:rPr>
                <w:b/>
                <w:sz w:val="18"/>
              </w:rPr>
              <w:t>年度</w:t>
            </w:r>
            <w:proofErr w:type="spellEnd"/>
            <w:r w:rsidRPr="005514C8">
              <w:rPr>
                <w:b/>
                <w:sz w:val="18"/>
              </w:rPr>
              <w:t>：</w:t>
            </w:r>
            <w:r w:rsidRPr="005514C8">
              <w:rPr>
                <w:b/>
                <w:sz w:val="18"/>
              </w:rPr>
              <w:t>2020</w:t>
            </w:r>
            <w:r w:rsidR="00056019">
              <w:rPr>
                <w:rFonts w:hint="eastAsia"/>
                <w:b/>
                <w:sz w:val="18"/>
                <w:lang w:eastAsia="zh-CN"/>
              </w:rPr>
              <w:t>年</w:t>
            </w:r>
          </w:p>
        </w:tc>
      </w:tr>
      <w:tr w:rsidR="005514C8" w:rsidRPr="005514C8">
        <w:trPr>
          <w:trHeight w:val="179"/>
          <w:jc w:val="center"/>
        </w:trPr>
        <w:tc>
          <w:tcPr>
            <w:tcW w:w="1340" w:type="dxa"/>
          </w:tcPr>
          <w:p w:rsidR="005514C8" w:rsidRDefault="005514C8">
            <w:pPr>
              <w:spacing w:after="60"/>
              <w:jc w:val="center"/>
              <w:rPr>
                <w:sz w:val="18"/>
                <w:szCs w:val="18"/>
                <w:lang w:val="en-US" w:eastAsia="zh-CN"/>
              </w:rPr>
            </w:pPr>
            <w:r w:rsidRPr="005514C8">
              <w:rPr>
                <w:sz w:val="18"/>
              </w:rPr>
              <w:t>化</w:t>
            </w:r>
            <w:r>
              <w:rPr>
                <w:rFonts w:hint="eastAsia"/>
                <w:sz w:val="18"/>
                <w:lang w:val="en-US" w:eastAsia="zh-CN"/>
              </w:rPr>
              <w:t>学品</w:t>
            </w:r>
          </w:p>
        </w:tc>
        <w:tc>
          <w:tcPr>
            <w:tcW w:w="842" w:type="dxa"/>
            <w:gridSpan w:val="2"/>
          </w:tcPr>
          <w:p w:rsidR="005514C8" w:rsidRPr="005514C8" w:rsidRDefault="005514C8">
            <w:pPr>
              <w:spacing w:after="60"/>
              <w:jc w:val="center"/>
              <w:rPr>
                <w:sz w:val="18"/>
                <w:szCs w:val="18"/>
              </w:rPr>
            </w:pPr>
            <w:proofErr w:type="spellStart"/>
            <w:r w:rsidRPr="005514C8">
              <w:rPr>
                <w:sz w:val="18"/>
              </w:rPr>
              <w:t>气雾剂</w:t>
            </w:r>
            <w:proofErr w:type="spellEnd"/>
          </w:p>
        </w:tc>
        <w:tc>
          <w:tcPr>
            <w:tcW w:w="1002" w:type="dxa"/>
          </w:tcPr>
          <w:p w:rsidR="005514C8" w:rsidRPr="005514C8" w:rsidRDefault="005514C8">
            <w:pPr>
              <w:spacing w:after="60"/>
              <w:jc w:val="center"/>
              <w:rPr>
                <w:sz w:val="18"/>
                <w:szCs w:val="18"/>
              </w:rPr>
            </w:pPr>
            <w:proofErr w:type="spellStart"/>
            <w:r w:rsidRPr="005514C8">
              <w:rPr>
                <w:sz w:val="18"/>
              </w:rPr>
              <w:t>泡沫塑料</w:t>
            </w:r>
            <w:proofErr w:type="spellEnd"/>
          </w:p>
        </w:tc>
        <w:tc>
          <w:tcPr>
            <w:tcW w:w="614" w:type="dxa"/>
          </w:tcPr>
          <w:p w:rsidR="005514C8" w:rsidRPr="005514C8" w:rsidRDefault="005514C8">
            <w:pPr>
              <w:spacing w:after="60"/>
              <w:jc w:val="center"/>
              <w:rPr>
                <w:sz w:val="18"/>
                <w:szCs w:val="18"/>
              </w:rPr>
            </w:pPr>
            <w:proofErr w:type="spellStart"/>
            <w:r w:rsidRPr="005514C8">
              <w:rPr>
                <w:sz w:val="18"/>
              </w:rPr>
              <w:t>消防</w:t>
            </w:r>
            <w:proofErr w:type="spellEnd"/>
          </w:p>
        </w:tc>
        <w:tc>
          <w:tcPr>
            <w:tcW w:w="2614" w:type="dxa"/>
            <w:gridSpan w:val="2"/>
          </w:tcPr>
          <w:p w:rsidR="005514C8" w:rsidRPr="005514C8" w:rsidRDefault="005514C8">
            <w:pPr>
              <w:spacing w:after="60"/>
              <w:jc w:val="center"/>
              <w:rPr>
                <w:sz w:val="18"/>
                <w:szCs w:val="18"/>
              </w:rPr>
            </w:pPr>
            <w:proofErr w:type="spellStart"/>
            <w:r w:rsidRPr="005514C8">
              <w:rPr>
                <w:sz w:val="18"/>
              </w:rPr>
              <w:t>制冷</w:t>
            </w:r>
            <w:proofErr w:type="spellEnd"/>
          </w:p>
        </w:tc>
        <w:tc>
          <w:tcPr>
            <w:tcW w:w="843" w:type="dxa"/>
          </w:tcPr>
          <w:p w:rsidR="005514C8" w:rsidRPr="005514C8" w:rsidRDefault="005514C8">
            <w:pPr>
              <w:spacing w:after="60"/>
              <w:jc w:val="center"/>
              <w:rPr>
                <w:sz w:val="18"/>
                <w:szCs w:val="18"/>
              </w:rPr>
            </w:pPr>
            <w:proofErr w:type="spellStart"/>
            <w:r w:rsidRPr="005514C8">
              <w:rPr>
                <w:sz w:val="18"/>
              </w:rPr>
              <w:t>溶剂</w:t>
            </w:r>
            <w:proofErr w:type="spellEnd"/>
          </w:p>
        </w:tc>
        <w:tc>
          <w:tcPr>
            <w:tcW w:w="863" w:type="dxa"/>
          </w:tcPr>
          <w:p w:rsidR="005514C8" w:rsidRPr="005514C8" w:rsidRDefault="005514C8">
            <w:pPr>
              <w:spacing w:after="60"/>
              <w:jc w:val="center"/>
              <w:rPr>
                <w:sz w:val="18"/>
                <w:szCs w:val="18"/>
              </w:rPr>
            </w:pPr>
            <w:proofErr w:type="spellStart"/>
            <w:r w:rsidRPr="005514C8">
              <w:rPr>
                <w:sz w:val="18"/>
              </w:rPr>
              <w:t>加工剂</w:t>
            </w:r>
            <w:proofErr w:type="spellEnd"/>
          </w:p>
        </w:tc>
        <w:tc>
          <w:tcPr>
            <w:tcW w:w="757" w:type="dxa"/>
          </w:tcPr>
          <w:p w:rsidR="005514C8" w:rsidRPr="005514C8" w:rsidRDefault="005514C8" w:rsidP="008F44A9">
            <w:pPr>
              <w:spacing w:after="60"/>
              <w:jc w:val="center"/>
              <w:rPr>
                <w:sz w:val="18"/>
                <w:szCs w:val="18"/>
              </w:rPr>
            </w:pPr>
            <w:proofErr w:type="spellStart"/>
            <w:r w:rsidRPr="005514C8">
              <w:rPr>
                <w:sz w:val="18"/>
              </w:rPr>
              <w:t>实验室</w:t>
            </w:r>
            <w:proofErr w:type="spellEnd"/>
            <w:r w:rsidR="008F44A9">
              <w:rPr>
                <w:rFonts w:hint="eastAsia"/>
                <w:sz w:val="18"/>
                <w:lang w:eastAsia="zh-CN"/>
              </w:rPr>
              <w:t>用途</w:t>
            </w:r>
          </w:p>
        </w:tc>
        <w:tc>
          <w:tcPr>
            <w:tcW w:w="1224" w:type="dxa"/>
          </w:tcPr>
          <w:p w:rsidR="005514C8" w:rsidRPr="005514C8" w:rsidRDefault="005514C8">
            <w:pPr>
              <w:spacing w:after="60"/>
              <w:jc w:val="center"/>
              <w:rPr>
                <w:sz w:val="18"/>
                <w:szCs w:val="18"/>
              </w:rPr>
            </w:pPr>
            <w:proofErr w:type="spellStart"/>
            <w:r w:rsidRPr="005514C8">
              <w:rPr>
                <w:sz w:val="18"/>
              </w:rPr>
              <w:t>行业总消费量</w:t>
            </w:r>
            <w:proofErr w:type="spellEnd"/>
          </w:p>
        </w:tc>
      </w:tr>
      <w:tr w:rsidR="005514C8" w:rsidRPr="005514C8">
        <w:trPr>
          <w:trHeight w:val="179"/>
          <w:jc w:val="center"/>
        </w:trPr>
        <w:tc>
          <w:tcPr>
            <w:tcW w:w="3798" w:type="dxa"/>
            <w:gridSpan w:val="5"/>
          </w:tcPr>
          <w:p w:rsidR="005514C8" w:rsidRPr="005514C8" w:rsidRDefault="005514C8">
            <w:pPr>
              <w:spacing w:after="60"/>
              <w:jc w:val="center"/>
              <w:rPr>
                <w:sz w:val="18"/>
                <w:szCs w:val="18"/>
              </w:rPr>
            </w:pPr>
            <w:r w:rsidRPr="005514C8">
              <w:rPr>
                <w:sz w:val="18"/>
              </w:rPr>
              <w:t xml:space="preserve"> </w:t>
            </w:r>
          </w:p>
        </w:tc>
        <w:tc>
          <w:tcPr>
            <w:tcW w:w="1346" w:type="dxa"/>
          </w:tcPr>
          <w:p w:rsidR="005514C8" w:rsidRPr="005514C8" w:rsidRDefault="005514C8">
            <w:pPr>
              <w:spacing w:after="60"/>
              <w:jc w:val="center"/>
              <w:rPr>
                <w:sz w:val="18"/>
                <w:szCs w:val="18"/>
              </w:rPr>
            </w:pPr>
            <w:proofErr w:type="spellStart"/>
            <w:r w:rsidRPr="005514C8">
              <w:rPr>
                <w:sz w:val="18"/>
              </w:rPr>
              <w:t>制造业</w:t>
            </w:r>
            <w:proofErr w:type="spellEnd"/>
          </w:p>
        </w:tc>
        <w:tc>
          <w:tcPr>
            <w:tcW w:w="1268" w:type="dxa"/>
          </w:tcPr>
          <w:p w:rsidR="005514C8" w:rsidRPr="005514C8" w:rsidRDefault="005514C8">
            <w:pPr>
              <w:spacing w:after="60"/>
              <w:jc w:val="center"/>
              <w:rPr>
                <w:sz w:val="18"/>
                <w:szCs w:val="18"/>
              </w:rPr>
            </w:pPr>
            <w:proofErr w:type="spellStart"/>
            <w:r w:rsidRPr="005514C8">
              <w:rPr>
                <w:sz w:val="18"/>
              </w:rPr>
              <w:t>维修业</w:t>
            </w:r>
            <w:proofErr w:type="spellEnd"/>
          </w:p>
        </w:tc>
        <w:tc>
          <w:tcPr>
            <w:tcW w:w="3687" w:type="dxa"/>
            <w:gridSpan w:val="4"/>
          </w:tcPr>
          <w:p w:rsidR="005514C8" w:rsidRPr="005514C8" w:rsidRDefault="005514C8">
            <w:pPr>
              <w:spacing w:after="60"/>
              <w:jc w:val="center"/>
              <w:rPr>
                <w:sz w:val="18"/>
                <w:szCs w:val="18"/>
              </w:rPr>
            </w:pPr>
          </w:p>
        </w:tc>
      </w:tr>
      <w:tr w:rsidR="005514C8" w:rsidRPr="005514C8">
        <w:trPr>
          <w:trHeight w:val="179"/>
          <w:jc w:val="center"/>
        </w:trPr>
        <w:tc>
          <w:tcPr>
            <w:tcW w:w="1340" w:type="dxa"/>
          </w:tcPr>
          <w:p w:rsidR="005514C8" w:rsidRPr="005514C8" w:rsidRDefault="005514C8">
            <w:pPr>
              <w:spacing w:after="60"/>
              <w:rPr>
                <w:sz w:val="18"/>
                <w:szCs w:val="18"/>
              </w:rPr>
            </w:pPr>
            <w:r w:rsidRPr="005514C8">
              <w:rPr>
                <w:sz w:val="18"/>
              </w:rPr>
              <w:t>HCFC-123</w:t>
            </w:r>
          </w:p>
        </w:tc>
        <w:tc>
          <w:tcPr>
            <w:tcW w:w="818" w:type="dxa"/>
          </w:tcPr>
          <w:p w:rsidR="005514C8" w:rsidRPr="005514C8" w:rsidRDefault="005514C8">
            <w:pPr>
              <w:spacing w:after="60"/>
              <w:jc w:val="right"/>
              <w:rPr>
                <w:sz w:val="18"/>
                <w:szCs w:val="18"/>
              </w:rPr>
            </w:pPr>
          </w:p>
        </w:tc>
        <w:tc>
          <w:tcPr>
            <w:tcW w:w="1026" w:type="dxa"/>
            <w:gridSpan w:val="2"/>
          </w:tcPr>
          <w:p w:rsidR="005514C8" w:rsidRPr="005514C8" w:rsidRDefault="005514C8">
            <w:pPr>
              <w:spacing w:after="60"/>
              <w:jc w:val="right"/>
              <w:rPr>
                <w:sz w:val="18"/>
                <w:szCs w:val="18"/>
              </w:rPr>
            </w:pPr>
          </w:p>
        </w:tc>
        <w:tc>
          <w:tcPr>
            <w:tcW w:w="614" w:type="dxa"/>
          </w:tcPr>
          <w:p w:rsidR="005514C8" w:rsidRPr="005514C8" w:rsidRDefault="005514C8">
            <w:pPr>
              <w:spacing w:after="60"/>
              <w:jc w:val="right"/>
              <w:rPr>
                <w:sz w:val="18"/>
                <w:szCs w:val="18"/>
              </w:rPr>
            </w:pPr>
          </w:p>
        </w:tc>
        <w:tc>
          <w:tcPr>
            <w:tcW w:w="1346" w:type="dxa"/>
          </w:tcPr>
          <w:p w:rsidR="005514C8" w:rsidRPr="005514C8" w:rsidRDefault="005514C8">
            <w:pPr>
              <w:spacing w:after="60"/>
              <w:jc w:val="right"/>
              <w:rPr>
                <w:sz w:val="18"/>
                <w:szCs w:val="18"/>
              </w:rPr>
            </w:pPr>
          </w:p>
        </w:tc>
        <w:tc>
          <w:tcPr>
            <w:tcW w:w="1268" w:type="dxa"/>
          </w:tcPr>
          <w:p w:rsidR="005514C8" w:rsidRPr="005514C8" w:rsidRDefault="005514C8">
            <w:pPr>
              <w:spacing w:after="60"/>
              <w:jc w:val="right"/>
              <w:rPr>
                <w:sz w:val="18"/>
                <w:szCs w:val="18"/>
              </w:rPr>
            </w:pPr>
            <w:r w:rsidRPr="005514C8">
              <w:rPr>
                <w:sz w:val="18"/>
              </w:rPr>
              <w:t>0.00</w:t>
            </w:r>
          </w:p>
        </w:tc>
        <w:tc>
          <w:tcPr>
            <w:tcW w:w="843" w:type="dxa"/>
          </w:tcPr>
          <w:p w:rsidR="005514C8" w:rsidRPr="005514C8" w:rsidRDefault="005514C8">
            <w:pPr>
              <w:spacing w:after="60"/>
              <w:jc w:val="right"/>
              <w:rPr>
                <w:sz w:val="18"/>
                <w:szCs w:val="18"/>
              </w:rPr>
            </w:pPr>
          </w:p>
        </w:tc>
        <w:tc>
          <w:tcPr>
            <w:tcW w:w="863" w:type="dxa"/>
          </w:tcPr>
          <w:p w:rsidR="005514C8" w:rsidRPr="005514C8" w:rsidRDefault="005514C8">
            <w:pPr>
              <w:spacing w:after="60"/>
              <w:jc w:val="right"/>
              <w:rPr>
                <w:sz w:val="18"/>
                <w:szCs w:val="18"/>
              </w:rPr>
            </w:pPr>
          </w:p>
        </w:tc>
        <w:tc>
          <w:tcPr>
            <w:tcW w:w="757" w:type="dxa"/>
          </w:tcPr>
          <w:p w:rsidR="005514C8" w:rsidRPr="005514C8" w:rsidRDefault="005514C8">
            <w:pPr>
              <w:spacing w:after="60"/>
              <w:jc w:val="right"/>
              <w:rPr>
                <w:sz w:val="18"/>
                <w:szCs w:val="18"/>
              </w:rPr>
            </w:pPr>
          </w:p>
        </w:tc>
        <w:tc>
          <w:tcPr>
            <w:tcW w:w="1224" w:type="dxa"/>
          </w:tcPr>
          <w:p w:rsidR="005514C8" w:rsidRPr="005514C8" w:rsidRDefault="005514C8">
            <w:pPr>
              <w:spacing w:after="60"/>
              <w:jc w:val="right"/>
              <w:rPr>
                <w:sz w:val="18"/>
                <w:szCs w:val="18"/>
              </w:rPr>
            </w:pPr>
            <w:r w:rsidRPr="005514C8">
              <w:rPr>
                <w:sz w:val="18"/>
              </w:rPr>
              <w:t>0.00</w:t>
            </w:r>
          </w:p>
        </w:tc>
      </w:tr>
      <w:tr w:rsidR="005514C8" w:rsidRPr="005514C8">
        <w:trPr>
          <w:trHeight w:val="179"/>
          <w:jc w:val="center"/>
        </w:trPr>
        <w:tc>
          <w:tcPr>
            <w:tcW w:w="1340" w:type="dxa"/>
          </w:tcPr>
          <w:p w:rsidR="005514C8" w:rsidRPr="005514C8" w:rsidRDefault="005514C8">
            <w:pPr>
              <w:spacing w:after="60"/>
              <w:rPr>
                <w:sz w:val="18"/>
                <w:szCs w:val="18"/>
              </w:rPr>
            </w:pPr>
            <w:r w:rsidRPr="005514C8">
              <w:rPr>
                <w:sz w:val="18"/>
              </w:rPr>
              <w:t>HCFC-124</w:t>
            </w:r>
          </w:p>
        </w:tc>
        <w:tc>
          <w:tcPr>
            <w:tcW w:w="818" w:type="dxa"/>
          </w:tcPr>
          <w:p w:rsidR="005514C8" w:rsidRPr="005514C8" w:rsidRDefault="005514C8">
            <w:pPr>
              <w:spacing w:after="60"/>
              <w:jc w:val="right"/>
              <w:rPr>
                <w:sz w:val="18"/>
                <w:szCs w:val="18"/>
              </w:rPr>
            </w:pPr>
          </w:p>
        </w:tc>
        <w:tc>
          <w:tcPr>
            <w:tcW w:w="1026" w:type="dxa"/>
            <w:gridSpan w:val="2"/>
          </w:tcPr>
          <w:p w:rsidR="005514C8" w:rsidRPr="005514C8" w:rsidRDefault="005514C8">
            <w:pPr>
              <w:spacing w:after="60"/>
              <w:jc w:val="right"/>
              <w:rPr>
                <w:sz w:val="18"/>
                <w:szCs w:val="18"/>
              </w:rPr>
            </w:pPr>
          </w:p>
        </w:tc>
        <w:tc>
          <w:tcPr>
            <w:tcW w:w="614" w:type="dxa"/>
          </w:tcPr>
          <w:p w:rsidR="005514C8" w:rsidRPr="005514C8" w:rsidRDefault="005514C8">
            <w:pPr>
              <w:spacing w:after="60"/>
              <w:jc w:val="right"/>
              <w:rPr>
                <w:sz w:val="18"/>
                <w:szCs w:val="18"/>
              </w:rPr>
            </w:pPr>
          </w:p>
        </w:tc>
        <w:tc>
          <w:tcPr>
            <w:tcW w:w="1346" w:type="dxa"/>
          </w:tcPr>
          <w:p w:rsidR="005514C8" w:rsidRPr="005514C8" w:rsidRDefault="005514C8">
            <w:pPr>
              <w:spacing w:after="60"/>
              <w:jc w:val="right"/>
              <w:rPr>
                <w:sz w:val="18"/>
                <w:szCs w:val="18"/>
              </w:rPr>
            </w:pPr>
          </w:p>
        </w:tc>
        <w:tc>
          <w:tcPr>
            <w:tcW w:w="1268" w:type="dxa"/>
          </w:tcPr>
          <w:p w:rsidR="005514C8" w:rsidRPr="005514C8" w:rsidRDefault="005514C8">
            <w:pPr>
              <w:spacing w:after="60"/>
              <w:jc w:val="right"/>
              <w:rPr>
                <w:sz w:val="18"/>
                <w:szCs w:val="18"/>
              </w:rPr>
            </w:pPr>
            <w:r w:rsidRPr="005514C8">
              <w:rPr>
                <w:sz w:val="18"/>
              </w:rPr>
              <w:t>0.00</w:t>
            </w:r>
          </w:p>
        </w:tc>
        <w:tc>
          <w:tcPr>
            <w:tcW w:w="843" w:type="dxa"/>
          </w:tcPr>
          <w:p w:rsidR="005514C8" w:rsidRPr="005514C8" w:rsidRDefault="005514C8">
            <w:pPr>
              <w:spacing w:after="60"/>
              <w:jc w:val="right"/>
              <w:rPr>
                <w:sz w:val="18"/>
                <w:szCs w:val="18"/>
              </w:rPr>
            </w:pPr>
          </w:p>
        </w:tc>
        <w:tc>
          <w:tcPr>
            <w:tcW w:w="863" w:type="dxa"/>
          </w:tcPr>
          <w:p w:rsidR="005514C8" w:rsidRPr="005514C8" w:rsidRDefault="005514C8">
            <w:pPr>
              <w:spacing w:after="60"/>
              <w:jc w:val="right"/>
              <w:rPr>
                <w:sz w:val="18"/>
                <w:szCs w:val="18"/>
              </w:rPr>
            </w:pPr>
          </w:p>
        </w:tc>
        <w:tc>
          <w:tcPr>
            <w:tcW w:w="757" w:type="dxa"/>
          </w:tcPr>
          <w:p w:rsidR="005514C8" w:rsidRPr="005514C8" w:rsidRDefault="005514C8">
            <w:pPr>
              <w:spacing w:after="60"/>
              <w:jc w:val="right"/>
              <w:rPr>
                <w:sz w:val="18"/>
                <w:szCs w:val="18"/>
              </w:rPr>
            </w:pPr>
          </w:p>
        </w:tc>
        <w:tc>
          <w:tcPr>
            <w:tcW w:w="1224" w:type="dxa"/>
          </w:tcPr>
          <w:p w:rsidR="005514C8" w:rsidRPr="005514C8" w:rsidRDefault="005514C8">
            <w:pPr>
              <w:spacing w:after="60"/>
              <w:jc w:val="right"/>
              <w:rPr>
                <w:sz w:val="18"/>
                <w:szCs w:val="18"/>
              </w:rPr>
            </w:pPr>
            <w:r w:rsidRPr="005514C8">
              <w:rPr>
                <w:sz w:val="18"/>
              </w:rPr>
              <w:t>0.00</w:t>
            </w:r>
          </w:p>
        </w:tc>
      </w:tr>
      <w:tr w:rsidR="005514C8" w:rsidRPr="005514C8">
        <w:trPr>
          <w:trHeight w:val="179"/>
          <w:jc w:val="center"/>
        </w:trPr>
        <w:tc>
          <w:tcPr>
            <w:tcW w:w="1340" w:type="dxa"/>
          </w:tcPr>
          <w:p w:rsidR="005514C8" w:rsidRPr="005514C8" w:rsidRDefault="005514C8">
            <w:pPr>
              <w:spacing w:after="60"/>
              <w:rPr>
                <w:sz w:val="18"/>
                <w:szCs w:val="18"/>
              </w:rPr>
            </w:pPr>
            <w:r w:rsidRPr="005514C8">
              <w:rPr>
                <w:sz w:val="18"/>
              </w:rPr>
              <w:t>HCFC-141b</w:t>
            </w:r>
          </w:p>
        </w:tc>
        <w:tc>
          <w:tcPr>
            <w:tcW w:w="818" w:type="dxa"/>
          </w:tcPr>
          <w:p w:rsidR="005514C8" w:rsidRPr="005514C8" w:rsidRDefault="005514C8">
            <w:pPr>
              <w:spacing w:after="60"/>
              <w:jc w:val="right"/>
              <w:rPr>
                <w:sz w:val="18"/>
                <w:szCs w:val="18"/>
              </w:rPr>
            </w:pPr>
          </w:p>
        </w:tc>
        <w:tc>
          <w:tcPr>
            <w:tcW w:w="1026" w:type="dxa"/>
            <w:gridSpan w:val="2"/>
          </w:tcPr>
          <w:p w:rsidR="005514C8" w:rsidRPr="005514C8" w:rsidRDefault="005514C8">
            <w:pPr>
              <w:spacing w:after="60"/>
              <w:jc w:val="right"/>
              <w:rPr>
                <w:sz w:val="18"/>
                <w:szCs w:val="18"/>
              </w:rPr>
            </w:pPr>
          </w:p>
        </w:tc>
        <w:tc>
          <w:tcPr>
            <w:tcW w:w="614" w:type="dxa"/>
          </w:tcPr>
          <w:p w:rsidR="005514C8" w:rsidRPr="005514C8" w:rsidRDefault="005514C8">
            <w:pPr>
              <w:spacing w:after="60"/>
              <w:jc w:val="right"/>
              <w:rPr>
                <w:sz w:val="18"/>
                <w:szCs w:val="18"/>
              </w:rPr>
            </w:pPr>
          </w:p>
        </w:tc>
        <w:tc>
          <w:tcPr>
            <w:tcW w:w="1346" w:type="dxa"/>
          </w:tcPr>
          <w:p w:rsidR="005514C8" w:rsidRPr="005514C8" w:rsidRDefault="005514C8">
            <w:pPr>
              <w:spacing w:after="60"/>
              <w:jc w:val="right"/>
              <w:rPr>
                <w:sz w:val="18"/>
                <w:szCs w:val="18"/>
              </w:rPr>
            </w:pPr>
          </w:p>
        </w:tc>
        <w:tc>
          <w:tcPr>
            <w:tcW w:w="1268" w:type="dxa"/>
          </w:tcPr>
          <w:p w:rsidR="005514C8" w:rsidRPr="005514C8" w:rsidRDefault="005514C8">
            <w:pPr>
              <w:spacing w:after="60"/>
              <w:jc w:val="right"/>
              <w:rPr>
                <w:sz w:val="18"/>
                <w:szCs w:val="18"/>
              </w:rPr>
            </w:pPr>
            <w:r w:rsidRPr="005514C8">
              <w:rPr>
                <w:sz w:val="18"/>
              </w:rPr>
              <w:t>0.00</w:t>
            </w:r>
          </w:p>
        </w:tc>
        <w:tc>
          <w:tcPr>
            <w:tcW w:w="843" w:type="dxa"/>
          </w:tcPr>
          <w:p w:rsidR="005514C8" w:rsidRPr="005514C8" w:rsidRDefault="005514C8">
            <w:pPr>
              <w:spacing w:after="60"/>
              <w:jc w:val="right"/>
              <w:rPr>
                <w:sz w:val="18"/>
                <w:szCs w:val="18"/>
              </w:rPr>
            </w:pPr>
          </w:p>
        </w:tc>
        <w:tc>
          <w:tcPr>
            <w:tcW w:w="863" w:type="dxa"/>
          </w:tcPr>
          <w:p w:rsidR="005514C8" w:rsidRPr="005514C8" w:rsidRDefault="005514C8">
            <w:pPr>
              <w:spacing w:after="60"/>
              <w:jc w:val="right"/>
              <w:rPr>
                <w:sz w:val="18"/>
                <w:szCs w:val="18"/>
              </w:rPr>
            </w:pPr>
          </w:p>
        </w:tc>
        <w:tc>
          <w:tcPr>
            <w:tcW w:w="757" w:type="dxa"/>
          </w:tcPr>
          <w:p w:rsidR="005514C8" w:rsidRPr="005514C8" w:rsidRDefault="005514C8">
            <w:pPr>
              <w:spacing w:after="60"/>
              <w:jc w:val="right"/>
              <w:rPr>
                <w:sz w:val="18"/>
                <w:szCs w:val="18"/>
              </w:rPr>
            </w:pPr>
          </w:p>
        </w:tc>
        <w:tc>
          <w:tcPr>
            <w:tcW w:w="1224" w:type="dxa"/>
          </w:tcPr>
          <w:p w:rsidR="005514C8" w:rsidRPr="005514C8" w:rsidRDefault="005514C8">
            <w:pPr>
              <w:spacing w:after="60"/>
              <w:jc w:val="right"/>
              <w:rPr>
                <w:sz w:val="18"/>
                <w:szCs w:val="18"/>
              </w:rPr>
            </w:pPr>
            <w:r w:rsidRPr="005514C8">
              <w:rPr>
                <w:sz w:val="18"/>
              </w:rPr>
              <w:t>0.00</w:t>
            </w:r>
          </w:p>
        </w:tc>
      </w:tr>
      <w:tr w:rsidR="005514C8" w:rsidRPr="005514C8">
        <w:trPr>
          <w:trHeight w:val="179"/>
          <w:jc w:val="center"/>
        </w:trPr>
        <w:tc>
          <w:tcPr>
            <w:tcW w:w="1340" w:type="dxa"/>
          </w:tcPr>
          <w:p w:rsidR="005514C8" w:rsidRPr="005514C8" w:rsidRDefault="005514C8">
            <w:pPr>
              <w:spacing w:after="60"/>
              <w:rPr>
                <w:sz w:val="18"/>
                <w:szCs w:val="18"/>
              </w:rPr>
            </w:pPr>
            <w:r w:rsidRPr="005514C8">
              <w:rPr>
                <w:sz w:val="18"/>
              </w:rPr>
              <w:t>HCFC-142b</w:t>
            </w:r>
          </w:p>
        </w:tc>
        <w:tc>
          <w:tcPr>
            <w:tcW w:w="818" w:type="dxa"/>
          </w:tcPr>
          <w:p w:rsidR="005514C8" w:rsidRPr="005514C8" w:rsidRDefault="005514C8">
            <w:pPr>
              <w:spacing w:after="60"/>
              <w:jc w:val="right"/>
              <w:rPr>
                <w:sz w:val="18"/>
                <w:szCs w:val="18"/>
              </w:rPr>
            </w:pPr>
          </w:p>
        </w:tc>
        <w:tc>
          <w:tcPr>
            <w:tcW w:w="1026" w:type="dxa"/>
            <w:gridSpan w:val="2"/>
          </w:tcPr>
          <w:p w:rsidR="005514C8" w:rsidRPr="005514C8" w:rsidRDefault="005514C8">
            <w:pPr>
              <w:spacing w:after="60"/>
              <w:jc w:val="right"/>
              <w:rPr>
                <w:sz w:val="18"/>
                <w:szCs w:val="18"/>
              </w:rPr>
            </w:pPr>
          </w:p>
        </w:tc>
        <w:tc>
          <w:tcPr>
            <w:tcW w:w="614" w:type="dxa"/>
          </w:tcPr>
          <w:p w:rsidR="005514C8" w:rsidRPr="005514C8" w:rsidRDefault="005514C8">
            <w:pPr>
              <w:spacing w:after="60"/>
              <w:jc w:val="right"/>
              <w:rPr>
                <w:sz w:val="18"/>
                <w:szCs w:val="18"/>
              </w:rPr>
            </w:pPr>
          </w:p>
        </w:tc>
        <w:tc>
          <w:tcPr>
            <w:tcW w:w="1346" w:type="dxa"/>
          </w:tcPr>
          <w:p w:rsidR="005514C8" w:rsidRPr="005514C8" w:rsidRDefault="005514C8">
            <w:pPr>
              <w:spacing w:after="60"/>
              <w:jc w:val="right"/>
              <w:rPr>
                <w:sz w:val="18"/>
                <w:szCs w:val="18"/>
              </w:rPr>
            </w:pPr>
          </w:p>
        </w:tc>
        <w:tc>
          <w:tcPr>
            <w:tcW w:w="1268" w:type="dxa"/>
          </w:tcPr>
          <w:p w:rsidR="005514C8" w:rsidRPr="005514C8" w:rsidRDefault="005514C8">
            <w:pPr>
              <w:spacing w:after="60"/>
              <w:jc w:val="right"/>
              <w:rPr>
                <w:sz w:val="18"/>
                <w:szCs w:val="18"/>
              </w:rPr>
            </w:pPr>
            <w:r w:rsidRPr="005514C8">
              <w:rPr>
                <w:sz w:val="18"/>
              </w:rPr>
              <w:t>0.00</w:t>
            </w:r>
          </w:p>
        </w:tc>
        <w:tc>
          <w:tcPr>
            <w:tcW w:w="843" w:type="dxa"/>
          </w:tcPr>
          <w:p w:rsidR="005514C8" w:rsidRPr="005514C8" w:rsidRDefault="005514C8">
            <w:pPr>
              <w:spacing w:after="60"/>
              <w:jc w:val="right"/>
              <w:rPr>
                <w:sz w:val="18"/>
                <w:szCs w:val="18"/>
              </w:rPr>
            </w:pPr>
          </w:p>
        </w:tc>
        <w:tc>
          <w:tcPr>
            <w:tcW w:w="863" w:type="dxa"/>
          </w:tcPr>
          <w:p w:rsidR="005514C8" w:rsidRPr="005514C8" w:rsidRDefault="005514C8">
            <w:pPr>
              <w:spacing w:after="60"/>
              <w:jc w:val="right"/>
              <w:rPr>
                <w:sz w:val="18"/>
                <w:szCs w:val="18"/>
              </w:rPr>
            </w:pPr>
          </w:p>
        </w:tc>
        <w:tc>
          <w:tcPr>
            <w:tcW w:w="757" w:type="dxa"/>
          </w:tcPr>
          <w:p w:rsidR="005514C8" w:rsidRPr="005514C8" w:rsidRDefault="005514C8">
            <w:pPr>
              <w:spacing w:after="60"/>
              <w:jc w:val="right"/>
              <w:rPr>
                <w:sz w:val="18"/>
                <w:szCs w:val="18"/>
              </w:rPr>
            </w:pPr>
          </w:p>
        </w:tc>
        <w:tc>
          <w:tcPr>
            <w:tcW w:w="1224" w:type="dxa"/>
          </w:tcPr>
          <w:p w:rsidR="005514C8" w:rsidRPr="005514C8" w:rsidRDefault="005514C8">
            <w:pPr>
              <w:spacing w:after="60"/>
              <w:jc w:val="right"/>
              <w:rPr>
                <w:sz w:val="18"/>
                <w:szCs w:val="18"/>
              </w:rPr>
            </w:pPr>
            <w:r w:rsidRPr="005514C8">
              <w:rPr>
                <w:sz w:val="18"/>
              </w:rPr>
              <w:t>0.00</w:t>
            </w:r>
          </w:p>
        </w:tc>
      </w:tr>
      <w:tr w:rsidR="005514C8" w:rsidRPr="005514C8">
        <w:trPr>
          <w:trHeight w:val="179"/>
          <w:jc w:val="center"/>
        </w:trPr>
        <w:tc>
          <w:tcPr>
            <w:tcW w:w="1340" w:type="dxa"/>
          </w:tcPr>
          <w:p w:rsidR="005514C8" w:rsidRPr="005514C8" w:rsidRDefault="005514C8">
            <w:pPr>
              <w:spacing w:after="60"/>
              <w:rPr>
                <w:sz w:val="18"/>
                <w:szCs w:val="18"/>
              </w:rPr>
            </w:pPr>
            <w:r w:rsidRPr="005514C8">
              <w:rPr>
                <w:sz w:val="18"/>
              </w:rPr>
              <w:t>HCFC-22</w:t>
            </w:r>
          </w:p>
        </w:tc>
        <w:tc>
          <w:tcPr>
            <w:tcW w:w="818" w:type="dxa"/>
          </w:tcPr>
          <w:p w:rsidR="005514C8" w:rsidRPr="005514C8" w:rsidRDefault="005514C8">
            <w:pPr>
              <w:spacing w:after="60"/>
              <w:jc w:val="right"/>
              <w:rPr>
                <w:sz w:val="18"/>
                <w:szCs w:val="18"/>
              </w:rPr>
            </w:pPr>
          </w:p>
        </w:tc>
        <w:tc>
          <w:tcPr>
            <w:tcW w:w="1026" w:type="dxa"/>
            <w:gridSpan w:val="2"/>
          </w:tcPr>
          <w:p w:rsidR="005514C8" w:rsidRPr="005514C8" w:rsidRDefault="005514C8">
            <w:pPr>
              <w:spacing w:after="60"/>
              <w:jc w:val="right"/>
              <w:rPr>
                <w:sz w:val="18"/>
                <w:szCs w:val="18"/>
              </w:rPr>
            </w:pPr>
          </w:p>
        </w:tc>
        <w:tc>
          <w:tcPr>
            <w:tcW w:w="614" w:type="dxa"/>
          </w:tcPr>
          <w:p w:rsidR="005514C8" w:rsidRPr="005514C8" w:rsidRDefault="005514C8">
            <w:pPr>
              <w:spacing w:after="60"/>
              <w:jc w:val="right"/>
              <w:rPr>
                <w:sz w:val="18"/>
                <w:szCs w:val="18"/>
              </w:rPr>
            </w:pPr>
          </w:p>
        </w:tc>
        <w:tc>
          <w:tcPr>
            <w:tcW w:w="1346" w:type="dxa"/>
          </w:tcPr>
          <w:p w:rsidR="005514C8" w:rsidRPr="005514C8" w:rsidRDefault="005514C8">
            <w:pPr>
              <w:spacing w:after="60"/>
              <w:jc w:val="right"/>
              <w:rPr>
                <w:sz w:val="18"/>
                <w:szCs w:val="18"/>
              </w:rPr>
            </w:pPr>
          </w:p>
        </w:tc>
        <w:tc>
          <w:tcPr>
            <w:tcW w:w="1268" w:type="dxa"/>
          </w:tcPr>
          <w:p w:rsidR="005514C8" w:rsidRPr="005514C8" w:rsidRDefault="005514C8">
            <w:pPr>
              <w:spacing w:after="60"/>
              <w:jc w:val="right"/>
              <w:rPr>
                <w:sz w:val="18"/>
                <w:szCs w:val="18"/>
              </w:rPr>
            </w:pPr>
            <w:r w:rsidRPr="005514C8">
              <w:rPr>
                <w:sz w:val="18"/>
              </w:rPr>
              <w:t>13.49</w:t>
            </w:r>
          </w:p>
        </w:tc>
        <w:tc>
          <w:tcPr>
            <w:tcW w:w="843" w:type="dxa"/>
          </w:tcPr>
          <w:p w:rsidR="005514C8" w:rsidRPr="005514C8" w:rsidRDefault="005514C8">
            <w:pPr>
              <w:spacing w:after="60"/>
              <w:jc w:val="right"/>
              <w:rPr>
                <w:sz w:val="18"/>
                <w:szCs w:val="18"/>
              </w:rPr>
            </w:pPr>
          </w:p>
        </w:tc>
        <w:tc>
          <w:tcPr>
            <w:tcW w:w="863" w:type="dxa"/>
          </w:tcPr>
          <w:p w:rsidR="005514C8" w:rsidRPr="005514C8" w:rsidRDefault="005514C8">
            <w:pPr>
              <w:spacing w:after="60"/>
              <w:jc w:val="right"/>
              <w:rPr>
                <w:sz w:val="18"/>
                <w:szCs w:val="18"/>
              </w:rPr>
            </w:pPr>
          </w:p>
        </w:tc>
        <w:tc>
          <w:tcPr>
            <w:tcW w:w="757" w:type="dxa"/>
          </w:tcPr>
          <w:p w:rsidR="005514C8" w:rsidRPr="005514C8" w:rsidRDefault="005514C8">
            <w:pPr>
              <w:spacing w:after="60"/>
              <w:jc w:val="right"/>
              <w:rPr>
                <w:sz w:val="18"/>
                <w:szCs w:val="18"/>
              </w:rPr>
            </w:pPr>
          </w:p>
        </w:tc>
        <w:tc>
          <w:tcPr>
            <w:tcW w:w="1224" w:type="dxa"/>
          </w:tcPr>
          <w:p w:rsidR="005514C8" w:rsidRPr="005514C8" w:rsidRDefault="005514C8">
            <w:pPr>
              <w:spacing w:after="60"/>
              <w:jc w:val="right"/>
              <w:rPr>
                <w:sz w:val="18"/>
                <w:szCs w:val="18"/>
              </w:rPr>
            </w:pPr>
            <w:r w:rsidRPr="005514C8">
              <w:rPr>
                <w:sz w:val="18"/>
              </w:rPr>
              <w:t>13.49</w:t>
            </w:r>
          </w:p>
        </w:tc>
      </w:tr>
    </w:tbl>
    <w:p w:rsidR="005514C8" w:rsidRDefault="005514C8">
      <w:pPr>
        <w:spacing w:after="60"/>
        <w:jc w:val="center"/>
        <w:rPr>
          <w:b/>
          <w:sz w:val="16"/>
          <w:szCs w:val="16"/>
          <w:highlight w:val="yellow"/>
        </w:rPr>
      </w:pPr>
    </w:p>
    <w:tbl>
      <w:tblPr>
        <w:tblW w:w="1008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640"/>
        <w:gridCol w:w="531"/>
        <w:gridCol w:w="4035"/>
        <w:gridCol w:w="2880"/>
      </w:tblGrid>
      <w:tr w:rsidR="005514C8" w:rsidRPr="005514C8">
        <w:trPr>
          <w:trHeight w:val="182"/>
          <w:jc w:val="center"/>
        </w:trPr>
        <w:tc>
          <w:tcPr>
            <w:tcW w:w="10086" w:type="dxa"/>
            <w:gridSpan w:val="4"/>
          </w:tcPr>
          <w:p w:rsidR="005514C8" w:rsidRPr="005514C8" w:rsidRDefault="005514C8">
            <w:pPr>
              <w:spacing w:after="60"/>
              <w:rPr>
                <w:b/>
                <w:sz w:val="18"/>
                <w:szCs w:val="18"/>
                <w:lang w:eastAsia="zh-CN"/>
              </w:rPr>
            </w:pPr>
            <w:r w:rsidRPr="005514C8">
              <w:rPr>
                <w:b/>
                <w:sz w:val="18"/>
                <w:lang w:eastAsia="zh-CN"/>
              </w:rPr>
              <w:t>（四）消费数据（</w:t>
            </w:r>
            <w:r w:rsidRPr="005514C8">
              <w:rPr>
                <w:b/>
                <w:sz w:val="18"/>
                <w:lang w:eastAsia="zh-CN"/>
              </w:rPr>
              <w:t>ODP</w:t>
            </w:r>
            <w:r w:rsidRPr="005514C8">
              <w:rPr>
                <w:b/>
                <w:sz w:val="18"/>
                <w:lang w:eastAsia="zh-CN"/>
              </w:rPr>
              <w:t>吨）</w:t>
            </w:r>
          </w:p>
        </w:tc>
      </w:tr>
      <w:tr w:rsidR="005514C8" w:rsidRPr="005514C8">
        <w:trPr>
          <w:trHeight w:val="182"/>
          <w:jc w:val="center"/>
        </w:trPr>
        <w:tc>
          <w:tcPr>
            <w:tcW w:w="2641" w:type="dxa"/>
          </w:tcPr>
          <w:p w:rsidR="005514C8" w:rsidRPr="005514C8" w:rsidRDefault="005514C8">
            <w:pPr>
              <w:spacing w:after="60"/>
              <w:jc w:val="center"/>
              <w:rPr>
                <w:sz w:val="18"/>
                <w:szCs w:val="18"/>
              </w:rPr>
            </w:pPr>
            <w:r w:rsidRPr="005514C8">
              <w:rPr>
                <w:sz w:val="18"/>
              </w:rPr>
              <w:t>2009</w:t>
            </w:r>
            <w:r w:rsidR="008F44A9">
              <w:rPr>
                <w:rFonts w:hint="eastAsia"/>
                <w:sz w:val="18"/>
                <w:lang w:eastAsia="zh-CN"/>
              </w:rPr>
              <w:t>年</w:t>
            </w:r>
            <w:r w:rsidRPr="005514C8">
              <w:rPr>
                <w:sz w:val="18"/>
              </w:rPr>
              <w:t>-2010</w:t>
            </w:r>
            <w:proofErr w:type="spellStart"/>
            <w:r w:rsidRPr="005514C8">
              <w:rPr>
                <w:sz w:val="18"/>
              </w:rPr>
              <w:t>年基准</w:t>
            </w:r>
            <w:proofErr w:type="spellEnd"/>
            <w:r w:rsidR="008F44A9">
              <w:rPr>
                <w:rFonts w:hint="eastAsia"/>
                <w:sz w:val="18"/>
                <w:lang w:eastAsia="zh-CN"/>
              </w:rPr>
              <w:t>量</w:t>
            </w:r>
            <w:r w:rsidRPr="005514C8">
              <w:rPr>
                <w:sz w:val="18"/>
              </w:rPr>
              <w:t>：</w:t>
            </w:r>
          </w:p>
        </w:tc>
        <w:tc>
          <w:tcPr>
            <w:tcW w:w="0" w:type="auto"/>
          </w:tcPr>
          <w:p w:rsidR="005514C8" w:rsidRPr="005514C8" w:rsidRDefault="005514C8">
            <w:pPr>
              <w:spacing w:after="60"/>
              <w:jc w:val="right"/>
              <w:rPr>
                <w:sz w:val="18"/>
                <w:szCs w:val="18"/>
              </w:rPr>
            </w:pPr>
            <w:r w:rsidRPr="005514C8">
              <w:rPr>
                <w:sz w:val="18"/>
              </w:rPr>
              <w:t>23.8</w:t>
            </w:r>
          </w:p>
        </w:tc>
        <w:tc>
          <w:tcPr>
            <w:tcW w:w="4037" w:type="dxa"/>
          </w:tcPr>
          <w:p w:rsidR="005514C8" w:rsidRPr="005514C8" w:rsidRDefault="005514C8" w:rsidP="008F44A9">
            <w:pPr>
              <w:spacing w:after="60"/>
              <w:jc w:val="center"/>
              <w:rPr>
                <w:sz w:val="18"/>
                <w:szCs w:val="18"/>
                <w:lang w:eastAsia="zh-CN"/>
              </w:rPr>
            </w:pPr>
            <w:r w:rsidRPr="005514C8">
              <w:rPr>
                <w:sz w:val="18"/>
                <w:lang w:eastAsia="zh-CN"/>
              </w:rPr>
              <w:t>持续</w:t>
            </w:r>
            <w:r w:rsidR="008F44A9">
              <w:rPr>
                <w:rFonts w:hint="eastAsia"/>
                <w:sz w:val="18"/>
                <w:lang w:eastAsia="zh-CN"/>
              </w:rPr>
              <w:t>削减</w:t>
            </w:r>
            <w:r w:rsidRPr="005514C8">
              <w:rPr>
                <w:sz w:val="18"/>
                <w:lang w:eastAsia="zh-CN"/>
              </w:rPr>
              <w:t>总</w:t>
            </w:r>
            <w:r w:rsidRPr="005514C8">
              <w:rPr>
                <w:rFonts w:hint="eastAsia"/>
                <w:sz w:val="18"/>
                <w:lang w:val="en-US" w:eastAsia="zh-CN"/>
              </w:rPr>
              <w:t>消费</w:t>
            </w:r>
            <w:r w:rsidRPr="005514C8">
              <w:rPr>
                <w:sz w:val="18"/>
                <w:lang w:eastAsia="zh-CN"/>
              </w:rPr>
              <w:t>量的起</w:t>
            </w:r>
            <w:r w:rsidRPr="005514C8">
              <w:rPr>
                <w:rFonts w:hint="eastAsia"/>
                <w:sz w:val="18"/>
                <w:lang w:val="en-US" w:eastAsia="zh-CN"/>
              </w:rPr>
              <w:t>点</w:t>
            </w:r>
            <w:r w:rsidRPr="005514C8">
              <w:rPr>
                <w:sz w:val="18"/>
                <w:lang w:eastAsia="zh-CN"/>
              </w:rPr>
              <w:t>：</w:t>
            </w:r>
          </w:p>
        </w:tc>
        <w:tc>
          <w:tcPr>
            <w:tcW w:w="2881" w:type="dxa"/>
          </w:tcPr>
          <w:p w:rsidR="005514C8" w:rsidRPr="005514C8" w:rsidRDefault="005514C8">
            <w:pPr>
              <w:spacing w:after="60"/>
              <w:jc w:val="right"/>
              <w:rPr>
                <w:sz w:val="18"/>
                <w:szCs w:val="18"/>
              </w:rPr>
            </w:pPr>
            <w:r w:rsidRPr="005514C8">
              <w:rPr>
                <w:sz w:val="18"/>
              </w:rPr>
              <w:t>23.8</w:t>
            </w:r>
          </w:p>
        </w:tc>
      </w:tr>
      <w:tr w:rsidR="005514C8" w:rsidRPr="005514C8">
        <w:trPr>
          <w:trHeight w:val="182"/>
          <w:jc w:val="center"/>
        </w:trPr>
        <w:tc>
          <w:tcPr>
            <w:tcW w:w="10086" w:type="dxa"/>
            <w:gridSpan w:val="4"/>
          </w:tcPr>
          <w:p w:rsidR="005514C8" w:rsidRPr="005514C8" w:rsidRDefault="005514C8">
            <w:pPr>
              <w:spacing w:after="60"/>
              <w:jc w:val="center"/>
              <w:rPr>
                <w:b/>
                <w:sz w:val="18"/>
                <w:szCs w:val="18"/>
                <w:lang w:eastAsia="zh-CN"/>
              </w:rPr>
            </w:pPr>
            <w:r w:rsidRPr="005514C8">
              <w:rPr>
                <w:b/>
                <w:sz w:val="18"/>
                <w:lang w:eastAsia="zh-CN"/>
              </w:rPr>
              <w:t>有资格获得供资的消费量（</w:t>
            </w:r>
            <w:r w:rsidRPr="005514C8">
              <w:rPr>
                <w:b/>
                <w:sz w:val="18"/>
                <w:lang w:eastAsia="zh-CN"/>
              </w:rPr>
              <w:t>ODP</w:t>
            </w:r>
            <w:r w:rsidRPr="005514C8">
              <w:rPr>
                <w:b/>
                <w:sz w:val="18"/>
                <w:lang w:eastAsia="zh-CN"/>
              </w:rPr>
              <w:t>吨）</w:t>
            </w:r>
          </w:p>
        </w:tc>
      </w:tr>
      <w:tr w:rsidR="005514C8" w:rsidRPr="005514C8">
        <w:trPr>
          <w:trHeight w:val="182"/>
          <w:jc w:val="center"/>
        </w:trPr>
        <w:tc>
          <w:tcPr>
            <w:tcW w:w="2641" w:type="dxa"/>
          </w:tcPr>
          <w:p w:rsidR="005514C8" w:rsidRPr="005514C8" w:rsidRDefault="005514C8">
            <w:pPr>
              <w:spacing w:after="60"/>
              <w:jc w:val="center"/>
              <w:rPr>
                <w:sz w:val="18"/>
                <w:szCs w:val="18"/>
              </w:rPr>
            </w:pPr>
            <w:proofErr w:type="spellStart"/>
            <w:r w:rsidRPr="005514C8">
              <w:rPr>
                <w:sz w:val="18"/>
              </w:rPr>
              <w:t>已批准数量</w:t>
            </w:r>
            <w:proofErr w:type="spellEnd"/>
            <w:r w:rsidRPr="005514C8">
              <w:rPr>
                <w:sz w:val="18"/>
              </w:rPr>
              <w:t>：</w:t>
            </w:r>
          </w:p>
        </w:tc>
        <w:tc>
          <w:tcPr>
            <w:tcW w:w="0" w:type="auto"/>
          </w:tcPr>
          <w:p w:rsidR="005514C8" w:rsidRPr="005514C8" w:rsidRDefault="005514C8">
            <w:pPr>
              <w:spacing w:after="60"/>
              <w:jc w:val="right"/>
              <w:rPr>
                <w:sz w:val="18"/>
                <w:szCs w:val="18"/>
              </w:rPr>
            </w:pPr>
            <w:r w:rsidRPr="005514C8">
              <w:rPr>
                <w:sz w:val="18"/>
              </w:rPr>
              <w:t>8.33</w:t>
            </w:r>
          </w:p>
        </w:tc>
        <w:tc>
          <w:tcPr>
            <w:tcW w:w="4037" w:type="dxa"/>
          </w:tcPr>
          <w:p w:rsidR="005514C8" w:rsidRPr="005514C8" w:rsidRDefault="005514C8">
            <w:pPr>
              <w:spacing w:after="60"/>
              <w:jc w:val="center"/>
              <w:rPr>
                <w:sz w:val="18"/>
                <w:szCs w:val="18"/>
              </w:rPr>
            </w:pPr>
            <w:proofErr w:type="spellStart"/>
            <w:r w:rsidRPr="005514C8">
              <w:rPr>
                <w:sz w:val="18"/>
              </w:rPr>
              <w:t>剩余数量</w:t>
            </w:r>
            <w:proofErr w:type="spellEnd"/>
            <w:r w:rsidRPr="005514C8">
              <w:rPr>
                <w:sz w:val="18"/>
              </w:rPr>
              <w:t>：</w:t>
            </w:r>
          </w:p>
        </w:tc>
        <w:tc>
          <w:tcPr>
            <w:tcW w:w="2881" w:type="dxa"/>
          </w:tcPr>
          <w:p w:rsidR="005514C8" w:rsidRPr="005514C8" w:rsidRDefault="005514C8">
            <w:pPr>
              <w:spacing w:after="60"/>
              <w:jc w:val="right"/>
              <w:rPr>
                <w:sz w:val="18"/>
                <w:szCs w:val="18"/>
              </w:rPr>
            </w:pPr>
            <w:r w:rsidRPr="005514C8">
              <w:rPr>
                <w:sz w:val="18"/>
              </w:rPr>
              <w:t>15.47</w:t>
            </w:r>
          </w:p>
        </w:tc>
      </w:tr>
    </w:tbl>
    <w:p w:rsidR="005514C8" w:rsidRPr="005514C8" w:rsidRDefault="005514C8" w:rsidP="005514C8">
      <w:pPr>
        <w:rPr>
          <w:vanish/>
        </w:rPr>
      </w:pPr>
    </w:p>
    <w:tbl>
      <w:tblPr>
        <w:tblpPr w:leftFromText="180" w:rightFromText="180" w:vertAnchor="text" w:horzAnchor="page" w:tblpX="1188" w:tblpY="193"/>
        <w:tblOverlap w:val="never"/>
        <w:tblW w:w="100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568"/>
        <w:gridCol w:w="3860"/>
        <w:gridCol w:w="1150"/>
        <w:gridCol w:w="1150"/>
        <w:gridCol w:w="1150"/>
        <w:gridCol w:w="1150"/>
      </w:tblGrid>
      <w:tr w:rsidR="005514C8" w:rsidRPr="005514C8">
        <w:trPr>
          <w:trHeight w:val="169"/>
        </w:trPr>
        <w:tc>
          <w:tcPr>
            <w:tcW w:w="5428" w:type="dxa"/>
            <w:gridSpan w:val="2"/>
          </w:tcPr>
          <w:p w:rsidR="005514C8" w:rsidRPr="005514C8" w:rsidRDefault="005514C8">
            <w:pPr>
              <w:spacing w:after="60"/>
              <w:rPr>
                <w:b/>
                <w:sz w:val="18"/>
                <w:szCs w:val="18"/>
              </w:rPr>
            </w:pPr>
            <w:r w:rsidRPr="005514C8">
              <w:rPr>
                <w:b/>
                <w:sz w:val="18"/>
              </w:rPr>
              <w:t>（</w:t>
            </w:r>
            <w:proofErr w:type="spellStart"/>
            <w:r w:rsidRPr="005514C8">
              <w:rPr>
                <w:b/>
                <w:sz w:val="18"/>
              </w:rPr>
              <w:t>五）业务计划</w:t>
            </w:r>
            <w:proofErr w:type="spellEnd"/>
          </w:p>
        </w:tc>
        <w:tc>
          <w:tcPr>
            <w:tcW w:w="1150" w:type="dxa"/>
          </w:tcPr>
          <w:p w:rsidR="005514C8" w:rsidRPr="005514C8" w:rsidRDefault="005514C8">
            <w:pPr>
              <w:spacing w:after="60"/>
              <w:jc w:val="center"/>
              <w:rPr>
                <w:b/>
                <w:sz w:val="18"/>
                <w:szCs w:val="18"/>
              </w:rPr>
            </w:pPr>
            <w:r w:rsidRPr="005514C8">
              <w:rPr>
                <w:b/>
                <w:sz w:val="18"/>
              </w:rPr>
              <w:t>2021</w:t>
            </w:r>
          </w:p>
        </w:tc>
        <w:tc>
          <w:tcPr>
            <w:tcW w:w="1150" w:type="dxa"/>
          </w:tcPr>
          <w:p w:rsidR="005514C8" w:rsidRPr="005514C8" w:rsidRDefault="005514C8">
            <w:pPr>
              <w:spacing w:after="60"/>
              <w:jc w:val="center"/>
              <w:rPr>
                <w:b/>
                <w:sz w:val="18"/>
                <w:szCs w:val="18"/>
              </w:rPr>
            </w:pPr>
            <w:r w:rsidRPr="005514C8">
              <w:rPr>
                <w:b/>
                <w:sz w:val="18"/>
              </w:rPr>
              <w:t>2022</w:t>
            </w:r>
          </w:p>
        </w:tc>
        <w:tc>
          <w:tcPr>
            <w:tcW w:w="1150" w:type="dxa"/>
          </w:tcPr>
          <w:p w:rsidR="005514C8" w:rsidRPr="005514C8" w:rsidRDefault="005514C8">
            <w:pPr>
              <w:spacing w:after="60"/>
              <w:jc w:val="center"/>
              <w:rPr>
                <w:b/>
                <w:sz w:val="18"/>
                <w:szCs w:val="18"/>
              </w:rPr>
            </w:pPr>
            <w:r w:rsidRPr="005514C8">
              <w:rPr>
                <w:b/>
                <w:sz w:val="18"/>
              </w:rPr>
              <w:t>2023</w:t>
            </w:r>
          </w:p>
        </w:tc>
        <w:tc>
          <w:tcPr>
            <w:tcW w:w="1150" w:type="dxa"/>
          </w:tcPr>
          <w:p w:rsidR="005514C8" w:rsidRPr="005514C8" w:rsidRDefault="005514C8">
            <w:pPr>
              <w:spacing w:after="60"/>
              <w:jc w:val="center"/>
              <w:rPr>
                <w:b/>
                <w:sz w:val="18"/>
                <w:szCs w:val="18"/>
              </w:rPr>
            </w:pPr>
            <w:proofErr w:type="spellStart"/>
            <w:r w:rsidRPr="005514C8">
              <w:rPr>
                <w:b/>
                <w:sz w:val="18"/>
              </w:rPr>
              <w:t>总计</w:t>
            </w:r>
            <w:proofErr w:type="spellEnd"/>
          </w:p>
        </w:tc>
      </w:tr>
      <w:tr w:rsidR="005514C8" w:rsidRPr="005514C8">
        <w:trPr>
          <w:trHeight w:val="169"/>
        </w:trPr>
        <w:tc>
          <w:tcPr>
            <w:tcW w:w="1568" w:type="dxa"/>
            <w:vMerge w:val="restart"/>
          </w:tcPr>
          <w:p w:rsidR="005514C8" w:rsidRPr="005514C8" w:rsidRDefault="0002589C">
            <w:pPr>
              <w:spacing w:after="60"/>
              <w:jc w:val="center"/>
              <w:rPr>
                <w:sz w:val="18"/>
                <w:szCs w:val="18"/>
              </w:rPr>
            </w:pPr>
            <w:r>
              <w:rPr>
                <w:rFonts w:hint="eastAsia"/>
                <w:sz w:val="18"/>
                <w:lang w:eastAsia="zh-CN"/>
              </w:rPr>
              <w:t>联合国</w:t>
            </w:r>
            <w:proofErr w:type="spellStart"/>
            <w:r w:rsidR="005514C8" w:rsidRPr="005514C8">
              <w:rPr>
                <w:sz w:val="18"/>
              </w:rPr>
              <w:t>环境规划署</w:t>
            </w:r>
            <w:proofErr w:type="spellEnd"/>
          </w:p>
        </w:tc>
        <w:tc>
          <w:tcPr>
            <w:tcW w:w="3860" w:type="dxa"/>
          </w:tcPr>
          <w:p w:rsidR="005514C8" w:rsidRPr="005514C8" w:rsidRDefault="005514C8">
            <w:pPr>
              <w:spacing w:after="60"/>
              <w:rPr>
                <w:sz w:val="18"/>
                <w:szCs w:val="18"/>
              </w:rPr>
            </w:pPr>
            <w:r w:rsidRPr="005514C8">
              <w:rPr>
                <w:sz w:val="18"/>
              </w:rPr>
              <w:t>ODS</w:t>
            </w:r>
            <w:proofErr w:type="spellStart"/>
            <w:r w:rsidRPr="005514C8">
              <w:rPr>
                <w:sz w:val="18"/>
              </w:rPr>
              <w:t>淘汰</w:t>
            </w:r>
            <w:proofErr w:type="spellEnd"/>
            <w:r w:rsidRPr="005514C8">
              <w:rPr>
                <w:sz w:val="18"/>
              </w:rPr>
              <w:t>（</w:t>
            </w:r>
            <w:r w:rsidRPr="005514C8">
              <w:rPr>
                <w:sz w:val="18"/>
              </w:rPr>
              <w:t>ODP</w:t>
            </w:r>
            <w:r w:rsidRPr="005514C8">
              <w:rPr>
                <w:sz w:val="18"/>
              </w:rPr>
              <w:t>吨）</w:t>
            </w:r>
          </w:p>
        </w:tc>
        <w:tc>
          <w:tcPr>
            <w:tcW w:w="1150" w:type="dxa"/>
          </w:tcPr>
          <w:p w:rsidR="005514C8" w:rsidRPr="005514C8" w:rsidRDefault="005514C8">
            <w:pPr>
              <w:spacing w:after="60"/>
              <w:jc w:val="right"/>
              <w:rPr>
                <w:sz w:val="18"/>
                <w:szCs w:val="18"/>
              </w:rPr>
            </w:pPr>
            <w:r w:rsidRPr="005514C8">
              <w:rPr>
                <w:sz w:val="18"/>
              </w:rPr>
              <w:t>0.79</w:t>
            </w:r>
          </w:p>
        </w:tc>
        <w:tc>
          <w:tcPr>
            <w:tcW w:w="1150" w:type="dxa"/>
          </w:tcPr>
          <w:p w:rsidR="005514C8" w:rsidRPr="005514C8" w:rsidRDefault="005514C8">
            <w:pPr>
              <w:spacing w:after="60"/>
              <w:jc w:val="right"/>
              <w:rPr>
                <w:sz w:val="18"/>
                <w:szCs w:val="18"/>
              </w:rPr>
            </w:pPr>
            <w:r w:rsidRPr="005514C8">
              <w:rPr>
                <w:sz w:val="18"/>
              </w:rPr>
              <w:t>0.0</w:t>
            </w:r>
          </w:p>
        </w:tc>
        <w:tc>
          <w:tcPr>
            <w:tcW w:w="1150" w:type="dxa"/>
          </w:tcPr>
          <w:p w:rsidR="005514C8" w:rsidRPr="005514C8" w:rsidRDefault="005514C8">
            <w:pPr>
              <w:spacing w:after="60"/>
              <w:jc w:val="right"/>
              <w:rPr>
                <w:sz w:val="18"/>
                <w:szCs w:val="18"/>
              </w:rPr>
            </w:pPr>
            <w:r w:rsidRPr="005514C8">
              <w:rPr>
                <w:sz w:val="18"/>
              </w:rPr>
              <w:t>0.0</w:t>
            </w:r>
          </w:p>
        </w:tc>
        <w:tc>
          <w:tcPr>
            <w:tcW w:w="1150" w:type="dxa"/>
          </w:tcPr>
          <w:p w:rsidR="005514C8" w:rsidRPr="005514C8" w:rsidRDefault="005514C8">
            <w:pPr>
              <w:spacing w:after="60"/>
              <w:jc w:val="right"/>
              <w:rPr>
                <w:sz w:val="18"/>
                <w:szCs w:val="18"/>
              </w:rPr>
            </w:pPr>
            <w:r w:rsidRPr="005514C8">
              <w:rPr>
                <w:sz w:val="18"/>
              </w:rPr>
              <w:t>0.79</w:t>
            </w:r>
          </w:p>
        </w:tc>
      </w:tr>
      <w:tr w:rsidR="005514C8" w:rsidRPr="005514C8">
        <w:trPr>
          <w:trHeight w:val="169"/>
        </w:trPr>
        <w:tc>
          <w:tcPr>
            <w:tcW w:w="1568" w:type="dxa"/>
            <w:vMerge/>
          </w:tcPr>
          <w:p w:rsidR="005514C8" w:rsidRPr="005514C8" w:rsidRDefault="005514C8">
            <w:pPr>
              <w:spacing w:after="60"/>
              <w:jc w:val="center"/>
              <w:rPr>
                <w:sz w:val="18"/>
                <w:szCs w:val="18"/>
              </w:rPr>
            </w:pPr>
          </w:p>
        </w:tc>
        <w:tc>
          <w:tcPr>
            <w:tcW w:w="3860" w:type="dxa"/>
          </w:tcPr>
          <w:p w:rsidR="005514C8" w:rsidRPr="005514C8" w:rsidRDefault="005514C8">
            <w:pPr>
              <w:spacing w:after="60"/>
              <w:rPr>
                <w:sz w:val="18"/>
                <w:szCs w:val="18"/>
              </w:rPr>
            </w:pPr>
            <w:proofErr w:type="spellStart"/>
            <w:r w:rsidRPr="005514C8">
              <w:rPr>
                <w:sz w:val="18"/>
              </w:rPr>
              <w:t>供资金额（美元</w:t>
            </w:r>
            <w:proofErr w:type="spellEnd"/>
            <w:r w:rsidRPr="005514C8">
              <w:rPr>
                <w:sz w:val="18"/>
              </w:rPr>
              <w:t>）</w:t>
            </w:r>
          </w:p>
        </w:tc>
        <w:tc>
          <w:tcPr>
            <w:tcW w:w="1150" w:type="dxa"/>
          </w:tcPr>
          <w:p w:rsidR="005514C8" w:rsidRPr="005514C8" w:rsidRDefault="005514C8">
            <w:pPr>
              <w:spacing w:after="60"/>
              <w:jc w:val="right"/>
              <w:rPr>
                <w:sz w:val="18"/>
                <w:szCs w:val="18"/>
              </w:rPr>
            </w:pPr>
            <w:r w:rsidRPr="005514C8">
              <w:rPr>
                <w:sz w:val="18"/>
              </w:rPr>
              <w:t>67,800</w:t>
            </w:r>
          </w:p>
        </w:tc>
        <w:tc>
          <w:tcPr>
            <w:tcW w:w="1150" w:type="dxa"/>
          </w:tcPr>
          <w:p w:rsidR="005514C8" w:rsidRPr="005514C8" w:rsidRDefault="005514C8">
            <w:pPr>
              <w:spacing w:after="60"/>
              <w:jc w:val="right"/>
              <w:rPr>
                <w:sz w:val="18"/>
                <w:szCs w:val="18"/>
              </w:rPr>
            </w:pPr>
            <w:r w:rsidRPr="005514C8">
              <w:rPr>
                <w:sz w:val="18"/>
              </w:rPr>
              <w:t>0</w:t>
            </w:r>
          </w:p>
        </w:tc>
        <w:tc>
          <w:tcPr>
            <w:tcW w:w="1150" w:type="dxa"/>
          </w:tcPr>
          <w:p w:rsidR="005514C8" w:rsidRPr="005514C8" w:rsidRDefault="005514C8">
            <w:pPr>
              <w:spacing w:after="60"/>
              <w:jc w:val="right"/>
              <w:rPr>
                <w:sz w:val="18"/>
                <w:szCs w:val="18"/>
              </w:rPr>
            </w:pPr>
            <w:r w:rsidRPr="005514C8">
              <w:rPr>
                <w:sz w:val="18"/>
              </w:rPr>
              <w:t>0</w:t>
            </w:r>
          </w:p>
        </w:tc>
        <w:tc>
          <w:tcPr>
            <w:tcW w:w="1150" w:type="dxa"/>
          </w:tcPr>
          <w:p w:rsidR="005514C8" w:rsidRPr="005514C8" w:rsidRDefault="005514C8">
            <w:pPr>
              <w:spacing w:after="60"/>
              <w:jc w:val="right"/>
              <w:rPr>
                <w:sz w:val="18"/>
                <w:szCs w:val="18"/>
              </w:rPr>
            </w:pPr>
            <w:r w:rsidRPr="005514C8">
              <w:rPr>
                <w:sz w:val="18"/>
              </w:rPr>
              <w:t>67,800</w:t>
            </w:r>
          </w:p>
        </w:tc>
      </w:tr>
    </w:tbl>
    <w:p w:rsidR="005514C8" w:rsidRDefault="005514C8">
      <w:pPr>
        <w:spacing w:after="60"/>
        <w:jc w:val="center"/>
        <w:rPr>
          <w:b/>
          <w:sz w:val="16"/>
          <w:szCs w:val="16"/>
          <w:highlight w:val="yellow"/>
        </w:rPr>
      </w:pPr>
    </w:p>
    <w:p w:rsidR="005514C8" w:rsidRDefault="005514C8">
      <w:pPr>
        <w:spacing w:after="60"/>
        <w:jc w:val="center"/>
        <w:rPr>
          <w:b/>
          <w:sz w:val="16"/>
          <w:szCs w:val="16"/>
          <w:highlight w:val="yellow"/>
        </w:rPr>
      </w:pPr>
    </w:p>
    <w:tbl>
      <w:tblPr>
        <w:tblW w:w="1027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43" w:type="dxa"/>
          <w:right w:w="43" w:type="dxa"/>
        </w:tblCellMar>
        <w:tblLook w:val="0000" w:firstRow="0" w:lastRow="0" w:firstColumn="0" w:lastColumn="0" w:noHBand="0" w:noVBand="0"/>
      </w:tblPr>
      <w:tblGrid>
        <w:gridCol w:w="720"/>
        <w:gridCol w:w="727"/>
        <w:gridCol w:w="855"/>
        <w:gridCol w:w="709"/>
        <w:gridCol w:w="709"/>
        <w:gridCol w:w="708"/>
        <w:gridCol w:w="567"/>
        <w:gridCol w:w="709"/>
        <w:gridCol w:w="709"/>
        <w:gridCol w:w="567"/>
        <w:gridCol w:w="709"/>
        <w:gridCol w:w="567"/>
        <w:gridCol w:w="708"/>
        <w:gridCol w:w="567"/>
        <w:gridCol w:w="747"/>
      </w:tblGrid>
      <w:tr w:rsidR="005514C8" w:rsidRPr="005514C8">
        <w:trPr>
          <w:trHeight w:val="209"/>
          <w:jc w:val="center"/>
        </w:trPr>
        <w:tc>
          <w:tcPr>
            <w:tcW w:w="2302" w:type="dxa"/>
            <w:gridSpan w:val="3"/>
          </w:tcPr>
          <w:p w:rsidR="005514C8" w:rsidRPr="005514C8" w:rsidRDefault="005514C8">
            <w:pPr>
              <w:spacing w:after="60"/>
              <w:rPr>
                <w:b/>
                <w:sz w:val="18"/>
                <w:szCs w:val="18"/>
              </w:rPr>
            </w:pPr>
            <w:r w:rsidRPr="005514C8">
              <w:rPr>
                <w:b/>
                <w:sz w:val="18"/>
              </w:rPr>
              <w:t>（</w:t>
            </w:r>
            <w:proofErr w:type="spellStart"/>
            <w:r w:rsidRPr="005514C8">
              <w:rPr>
                <w:b/>
                <w:sz w:val="18"/>
              </w:rPr>
              <w:t>六）项目数据</w:t>
            </w:r>
            <w:proofErr w:type="spellEnd"/>
          </w:p>
        </w:tc>
        <w:tc>
          <w:tcPr>
            <w:tcW w:w="709" w:type="dxa"/>
          </w:tcPr>
          <w:p w:rsidR="005514C8" w:rsidRPr="005514C8" w:rsidRDefault="005514C8">
            <w:pPr>
              <w:spacing w:after="60"/>
              <w:jc w:val="center"/>
              <w:rPr>
                <w:b/>
                <w:sz w:val="18"/>
                <w:szCs w:val="18"/>
              </w:rPr>
            </w:pPr>
            <w:r w:rsidRPr="005514C8">
              <w:rPr>
                <w:b/>
                <w:sz w:val="18"/>
              </w:rPr>
              <w:t>2011</w:t>
            </w:r>
          </w:p>
        </w:tc>
        <w:tc>
          <w:tcPr>
            <w:tcW w:w="709" w:type="dxa"/>
          </w:tcPr>
          <w:p w:rsidR="005514C8" w:rsidRPr="005514C8" w:rsidRDefault="005514C8">
            <w:pPr>
              <w:spacing w:after="60"/>
              <w:jc w:val="center"/>
              <w:rPr>
                <w:b/>
                <w:sz w:val="18"/>
                <w:szCs w:val="18"/>
              </w:rPr>
            </w:pPr>
            <w:r w:rsidRPr="005514C8">
              <w:rPr>
                <w:b/>
                <w:sz w:val="18"/>
              </w:rPr>
              <w:t>2012</w:t>
            </w:r>
          </w:p>
        </w:tc>
        <w:tc>
          <w:tcPr>
            <w:tcW w:w="708" w:type="dxa"/>
          </w:tcPr>
          <w:p w:rsidR="005514C8" w:rsidRPr="005514C8" w:rsidRDefault="005514C8">
            <w:pPr>
              <w:spacing w:after="60"/>
              <w:jc w:val="center"/>
              <w:rPr>
                <w:b/>
                <w:sz w:val="18"/>
                <w:szCs w:val="18"/>
              </w:rPr>
            </w:pPr>
            <w:r w:rsidRPr="005514C8">
              <w:rPr>
                <w:b/>
                <w:sz w:val="18"/>
              </w:rPr>
              <w:t>2013</w:t>
            </w:r>
          </w:p>
        </w:tc>
        <w:tc>
          <w:tcPr>
            <w:tcW w:w="567" w:type="dxa"/>
          </w:tcPr>
          <w:p w:rsidR="005514C8" w:rsidRPr="005514C8" w:rsidRDefault="005514C8">
            <w:pPr>
              <w:spacing w:after="60"/>
              <w:jc w:val="center"/>
              <w:rPr>
                <w:b/>
                <w:sz w:val="18"/>
                <w:szCs w:val="18"/>
              </w:rPr>
            </w:pPr>
            <w:r w:rsidRPr="005514C8">
              <w:rPr>
                <w:b/>
                <w:sz w:val="18"/>
              </w:rPr>
              <w:t>2014</w:t>
            </w:r>
          </w:p>
        </w:tc>
        <w:tc>
          <w:tcPr>
            <w:tcW w:w="709" w:type="dxa"/>
          </w:tcPr>
          <w:p w:rsidR="005514C8" w:rsidRPr="005514C8" w:rsidRDefault="005514C8">
            <w:pPr>
              <w:spacing w:after="60"/>
              <w:jc w:val="center"/>
              <w:rPr>
                <w:b/>
                <w:sz w:val="18"/>
                <w:szCs w:val="18"/>
              </w:rPr>
            </w:pPr>
            <w:r w:rsidRPr="005514C8">
              <w:rPr>
                <w:b/>
                <w:sz w:val="18"/>
              </w:rPr>
              <w:t>2015</w:t>
            </w:r>
          </w:p>
        </w:tc>
        <w:tc>
          <w:tcPr>
            <w:tcW w:w="709" w:type="dxa"/>
          </w:tcPr>
          <w:p w:rsidR="005514C8" w:rsidRPr="005514C8" w:rsidRDefault="005514C8">
            <w:pPr>
              <w:spacing w:after="60"/>
              <w:jc w:val="center"/>
              <w:rPr>
                <w:b/>
                <w:sz w:val="18"/>
                <w:szCs w:val="18"/>
              </w:rPr>
            </w:pPr>
            <w:r w:rsidRPr="005514C8">
              <w:rPr>
                <w:b/>
                <w:sz w:val="18"/>
              </w:rPr>
              <w:t>2016</w:t>
            </w:r>
          </w:p>
        </w:tc>
        <w:tc>
          <w:tcPr>
            <w:tcW w:w="567" w:type="dxa"/>
          </w:tcPr>
          <w:p w:rsidR="005514C8" w:rsidRPr="005514C8" w:rsidRDefault="005514C8">
            <w:pPr>
              <w:spacing w:after="60"/>
              <w:jc w:val="center"/>
              <w:rPr>
                <w:b/>
                <w:sz w:val="18"/>
                <w:szCs w:val="18"/>
              </w:rPr>
            </w:pPr>
            <w:r w:rsidRPr="005514C8">
              <w:rPr>
                <w:b/>
                <w:sz w:val="18"/>
              </w:rPr>
              <w:t>2017</w:t>
            </w:r>
          </w:p>
        </w:tc>
        <w:tc>
          <w:tcPr>
            <w:tcW w:w="709" w:type="dxa"/>
          </w:tcPr>
          <w:p w:rsidR="005514C8" w:rsidRPr="005514C8" w:rsidRDefault="005514C8">
            <w:pPr>
              <w:spacing w:after="60"/>
              <w:jc w:val="center"/>
              <w:rPr>
                <w:b/>
                <w:sz w:val="18"/>
                <w:szCs w:val="18"/>
              </w:rPr>
            </w:pPr>
            <w:r w:rsidRPr="005514C8">
              <w:rPr>
                <w:b/>
                <w:sz w:val="18"/>
              </w:rPr>
              <w:t>2018</w:t>
            </w:r>
          </w:p>
        </w:tc>
        <w:tc>
          <w:tcPr>
            <w:tcW w:w="567" w:type="dxa"/>
          </w:tcPr>
          <w:p w:rsidR="005514C8" w:rsidRPr="005514C8" w:rsidRDefault="005514C8">
            <w:pPr>
              <w:spacing w:after="60"/>
              <w:jc w:val="center"/>
              <w:rPr>
                <w:b/>
                <w:sz w:val="18"/>
                <w:szCs w:val="18"/>
              </w:rPr>
            </w:pPr>
            <w:r w:rsidRPr="005514C8">
              <w:rPr>
                <w:b/>
                <w:sz w:val="18"/>
              </w:rPr>
              <w:t>2019</w:t>
            </w:r>
          </w:p>
        </w:tc>
        <w:tc>
          <w:tcPr>
            <w:tcW w:w="708" w:type="dxa"/>
          </w:tcPr>
          <w:p w:rsidR="005514C8" w:rsidRPr="005514C8" w:rsidRDefault="005514C8">
            <w:pPr>
              <w:spacing w:after="60"/>
              <w:jc w:val="center"/>
              <w:rPr>
                <w:b/>
                <w:sz w:val="18"/>
                <w:szCs w:val="18"/>
              </w:rPr>
            </w:pPr>
            <w:r w:rsidRPr="005514C8">
              <w:rPr>
                <w:b/>
                <w:sz w:val="18"/>
              </w:rPr>
              <w:t>2020</w:t>
            </w:r>
          </w:p>
        </w:tc>
        <w:tc>
          <w:tcPr>
            <w:tcW w:w="567" w:type="dxa"/>
          </w:tcPr>
          <w:p w:rsidR="005514C8" w:rsidRPr="005514C8" w:rsidRDefault="005514C8">
            <w:pPr>
              <w:spacing w:after="60"/>
              <w:jc w:val="center"/>
              <w:rPr>
                <w:b/>
                <w:sz w:val="18"/>
                <w:szCs w:val="18"/>
              </w:rPr>
            </w:pPr>
            <w:r w:rsidRPr="005514C8">
              <w:rPr>
                <w:b/>
                <w:sz w:val="18"/>
              </w:rPr>
              <w:t>2021</w:t>
            </w:r>
          </w:p>
        </w:tc>
        <w:tc>
          <w:tcPr>
            <w:tcW w:w="747" w:type="dxa"/>
          </w:tcPr>
          <w:p w:rsidR="005514C8" w:rsidRPr="005514C8" w:rsidRDefault="005514C8">
            <w:pPr>
              <w:spacing w:after="60"/>
              <w:jc w:val="center"/>
              <w:rPr>
                <w:b/>
                <w:sz w:val="18"/>
                <w:szCs w:val="18"/>
              </w:rPr>
            </w:pPr>
            <w:proofErr w:type="spellStart"/>
            <w:r w:rsidRPr="005514C8">
              <w:rPr>
                <w:b/>
                <w:sz w:val="18"/>
              </w:rPr>
              <w:t>总计</w:t>
            </w:r>
            <w:proofErr w:type="spellEnd"/>
          </w:p>
        </w:tc>
      </w:tr>
      <w:tr w:rsidR="005514C8" w:rsidRPr="005514C8">
        <w:trPr>
          <w:trHeight w:val="216"/>
          <w:jc w:val="center"/>
        </w:trPr>
        <w:tc>
          <w:tcPr>
            <w:tcW w:w="2302" w:type="dxa"/>
            <w:gridSpan w:val="3"/>
          </w:tcPr>
          <w:p w:rsidR="005514C8" w:rsidRPr="005514C8" w:rsidRDefault="00997DEE">
            <w:pPr>
              <w:spacing w:after="60"/>
              <w:jc w:val="left"/>
              <w:rPr>
                <w:sz w:val="18"/>
                <w:szCs w:val="18"/>
                <w:lang w:eastAsia="zh-CN"/>
              </w:rPr>
            </w:pPr>
            <w:r>
              <w:rPr>
                <w:rFonts w:hint="eastAsia"/>
                <w:sz w:val="18"/>
                <w:lang w:eastAsia="zh-CN"/>
              </w:rPr>
              <w:t>《</w:t>
            </w:r>
            <w:r w:rsidR="005514C8" w:rsidRPr="005514C8">
              <w:rPr>
                <w:sz w:val="18"/>
                <w:lang w:eastAsia="zh-CN"/>
              </w:rPr>
              <w:t>蒙特利尔议定书</w:t>
            </w:r>
            <w:r>
              <w:rPr>
                <w:rFonts w:hint="eastAsia"/>
                <w:sz w:val="18"/>
                <w:lang w:eastAsia="zh-CN"/>
              </w:rPr>
              <w:t>》</w:t>
            </w:r>
            <w:r w:rsidR="005514C8" w:rsidRPr="005514C8">
              <w:rPr>
                <w:sz w:val="18"/>
                <w:lang w:eastAsia="zh-CN"/>
              </w:rPr>
              <w:t>消费限量</w:t>
            </w:r>
          </w:p>
        </w:tc>
        <w:tc>
          <w:tcPr>
            <w:tcW w:w="709" w:type="dxa"/>
          </w:tcPr>
          <w:p w:rsidR="005514C8" w:rsidRPr="005514C8" w:rsidRDefault="005514C8">
            <w:pPr>
              <w:spacing w:after="60"/>
              <w:jc w:val="right"/>
              <w:rPr>
                <w:sz w:val="18"/>
                <w:szCs w:val="18"/>
              </w:rPr>
            </w:pPr>
            <w:proofErr w:type="spellStart"/>
            <w:r w:rsidRPr="005514C8">
              <w:rPr>
                <w:sz w:val="18"/>
              </w:rPr>
              <w:t>不适用</w:t>
            </w:r>
            <w:proofErr w:type="spellEnd"/>
          </w:p>
        </w:tc>
        <w:tc>
          <w:tcPr>
            <w:tcW w:w="709" w:type="dxa"/>
          </w:tcPr>
          <w:p w:rsidR="005514C8" w:rsidRPr="005514C8" w:rsidRDefault="005514C8">
            <w:pPr>
              <w:spacing w:after="60"/>
              <w:jc w:val="right"/>
              <w:rPr>
                <w:sz w:val="18"/>
                <w:szCs w:val="18"/>
              </w:rPr>
            </w:pPr>
            <w:proofErr w:type="spellStart"/>
            <w:r w:rsidRPr="005514C8">
              <w:rPr>
                <w:sz w:val="18"/>
              </w:rPr>
              <w:t>不适用</w:t>
            </w:r>
            <w:proofErr w:type="spellEnd"/>
          </w:p>
        </w:tc>
        <w:tc>
          <w:tcPr>
            <w:tcW w:w="708" w:type="dxa"/>
          </w:tcPr>
          <w:p w:rsidR="005514C8" w:rsidRPr="005514C8" w:rsidRDefault="005514C8">
            <w:pPr>
              <w:spacing w:after="60"/>
              <w:jc w:val="right"/>
              <w:rPr>
                <w:sz w:val="18"/>
                <w:szCs w:val="18"/>
              </w:rPr>
            </w:pPr>
            <w:r w:rsidRPr="005514C8">
              <w:rPr>
                <w:sz w:val="18"/>
              </w:rPr>
              <w:t>23.80</w:t>
            </w:r>
          </w:p>
        </w:tc>
        <w:tc>
          <w:tcPr>
            <w:tcW w:w="567" w:type="dxa"/>
          </w:tcPr>
          <w:p w:rsidR="005514C8" w:rsidRPr="005514C8" w:rsidRDefault="005514C8">
            <w:pPr>
              <w:spacing w:after="60"/>
              <w:jc w:val="right"/>
              <w:rPr>
                <w:sz w:val="18"/>
                <w:szCs w:val="18"/>
              </w:rPr>
            </w:pPr>
            <w:r w:rsidRPr="005514C8">
              <w:rPr>
                <w:sz w:val="18"/>
              </w:rPr>
              <w:t>23.80</w:t>
            </w:r>
          </w:p>
        </w:tc>
        <w:tc>
          <w:tcPr>
            <w:tcW w:w="709" w:type="dxa"/>
          </w:tcPr>
          <w:p w:rsidR="005514C8" w:rsidRPr="005514C8" w:rsidRDefault="005514C8">
            <w:pPr>
              <w:spacing w:after="60"/>
              <w:jc w:val="right"/>
              <w:rPr>
                <w:sz w:val="18"/>
                <w:szCs w:val="18"/>
              </w:rPr>
            </w:pPr>
            <w:r w:rsidRPr="005514C8">
              <w:rPr>
                <w:sz w:val="18"/>
              </w:rPr>
              <w:t>21.42</w:t>
            </w:r>
          </w:p>
        </w:tc>
        <w:tc>
          <w:tcPr>
            <w:tcW w:w="709" w:type="dxa"/>
          </w:tcPr>
          <w:p w:rsidR="005514C8" w:rsidRPr="005514C8" w:rsidRDefault="005514C8">
            <w:pPr>
              <w:spacing w:after="60"/>
              <w:jc w:val="right"/>
              <w:rPr>
                <w:sz w:val="18"/>
                <w:szCs w:val="18"/>
              </w:rPr>
            </w:pPr>
            <w:r w:rsidRPr="005514C8">
              <w:rPr>
                <w:sz w:val="18"/>
              </w:rPr>
              <w:t>21.42</w:t>
            </w:r>
          </w:p>
        </w:tc>
        <w:tc>
          <w:tcPr>
            <w:tcW w:w="567" w:type="dxa"/>
          </w:tcPr>
          <w:p w:rsidR="005514C8" w:rsidRPr="005514C8" w:rsidRDefault="005514C8">
            <w:pPr>
              <w:spacing w:after="60"/>
              <w:jc w:val="right"/>
              <w:rPr>
                <w:sz w:val="18"/>
                <w:szCs w:val="18"/>
              </w:rPr>
            </w:pPr>
            <w:r w:rsidRPr="005514C8">
              <w:rPr>
                <w:sz w:val="18"/>
              </w:rPr>
              <w:t>21.42</w:t>
            </w:r>
          </w:p>
        </w:tc>
        <w:tc>
          <w:tcPr>
            <w:tcW w:w="709" w:type="dxa"/>
          </w:tcPr>
          <w:p w:rsidR="005514C8" w:rsidRPr="005514C8" w:rsidRDefault="005514C8">
            <w:pPr>
              <w:spacing w:after="60"/>
              <w:jc w:val="right"/>
              <w:rPr>
                <w:sz w:val="18"/>
                <w:szCs w:val="18"/>
              </w:rPr>
            </w:pPr>
            <w:r w:rsidRPr="005514C8">
              <w:rPr>
                <w:sz w:val="18"/>
              </w:rPr>
              <w:t>21.42</w:t>
            </w:r>
          </w:p>
        </w:tc>
        <w:tc>
          <w:tcPr>
            <w:tcW w:w="567" w:type="dxa"/>
          </w:tcPr>
          <w:p w:rsidR="005514C8" w:rsidRPr="005514C8" w:rsidRDefault="005514C8">
            <w:pPr>
              <w:spacing w:after="60"/>
              <w:jc w:val="right"/>
              <w:rPr>
                <w:sz w:val="18"/>
                <w:szCs w:val="18"/>
              </w:rPr>
            </w:pPr>
            <w:r w:rsidRPr="005514C8">
              <w:rPr>
                <w:sz w:val="18"/>
              </w:rPr>
              <w:t>21.42</w:t>
            </w:r>
          </w:p>
        </w:tc>
        <w:tc>
          <w:tcPr>
            <w:tcW w:w="708" w:type="dxa"/>
          </w:tcPr>
          <w:p w:rsidR="005514C8" w:rsidRPr="005514C8" w:rsidRDefault="005514C8">
            <w:pPr>
              <w:spacing w:after="60"/>
              <w:jc w:val="right"/>
              <w:rPr>
                <w:sz w:val="18"/>
                <w:szCs w:val="18"/>
              </w:rPr>
            </w:pPr>
            <w:r w:rsidRPr="005514C8">
              <w:rPr>
                <w:sz w:val="18"/>
              </w:rPr>
              <w:t>15.47</w:t>
            </w:r>
          </w:p>
        </w:tc>
        <w:tc>
          <w:tcPr>
            <w:tcW w:w="567" w:type="dxa"/>
          </w:tcPr>
          <w:p w:rsidR="005514C8" w:rsidRPr="005514C8" w:rsidRDefault="005514C8">
            <w:pPr>
              <w:spacing w:after="60"/>
              <w:jc w:val="right"/>
              <w:rPr>
                <w:sz w:val="18"/>
                <w:szCs w:val="18"/>
              </w:rPr>
            </w:pPr>
            <w:r w:rsidRPr="005514C8">
              <w:rPr>
                <w:sz w:val="18"/>
              </w:rPr>
              <w:t>15.47</w:t>
            </w:r>
          </w:p>
        </w:tc>
        <w:tc>
          <w:tcPr>
            <w:tcW w:w="747" w:type="dxa"/>
          </w:tcPr>
          <w:p w:rsidR="005514C8" w:rsidRPr="005514C8" w:rsidRDefault="005514C8">
            <w:pPr>
              <w:spacing w:after="60"/>
              <w:jc w:val="right"/>
              <w:rPr>
                <w:sz w:val="18"/>
                <w:szCs w:val="18"/>
              </w:rPr>
            </w:pPr>
            <w:proofErr w:type="spellStart"/>
            <w:r w:rsidRPr="005514C8">
              <w:rPr>
                <w:sz w:val="18"/>
              </w:rPr>
              <w:t>不适用</w:t>
            </w:r>
            <w:proofErr w:type="spellEnd"/>
          </w:p>
        </w:tc>
      </w:tr>
      <w:tr w:rsidR="005514C8" w:rsidRPr="005514C8">
        <w:trPr>
          <w:trHeight w:val="269"/>
          <w:jc w:val="center"/>
        </w:trPr>
        <w:tc>
          <w:tcPr>
            <w:tcW w:w="2302" w:type="dxa"/>
            <w:gridSpan w:val="3"/>
          </w:tcPr>
          <w:p w:rsidR="005514C8" w:rsidRPr="005514C8" w:rsidRDefault="005514C8">
            <w:pPr>
              <w:spacing w:after="60"/>
              <w:jc w:val="left"/>
              <w:rPr>
                <w:sz w:val="18"/>
                <w:szCs w:val="18"/>
                <w:lang w:eastAsia="zh-CN"/>
              </w:rPr>
            </w:pPr>
            <w:r w:rsidRPr="005514C8">
              <w:rPr>
                <w:sz w:val="18"/>
                <w:lang w:eastAsia="zh-CN"/>
              </w:rPr>
              <w:t>最高允许消费量（</w:t>
            </w:r>
            <w:r w:rsidRPr="005514C8">
              <w:rPr>
                <w:sz w:val="18"/>
                <w:lang w:eastAsia="zh-CN"/>
              </w:rPr>
              <w:t>ODP</w:t>
            </w:r>
            <w:r w:rsidRPr="005514C8">
              <w:rPr>
                <w:sz w:val="18"/>
                <w:lang w:eastAsia="zh-CN"/>
              </w:rPr>
              <w:t>吨）</w:t>
            </w:r>
          </w:p>
        </w:tc>
        <w:tc>
          <w:tcPr>
            <w:tcW w:w="709" w:type="dxa"/>
          </w:tcPr>
          <w:p w:rsidR="005514C8" w:rsidRPr="005514C8" w:rsidRDefault="005514C8">
            <w:pPr>
              <w:spacing w:after="60"/>
              <w:jc w:val="right"/>
              <w:rPr>
                <w:sz w:val="18"/>
                <w:szCs w:val="18"/>
              </w:rPr>
            </w:pPr>
            <w:proofErr w:type="spellStart"/>
            <w:r w:rsidRPr="005514C8">
              <w:rPr>
                <w:sz w:val="18"/>
              </w:rPr>
              <w:t>不适用</w:t>
            </w:r>
            <w:proofErr w:type="spellEnd"/>
          </w:p>
        </w:tc>
        <w:tc>
          <w:tcPr>
            <w:tcW w:w="709" w:type="dxa"/>
          </w:tcPr>
          <w:p w:rsidR="005514C8" w:rsidRPr="005514C8" w:rsidRDefault="005514C8">
            <w:pPr>
              <w:spacing w:after="60"/>
              <w:jc w:val="right"/>
              <w:rPr>
                <w:sz w:val="18"/>
                <w:szCs w:val="18"/>
              </w:rPr>
            </w:pPr>
            <w:proofErr w:type="spellStart"/>
            <w:r w:rsidRPr="005514C8">
              <w:rPr>
                <w:sz w:val="18"/>
              </w:rPr>
              <w:t>不适用</w:t>
            </w:r>
            <w:proofErr w:type="spellEnd"/>
          </w:p>
        </w:tc>
        <w:tc>
          <w:tcPr>
            <w:tcW w:w="708" w:type="dxa"/>
          </w:tcPr>
          <w:p w:rsidR="005514C8" w:rsidRPr="005514C8" w:rsidRDefault="005514C8">
            <w:pPr>
              <w:spacing w:after="60"/>
              <w:jc w:val="right"/>
              <w:rPr>
                <w:sz w:val="18"/>
                <w:szCs w:val="18"/>
              </w:rPr>
            </w:pPr>
            <w:r w:rsidRPr="005514C8">
              <w:rPr>
                <w:sz w:val="18"/>
              </w:rPr>
              <w:t>23.80</w:t>
            </w:r>
          </w:p>
        </w:tc>
        <w:tc>
          <w:tcPr>
            <w:tcW w:w="567" w:type="dxa"/>
          </w:tcPr>
          <w:p w:rsidR="005514C8" w:rsidRPr="005514C8" w:rsidRDefault="005514C8">
            <w:pPr>
              <w:spacing w:after="60"/>
              <w:jc w:val="right"/>
              <w:rPr>
                <w:sz w:val="18"/>
                <w:szCs w:val="18"/>
              </w:rPr>
            </w:pPr>
            <w:r w:rsidRPr="005514C8">
              <w:rPr>
                <w:sz w:val="18"/>
              </w:rPr>
              <w:t>23.80</w:t>
            </w:r>
          </w:p>
        </w:tc>
        <w:tc>
          <w:tcPr>
            <w:tcW w:w="709" w:type="dxa"/>
          </w:tcPr>
          <w:p w:rsidR="005514C8" w:rsidRPr="005514C8" w:rsidRDefault="005514C8">
            <w:pPr>
              <w:spacing w:after="60"/>
              <w:jc w:val="right"/>
              <w:rPr>
                <w:sz w:val="18"/>
                <w:szCs w:val="18"/>
              </w:rPr>
            </w:pPr>
            <w:r w:rsidRPr="005514C8">
              <w:rPr>
                <w:sz w:val="18"/>
              </w:rPr>
              <w:t>21.42</w:t>
            </w:r>
          </w:p>
        </w:tc>
        <w:tc>
          <w:tcPr>
            <w:tcW w:w="709" w:type="dxa"/>
          </w:tcPr>
          <w:p w:rsidR="005514C8" w:rsidRPr="005514C8" w:rsidRDefault="005514C8">
            <w:pPr>
              <w:spacing w:after="60"/>
              <w:jc w:val="right"/>
              <w:rPr>
                <w:sz w:val="18"/>
                <w:szCs w:val="18"/>
              </w:rPr>
            </w:pPr>
            <w:r w:rsidRPr="005514C8">
              <w:rPr>
                <w:sz w:val="18"/>
              </w:rPr>
              <w:t>21.42</w:t>
            </w:r>
          </w:p>
        </w:tc>
        <w:tc>
          <w:tcPr>
            <w:tcW w:w="567" w:type="dxa"/>
          </w:tcPr>
          <w:p w:rsidR="005514C8" w:rsidRPr="005514C8" w:rsidRDefault="005514C8">
            <w:pPr>
              <w:spacing w:after="60"/>
              <w:jc w:val="right"/>
              <w:rPr>
                <w:sz w:val="18"/>
                <w:szCs w:val="18"/>
              </w:rPr>
            </w:pPr>
            <w:r w:rsidRPr="005514C8">
              <w:rPr>
                <w:sz w:val="18"/>
              </w:rPr>
              <w:t>21.42</w:t>
            </w:r>
          </w:p>
        </w:tc>
        <w:tc>
          <w:tcPr>
            <w:tcW w:w="709" w:type="dxa"/>
          </w:tcPr>
          <w:p w:rsidR="005514C8" w:rsidRPr="005514C8" w:rsidRDefault="005514C8">
            <w:pPr>
              <w:spacing w:after="60"/>
              <w:jc w:val="right"/>
              <w:rPr>
                <w:sz w:val="18"/>
                <w:szCs w:val="18"/>
              </w:rPr>
            </w:pPr>
            <w:r w:rsidRPr="005514C8">
              <w:rPr>
                <w:sz w:val="18"/>
              </w:rPr>
              <w:t>21.42</w:t>
            </w:r>
          </w:p>
        </w:tc>
        <w:tc>
          <w:tcPr>
            <w:tcW w:w="567" w:type="dxa"/>
          </w:tcPr>
          <w:p w:rsidR="005514C8" w:rsidRPr="005514C8" w:rsidRDefault="005514C8">
            <w:pPr>
              <w:spacing w:after="60"/>
              <w:jc w:val="right"/>
              <w:rPr>
                <w:sz w:val="18"/>
                <w:szCs w:val="18"/>
              </w:rPr>
            </w:pPr>
            <w:r w:rsidRPr="005514C8">
              <w:rPr>
                <w:sz w:val="18"/>
              </w:rPr>
              <w:t>21.42</w:t>
            </w:r>
          </w:p>
        </w:tc>
        <w:tc>
          <w:tcPr>
            <w:tcW w:w="708" w:type="dxa"/>
          </w:tcPr>
          <w:p w:rsidR="005514C8" w:rsidRPr="005514C8" w:rsidRDefault="005514C8">
            <w:pPr>
              <w:spacing w:after="60"/>
              <w:jc w:val="right"/>
              <w:rPr>
                <w:sz w:val="18"/>
                <w:szCs w:val="18"/>
              </w:rPr>
            </w:pPr>
            <w:r w:rsidRPr="005514C8">
              <w:rPr>
                <w:sz w:val="18"/>
              </w:rPr>
              <w:t>15.47</w:t>
            </w:r>
          </w:p>
        </w:tc>
        <w:tc>
          <w:tcPr>
            <w:tcW w:w="567" w:type="dxa"/>
          </w:tcPr>
          <w:p w:rsidR="005514C8" w:rsidRPr="005514C8" w:rsidRDefault="005514C8">
            <w:pPr>
              <w:spacing w:after="60"/>
              <w:jc w:val="right"/>
              <w:rPr>
                <w:sz w:val="18"/>
                <w:szCs w:val="18"/>
              </w:rPr>
            </w:pPr>
            <w:r w:rsidRPr="005514C8">
              <w:rPr>
                <w:sz w:val="18"/>
              </w:rPr>
              <w:t>15.47</w:t>
            </w:r>
          </w:p>
        </w:tc>
        <w:tc>
          <w:tcPr>
            <w:tcW w:w="747" w:type="dxa"/>
          </w:tcPr>
          <w:p w:rsidR="005514C8" w:rsidRPr="005514C8" w:rsidRDefault="005514C8">
            <w:pPr>
              <w:spacing w:after="60"/>
              <w:jc w:val="right"/>
              <w:rPr>
                <w:sz w:val="18"/>
                <w:szCs w:val="18"/>
              </w:rPr>
            </w:pPr>
            <w:proofErr w:type="spellStart"/>
            <w:r w:rsidRPr="005514C8">
              <w:rPr>
                <w:sz w:val="18"/>
              </w:rPr>
              <w:t>不适用</w:t>
            </w:r>
            <w:proofErr w:type="spellEnd"/>
          </w:p>
        </w:tc>
      </w:tr>
      <w:tr w:rsidR="005514C8" w:rsidRPr="005514C8">
        <w:trPr>
          <w:trHeight w:val="370"/>
          <w:jc w:val="center"/>
        </w:trPr>
        <w:tc>
          <w:tcPr>
            <w:tcW w:w="720" w:type="dxa"/>
            <w:vMerge w:val="restart"/>
          </w:tcPr>
          <w:p w:rsidR="005514C8" w:rsidRPr="005514C8" w:rsidRDefault="005514C8">
            <w:pPr>
              <w:spacing w:after="60"/>
              <w:jc w:val="left"/>
              <w:rPr>
                <w:sz w:val="18"/>
                <w:szCs w:val="18"/>
                <w:lang w:eastAsia="zh-CN"/>
              </w:rPr>
            </w:pPr>
            <w:r w:rsidRPr="005514C8">
              <w:rPr>
                <w:sz w:val="18"/>
                <w:lang w:eastAsia="zh-CN"/>
              </w:rPr>
              <w:t>商定供资金额（美元）</w:t>
            </w:r>
          </w:p>
        </w:tc>
        <w:tc>
          <w:tcPr>
            <w:tcW w:w="727" w:type="dxa"/>
            <w:vMerge w:val="restart"/>
          </w:tcPr>
          <w:p w:rsidR="005514C8" w:rsidRPr="005514C8" w:rsidRDefault="005514C8">
            <w:pPr>
              <w:spacing w:after="60"/>
              <w:jc w:val="left"/>
              <w:rPr>
                <w:sz w:val="18"/>
                <w:szCs w:val="18"/>
              </w:rPr>
            </w:pPr>
            <w:proofErr w:type="spellStart"/>
            <w:r w:rsidRPr="005514C8">
              <w:rPr>
                <w:sz w:val="18"/>
              </w:rPr>
              <w:t>环境规划署</w:t>
            </w:r>
            <w:proofErr w:type="spellEnd"/>
          </w:p>
        </w:tc>
        <w:tc>
          <w:tcPr>
            <w:tcW w:w="855" w:type="dxa"/>
          </w:tcPr>
          <w:p w:rsidR="005514C8" w:rsidRPr="005514C8" w:rsidRDefault="005514C8">
            <w:pPr>
              <w:spacing w:after="60"/>
              <w:jc w:val="left"/>
              <w:rPr>
                <w:sz w:val="18"/>
                <w:szCs w:val="18"/>
              </w:rPr>
            </w:pPr>
            <w:proofErr w:type="spellStart"/>
            <w:r w:rsidRPr="005514C8">
              <w:rPr>
                <w:sz w:val="18"/>
              </w:rPr>
              <w:t>项目成本</w:t>
            </w:r>
            <w:proofErr w:type="spellEnd"/>
          </w:p>
        </w:tc>
        <w:tc>
          <w:tcPr>
            <w:tcW w:w="709" w:type="dxa"/>
          </w:tcPr>
          <w:p w:rsidR="005514C8" w:rsidRPr="005514C8" w:rsidRDefault="005514C8">
            <w:pPr>
              <w:spacing w:after="60"/>
              <w:jc w:val="right"/>
              <w:rPr>
                <w:sz w:val="18"/>
                <w:szCs w:val="18"/>
              </w:rPr>
            </w:pPr>
            <w:r w:rsidRPr="005514C8">
              <w:rPr>
                <w:sz w:val="18"/>
              </w:rPr>
              <w:t>85,000</w:t>
            </w:r>
          </w:p>
        </w:tc>
        <w:tc>
          <w:tcPr>
            <w:tcW w:w="709" w:type="dxa"/>
          </w:tcPr>
          <w:p w:rsidR="005514C8" w:rsidRPr="005514C8" w:rsidRDefault="005514C8">
            <w:pPr>
              <w:spacing w:after="60"/>
              <w:jc w:val="right"/>
              <w:rPr>
                <w:sz w:val="18"/>
                <w:szCs w:val="18"/>
              </w:rPr>
            </w:pPr>
            <w:r w:rsidRPr="005514C8">
              <w:rPr>
                <w:sz w:val="18"/>
              </w:rPr>
              <w:t>0</w:t>
            </w:r>
          </w:p>
        </w:tc>
        <w:tc>
          <w:tcPr>
            <w:tcW w:w="708" w:type="dxa"/>
          </w:tcPr>
          <w:p w:rsidR="005514C8" w:rsidRPr="005514C8" w:rsidRDefault="005514C8">
            <w:pPr>
              <w:spacing w:after="60"/>
              <w:jc w:val="right"/>
              <w:rPr>
                <w:sz w:val="18"/>
                <w:szCs w:val="18"/>
              </w:rPr>
            </w:pPr>
            <w:r w:rsidRPr="005514C8">
              <w:rPr>
                <w:sz w:val="18"/>
              </w:rPr>
              <w:t>85,000</w:t>
            </w:r>
          </w:p>
        </w:tc>
        <w:tc>
          <w:tcPr>
            <w:tcW w:w="567" w:type="dxa"/>
          </w:tcPr>
          <w:p w:rsidR="005514C8" w:rsidRPr="005514C8" w:rsidRDefault="005514C8">
            <w:pPr>
              <w:spacing w:after="60"/>
              <w:jc w:val="right"/>
              <w:rPr>
                <w:sz w:val="18"/>
                <w:szCs w:val="18"/>
              </w:rPr>
            </w:pPr>
            <w:r w:rsidRPr="005514C8">
              <w:rPr>
                <w:sz w:val="18"/>
              </w:rPr>
              <w:t>0</w:t>
            </w:r>
          </w:p>
        </w:tc>
        <w:tc>
          <w:tcPr>
            <w:tcW w:w="709" w:type="dxa"/>
          </w:tcPr>
          <w:p w:rsidR="005514C8" w:rsidRPr="005514C8" w:rsidRDefault="005514C8">
            <w:pPr>
              <w:spacing w:after="60"/>
              <w:jc w:val="right"/>
              <w:rPr>
                <w:sz w:val="18"/>
                <w:szCs w:val="18"/>
              </w:rPr>
            </w:pPr>
            <w:r w:rsidRPr="005514C8">
              <w:rPr>
                <w:sz w:val="18"/>
              </w:rPr>
              <w:t>0</w:t>
            </w:r>
          </w:p>
        </w:tc>
        <w:tc>
          <w:tcPr>
            <w:tcW w:w="709" w:type="dxa"/>
          </w:tcPr>
          <w:p w:rsidR="005514C8" w:rsidRPr="005514C8" w:rsidRDefault="005514C8">
            <w:pPr>
              <w:spacing w:after="60"/>
              <w:jc w:val="right"/>
              <w:rPr>
                <w:sz w:val="18"/>
                <w:szCs w:val="18"/>
              </w:rPr>
            </w:pPr>
            <w:r w:rsidRPr="005514C8">
              <w:rPr>
                <w:sz w:val="18"/>
              </w:rPr>
              <w:t>75,000</w:t>
            </w:r>
          </w:p>
        </w:tc>
        <w:tc>
          <w:tcPr>
            <w:tcW w:w="567" w:type="dxa"/>
          </w:tcPr>
          <w:p w:rsidR="005514C8" w:rsidRPr="005514C8" w:rsidRDefault="005514C8">
            <w:pPr>
              <w:spacing w:after="60"/>
              <w:jc w:val="right"/>
              <w:rPr>
                <w:sz w:val="18"/>
                <w:szCs w:val="18"/>
              </w:rPr>
            </w:pPr>
            <w:r w:rsidRPr="005514C8">
              <w:rPr>
                <w:sz w:val="18"/>
              </w:rPr>
              <w:t>0</w:t>
            </w:r>
          </w:p>
        </w:tc>
        <w:tc>
          <w:tcPr>
            <w:tcW w:w="709" w:type="dxa"/>
          </w:tcPr>
          <w:p w:rsidR="005514C8" w:rsidRPr="005514C8" w:rsidRDefault="005514C8">
            <w:pPr>
              <w:spacing w:after="60"/>
              <w:jc w:val="right"/>
              <w:rPr>
                <w:sz w:val="18"/>
                <w:szCs w:val="18"/>
              </w:rPr>
            </w:pPr>
            <w:r w:rsidRPr="005514C8">
              <w:rPr>
                <w:sz w:val="18"/>
              </w:rPr>
              <w:t>65,000</w:t>
            </w:r>
          </w:p>
        </w:tc>
        <w:tc>
          <w:tcPr>
            <w:tcW w:w="567" w:type="dxa"/>
          </w:tcPr>
          <w:p w:rsidR="005514C8" w:rsidRPr="005514C8" w:rsidRDefault="005514C8">
            <w:pPr>
              <w:spacing w:after="60"/>
              <w:jc w:val="right"/>
              <w:rPr>
                <w:sz w:val="18"/>
                <w:szCs w:val="18"/>
              </w:rPr>
            </w:pPr>
            <w:r w:rsidRPr="005514C8">
              <w:rPr>
                <w:sz w:val="18"/>
              </w:rPr>
              <w:t>0</w:t>
            </w:r>
          </w:p>
        </w:tc>
        <w:tc>
          <w:tcPr>
            <w:tcW w:w="708" w:type="dxa"/>
          </w:tcPr>
          <w:p w:rsidR="005514C8" w:rsidRPr="005514C8" w:rsidRDefault="005514C8">
            <w:pPr>
              <w:spacing w:after="60"/>
              <w:jc w:val="right"/>
              <w:rPr>
                <w:sz w:val="18"/>
                <w:szCs w:val="18"/>
              </w:rPr>
            </w:pPr>
            <w:r w:rsidRPr="005514C8">
              <w:rPr>
                <w:sz w:val="18"/>
              </w:rPr>
              <w:t>60,000</w:t>
            </w:r>
          </w:p>
        </w:tc>
        <w:tc>
          <w:tcPr>
            <w:tcW w:w="567" w:type="dxa"/>
          </w:tcPr>
          <w:p w:rsidR="005514C8" w:rsidRPr="005514C8" w:rsidRDefault="005514C8">
            <w:pPr>
              <w:spacing w:after="60"/>
              <w:jc w:val="right"/>
              <w:rPr>
                <w:sz w:val="18"/>
                <w:szCs w:val="18"/>
              </w:rPr>
            </w:pPr>
            <w:r w:rsidRPr="005514C8">
              <w:rPr>
                <w:sz w:val="18"/>
              </w:rPr>
              <w:t>0</w:t>
            </w:r>
          </w:p>
        </w:tc>
        <w:tc>
          <w:tcPr>
            <w:tcW w:w="747" w:type="dxa"/>
          </w:tcPr>
          <w:p w:rsidR="005514C8" w:rsidRPr="005514C8" w:rsidRDefault="005514C8">
            <w:pPr>
              <w:spacing w:after="60"/>
              <w:jc w:val="right"/>
              <w:rPr>
                <w:sz w:val="18"/>
                <w:szCs w:val="18"/>
              </w:rPr>
            </w:pPr>
            <w:r w:rsidRPr="005514C8">
              <w:rPr>
                <w:sz w:val="18"/>
              </w:rPr>
              <w:t>370,000</w:t>
            </w:r>
          </w:p>
        </w:tc>
      </w:tr>
      <w:tr w:rsidR="005514C8" w:rsidRPr="005514C8">
        <w:trPr>
          <w:trHeight w:val="388"/>
          <w:jc w:val="center"/>
        </w:trPr>
        <w:tc>
          <w:tcPr>
            <w:tcW w:w="720" w:type="dxa"/>
            <w:vMerge/>
          </w:tcPr>
          <w:p w:rsidR="005514C8" w:rsidRPr="005514C8" w:rsidRDefault="005514C8">
            <w:pPr>
              <w:spacing w:after="60"/>
              <w:jc w:val="left"/>
              <w:rPr>
                <w:sz w:val="18"/>
                <w:szCs w:val="18"/>
              </w:rPr>
            </w:pPr>
          </w:p>
        </w:tc>
        <w:tc>
          <w:tcPr>
            <w:tcW w:w="727" w:type="dxa"/>
            <w:vMerge/>
          </w:tcPr>
          <w:p w:rsidR="005514C8" w:rsidRPr="005514C8" w:rsidRDefault="005514C8">
            <w:pPr>
              <w:spacing w:after="60"/>
              <w:jc w:val="left"/>
              <w:rPr>
                <w:sz w:val="18"/>
                <w:szCs w:val="18"/>
              </w:rPr>
            </w:pPr>
          </w:p>
        </w:tc>
        <w:tc>
          <w:tcPr>
            <w:tcW w:w="855" w:type="dxa"/>
          </w:tcPr>
          <w:p w:rsidR="005514C8" w:rsidRPr="005514C8" w:rsidRDefault="005514C8">
            <w:pPr>
              <w:spacing w:after="60"/>
              <w:jc w:val="left"/>
              <w:rPr>
                <w:sz w:val="18"/>
                <w:szCs w:val="18"/>
              </w:rPr>
            </w:pPr>
            <w:proofErr w:type="spellStart"/>
            <w:r w:rsidRPr="005514C8">
              <w:rPr>
                <w:sz w:val="18"/>
              </w:rPr>
              <w:t>支持成本</w:t>
            </w:r>
            <w:proofErr w:type="spellEnd"/>
          </w:p>
        </w:tc>
        <w:tc>
          <w:tcPr>
            <w:tcW w:w="709" w:type="dxa"/>
          </w:tcPr>
          <w:p w:rsidR="005514C8" w:rsidRPr="005514C8" w:rsidRDefault="005514C8">
            <w:pPr>
              <w:spacing w:after="60"/>
              <w:jc w:val="right"/>
              <w:rPr>
                <w:sz w:val="18"/>
                <w:szCs w:val="18"/>
              </w:rPr>
            </w:pPr>
            <w:r w:rsidRPr="005514C8">
              <w:rPr>
                <w:sz w:val="18"/>
              </w:rPr>
              <w:t>11,050</w:t>
            </w:r>
          </w:p>
        </w:tc>
        <w:tc>
          <w:tcPr>
            <w:tcW w:w="709" w:type="dxa"/>
          </w:tcPr>
          <w:p w:rsidR="005514C8" w:rsidRPr="005514C8" w:rsidRDefault="005514C8">
            <w:pPr>
              <w:spacing w:after="60"/>
              <w:jc w:val="right"/>
              <w:rPr>
                <w:sz w:val="18"/>
                <w:szCs w:val="18"/>
              </w:rPr>
            </w:pPr>
            <w:r w:rsidRPr="005514C8">
              <w:rPr>
                <w:sz w:val="18"/>
              </w:rPr>
              <w:t>0</w:t>
            </w:r>
          </w:p>
        </w:tc>
        <w:tc>
          <w:tcPr>
            <w:tcW w:w="708" w:type="dxa"/>
          </w:tcPr>
          <w:p w:rsidR="005514C8" w:rsidRPr="005514C8" w:rsidRDefault="005514C8">
            <w:pPr>
              <w:spacing w:after="60"/>
              <w:jc w:val="right"/>
              <w:rPr>
                <w:sz w:val="18"/>
                <w:szCs w:val="18"/>
              </w:rPr>
            </w:pPr>
            <w:r w:rsidRPr="005514C8">
              <w:rPr>
                <w:sz w:val="18"/>
              </w:rPr>
              <w:t>11,050</w:t>
            </w:r>
          </w:p>
        </w:tc>
        <w:tc>
          <w:tcPr>
            <w:tcW w:w="567" w:type="dxa"/>
          </w:tcPr>
          <w:p w:rsidR="005514C8" w:rsidRPr="005514C8" w:rsidRDefault="005514C8">
            <w:pPr>
              <w:spacing w:after="60"/>
              <w:jc w:val="right"/>
              <w:rPr>
                <w:sz w:val="18"/>
                <w:szCs w:val="18"/>
              </w:rPr>
            </w:pPr>
            <w:r w:rsidRPr="005514C8">
              <w:rPr>
                <w:sz w:val="18"/>
              </w:rPr>
              <w:t>0</w:t>
            </w:r>
          </w:p>
        </w:tc>
        <w:tc>
          <w:tcPr>
            <w:tcW w:w="709" w:type="dxa"/>
          </w:tcPr>
          <w:p w:rsidR="005514C8" w:rsidRPr="005514C8" w:rsidRDefault="005514C8">
            <w:pPr>
              <w:spacing w:after="60"/>
              <w:jc w:val="right"/>
              <w:rPr>
                <w:sz w:val="18"/>
                <w:szCs w:val="18"/>
              </w:rPr>
            </w:pPr>
            <w:r w:rsidRPr="005514C8">
              <w:rPr>
                <w:sz w:val="18"/>
              </w:rPr>
              <w:t>0</w:t>
            </w:r>
          </w:p>
        </w:tc>
        <w:tc>
          <w:tcPr>
            <w:tcW w:w="709" w:type="dxa"/>
          </w:tcPr>
          <w:p w:rsidR="005514C8" w:rsidRPr="005514C8" w:rsidRDefault="005514C8">
            <w:pPr>
              <w:spacing w:after="60"/>
              <w:jc w:val="right"/>
              <w:rPr>
                <w:sz w:val="18"/>
                <w:szCs w:val="18"/>
              </w:rPr>
            </w:pPr>
            <w:r w:rsidRPr="005514C8">
              <w:rPr>
                <w:sz w:val="18"/>
              </w:rPr>
              <w:t>9,750</w:t>
            </w:r>
          </w:p>
        </w:tc>
        <w:tc>
          <w:tcPr>
            <w:tcW w:w="567" w:type="dxa"/>
          </w:tcPr>
          <w:p w:rsidR="005514C8" w:rsidRPr="005514C8" w:rsidRDefault="005514C8">
            <w:pPr>
              <w:spacing w:after="60"/>
              <w:jc w:val="right"/>
              <w:rPr>
                <w:sz w:val="18"/>
                <w:szCs w:val="18"/>
              </w:rPr>
            </w:pPr>
            <w:r w:rsidRPr="005514C8">
              <w:rPr>
                <w:sz w:val="18"/>
              </w:rPr>
              <w:t>0</w:t>
            </w:r>
          </w:p>
        </w:tc>
        <w:tc>
          <w:tcPr>
            <w:tcW w:w="709" w:type="dxa"/>
          </w:tcPr>
          <w:p w:rsidR="005514C8" w:rsidRPr="005514C8" w:rsidRDefault="005514C8">
            <w:pPr>
              <w:spacing w:after="60"/>
              <w:jc w:val="right"/>
              <w:rPr>
                <w:sz w:val="18"/>
                <w:szCs w:val="18"/>
              </w:rPr>
            </w:pPr>
            <w:r w:rsidRPr="005514C8">
              <w:rPr>
                <w:sz w:val="18"/>
              </w:rPr>
              <w:t>8,450</w:t>
            </w:r>
          </w:p>
        </w:tc>
        <w:tc>
          <w:tcPr>
            <w:tcW w:w="567" w:type="dxa"/>
          </w:tcPr>
          <w:p w:rsidR="005514C8" w:rsidRPr="005514C8" w:rsidRDefault="005514C8">
            <w:pPr>
              <w:spacing w:after="60"/>
              <w:jc w:val="right"/>
              <w:rPr>
                <w:sz w:val="18"/>
                <w:szCs w:val="18"/>
              </w:rPr>
            </w:pPr>
            <w:r w:rsidRPr="005514C8">
              <w:rPr>
                <w:sz w:val="18"/>
              </w:rPr>
              <w:t>0</w:t>
            </w:r>
          </w:p>
        </w:tc>
        <w:tc>
          <w:tcPr>
            <w:tcW w:w="708" w:type="dxa"/>
          </w:tcPr>
          <w:p w:rsidR="005514C8" w:rsidRPr="005514C8" w:rsidRDefault="005514C8">
            <w:pPr>
              <w:spacing w:after="60"/>
              <w:jc w:val="right"/>
              <w:rPr>
                <w:sz w:val="18"/>
                <w:szCs w:val="18"/>
              </w:rPr>
            </w:pPr>
            <w:r w:rsidRPr="005514C8">
              <w:rPr>
                <w:sz w:val="18"/>
              </w:rPr>
              <w:t>7,800</w:t>
            </w:r>
          </w:p>
        </w:tc>
        <w:tc>
          <w:tcPr>
            <w:tcW w:w="567" w:type="dxa"/>
          </w:tcPr>
          <w:p w:rsidR="005514C8" w:rsidRPr="005514C8" w:rsidRDefault="005514C8">
            <w:pPr>
              <w:spacing w:after="60"/>
              <w:jc w:val="right"/>
              <w:rPr>
                <w:sz w:val="18"/>
                <w:szCs w:val="18"/>
              </w:rPr>
            </w:pPr>
            <w:r w:rsidRPr="005514C8">
              <w:rPr>
                <w:sz w:val="18"/>
              </w:rPr>
              <w:t>0</w:t>
            </w:r>
          </w:p>
        </w:tc>
        <w:tc>
          <w:tcPr>
            <w:tcW w:w="747" w:type="dxa"/>
          </w:tcPr>
          <w:p w:rsidR="005514C8" w:rsidRPr="005514C8" w:rsidRDefault="005514C8">
            <w:pPr>
              <w:spacing w:after="60"/>
              <w:jc w:val="right"/>
              <w:rPr>
                <w:sz w:val="18"/>
                <w:szCs w:val="18"/>
              </w:rPr>
            </w:pPr>
            <w:r w:rsidRPr="005514C8">
              <w:rPr>
                <w:sz w:val="18"/>
              </w:rPr>
              <w:t>48,100</w:t>
            </w:r>
          </w:p>
        </w:tc>
      </w:tr>
      <w:tr w:rsidR="005514C8" w:rsidRPr="005514C8">
        <w:trPr>
          <w:trHeight w:val="388"/>
          <w:jc w:val="center"/>
        </w:trPr>
        <w:tc>
          <w:tcPr>
            <w:tcW w:w="720" w:type="dxa"/>
            <w:vMerge/>
          </w:tcPr>
          <w:p w:rsidR="005514C8" w:rsidRPr="005514C8" w:rsidRDefault="005514C8">
            <w:pPr>
              <w:spacing w:after="60"/>
              <w:jc w:val="left"/>
              <w:rPr>
                <w:sz w:val="18"/>
                <w:szCs w:val="18"/>
              </w:rPr>
            </w:pPr>
          </w:p>
        </w:tc>
        <w:tc>
          <w:tcPr>
            <w:tcW w:w="727" w:type="dxa"/>
            <w:vMerge w:val="restart"/>
          </w:tcPr>
          <w:p w:rsidR="005514C8" w:rsidRPr="005514C8" w:rsidRDefault="005514C8">
            <w:pPr>
              <w:spacing w:after="60"/>
              <w:jc w:val="left"/>
              <w:rPr>
                <w:sz w:val="18"/>
                <w:szCs w:val="18"/>
              </w:rPr>
            </w:pPr>
            <w:proofErr w:type="spellStart"/>
            <w:r w:rsidRPr="005514C8">
              <w:rPr>
                <w:sz w:val="18"/>
              </w:rPr>
              <w:t>工发组织</w:t>
            </w:r>
            <w:proofErr w:type="spellEnd"/>
          </w:p>
        </w:tc>
        <w:tc>
          <w:tcPr>
            <w:tcW w:w="855" w:type="dxa"/>
          </w:tcPr>
          <w:p w:rsidR="005514C8" w:rsidRPr="005514C8" w:rsidRDefault="005514C8">
            <w:pPr>
              <w:spacing w:after="60"/>
              <w:jc w:val="left"/>
              <w:rPr>
                <w:sz w:val="18"/>
                <w:szCs w:val="18"/>
              </w:rPr>
            </w:pPr>
            <w:proofErr w:type="spellStart"/>
            <w:r w:rsidRPr="005514C8">
              <w:rPr>
                <w:sz w:val="18"/>
              </w:rPr>
              <w:t>项目成本</w:t>
            </w:r>
            <w:proofErr w:type="spellEnd"/>
          </w:p>
        </w:tc>
        <w:tc>
          <w:tcPr>
            <w:tcW w:w="709" w:type="dxa"/>
          </w:tcPr>
          <w:p w:rsidR="005514C8" w:rsidRPr="005514C8" w:rsidRDefault="005514C8">
            <w:pPr>
              <w:spacing w:after="60"/>
              <w:jc w:val="right"/>
              <w:rPr>
                <w:sz w:val="18"/>
                <w:szCs w:val="18"/>
              </w:rPr>
            </w:pPr>
            <w:r w:rsidRPr="005514C8">
              <w:rPr>
                <w:sz w:val="18"/>
              </w:rPr>
              <w:t>100,000</w:t>
            </w:r>
          </w:p>
        </w:tc>
        <w:tc>
          <w:tcPr>
            <w:tcW w:w="709" w:type="dxa"/>
          </w:tcPr>
          <w:p w:rsidR="005514C8" w:rsidRPr="005514C8" w:rsidRDefault="005514C8">
            <w:pPr>
              <w:spacing w:after="60"/>
              <w:jc w:val="right"/>
              <w:rPr>
                <w:sz w:val="18"/>
                <w:szCs w:val="18"/>
              </w:rPr>
            </w:pPr>
            <w:r w:rsidRPr="005514C8">
              <w:rPr>
                <w:sz w:val="18"/>
              </w:rPr>
              <w:t>0</w:t>
            </w:r>
          </w:p>
        </w:tc>
        <w:tc>
          <w:tcPr>
            <w:tcW w:w="708" w:type="dxa"/>
          </w:tcPr>
          <w:p w:rsidR="005514C8" w:rsidRPr="005514C8" w:rsidRDefault="005514C8">
            <w:pPr>
              <w:spacing w:after="60"/>
              <w:jc w:val="right"/>
              <w:rPr>
                <w:sz w:val="18"/>
                <w:szCs w:val="18"/>
              </w:rPr>
            </w:pPr>
            <w:r w:rsidRPr="005514C8">
              <w:rPr>
                <w:sz w:val="18"/>
              </w:rPr>
              <w:t>40,000</w:t>
            </w:r>
          </w:p>
        </w:tc>
        <w:tc>
          <w:tcPr>
            <w:tcW w:w="567" w:type="dxa"/>
          </w:tcPr>
          <w:p w:rsidR="005514C8" w:rsidRPr="005514C8" w:rsidRDefault="005514C8">
            <w:pPr>
              <w:spacing w:after="60"/>
              <w:jc w:val="right"/>
              <w:rPr>
                <w:sz w:val="18"/>
                <w:szCs w:val="18"/>
              </w:rPr>
            </w:pPr>
            <w:r w:rsidRPr="005514C8">
              <w:rPr>
                <w:sz w:val="18"/>
              </w:rPr>
              <w:t>0</w:t>
            </w:r>
          </w:p>
        </w:tc>
        <w:tc>
          <w:tcPr>
            <w:tcW w:w="709" w:type="dxa"/>
          </w:tcPr>
          <w:p w:rsidR="005514C8" w:rsidRPr="005514C8" w:rsidRDefault="005514C8">
            <w:pPr>
              <w:spacing w:after="60"/>
              <w:jc w:val="right"/>
              <w:rPr>
                <w:sz w:val="18"/>
                <w:szCs w:val="18"/>
              </w:rPr>
            </w:pPr>
            <w:r w:rsidRPr="005514C8">
              <w:rPr>
                <w:sz w:val="18"/>
              </w:rPr>
              <w:t>0</w:t>
            </w:r>
          </w:p>
        </w:tc>
        <w:tc>
          <w:tcPr>
            <w:tcW w:w="709" w:type="dxa"/>
          </w:tcPr>
          <w:p w:rsidR="005514C8" w:rsidRPr="005514C8" w:rsidRDefault="005514C8">
            <w:pPr>
              <w:jc w:val="right"/>
              <w:rPr>
                <w:color w:val="000000"/>
                <w:sz w:val="18"/>
                <w:szCs w:val="18"/>
              </w:rPr>
            </w:pPr>
            <w:r w:rsidRPr="005514C8">
              <w:rPr>
                <w:color w:val="000000"/>
                <w:sz w:val="18"/>
              </w:rPr>
              <w:t>120,000</w:t>
            </w:r>
          </w:p>
        </w:tc>
        <w:tc>
          <w:tcPr>
            <w:tcW w:w="567" w:type="dxa"/>
          </w:tcPr>
          <w:p w:rsidR="005514C8" w:rsidRPr="005514C8" w:rsidRDefault="005514C8">
            <w:pPr>
              <w:spacing w:after="60"/>
              <w:jc w:val="right"/>
              <w:rPr>
                <w:sz w:val="18"/>
                <w:szCs w:val="18"/>
              </w:rPr>
            </w:pPr>
            <w:r w:rsidRPr="005514C8">
              <w:rPr>
                <w:sz w:val="18"/>
              </w:rPr>
              <w:t>0</w:t>
            </w:r>
          </w:p>
        </w:tc>
        <w:tc>
          <w:tcPr>
            <w:tcW w:w="709" w:type="dxa"/>
          </w:tcPr>
          <w:p w:rsidR="005514C8" w:rsidRPr="005514C8" w:rsidRDefault="005514C8">
            <w:pPr>
              <w:spacing w:after="60"/>
              <w:jc w:val="right"/>
              <w:rPr>
                <w:sz w:val="18"/>
                <w:szCs w:val="18"/>
              </w:rPr>
            </w:pPr>
            <w:r w:rsidRPr="005514C8">
              <w:rPr>
                <w:sz w:val="18"/>
              </w:rPr>
              <w:t>0</w:t>
            </w:r>
          </w:p>
        </w:tc>
        <w:tc>
          <w:tcPr>
            <w:tcW w:w="567" w:type="dxa"/>
          </w:tcPr>
          <w:p w:rsidR="005514C8" w:rsidRPr="005514C8" w:rsidRDefault="005514C8">
            <w:pPr>
              <w:spacing w:after="60"/>
              <w:jc w:val="right"/>
              <w:rPr>
                <w:sz w:val="18"/>
                <w:szCs w:val="18"/>
              </w:rPr>
            </w:pPr>
            <w:r w:rsidRPr="005514C8">
              <w:rPr>
                <w:sz w:val="18"/>
              </w:rPr>
              <w:t>0</w:t>
            </w:r>
          </w:p>
        </w:tc>
        <w:tc>
          <w:tcPr>
            <w:tcW w:w="708" w:type="dxa"/>
          </w:tcPr>
          <w:p w:rsidR="005514C8" w:rsidRPr="005514C8" w:rsidRDefault="005514C8">
            <w:pPr>
              <w:spacing w:after="60"/>
              <w:jc w:val="right"/>
              <w:rPr>
                <w:sz w:val="18"/>
                <w:szCs w:val="18"/>
              </w:rPr>
            </w:pPr>
            <w:r w:rsidRPr="005514C8">
              <w:rPr>
                <w:sz w:val="18"/>
              </w:rPr>
              <w:t>0</w:t>
            </w:r>
          </w:p>
        </w:tc>
        <w:tc>
          <w:tcPr>
            <w:tcW w:w="567" w:type="dxa"/>
          </w:tcPr>
          <w:p w:rsidR="005514C8" w:rsidRPr="005514C8" w:rsidRDefault="005514C8">
            <w:pPr>
              <w:spacing w:after="60"/>
              <w:jc w:val="right"/>
              <w:rPr>
                <w:sz w:val="18"/>
                <w:szCs w:val="18"/>
              </w:rPr>
            </w:pPr>
            <w:r w:rsidRPr="005514C8">
              <w:rPr>
                <w:sz w:val="18"/>
              </w:rPr>
              <w:t>0</w:t>
            </w:r>
          </w:p>
        </w:tc>
        <w:tc>
          <w:tcPr>
            <w:tcW w:w="747" w:type="dxa"/>
          </w:tcPr>
          <w:p w:rsidR="005514C8" w:rsidRPr="005514C8" w:rsidRDefault="005514C8">
            <w:pPr>
              <w:spacing w:after="60"/>
              <w:jc w:val="right"/>
              <w:rPr>
                <w:sz w:val="18"/>
                <w:szCs w:val="18"/>
              </w:rPr>
            </w:pPr>
            <w:r w:rsidRPr="005514C8">
              <w:rPr>
                <w:sz w:val="18"/>
              </w:rPr>
              <w:t>260,000</w:t>
            </w:r>
          </w:p>
        </w:tc>
      </w:tr>
      <w:tr w:rsidR="005514C8" w:rsidRPr="005514C8">
        <w:trPr>
          <w:trHeight w:val="388"/>
          <w:jc w:val="center"/>
        </w:trPr>
        <w:tc>
          <w:tcPr>
            <w:tcW w:w="720" w:type="dxa"/>
            <w:vMerge/>
          </w:tcPr>
          <w:p w:rsidR="005514C8" w:rsidRPr="005514C8" w:rsidRDefault="005514C8">
            <w:pPr>
              <w:spacing w:after="60"/>
              <w:jc w:val="left"/>
              <w:rPr>
                <w:sz w:val="18"/>
                <w:szCs w:val="18"/>
              </w:rPr>
            </w:pPr>
          </w:p>
        </w:tc>
        <w:tc>
          <w:tcPr>
            <w:tcW w:w="727" w:type="dxa"/>
            <w:vMerge/>
          </w:tcPr>
          <w:p w:rsidR="005514C8" w:rsidRPr="005514C8" w:rsidRDefault="005514C8">
            <w:pPr>
              <w:spacing w:after="60"/>
              <w:jc w:val="left"/>
              <w:rPr>
                <w:sz w:val="18"/>
                <w:szCs w:val="18"/>
              </w:rPr>
            </w:pPr>
          </w:p>
        </w:tc>
        <w:tc>
          <w:tcPr>
            <w:tcW w:w="855" w:type="dxa"/>
          </w:tcPr>
          <w:p w:rsidR="005514C8" w:rsidRPr="005514C8" w:rsidRDefault="005514C8">
            <w:pPr>
              <w:spacing w:after="60"/>
              <w:jc w:val="left"/>
              <w:rPr>
                <w:sz w:val="18"/>
                <w:szCs w:val="18"/>
              </w:rPr>
            </w:pPr>
            <w:proofErr w:type="spellStart"/>
            <w:r w:rsidRPr="005514C8">
              <w:rPr>
                <w:sz w:val="18"/>
              </w:rPr>
              <w:t>支持成本</w:t>
            </w:r>
            <w:proofErr w:type="spellEnd"/>
          </w:p>
        </w:tc>
        <w:tc>
          <w:tcPr>
            <w:tcW w:w="709" w:type="dxa"/>
          </w:tcPr>
          <w:p w:rsidR="005514C8" w:rsidRPr="005514C8" w:rsidRDefault="005514C8">
            <w:pPr>
              <w:spacing w:after="60"/>
              <w:jc w:val="right"/>
              <w:rPr>
                <w:sz w:val="18"/>
                <w:szCs w:val="18"/>
              </w:rPr>
            </w:pPr>
            <w:r w:rsidRPr="005514C8">
              <w:rPr>
                <w:sz w:val="18"/>
              </w:rPr>
              <w:t>7,500</w:t>
            </w:r>
          </w:p>
        </w:tc>
        <w:tc>
          <w:tcPr>
            <w:tcW w:w="709" w:type="dxa"/>
          </w:tcPr>
          <w:p w:rsidR="005514C8" w:rsidRPr="005514C8" w:rsidRDefault="005514C8">
            <w:pPr>
              <w:spacing w:after="60"/>
              <w:jc w:val="right"/>
              <w:rPr>
                <w:sz w:val="18"/>
                <w:szCs w:val="18"/>
              </w:rPr>
            </w:pPr>
            <w:r w:rsidRPr="005514C8">
              <w:rPr>
                <w:sz w:val="18"/>
              </w:rPr>
              <w:t>0</w:t>
            </w:r>
          </w:p>
        </w:tc>
        <w:tc>
          <w:tcPr>
            <w:tcW w:w="708" w:type="dxa"/>
          </w:tcPr>
          <w:p w:rsidR="005514C8" w:rsidRPr="005514C8" w:rsidRDefault="005514C8">
            <w:pPr>
              <w:spacing w:after="60"/>
              <w:jc w:val="right"/>
              <w:rPr>
                <w:sz w:val="18"/>
                <w:szCs w:val="18"/>
              </w:rPr>
            </w:pPr>
            <w:r w:rsidRPr="005514C8">
              <w:rPr>
                <w:sz w:val="18"/>
              </w:rPr>
              <w:t>3,000</w:t>
            </w:r>
          </w:p>
        </w:tc>
        <w:tc>
          <w:tcPr>
            <w:tcW w:w="567" w:type="dxa"/>
          </w:tcPr>
          <w:p w:rsidR="005514C8" w:rsidRPr="005514C8" w:rsidRDefault="005514C8">
            <w:pPr>
              <w:spacing w:after="60"/>
              <w:jc w:val="right"/>
              <w:rPr>
                <w:sz w:val="18"/>
                <w:szCs w:val="18"/>
              </w:rPr>
            </w:pPr>
            <w:r w:rsidRPr="005514C8">
              <w:rPr>
                <w:sz w:val="18"/>
              </w:rPr>
              <w:t>0</w:t>
            </w:r>
          </w:p>
        </w:tc>
        <w:tc>
          <w:tcPr>
            <w:tcW w:w="709" w:type="dxa"/>
          </w:tcPr>
          <w:p w:rsidR="005514C8" w:rsidRPr="005514C8" w:rsidRDefault="005514C8">
            <w:pPr>
              <w:spacing w:after="60"/>
              <w:jc w:val="right"/>
              <w:rPr>
                <w:sz w:val="18"/>
                <w:szCs w:val="18"/>
              </w:rPr>
            </w:pPr>
            <w:r w:rsidRPr="005514C8">
              <w:rPr>
                <w:sz w:val="18"/>
              </w:rPr>
              <w:t>0</w:t>
            </w:r>
          </w:p>
        </w:tc>
        <w:tc>
          <w:tcPr>
            <w:tcW w:w="709" w:type="dxa"/>
          </w:tcPr>
          <w:p w:rsidR="005514C8" w:rsidRPr="005514C8" w:rsidRDefault="005514C8">
            <w:pPr>
              <w:jc w:val="right"/>
              <w:rPr>
                <w:color w:val="000000"/>
                <w:sz w:val="18"/>
                <w:szCs w:val="18"/>
              </w:rPr>
            </w:pPr>
            <w:r w:rsidRPr="005514C8">
              <w:rPr>
                <w:color w:val="000000"/>
                <w:sz w:val="18"/>
              </w:rPr>
              <w:t>9,000</w:t>
            </w:r>
          </w:p>
        </w:tc>
        <w:tc>
          <w:tcPr>
            <w:tcW w:w="567" w:type="dxa"/>
          </w:tcPr>
          <w:p w:rsidR="005514C8" w:rsidRPr="005514C8" w:rsidRDefault="005514C8">
            <w:pPr>
              <w:spacing w:after="60"/>
              <w:jc w:val="right"/>
              <w:rPr>
                <w:sz w:val="18"/>
                <w:szCs w:val="18"/>
              </w:rPr>
            </w:pPr>
            <w:r w:rsidRPr="005514C8">
              <w:rPr>
                <w:sz w:val="18"/>
              </w:rPr>
              <w:t>0</w:t>
            </w:r>
          </w:p>
        </w:tc>
        <w:tc>
          <w:tcPr>
            <w:tcW w:w="709" w:type="dxa"/>
          </w:tcPr>
          <w:p w:rsidR="005514C8" w:rsidRPr="005514C8" w:rsidRDefault="005514C8">
            <w:pPr>
              <w:spacing w:after="60"/>
              <w:jc w:val="right"/>
              <w:rPr>
                <w:sz w:val="18"/>
                <w:szCs w:val="18"/>
              </w:rPr>
            </w:pPr>
            <w:r w:rsidRPr="005514C8">
              <w:rPr>
                <w:sz w:val="18"/>
              </w:rPr>
              <w:t>0</w:t>
            </w:r>
          </w:p>
        </w:tc>
        <w:tc>
          <w:tcPr>
            <w:tcW w:w="567" w:type="dxa"/>
          </w:tcPr>
          <w:p w:rsidR="005514C8" w:rsidRPr="005514C8" w:rsidRDefault="005514C8">
            <w:pPr>
              <w:spacing w:after="60"/>
              <w:jc w:val="right"/>
              <w:rPr>
                <w:sz w:val="18"/>
                <w:szCs w:val="18"/>
              </w:rPr>
            </w:pPr>
            <w:r w:rsidRPr="005514C8">
              <w:rPr>
                <w:sz w:val="18"/>
              </w:rPr>
              <w:t>0</w:t>
            </w:r>
          </w:p>
        </w:tc>
        <w:tc>
          <w:tcPr>
            <w:tcW w:w="708" w:type="dxa"/>
          </w:tcPr>
          <w:p w:rsidR="005514C8" w:rsidRPr="005514C8" w:rsidRDefault="005514C8">
            <w:pPr>
              <w:spacing w:after="60"/>
              <w:jc w:val="right"/>
              <w:rPr>
                <w:sz w:val="18"/>
                <w:szCs w:val="18"/>
              </w:rPr>
            </w:pPr>
            <w:r w:rsidRPr="005514C8">
              <w:rPr>
                <w:sz w:val="18"/>
              </w:rPr>
              <w:t>0</w:t>
            </w:r>
          </w:p>
        </w:tc>
        <w:tc>
          <w:tcPr>
            <w:tcW w:w="567" w:type="dxa"/>
          </w:tcPr>
          <w:p w:rsidR="005514C8" w:rsidRPr="005514C8" w:rsidRDefault="005514C8">
            <w:pPr>
              <w:spacing w:after="60"/>
              <w:jc w:val="right"/>
              <w:rPr>
                <w:sz w:val="18"/>
                <w:szCs w:val="18"/>
              </w:rPr>
            </w:pPr>
            <w:r w:rsidRPr="005514C8">
              <w:rPr>
                <w:sz w:val="18"/>
              </w:rPr>
              <w:t>0</w:t>
            </w:r>
          </w:p>
        </w:tc>
        <w:tc>
          <w:tcPr>
            <w:tcW w:w="747" w:type="dxa"/>
          </w:tcPr>
          <w:p w:rsidR="005514C8" w:rsidRPr="005514C8" w:rsidRDefault="005514C8">
            <w:pPr>
              <w:spacing w:after="60"/>
              <w:jc w:val="right"/>
              <w:rPr>
                <w:sz w:val="18"/>
                <w:szCs w:val="18"/>
              </w:rPr>
            </w:pPr>
            <w:r w:rsidRPr="005514C8">
              <w:rPr>
                <w:sz w:val="18"/>
              </w:rPr>
              <w:t>19,500</w:t>
            </w:r>
          </w:p>
        </w:tc>
      </w:tr>
      <w:tr w:rsidR="005514C8" w:rsidRPr="005514C8">
        <w:trPr>
          <w:trHeight w:val="209"/>
          <w:jc w:val="center"/>
        </w:trPr>
        <w:tc>
          <w:tcPr>
            <w:tcW w:w="1447" w:type="dxa"/>
            <w:gridSpan w:val="2"/>
            <w:vMerge w:val="restart"/>
          </w:tcPr>
          <w:p w:rsidR="005514C8" w:rsidRPr="005514C8" w:rsidRDefault="005514C8">
            <w:pPr>
              <w:spacing w:after="60"/>
              <w:jc w:val="left"/>
              <w:rPr>
                <w:sz w:val="18"/>
                <w:szCs w:val="18"/>
                <w:lang w:eastAsia="zh-CN"/>
              </w:rPr>
            </w:pPr>
            <w:r w:rsidRPr="005514C8">
              <w:rPr>
                <w:sz w:val="18"/>
                <w:lang w:eastAsia="zh-CN"/>
              </w:rPr>
              <w:t>执行委员会批准的资金（美元）</w:t>
            </w:r>
          </w:p>
        </w:tc>
        <w:tc>
          <w:tcPr>
            <w:tcW w:w="855" w:type="dxa"/>
          </w:tcPr>
          <w:p w:rsidR="005514C8" w:rsidRPr="005514C8" w:rsidRDefault="005514C8">
            <w:pPr>
              <w:spacing w:after="60"/>
              <w:jc w:val="left"/>
              <w:rPr>
                <w:sz w:val="18"/>
                <w:szCs w:val="18"/>
              </w:rPr>
            </w:pPr>
            <w:proofErr w:type="spellStart"/>
            <w:r w:rsidRPr="005514C8">
              <w:rPr>
                <w:sz w:val="18"/>
              </w:rPr>
              <w:t>项目成本</w:t>
            </w:r>
            <w:proofErr w:type="spellEnd"/>
          </w:p>
        </w:tc>
        <w:tc>
          <w:tcPr>
            <w:tcW w:w="709" w:type="dxa"/>
          </w:tcPr>
          <w:p w:rsidR="005514C8" w:rsidRPr="005514C8" w:rsidRDefault="005514C8">
            <w:pPr>
              <w:spacing w:after="60"/>
              <w:jc w:val="right"/>
              <w:rPr>
                <w:sz w:val="18"/>
                <w:szCs w:val="18"/>
              </w:rPr>
            </w:pPr>
            <w:r w:rsidRPr="005514C8">
              <w:rPr>
                <w:sz w:val="18"/>
              </w:rPr>
              <w:t>185,000</w:t>
            </w:r>
          </w:p>
        </w:tc>
        <w:tc>
          <w:tcPr>
            <w:tcW w:w="709" w:type="dxa"/>
          </w:tcPr>
          <w:p w:rsidR="005514C8" w:rsidRPr="005514C8" w:rsidRDefault="005514C8">
            <w:pPr>
              <w:spacing w:after="60"/>
              <w:jc w:val="right"/>
              <w:rPr>
                <w:sz w:val="18"/>
                <w:szCs w:val="18"/>
              </w:rPr>
            </w:pPr>
            <w:r w:rsidRPr="005514C8">
              <w:rPr>
                <w:sz w:val="18"/>
              </w:rPr>
              <w:t>0</w:t>
            </w:r>
          </w:p>
        </w:tc>
        <w:tc>
          <w:tcPr>
            <w:tcW w:w="708" w:type="dxa"/>
          </w:tcPr>
          <w:p w:rsidR="005514C8" w:rsidRPr="005514C8" w:rsidRDefault="005514C8">
            <w:pPr>
              <w:spacing w:after="60"/>
              <w:jc w:val="right"/>
              <w:rPr>
                <w:sz w:val="18"/>
                <w:szCs w:val="18"/>
              </w:rPr>
            </w:pPr>
            <w:r w:rsidRPr="005514C8">
              <w:rPr>
                <w:sz w:val="18"/>
              </w:rPr>
              <w:t>125,000</w:t>
            </w:r>
          </w:p>
        </w:tc>
        <w:tc>
          <w:tcPr>
            <w:tcW w:w="567" w:type="dxa"/>
          </w:tcPr>
          <w:p w:rsidR="005514C8" w:rsidRPr="005514C8" w:rsidRDefault="005514C8">
            <w:pPr>
              <w:spacing w:after="60"/>
              <w:jc w:val="right"/>
              <w:rPr>
                <w:sz w:val="18"/>
                <w:szCs w:val="18"/>
              </w:rPr>
            </w:pPr>
            <w:r w:rsidRPr="005514C8">
              <w:rPr>
                <w:sz w:val="18"/>
              </w:rPr>
              <w:t>0</w:t>
            </w:r>
          </w:p>
        </w:tc>
        <w:tc>
          <w:tcPr>
            <w:tcW w:w="709" w:type="dxa"/>
          </w:tcPr>
          <w:p w:rsidR="005514C8" w:rsidRPr="005514C8" w:rsidRDefault="005514C8">
            <w:pPr>
              <w:spacing w:after="60"/>
              <w:jc w:val="right"/>
              <w:rPr>
                <w:sz w:val="18"/>
                <w:szCs w:val="18"/>
              </w:rPr>
            </w:pPr>
            <w:r w:rsidRPr="005514C8">
              <w:rPr>
                <w:sz w:val="18"/>
              </w:rPr>
              <w:t>0</w:t>
            </w:r>
          </w:p>
        </w:tc>
        <w:tc>
          <w:tcPr>
            <w:tcW w:w="709" w:type="dxa"/>
          </w:tcPr>
          <w:p w:rsidR="005514C8" w:rsidRPr="005514C8" w:rsidRDefault="005514C8">
            <w:pPr>
              <w:spacing w:after="60"/>
              <w:jc w:val="right"/>
              <w:rPr>
                <w:sz w:val="18"/>
                <w:szCs w:val="18"/>
              </w:rPr>
            </w:pPr>
            <w:r w:rsidRPr="005514C8">
              <w:rPr>
                <w:sz w:val="18"/>
              </w:rPr>
              <w:t>195,000</w:t>
            </w:r>
          </w:p>
        </w:tc>
        <w:tc>
          <w:tcPr>
            <w:tcW w:w="567" w:type="dxa"/>
          </w:tcPr>
          <w:p w:rsidR="005514C8" w:rsidRPr="005514C8" w:rsidRDefault="005514C8">
            <w:pPr>
              <w:spacing w:after="60"/>
              <w:jc w:val="right"/>
              <w:rPr>
                <w:sz w:val="18"/>
                <w:szCs w:val="18"/>
              </w:rPr>
            </w:pPr>
            <w:r w:rsidRPr="005514C8">
              <w:rPr>
                <w:sz w:val="18"/>
              </w:rPr>
              <w:t>0</w:t>
            </w:r>
          </w:p>
        </w:tc>
        <w:tc>
          <w:tcPr>
            <w:tcW w:w="709" w:type="dxa"/>
          </w:tcPr>
          <w:p w:rsidR="005514C8" w:rsidRPr="005514C8" w:rsidRDefault="005514C8">
            <w:pPr>
              <w:spacing w:after="60"/>
              <w:jc w:val="right"/>
              <w:rPr>
                <w:sz w:val="18"/>
                <w:szCs w:val="18"/>
              </w:rPr>
            </w:pPr>
            <w:r w:rsidRPr="005514C8">
              <w:rPr>
                <w:sz w:val="18"/>
              </w:rPr>
              <w:t>65,000</w:t>
            </w:r>
          </w:p>
        </w:tc>
        <w:tc>
          <w:tcPr>
            <w:tcW w:w="567" w:type="dxa"/>
          </w:tcPr>
          <w:p w:rsidR="005514C8" w:rsidRPr="005514C8" w:rsidRDefault="005514C8">
            <w:pPr>
              <w:spacing w:after="60"/>
              <w:jc w:val="right"/>
              <w:rPr>
                <w:sz w:val="18"/>
                <w:szCs w:val="18"/>
              </w:rPr>
            </w:pPr>
            <w:r w:rsidRPr="005514C8">
              <w:rPr>
                <w:sz w:val="18"/>
              </w:rPr>
              <w:t>0</w:t>
            </w:r>
          </w:p>
        </w:tc>
        <w:tc>
          <w:tcPr>
            <w:tcW w:w="708" w:type="dxa"/>
          </w:tcPr>
          <w:p w:rsidR="005514C8" w:rsidRPr="005514C8" w:rsidRDefault="005514C8">
            <w:pPr>
              <w:spacing w:after="60"/>
              <w:jc w:val="right"/>
              <w:rPr>
                <w:sz w:val="18"/>
                <w:szCs w:val="18"/>
              </w:rPr>
            </w:pPr>
            <w:r w:rsidRPr="005514C8">
              <w:rPr>
                <w:sz w:val="18"/>
              </w:rPr>
              <w:t>0</w:t>
            </w:r>
          </w:p>
        </w:tc>
        <w:tc>
          <w:tcPr>
            <w:tcW w:w="567" w:type="dxa"/>
          </w:tcPr>
          <w:p w:rsidR="005514C8" w:rsidRPr="005514C8" w:rsidRDefault="005514C8">
            <w:pPr>
              <w:spacing w:after="60"/>
              <w:jc w:val="right"/>
              <w:rPr>
                <w:sz w:val="18"/>
                <w:szCs w:val="18"/>
              </w:rPr>
            </w:pPr>
            <w:r w:rsidRPr="005514C8">
              <w:rPr>
                <w:sz w:val="18"/>
              </w:rPr>
              <w:t>0</w:t>
            </w:r>
          </w:p>
        </w:tc>
        <w:tc>
          <w:tcPr>
            <w:tcW w:w="747" w:type="dxa"/>
          </w:tcPr>
          <w:p w:rsidR="005514C8" w:rsidRPr="005514C8" w:rsidRDefault="005514C8">
            <w:pPr>
              <w:spacing w:after="60"/>
              <w:jc w:val="right"/>
              <w:rPr>
                <w:sz w:val="18"/>
                <w:szCs w:val="18"/>
              </w:rPr>
            </w:pPr>
            <w:r w:rsidRPr="005514C8">
              <w:rPr>
                <w:sz w:val="18"/>
              </w:rPr>
              <w:t>570,000</w:t>
            </w:r>
          </w:p>
        </w:tc>
      </w:tr>
      <w:tr w:rsidR="005514C8" w:rsidRPr="005514C8">
        <w:trPr>
          <w:trHeight w:val="227"/>
          <w:jc w:val="center"/>
        </w:trPr>
        <w:tc>
          <w:tcPr>
            <w:tcW w:w="1447" w:type="dxa"/>
            <w:gridSpan w:val="2"/>
            <w:vMerge/>
          </w:tcPr>
          <w:p w:rsidR="005514C8" w:rsidRPr="005514C8" w:rsidRDefault="005514C8">
            <w:pPr>
              <w:spacing w:after="60"/>
              <w:jc w:val="left"/>
              <w:rPr>
                <w:sz w:val="18"/>
                <w:szCs w:val="18"/>
              </w:rPr>
            </w:pPr>
          </w:p>
        </w:tc>
        <w:tc>
          <w:tcPr>
            <w:tcW w:w="855" w:type="dxa"/>
          </w:tcPr>
          <w:p w:rsidR="005514C8" w:rsidRPr="005514C8" w:rsidRDefault="005514C8">
            <w:pPr>
              <w:spacing w:after="60"/>
              <w:jc w:val="left"/>
              <w:rPr>
                <w:sz w:val="18"/>
                <w:szCs w:val="18"/>
              </w:rPr>
            </w:pPr>
            <w:proofErr w:type="spellStart"/>
            <w:r w:rsidRPr="005514C8">
              <w:rPr>
                <w:sz w:val="18"/>
              </w:rPr>
              <w:t>支持成本</w:t>
            </w:r>
            <w:proofErr w:type="spellEnd"/>
          </w:p>
        </w:tc>
        <w:tc>
          <w:tcPr>
            <w:tcW w:w="709" w:type="dxa"/>
          </w:tcPr>
          <w:p w:rsidR="005514C8" w:rsidRPr="005514C8" w:rsidRDefault="005514C8">
            <w:pPr>
              <w:spacing w:after="60"/>
              <w:jc w:val="right"/>
              <w:rPr>
                <w:sz w:val="18"/>
                <w:szCs w:val="18"/>
              </w:rPr>
            </w:pPr>
            <w:r w:rsidRPr="005514C8">
              <w:rPr>
                <w:sz w:val="18"/>
              </w:rPr>
              <w:t>18,550</w:t>
            </w:r>
          </w:p>
        </w:tc>
        <w:tc>
          <w:tcPr>
            <w:tcW w:w="709" w:type="dxa"/>
          </w:tcPr>
          <w:p w:rsidR="005514C8" w:rsidRPr="005514C8" w:rsidRDefault="005514C8">
            <w:pPr>
              <w:spacing w:after="60"/>
              <w:jc w:val="right"/>
              <w:rPr>
                <w:sz w:val="18"/>
                <w:szCs w:val="18"/>
              </w:rPr>
            </w:pPr>
            <w:r w:rsidRPr="005514C8">
              <w:rPr>
                <w:sz w:val="18"/>
              </w:rPr>
              <w:t>0</w:t>
            </w:r>
          </w:p>
        </w:tc>
        <w:tc>
          <w:tcPr>
            <w:tcW w:w="708" w:type="dxa"/>
          </w:tcPr>
          <w:p w:rsidR="005514C8" w:rsidRPr="005514C8" w:rsidRDefault="005514C8">
            <w:pPr>
              <w:spacing w:after="60"/>
              <w:jc w:val="right"/>
              <w:rPr>
                <w:sz w:val="18"/>
                <w:szCs w:val="18"/>
              </w:rPr>
            </w:pPr>
            <w:r w:rsidRPr="005514C8">
              <w:rPr>
                <w:sz w:val="18"/>
              </w:rPr>
              <w:t>14,050</w:t>
            </w:r>
          </w:p>
        </w:tc>
        <w:tc>
          <w:tcPr>
            <w:tcW w:w="567" w:type="dxa"/>
          </w:tcPr>
          <w:p w:rsidR="005514C8" w:rsidRPr="005514C8" w:rsidRDefault="005514C8">
            <w:pPr>
              <w:spacing w:after="60"/>
              <w:jc w:val="right"/>
              <w:rPr>
                <w:sz w:val="18"/>
                <w:szCs w:val="18"/>
              </w:rPr>
            </w:pPr>
            <w:r w:rsidRPr="005514C8">
              <w:rPr>
                <w:sz w:val="18"/>
              </w:rPr>
              <w:t>0</w:t>
            </w:r>
          </w:p>
        </w:tc>
        <w:tc>
          <w:tcPr>
            <w:tcW w:w="709" w:type="dxa"/>
          </w:tcPr>
          <w:p w:rsidR="005514C8" w:rsidRPr="005514C8" w:rsidRDefault="005514C8">
            <w:pPr>
              <w:spacing w:after="60"/>
              <w:jc w:val="right"/>
              <w:rPr>
                <w:sz w:val="18"/>
                <w:szCs w:val="18"/>
              </w:rPr>
            </w:pPr>
            <w:r w:rsidRPr="005514C8">
              <w:rPr>
                <w:sz w:val="18"/>
              </w:rPr>
              <w:t>0</w:t>
            </w:r>
          </w:p>
        </w:tc>
        <w:tc>
          <w:tcPr>
            <w:tcW w:w="709" w:type="dxa"/>
          </w:tcPr>
          <w:p w:rsidR="005514C8" w:rsidRPr="005514C8" w:rsidRDefault="005514C8">
            <w:pPr>
              <w:spacing w:after="60"/>
              <w:jc w:val="right"/>
              <w:rPr>
                <w:sz w:val="18"/>
                <w:szCs w:val="18"/>
              </w:rPr>
            </w:pPr>
            <w:r w:rsidRPr="005514C8">
              <w:rPr>
                <w:sz w:val="18"/>
              </w:rPr>
              <w:t>18,750</w:t>
            </w:r>
          </w:p>
        </w:tc>
        <w:tc>
          <w:tcPr>
            <w:tcW w:w="567" w:type="dxa"/>
          </w:tcPr>
          <w:p w:rsidR="005514C8" w:rsidRPr="005514C8" w:rsidRDefault="005514C8">
            <w:pPr>
              <w:spacing w:after="60"/>
              <w:jc w:val="right"/>
              <w:rPr>
                <w:sz w:val="18"/>
                <w:szCs w:val="18"/>
              </w:rPr>
            </w:pPr>
            <w:r w:rsidRPr="005514C8">
              <w:rPr>
                <w:sz w:val="18"/>
              </w:rPr>
              <w:t>0</w:t>
            </w:r>
          </w:p>
        </w:tc>
        <w:tc>
          <w:tcPr>
            <w:tcW w:w="709" w:type="dxa"/>
          </w:tcPr>
          <w:p w:rsidR="005514C8" w:rsidRPr="005514C8" w:rsidRDefault="005514C8">
            <w:pPr>
              <w:spacing w:after="60"/>
              <w:jc w:val="right"/>
              <w:rPr>
                <w:sz w:val="18"/>
                <w:szCs w:val="18"/>
              </w:rPr>
            </w:pPr>
            <w:r w:rsidRPr="005514C8">
              <w:rPr>
                <w:sz w:val="18"/>
              </w:rPr>
              <w:t>8,450</w:t>
            </w:r>
          </w:p>
        </w:tc>
        <w:tc>
          <w:tcPr>
            <w:tcW w:w="567" w:type="dxa"/>
          </w:tcPr>
          <w:p w:rsidR="005514C8" w:rsidRPr="005514C8" w:rsidRDefault="005514C8">
            <w:pPr>
              <w:spacing w:after="60"/>
              <w:jc w:val="right"/>
              <w:rPr>
                <w:sz w:val="18"/>
                <w:szCs w:val="18"/>
              </w:rPr>
            </w:pPr>
            <w:r w:rsidRPr="005514C8">
              <w:rPr>
                <w:sz w:val="18"/>
              </w:rPr>
              <w:t>0</w:t>
            </w:r>
          </w:p>
        </w:tc>
        <w:tc>
          <w:tcPr>
            <w:tcW w:w="708" w:type="dxa"/>
          </w:tcPr>
          <w:p w:rsidR="005514C8" w:rsidRPr="005514C8" w:rsidRDefault="005514C8">
            <w:pPr>
              <w:spacing w:after="60"/>
              <w:jc w:val="right"/>
              <w:rPr>
                <w:sz w:val="18"/>
                <w:szCs w:val="18"/>
              </w:rPr>
            </w:pPr>
            <w:r w:rsidRPr="005514C8">
              <w:rPr>
                <w:sz w:val="18"/>
              </w:rPr>
              <w:t>0</w:t>
            </w:r>
          </w:p>
        </w:tc>
        <w:tc>
          <w:tcPr>
            <w:tcW w:w="567" w:type="dxa"/>
          </w:tcPr>
          <w:p w:rsidR="005514C8" w:rsidRPr="005514C8" w:rsidRDefault="005514C8">
            <w:pPr>
              <w:spacing w:after="60"/>
              <w:jc w:val="right"/>
              <w:rPr>
                <w:sz w:val="18"/>
                <w:szCs w:val="18"/>
              </w:rPr>
            </w:pPr>
            <w:r w:rsidRPr="005514C8">
              <w:rPr>
                <w:sz w:val="18"/>
              </w:rPr>
              <w:t>0</w:t>
            </w:r>
          </w:p>
        </w:tc>
        <w:tc>
          <w:tcPr>
            <w:tcW w:w="747" w:type="dxa"/>
          </w:tcPr>
          <w:p w:rsidR="005514C8" w:rsidRPr="005514C8" w:rsidRDefault="005514C8">
            <w:pPr>
              <w:spacing w:after="60"/>
              <w:jc w:val="right"/>
              <w:rPr>
                <w:sz w:val="18"/>
                <w:szCs w:val="18"/>
              </w:rPr>
            </w:pPr>
            <w:r w:rsidRPr="005514C8">
              <w:rPr>
                <w:sz w:val="18"/>
              </w:rPr>
              <w:t>59,800</w:t>
            </w:r>
          </w:p>
        </w:tc>
      </w:tr>
      <w:tr w:rsidR="005514C8" w:rsidRPr="005514C8">
        <w:trPr>
          <w:trHeight w:val="209"/>
          <w:jc w:val="center"/>
        </w:trPr>
        <w:tc>
          <w:tcPr>
            <w:tcW w:w="1447" w:type="dxa"/>
            <w:gridSpan w:val="2"/>
            <w:vMerge w:val="restart"/>
          </w:tcPr>
          <w:p w:rsidR="005514C8" w:rsidRPr="005514C8" w:rsidRDefault="005514C8">
            <w:pPr>
              <w:spacing w:after="60"/>
              <w:jc w:val="left"/>
              <w:rPr>
                <w:sz w:val="18"/>
                <w:szCs w:val="18"/>
                <w:lang w:eastAsia="zh-CN"/>
              </w:rPr>
            </w:pPr>
            <w:r w:rsidRPr="005514C8">
              <w:rPr>
                <w:sz w:val="18"/>
                <w:lang w:eastAsia="zh-CN"/>
              </w:rPr>
              <w:t>本次会议申请批准的资金总额（美元）</w:t>
            </w:r>
          </w:p>
        </w:tc>
        <w:tc>
          <w:tcPr>
            <w:tcW w:w="855" w:type="dxa"/>
          </w:tcPr>
          <w:p w:rsidR="005514C8" w:rsidRPr="005514C8" w:rsidRDefault="005514C8">
            <w:pPr>
              <w:spacing w:after="60"/>
              <w:jc w:val="left"/>
              <w:rPr>
                <w:sz w:val="18"/>
                <w:szCs w:val="18"/>
              </w:rPr>
            </w:pPr>
            <w:proofErr w:type="spellStart"/>
            <w:r w:rsidRPr="005514C8">
              <w:rPr>
                <w:sz w:val="18"/>
              </w:rPr>
              <w:t>项目成本</w:t>
            </w:r>
            <w:proofErr w:type="spellEnd"/>
          </w:p>
        </w:tc>
        <w:tc>
          <w:tcPr>
            <w:tcW w:w="709" w:type="dxa"/>
          </w:tcPr>
          <w:p w:rsidR="005514C8" w:rsidRPr="005514C8" w:rsidRDefault="005514C8">
            <w:pPr>
              <w:spacing w:after="60"/>
              <w:jc w:val="right"/>
              <w:rPr>
                <w:sz w:val="18"/>
                <w:szCs w:val="18"/>
              </w:rPr>
            </w:pPr>
            <w:r w:rsidRPr="005514C8">
              <w:rPr>
                <w:sz w:val="18"/>
              </w:rPr>
              <w:t>0</w:t>
            </w:r>
          </w:p>
        </w:tc>
        <w:tc>
          <w:tcPr>
            <w:tcW w:w="709" w:type="dxa"/>
          </w:tcPr>
          <w:p w:rsidR="005514C8" w:rsidRPr="005514C8" w:rsidRDefault="005514C8">
            <w:pPr>
              <w:spacing w:after="60"/>
              <w:jc w:val="right"/>
              <w:rPr>
                <w:sz w:val="18"/>
                <w:szCs w:val="18"/>
              </w:rPr>
            </w:pPr>
            <w:r w:rsidRPr="005514C8">
              <w:rPr>
                <w:sz w:val="18"/>
              </w:rPr>
              <w:t>0</w:t>
            </w:r>
          </w:p>
        </w:tc>
        <w:tc>
          <w:tcPr>
            <w:tcW w:w="708" w:type="dxa"/>
          </w:tcPr>
          <w:p w:rsidR="005514C8" w:rsidRPr="005514C8" w:rsidRDefault="005514C8">
            <w:pPr>
              <w:spacing w:after="60"/>
              <w:jc w:val="right"/>
              <w:rPr>
                <w:sz w:val="18"/>
                <w:szCs w:val="18"/>
              </w:rPr>
            </w:pPr>
            <w:r w:rsidRPr="005514C8">
              <w:rPr>
                <w:sz w:val="18"/>
              </w:rPr>
              <w:t>0</w:t>
            </w:r>
          </w:p>
        </w:tc>
        <w:tc>
          <w:tcPr>
            <w:tcW w:w="567" w:type="dxa"/>
          </w:tcPr>
          <w:p w:rsidR="005514C8" w:rsidRPr="005514C8" w:rsidRDefault="005514C8">
            <w:pPr>
              <w:spacing w:after="60"/>
              <w:jc w:val="right"/>
              <w:rPr>
                <w:sz w:val="18"/>
                <w:szCs w:val="18"/>
              </w:rPr>
            </w:pPr>
            <w:r w:rsidRPr="005514C8">
              <w:rPr>
                <w:sz w:val="18"/>
              </w:rPr>
              <w:t>0</w:t>
            </w:r>
          </w:p>
        </w:tc>
        <w:tc>
          <w:tcPr>
            <w:tcW w:w="709" w:type="dxa"/>
          </w:tcPr>
          <w:p w:rsidR="005514C8" w:rsidRPr="005514C8" w:rsidRDefault="005514C8">
            <w:pPr>
              <w:spacing w:after="60"/>
              <w:jc w:val="right"/>
              <w:rPr>
                <w:sz w:val="18"/>
                <w:szCs w:val="18"/>
              </w:rPr>
            </w:pPr>
            <w:r w:rsidRPr="005514C8">
              <w:rPr>
                <w:sz w:val="18"/>
              </w:rPr>
              <w:t>0</w:t>
            </w:r>
          </w:p>
        </w:tc>
        <w:tc>
          <w:tcPr>
            <w:tcW w:w="709" w:type="dxa"/>
          </w:tcPr>
          <w:p w:rsidR="005514C8" w:rsidRPr="005514C8" w:rsidRDefault="005514C8">
            <w:pPr>
              <w:spacing w:after="60"/>
              <w:jc w:val="right"/>
              <w:rPr>
                <w:sz w:val="18"/>
                <w:szCs w:val="18"/>
              </w:rPr>
            </w:pPr>
            <w:r w:rsidRPr="005514C8">
              <w:rPr>
                <w:sz w:val="18"/>
              </w:rPr>
              <w:t>0</w:t>
            </w:r>
          </w:p>
        </w:tc>
        <w:tc>
          <w:tcPr>
            <w:tcW w:w="567" w:type="dxa"/>
          </w:tcPr>
          <w:p w:rsidR="005514C8" w:rsidRPr="005514C8" w:rsidRDefault="005514C8">
            <w:pPr>
              <w:spacing w:after="60"/>
              <w:jc w:val="right"/>
              <w:rPr>
                <w:sz w:val="18"/>
                <w:szCs w:val="18"/>
              </w:rPr>
            </w:pPr>
            <w:r w:rsidRPr="005514C8">
              <w:rPr>
                <w:sz w:val="18"/>
              </w:rPr>
              <w:t>0</w:t>
            </w:r>
          </w:p>
        </w:tc>
        <w:tc>
          <w:tcPr>
            <w:tcW w:w="709" w:type="dxa"/>
          </w:tcPr>
          <w:p w:rsidR="005514C8" w:rsidRPr="005514C8" w:rsidRDefault="005514C8">
            <w:pPr>
              <w:spacing w:after="60"/>
              <w:jc w:val="right"/>
              <w:rPr>
                <w:sz w:val="18"/>
                <w:szCs w:val="18"/>
              </w:rPr>
            </w:pPr>
            <w:r w:rsidRPr="005514C8">
              <w:rPr>
                <w:sz w:val="18"/>
              </w:rPr>
              <w:t>0</w:t>
            </w:r>
          </w:p>
        </w:tc>
        <w:tc>
          <w:tcPr>
            <w:tcW w:w="567" w:type="dxa"/>
          </w:tcPr>
          <w:p w:rsidR="005514C8" w:rsidRPr="005514C8" w:rsidRDefault="005514C8">
            <w:pPr>
              <w:spacing w:after="60"/>
              <w:jc w:val="right"/>
              <w:rPr>
                <w:sz w:val="18"/>
                <w:szCs w:val="18"/>
              </w:rPr>
            </w:pPr>
            <w:r w:rsidRPr="005514C8">
              <w:rPr>
                <w:sz w:val="18"/>
              </w:rPr>
              <w:t>0</w:t>
            </w:r>
          </w:p>
        </w:tc>
        <w:tc>
          <w:tcPr>
            <w:tcW w:w="708" w:type="dxa"/>
          </w:tcPr>
          <w:p w:rsidR="005514C8" w:rsidRPr="005514C8" w:rsidRDefault="005514C8">
            <w:pPr>
              <w:spacing w:after="60"/>
              <w:jc w:val="right"/>
              <w:rPr>
                <w:sz w:val="18"/>
                <w:szCs w:val="18"/>
              </w:rPr>
            </w:pPr>
            <w:r w:rsidRPr="005514C8">
              <w:rPr>
                <w:sz w:val="18"/>
              </w:rPr>
              <w:t>0</w:t>
            </w:r>
          </w:p>
        </w:tc>
        <w:tc>
          <w:tcPr>
            <w:tcW w:w="567" w:type="dxa"/>
          </w:tcPr>
          <w:p w:rsidR="005514C8" w:rsidRPr="005514C8" w:rsidRDefault="005514C8">
            <w:pPr>
              <w:spacing w:after="60"/>
              <w:jc w:val="right"/>
              <w:rPr>
                <w:sz w:val="18"/>
                <w:szCs w:val="18"/>
              </w:rPr>
            </w:pPr>
            <w:r w:rsidRPr="005514C8">
              <w:rPr>
                <w:sz w:val="18"/>
              </w:rPr>
              <w:t>60,000*</w:t>
            </w:r>
          </w:p>
        </w:tc>
        <w:tc>
          <w:tcPr>
            <w:tcW w:w="747" w:type="dxa"/>
          </w:tcPr>
          <w:p w:rsidR="005514C8" w:rsidRPr="005514C8" w:rsidRDefault="005514C8">
            <w:pPr>
              <w:spacing w:after="60"/>
              <w:jc w:val="right"/>
              <w:rPr>
                <w:sz w:val="18"/>
                <w:szCs w:val="18"/>
              </w:rPr>
            </w:pPr>
            <w:r w:rsidRPr="005514C8">
              <w:rPr>
                <w:sz w:val="18"/>
              </w:rPr>
              <w:t>60,000</w:t>
            </w:r>
          </w:p>
        </w:tc>
      </w:tr>
      <w:tr w:rsidR="005514C8" w:rsidRPr="005514C8">
        <w:trPr>
          <w:trHeight w:val="487"/>
          <w:jc w:val="center"/>
        </w:trPr>
        <w:tc>
          <w:tcPr>
            <w:tcW w:w="1447" w:type="dxa"/>
            <w:gridSpan w:val="2"/>
            <w:vMerge/>
          </w:tcPr>
          <w:p w:rsidR="005514C8" w:rsidRPr="005514C8" w:rsidRDefault="005514C8">
            <w:pPr>
              <w:spacing w:after="60"/>
              <w:jc w:val="left"/>
              <w:rPr>
                <w:sz w:val="18"/>
                <w:szCs w:val="18"/>
              </w:rPr>
            </w:pPr>
          </w:p>
        </w:tc>
        <w:tc>
          <w:tcPr>
            <w:tcW w:w="855" w:type="dxa"/>
          </w:tcPr>
          <w:p w:rsidR="005514C8" w:rsidRPr="005514C8" w:rsidRDefault="005514C8">
            <w:pPr>
              <w:spacing w:after="60"/>
              <w:jc w:val="left"/>
              <w:rPr>
                <w:sz w:val="18"/>
                <w:szCs w:val="18"/>
              </w:rPr>
            </w:pPr>
            <w:proofErr w:type="spellStart"/>
            <w:r w:rsidRPr="005514C8">
              <w:rPr>
                <w:sz w:val="18"/>
              </w:rPr>
              <w:t>支持成本</w:t>
            </w:r>
            <w:proofErr w:type="spellEnd"/>
          </w:p>
        </w:tc>
        <w:tc>
          <w:tcPr>
            <w:tcW w:w="709" w:type="dxa"/>
          </w:tcPr>
          <w:p w:rsidR="005514C8" w:rsidRPr="005514C8" w:rsidRDefault="005514C8">
            <w:pPr>
              <w:spacing w:after="60"/>
              <w:jc w:val="right"/>
              <w:rPr>
                <w:sz w:val="18"/>
                <w:szCs w:val="18"/>
              </w:rPr>
            </w:pPr>
            <w:r w:rsidRPr="005514C8">
              <w:rPr>
                <w:sz w:val="18"/>
              </w:rPr>
              <w:t>0</w:t>
            </w:r>
          </w:p>
        </w:tc>
        <w:tc>
          <w:tcPr>
            <w:tcW w:w="709" w:type="dxa"/>
          </w:tcPr>
          <w:p w:rsidR="005514C8" w:rsidRPr="005514C8" w:rsidRDefault="005514C8">
            <w:pPr>
              <w:spacing w:after="60"/>
              <w:jc w:val="right"/>
              <w:rPr>
                <w:sz w:val="18"/>
                <w:szCs w:val="18"/>
              </w:rPr>
            </w:pPr>
            <w:r w:rsidRPr="005514C8">
              <w:rPr>
                <w:sz w:val="18"/>
              </w:rPr>
              <w:t>0</w:t>
            </w:r>
          </w:p>
        </w:tc>
        <w:tc>
          <w:tcPr>
            <w:tcW w:w="708" w:type="dxa"/>
          </w:tcPr>
          <w:p w:rsidR="005514C8" w:rsidRPr="005514C8" w:rsidRDefault="005514C8">
            <w:pPr>
              <w:spacing w:after="60"/>
              <w:jc w:val="right"/>
              <w:rPr>
                <w:sz w:val="18"/>
                <w:szCs w:val="18"/>
              </w:rPr>
            </w:pPr>
            <w:r w:rsidRPr="005514C8">
              <w:rPr>
                <w:sz w:val="18"/>
              </w:rPr>
              <w:t>0</w:t>
            </w:r>
          </w:p>
        </w:tc>
        <w:tc>
          <w:tcPr>
            <w:tcW w:w="567" w:type="dxa"/>
          </w:tcPr>
          <w:p w:rsidR="005514C8" w:rsidRPr="005514C8" w:rsidRDefault="005514C8">
            <w:pPr>
              <w:spacing w:after="60"/>
              <w:jc w:val="right"/>
              <w:rPr>
                <w:sz w:val="18"/>
                <w:szCs w:val="18"/>
              </w:rPr>
            </w:pPr>
            <w:r w:rsidRPr="005514C8">
              <w:rPr>
                <w:sz w:val="18"/>
              </w:rPr>
              <w:t>0</w:t>
            </w:r>
          </w:p>
        </w:tc>
        <w:tc>
          <w:tcPr>
            <w:tcW w:w="709" w:type="dxa"/>
          </w:tcPr>
          <w:p w:rsidR="005514C8" w:rsidRPr="005514C8" w:rsidRDefault="005514C8">
            <w:pPr>
              <w:spacing w:after="60"/>
              <w:jc w:val="right"/>
              <w:rPr>
                <w:sz w:val="18"/>
                <w:szCs w:val="18"/>
              </w:rPr>
            </w:pPr>
            <w:r w:rsidRPr="005514C8">
              <w:rPr>
                <w:sz w:val="18"/>
              </w:rPr>
              <w:t>0</w:t>
            </w:r>
          </w:p>
        </w:tc>
        <w:tc>
          <w:tcPr>
            <w:tcW w:w="709" w:type="dxa"/>
          </w:tcPr>
          <w:p w:rsidR="005514C8" w:rsidRPr="005514C8" w:rsidRDefault="005514C8">
            <w:pPr>
              <w:spacing w:after="60"/>
              <w:jc w:val="right"/>
              <w:rPr>
                <w:sz w:val="18"/>
                <w:szCs w:val="18"/>
              </w:rPr>
            </w:pPr>
            <w:r w:rsidRPr="005514C8">
              <w:rPr>
                <w:sz w:val="18"/>
              </w:rPr>
              <w:t>0</w:t>
            </w:r>
          </w:p>
        </w:tc>
        <w:tc>
          <w:tcPr>
            <w:tcW w:w="567" w:type="dxa"/>
          </w:tcPr>
          <w:p w:rsidR="005514C8" w:rsidRPr="005514C8" w:rsidRDefault="005514C8">
            <w:pPr>
              <w:spacing w:after="60"/>
              <w:jc w:val="right"/>
              <w:rPr>
                <w:sz w:val="18"/>
                <w:szCs w:val="18"/>
              </w:rPr>
            </w:pPr>
            <w:r w:rsidRPr="005514C8">
              <w:rPr>
                <w:sz w:val="18"/>
              </w:rPr>
              <w:t>0</w:t>
            </w:r>
          </w:p>
        </w:tc>
        <w:tc>
          <w:tcPr>
            <w:tcW w:w="709" w:type="dxa"/>
          </w:tcPr>
          <w:p w:rsidR="005514C8" w:rsidRPr="005514C8" w:rsidRDefault="005514C8">
            <w:pPr>
              <w:spacing w:after="60"/>
              <w:jc w:val="right"/>
              <w:rPr>
                <w:sz w:val="18"/>
                <w:szCs w:val="18"/>
              </w:rPr>
            </w:pPr>
            <w:r w:rsidRPr="005514C8">
              <w:rPr>
                <w:sz w:val="18"/>
              </w:rPr>
              <w:t>0</w:t>
            </w:r>
          </w:p>
        </w:tc>
        <w:tc>
          <w:tcPr>
            <w:tcW w:w="567" w:type="dxa"/>
          </w:tcPr>
          <w:p w:rsidR="005514C8" w:rsidRPr="005514C8" w:rsidRDefault="005514C8">
            <w:pPr>
              <w:spacing w:after="60"/>
              <w:jc w:val="right"/>
              <w:rPr>
                <w:sz w:val="18"/>
                <w:szCs w:val="18"/>
              </w:rPr>
            </w:pPr>
            <w:r w:rsidRPr="005514C8">
              <w:rPr>
                <w:sz w:val="18"/>
              </w:rPr>
              <w:t>0</w:t>
            </w:r>
          </w:p>
        </w:tc>
        <w:tc>
          <w:tcPr>
            <w:tcW w:w="708" w:type="dxa"/>
          </w:tcPr>
          <w:p w:rsidR="005514C8" w:rsidRPr="005514C8" w:rsidRDefault="005514C8">
            <w:pPr>
              <w:spacing w:after="60"/>
              <w:jc w:val="right"/>
              <w:rPr>
                <w:sz w:val="18"/>
                <w:szCs w:val="18"/>
              </w:rPr>
            </w:pPr>
            <w:r w:rsidRPr="005514C8">
              <w:rPr>
                <w:sz w:val="18"/>
              </w:rPr>
              <w:t>0</w:t>
            </w:r>
          </w:p>
        </w:tc>
        <w:tc>
          <w:tcPr>
            <w:tcW w:w="567" w:type="dxa"/>
          </w:tcPr>
          <w:p w:rsidR="005514C8" w:rsidRPr="005514C8" w:rsidRDefault="005514C8">
            <w:pPr>
              <w:spacing w:after="60"/>
              <w:jc w:val="right"/>
              <w:rPr>
                <w:sz w:val="18"/>
                <w:szCs w:val="18"/>
              </w:rPr>
            </w:pPr>
            <w:r w:rsidRPr="005514C8">
              <w:rPr>
                <w:sz w:val="18"/>
              </w:rPr>
              <w:t>7,800*</w:t>
            </w:r>
          </w:p>
        </w:tc>
        <w:tc>
          <w:tcPr>
            <w:tcW w:w="747" w:type="dxa"/>
          </w:tcPr>
          <w:p w:rsidR="005514C8" w:rsidRPr="005514C8" w:rsidRDefault="005514C8">
            <w:pPr>
              <w:spacing w:after="60"/>
              <w:jc w:val="right"/>
              <w:rPr>
                <w:sz w:val="18"/>
                <w:szCs w:val="18"/>
              </w:rPr>
            </w:pPr>
            <w:r w:rsidRPr="005514C8">
              <w:rPr>
                <w:sz w:val="18"/>
              </w:rPr>
              <w:t>0</w:t>
            </w:r>
          </w:p>
        </w:tc>
      </w:tr>
    </w:tbl>
    <w:p w:rsidR="005514C8" w:rsidRDefault="005514C8">
      <w:pPr>
        <w:pStyle w:val="Heading1"/>
        <w:numPr>
          <w:ilvl w:val="0"/>
          <w:numId w:val="0"/>
        </w:numPr>
        <w:tabs>
          <w:tab w:val="left" w:pos="0"/>
        </w:tabs>
        <w:spacing w:after="0"/>
        <w:ind w:left="-288"/>
        <w:rPr>
          <w:sz w:val="18"/>
          <w:szCs w:val="18"/>
          <w:lang w:eastAsia="zh-CN"/>
        </w:rPr>
      </w:pPr>
      <w:r>
        <w:rPr>
          <w:sz w:val="18"/>
          <w:lang w:val="zh-CN" w:eastAsia="zh-CN"/>
        </w:rPr>
        <w:t>*2020</w:t>
      </w:r>
      <w:r>
        <w:rPr>
          <w:sz w:val="18"/>
          <w:lang w:val="zh-CN" w:eastAsia="zh-CN"/>
        </w:rPr>
        <w:t>年应提交第五次</w:t>
      </w:r>
      <w:r w:rsidR="0002589C">
        <w:rPr>
          <w:sz w:val="18"/>
          <w:lang w:val="zh-CN" w:eastAsia="zh-CN"/>
        </w:rPr>
        <w:t>拨款</w:t>
      </w:r>
      <w:r>
        <w:rPr>
          <w:rFonts w:hint="eastAsia"/>
          <w:sz w:val="18"/>
          <w:lang w:val="en-US" w:eastAsia="zh-CN"/>
        </w:rPr>
        <w:t>申请</w:t>
      </w:r>
      <w:r>
        <w:rPr>
          <w:sz w:val="18"/>
          <w:lang w:val="zh-CN" w:eastAsia="zh-CN"/>
        </w:rPr>
        <w:t>。</w:t>
      </w:r>
    </w:p>
    <w:p w:rsidR="005514C8" w:rsidRDefault="005514C8">
      <w:pPr>
        <w:spacing w:after="60"/>
        <w:jc w:val="left"/>
        <w:rPr>
          <w:b/>
          <w:sz w:val="16"/>
          <w:szCs w:val="16"/>
          <w:highlight w:val="yellow"/>
          <w:lang w:eastAsia="zh-CN"/>
        </w:rPr>
      </w:pPr>
    </w:p>
    <w:tbl>
      <w:tblPr>
        <w:tblW w:w="1009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919"/>
        <w:gridCol w:w="7180"/>
      </w:tblGrid>
      <w:tr w:rsidR="005514C8" w:rsidRPr="005514C8">
        <w:trPr>
          <w:trHeight w:val="215"/>
          <w:jc w:val="center"/>
        </w:trPr>
        <w:tc>
          <w:tcPr>
            <w:tcW w:w="2919" w:type="dxa"/>
          </w:tcPr>
          <w:p w:rsidR="005514C8" w:rsidRPr="005514C8" w:rsidRDefault="005514C8">
            <w:pPr>
              <w:spacing w:after="60"/>
              <w:rPr>
                <w:b/>
                <w:sz w:val="18"/>
                <w:szCs w:val="18"/>
              </w:rPr>
            </w:pPr>
            <w:proofErr w:type="spellStart"/>
            <w:r w:rsidRPr="005514C8">
              <w:rPr>
                <w:b/>
                <w:sz w:val="18"/>
              </w:rPr>
              <w:t>秘书处建议</w:t>
            </w:r>
            <w:proofErr w:type="spellEnd"/>
            <w:r w:rsidRPr="005514C8">
              <w:rPr>
                <w:b/>
                <w:sz w:val="18"/>
              </w:rPr>
              <w:t>：</w:t>
            </w:r>
          </w:p>
        </w:tc>
        <w:tc>
          <w:tcPr>
            <w:tcW w:w="7180" w:type="dxa"/>
          </w:tcPr>
          <w:p w:rsidR="005514C8" w:rsidRPr="005514C8" w:rsidRDefault="005514C8">
            <w:pPr>
              <w:spacing w:after="60"/>
              <w:jc w:val="center"/>
              <w:rPr>
                <w:sz w:val="18"/>
                <w:szCs w:val="18"/>
              </w:rPr>
            </w:pPr>
            <w:proofErr w:type="spellStart"/>
            <w:r w:rsidRPr="005514C8">
              <w:rPr>
                <w:sz w:val="18"/>
              </w:rPr>
              <w:t>一揽子批准</w:t>
            </w:r>
            <w:proofErr w:type="spellEnd"/>
          </w:p>
        </w:tc>
      </w:tr>
    </w:tbl>
    <w:p w:rsidR="00E17303" w:rsidRDefault="00E17303">
      <w:pPr>
        <w:jc w:val="center"/>
        <w:rPr>
          <w:b/>
          <w:lang w:val="zh-CN" w:eastAsia="zh-CN"/>
        </w:rPr>
      </w:pPr>
    </w:p>
    <w:p w:rsidR="005514C8" w:rsidRDefault="005514C8">
      <w:pPr>
        <w:jc w:val="center"/>
        <w:rPr>
          <w:b/>
        </w:rPr>
      </w:pPr>
      <w:r>
        <w:rPr>
          <w:b/>
          <w:lang w:val="zh-CN" w:eastAsia="zh-CN"/>
        </w:rPr>
        <w:lastRenderedPageBreak/>
        <w:t>项目</w:t>
      </w:r>
      <w:r>
        <w:rPr>
          <w:rFonts w:hint="eastAsia"/>
          <w:b/>
          <w:lang w:val="en-US" w:eastAsia="zh-CN"/>
        </w:rPr>
        <w:t>说明</w:t>
      </w:r>
    </w:p>
    <w:p w:rsidR="005514C8" w:rsidRDefault="005514C8"/>
    <w:p w:rsidR="005514C8" w:rsidRDefault="00997DEE">
      <w:pPr>
        <w:pStyle w:val="Heading1"/>
        <w:tabs>
          <w:tab w:val="left" w:pos="0"/>
        </w:tabs>
        <w:rPr>
          <w:lang w:eastAsia="zh-CN"/>
        </w:rPr>
      </w:pPr>
      <w:r>
        <w:rPr>
          <w:rFonts w:hint="eastAsia"/>
          <w:lang w:val="zh-CN" w:eastAsia="zh-CN"/>
        </w:rPr>
        <w:t>联合国</w:t>
      </w:r>
      <w:r w:rsidR="005514C8">
        <w:rPr>
          <w:lang w:val="zh-CN" w:eastAsia="zh-CN"/>
        </w:rPr>
        <w:t>环境规划署作为牵头执行机构，代表贝宁政府提交了氟氯烃淘汰管理计划（</w:t>
      </w:r>
      <w:r w:rsidR="005514C8">
        <w:rPr>
          <w:rFonts w:hint="eastAsia"/>
          <w:lang w:val="zh-CN" w:eastAsia="zh-CN"/>
        </w:rPr>
        <w:t>HPMP</w:t>
      </w:r>
      <w:r w:rsidR="005514C8">
        <w:rPr>
          <w:lang w:val="zh-CN" w:eastAsia="zh-CN"/>
        </w:rPr>
        <w:t>）第一阶段第五次</w:t>
      </w:r>
      <w:r w:rsidR="0002589C">
        <w:rPr>
          <w:rFonts w:hint="eastAsia"/>
          <w:lang w:val="zh-CN" w:eastAsia="zh-CN"/>
        </w:rPr>
        <w:t>拨款</w:t>
      </w:r>
      <w:r w:rsidR="005514C8">
        <w:rPr>
          <w:lang w:val="zh-CN" w:eastAsia="zh-CN"/>
        </w:rPr>
        <w:t>也是最后一次</w:t>
      </w:r>
      <w:r w:rsidR="0002589C">
        <w:rPr>
          <w:lang w:val="zh-CN" w:eastAsia="zh-CN"/>
        </w:rPr>
        <w:t>拨款</w:t>
      </w:r>
      <w:r w:rsidR="005514C8">
        <w:rPr>
          <w:lang w:val="zh-CN" w:eastAsia="zh-CN"/>
        </w:rPr>
        <w:t>的申请，金额为</w:t>
      </w:r>
      <w:r w:rsidR="005514C8">
        <w:rPr>
          <w:lang w:val="zh-CN" w:eastAsia="zh-CN"/>
        </w:rPr>
        <w:t>60,000</w:t>
      </w:r>
      <w:r w:rsidR="005514C8">
        <w:rPr>
          <w:lang w:val="zh-CN" w:eastAsia="zh-CN"/>
        </w:rPr>
        <w:t>美元，外加</w:t>
      </w:r>
      <w:r w:rsidR="00DA5580">
        <w:rPr>
          <w:rFonts w:hint="eastAsia"/>
          <w:lang w:val="zh-CN" w:eastAsia="zh-CN"/>
        </w:rPr>
        <w:t>仅拨付</w:t>
      </w:r>
      <w:r w:rsidR="005514C8">
        <w:rPr>
          <w:lang w:val="zh-CN" w:eastAsia="zh-CN"/>
        </w:rPr>
        <w:t>给</w:t>
      </w:r>
      <w:r w:rsidR="00DA5580">
        <w:rPr>
          <w:rFonts w:hint="eastAsia"/>
          <w:lang w:val="zh-CN" w:eastAsia="zh-CN"/>
        </w:rPr>
        <w:t>联合国</w:t>
      </w:r>
      <w:r w:rsidR="005514C8">
        <w:rPr>
          <w:lang w:val="zh-CN" w:eastAsia="zh-CN"/>
        </w:rPr>
        <w:t>环境规划署的</w:t>
      </w:r>
      <w:r w:rsidR="00665C74">
        <w:rPr>
          <w:lang w:val="zh-CN" w:eastAsia="zh-CN"/>
        </w:rPr>
        <w:t>机构支持费用</w:t>
      </w:r>
      <w:r w:rsidR="005514C8">
        <w:rPr>
          <w:lang w:val="zh-CN" w:eastAsia="zh-CN"/>
        </w:rPr>
        <w:t>7,800</w:t>
      </w:r>
      <w:r w:rsidR="005514C8">
        <w:rPr>
          <w:lang w:val="zh-CN" w:eastAsia="zh-CN"/>
        </w:rPr>
        <w:t>美元。</w:t>
      </w:r>
      <w:r w:rsidR="005514C8">
        <w:rPr>
          <w:vertAlign w:val="superscript"/>
          <w:lang w:val="zh-CN" w:eastAsia="zh-CN"/>
        </w:rPr>
        <w:footnoteReference w:id="2"/>
      </w:r>
      <w:r w:rsidR="005514C8">
        <w:rPr>
          <w:lang w:val="zh-CN" w:eastAsia="zh-CN"/>
        </w:rPr>
        <w:t>提交的文件包括第四次</w:t>
      </w:r>
      <w:r w:rsidR="0002589C">
        <w:rPr>
          <w:lang w:val="zh-CN" w:eastAsia="zh-CN"/>
        </w:rPr>
        <w:t>拨款</w:t>
      </w:r>
      <w:r w:rsidR="005514C8">
        <w:rPr>
          <w:lang w:val="zh-CN" w:eastAsia="zh-CN"/>
        </w:rPr>
        <w:t>执行进度报告以及</w:t>
      </w:r>
      <w:r w:rsidR="005514C8">
        <w:rPr>
          <w:lang w:val="zh-CN" w:eastAsia="zh-CN"/>
        </w:rPr>
        <w:t>2021-2022</w:t>
      </w:r>
      <w:r w:rsidR="005514C8">
        <w:rPr>
          <w:lang w:val="zh-CN" w:eastAsia="zh-CN"/>
        </w:rPr>
        <w:t>年</w:t>
      </w:r>
      <w:r w:rsidR="0002589C">
        <w:rPr>
          <w:lang w:val="zh-CN" w:eastAsia="zh-CN"/>
        </w:rPr>
        <w:t>拨款</w:t>
      </w:r>
      <w:r w:rsidR="005514C8">
        <w:rPr>
          <w:lang w:val="zh-CN" w:eastAsia="zh-CN"/>
        </w:rPr>
        <w:t>执行计划。</w:t>
      </w:r>
    </w:p>
    <w:p w:rsidR="005514C8" w:rsidRDefault="005514C8">
      <w:pPr>
        <w:rPr>
          <w:u w:val="single"/>
        </w:rPr>
      </w:pPr>
      <w:r>
        <w:rPr>
          <w:u w:val="single"/>
          <w:lang w:val="zh-CN" w:eastAsia="zh-CN"/>
        </w:rPr>
        <w:t>氟氯烃消费报告</w:t>
      </w:r>
    </w:p>
    <w:p w:rsidR="005514C8" w:rsidRDefault="005514C8"/>
    <w:p w:rsidR="005514C8" w:rsidRDefault="005514C8">
      <w:pPr>
        <w:pStyle w:val="Heading1"/>
        <w:tabs>
          <w:tab w:val="left" w:pos="0"/>
        </w:tabs>
        <w:rPr>
          <w:lang w:eastAsia="zh-CN"/>
        </w:rPr>
      </w:pPr>
      <w:r>
        <w:rPr>
          <w:lang w:val="zh-CN" w:eastAsia="zh-CN"/>
        </w:rPr>
        <w:t>贝宁政府报告称</w:t>
      </w:r>
      <w:r w:rsidR="00A81B44">
        <w:rPr>
          <w:rFonts w:hint="eastAsia"/>
          <w:lang w:val="zh-CN" w:eastAsia="zh-CN"/>
        </w:rPr>
        <w:t>，</w:t>
      </w:r>
      <w:r>
        <w:rPr>
          <w:lang w:val="zh-CN" w:eastAsia="zh-CN"/>
        </w:rPr>
        <w:t>2020</w:t>
      </w:r>
      <w:r>
        <w:rPr>
          <w:lang w:val="zh-CN" w:eastAsia="zh-CN"/>
        </w:rPr>
        <w:t>年的氟氯烃消费量为</w:t>
      </w:r>
      <w:r>
        <w:rPr>
          <w:lang w:val="zh-CN" w:eastAsia="zh-CN"/>
        </w:rPr>
        <w:t>13.49</w:t>
      </w:r>
      <w:r>
        <w:rPr>
          <w:rFonts w:hint="eastAsia"/>
          <w:lang w:val="zh-CN" w:eastAsia="zh-CN"/>
        </w:rPr>
        <w:t xml:space="preserve"> </w:t>
      </w:r>
      <w:r>
        <w:rPr>
          <w:lang w:val="zh-CN" w:eastAsia="zh-CN"/>
        </w:rPr>
        <w:t>ODP</w:t>
      </w:r>
      <w:r>
        <w:rPr>
          <w:lang w:val="zh-CN" w:eastAsia="zh-CN"/>
        </w:rPr>
        <w:t>吨，</w:t>
      </w:r>
      <w:r w:rsidR="00B3458A">
        <w:rPr>
          <w:lang w:val="zh-CN" w:eastAsia="zh-CN"/>
        </w:rPr>
        <w:t>低</w:t>
      </w:r>
      <w:r w:rsidR="00B3458A">
        <w:rPr>
          <w:rFonts w:hint="eastAsia"/>
          <w:lang w:val="zh-CN" w:eastAsia="zh-CN"/>
        </w:rPr>
        <w:t>于</w:t>
      </w:r>
      <w:r>
        <w:rPr>
          <w:lang w:val="zh-CN" w:eastAsia="zh-CN"/>
        </w:rPr>
        <w:t>氟氯烃履约基准</w:t>
      </w:r>
      <w:r w:rsidR="00A81B44">
        <w:rPr>
          <w:rFonts w:hint="eastAsia"/>
          <w:lang w:val="zh-CN" w:eastAsia="zh-CN"/>
        </w:rPr>
        <w:t>量</w:t>
      </w:r>
      <w:r>
        <w:rPr>
          <w:lang w:val="zh-CN" w:eastAsia="zh-CN"/>
        </w:rPr>
        <w:t>43%</w:t>
      </w:r>
      <w:r>
        <w:rPr>
          <w:lang w:val="zh-CN" w:eastAsia="zh-CN"/>
        </w:rPr>
        <w:t>。</w:t>
      </w:r>
      <w:r>
        <w:rPr>
          <w:lang w:val="zh-CN" w:eastAsia="zh-CN"/>
        </w:rPr>
        <w:t>2016-2020</w:t>
      </w:r>
      <w:r>
        <w:rPr>
          <w:lang w:val="zh-CN" w:eastAsia="zh-CN"/>
        </w:rPr>
        <w:t>年氟氯烃消费量参见表</w:t>
      </w:r>
      <w:r>
        <w:rPr>
          <w:lang w:val="zh-CN" w:eastAsia="zh-CN"/>
        </w:rPr>
        <w:t>1</w:t>
      </w:r>
      <w:r>
        <w:rPr>
          <w:lang w:val="zh-CN" w:eastAsia="zh-CN"/>
        </w:rPr>
        <w:t>。</w:t>
      </w:r>
      <w:r>
        <w:rPr>
          <w:lang w:val="zh-CN" w:eastAsia="zh-CN"/>
        </w:rPr>
        <w:t xml:space="preserve"> </w:t>
      </w:r>
    </w:p>
    <w:p w:rsidR="005514C8" w:rsidRDefault="005514C8">
      <w:pPr>
        <w:rPr>
          <w:b/>
          <w:lang w:eastAsia="zh-CN"/>
        </w:rPr>
      </w:pPr>
      <w:r>
        <w:rPr>
          <w:b/>
          <w:lang w:val="zh-CN" w:eastAsia="zh-CN"/>
        </w:rPr>
        <w:t>表</w:t>
      </w:r>
      <w:r>
        <w:rPr>
          <w:b/>
          <w:lang w:val="zh-CN" w:eastAsia="zh-CN"/>
        </w:rPr>
        <w:t>1</w:t>
      </w:r>
      <w:r>
        <w:rPr>
          <w:rFonts w:hint="eastAsia"/>
          <w:b/>
          <w:lang w:val="zh-CN" w:eastAsia="zh-CN"/>
        </w:rPr>
        <w:t xml:space="preserve">. </w:t>
      </w:r>
      <w:r>
        <w:rPr>
          <w:b/>
          <w:lang w:val="zh-CN" w:eastAsia="zh-CN"/>
        </w:rPr>
        <w:t>贝宁的氟氯烃消费量（</w:t>
      </w:r>
      <w:r>
        <w:rPr>
          <w:b/>
          <w:lang w:val="zh-CN" w:eastAsia="zh-CN"/>
        </w:rPr>
        <w:t>2016-2020</w:t>
      </w:r>
      <w:r>
        <w:rPr>
          <w:b/>
          <w:lang w:val="zh-CN" w:eastAsia="zh-CN"/>
        </w:rPr>
        <w:t>年第</w:t>
      </w:r>
      <w:r>
        <w:rPr>
          <w:b/>
          <w:lang w:val="zh-CN" w:eastAsia="zh-CN"/>
        </w:rPr>
        <w:t>7</w:t>
      </w:r>
      <w:r>
        <w:rPr>
          <w:b/>
          <w:lang w:val="zh-CN" w:eastAsia="zh-CN"/>
        </w:rPr>
        <w:t>条数据）</w:t>
      </w:r>
    </w:p>
    <w:tbl>
      <w:tblPr>
        <w:tblW w:w="5000" w:type="pct"/>
        <w:tblLayout w:type="fixed"/>
        <w:tblLook w:val="0000" w:firstRow="0" w:lastRow="0" w:firstColumn="0" w:lastColumn="0" w:noHBand="0" w:noVBand="0"/>
      </w:tblPr>
      <w:tblGrid>
        <w:gridCol w:w="3146"/>
        <w:gridCol w:w="990"/>
        <w:gridCol w:w="990"/>
        <w:gridCol w:w="989"/>
        <w:gridCol w:w="989"/>
        <w:gridCol w:w="991"/>
        <w:gridCol w:w="1255"/>
      </w:tblGrid>
      <w:tr w:rsidR="005514C8" w:rsidRPr="005514C8">
        <w:trPr>
          <w:tblHeader/>
        </w:trPr>
        <w:tc>
          <w:tcPr>
            <w:tcW w:w="1682" w:type="pct"/>
            <w:tcBorders>
              <w:top w:val="single" w:sz="4" w:space="0" w:color="auto"/>
              <w:left w:val="single" w:sz="4" w:space="0" w:color="auto"/>
              <w:bottom w:val="single" w:sz="4" w:space="0" w:color="auto"/>
              <w:right w:val="single" w:sz="4" w:space="0" w:color="auto"/>
            </w:tcBorders>
            <w:noWrap/>
            <w:tcMar>
              <w:left w:w="43" w:type="dxa"/>
              <w:right w:w="43" w:type="dxa"/>
            </w:tcMar>
            <w:vAlign w:val="center"/>
          </w:tcPr>
          <w:p w:rsidR="005514C8" w:rsidRPr="005514C8" w:rsidRDefault="005514C8">
            <w:pPr>
              <w:widowControl w:val="0"/>
              <w:jc w:val="left"/>
              <w:rPr>
                <w:b/>
                <w:bCs/>
                <w:color w:val="000000"/>
              </w:rPr>
            </w:pPr>
            <w:proofErr w:type="spellStart"/>
            <w:r w:rsidRPr="005514C8">
              <w:rPr>
                <w:b/>
                <w:color w:val="000000"/>
              </w:rPr>
              <w:t>氟氯烃</w:t>
            </w:r>
            <w:proofErr w:type="spellEnd"/>
          </w:p>
        </w:tc>
        <w:tc>
          <w:tcPr>
            <w:tcW w:w="529" w:type="pct"/>
            <w:tcBorders>
              <w:top w:val="single" w:sz="4" w:space="0" w:color="auto"/>
              <w:left w:val="nil"/>
              <w:bottom w:val="single" w:sz="4" w:space="0" w:color="auto"/>
              <w:right w:val="single" w:sz="4" w:space="0" w:color="auto"/>
            </w:tcBorders>
            <w:noWrap/>
            <w:vAlign w:val="center"/>
          </w:tcPr>
          <w:p w:rsidR="005514C8" w:rsidRPr="005514C8" w:rsidRDefault="005514C8">
            <w:pPr>
              <w:widowControl w:val="0"/>
              <w:jc w:val="center"/>
              <w:rPr>
                <w:b/>
                <w:bCs/>
                <w:color w:val="000000"/>
              </w:rPr>
            </w:pPr>
            <w:r w:rsidRPr="005514C8">
              <w:rPr>
                <w:b/>
                <w:color w:val="000000"/>
              </w:rPr>
              <w:t>2016</w:t>
            </w:r>
          </w:p>
        </w:tc>
        <w:tc>
          <w:tcPr>
            <w:tcW w:w="529" w:type="pct"/>
            <w:tcBorders>
              <w:top w:val="single" w:sz="4" w:space="0" w:color="auto"/>
              <w:left w:val="nil"/>
              <w:bottom w:val="single" w:sz="4" w:space="0" w:color="auto"/>
              <w:right w:val="single" w:sz="4" w:space="0" w:color="auto"/>
            </w:tcBorders>
            <w:noWrap/>
            <w:vAlign w:val="center"/>
          </w:tcPr>
          <w:p w:rsidR="005514C8" w:rsidRPr="005514C8" w:rsidRDefault="005514C8">
            <w:pPr>
              <w:widowControl w:val="0"/>
              <w:jc w:val="center"/>
              <w:rPr>
                <w:b/>
                <w:bCs/>
                <w:color w:val="000000"/>
              </w:rPr>
            </w:pPr>
            <w:r w:rsidRPr="005514C8">
              <w:rPr>
                <w:b/>
                <w:color w:val="000000"/>
              </w:rPr>
              <w:t>2017</w:t>
            </w:r>
          </w:p>
        </w:tc>
        <w:tc>
          <w:tcPr>
            <w:tcW w:w="529" w:type="pct"/>
            <w:tcBorders>
              <w:top w:val="single" w:sz="4" w:space="0" w:color="auto"/>
              <w:left w:val="nil"/>
              <w:bottom w:val="single" w:sz="4" w:space="0" w:color="auto"/>
              <w:right w:val="single" w:sz="4" w:space="0" w:color="auto"/>
            </w:tcBorders>
            <w:noWrap/>
            <w:vAlign w:val="center"/>
          </w:tcPr>
          <w:p w:rsidR="005514C8" w:rsidRPr="005514C8" w:rsidRDefault="005514C8">
            <w:pPr>
              <w:widowControl w:val="0"/>
              <w:jc w:val="center"/>
              <w:rPr>
                <w:b/>
                <w:bCs/>
                <w:color w:val="000000"/>
              </w:rPr>
            </w:pPr>
            <w:r w:rsidRPr="005514C8">
              <w:rPr>
                <w:b/>
                <w:color w:val="000000"/>
              </w:rPr>
              <w:t>2018</w:t>
            </w:r>
          </w:p>
        </w:tc>
        <w:tc>
          <w:tcPr>
            <w:tcW w:w="529" w:type="pct"/>
            <w:tcBorders>
              <w:top w:val="single" w:sz="4" w:space="0" w:color="auto"/>
              <w:left w:val="nil"/>
              <w:bottom w:val="single" w:sz="4" w:space="0" w:color="auto"/>
              <w:right w:val="single" w:sz="4" w:space="0" w:color="auto"/>
            </w:tcBorders>
          </w:tcPr>
          <w:p w:rsidR="005514C8" w:rsidRPr="005514C8" w:rsidRDefault="005514C8">
            <w:pPr>
              <w:widowControl w:val="0"/>
              <w:jc w:val="center"/>
              <w:rPr>
                <w:b/>
                <w:bCs/>
                <w:color w:val="000000"/>
              </w:rPr>
            </w:pPr>
            <w:r w:rsidRPr="005514C8">
              <w:rPr>
                <w:b/>
                <w:color w:val="000000"/>
              </w:rPr>
              <w:t>2019</w:t>
            </w:r>
          </w:p>
        </w:tc>
        <w:tc>
          <w:tcPr>
            <w:tcW w:w="530" w:type="pct"/>
            <w:tcBorders>
              <w:top w:val="single" w:sz="4" w:space="0" w:color="auto"/>
              <w:left w:val="single" w:sz="4" w:space="0" w:color="auto"/>
              <w:bottom w:val="single" w:sz="4" w:space="0" w:color="auto"/>
              <w:right w:val="single" w:sz="4" w:space="0" w:color="auto"/>
            </w:tcBorders>
          </w:tcPr>
          <w:p w:rsidR="005514C8" w:rsidRPr="005514C8" w:rsidRDefault="005514C8">
            <w:pPr>
              <w:widowControl w:val="0"/>
              <w:jc w:val="center"/>
              <w:rPr>
                <w:b/>
                <w:bCs/>
                <w:color w:val="000000"/>
              </w:rPr>
            </w:pPr>
            <w:r w:rsidRPr="005514C8">
              <w:rPr>
                <w:b/>
                <w:color w:val="000000"/>
              </w:rPr>
              <w:t>2020</w:t>
            </w:r>
          </w:p>
        </w:tc>
        <w:tc>
          <w:tcPr>
            <w:tcW w:w="671" w:type="pct"/>
            <w:tcBorders>
              <w:top w:val="single" w:sz="4" w:space="0" w:color="auto"/>
              <w:left w:val="single" w:sz="4" w:space="0" w:color="auto"/>
              <w:bottom w:val="single" w:sz="4" w:space="0" w:color="auto"/>
              <w:right w:val="single" w:sz="4" w:space="0" w:color="auto"/>
            </w:tcBorders>
            <w:noWrap/>
            <w:vAlign w:val="center"/>
          </w:tcPr>
          <w:p w:rsidR="005514C8" w:rsidRPr="005514C8" w:rsidRDefault="005514C8">
            <w:pPr>
              <w:widowControl w:val="0"/>
              <w:jc w:val="center"/>
              <w:rPr>
                <w:b/>
                <w:bCs/>
                <w:color w:val="000000"/>
                <w:lang w:eastAsia="zh-CN"/>
              </w:rPr>
            </w:pPr>
            <w:proofErr w:type="spellStart"/>
            <w:r w:rsidRPr="005514C8">
              <w:rPr>
                <w:b/>
                <w:color w:val="000000"/>
              </w:rPr>
              <w:t>基准</w:t>
            </w:r>
            <w:proofErr w:type="spellEnd"/>
            <w:r w:rsidR="0000292F">
              <w:rPr>
                <w:rFonts w:hint="eastAsia"/>
                <w:b/>
                <w:color w:val="000000"/>
                <w:lang w:eastAsia="zh-CN"/>
              </w:rPr>
              <w:t>量</w:t>
            </w:r>
          </w:p>
        </w:tc>
      </w:tr>
      <w:tr w:rsidR="005514C8" w:rsidRPr="005514C8">
        <w:tc>
          <w:tcPr>
            <w:tcW w:w="1682" w:type="pct"/>
            <w:tcBorders>
              <w:top w:val="nil"/>
              <w:left w:val="single" w:sz="4" w:space="0" w:color="auto"/>
              <w:bottom w:val="single" w:sz="4" w:space="0" w:color="auto"/>
              <w:right w:val="single" w:sz="4" w:space="0" w:color="auto"/>
            </w:tcBorders>
            <w:noWrap/>
            <w:tcMar>
              <w:left w:w="43" w:type="dxa"/>
              <w:right w:w="43" w:type="dxa"/>
            </w:tcMar>
            <w:vAlign w:val="center"/>
          </w:tcPr>
          <w:p w:rsidR="005514C8" w:rsidRPr="005514C8" w:rsidRDefault="005514C8">
            <w:pPr>
              <w:widowControl w:val="0"/>
              <w:jc w:val="left"/>
              <w:rPr>
                <w:b/>
                <w:bCs/>
                <w:color w:val="000000"/>
              </w:rPr>
            </w:pPr>
            <w:proofErr w:type="spellStart"/>
            <w:r w:rsidRPr="005514C8">
              <w:rPr>
                <w:b/>
                <w:color w:val="000000"/>
              </w:rPr>
              <w:t>公吨</w:t>
            </w:r>
            <w:proofErr w:type="spellEnd"/>
            <w:r w:rsidRPr="005514C8">
              <w:rPr>
                <w:b/>
                <w:color w:val="000000"/>
              </w:rPr>
              <w:t>（</w:t>
            </w:r>
            <w:proofErr w:type="spellStart"/>
            <w:r w:rsidRPr="005514C8">
              <w:rPr>
                <w:b/>
                <w:color w:val="000000"/>
              </w:rPr>
              <w:t>mt</w:t>
            </w:r>
            <w:proofErr w:type="spellEnd"/>
            <w:r w:rsidRPr="005514C8">
              <w:rPr>
                <w:b/>
                <w:color w:val="000000"/>
              </w:rPr>
              <w:t>）</w:t>
            </w:r>
          </w:p>
        </w:tc>
        <w:tc>
          <w:tcPr>
            <w:tcW w:w="529" w:type="pct"/>
            <w:tcBorders>
              <w:top w:val="nil"/>
              <w:left w:val="nil"/>
              <w:bottom w:val="single" w:sz="4" w:space="0" w:color="auto"/>
              <w:right w:val="single" w:sz="4" w:space="0" w:color="auto"/>
            </w:tcBorders>
            <w:noWrap/>
            <w:vAlign w:val="center"/>
          </w:tcPr>
          <w:p w:rsidR="005514C8" w:rsidRPr="005514C8" w:rsidRDefault="005514C8">
            <w:pPr>
              <w:widowControl w:val="0"/>
              <w:jc w:val="center"/>
              <w:rPr>
                <w:b/>
                <w:bCs/>
                <w:color w:val="000000"/>
              </w:rPr>
            </w:pPr>
          </w:p>
        </w:tc>
        <w:tc>
          <w:tcPr>
            <w:tcW w:w="529" w:type="pct"/>
            <w:tcBorders>
              <w:top w:val="nil"/>
              <w:left w:val="nil"/>
              <w:bottom w:val="single" w:sz="4" w:space="0" w:color="auto"/>
              <w:right w:val="single" w:sz="4" w:space="0" w:color="auto"/>
            </w:tcBorders>
            <w:noWrap/>
            <w:vAlign w:val="center"/>
          </w:tcPr>
          <w:p w:rsidR="005514C8" w:rsidRPr="005514C8" w:rsidRDefault="005514C8">
            <w:pPr>
              <w:widowControl w:val="0"/>
              <w:jc w:val="center"/>
              <w:rPr>
                <w:b/>
                <w:bCs/>
                <w:color w:val="000000"/>
              </w:rPr>
            </w:pPr>
          </w:p>
        </w:tc>
        <w:tc>
          <w:tcPr>
            <w:tcW w:w="529" w:type="pct"/>
            <w:tcBorders>
              <w:top w:val="nil"/>
              <w:left w:val="nil"/>
              <w:bottom w:val="single" w:sz="4" w:space="0" w:color="auto"/>
              <w:right w:val="single" w:sz="4" w:space="0" w:color="auto"/>
            </w:tcBorders>
            <w:noWrap/>
            <w:vAlign w:val="center"/>
          </w:tcPr>
          <w:p w:rsidR="005514C8" w:rsidRPr="005514C8" w:rsidRDefault="005514C8">
            <w:pPr>
              <w:widowControl w:val="0"/>
              <w:jc w:val="center"/>
              <w:rPr>
                <w:b/>
                <w:bCs/>
                <w:color w:val="000000"/>
              </w:rPr>
            </w:pPr>
          </w:p>
        </w:tc>
        <w:tc>
          <w:tcPr>
            <w:tcW w:w="529" w:type="pct"/>
            <w:tcBorders>
              <w:top w:val="single" w:sz="4" w:space="0" w:color="auto"/>
              <w:left w:val="nil"/>
              <w:bottom w:val="single" w:sz="4" w:space="0" w:color="auto"/>
              <w:right w:val="single" w:sz="4" w:space="0" w:color="auto"/>
            </w:tcBorders>
          </w:tcPr>
          <w:p w:rsidR="005514C8" w:rsidRPr="005514C8" w:rsidRDefault="005514C8">
            <w:pPr>
              <w:widowControl w:val="0"/>
              <w:jc w:val="center"/>
              <w:rPr>
                <w:b/>
                <w:bCs/>
                <w:color w:val="000000"/>
              </w:rPr>
            </w:pPr>
          </w:p>
        </w:tc>
        <w:tc>
          <w:tcPr>
            <w:tcW w:w="530" w:type="pct"/>
            <w:tcBorders>
              <w:top w:val="nil"/>
              <w:left w:val="single" w:sz="4" w:space="0" w:color="auto"/>
              <w:bottom w:val="single" w:sz="4" w:space="0" w:color="auto"/>
              <w:right w:val="single" w:sz="4" w:space="0" w:color="auto"/>
            </w:tcBorders>
          </w:tcPr>
          <w:p w:rsidR="005514C8" w:rsidRPr="005514C8" w:rsidRDefault="005514C8">
            <w:pPr>
              <w:widowControl w:val="0"/>
              <w:jc w:val="center"/>
              <w:rPr>
                <w:b/>
                <w:bCs/>
                <w:color w:val="000000"/>
              </w:rPr>
            </w:pPr>
          </w:p>
        </w:tc>
        <w:tc>
          <w:tcPr>
            <w:tcW w:w="671" w:type="pct"/>
            <w:tcBorders>
              <w:top w:val="nil"/>
              <w:left w:val="single" w:sz="4" w:space="0" w:color="auto"/>
              <w:bottom w:val="single" w:sz="4" w:space="0" w:color="auto"/>
              <w:right w:val="single" w:sz="4" w:space="0" w:color="auto"/>
            </w:tcBorders>
            <w:noWrap/>
            <w:vAlign w:val="center"/>
          </w:tcPr>
          <w:p w:rsidR="005514C8" w:rsidRPr="005514C8" w:rsidRDefault="005514C8">
            <w:pPr>
              <w:widowControl w:val="0"/>
              <w:jc w:val="center"/>
              <w:rPr>
                <w:b/>
                <w:bCs/>
                <w:color w:val="000000"/>
              </w:rPr>
            </w:pPr>
          </w:p>
        </w:tc>
      </w:tr>
      <w:tr w:rsidR="005514C8" w:rsidRPr="005514C8">
        <w:tc>
          <w:tcPr>
            <w:tcW w:w="1682" w:type="pct"/>
            <w:tcBorders>
              <w:top w:val="nil"/>
              <w:left w:val="single" w:sz="4" w:space="0" w:color="auto"/>
              <w:bottom w:val="single" w:sz="4" w:space="0" w:color="auto"/>
              <w:right w:val="single" w:sz="4" w:space="0" w:color="auto"/>
            </w:tcBorders>
            <w:noWrap/>
            <w:tcMar>
              <w:left w:w="43" w:type="dxa"/>
              <w:right w:w="43" w:type="dxa"/>
            </w:tcMar>
            <w:vAlign w:val="center"/>
          </w:tcPr>
          <w:p w:rsidR="005514C8" w:rsidRPr="005514C8" w:rsidRDefault="005514C8">
            <w:pPr>
              <w:widowControl w:val="0"/>
              <w:jc w:val="left"/>
              <w:rPr>
                <w:color w:val="000000"/>
              </w:rPr>
            </w:pPr>
            <w:r w:rsidRPr="005514C8">
              <w:rPr>
                <w:color w:val="000000"/>
              </w:rPr>
              <w:t>HCFC-22</w:t>
            </w:r>
          </w:p>
        </w:tc>
        <w:tc>
          <w:tcPr>
            <w:tcW w:w="529" w:type="pct"/>
            <w:tcBorders>
              <w:top w:val="nil"/>
              <w:left w:val="nil"/>
              <w:bottom w:val="single" w:sz="4" w:space="0" w:color="auto"/>
              <w:right w:val="single" w:sz="4" w:space="0" w:color="auto"/>
            </w:tcBorders>
            <w:noWrap/>
          </w:tcPr>
          <w:p w:rsidR="005514C8" w:rsidRPr="005514C8" w:rsidRDefault="005514C8">
            <w:pPr>
              <w:widowControl w:val="0"/>
              <w:jc w:val="right"/>
            </w:pPr>
            <w:r w:rsidRPr="005514C8">
              <w:t>310.75</w:t>
            </w:r>
          </w:p>
        </w:tc>
        <w:tc>
          <w:tcPr>
            <w:tcW w:w="529" w:type="pct"/>
            <w:tcBorders>
              <w:top w:val="nil"/>
              <w:left w:val="nil"/>
              <w:bottom w:val="single" w:sz="4" w:space="0" w:color="auto"/>
              <w:right w:val="single" w:sz="4" w:space="0" w:color="auto"/>
            </w:tcBorders>
            <w:noWrap/>
          </w:tcPr>
          <w:p w:rsidR="005514C8" w:rsidRPr="005514C8" w:rsidRDefault="005514C8">
            <w:pPr>
              <w:widowControl w:val="0"/>
              <w:jc w:val="right"/>
            </w:pPr>
            <w:r w:rsidRPr="005514C8">
              <w:t>290.26</w:t>
            </w:r>
          </w:p>
        </w:tc>
        <w:tc>
          <w:tcPr>
            <w:tcW w:w="529" w:type="pct"/>
            <w:tcBorders>
              <w:top w:val="nil"/>
              <w:left w:val="nil"/>
              <w:bottom w:val="single" w:sz="4" w:space="0" w:color="auto"/>
              <w:right w:val="single" w:sz="4" w:space="0" w:color="auto"/>
            </w:tcBorders>
            <w:noWrap/>
          </w:tcPr>
          <w:p w:rsidR="005514C8" w:rsidRPr="005514C8" w:rsidRDefault="005514C8">
            <w:pPr>
              <w:widowControl w:val="0"/>
              <w:jc w:val="right"/>
              <w:rPr>
                <w:color w:val="000000"/>
              </w:rPr>
            </w:pPr>
            <w:r w:rsidRPr="005514C8">
              <w:t>282.56</w:t>
            </w:r>
          </w:p>
        </w:tc>
        <w:tc>
          <w:tcPr>
            <w:tcW w:w="529" w:type="pct"/>
            <w:tcBorders>
              <w:top w:val="single" w:sz="4" w:space="0" w:color="auto"/>
              <w:left w:val="nil"/>
              <w:bottom w:val="single" w:sz="4" w:space="0" w:color="auto"/>
              <w:right w:val="single" w:sz="4" w:space="0" w:color="auto"/>
            </w:tcBorders>
          </w:tcPr>
          <w:p w:rsidR="005514C8" w:rsidRPr="005514C8" w:rsidRDefault="005514C8">
            <w:pPr>
              <w:widowControl w:val="0"/>
              <w:jc w:val="right"/>
              <w:rPr>
                <w:color w:val="000000"/>
              </w:rPr>
            </w:pPr>
            <w:r w:rsidRPr="005514C8">
              <w:t>267.73</w:t>
            </w:r>
          </w:p>
        </w:tc>
        <w:tc>
          <w:tcPr>
            <w:tcW w:w="530" w:type="pct"/>
            <w:tcBorders>
              <w:top w:val="nil"/>
              <w:left w:val="single" w:sz="4" w:space="0" w:color="auto"/>
              <w:bottom w:val="single" w:sz="4" w:space="0" w:color="auto"/>
              <w:right w:val="single" w:sz="4" w:space="0" w:color="auto"/>
            </w:tcBorders>
          </w:tcPr>
          <w:p w:rsidR="005514C8" w:rsidRPr="005514C8" w:rsidRDefault="005514C8">
            <w:pPr>
              <w:widowControl w:val="0"/>
              <w:jc w:val="right"/>
              <w:rPr>
                <w:color w:val="000000"/>
              </w:rPr>
            </w:pPr>
            <w:r w:rsidRPr="005514C8">
              <w:t>245.23</w:t>
            </w:r>
          </w:p>
        </w:tc>
        <w:tc>
          <w:tcPr>
            <w:tcW w:w="671" w:type="pct"/>
            <w:tcBorders>
              <w:top w:val="nil"/>
              <w:left w:val="single" w:sz="4" w:space="0" w:color="auto"/>
              <w:bottom w:val="single" w:sz="4" w:space="0" w:color="auto"/>
              <w:right w:val="single" w:sz="4" w:space="0" w:color="auto"/>
            </w:tcBorders>
            <w:noWrap/>
          </w:tcPr>
          <w:p w:rsidR="005514C8" w:rsidRPr="005514C8" w:rsidRDefault="005514C8">
            <w:pPr>
              <w:widowControl w:val="0"/>
              <w:jc w:val="right"/>
              <w:rPr>
                <w:color w:val="000000"/>
              </w:rPr>
            </w:pPr>
            <w:r w:rsidRPr="005514C8">
              <w:t>432.5</w:t>
            </w:r>
          </w:p>
        </w:tc>
      </w:tr>
      <w:tr w:rsidR="005514C8" w:rsidRPr="005514C8">
        <w:tc>
          <w:tcPr>
            <w:tcW w:w="1682" w:type="pct"/>
            <w:tcBorders>
              <w:top w:val="nil"/>
              <w:left w:val="single" w:sz="4" w:space="0" w:color="auto"/>
              <w:bottom w:val="single" w:sz="4" w:space="0" w:color="auto"/>
              <w:right w:val="single" w:sz="4" w:space="0" w:color="auto"/>
            </w:tcBorders>
            <w:noWrap/>
            <w:tcMar>
              <w:left w:w="43" w:type="dxa"/>
              <w:right w:w="43" w:type="dxa"/>
            </w:tcMar>
            <w:vAlign w:val="center"/>
          </w:tcPr>
          <w:p w:rsidR="005514C8" w:rsidRPr="005514C8" w:rsidRDefault="005514C8">
            <w:pPr>
              <w:widowControl w:val="0"/>
              <w:jc w:val="left"/>
              <w:rPr>
                <w:color w:val="000000"/>
              </w:rPr>
            </w:pPr>
            <w:r w:rsidRPr="005514C8">
              <w:rPr>
                <w:color w:val="000000"/>
              </w:rPr>
              <w:t>HCFC-142b</w:t>
            </w:r>
          </w:p>
        </w:tc>
        <w:tc>
          <w:tcPr>
            <w:tcW w:w="529" w:type="pct"/>
            <w:tcBorders>
              <w:top w:val="nil"/>
              <w:left w:val="nil"/>
              <w:bottom w:val="single" w:sz="4" w:space="0" w:color="auto"/>
              <w:right w:val="single" w:sz="4" w:space="0" w:color="auto"/>
            </w:tcBorders>
            <w:noWrap/>
            <w:vAlign w:val="center"/>
          </w:tcPr>
          <w:p w:rsidR="005514C8" w:rsidRPr="005514C8" w:rsidRDefault="005514C8">
            <w:pPr>
              <w:widowControl w:val="0"/>
              <w:jc w:val="right"/>
            </w:pPr>
            <w:r w:rsidRPr="005514C8">
              <w:rPr>
                <w:color w:val="000000"/>
              </w:rPr>
              <w:t>0.0</w:t>
            </w:r>
          </w:p>
        </w:tc>
        <w:tc>
          <w:tcPr>
            <w:tcW w:w="529" w:type="pct"/>
            <w:tcBorders>
              <w:top w:val="nil"/>
              <w:left w:val="nil"/>
              <w:bottom w:val="single" w:sz="4" w:space="0" w:color="auto"/>
              <w:right w:val="single" w:sz="4" w:space="0" w:color="auto"/>
            </w:tcBorders>
            <w:noWrap/>
            <w:vAlign w:val="center"/>
          </w:tcPr>
          <w:p w:rsidR="005514C8" w:rsidRPr="005514C8" w:rsidRDefault="005514C8">
            <w:pPr>
              <w:widowControl w:val="0"/>
              <w:jc w:val="right"/>
            </w:pPr>
            <w:r w:rsidRPr="005514C8">
              <w:rPr>
                <w:color w:val="000000"/>
              </w:rPr>
              <w:t>0.0</w:t>
            </w:r>
          </w:p>
        </w:tc>
        <w:tc>
          <w:tcPr>
            <w:tcW w:w="529" w:type="pct"/>
            <w:tcBorders>
              <w:top w:val="nil"/>
              <w:left w:val="nil"/>
              <w:bottom w:val="single" w:sz="4" w:space="0" w:color="auto"/>
              <w:right w:val="single" w:sz="4" w:space="0" w:color="auto"/>
            </w:tcBorders>
            <w:noWrap/>
            <w:vAlign w:val="center"/>
          </w:tcPr>
          <w:p w:rsidR="005514C8" w:rsidRPr="005514C8" w:rsidRDefault="005514C8">
            <w:pPr>
              <w:widowControl w:val="0"/>
              <w:jc w:val="right"/>
              <w:rPr>
                <w:color w:val="000000"/>
              </w:rPr>
            </w:pPr>
            <w:r w:rsidRPr="005514C8">
              <w:rPr>
                <w:color w:val="000000"/>
              </w:rPr>
              <w:t>0.0</w:t>
            </w:r>
          </w:p>
        </w:tc>
        <w:tc>
          <w:tcPr>
            <w:tcW w:w="529" w:type="pct"/>
            <w:tcBorders>
              <w:top w:val="single" w:sz="4" w:space="0" w:color="auto"/>
              <w:left w:val="nil"/>
              <w:bottom w:val="single" w:sz="4" w:space="0" w:color="auto"/>
              <w:right w:val="single" w:sz="4" w:space="0" w:color="auto"/>
            </w:tcBorders>
          </w:tcPr>
          <w:p w:rsidR="005514C8" w:rsidRPr="005514C8" w:rsidRDefault="005514C8">
            <w:pPr>
              <w:widowControl w:val="0"/>
              <w:jc w:val="right"/>
              <w:rPr>
                <w:color w:val="000000"/>
              </w:rPr>
            </w:pPr>
            <w:r w:rsidRPr="005514C8">
              <w:rPr>
                <w:color w:val="000000"/>
              </w:rPr>
              <w:t>6.69</w:t>
            </w:r>
          </w:p>
        </w:tc>
        <w:tc>
          <w:tcPr>
            <w:tcW w:w="530" w:type="pct"/>
            <w:tcBorders>
              <w:top w:val="nil"/>
              <w:left w:val="single" w:sz="4" w:space="0" w:color="auto"/>
              <w:bottom w:val="single" w:sz="4" w:space="0" w:color="auto"/>
              <w:right w:val="single" w:sz="4" w:space="0" w:color="auto"/>
            </w:tcBorders>
          </w:tcPr>
          <w:p w:rsidR="005514C8" w:rsidRPr="005514C8" w:rsidRDefault="005514C8">
            <w:pPr>
              <w:widowControl w:val="0"/>
              <w:jc w:val="right"/>
              <w:rPr>
                <w:color w:val="000000"/>
              </w:rPr>
            </w:pPr>
            <w:r w:rsidRPr="005514C8">
              <w:rPr>
                <w:color w:val="000000"/>
              </w:rPr>
              <w:t>0.0</w:t>
            </w:r>
          </w:p>
        </w:tc>
        <w:tc>
          <w:tcPr>
            <w:tcW w:w="671" w:type="pct"/>
            <w:tcBorders>
              <w:top w:val="nil"/>
              <w:left w:val="single" w:sz="4" w:space="0" w:color="auto"/>
              <w:bottom w:val="single" w:sz="4" w:space="0" w:color="auto"/>
              <w:right w:val="single" w:sz="4" w:space="0" w:color="auto"/>
            </w:tcBorders>
            <w:noWrap/>
            <w:vAlign w:val="center"/>
          </w:tcPr>
          <w:p w:rsidR="005514C8" w:rsidRPr="005514C8" w:rsidRDefault="005514C8">
            <w:pPr>
              <w:widowControl w:val="0"/>
              <w:jc w:val="right"/>
              <w:rPr>
                <w:color w:val="000000"/>
              </w:rPr>
            </w:pPr>
            <w:proofErr w:type="spellStart"/>
            <w:r w:rsidRPr="005514C8">
              <w:rPr>
                <w:color w:val="000000"/>
              </w:rPr>
              <w:t>不适用</w:t>
            </w:r>
            <w:proofErr w:type="spellEnd"/>
          </w:p>
        </w:tc>
      </w:tr>
      <w:tr w:rsidR="005514C8" w:rsidRPr="005514C8">
        <w:tc>
          <w:tcPr>
            <w:tcW w:w="1682" w:type="pct"/>
            <w:tcBorders>
              <w:top w:val="nil"/>
              <w:left w:val="single" w:sz="4" w:space="0" w:color="auto"/>
              <w:bottom w:val="single" w:sz="4" w:space="0" w:color="auto"/>
              <w:right w:val="single" w:sz="4" w:space="0" w:color="auto"/>
            </w:tcBorders>
            <w:noWrap/>
            <w:tcMar>
              <w:left w:w="43" w:type="dxa"/>
              <w:right w:w="43" w:type="dxa"/>
            </w:tcMar>
          </w:tcPr>
          <w:p w:rsidR="005514C8" w:rsidRPr="005514C8" w:rsidRDefault="005514C8">
            <w:pPr>
              <w:jc w:val="left"/>
              <w:rPr>
                <w:b/>
                <w:color w:val="000000"/>
              </w:rPr>
            </w:pPr>
            <w:proofErr w:type="spellStart"/>
            <w:r w:rsidRPr="005514C8">
              <w:rPr>
                <w:b/>
                <w:color w:val="000000"/>
              </w:rPr>
              <w:t>总计</w:t>
            </w:r>
            <w:proofErr w:type="spellEnd"/>
            <w:r w:rsidRPr="005514C8">
              <w:rPr>
                <w:b/>
                <w:color w:val="000000"/>
              </w:rPr>
              <w:t>（</w:t>
            </w:r>
            <w:proofErr w:type="spellStart"/>
            <w:r w:rsidRPr="005514C8">
              <w:rPr>
                <w:b/>
                <w:color w:val="000000"/>
              </w:rPr>
              <w:t>mt</w:t>
            </w:r>
            <w:proofErr w:type="spellEnd"/>
            <w:r w:rsidRPr="005514C8">
              <w:rPr>
                <w:b/>
                <w:color w:val="000000"/>
              </w:rPr>
              <w:t>）</w:t>
            </w:r>
          </w:p>
        </w:tc>
        <w:tc>
          <w:tcPr>
            <w:tcW w:w="529" w:type="pct"/>
            <w:tcBorders>
              <w:top w:val="nil"/>
              <w:left w:val="nil"/>
              <w:bottom w:val="single" w:sz="4" w:space="0" w:color="auto"/>
              <w:right w:val="single" w:sz="4" w:space="0" w:color="auto"/>
            </w:tcBorders>
            <w:noWrap/>
          </w:tcPr>
          <w:p w:rsidR="005514C8" w:rsidRPr="005514C8" w:rsidRDefault="005514C8">
            <w:pPr>
              <w:widowControl w:val="0"/>
              <w:jc w:val="right"/>
              <w:rPr>
                <w:b/>
                <w:color w:val="000000"/>
              </w:rPr>
            </w:pPr>
            <w:r w:rsidRPr="005514C8">
              <w:rPr>
                <w:b/>
              </w:rPr>
              <w:t>310.75</w:t>
            </w:r>
          </w:p>
        </w:tc>
        <w:tc>
          <w:tcPr>
            <w:tcW w:w="529" w:type="pct"/>
            <w:tcBorders>
              <w:top w:val="nil"/>
              <w:left w:val="nil"/>
              <w:bottom w:val="single" w:sz="4" w:space="0" w:color="auto"/>
              <w:right w:val="single" w:sz="4" w:space="0" w:color="auto"/>
            </w:tcBorders>
            <w:noWrap/>
          </w:tcPr>
          <w:p w:rsidR="005514C8" w:rsidRPr="005514C8" w:rsidRDefault="005514C8">
            <w:pPr>
              <w:widowControl w:val="0"/>
              <w:jc w:val="right"/>
              <w:rPr>
                <w:b/>
                <w:color w:val="000000"/>
              </w:rPr>
            </w:pPr>
            <w:r w:rsidRPr="005514C8">
              <w:rPr>
                <w:b/>
              </w:rPr>
              <w:t>290.26</w:t>
            </w:r>
          </w:p>
        </w:tc>
        <w:tc>
          <w:tcPr>
            <w:tcW w:w="529" w:type="pct"/>
            <w:tcBorders>
              <w:top w:val="nil"/>
              <w:left w:val="nil"/>
              <w:bottom w:val="single" w:sz="4" w:space="0" w:color="auto"/>
              <w:right w:val="single" w:sz="4" w:space="0" w:color="auto"/>
            </w:tcBorders>
            <w:noWrap/>
          </w:tcPr>
          <w:p w:rsidR="005514C8" w:rsidRPr="005514C8" w:rsidRDefault="005514C8">
            <w:pPr>
              <w:widowControl w:val="0"/>
              <w:jc w:val="right"/>
              <w:rPr>
                <w:b/>
                <w:color w:val="000000"/>
              </w:rPr>
            </w:pPr>
            <w:r w:rsidRPr="005514C8">
              <w:rPr>
                <w:b/>
              </w:rPr>
              <w:t>282.56</w:t>
            </w:r>
          </w:p>
        </w:tc>
        <w:tc>
          <w:tcPr>
            <w:tcW w:w="529" w:type="pct"/>
            <w:tcBorders>
              <w:top w:val="single" w:sz="4" w:space="0" w:color="auto"/>
              <w:left w:val="nil"/>
              <w:bottom w:val="single" w:sz="4" w:space="0" w:color="auto"/>
              <w:right w:val="single" w:sz="4" w:space="0" w:color="auto"/>
            </w:tcBorders>
          </w:tcPr>
          <w:p w:rsidR="005514C8" w:rsidRPr="005514C8" w:rsidRDefault="005514C8">
            <w:pPr>
              <w:widowControl w:val="0"/>
              <w:jc w:val="right"/>
              <w:rPr>
                <w:b/>
                <w:color w:val="000000"/>
              </w:rPr>
            </w:pPr>
            <w:r w:rsidRPr="005514C8">
              <w:rPr>
                <w:b/>
                <w:color w:val="000000"/>
              </w:rPr>
              <w:t>274.42</w:t>
            </w:r>
          </w:p>
        </w:tc>
        <w:tc>
          <w:tcPr>
            <w:tcW w:w="530" w:type="pct"/>
            <w:tcBorders>
              <w:top w:val="nil"/>
              <w:left w:val="single" w:sz="4" w:space="0" w:color="auto"/>
              <w:bottom w:val="single" w:sz="4" w:space="0" w:color="auto"/>
              <w:right w:val="single" w:sz="4" w:space="0" w:color="auto"/>
            </w:tcBorders>
          </w:tcPr>
          <w:p w:rsidR="005514C8" w:rsidRPr="005514C8" w:rsidRDefault="005514C8">
            <w:pPr>
              <w:widowControl w:val="0"/>
              <w:jc w:val="right"/>
              <w:rPr>
                <w:b/>
                <w:color w:val="000000"/>
              </w:rPr>
            </w:pPr>
            <w:r w:rsidRPr="005514C8">
              <w:rPr>
                <w:b/>
              </w:rPr>
              <w:t>245.23</w:t>
            </w:r>
          </w:p>
        </w:tc>
        <w:tc>
          <w:tcPr>
            <w:tcW w:w="671" w:type="pct"/>
            <w:tcBorders>
              <w:top w:val="nil"/>
              <w:left w:val="single" w:sz="4" w:space="0" w:color="auto"/>
              <w:bottom w:val="single" w:sz="4" w:space="0" w:color="auto"/>
              <w:right w:val="single" w:sz="4" w:space="0" w:color="auto"/>
            </w:tcBorders>
            <w:noWrap/>
            <w:vAlign w:val="center"/>
          </w:tcPr>
          <w:p w:rsidR="005514C8" w:rsidRPr="005514C8" w:rsidRDefault="005514C8">
            <w:pPr>
              <w:widowControl w:val="0"/>
              <w:jc w:val="right"/>
              <w:rPr>
                <w:b/>
                <w:color w:val="000000"/>
              </w:rPr>
            </w:pPr>
            <w:r w:rsidRPr="005514C8">
              <w:rPr>
                <w:b/>
                <w:color w:val="000000"/>
              </w:rPr>
              <w:t>432.5</w:t>
            </w:r>
          </w:p>
        </w:tc>
      </w:tr>
      <w:tr w:rsidR="005514C8" w:rsidRPr="005514C8">
        <w:tc>
          <w:tcPr>
            <w:tcW w:w="1682" w:type="pct"/>
            <w:tcBorders>
              <w:top w:val="single" w:sz="4" w:space="0" w:color="auto"/>
              <w:left w:val="single" w:sz="4" w:space="0" w:color="auto"/>
              <w:bottom w:val="single" w:sz="4" w:space="0" w:color="auto"/>
              <w:right w:val="single" w:sz="4" w:space="0" w:color="auto"/>
            </w:tcBorders>
            <w:noWrap/>
            <w:tcMar>
              <w:left w:w="43" w:type="dxa"/>
              <w:right w:w="43" w:type="dxa"/>
            </w:tcMar>
            <w:vAlign w:val="center"/>
          </w:tcPr>
          <w:p w:rsidR="005514C8" w:rsidRPr="005514C8" w:rsidRDefault="005514C8">
            <w:pPr>
              <w:widowControl w:val="0"/>
              <w:jc w:val="left"/>
              <w:rPr>
                <w:b/>
                <w:bCs/>
                <w:color w:val="000000"/>
              </w:rPr>
            </w:pPr>
            <w:r w:rsidRPr="005514C8">
              <w:rPr>
                <w:b/>
                <w:color w:val="000000"/>
              </w:rPr>
              <w:t>ODP</w:t>
            </w:r>
            <w:r w:rsidRPr="005514C8">
              <w:rPr>
                <w:b/>
                <w:color w:val="000000"/>
              </w:rPr>
              <w:t>吨</w:t>
            </w:r>
          </w:p>
        </w:tc>
        <w:tc>
          <w:tcPr>
            <w:tcW w:w="529" w:type="pct"/>
            <w:tcBorders>
              <w:top w:val="single" w:sz="4" w:space="0" w:color="auto"/>
              <w:left w:val="single" w:sz="4" w:space="0" w:color="auto"/>
              <w:bottom w:val="single" w:sz="4" w:space="0" w:color="auto"/>
              <w:right w:val="single" w:sz="4" w:space="0" w:color="auto"/>
            </w:tcBorders>
            <w:noWrap/>
            <w:vAlign w:val="center"/>
          </w:tcPr>
          <w:p w:rsidR="005514C8" w:rsidRPr="005514C8" w:rsidRDefault="005514C8">
            <w:pPr>
              <w:widowControl w:val="0"/>
              <w:jc w:val="right"/>
              <w:rPr>
                <w:color w:val="000000"/>
              </w:rPr>
            </w:pPr>
          </w:p>
        </w:tc>
        <w:tc>
          <w:tcPr>
            <w:tcW w:w="529" w:type="pct"/>
            <w:tcBorders>
              <w:top w:val="single" w:sz="4" w:space="0" w:color="auto"/>
              <w:left w:val="single" w:sz="4" w:space="0" w:color="auto"/>
              <w:bottom w:val="single" w:sz="4" w:space="0" w:color="auto"/>
              <w:right w:val="single" w:sz="4" w:space="0" w:color="auto"/>
            </w:tcBorders>
            <w:noWrap/>
            <w:vAlign w:val="center"/>
          </w:tcPr>
          <w:p w:rsidR="005514C8" w:rsidRPr="005514C8" w:rsidRDefault="005514C8">
            <w:pPr>
              <w:widowControl w:val="0"/>
              <w:jc w:val="right"/>
              <w:rPr>
                <w:color w:val="000000"/>
              </w:rPr>
            </w:pPr>
          </w:p>
        </w:tc>
        <w:tc>
          <w:tcPr>
            <w:tcW w:w="529" w:type="pct"/>
            <w:tcBorders>
              <w:top w:val="single" w:sz="4" w:space="0" w:color="auto"/>
              <w:left w:val="single" w:sz="4" w:space="0" w:color="auto"/>
              <w:bottom w:val="single" w:sz="4" w:space="0" w:color="auto"/>
              <w:right w:val="single" w:sz="4" w:space="0" w:color="auto"/>
            </w:tcBorders>
            <w:noWrap/>
            <w:vAlign w:val="center"/>
          </w:tcPr>
          <w:p w:rsidR="005514C8" w:rsidRPr="005514C8" w:rsidRDefault="005514C8">
            <w:pPr>
              <w:widowControl w:val="0"/>
              <w:jc w:val="right"/>
              <w:rPr>
                <w:color w:val="000000"/>
              </w:rPr>
            </w:pPr>
          </w:p>
        </w:tc>
        <w:tc>
          <w:tcPr>
            <w:tcW w:w="529" w:type="pct"/>
            <w:tcBorders>
              <w:top w:val="single" w:sz="4" w:space="0" w:color="auto"/>
              <w:left w:val="single" w:sz="4" w:space="0" w:color="auto"/>
              <w:bottom w:val="single" w:sz="4" w:space="0" w:color="auto"/>
              <w:right w:val="single" w:sz="4" w:space="0" w:color="auto"/>
            </w:tcBorders>
          </w:tcPr>
          <w:p w:rsidR="005514C8" w:rsidRPr="005514C8" w:rsidRDefault="005514C8">
            <w:pPr>
              <w:widowControl w:val="0"/>
              <w:jc w:val="right"/>
              <w:rPr>
                <w:color w:val="000000"/>
              </w:rPr>
            </w:pPr>
          </w:p>
        </w:tc>
        <w:tc>
          <w:tcPr>
            <w:tcW w:w="530" w:type="pct"/>
            <w:tcBorders>
              <w:top w:val="single" w:sz="4" w:space="0" w:color="auto"/>
              <w:left w:val="single" w:sz="4" w:space="0" w:color="auto"/>
              <w:bottom w:val="single" w:sz="4" w:space="0" w:color="auto"/>
              <w:right w:val="single" w:sz="4" w:space="0" w:color="auto"/>
            </w:tcBorders>
          </w:tcPr>
          <w:p w:rsidR="005514C8" w:rsidRPr="005514C8" w:rsidRDefault="005514C8">
            <w:pPr>
              <w:widowControl w:val="0"/>
              <w:jc w:val="right"/>
              <w:rPr>
                <w:color w:val="000000"/>
              </w:rPr>
            </w:pPr>
          </w:p>
        </w:tc>
        <w:tc>
          <w:tcPr>
            <w:tcW w:w="671" w:type="pct"/>
            <w:tcBorders>
              <w:top w:val="single" w:sz="4" w:space="0" w:color="auto"/>
              <w:left w:val="single" w:sz="4" w:space="0" w:color="auto"/>
              <w:bottom w:val="single" w:sz="4" w:space="0" w:color="auto"/>
              <w:right w:val="single" w:sz="4" w:space="0" w:color="auto"/>
            </w:tcBorders>
            <w:noWrap/>
            <w:vAlign w:val="center"/>
          </w:tcPr>
          <w:p w:rsidR="005514C8" w:rsidRPr="005514C8" w:rsidRDefault="005514C8">
            <w:pPr>
              <w:widowControl w:val="0"/>
              <w:jc w:val="right"/>
              <w:rPr>
                <w:color w:val="000000"/>
              </w:rPr>
            </w:pPr>
          </w:p>
        </w:tc>
      </w:tr>
      <w:tr w:rsidR="005514C8" w:rsidRPr="005514C8">
        <w:tc>
          <w:tcPr>
            <w:tcW w:w="1682" w:type="pct"/>
            <w:tcBorders>
              <w:top w:val="single" w:sz="4" w:space="0" w:color="auto"/>
              <w:left w:val="single" w:sz="4" w:space="0" w:color="auto"/>
              <w:bottom w:val="single" w:sz="4" w:space="0" w:color="auto"/>
              <w:right w:val="single" w:sz="4" w:space="0" w:color="auto"/>
            </w:tcBorders>
            <w:noWrap/>
            <w:tcMar>
              <w:left w:w="43" w:type="dxa"/>
              <w:right w:w="43" w:type="dxa"/>
            </w:tcMar>
            <w:vAlign w:val="center"/>
          </w:tcPr>
          <w:p w:rsidR="005514C8" w:rsidRPr="005514C8" w:rsidRDefault="005514C8">
            <w:pPr>
              <w:widowControl w:val="0"/>
              <w:jc w:val="left"/>
              <w:rPr>
                <w:color w:val="000000"/>
              </w:rPr>
            </w:pPr>
            <w:r w:rsidRPr="005514C8">
              <w:rPr>
                <w:color w:val="000000"/>
              </w:rPr>
              <w:t>HCFC-22</w:t>
            </w:r>
          </w:p>
        </w:tc>
        <w:tc>
          <w:tcPr>
            <w:tcW w:w="529" w:type="pct"/>
            <w:tcBorders>
              <w:top w:val="single" w:sz="4" w:space="0" w:color="auto"/>
              <w:left w:val="single" w:sz="4" w:space="0" w:color="auto"/>
              <w:bottom w:val="single" w:sz="4" w:space="0" w:color="auto"/>
              <w:right w:val="single" w:sz="4" w:space="0" w:color="auto"/>
            </w:tcBorders>
            <w:noWrap/>
          </w:tcPr>
          <w:p w:rsidR="005514C8" w:rsidRPr="005514C8" w:rsidRDefault="005514C8">
            <w:pPr>
              <w:widowControl w:val="0"/>
              <w:jc w:val="right"/>
              <w:rPr>
                <w:color w:val="000000"/>
              </w:rPr>
            </w:pPr>
            <w:r w:rsidRPr="005514C8">
              <w:t>17.09</w:t>
            </w:r>
          </w:p>
        </w:tc>
        <w:tc>
          <w:tcPr>
            <w:tcW w:w="529" w:type="pct"/>
            <w:tcBorders>
              <w:top w:val="single" w:sz="4" w:space="0" w:color="auto"/>
              <w:left w:val="single" w:sz="4" w:space="0" w:color="auto"/>
              <w:bottom w:val="single" w:sz="4" w:space="0" w:color="auto"/>
              <w:right w:val="single" w:sz="4" w:space="0" w:color="auto"/>
            </w:tcBorders>
            <w:noWrap/>
          </w:tcPr>
          <w:p w:rsidR="005514C8" w:rsidRPr="005514C8" w:rsidRDefault="005514C8">
            <w:pPr>
              <w:widowControl w:val="0"/>
              <w:jc w:val="right"/>
              <w:rPr>
                <w:color w:val="000000"/>
              </w:rPr>
            </w:pPr>
            <w:r w:rsidRPr="005514C8">
              <w:t>15.96</w:t>
            </w:r>
          </w:p>
        </w:tc>
        <w:tc>
          <w:tcPr>
            <w:tcW w:w="529" w:type="pct"/>
            <w:tcBorders>
              <w:top w:val="single" w:sz="4" w:space="0" w:color="auto"/>
              <w:left w:val="single" w:sz="4" w:space="0" w:color="auto"/>
              <w:bottom w:val="single" w:sz="4" w:space="0" w:color="auto"/>
              <w:right w:val="single" w:sz="4" w:space="0" w:color="auto"/>
            </w:tcBorders>
            <w:noWrap/>
          </w:tcPr>
          <w:p w:rsidR="005514C8" w:rsidRPr="005514C8" w:rsidRDefault="005514C8">
            <w:pPr>
              <w:widowControl w:val="0"/>
              <w:jc w:val="right"/>
              <w:rPr>
                <w:color w:val="000000"/>
              </w:rPr>
            </w:pPr>
            <w:r w:rsidRPr="005514C8">
              <w:t>15.54</w:t>
            </w:r>
          </w:p>
        </w:tc>
        <w:tc>
          <w:tcPr>
            <w:tcW w:w="529" w:type="pct"/>
            <w:tcBorders>
              <w:top w:val="single" w:sz="4" w:space="0" w:color="auto"/>
              <w:left w:val="single" w:sz="4" w:space="0" w:color="auto"/>
              <w:bottom w:val="single" w:sz="4" w:space="0" w:color="auto"/>
              <w:right w:val="single" w:sz="4" w:space="0" w:color="auto"/>
            </w:tcBorders>
          </w:tcPr>
          <w:p w:rsidR="005514C8" w:rsidRPr="005514C8" w:rsidRDefault="005514C8">
            <w:pPr>
              <w:widowControl w:val="0"/>
              <w:jc w:val="right"/>
              <w:rPr>
                <w:color w:val="000000"/>
              </w:rPr>
            </w:pPr>
            <w:r w:rsidRPr="005514C8">
              <w:t>14.72</w:t>
            </w:r>
          </w:p>
        </w:tc>
        <w:tc>
          <w:tcPr>
            <w:tcW w:w="530" w:type="pct"/>
            <w:tcBorders>
              <w:top w:val="single" w:sz="4" w:space="0" w:color="auto"/>
              <w:left w:val="single" w:sz="4" w:space="0" w:color="auto"/>
              <w:bottom w:val="single" w:sz="4" w:space="0" w:color="auto"/>
              <w:right w:val="single" w:sz="4" w:space="0" w:color="auto"/>
            </w:tcBorders>
          </w:tcPr>
          <w:p w:rsidR="005514C8" w:rsidRPr="005514C8" w:rsidRDefault="005514C8">
            <w:pPr>
              <w:widowControl w:val="0"/>
              <w:jc w:val="right"/>
              <w:rPr>
                <w:color w:val="000000"/>
              </w:rPr>
            </w:pPr>
            <w:r w:rsidRPr="005514C8">
              <w:t>13.49</w:t>
            </w:r>
          </w:p>
        </w:tc>
        <w:tc>
          <w:tcPr>
            <w:tcW w:w="671" w:type="pct"/>
            <w:tcBorders>
              <w:top w:val="single" w:sz="4" w:space="0" w:color="auto"/>
              <w:left w:val="single" w:sz="4" w:space="0" w:color="auto"/>
              <w:bottom w:val="single" w:sz="4" w:space="0" w:color="auto"/>
              <w:right w:val="single" w:sz="4" w:space="0" w:color="auto"/>
            </w:tcBorders>
            <w:noWrap/>
          </w:tcPr>
          <w:p w:rsidR="005514C8" w:rsidRPr="005514C8" w:rsidRDefault="005514C8">
            <w:pPr>
              <w:widowControl w:val="0"/>
              <w:jc w:val="right"/>
              <w:rPr>
                <w:color w:val="000000"/>
              </w:rPr>
            </w:pPr>
            <w:r w:rsidRPr="005514C8">
              <w:t>23.8</w:t>
            </w:r>
          </w:p>
        </w:tc>
      </w:tr>
      <w:tr w:rsidR="005514C8" w:rsidRPr="005514C8">
        <w:tc>
          <w:tcPr>
            <w:tcW w:w="1682" w:type="pct"/>
            <w:tcBorders>
              <w:top w:val="single" w:sz="4" w:space="0" w:color="auto"/>
              <w:left w:val="single" w:sz="4" w:space="0" w:color="auto"/>
              <w:bottom w:val="single" w:sz="4" w:space="0" w:color="auto"/>
              <w:right w:val="single" w:sz="4" w:space="0" w:color="auto"/>
            </w:tcBorders>
            <w:noWrap/>
            <w:tcMar>
              <w:left w:w="43" w:type="dxa"/>
              <w:right w:w="43" w:type="dxa"/>
            </w:tcMar>
            <w:vAlign w:val="center"/>
          </w:tcPr>
          <w:p w:rsidR="005514C8" w:rsidRPr="005514C8" w:rsidRDefault="005514C8">
            <w:pPr>
              <w:widowControl w:val="0"/>
              <w:jc w:val="left"/>
              <w:rPr>
                <w:color w:val="000000"/>
              </w:rPr>
            </w:pPr>
            <w:r w:rsidRPr="005514C8">
              <w:rPr>
                <w:color w:val="000000"/>
              </w:rPr>
              <w:t>HCFC-142b</w:t>
            </w:r>
          </w:p>
        </w:tc>
        <w:tc>
          <w:tcPr>
            <w:tcW w:w="529" w:type="pct"/>
            <w:tcBorders>
              <w:top w:val="single" w:sz="4" w:space="0" w:color="auto"/>
              <w:left w:val="single" w:sz="4" w:space="0" w:color="auto"/>
              <w:bottom w:val="single" w:sz="4" w:space="0" w:color="auto"/>
              <w:right w:val="single" w:sz="4" w:space="0" w:color="auto"/>
            </w:tcBorders>
            <w:noWrap/>
            <w:vAlign w:val="center"/>
          </w:tcPr>
          <w:p w:rsidR="005514C8" w:rsidRPr="005514C8" w:rsidRDefault="005514C8">
            <w:pPr>
              <w:widowControl w:val="0"/>
              <w:jc w:val="right"/>
              <w:rPr>
                <w:color w:val="000000"/>
              </w:rPr>
            </w:pPr>
            <w:r w:rsidRPr="005514C8">
              <w:rPr>
                <w:color w:val="000000"/>
              </w:rPr>
              <w:t>0.0</w:t>
            </w:r>
          </w:p>
        </w:tc>
        <w:tc>
          <w:tcPr>
            <w:tcW w:w="529" w:type="pct"/>
            <w:tcBorders>
              <w:top w:val="single" w:sz="4" w:space="0" w:color="auto"/>
              <w:left w:val="single" w:sz="4" w:space="0" w:color="auto"/>
              <w:bottom w:val="single" w:sz="4" w:space="0" w:color="auto"/>
              <w:right w:val="single" w:sz="4" w:space="0" w:color="auto"/>
            </w:tcBorders>
            <w:noWrap/>
            <w:vAlign w:val="center"/>
          </w:tcPr>
          <w:p w:rsidR="005514C8" w:rsidRPr="005514C8" w:rsidRDefault="005514C8">
            <w:pPr>
              <w:widowControl w:val="0"/>
              <w:jc w:val="right"/>
              <w:rPr>
                <w:color w:val="000000"/>
              </w:rPr>
            </w:pPr>
            <w:r w:rsidRPr="005514C8">
              <w:rPr>
                <w:color w:val="000000"/>
              </w:rPr>
              <w:t>0.0</w:t>
            </w:r>
          </w:p>
        </w:tc>
        <w:tc>
          <w:tcPr>
            <w:tcW w:w="529" w:type="pct"/>
            <w:tcBorders>
              <w:top w:val="single" w:sz="4" w:space="0" w:color="auto"/>
              <w:left w:val="single" w:sz="4" w:space="0" w:color="auto"/>
              <w:bottom w:val="single" w:sz="4" w:space="0" w:color="auto"/>
              <w:right w:val="single" w:sz="4" w:space="0" w:color="auto"/>
            </w:tcBorders>
            <w:noWrap/>
            <w:vAlign w:val="center"/>
          </w:tcPr>
          <w:p w:rsidR="005514C8" w:rsidRPr="005514C8" w:rsidRDefault="005514C8">
            <w:pPr>
              <w:widowControl w:val="0"/>
              <w:jc w:val="right"/>
              <w:rPr>
                <w:color w:val="000000"/>
              </w:rPr>
            </w:pPr>
            <w:r w:rsidRPr="005514C8">
              <w:rPr>
                <w:color w:val="000000"/>
              </w:rPr>
              <w:t>0.0</w:t>
            </w:r>
          </w:p>
        </w:tc>
        <w:tc>
          <w:tcPr>
            <w:tcW w:w="529" w:type="pct"/>
            <w:tcBorders>
              <w:top w:val="single" w:sz="4" w:space="0" w:color="auto"/>
              <w:left w:val="single" w:sz="4" w:space="0" w:color="auto"/>
              <w:bottom w:val="single" w:sz="4" w:space="0" w:color="auto"/>
              <w:right w:val="single" w:sz="4" w:space="0" w:color="auto"/>
            </w:tcBorders>
          </w:tcPr>
          <w:p w:rsidR="005514C8" w:rsidRPr="005514C8" w:rsidRDefault="005514C8">
            <w:pPr>
              <w:widowControl w:val="0"/>
              <w:jc w:val="right"/>
              <w:rPr>
                <w:color w:val="000000"/>
              </w:rPr>
            </w:pPr>
            <w:r w:rsidRPr="005514C8">
              <w:rPr>
                <w:color w:val="000000"/>
              </w:rPr>
              <w:t>0.44</w:t>
            </w:r>
          </w:p>
        </w:tc>
        <w:tc>
          <w:tcPr>
            <w:tcW w:w="530" w:type="pct"/>
            <w:tcBorders>
              <w:top w:val="single" w:sz="4" w:space="0" w:color="auto"/>
              <w:left w:val="single" w:sz="4" w:space="0" w:color="auto"/>
              <w:bottom w:val="single" w:sz="4" w:space="0" w:color="auto"/>
              <w:right w:val="single" w:sz="4" w:space="0" w:color="auto"/>
            </w:tcBorders>
          </w:tcPr>
          <w:p w:rsidR="005514C8" w:rsidRPr="005514C8" w:rsidRDefault="005514C8">
            <w:pPr>
              <w:widowControl w:val="0"/>
              <w:jc w:val="right"/>
              <w:rPr>
                <w:color w:val="000000"/>
              </w:rPr>
            </w:pPr>
            <w:r w:rsidRPr="005514C8">
              <w:rPr>
                <w:color w:val="000000"/>
              </w:rPr>
              <w:t>0.0</w:t>
            </w:r>
          </w:p>
        </w:tc>
        <w:tc>
          <w:tcPr>
            <w:tcW w:w="671" w:type="pct"/>
            <w:tcBorders>
              <w:top w:val="single" w:sz="4" w:space="0" w:color="auto"/>
              <w:left w:val="single" w:sz="4" w:space="0" w:color="auto"/>
              <w:bottom w:val="single" w:sz="4" w:space="0" w:color="auto"/>
              <w:right w:val="single" w:sz="4" w:space="0" w:color="auto"/>
            </w:tcBorders>
            <w:noWrap/>
            <w:vAlign w:val="center"/>
          </w:tcPr>
          <w:p w:rsidR="005514C8" w:rsidRPr="005514C8" w:rsidRDefault="005514C8">
            <w:pPr>
              <w:widowControl w:val="0"/>
              <w:jc w:val="right"/>
              <w:rPr>
                <w:color w:val="000000"/>
              </w:rPr>
            </w:pPr>
            <w:proofErr w:type="spellStart"/>
            <w:r w:rsidRPr="005514C8">
              <w:rPr>
                <w:color w:val="000000"/>
              </w:rPr>
              <w:t>不适用</w:t>
            </w:r>
            <w:proofErr w:type="spellEnd"/>
          </w:p>
        </w:tc>
      </w:tr>
      <w:tr w:rsidR="005514C8" w:rsidRPr="005514C8">
        <w:tc>
          <w:tcPr>
            <w:tcW w:w="1682" w:type="pct"/>
            <w:tcBorders>
              <w:top w:val="single" w:sz="4" w:space="0" w:color="auto"/>
              <w:left w:val="single" w:sz="4" w:space="0" w:color="auto"/>
              <w:bottom w:val="single" w:sz="4" w:space="0" w:color="auto"/>
              <w:right w:val="single" w:sz="4" w:space="0" w:color="auto"/>
            </w:tcBorders>
            <w:noWrap/>
            <w:tcMar>
              <w:left w:w="43" w:type="dxa"/>
              <w:right w:w="43" w:type="dxa"/>
            </w:tcMar>
          </w:tcPr>
          <w:p w:rsidR="005514C8" w:rsidRPr="005514C8" w:rsidRDefault="005514C8">
            <w:pPr>
              <w:jc w:val="left"/>
              <w:rPr>
                <w:b/>
              </w:rPr>
            </w:pPr>
            <w:proofErr w:type="spellStart"/>
            <w:r w:rsidRPr="005514C8">
              <w:rPr>
                <w:b/>
              </w:rPr>
              <w:t>总计</w:t>
            </w:r>
            <w:proofErr w:type="spellEnd"/>
            <w:r w:rsidRPr="005514C8">
              <w:rPr>
                <w:b/>
              </w:rPr>
              <w:t>（</w:t>
            </w:r>
            <w:r w:rsidRPr="005514C8">
              <w:rPr>
                <w:b/>
              </w:rPr>
              <w:t>ODP</w:t>
            </w:r>
            <w:r w:rsidRPr="005514C8">
              <w:rPr>
                <w:b/>
              </w:rPr>
              <w:t>吨）</w:t>
            </w:r>
          </w:p>
        </w:tc>
        <w:tc>
          <w:tcPr>
            <w:tcW w:w="529" w:type="pct"/>
            <w:tcBorders>
              <w:top w:val="single" w:sz="4" w:space="0" w:color="auto"/>
              <w:left w:val="single" w:sz="4" w:space="0" w:color="auto"/>
              <w:bottom w:val="single" w:sz="4" w:space="0" w:color="auto"/>
              <w:right w:val="single" w:sz="4" w:space="0" w:color="auto"/>
            </w:tcBorders>
            <w:noWrap/>
            <w:vAlign w:val="center"/>
          </w:tcPr>
          <w:p w:rsidR="005514C8" w:rsidRPr="005514C8" w:rsidRDefault="005514C8">
            <w:pPr>
              <w:widowControl w:val="0"/>
              <w:jc w:val="right"/>
              <w:rPr>
                <w:b/>
                <w:color w:val="000000"/>
              </w:rPr>
            </w:pPr>
            <w:r w:rsidRPr="005514C8">
              <w:rPr>
                <w:b/>
                <w:color w:val="000000"/>
              </w:rPr>
              <w:t>17.09</w:t>
            </w:r>
          </w:p>
        </w:tc>
        <w:tc>
          <w:tcPr>
            <w:tcW w:w="529" w:type="pct"/>
            <w:tcBorders>
              <w:top w:val="single" w:sz="4" w:space="0" w:color="auto"/>
              <w:left w:val="single" w:sz="4" w:space="0" w:color="auto"/>
              <w:bottom w:val="single" w:sz="4" w:space="0" w:color="auto"/>
              <w:right w:val="single" w:sz="4" w:space="0" w:color="auto"/>
            </w:tcBorders>
            <w:noWrap/>
            <w:vAlign w:val="center"/>
          </w:tcPr>
          <w:p w:rsidR="005514C8" w:rsidRPr="005514C8" w:rsidRDefault="005514C8">
            <w:pPr>
              <w:widowControl w:val="0"/>
              <w:jc w:val="right"/>
              <w:rPr>
                <w:b/>
                <w:color w:val="000000"/>
              </w:rPr>
            </w:pPr>
            <w:r w:rsidRPr="005514C8">
              <w:rPr>
                <w:b/>
                <w:color w:val="000000"/>
              </w:rPr>
              <w:t>15.96</w:t>
            </w:r>
          </w:p>
        </w:tc>
        <w:tc>
          <w:tcPr>
            <w:tcW w:w="529" w:type="pct"/>
            <w:tcBorders>
              <w:top w:val="single" w:sz="4" w:space="0" w:color="auto"/>
              <w:left w:val="single" w:sz="4" w:space="0" w:color="auto"/>
              <w:bottom w:val="single" w:sz="4" w:space="0" w:color="auto"/>
              <w:right w:val="single" w:sz="4" w:space="0" w:color="auto"/>
            </w:tcBorders>
            <w:noWrap/>
            <w:vAlign w:val="center"/>
          </w:tcPr>
          <w:p w:rsidR="005514C8" w:rsidRPr="005514C8" w:rsidRDefault="005514C8">
            <w:pPr>
              <w:widowControl w:val="0"/>
              <w:jc w:val="right"/>
              <w:rPr>
                <w:b/>
                <w:color w:val="000000"/>
              </w:rPr>
            </w:pPr>
            <w:r w:rsidRPr="005514C8">
              <w:rPr>
                <w:b/>
                <w:color w:val="000000"/>
              </w:rPr>
              <w:t>15.54</w:t>
            </w:r>
          </w:p>
        </w:tc>
        <w:tc>
          <w:tcPr>
            <w:tcW w:w="529" w:type="pct"/>
            <w:tcBorders>
              <w:top w:val="single" w:sz="4" w:space="0" w:color="auto"/>
              <w:left w:val="single" w:sz="4" w:space="0" w:color="auto"/>
              <w:bottom w:val="single" w:sz="4" w:space="0" w:color="auto"/>
              <w:right w:val="single" w:sz="4" w:space="0" w:color="auto"/>
            </w:tcBorders>
          </w:tcPr>
          <w:p w:rsidR="005514C8" w:rsidRPr="005514C8" w:rsidRDefault="005514C8">
            <w:pPr>
              <w:jc w:val="right"/>
              <w:rPr>
                <w:b/>
                <w:color w:val="000000"/>
              </w:rPr>
            </w:pPr>
            <w:r w:rsidRPr="005514C8">
              <w:rPr>
                <w:b/>
                <w:color w:val="000000"/>
              </w:rPr>
              <w:t>15.16</w:t>
            </w:r>
          </w:p>
        </w:tc>
        <w:tc>
          <w:tcPr>
            <w:tcW w:w="530" w:type="pct"/>
            <w:tcBorders>
              <w:top w:val="single" w:sz="4" w:space="0" w:color="auto"/>
              <w:left w:val="single" w:sz="4" w:space="0" w:color="auto"/>
              <w:bottom w:val="single" w:sz="4" w:space="0" w:color="auto"/>
              <w:right w:val="single" w:sz="4" w:space="0" w:color="auto"/>
            </w:tcBorders>
          </w:tcPr>
          <w:p w:rsidR="005514C8" w:rsidRPr="005514C8" w:rsidRDefault="005514C8">
            <w:pPr>
              <w:jc w:val="right"/>
              <w:rPr>
                <w:b/>
                <w:color w:val="000000"/>
              </w:rPr>
            </w:pPr>
            <w:r w:rsidRPr="005514C8">
              <w:rPr>
                <w:b/>
                <w:color w:val="000000"/>
              </w:rPr>
              <w:t>13.49</w:t>
            </w:r>
          </w:p>
        </w:tc>
        <w:tc>
          <w:tcPr>
            <w:tcW w:w="671" w:type="pct"/>
            <w:tcBorders>
              <w:top w:val="single" w:sz="4" w:space="0" w:color="auto"/>
              <w:left w:val="single" w:sz="4" w:space="0" w:color="auto"/>
              <w:bottom w:val="single" w:sz="4" w:space="0" w:color="auto"/>
              <w:right w:val="single" w:sz="4" w:space="0" w:color="auto"/>
            </w:tcBorders>
            <w:noWrap/>
          </w:tcPr>
          <w:p w:rsidR="005514C8" w:rsidRPr="005514C8" w:rsidRDefault="005514C8">
            <w:pPr>
              <w:jc w:val="right"/>
              <w:rPr>
                <w:b/>
                <w:color w:val="000000"/>
              </w:rPr>
            </w:pPr>
            <w:r w:rsidRPr="005514C8">
              <w:rPr>
                <w:b/>
                <w:color w:val="000000"/>
              </w:rPr>
              <w:t>23.8</w:t>
            </w:r>
          </w:p>
        </w:tc>
      </w:tr>
    </w:tbl>
    <w:p w:rsidR="005514C8" w:rsidRDefault="005514C8"/>
    <w:p w:rsidR="005514C8" w:rsidRDefault="00D951FA" w:rsidP="00025908">
      <w:pPr>
        <w:pStyle w:val="Heading1"/>
        <w:rPr>
          <w:lang w:eastAsia="zh-CN"/>
        </w:rPr>
      </w:pPr>
      <w:r>
        <w:rPr>
          <w:lang w:val="zh-CN" w:eastAsia="zh-CN"/>
        </w:rPr>
        <w:t>自</w:t>
      </w:r>
      <w:r>
        <w:rPr>
          <w:lang w:val="zh-CN" w:eastAsia="zh-CN"/>
        </w:rPr>
        <w:t>2013</w:t>
      </w:r>
      <w:r>
        <w:rPr>
          <w:lang w:val="zh-CN" w:eastAsia="zh-CN"/>
        </w:rPr>
        <w:t>年以来</w:t>
      </w:r>
      <w:r>
        <w:rPr>
          <w:rFonts w:hint="eastAsia"/>
          <w:lang w:val="zh-CN" w:eastAsia="zh-CN"/>
        </w:rPr>
        <w:t>，</w:t>
      </w:r>
      <w:r w:rsidR="00B3458A">
        <w:rPr>
          <w:rFonts w:hint="eastAsia"/>
          <w:lang w:val="zh-CN" w:eastAsia="zh-CN"/>
        </w:rPr>
        <w:t>由于</w:t>
      </w:r>
      <w:r w:rsidR="00B3458A">
        <w:rPr>
          <w:lang w:val="zh-CN" w:eastAsia="zh-CN"/>
        </w:rPr>
        <w:t>氟氯烃淘汰管理计划活动（包括执行许可和配额制度）</w:t>
      </w:r>
      <w:r w:rsidR="00B3458A">
        <w:rPr>
          <w:rFonts w:hint="eastAsia"/>
          <w:lang w:val="zh-CN" w:eastAsia="zh-CN"/>
        </w:rPr>
        <w:t>的实施</w:t>
      </w:r>
      <w:r w:rsidR="00B3458A">
        <w:rPr>
          <w:lang w:val="zh-CN" w:eastAsia="zh-CN"/>
        </w:rPr>
        <w:t>、技术人员执行良好维修和维护</w:t>
      </w:r>
      <w:r w:rsidR="009E2E64">
        <w:rPr>
          <w:rFonts w:hint="eastAsia"/>
          <w:lang w:val="zh-CN" w:eastAsia="zh-CN"/>
        </w:rPr>
        <w:t>实务</w:t>
      </w:r>
      <w:r w:rsidR="00B3458A">
        <w:rPr>
          <w:lang w:val="zh-CN" w:eastAsia="zh-CN"/>
        </w:rPr>
        <w:t>，以及氟氯烃替代品（主要是</w:t>
      </w:r>
      <w:r w:rsidR="00025908" w:rsidRPr="00025908">
        <w:rPr>
          <w:rFonts w:hint="eastAsia"/>
          <w:lang w:val="zh-CN" w:eastAsia="zh-CN"/>
        </w:rPr>
        <w:t>含氢氟烃</w:t>
      </w:r>
      <w:r w:rsidR="00025908">
        <w:rPr>
          <w:rFonts w:hint="eastAsia"/>
          <w:lang w:val="zh-CN" w:eastAsia="zh-CN"/>
        </w:rPr>
        <w:t>（</w:t>
      </w:r>
      <w:r w:rsidR="00B3458A">
        <w:rPr>
          <w:lang w:val="zh-CN" w:eastAsia="zh-CN"/>
        </w:rPr>
        <w:t>HFC</w:t>
      </w:r>
      <w:r w:rsidR="00B3458A">
        <w:rPr>
          <w:lang w:val="zh-CN" w:eastAsia="zh-CN"/>
        </w:rPr>
        <w:t>）</w:t>
      </w:r>
      <w:r w:rsidR="00025908">
        <w:rPr>
          <w:rFonts w:hint="eastAsia"/>
          <w:lang w:val="zh-CN" w:eastAsia="zh-CN"/>
        </w:rPr>
        <w:t>）</w:t>
      </w:r>
      <w:r w:rsidR="00B3458A">
        <w:rPr>
          <w:rFonts w:hint="eastAsia"/>
          <w:lang w:val="zh-CN" w:eastAsia="zh-CN"/>
        </w:rPr>
        <w:t>的使用</w:t>
      </w:r>
      <w:r>
        <w:rPr>
          <w:rFonts w:hint="eastAsia"/>
          <w:lang w:val="zh-CN" w:eastAsia="zh-CN"/>
        </w:rPr>
        <w:t>增加，</w:t>
      </w:r>
      <w:r w:rsidR="005514C8">
        <w:rPr>
          <w:lang w:val="zh-CN" w:eastAsia="zh-CN"/>
        </w:rPr>
        <w:t>仅用于制冷和空调（</w:t>
      </w:r>
      <w:r w:rsidR="005514C8">
        <w:rPr>
          <w:lang w:val="zh-CN" w:eastAsia="zh-CN"/>
        </w:rPr>
        <w:t>RAC</w:t>
      </w:r>
      <w:r w:rsidR="005514C8">
        <w:rPr>
          <w:lang w:val="zh-CN" w:eastAsia="zh-CN"/>
        </w:rPr>
        <w:t>）设备的维修和维护</w:t>
      </w:r>
      <w:r w:rsidR="00B3458A">
        <w:rPr>
          <w:rFonts w:hint="eastAsia"/>
          <w:lang w:val="zh-CN" w:eastAsia="zh-CN"/>
        </w:rPr>
        <w:t>的</w:t>
      </w:r>
      <w:r w:rsidR="00B3458A">
        <w:rPr>
          <w:lang w:val="zh-CN" w:eastAsia="zh-CN"/>
        </w:rPr>
        <w:t>HCFC-22</w:t>
      </w:r>
      <w:r w:rsidR="005514C8">
        <w:rPr>
          <w:lang w:val="zh-CN" w:eastAsia="zh-CN"/>
        </w:rPr>
        <w:t>的使用量一直在减少。</w:t>
      </w:r>
      <w:r w:rsidR="009E2E64">
        <w:rPr>
          <w:rFonts w:hint="eastAsia"/>
          <w:lang w:val="zh-CN" w:eastAsia="zh-CN"/>
        </w:rPr>
        <w:t>联合国</w:t>
      </w:r>
      <w:r w:rsidR="005514C8">
        <w:rPr>
          <w:lang w:val="zh-CN" w:eastAsia="zh-CN"/>
        </w:rPr>
        <w:t>环境规划署报告称，</w:t>
      </w:r>
      <w:r w:rsidR="005514C8">
        <w:rPr>
          <w:lang w:val="zh-CN" w:eastAsia="zh-CN"/>
        </w:rPr>
        <w:t>2020</w:t>
      </w:r>
      <w:r w:rsidR="005514C8">
        <w:rPr>
          <w:lang w:val="zh-CN" w:eastAsia="zh-CN"/>
        </w:rPr>
        <w:t>年进口的</w:t>
      </w:r>
      <w:r w:rsidR="009E2E64">
        <w:rPr>
          <w:lang w:val="zh-CN" w:eastAsia="zh-CN"/>
        </w:rPr>
        <w:t>制冷和空调</w:t>
      </w:r>
      <w:r w:rsidR="005514C8">
        <w:rPr>
          <w:lang w:val="zh-CN" w:eastAsia="zh-CN"/>
        </w:rPr>
        <w:t>设备中只有</w:t>
      </w:r>
      <w:r w:rsidR="005514C8">
        <w:rPr>
          <w:lang w:val="zh-CN" w:eastAsia="zh-CN"/>
        </w:rPr>
        <w:t>30%</w:t>
      </w:r>
      <w:r w:rsidR="005514C8">
        <w:rPr>
          <w:lang w:val="zh-CN" w:eastAsia="zh-CN"/>
        </w:rPr>
        <w:t>是</w:t>
      </w:r>
      <w:r w:rsidR="009E2E64">
        <w:rPr>
          <w:rFonts w:hint="eastAsia"/>
          <w:lang w:val="zh-CN" w:eastAsia="zh-CN"/>
        </w:rPr>
        <w:t>含</w:t>
      </w:r>
      <w:r w:rsidR="005514C8">
        <w:rPr>
          <w:lang w:val="zh-CN" w:eastAsia="zh-CN"/>
        </w:rPr>
        <w:t>氟氯烃</w:t>
      </w:r>
      <w:r w:rsidR="009E2E64">
        <w:rPr>
          <w:rFonts w:hint="eastAsia"/>
          <w:lang w:val="zh-CN" w:eastAsia="zh-CN"/>
        </w:rPr>
        <w:t>的设备</w:t>
      </w:r>
      <w:r w:rsidR="005514C8">
        <w:rPr>
          <w:lang w:val="zh-CN" w:eastAsia="zh-CN"/>
        </w:rPr>
        <w:t>，并指出，由于该国制定了新的空调设备能效标准，因此截至</w:t>
      </w:r>
      <w:r w:rsidR="005514C8">
        <w:rPr>
          <w:lang w:val="zh-CN" w:eastAsia="zh-CN"/>
        </w:rPr>
        <w:t>2020</w:t>
      </w:r>
      <w:r w:rsidR="005514C8">
        <w:rPr>
          <w:lang w:val="zh-CN" w:eastAsia="zh-CN"/>
        </w:rPr>
        <w:t>年</w:t>
      </w:r>
      <w:r w:rsidR="005514C8">
        <w:rPr>
          <w:lang w:val="zh-CN" w:eastAsia="zh-CN"/>
        </w:rPr>
        <w:t>6</w:t>
      </w:r>
      <w:r w:rsidR="005514C8">
        <w:rPr>
          <w:lang w:val="zh-CN" w:eastAsia="zh-CN"/>
        </w:rPr>
        <w:t>月，</w:t>
      </w:r>
      <w:r w:rsidR="005514C8">
        <w:rPr>
          <w:rFonts w:hint="eastAsia"/>
          <w:lang w:val="en-US" w:eastAsia="zh-CN"/>
        </w:rPr>
        <w:t>此类</w:t>
      </w:r>
      <w:r w:rsidR="005514C8">
        <w:rPr>
          <w:lang w:val="zh-CN" w:eastAsia="zh-CN"/>
        </w:rPr>
        <w:t>设备的进口有所减少，这使得</w:t>
      </w:r>
      <w:r w:rsidR="00C8675B">
        <w:rPr>
          <w:rFonts w:hint="eastAsia"/>
          <w:lang w:val="zh-CN" w:eastAsia="zh-CN"/>
        </w:rPr>
        <w:t>不</w:t>
      </w:r>
      <w:r w:rsidR="0016073F">
        <w:rPr>
          <w:lang w:val="zh-CN" w:eastAsia="zh-CN"/>
        </w:rPr>
        <w:t>含</w:t>
      </w:r>
      <w:r w:rsidR="005514C8">
        <w:rPr>
          <w:lang w:val="zh-CN" w:eastAsia="zh-CN"/>
        </w:rPr>
        <w:t>氟氯烃替代品的</w:t>
      </w:r>
      <w:r w:rsidR="00C8675B">
        <w:rPr>
          <w:lang w:val="zh-CN" w:eastAsia="zh-CN"/>
        </w:rPr>
        <w:t>制冷和空调</w:t>
      </w:r>
      <w:r w:rsidR="00C8675B">
        <w:rPr>
          <w:rFonts w:hint="eastAsia"/>
          <w:lang w:val="zh-CN" w:eastAsia="zh-CN"/>
        </w:rPr>
        <w:t>应用</w:t>
      </w:r>
      <w:r w:rsidR="005514C8">
        <w:rPr>
          <w:lang w:val="zh-CN" w:eastAsia="zh-CN"/>
        </w:rPr>
        <w:t>出现增</w:t>
      </w:r>
      <w:r w:rsidR="00C8675B">
        <w:rPr>
          <w:rFonts w:hint="eastAsia"/>
          <w:lang w:val="zh-CN" w:eastAsia="zh-CN"/>
        </w:rPr>
        <w:t>长</w:t>
      </w:r>
      <w:r w:rsidR="005514C8">
        <w:rPr>
          <w:lang w:val="zh-CN" w:eastAsia="zh-CN"/>
        </w:rPr>
        <w:t>，其中主要是</w:t>
      </w:r>
      <w:r w:rsidR="00025908">
        <w:rPr>
          <w:rFonts w:hint="eastAsia"/>
          <w:lang w:val="zh-CN" w:eastAsia="zh-CN"/>
        </w:rPr>
        <w:t>使用</w:t>
      </w:r>
      <w:r w:rsidR="00025908">
        <w:rPr>
          <w:lang w:val="zh-CN" w:eastAsia="zh-CN"/>
        </w:rPr>
        <w:t>含氢氟烃</w:t>
      </w:r>
      <w:r w:rsidR="00C8675B">
        <w:rPr>
          <w:rFonts w:hint="eastAsia"/>
          <w:lang w:val="zh-CN" w:eastAsia="zh-CN"/>
        </w:rPr>
        <w:t>的</w:t>
      </w:r>
      <w:r w:rsidR="005514C8">
        <w:rPr>
          <w:lang w:val="zh-CN" w:eastAsia="zh-CN"/>
        </w:rPr>
        <w:t>制冷剂（例如</w:t>
      </w:r>
      <w:r w:rsidR="005514C8">
        <w:rPr>
          <w:lang w:val="zh-CN" w:eastAsia="zh-CN"/>
        </w:rPr>
        <w:t>R-410A</w:t>
      </w:r>
      <w:r w:rsidR="005514C8">
        <w:rPr>
          <w:lang w:val="zh-CN" w:eastAsia="zh-CN"/>
        </w:rPr>
        <w:t>、</w:t>
      </w:r>
      <w:r w:rsidR="005514C8">
        <w:rPr>
          <w:lang w:val="zh-CN" w:eastAsia="zh-CN"/>
        </w:rPr>
        <w:t>R-407C</w:t>
      </w:r>
      <w:r w:rsidR="005514C8">
        <w:rPr>
          <w:lang w:val="zh-CN" w:eastAsia="zh-CN"/>
        </w:rPr>
        <w:t>、</w:t>
      </w:r>
      <w:r w:rsidR="005514C8">
        <w:rPr>
          <w:lang w:val="zh-CN" w:eastAsia="zh-CN"/>
        </w:rPr>
        <w:t>HFC134a</w:t>
      </w:r>
      <w:r w:rsidR="005514C8">
        <w:rPr>
          <w:lang w:val="zh-CN" w:eastAsia="zh-CN"/>
        </w:rPr>
        <w:t>、</w:t>
      </w:r>
      <w:r w:rsidR="005514C8">
        <w:rPr>
          <w:lang w:val="zh-CN" w:eastAsia="zh-CN"/>
        </w:rPr>
        <w:t>HFC-32</w:t>
      </w:r>
      <w:r w:rsidR="005514C8">
        <w:rPr>
          <w:lang w:val="zh-CN" w:eastAsia="zh-CN"/>
        </w:rPr>
        <w:t>和</w:t>
      </w:r>
      <w:r w:rsidR="005514C8">
        <w:rPr>
          <w:lang w:val="zh-CN" w:eastAsia="zh-CN"/>
        </w:rPr>
        <w:t>R-404A</w:t>
      </w:r>
      <w:r w:rsidR="005514C8">
        <w:rPr>
          <w:lang w:val="zh-CN" w:eastAsia="zh-CN"/>
        </w:rPr>
        <w:t>），</w:t>
      </w:r>
      <w:r w:rsidR="00C8675B">
        <w:rPr>
          <w:rFonts w:hint="eastAsia"/>
          <w:lang w:val="zh-CN" w:eastAsia="zh-CN"/>
        </w:rPr>
        <w:t>以及</w:t>
      </w:r>
      <w:r w:rsidR="005514C8">
        <w:rPr>
          <w:lang w:val="zh-CN" w:eastAsia="zh-CN"/>
        </w:rPr>
        <w:t>一些</w:t>
      </w:r>
      <w:r w:rsidR="00C8675B">
        <w:rPr>
          <w:rFonts w:hint="eastAsia"/>
          <w:lang w:val="zh-CN" w:eastAsia="zh-CN"/>
        </w:rPr>
        <w:t>含</w:t>
      </w:r>
      <w:r w:rsidR="005514C8">
        <w:rPr>
          <w:lang w:val="zh-CN" w:eastAsia="zh-CN"/>
        </w:rPr>
        <w:t>R290</w:t>
      </w:r>
      <w:r w:rsidR="00C8675B">
        <w:rPr>
          <w:rFonts w:hint="eastAsia"/>
          <w:lang w:val="zh-CN" w:eastAsia="zh-CN"/>
        </w:rPr>
        <w:t>的</w:t>
      </w:r>
      <w:r w:rsidR="005514C8">
        <w:rPr>
          <w:lang w:val="zh-CN" w:eastAsia="zh-CN"/>
        </w:rPr>
        <w:t>设备。</w:t>
      </w:r>
      <w:r w:rsidR="005514C8">
        <w:rPr>
          <w:lang w:val="zh-CN" w:eastAsia="zh-CN"/>
        </w:rPr>
        <w:t>2019</w:t>
      </w:r>
      <w:r w:rsidR="005514C8">
        <w:rPr>
          <w:lang w:val="zh-CN" w:eastAsia="zh-CN"/>
        </w:rPr>
        <w:t>年</w:t>
      </w:r>
      <w:r w:rsidR="00C8675B">
        <w:rPr>
          <w:rFonts w:hint="eastAsia"/>
          <w:lang w:val="zh-CN" w:eastAsia="zh-CN"/>
        </w:rPr>
        <w:t>，</w:t>
      </w:r>
      <w:r w:rsidR="00C8675B">
        <w:rPr>
          <w:lang w:val="zh-CN" w:eastAsia="zh-CN"/>
        </w:rPr>
        <w:t>该国</w:t>
      </w:r>
      <w:r w:rsidR="005514C8">
        <w:rPr>
          <w:lang w:val="zh-CN" w:eastAsia="zh-CN"/>
        </w:rPr>
        <w:t>进口了少量</w:t>
      </w:r>
      <w:r w:rsidR="005514C8">
        <w:rPr>
          <w:lang w:val="zh-CN" w:eastAsia="zh-CN"/>
        </w:rPr>
        <w:t>HCFC-142b</w:t>
      </w:r>
      <w:r w:rsidR="00C8675B">
        <w:rPr>
          <w:rFonts w:hint="eastAsia"/>
          <w:lang w:val="zh-CN" w:eastAsia="zh-CN"/>
        </w:rPr>
        <w:t>用作</w:t>
      </w:r>
      <w:r w:rsidR="00C8675B">
        <w:rPr>
          <w:lang w:val="zh-CN" w:eastAsia="zh-CN"/>
        </w:rPr>
        <w:t>混合物（</w:t>
      </w:r>
      <w:r w:rsidR="00C8675B">
        <w:rPr>
          <w:lang w:val="zh-CN" w:eastAsia="zh-CN"/>
        </w:rPr>
        <w:t>R-409A</w:t>
      </w:r>
      <w:r w:rsidR="00C8675B">
        <w:rPr>
          <w:lang w:val="zh-CN" w:eastAsia="zh-CN"/>
        </w:rPr>
        <w:t>）</w:t>
      </w:r>
      <w:r w:rsidR="00C8675B">
        <w:rPr>
          <w:rFonts w:hint="eastAsia"/>
          <w:lang w:val="zh-CN" w:eastAsia="zh-CN"/>
        </w:rPr>
        <w:t>的成分</w:t>
      </w:r>
      <w:r w:rsidR="005514C8">
        <w:rPr>
          <w:lang w:val="zh-CN" w:eastAsia="zh-CN"/>
        </w:rPr>
        <w:t>，</w:t>
      </w:r>
      <w:r w:rsidR="00C8675B">
        <w:rPr>
          <w:rFonts w:hint="eastAsia"/>
          <w:lang w:val="zh-CN" w:eastAsia="zh-CN"/>
        </w:rPr>
        <w:t>该类混合物</w:t>
      </w:r>
      <w:r w:rsidR="005514C8">
        <w:rPr>
          <w:lang w:val="zh-CN" w:eastAsia="zh-CN"/>
        </w:rPr>
        <w:t>用于某些制冷设备（即自动售货机）。</w:t>
      </w:r>
    </w:p>
    <w:p w:rsidR="005514C8" w:rsidRDefault="005514C8">
      <w:pPr>
        <w:pStyle w:val="Heading1"/>
        <w:numPr>
          <w:ilvl w:val="0"/>
          <w:numId w:val="0"/>
        </w:numPr>
        <w:tabs>
          <w:tab w:val="left" w:pos="0"/>
        </w:tabs>
        <w:rPr>
          <w:lang w:eastAsia="zh-CN"/>
        </w:rPr>
      </w:pPr>
      <w:r>
        <w:rPr>
          <w:i/>
          <w:lang w:val="zh-CN" w:eastAsia="zh-CN"/>
        </w:rPr>
        <w:t>国家方案（</w:t>
      </w:r>
      <w:r>
        <w:rPr>
          <w:i/>
          <w:lang w:val="zh-CN" w:eastAsia="zh-CN"/>
        </w:rPr>
        <w:t>CP</w:t>
      </w:r>
      <w:r>
        <w:rPr>
          <w:i/>
          <w:lang w:val="zh-CN" w:eastAsia="zh-CN"/>
        </w:rPr>
        <w:t>）执行报告</w:t>
      </w:r>
      <w:r>
        <w:rPr>
          <w:i/>
          <w:lang w:val="zh-CN" w:eastAsia="zh-CN"/>
        </w:rPr>
        <w:t xml:space="preserve"> </w:t>
      </w:r>
    </w:p>
    <w:p w:rsidR="005514C8" w:rsidRDefault="005514C8">
      <w:pPr>
        <w:pStyle w:val="Heading1"/>
        <w:tabs>
          <w:tab w:val="left" w:pos="0"/>
        </w:tabs>
        <w:rPr>
          <w:lang w:eastAsia="zh-CN"/>
        </w:rPr>
      </w:pPr>
      <w:r>
        <w:rPr>
          <w:lang w:val="zh-CN" w:eastAsia="zh-CN"/>
        </w:rPr>
        <w:t>根据</w:t>
      </w:r>
      <w:r>
        <w:rPr>
          <w:lang w:val="zh-CN" w:eastAsia="zh-CN"/>
        </w:rPr>
        <w:t>2020</w:t>
      </w:r>
      <w:r>
        <w:rPr>
          <w:lang w:val="zh-CN" w:eastAsia="zh-CN"/>
        </w:rPr>
        <w:t>年</w:t>
      </w:r>
      <w:r w:rsidR="001F2B5E">
        <w:rPr>
          <w:rFonts w:hint="eastAsia"/>
          <w:lang w:val="zh-CN" w:eastAsia="zh-CN"/>
        </w:rPr>
        <w:t>国家方案</w:t>
      </w:r>
      <w:r>
        <w:rPr>
          <w:lang w:val="zh-CN" w:eastAsia="zh-CN"/>
        </w:rPr>
        <w:t>执行报告，贝宁政府</w:t>
      </w:r>
      <w:r w:rsidR="001F2B5E">
        <w:rPr>
          <w:rFonts w:hint="eastAsia"/>
          <w:lang w:val="zh-CN" w:eastAsia="zh-CN"/>
        </w:rPr>
        <w:t>就</w:t>
      </w:r>
      <w:r>
        <w:rPr>
          <w:lang w:val="zh-CN" w:eastAsia="zh-CN"/>
        </w:rPr>
        <w:t>氟氯烃行业消费数据</w:t>
      </w:r>
      <w:r w:rsidR="00247771">
        <w:rPr>
          <w:rFonts w:hint="eastAsia"/>
          <w:lang w:val="zh-CN" w:eastAsia="zh-CN"/>
        </w:rPr>
        <w:t>做出</w:t>
      </w:r>
      <w:r w:rsidR="001F2B5E">
        <w:rPr>
          <w:rFonts w:hint="eastAsia"/>
          <w:lang w:val="zh-CN" w:eastAsia="zh-CN"/>
        </w:rPr>
        <w:t>报告</w:t>
      </w:r>
      <w:r>
        <w:rPr>
          <w:lang w:val="zh-CN" w:eastAsia="zh-CN"/>
        </w:rPr>
        <w:t>，该数据与根据《蒙特利尔议定书》第</w:t>
      </w:r>
      <w:r>
        <w:rPr>
          <w:lang w:val="zh-CN" w:eastAsia="zh-CN"/>
        </w:rPr>
        <w:t>7</w:t>
      </w:r>
      <w:r>
        <w:rPr>
          <w:lang w:val="zh-CN" w:eastAsia="zh-CN"/>
        </w:rPr>
        <w:t>条报告的数据相</w:t>
      </w:r>
      <w:r w:rsidR="001F2B5E">
        <w:rPr>
          <w:rFonts w:hint="eastAsia"/>
          <w:lang w:val="zh-CN" w:eastAsia="zh-CN"/>
        </w:rPr>
        <w:t>符</w:t>
      </w:r>
      <w:r>
        <w:rPr>
          <w:lang w:val="zh-CN" w:eastAsia="zh-CN"/>
        </w:rPr>
        <w:t>。</w:t>
      </w:r>
      <w:r>
        <w:rPr>
          <w:lang w:val="zh-CN" w:eastAsia="zh-CN"/>
        </w:rPr>
        <w:t xml:space="preserve"> </w:t>
      </w:r>
    </w:p>
    <w:p w:rsidR="005514C8" w:rsidRDefault="005514C8">
      <w:pPr>
        <w:rPr>
          <w:u w:val="single"/>
          <w:lang w:eastAsia="zh-CN"/>
        </w:rPr>
      </w:pPr>
      <w:r>
        <w:rPr>
          <w:u w:val="single"/>
          <w:lang w:val="zh-CN" w:eastAsia="zh-CN"/>
        </w:rPr>
        <w:t>氟氯烃淘汰管理计划第四次</w:t>
      </w:r>
      <w:r w:rsidR="0002589C">
        <w:rPr>
          <w:u w:val="single"/>
          <w:lang w:val="zh-CN" w:eastAsia="zh-CN"/>
        </w:rPr>
        <w:t>拨款</w:t>
      </w:r>
      <w:r>
        <w:rPr>
          <w:u w:val="single"/>
          <w:lang w:val="zh-CN" w:eastAsia="zh-CN"/>
        </w:rPr>
        <w:t>的执行进度报告</w:t>
      </w:r>
    </w:p>
    <w:p w:rsidR="005514C8" w:rsidRDefault="005514C8">
      <w:pPr>
        <w:rPr>
          <w:lang w:eastAsia="zh-CN"/>
        </w:rPr>
      </w:pPr>
    </w:p>
    <w:p w:rsidR="005514C8" w:rsidRDefault="005514C8">
      <w:pPr>
        <w:rPr>
          <w:i/>
        </w:rPr>
      </w:pPr>
      <w:r>
        <w:rPr>
          <w:i/>
          <w:lang w:val="zh-CN" w:eastAsia="zh-CN"/>
        </w:rPr>
        <w:t>法律框架</w:t>
      </w:r>
    </w:p>
    <w:p w:rsidR="005514C8" w:rsidRDefault="005514C8"/>
    <w:p w:rsidR="005514C8" w:rsidRDefault="005514C8" w:rsidP="006C2358">
      <w:pPr>
        <w:pStyle w:val="Heading1"/>
        <w:rPr>
          <w:lang w:eastAsia="zh-CN"/>
        </w:rPr>
      </w:pPr>
      <w:r>
        <w:rPr>
          <w:lang w:val="zh-CN" w:eastAsia="zh-CN"/>
        </w:rPr>
        <w:t>贝宁</w:t>
      </w:r>
      <w:r w:rsidR="001C21E4">
        <w:rPr>
          <w:rFonts w:hint="eastAsia"/>
          <w:lang w:val="zh-CN" w:eastAsia="zh-CN"/>
        </w:rPr>
        <w:t>拥有</w:t>
      </w:r>
      <w:r w:rsidR="001C21E4">
        <w:rPr>
          <w:lang w:val="zh-CN" w:eastAsia="zh-CN"/>
        </w:rPr>
        <w:t>管控制冷剂和</w:t>
      </w:r>
      <w:r w:rsidR="001C21E4">
        <w:rPr>
          <w:rFonts w:hint="eastAsia"/>
          <w:lang w:val="zh-CN" w:eastAsia="zh-CN"/>
        </w:rPr>
        <w:t>制冷空调</w:t>
      </w:r>
      <w:r w:rsidR="001C21E4">
        <w:rPr>
          <w:lang w:val="zh-CN" w:eastAsia="zh-CN"/>
        </w:rPr>
        <w:t>设备进口</w:t>
      </w:r>
      <w:r w:rsidR="001C21E4">
        <w:rPr>
          <w:rFonts w:hint="eastAsia"/>
          <w:lang w:val="zh-CN" w:eastAsia="zh-CN"/>
        </w:rPr>
        <w:t>的</w:t>
      </w:r>
      <w:r>
        <w:rPr>
          <w:lang w:val="zh-CN" w:eastAsia="zh-CN"/>
        </w:rPr>
        <w:t>有效立法、监管和法律框架。第</w:t>
      </w:r>
      <w:r>
        <w:rPr>
          <w:lang w:val="zh-CN" w:eastAsia="zh-CN"/>
        </w:rPr>
        <w:t>064</w:t>
      </w:r>
      <w:r>
        <w:rPr>
          <w:lang w:val="zh-CN" w:eastAsia="zh-CN"/>
        </w:rPr>
        <w:t>号部际法令（</w:t>
      </w:r>
      <w:r>
        <w:rPr>
          <w:lang w:val="zh-CN" w:eastAsia="zh-CN"/>
        </w:rPr>
        <w:t>2011</w:t>
      </w:r>
      <w:r>
        <w:rPr>
          <w:lang w:val="zh-CN" w:eastAsia="zh-CN"/>
        </w:rPr>
        <w:t>年</w:t>
      </w:r>
      <w:r>
        <w:rPr>
          <w:lang w:val="zh-CN" w:eastAsia="zh-CN"/>
        </w:rPr>
        <w:t>11</w:t>
      </w:r>
      <w:r>
        <w:rPr>
          <w:lang w:val="zh-CN" w:eastAsia="zh-CN"/>
        </w:rPr>
        <w:t>月）管制氟氯烃、</w:t>
      </w:r>
      <w:r w:rsidR="00025908">
        <w:rPr>
          <w:lang w:val="zh-CN" w:eastAsia="zh-CN"/>
        </w:rPr>
        <w:t>含氢氟烃</w:t>
      </w:r>
      <w:r>
        <w:rPr>
          <w:lang w:val="zh-CN" w:eastAsia="zh-CN"/>
        </w:rPr>
        <w:t>、其他制冷剂以及使用这些物质的器具和设备的进口、营销和分销事宜。国家臭氧机构（</w:t>
      </w:r>
      <w:r>
        <w:rPr>
          <w:lang w:val="zh-CN" w:eastAsia="zh-CN"/>
        </w:rPr>
        <w:t>NOU</w:t>
      </w:r>
      <w:r>
        <w:rPr>
          <w:lang w:val="zh-CN" w:eastAsia="zh-CN"/>
        </w:rPr>
        <w:t>）隶属于环境与可持续发展部，</w:t>
      </w:r>
      <w:r w:rsidR="006C2358">
        <w:rPr>
          <w:rFonts w:hint="eastAsia"/>
          <w:lang w:val="zh-CN" w:eastAsia="zh-CN"/>
        </w:rPr>
        <w:t>该机构</w:t>
      </w:r>
      <w:r>
        <w:rPr>
          <w:lang w:val="zh-CN" w:eastAsia="zh-CN"/>
        </w:rPr>
        <w:t>与贸易部</w:t>
      </w:r>
      <w:r w:rsidR="006C2358">
        <w:rPr>
          <w:rFonts w:hint="eastAsia"/>
          <w:lang w:val="zh-CN" w:eastAsia="zh-CN"/>
        </w:rPr>
        <w:t>联合制定</w:t>
      </w:r>
      <w:r>
        <w:rPr>
          <w:lang w:val="zh-CN" w:eastAsia="zh-CN"/>
        </w:rPr>
        <w:lastRenderedPageBreak/>
        <w:t>制冷剂的进口年度配额。在第四次</w:t>
      </w:r>
      <w:r w:rsidR="0002589C">
        <w:rPr>
          <w:lang w:val="zh-CN" w:eastAsia="zh-CN"/>
        </w:rPr>
        <w:t>拨款</w:t>
      </w:r>
      <w:r>
        <w:rPr>
          <w:lang w:val="zh-CN" w:eastAsia="zh-CN"/>
        </w:rPr>
        <w:t>的执行期间，为</w:t>
      </w:r>
      <w:r>
        <w:rPr>
          <w:lang w:val="zh-CN" w:eastAsia="zh-CN"/>
        </w:rPr>
        <w:t>100</w:t>
      </w:r>
      <w:r>
        <w:rPr>
          <w:lang w:val="zh-CN" w:eastAsia="zh-CN"/>
        </w:rPr>
        <w:t>名海关官员举办了五场关于</w:t>
      </w:r>
      <w:r w:rsidR="006C2358">
        <w:rPr>
          <w:rFonts w:hint="eastAsia"/>
          <w:lang w:val="zh-CN" w:eastAsia="zh-CN"/>
        </w:rPr>
        <w:t>管控</w:t>
      </w:r>
      <w:r>
        <w:rPr>
          <w:lang w:val="zh-CN" w:eastAsia="zh-CN"/>
        </w:rPr>
        <w:t>和识别</w:t>
      </w:r>
      <w:r w:rsidR="006C2358" w:rsidRPr="006C2358">
        <w:rPr>
          <w:rFonts w:hint="eastAsia"/>
          <w:lang w:val="zh-CN" w:eastAsia="zh-CN"/>
        </w:rPr>
        <w:t>消耗臭氧层物质</w:t>
      </w:r>
      <w:r w:rsidR="006C2358">
        <w:rPr>
          <w:rFonts w:hint="eastAsia"/>
          <w:lang w:val="zh-CN" w:eastAsia="zh-CN"/>
        </w:rPr>
        <w:t>（</w:t>
      </w:r>
      <w:r w:rsidRPr="006C2358">
        <w:rPr>
          <w:lang w:val="zh-CN" w:eastAsia="zh-CN"/>
        </w:rPr>
        <w:t>O</w:t>
      </w:r>
      <w:r>
        <w:rPr>
          <w:lang w:val="zh-CN" w:eastAsia="zh-CN"/>
        </w:rPr>
        <w:t>DS</w:t>
      </w:r>
      <w:r w:rsidR="006C2358">
        <w:rPr>
          <w:rFonts w:hint="eastAsia"/>
          <w:lang w:val="zh-CN" w:eastAsia="zh-CN"/>
        </w:rPr>
        <w:t>）</w:t>
      </w:r>
      <w:r>
        <w:rPr>
          <w:lang w:val="zh-CN" w:eastAsia="zh-CN"/>
        </w:rPr>
        <w:t>和</w:t>
      </w:r>
      <w:r w:rsidR="0016073F">
        <w:rPr>
          <w:lang w:val="zh-CN" w:eastAsia="zh-CN"/>
        </w:rPr>
        <w:t>含</w:t>
      </w:r>
      <w:r w:rsidR="006C2358" w:rsidRPr="006C2358">
        <w:rPr>
          <w:rFonts w:hint="eastAsia"/>
          <w:lang w:val="zh-CN" w:eastAsia="zh-CN"/>
        </w:rPr>
        <w:t>消耗臭氧层物质</w:t>
      </w:r>
      <w:r>
        <w:rPr>
          <w:lang w:val="zh-CN" w:eastAsia="zh-CN"/>
        </w:rPr>
        <w:t>ODS</w:t>
      </w:r>
      <w:r>
        <w:rPr>
          <w:lang w:val="zh-CN" w:eastAsia="zh-CN"/>
        </w:rPr>
        <w:t>设备的培训班。</w:t>
      </w:r>
    </w:p>
    <w:p w:rsidR="005514C8" w:rsidRDefault="005514C8">
      <w:pPr>
        <w:pStyle w:val="Heading1"/>
        <w:tabs>
          <w:tab w:val="left" w:pos="0"/>
        </w:tabs>
        <w:rPr>
          <w:lang w:eastAsia="zh-CN"/>
        </w:rPr>
      </w:pPr>
      <w:r>
        <w:rPr>
          <w:lang w:val="zh-CN" w:eastAsia="zh-CN"/>
        </w:rPr>
        <w:t>自</w:t>
      </w:r>
      <w:r>
        <w:rPr>
          <w:lang w:val="zh-CN" w:eastAsia="zh-CN"/>
        </w:rPr>
        <w:t>2020</w:t>
      </w:r>
      <w:r>
        <w:rPr>
          <w:lang w:val="zh-CN" w:eastAsia="zh-CN"/>
        </w:rPr>
        <w:t>年</w:t>
      </w:r>
      <w:r>
        <w:rPr>
          <w:lang w:val="zh-CN" w:eastAsia="zh-CN"/>
        </w:rPr>
        <w:t>6</w:t>
      </w:r>
      <w:r>
        <w:rPr>
          <w:lang w:val="zh-CN" w:eastAsia="zh-CN"/>
        </w:rPr>
        <w:t>月以来，第</w:t>
      </w:r>
      <w:r>
        <w:rPr>
          <w:lang w:val="zh-CN" w:eastAsia="zh-CN"/>
        </w:rPr>
        <w:t>2018-563</w:t>
      </w:r>
      <w:r>
        <w:rPr>
          <w:lang w:val="zh-CN" w:eastAsia="zh-CN"/>
        </w:rPr>
        <w:t>号法令就该国的灯具和室内空调装置</w:t>
      </w:r>
      <w:r w:rsidR="006C2358">
        <w:rPr>
          <w:rFonts w:hint="eastAsia"/>
          <w:lang w:val="zh-CN" w:eastAsia="zh-CN"/>
        </w:rPr>
        <w:t>的</w:t>
      </w:r>
      <w:r>
        <w:rPr>
          <w:lang w:val="zh-CN" w:eastAsia="zh-CN"/>
        </w:rPr>
        <w:t>最低能效标准和能效标识标准</w:t>
      </w:r>
      <w:r w:rsidR="005C3539">
        <w:rPr>
          <w:rFonts w:hint="eastAsia"/>
          <w:lang w:val="zh-CN" w:eastAsia="zh-CN"/>
        </w:rPr>
        <w:t>做出了</w:t>
      </w:r>
      <w:r w:rsidR="006C2358">
        <w:rPr>
          <w:rFonts w:hint="eastAsia"/>
          <w:lang w:val="zh-CN" w:eastAsia="zh-CN"/>
        </w:rPr>
        <w:t>规定</w:t>
      </w:r>
      <w:r>
        <w:rPr>
          <w:lang w:val="zh-CN" w:eastAsia="zh-CN"/>
        </w:rPr>
        <w:t>，这有助于减少</w:t>
      </w:r>
      <w:r w:rsidR="0016073F" w:rsidRPr="00E51C8B">
        <w:rPr>
          <w:lang w:val="zh-CN" w:eastAsia="zh-CN"/>
        </w:rPr>
        <w:t>含</w:t>
      </w:r>
      <w:r w:rsidRPr="00E51C8B">
        <w:rPr>
          <w:lang w:val="zh-CN" w:eastAsia="zh-CN"/>
        </w:rPr>
        <w:t>氟氯烃设备</w:t>
      </w:r>
      <w:r>
        <w:rPr>
          <w:lang w:val="zh-CN" w:eastAsia="zh-CN"/>
        </w:rPr>
        <w:t>的进口。尽管该</w:t>
      </w:r>
      <w:r w:rsidR="002B12F4">
        <w:rPr>
          <w:rFonts w:hint="eastAsia"/>
          <w:lang w:val="zh-CN" w:eastAsia="zh-CN"/>
        </w:rPr>
        <w:t>项</w:t>
      </w:r>
      <w:r>
        <w:rPr>
          <w:lang w:val="zh-CN" w:eastAsia="zh-CN"/>
        </w:rPr>
        <w:t>法令并未禁止进口</w:t>
      </w:r>
      <w:r w:rsidR="0016073F">
        <w:rPr>
          <w:lang w:val="zh-CN" w:eastAsia="zh-CN"/>
        </w:rPr>
        <w:t>含</w:t>
      </w:r>
      <w:r>
        <w:rPr>
          <w:lang w:val="zh-CN" w:eastAsia="zh-CN"/>
        </w:rPr>
        <w:t>氟氯烃</w:t>
      </w:r>
      <w:r w:rsidR="002B12F4">
        <w:rPr>
          <w:rFonts w:hint="eastAsia"/>
          <w:lang w:val="zh-CN" w:eastAsia="zh-CN"/>
        </w:rPr>
        <w:t>的</w:t>
      </w:r>
      <w:r>
        <w:rPr>
          <w:lang w:val="zh-CN" w:eastAsia="zh-CN"/>
        </w:rPr>
        <w:t>设备，但</w:t>
      </w:r>
      <w:r w:rsidR="002B12F4">
        <w:rPr>
          <w:rFonts w:hint="eastAsia"/>
          <w:lang w:val="zh-CN" w:eastAsia="zh-CN"/>
        </w:rPr>
        <w:t>其</w:t>
      </w:r>
      <w:r>
        <w:rPr>
          <w:lang w:val="zh-CN" w:eastAsia="zh-CN"/>
        </w:rPr>
        <w:t>鼓励转</w:t>
      </w:r>
      <w:r w:rsidR="002B12F4">
        <w:rPr>
          <w:rFonts w:hint="eastAsia"/>
          <w:lang w:val="zh-CN" w:eastAsia="zh-CN"/>
        </w:rPr>
        <w:t>用</w:t>
      </w:r>
      <w:r>
        <w:rPr>
          <w:lang w:val="zh-CN" w:eastAsia="zh-CN"/>
        </w:rPr>
        <w:t>更</w:t>
      </w:r>
      <w:r w:rsidR="002B12F4">
        <w:rPr>
          <w:rFonts w:hint="eastAsia"/>
          <w:lang w:val="zh-CN" w:eastAsia="zh-CN"/>
        </w:rPr>
        <w:t>具</w:t>
      </w:r>
      <w:r>
        <w:rPr>
          <w:lang w:val="zh-CN" w:eastAsia="zh-CN"/>
        </w:rPr>
        <w:t>节能</w:t>
      </w:r>
      <w:r w:rsidR="002B12F4">
        <w:rPr>
          <w:rFonts w:hint="eastAsia"/>
          <w:lang w:val="zh-CN" w:eastAsia="zh-CN"/>
        </w:rPr>
        <w:t>效果的</w:t>
      </w:r>
      <w:r>
        <w:rPr>
          <w:lang w:val="zh-CN" w:eastAsia="zh-CN"/>
        </w:rPr>
        <w:t>设备，从而采用</w:t>
      </w:r>
      <w:r w:rsidR="00025908">
        <w:rPr>
          <w:rFonts w:hint="eastAsia"/>
          <w:lang w:val="zh-CN" w:eastAsia="zh-CN"/>
        </w:rPr>
        <w:t>使用</w:t>
      </w:r>
      <w:r w:rsidR="00025908">
        <w:rPr>
          <w:lang w:val="zh-CN" w:eastAsia="zh-CN"/>
        </w:rPr>
        <w:t>含氢氟烃</w:t>
      </w:r>
      <w:r>
        <w:rPr>
          <w:lang w:val="zh-CN" w:eastAsia="zh-CN"/>
        </w:rPr>
        <w:t>逆变器技术的设备（主要是</w:t>
      </w:r>
      <w:r>
        <w:rPr>
          <w:lang w:val="zh-CN" w:eastAsia="zh-CN"/>
        </w:rPr>
        <w:t>R-410A</w:t>
      </w:r>
      <w:r>
        <w:rPr>
          <w:lang w:val="zh-CN" w:eastAsia="zh-CN"/>
        </w:rPr>
        <w:t>），许多进口商减少了</w:t>
      </w:r>
      <w:r w:rsidR="0016073F">
        <w:rPr>
          <w:lang w:val="zh-CN" w:eastAsia="zh-CN"/>
        </w:rPr>
        <w:t>含</w:t>
      </w:r>
      <w:r>
        <w:rPr>
          <w:lang w:val="zh-CN" w:eastAsia="zh-CN"/>
        </w:rPr>
        <w:t>氟氯烃设备的进口。</w:t>
      </w:r>
    </w:p>
    <w:p w:rsidR="005514C8" w:rsidRDefault="005514C8">
      <w:pPr>
        <w:pStyle w:val="Heading1"/>
        <w:keepNext/>
        <w:keepLines/>
        <w:tabs>
          <w:tab w:val="left" w:pos="0"/>
        </w:tabs>
      </w:pPr>
      <w:r>
        <w:rPr>
          <w:lang w:val="zh-CN" w:eastAsia="zh-CN"/>
        </w:rPr>
        <w:t>贝宁政府于</w:t>
      </w:r>
      <w:r>
        <w:rPr>
          <w:lang w:val="en-US" w:eastAsia="zh-CN"/>
        </w:rPr>
        <w:t>2018</w:t>
      </w:r>
      <w:r>
        <w:rPr>
          <w:lang w:val="zh-CN" w:eastAsia="zh-CN"/>
        </w:rPr>
        <w:t>年</w:t>
      </w:r>
      <w:r>
        <w:rPr>
          <w:lang w:val="en-US" w:eastAsia="zh-CN"/>
        </w:rPr>
        <w:t>3</w:t>
      </w:r>
      <w:r>
        <w:rPr>
          <w:lang w:val="zh-CN" w:eastAsia="zh-CN"/>
        </w:rPr>
        <w:t>月</w:t>
      </w:r>
      <w:r>
        <w:rPr>
          <w:lang w:val="en-US" w:eastAsia="zh-CN"/>
        </w:rPr>
        <w:t>19</w:t>
      </w:r>
      <w:r>
        <w:rPr>
          <w:lang w:val="zh-CN" w:eastAsia="zh-CN"/>
        </w:rPr>
        <w:t>日批准了《基加利修正案》</w:t>
      </w:r>
      <w:r>
        <w:rPr>
          <w:lang w:val="en-US" w:eastAsia="zh-CN"/>
        </w:rPr>
        <w:t>（</w:t>
      </w:r>
      <w:r>
        <w:rPr>
          <w:lang w:val="en-US" w:eastAsia="zh-CN"/>
        </w:rPr>
        <w:t>Kigali Amendment</w:t>
      </w:r>
      <w:r>
        <w:rPr>
          <w:lang w:val="en-US" w:eastAsia="zh-CN"/>
        </w:rPr>
        <w:t>），</w:t>
      </w:r>
      <w:r>
        <w:rPr>
          <w:lang w:val="zh-CN" w:eastAsia="zh-CN"/>
        </w:rPr>
        <w:t>据此</w:t>
      </w:r>
      <w:r>
        <w:rPr>
          <w:lang w:val="en-US" w:eastAsia="zh-CN"/>
        </w:rPr>
        <w:t>，</w:t>
      </w:r>
      <w:r>
        <w:rPr>
          <w:lang w:val="zh-CN" w:eastAsia="zh-CN"/>
        </w:rPr>
        <w:t>自</w:t>
      </w:r>
      <w:r>
        <w:rPr>
          <w:lang w:val="en-US" w:eastAsia="zh-CN"/>
        </w:rPr>
        <w:t>2020</w:t>
      </w:r>
      <w:r>
        <w:rPr>
          <w:lang w:val="zh-CN" w:eastAsia="zh-CN"/>
        </w:rPr>
        <w:t>年</w:t>
      </w:r>
      <w:r>
        <w:rPr>
          <w:lang w:val="en-US" w:eastAsia="zh-CN"/>
        </w:rPr>
        <w:t>1</w:t>
      </w:r>
      <w:r>
        <w:rPr>
          <w:lang w:val="zh-CN" w:eastAsia="zh-CN"/>
        </w:rPr>
        <w:t>月起</w:t>
      </w:r>
      <w:r>
        <w:rPr>
          <w:lang w:val="en-US" w:eastAsia="zh-CN"/>
        </w:rPr>
        <w:t>，</w:t>
      </w:r>
      <w:r>
        <w:rPr>
          <w:lang w:val="zh-CN" w:eastAsia="zh-CN"/>
        </w:rPr>
        <w:t>贝宁</w:t>
      </w:r>
      <w:r w:rsidR="005C3539">
        <w:rPr>
          <w:rFonts w:hint="eastAsia"/>
          <w:lang w:val="zh-CN" w:eastAsia="zh-CN"/>
        </w:rPr>
        <w:t>的</w:t>
      </w:r>
      <w:r>
        <w:rPr>
          <w:lang w:val="en-US" w:eastAsia="zh-CN"/>
        </w:rPr>
        <w:t>HCF</w:t>
      </w:r>
      <w:r w:rsidR="005C3539">
        <w:rPr>
          <w:lang w:val="zh-CN" w:eastAsia="zh-CN"/>
        </w:rPr>
        <w:t>进出口</w:t>
      </w:r>
      <w:r w:rsidR="002B12F4">
        <w:rPr>
          <w:rFonts w:hint="eastAsia"/>
          <w:lang w:val="zh-CN" w:eastAsia="zh-CN"/>
        </w:rPr>
        <w:t>均</w:t>
      </w:r>
      <w:r>
        <w:rPr>
          <w:lang w:val="zh-CN" w:eastAsia="zh-CN"/>
        </w:rPr>
        <w:t>须获得授权。</w:t>
      </w:r>
      <w:r>
        <w:rPr>
          <w:lang w:val="en-US" w:eastAsia="zh-CN"/>
        </w:rPr>
        <w:t xml:space="preserve"> </w:t>
      </w:r>
    </w:p>
    <w:p w:rsidR="005514C8" w:rsidRDefault="005514C8">
      <w:pPr>
        <w:pStyle w:val="Heading1"/>
        <w:keepNext/>
        <w:keepLines/>
        <w:numPr>
          <w:ilvl w:val="0"/>
          <w:numId w:val="0"/>
        </w:numPr>
        <w:tabs>
          <w:tab w:val="left" w:pos="0"/>
        </w:tabs>
        <w:rPr>
          <w:i/>
        </w:rPr>
      </w:pPr>
      <w:r>
        <w:rPr>
          <w:i/>
          <w:lang w:val="zh-CN" w:eastAsia="zh-CN"/>
        </w:rPr>
        <w:t>制冷维修行业</w:t>
      </w:r>
    </w:p>
    <w:p w:rsidR="005514C8" w:rsidRDefault="005C3539">
      <w:pPr>
        <w:pStyle w:val="Heading1"/>
        <w:tabs>
          <w:tab w:val="left" w:pos="0"/>
        </w:tabs>
        <w:rPr>
          <w:lang w:eastAsia="zh-CN"/>
        </w:rPr>
      </w:pPr>
      <w:r>
        <w:rPr>
          <w:rFonts w:hint="eastAsia"/>
          <w:lang w:val="zh-CN" w:eastAsia="zh-CN"/>
        </w:rPr>
        <w:t>相关方</w:t>
      </w:r>
      <w:r w:rsidR="005514C8">
        <w:rPr>
          <w:lang w:val="zh-CN" w:eastAsia="zh-CN"/>
        </w:rPr>
        <w:t>已为总计</w:t>
      </w:r>
      <w:r w:rsidR="005514C8">
        <w:rPr>
          <w:lang w:val="zh-CN" w:eastAsia="zh-CN"/>
        </w:rPr>
        <w:t>184</w:t>
      </w:r>
      <w:r w:rsidR="005514C8">
        <w:rPr>
          <w:lang w:val="zh-CN" w:eastAsia="zh-CN"/>
        </w:rPr>
        <w:t>名</w:t>
      </w:r>
      <w:r>
        <w:rPr>
          <w:rFonts w:hint="eastAsia"/>
          <w:lang w:val="zh-CN" w:eastAsia="zh-CN"/>
        </w:rPr>
        <w:t>制冷空调</w:t>
      </w:r>
      <w:r w:rsidR="005514C8">
        <w:rPr>
          <w:lang w:val="zh-CN" w:eastAsia="zh-CN"/>
        </w:rPr>
        <w:t>技术人员举办了五场关于良好维修</w:t>
      </w:r>
      <w:r>
        <w:rPr>
          <w:rFonts w:hint="eastAsia"/>
          <w:lang w:val="zh-CN" w:eastAsia="zh-CN"/>
        </w:rPr>
        <w:t>实务</w:t>
      </w:r>
      <w:r w:rsidR="005514C8">
        <w:rPr>
          <w:lang w:val="zh-CN" w:eastAsia="zh-CN"/>
        </w:rPr>
        <w:t>和碳氢制冷剂（即</w:t>
      </w:r>
      <w:r w:rsidR="005514C8">
        <w:rPr>
          <w:lang w:val="zh-CN" w:eastAsia="zh-CN"/>
        </w:rPr>
        <w:t>R-290</w:t>
      </w:r>
      <w:r w:rsidR="005514C8">
        <w:rPr>
          <w:lang w:val="zh-CN" w:eastAsia="zh-CN"/>
        </w:rPr>
        <w:t>和</w:t>
      </w:r>
      <w:r w:rsidR="005514C8">
        <w:rPr>
          <w:lang w:val="zh-CN" w:eastAsia="zh-CN"/>
        </w:rPr>
        <w:t>R-600a</w:t>
      </w:r>
      <w:r w:rsidR="005514C8">
        <w:rPr>
          <w:lang w:val="zh-CN" w:eastAsia="zh-CN"/>
        </w:rPr>
        <w:t>）安全操作的培训班。</w:t>
      </w:r>
      <w:r>
        <w:rPr>
          <w:rFonts w:hint="eastAsia"/>
          <w:lang w:val="zh-CN" w:eastAsia="zh-CN"/>
        </w:rPr>
        <w:t>相关方</w:t>
      </w:r>
      <w:r w:rsidR="005514C8">
        <w:rPr>
          <w:lang w:val="zh-CN" w:eastAsia="zh-CN"/>
        </w:rPr>
        <w:t>已向职业培训中心和制冷协会交付了六台制冷剂识别器和基本维修设备（如四通数字歧管、回收钢瓶、回收套件和回收机）。</w:t>
      </w:r>
    </w:p>
    <w:p w:rsidR="005514C8" w:rsidRDefault="005514C8">
      <w:pPr>
        <w:pStyle w:val="Heading1"/>
        <w:keepNext/>
        <w:keepLines/>
        <w:numPr>
          <w:ilvl w:val="0"/>
          <w:numId w:val="0"/>
        </w:numPr>
        <w:tabs>
          <w:tab w:val="left" w:pos="0"/>
        </w:tabs>
        <w:rPr>
          <w:lang w:eastAsia="zh-CN"/>
        </w:rPr>
      </w:pPr>
      <w:r>
        <w:rPr>
          <w:i/>
          <w:lang w:val="zh-CN" w:eastAsia="zh-CN"/>
        </w:rPr>
        <w:t>项目</w:t>
      </w:r>
      <w:r w:rsidR="005C3539">
        <w:rPr>
          <w:rFonts w:hint="eastAsia"/>
          <w:i/>
          <w:lang w:val="zh-CN" w:eastAsia="zh-CN"/>
        </w:rPr>
        <w:t>实施与监测</w:t>
      </w:r>
      <w:r>
        <w:rPr>
          <w:i/>
          <w:lang w:val="zh-CN" w:eastAsia="zh-CN"/>
        </w:rPr>
        <w:t xml:space="preserve"> </w:t>
      </w:r>
    </w:p>
    <w:p w:rsidR="005514C8" w:rsidRDefault="005C3539">
      <w:pPr>
        <w:pStyle w:val="Heading1"/>
        <w:tabs>
          <w:tab w:val="left" w:pos="0"/>
        </w:tabs>
        <w:rPr>
          <w:u w:val="single"/>
          <w:lang w:eastAsia="zh-CN"/>
        </w:rPr>
      </w:pPr>
      <w:r>
        <w:rPr>
          <w:rFonts w:hint="eastAsia"/>
          <w:lang w:val="zh-CN" w:eastAsia="zh-CN"/>
        </w:rPr>
        <w:t>国家臭氧机构</w:t>
      </w:r>
      <w:r w:rsidR="005514C8">
        <w:rPr>
          <w:lang w:val="zh-CN" w:eastAsia="zh-CN"/>
        </w:rPr>
        <w:t>协助</w:t>
      </w:r>
      <w:r>
        <w:rPr>
          <w:rFonts w:hint="eastAsia"/>
          <w:lang w:val="zh-CN" w:eastAsia="zh-CN"/>
        </w:rPr>
        <w:t>监测</w:t>
      </w:r>
      <w:r w:rsidR="005514C8">
        <w:rPr>
          <w:lang w:val="zh-CN" w:eastAsia="zh-CN"/>
        </w:rPr>
        <w:t>所有氟氯烃淘汰管理计划活动的</w:t>
      </w:r>
      <w:r>
        <w:rPr>
          <w:rFonts w:hint="eastAsia"/>
          <w:lang w:val="zh-CN" w:eastAsia="zh-CN"/>
        </w:rPr>
        <w:t>实施</w:t>
      </w:r>
      <w:r w:rsidR="005514C8">
        <w:rPr>
          <w:lang w:val="zh-CN" w:eastAsia="zh-CN"/>
        </w:rPr>
        <w:t>以及氟氯烃消费数据的收集工作。为了项目</w:t>
      </w:r>
      <w:r>
        <w:rPr>
          <w:rFonts w:hint="eastAsia"/>
          <w:lang w:val="zh-CN" w:eastAsia="zh-CN"/>
        </w:rPr>
        <w:t>监测</w:t>
      </w:r>
      <w:r w:rsidR="005514C8">
        <w:rPr>
          <w:lang w:val="zh-CN" w:eastAsia="zh-CN"/>
        </w:rPr>
        <w:t>和</w:t>
      </w:r>
      <w:r>
        <w:rPr>
          <w:rFonts w:hint="eastAsia"/>
          <w:lang w:val="zh-CN" w:eastAsia="zh-CN"/>
        </w:rPr>
        <w:t>实施</w:t>
      </w:r>
      <w:r w:rsidR="005514C8">
        <w:rPr>
          <w:lang w:val="zh-CN" w:eastAsia="zh-CN"/>
        </w:rPr>
        <w:t>事宜，</w:t>
      </w:r>
      <w:r w:rsidR="002B618E">
        <w:rPr>
          <w:rFonts w:hint="eastAsia"/>
          <w:lang w:val="zh-CN" w:eastAsia="zh-CN"/>
        </w:rPr>
        <w:t>业</w:t>
      </w:r>
      <w:r w:rsidR="005514C8">
        <w:rPr>
          <w:lang w:val="zh-CN" w:eastAsia="zh-CN"/>
        </w:rPr>
        <w:t>已</w:t>
      </w:r>
      <w:r w:rsidR="002B618E">
        <w:rPr>
          <w:rFonts w:hint="eastAsia"/>
          <w:lang w:val="zh-CN" w:eastAsia="zh-CN"/>
        </w:rPr>
        <w:t>拨</w:t>
      </w:r>
      <w:r w:rsidR="005514C8">
        <w:rPr>
          <w:lang w:val="zh-CN" w:eastAsia="zh-CN"/>
        </w:rPr>
        <w:t>付</w:t>
      </w:r>
      <w:r w:rsidR="005514C8">
        <w:rPr>
          <w:lang w:val="zh-CN" w:eastAsia="zh-CN"/>
        </w:rPr>
        <w:t>20,000</w:t>
      </w:r>
      <w:r w:rsidR="005514C8">
        <w:rPr>
          <w:lang w:val="zh-CN" w:eastAsia="zh-CN"/>
        </w:rPr>
        <w:t>美元用于招聘两名顾问（一名制冷专家和一名海关专家）。</w:t>
      </w:r>
    </w:p>
    <w:p w:rsidR="005514C8" w:rsidRDefault="005514C8">
      <w:pPr>
        <w:pStyle w:val="Heading1"/>
        <w:numPr>
          <w:ilvl w:val="0"/>
          <w:numId w:val="0"/>
        </w:numPr>
        <w:tabs>
          <w:tab w:val="left" w:pos="0"/>
        </w:tabs>
        <w:rPr>
          <w:u w:val="single"/>
        </w:rPr>
      </w:pPr>
      <w:r>
        <w:rPr>
          <w:u w:val="single"/>
          <w:lang w:val="zh-CN" w:eastAsia="zh-CN"/>
        </w:rPr>
        <w:t>资金</w:t>
      </w:r>
      <w:r w:rsidR="002B618E">
        <w:rPr>
          <w:rFonts w:hint="eastAsia"/>
          <w:u w:val="single"/>
          <w:lang w:val="zh-CN" w:eastAsia="zh-CN"/>
        </w:rPr>
        <w:t>拨</w:t>
      </w:r>
      <w:r>
        <w:rPr>
          <w:u w:val="single"/>
          <w:lang w:val="zh-CN" w:eastAsia="zh-CN"/>
        </w:rPr>
        <w:t>付水平</w:t>
      </w:r>
    </w:p>
    <w:p w:rsidR="005514C8" w:rsidRDefault="005514C8">
      <w:pPr>
        <w:pStyle w:val="Heading1"/>
        <w:tabs>
          <w:tab w:val="left" w:pos="0"/>
        </w:tabs>
        <w:rPr>
          <w:lang w:eastAsia="zh-CN"/>
        </w:rPr>
      </w:pPr>
      <w:r>
        <w:rPr>
          <w:lang w:val="zh-CN" w:eastAsia="zh-CN"/>
        </w:rPr>
        <w:t>截至</w:t>
      </w:r>
      <w:r>
        <w:rPr>
          <w:lang w:val="zh-CN" w:eastAsia="zh-CN"/>
        </w:rPr>
        <w:t>2021</w:t>
      </w:r>
      <w:r>
        <w:rPr>
          <w:lang w:val="zh-CN" w:eastAsia="zh-CN"/>
        </w:rPr>
        <w:t>年</w:t>
      </w:r>
      <w:r>
        <w:rPr>
          <w:lang w:val="zh-CN" w:eastAsia="zh-CN"/>
        </w:rPr>
        <w:t>4</w:t>
      </w:r>
      <w:r>
        <w:rPr>
          <w:lang w:val="zh-CN" w:eastAsia="zh-CN"/>
        </w:rPr>
        <w:t>月，在</w:t>
      </w:r>
      <w:r w:rsidR="002B618E">
        <w:rPr>
          <w:rFonts w:hint="eastAsia"/>
          <w:lang w:val="zh-CN" w:eastAsia="zh-CN"/>
        </w:rPr>
        <w:t>迄今</w:t>
      </w:r>
      <w:r>
        <w:rPr>
          <w:lang w:val="zh-CN" w:eastAsia="zh-CN"/>
        </w:rPr>
        <w:t>已批准的</w:t>
      </w:r>
      <w:r>
        <w:rPr>
          <w:lang w:val="zh-CN" w:eastAsia="zh-CN"/>
        </w:rPr>
        <w:t>570,000</w:t>
      </w:r>
      <w:r>
        <w:rPr>
          <w:lang w:val="zh-CN" w:eastAsia="zh-CN"/>
        </w:rPr>
        <w:t>美元中，已</w:t>
      </w:r>
      <w:r w:rsidR="002B618E">
        <w:rPr>
          <w:rFonts w:hint="eastAsia"/>
          <w:lang w:val="zh-CN" w:eastAsia="zh-CN"/>
        </w:rPr>
        <w:t>经拨</w:t>
      </w:r>
      <w:r>
        <w:rPr>
          <w:lang w:val="zh-CN" w:eastAsia="zh-CN"/>
        </w:rPr>
        <w:t>付</w:t>
      </w:r>
      <w:r>
        <w:rPr>
          <w:lang w:val="zh-CN" w:eastAsia="zh-CN"/>
        </w:rPr>
        <w:t>549,564</w:t>
      </w:r>
      <w:r>
        <w:rPr>
          <w:lang w:val="zh-CN" w:eastAsia="zh-CN"/>
        </w:rPr>
        <w:t>美元（</w:t>
      </w:r>
      <w:r w:rsidR="002B618E">
        <w:rPr>
          <w:rFonts w:hint="eastAsia"/>
          <w:lang w:val="en-US" w:eastAsia="zh-CN"/>
        </w:rPr>
        <w:t>向</w:t>
      </w:r>
      <w:r w:rsidR="00E51C8B">
        <w:rPr>
          <w:rFonts w:hint="eastAsia"/>
          <w:lang w:val="en-US" w:eastAsia="zh-CN"/>
        </w:rPr>
        <w:t>联合国</w:t>
      </w:r>
      <w:r>
        <w:rPr>
          <w:lang w:val="zh-CN" w:eastAsia="zh-CN"/>
        </w:rPr>
        <w:t>环境规划署</w:t>
      </w:r>
      <w:r w:rsidR="002B618E">
        <w:rPr>
          <w:rFonts w:hint="eastAsia"/>
          <w:lang w:val="zh-CN" w:eastAsia="zh-CN"/>
        </w:rPr>
        <w:t>拨付</w:t>
      </w:r>
      <w:r>
        <w:rPr>
          <w:lang w:val="zh-CN" w:eastAsia="zh-CN"/>
        </w:rPr>
        <w:t>290,000</w:t>
      </w:r>
      <w:r>
        <w:rPr>
          <w:lang w:val="zh-CN" w:eastAsia="zh-CN"/>
        </w:rPr>
        <w:t>美元，</w:t>
      </w:r>
      <w:r w:rsidR="002B618E">
        <w:rPr>
          <w:rFonts w:hint="eastAsia"/>
          <w:lang w:val="en-US" w:eastAsia="zh-CN"/>
        </w:rPr>
        <w:t>向</w:t>
      </w:r>
      <w:r w:rsidR="00E51C8B">
        <w:rPr>
          <w:rFonts w:hint="eastAsia"/>
          <w:lang w:val="en-US" w:eastAsia="zh-CN"/>
        </w:rPr>
        <w:t>联合国</w:t>
      </w:r>
      <w:r>
        <w:rPr>
          <w:lang w:val="zh-CN" w:eastAsia="zh-CN"/>
        </w:rPr>
        <w:t>工发组织</w:t>
      </w:r>
      <w:r w:rsidR="002B618E">
        <w:rPr>
          <w:rFonts w:hint="eastAsia"/>
          <w:lang w:val="zh-CN" w:eastAsia="zh-CN"/>
        </w:rPr>
        <w:t>拨付</w:t>
      </w:r>
      <w:r>
        <w:rPr>
          <w:lang w:val="zh-CN" w:eastAsia="zh-CN"/>
        </w:rPr>
        <w:t>259,564</w:t>
      </w:r>
      <w:r>
        <w:rPr>
          <w:lang w:val="zh-CN" w:eastAsia="zh-CN"/>
        </w:rPr>
        <w:t>美元），具体如表</w:t>
      </w:r>
      <w:r>
        <w:rPr>
          <w:lang w:val="zh-CN" w:eastAsia="zh-CN"/>
        </w:rPr>
        <w:t>2</w:t>
      </w:r>
      <w:r>
        <w:rPr>
          <w:lang w:val="zh-CN" w:eastAsia="zh-CN"/>
        </w:rPr>
        <w:t>所示。</w:t>
      </w:r>
      <w:r w:rsidR="002B618E">
        <w:rPr>
          <w:rFonts w:hint="eastAsia"/>
          <w:lang w:val="zh-CN" w:eastAsia="zh-CN"/>
        </w:rPr>
        <w:t>其</w:t>
      </w:r>
      <w:r>
        <w:rPr>
          <w:lang w:val="zh-CN" w:eastAsia="zh-CN"/>
        </w:rPr>
        <w:t>余的</w:t>
      </w:r>
      <w:r>
        <w:rPr>
          <w:lang w:val="zh-CN" w:eastAsia="zh-CN"/>
        </w:rPr>
        <w:t>20,436</w:t>
      </w:r>
      <w:r>
        <w:rPr>
          <w:lang w:val="zh-CN" w:eastAsia="zh-CN"/>
        </w:rPr>
        <w:t>美元将</w:t>
      </w:r>
      <w:r w:rsidR="002B618E">
        <w:rPr>
          <w:rFonts w:hint="eastAsia"/>
          <w:lang w:val="zh-CN" w:eastAsia="zh-CN"/>
        </w:rPr>
        <w:t>于</w:t>
      </w:r>
      <w:r>
        <w:rPr>
          <w:lang w:val="zh-CN" w:eastAsia="zh-CN"/>
        </w:rPr>
        <w:t>2021</w:t>
      </w:r>
      <w:r>
        <w:rPr>
          <w:lang w:val="zh-CN" w:eastAsia="zh-CN"/>
        </w:rPr>
        <w:t>年</w:t>
      </w:r>
      <w:r w:rsidR="002B618E">
        <w:rPr>
          <w:rFonts w:hint="eastAsia"/>
          <w:lang w:val="zh-CN" w:eastAsia="zh-CN"/>
        </w:rPr>
        <w:t>完成拨付</w:t>
      </w:r>
      <w:r>
        <w:rPr>
          <w:lang w:val="zh-CN" w:eastAsia="zh-CN"/>
        </w:rPr>
        <w:t>。</w:t>
      </w:r>
    </w:p>
    <w:p w:rsidR="005514C8" w:rsidRDefault="005514C8">
      <w:pPr>
        <w:rPr>
          <w:b/>
          <w:lang w:eastAsia="zh-CN"/>
        </w:rPr>
      </w:pPr>
      <w:r>
        <w:rPr>
          <w:b/>
          <w:lang w:val="zh-CN" w:eastAsia="zh-CN"/>
        </w:rPr>
        <w:t>表</w:t>
      </w:r>
      <w:r>
        <w:rPr>
          <w:b/>
          <w:lang w:val="zh-CN" w:eastAsia="zh-CN"/>
        </w:rPr>
        <w:t>2</w:t>
      </w:r>
      <w:r>
        <w:rPr>
          <w:rFonts w:hint="eastAsia"/>
          <w:b/>
          <w:lang w:val="zh-CN" w:eastAsia="zh-CN"/>
        </w:rPr>
        <w:t xml:space="preserve">. </w:t>
      </w:r>
      <w:r>
        <w:rPr>
          <w:b/>
          <w:lang w:val="zh-CN" w:eastAsia="zh-CN"/>
        </w:rPr>
        <w:t>贝宁氟氯烃淘汰管理计划第一阶段财务报告（美元）</w:t>
      </w:r>
    </w:p>
    <w:tbl>
      <w:tblPr>
        <w:tblW w:w="95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10"/>
        <w:gridCol w:w="1800"/>
        <w:gridCol w:w="1350"/>
        <w:gridCol w:w="1355"/>
        <w:gridCol w:w="1246"/>
        <w:gridCol w:w="2084"/>
      </w:tblGrid>
      <w:tr w:rsidR="005514C8" w:rsidRPr="005514C8">
        <w:trPr>
          <w:trHeight w:val="575"/>
        </w:trPr>
        <w:tc>
          <w:tcPr>
            <w:tcW w:w="3510" w:type="dxa"/>
            <w:gridSpan w:val="2"/>
            <w:noWrap/>
            <w:vAlign w:val="center"/>
          </w:tcPr>
          <w:p w:rsidR="005514C8" w:rsidRPr="005514C8" w:rsidRDefault="005514C8">
            <w:pPr>
              <w:rPr>
                <w:b/>
                <w:bCs/>
                <w:color w:val="000000"/>
              </w:rPr>
            </w:pPr>
            <w:proofErr w:type="spellStart"/>
            <w:r w:rsidRPr="005514C8">
              <w:rPr>
                <w:b/>
                <w:color w:val="000000"/>
              </w:rPr>
              <w:t>批次</w:t>
            </w:r>
            <w:proofErr w:type="spellEnd"/>
          </w:p>
        </w:tc>
        <w:tc>
          <w:tcPr>
            <w:tcW w:w="1350" w:type="dxa"/>
            <w:noWrap/>
            <w:vAlign w:val="center"/>
          </w:tcPr>
          <w:p w:rsidR="005514C8" w:rsidRPr="005514C8" w:rsidRDefault="002B618E">
            <w:pPr>
              <w:jc w:val="center"/>
              <w:rPr>
                <w:b/>
                <w:color w:val="000000"/>
              </w:rPr>
            </w:pPr>
            <w:r>
              <w:rPr>
                <w:rFonts w:hint="eastAsia"/>
                <w:b/>
                <w:color w:val="000000"/>
                <w:lang w:eastAsia="zh-CN"/>
              </w:rPr>
              <w:t>联合国</w:t>
            </w:r>
            <w:proofErr w:type="spellStart"/>
            <w:r w:rsidR="005514C8" w:rsidRPr="005514C8">
              <w:rPr>
                <w:b/>
                <w:color w:val="000000"/>
              </w:rPr>
              <w:t>环境规划署</w:t>
            </w:r>
            <w:proofErr w:type="spellEnd"/>
          </w:p>
        </w:tc>
        <w:tc>
          <w:tcPr>
            <w:tcW w:w="1355" w:type="dxa"/>
            <w:vAlign w:val="center"/>
          </w:tcPr>
          <w:p w:rsidR="005514C8" w:rsidRPr="005514C8" w:rsidRDefault="002B618E">
            <w:pPr>
              <w:jc w:val="center"/>
              <w:rPr>
                <w:b/>
                <w:color w:val="000000"/>
              </w:rPr>
            </w:pPr>
            <w:r>
              <w:rPr>
                <w:rFonts w:hint="eastAsia"/>
                <w:b/>
                <w:color w:val="000000"/>
                <w:lang w:eastAsia="zh-CN"/>
              </w:rPr>
              <w:t>联合国</w:t>
            </w:r>
            <w:proofErr w:type="spellStart"/>
            <w:r w:rsidR="005514C8" w:rsidRPr="005514C8">
              <w:rPr>
                <w:b/>
                <w:color w:val="000000"/>
              </w:rPr>
              <w:t>工发组织</w:t>
            </w:r>
            <w:proofErr w:type="spellEnd"/>
          </w:p>
        </w:tc>
        <w:tc>
          <w:tcPr>
            <w:tcW w:w="1246" w:type="dxa"/>
            <w:noWrap/>
            <w:vAlign w:val="center"/>
          </w:tcPr>
          <w:p w:rsidR="005514C8" w:rsidRPr="005514C8" w:rsidRDefault="005514C8">
            <w:pPr>
              <w:jc w:val="center"/>
              <w:rPr>
                <w:b/>
                <w:color w:val="000000"/>
              </w:rPr>
            </w:pPr>
            <w:proofErr w:type="spellStart"/>
            <w:r w:rsidRPr="005514C8">
              <w:rPr>
                <w:b/>
                <w:color w:val="000000"/>
              </w:rPr>
              <w:t>总计</w:t>
            </w:r>
            <w:proofErr w:type="spellEnd"/>
          </w:p>
        </w:tc>
        <w:tc>
          <w:tcPr>
            <w:tcW w:w="2084" w:type="dxa"/>
            <w:noWrap/>
            <w:vAlign w:val="center"/>
          </w:tcPr>
          <w:p w:rsidR="005514C8" w:rsidRPr="005514C8" w:rsidRDefault="002B618E">
            <w:pPr>
              <w:jc w:val="center"/>
              <w:rPr>
                <w:b/>
                <w:color w:val="000000"/>
              </w:rPr>
            </w:pPr>
            <w:r>
              <w:rPr>
                <w:rFonts w:hint="eastAsia"/>
                <w:b/>
                <w:color w:val="000000"/>
                <w:lang w:eastAsia="zh-CN"/>
              </w:rPr>
              <w:t>拨</w:t>
            </w:r>
            <w:proofErr w:type="spellStart"/>
            <w:r w:rsidR="005514C8" w:rsidRPr="005514C8">
              <w:rPr>
                <w:b/>
                <w:color w:val="000000"/>
              </w:rPr>
              <w:t>付率</w:t>
            </w:r>
            <w:proofErr w:type="spellEnd"/>
          </w:p>
          <w:p w:rsidR="005514C8" w:rsidRPr="005514C8" w:rsidRDefault="005514C8">
            <w:pPr>
              <w:jc w:val="center"/>
              <w:rPr>
                <w:b/>
                <w:color w:val="000000"/>
              </w:rPr>
            </w:pPr>
            <w:r w:rsidRPr="005514C8">
              <w:rPr>
                <w:b/>
                <w:color w:val="000000"/>
              </w:rPr>
              <w:t>(%)</w:t>
            </w:r>
          </w:p>
        </w:tc>
      </w:tr>
      <w:tr w:rsidR="005514C8" w:rsidRPr="005514C8">
        <w:trPr>
          <w:trHeight w:val="179"/>
        </w:trPr>
        <w:tc>
          <w:tcPr>
            <w:tcW w:w="1710" w:type="dxa"/>
            <w:vMerge w:val="restart"/>
            <w:noWrap/>
            <w:vAlign w:val="center"/>
          </w:tcPr>
          <w:p w:rsidR="005514C8" w:rsidRPr="005514C8" w:rsidRDefault="005514C8">
            <w:pPr>
              <w:jc w:val="left"/>
              <w:rPr>
                <w:bCs/>
                <w:color w:val="000000"/>
              </w:rPr>
            </w:pPr>
            <w:proofErr w:type="spellStart"/>
            <w:r w:rsidRPr="005514C8">
              <w:rPr>
                <w:color w:val="000000"/>
              </w:rPr>
              <w:t>第一次</w:t>
            </w:r>
            <w:proofErr w:type="spellEnd"/>
          </w:p>
        </w:tc>
        <w:tc>
          <w:tcPr>
            <w:tcW w:w="1800" w:type="dxa"/>
            <w:noWrap/>
            <w:vAlign w:val="center"/>
          </w:tcPr>
          <w:p w:rsidR="005514C8" w:rsidRPr="005514C8" w:rsidRDefault="005514C8">
            <w:pPr>
              <w:rPr>
                <w:bCs/>
                <w:color w:val="000000"/>
              </w:rPr>
            </w:pPr>
            <w:proofErr w:type="spellStart"/>
            <w:r w:rsidRPr="005514C8">
              <w:rPr>
                <w:color w:val="000000"/>
              </w:rPr>
              <w:t>核准资金</w:t>
            </w:r>
            <w:proofErr w:type="spellEnd"/>
            <w:r w:rsidRPr="005514C8">
              <w:rPr>
                <w:color w:val="000000"/>
              </w:rPr>
              <w:t xml:space="preserve"> </w:t>
            </w:r>
          </w:p>
        </w:tc>
        <w:tc>
          <w:tcPr>
            <w:tcW w:w="1350" w:type="dxa"/>
            <w:noWrap/>
          </w:tcPr>
          <w:p w:rsidR="005514C8" w:rsidRPr="005514C8" w:rsidRDefault="005514C8">
            <w:pPr>
              <w:jc w:val="right"/>
              <w:rPr>
                <w:color w:val="000000"/>
              </w:rPr>
            </w:pPr>
            <w:r w:rsidRPr="005514C8">
              <w:rPr>
                <w:color w:val="000000"/>
              </w:rPr>
              <w:t>85,000</w:t>
            </w:r>
          </w:p>
        </w:tc>
        <w:tc>
          <w:tcPr>
            <w:tcW w:w="1355" w:type="dxa"/>
          </w:tcPr>
          <w:p w:rsidR="005514C8" w:rsidRPr="005514C8" w:rsidRDefault="005514C8">
            <w:pPr>
              <w:jc w:val="right"/>
              <w:rPr>
                <w:color w:val="000000"/>
              </w:rPr>
            </w:pPr>
            <w:r w:rsidRPr="005514C8">
              <w:rPr>
                <w:color w:val="000000"/>
              </w:rPr>
              <w:t>100,000</w:t>
            </w:r>
          </w:p>
        </w:tc>
        <w:tc>
          <w:tcPr>
            <w:tcW w:w="1246" w:type="dxa"/>
            <w:noWrap/>
          </w:tcPr>
          <w:p w:rsidR="005514C8" w:rsidRPr="005514C8" w:rsidRDefault="005514C8">
            <w:pPr>
              <w:jc w:val="right"/>
              <w:rPr>
                <w:color w:val="000000"/>
              </w:rPr>
            </w:pPr>
            <w:r w:rsidRPr="005514C8">
              <w:rPr>
                <w:color w:val="000000"/>
              </w:rPr>
              <w:t>185,000</w:t>
            </w:r>
          </w:p>
        </w:tc>
        <w:tc>
          <w:tcPr>
            <w:tcW w:w="2084" w:type="dxa"/>
            <w:vMerge w:val="restart"/>
            <w:noWrap/>
            <w:vAlign w:val="center"/>
          </w:tcPr>
          <w:p w:rsidR="005514C8" w:rsidRPr="005514C8" w:rsidRDefault="005514C8">
            <w:pPr>
              <w:jc w:val="center"/>
              <w:rPr>
                <w:color w:val="000000"/>
              </w:rPr>
            </w:pPr>
            <w:r w:rsidRPr="005514C8">
              <w:rPr>
                <w:color w:val="000000"/>
              </w:rPr>
              <w:t>100</w:t>
            </w:r>
          </w:p>
        </w:tc>
      </w:tr>
      <w:tr w:rsidR="005514C8" w:rsidRPr="005514C8">
        <w:trPr>
          <w:trHeight w:val="215"/>
        </w:trPr>
        <w:tc>
          <w:tcPr>
            <w:tcW w:w="1710" w:type="dxa"/>
            <w:vMerge/>
            <w:vAlign w:val="center"/>
          </w:tcPr>
          <w:p w:rsidR="005514C8" w:rsidRPr="005514C8" w:rsidRDefault="005514C8">
            <w:pPr>
              <w:jc w:val="left"/>
              <w:rPr>
                <w:bCs/>
                <w:color w:val="000000"/>
              </w:rPr>
            </w:pPr>
          </w:p>
        </w:tc>
        <w:tc>
          <w:tcPr>
            <w:tcW w:w="1800" w:type="dxa"/>
            <w:noWrap/>
            <w:vAlign w:val="center"/>
          </w:tcPr>
          <w:p w:rsidR="005514C8" w:rsidRPr="005514C8" w:rsidRDefault="002B618E" w:rsidP="002B618E">
            <w:pPr>
              <w:rPr>
                <w:bCs/>
                <w:color w:val="000000"/>
              </w:rPr>
            </w:pPr>
            <w:r>
              <w:rPr>
                <w:rFonts w:hint="eastAsia"/>
                <w:color w:val="000000"/>
                <w:lang w:eastAsia="zh-CN"/>
              </w:rPr>
              <w:t>拨付</w:t>
            </w:r>
            <w:proofErr w:type="spellStart"/>
            <w:r w:rsidR="005514C8" w:rsidRPr="005514C8">
              <w:rPr>
                <w:color w:val="000000"/>
              </w:rPr>
              <w:t>资金</w:t>
            </w:r>
            <w:proofErr w:type="spellEnd"/>
            <w:r w:rsidR="005514C8" w:rsidRPr="005514C8">
              <w:rPr>
                <w:color w:val="000000"/>
              </w:rPr>
              <w:t xml:space="preserve"> </w:t>
            </w:r>
          </w:p>
        </w:tc>
        <w:tc>
          <w:tcPr>
            <w:tcW w:w="1350" w:type="dxa"/>
            <w:noWrap/>
          </w:tcPr>
          <w:p w:rsidR="005514C8" w:rsidRPr="005514C8" w:rsidRDefault="005514C8">
            <w:pPr>
              <w:jc w:val="right"/>
              <w:rPr>
                <w:color w:val="000000"/>
              </w:rPr>
            </w:pPr>
            <w:r w:rsidRPr="005514C8">
              <w:rPr>
                <w:color w:val="000000"/>
              </w:rPr>
              <w:t>85,000</w:t>
            </w:r>
          </w:p>
        </w:tc>
        <w:tc>
          <w:tcPr>
            <w:tcW w:w="1355" w:type="dxa"/>
          </w:tcPr>
          <w:p w:rsidR="005514C8" w:rsidRPr="005514C8" w:rsidRDefault="005514C8">
            <w:pPr>
              <w:jc w:val="right"/>
              <w:rPr>
                <w:color w:val="000000"/>
              </w:rPr>
            </w:pPr>
            <w:r w:rsidRPr="005514C8">
              <w:rPr>
                <w:color w:val="000000"/>
              </w:rPr>
              <w:t>99,910</w:t>
            </w:r>
          </w:p>
        </w:tc>
        <w:tc>
          <w:tcPr>
            <w:tcW w:w="1246" w:type="dxa"/>
            <w:noWrap/>
          </w:tcPr>
          <w:p w:rsidR="005514C8" w:rsidRPr="005514C8" w:rsidRDefault="005514C8">
            <w:pPr>
              <w:jc w:val="right"/>
              <w:rPr>
                <w:color w:val="000000"/>
              </w:rPr>
            </w:pPr>
            <w:r w:rsidRPr="005514C8">
              <w:rPr>
                <w:color w:val="000000"/>
              </w:rPr>
              <w:t>184,910</w:t>
            </w:r>
          </w:p>
        </w:tc>
        <w:tc>
          <w:tcPr>
            <w:tcW w:w="2084" w:type="dxa"/>
            <w:vMerge/>
            <w:vAlign w:val="center"/>
          </w:tcPr>
          <w:p w:rsidR="005514C8" w:rsidRPr="005514C8" w:rsidRDefault="005514C8">
            <w:pPr>
              <w:jc w:val="center"/>
              <w:rPr>
                <w:color w:val="000000"/>
              </w:rPr>
            </w:pPr>
          </w:p>
        </w:tc>
      </w:tr>
      <w:tr w:rsidR="005514C8" w:rsidRPr="005514C8">
        <w:trPr>
          <w:trHeight w:val="152"/>
        </w:trPr>
        <w:tc>
          <w:tcPr>
            <w:tcW w:w="1710" w:type="dxa"/>
            <w:vMerge w:val="restart"/>
            <w:noWrap/>
            <w:vAlign w:val="center"/>
          </w:tcPr>
          <w:p w:rsidR="005514C8" w:rsidRPr="005514C8" w:rsidRDefault="005514C8">
            <w:pPr>
              <w:jc w:val="left"/>
              <w:rPr>
                <w:bCs/>
                <w:color w:val="000000"/>
              </w:rPr>
            </w:pPr>
            <w:proofErr w:type="spellStart"/>
            <w:r w:rsidRPr="005514C8">
              <w:rPr>
                <w:color w:val="000000"/>
              </w:rPr>
              <w:t>第二次</w:t>
            </w:r>
            <w:proofErr w:type="spellEnd"/>
          </w:p>
        </w:tc>
        <w:tc>
          <w:tcPr>
            <w:tcW w:w="1800" w:type="dxa"/>
            <w:noWrap/>
            <w:vAlign w:val="center"/>
          </w:tcPr>
          <w:p w:rsidR="005514C8" w:rsidRPr="005514C8" w:rsidRDefault="005514C8">
            <w:pPr>
              <w:rPr>
                <w:bCs/>
                <w:color w:val="000000"/>
              </w:rPr>
            </w:pPr>
            <w:proofErr w:type="spellStart"/>
            <w:r w:rsidRPr="005514C8">
              <w:rPr>
                <w:color w:val="000000"/>
              </w:rPr>
              <w:t>核准资金</w:t>
            </w:r>
            <w:proofErr w:type="spellEnd"/>
            <w:r w:rsidRPr="005514C8">
              <w:rPr>
                <w:color w:val="000000"/>
              </w:rPr>
              <w:t xml:space="preserve"> </w:t>
            </w:r>
          </w:p>
        </w:tc>
        <w:tc>
          <w:tcPr>
            <w:tcW w:w="1350" w:type="dxa"/>
            <w:noWrap/>
          </w:tcPr>
          <w:p w:rsidR="005514C8" w:rsidRPr="005514C8" w:rsidRDefault="005514C8">
            <w:pPr>
              <w:jc w:val="right"/>
              <w:rPr>
                <w:color w:val="000000"/>
              </w:rPr>
            </w:pPr>
            <w:r w:rsidRPr="005514C8">
              <w:rPr>
                <w:color w:val="000000"/>
              </w:rPr>
              <w:t>85,000</w:t>
            </w:r>
          </w:p>
        </w:tc>
        <w:tc>
          <w:tcPr>
            <w:tcW w:w="1355" w:type="dxa"/>
          </w:tcPr>
          <w:p w:rsidR="005514C8" w:rsidRPr="005514C8" w:rsidRDefault="005514C8">
            <w:pPr>
              <w:jc w:val="right"/>
              <w:rPr>
                <w:color w:val="000000"/>
              </w:rPr>
            </w:pPr>
            <w:r w:rsidRPr="005514C8">
              <w:rPr>
                <w:color w:val="000000"/>
              </w:rPr>
              <w:t>40,000</w:t>
            </w:r>
          </w:p>
        </w:tc>
        <w:tc>
          <w:tcPr>
            <w:tcW w:w="1246" w:type="dxa"/>
            <w:noWrap/>
          </w:tcPr>
          <w:p w:rsidR="005514C8" w:rsidRPr="005514C8" w:rsidRDefault="005514C8">
            <w:pPr>
              <w:jc w:val="right"/>
              <w:rPr>
                <w:color w:val="000000"/>
              </w:rPr>
            </w:pPr>
            <w:r w:rsidRPr="005514C8">
              <w:rPr>
                <w:color w:val="000000"/>
              </w:rPr>
              <w:t>125,000</w:t>
            </w:r>
          </w:p>
        </w:tc>
        <w:tc>
          <w:tcPr>
            <w:tcW w:w="2084" w:type="dxa"/>
            <w:vMerge w:val="restart"/>
            <w:noWrap/>
            <w:vAlign w:val="center"/>
          </w:tcPr>
          <w:p w:rsidR="005514C8" w:rsidRPr="005514C8" w:rsidRDefault="005514C8">
            <w:pPr>
              <w:jc w:val="center"/>
              <w:rPr>
                <w:color w:val="000000"/>
              </w:rPr>
            </w:pPr>
            <w:r w:rsidRPr="005514C8">
              <w:rPr>
                <w:color w:val="000000"/>
              </w:rPr>
              <w:t>100</w:t>
            </w:r>
          </w:p>
        </w:tc>
      </w:tr>
      <w:tr w:rsidR="005514C8" w:rsidRPr="005514C8">
        <w:trPr>
          <w:trHeight w:val="179"/>
        </w:trPr>
        <w:tc>
          <w:tcPr>
            <w:tcW w:w="1710" w:type="dxa"/>
            <w:vMerge/>
            <w:vAlign w:val="center"/>
          </w:tcPr>
          <w:p w:rsidR="005514C8" w:rsidRPr="005514C8" w:rsidRDefault="005514C8">
            <w:pPr>
              <w:jc w:val="left"/>
              <w:rPr>
                <w:bCs/>
                <w:color w:val="000000"/>
              </w:rPr>
            </w:pPr>
          </w:p>
        </w:tc>
        <w:tc>
          <w:tcPr>
            <w:tcW w:w="1800" w:type="dxa"/>
            <w:noWrap/>
            <w:vAlign w:val="center"/>
          </w:tcPr>
          <w:p w:rsidR="005514C8" w:rsidRPr="005514C8" w:rsidRDefault="002B618E" w:rsidP="002B618E">
            <w:pPr>
              <w:rPr>
                <w:bCs/>
                <w:color w:val="000000"/>
              </w:rPr>
            </w:pPr>
            <w:r>
              <w:rPr>
                <w:rFonts w:hint="eastAsia"/>
                <w:color w:val="000000"/>
                <w:lang w:eastAsia="zh-CN"/>
              </w:rPr>
              <w:t>拨付</w:t>
            </w:r>
            <w:proofErr w:type="spellStart"/>
            <w:r w:rsidR="005514C8" w:rsidRPr="005514C8">
              <w:rPr>
                <w:color w:val="000000"/>
              </w:rPr>
              <w:t>资金</w:t>
            </w:r>
            <w:proofErr w:type="spellEnd"/>
            <w:r w:rsidR="005514C8" w:rsidRPr="005514C8">
              <w:rPr>
                <w:color w:val="000000"/>
              </w:rPr>
              <w:t xml:space="preserve"> </w:t>
            </w:r>
          </w:p>
        </w:tc>
        <w:tc>
          <w:tcPr>
            <w:tcW w:w="1350" w:type="dxa"/>
            <w:noWrap/>
          </w:tcPr>
          <w:p w:rsidR="005514C8" w:rsidRPr="005514C8" w:rsidRDefault="005514C8">
            <w:pPr>
              <w:jc w:val="right"/>
              <w:rPr>
                <w:color w:val="000000"/>
              </w:rPr>
            </w:pPr>
            <w:r w:rsidRPr="005514C8">
              <w:rPr>
                <w:color w:val="000000"/>
              </w:rPr>
              <w:t>85,000</w:t>
            </w:r>
          </w:p>
        </w:tc>
        <w:tc>
          <w:tcPr>
            <w:tcW w:w="1355" w:type="dxa"/>
          </w:tcPr>
          <w:p w:rsidR="005514C8" w:rsidRPr="005514C8" w:rsidRDefault="005514C8">
            <w:pPr>
              <w:jc w:val="right"/>
              <w:rPr>
                <w:color w:val="000000"/>
              </w:rPr>
            </w:pPr>
            <w:r w:rsidRPr="005514C8">
              <w:rPr>
                <w:color w:val="000000"/>
              </w:rPr>
              <w:t>39,705</w:t>
            </w:r>
          </w:p>
        </w:tc>
        <w:tc>
          <w:tcPr>
            <w:tcW w:w="1246" w:type="dxa"/>
            <w:noWrap/>
          </w:tcPr>
          <w:p w:rsidR="005514C8" w:rsidRPr="005514C8" w:rsidRDefault="005514C8">
            <w:pPr>
              <w:jc w:val="right"/>
              <w:rPr>
                <w:color w:val="000000"/>
              </w:rPr>
            </w:pPr>
            <w:r w:rsidRPr="005514C8">
              <w:rPr>
                <w:color w:val="000000"/>
              </w:rPr>
              <w:t>124,705</w:t>
            </w:r>
          </w:p>
        </w:tc>
        <w:tc>
          <w:tcPr>
            <w:tcW w:w="2084" w:type="dxa"/>
            <w:vMerge/>
            <w:vAlign w:val="center"/>
          </w:tcPr>
          <w:p w:rsidR="005514C8" w:rsidRPr="005514C8" w:rsidRDefault="005514C8">
            <w:pPr>
              <w:jc w:val="center"/>
              <w:rPr>
                <w:color w:val="000000"/>
              </w:rPr>
            </w:pPr>
          </w:p>
        </w:tc>
      </w:tr>
      <w:tr w:rsidR="005514C8" w:rsidRPr="005514C8">
        <w:trPr>
          <w:trHeight w:val="62"/>
        </w:trPr>
        <w:tc>
          <w:tcPr>
            <w:tcW w:w="1710" w:type="dxa"/>
            <w:vMerge w:val="restart"/>
            <w:noWrap/>
            <w:vAlign w:val="center"/>
          </w:tcPr>
          <w:p w:rsidR="005514C8" w:rsidRPr="005514C8" w:rsidRDefault="005514C8">
            <w:pPr>
              <w:jc w:val="left"/>
              <w:rPr>
                <w:bCs/>
                <w:color w:val="000000"/>
              </w:rPr>
            </w:pPr>
            <w:proofErr w:type="spellStart"/>
            <w:r w:rsidRPr="005514C8">
              <w:rPr>
                <w:color w:val="000000"/>
              </w:rPr>
              <w:t>第三次</w:t>
            </w:r>
            <w:proofErr w:type="spellEnd"/>
          </w:p>
        </w:tc>
        <w:tc>
          <w:tcPr>
            <w:tcW w:w="1800" w:type="dxa"/>
            <w:noWrap/>
            <w:vAlign w:val="center"/>
          </w:tcPr>
          <w:p w:rsidR="005514C8" w:rsidRPr="005514C8" w:rsidRDefault="005514C8">
            <w:pPr>
              <w:rPr>
                <w:bCs/>
                <w:color w:val="000000"/>
              </w:rPr>
            </w:pPr>
            <w:proofErr w:type="spellStart"/>
            <w:r w:rsidRPr="005514C8">
              <w:rPr>
                <w:color w:val="000000"/>
              </w:rPr>
              <w:t>核准资金</w:t>
            </w:r>
            <w:proofErr w:type="spellEnd"/>
            <w:r w:rsidRPr="005514C8">
              <w:rPr>
                <w:color w:val="000000"/>
              </w:rPr>
              <w:t xml:space="preserve"> </w:t>
            </w:r>
          </w:p>
        </w:tc>
        <w:tc>
          <w:tcPr>
            <w:tcW w:w="1350" w:type="dxa"/>
            <w:noWrap/>
          </w:tcPr>
          <w:p w:rsidR="005514C8" w:rsidRPr="005514C8" w:rsidRDefault="005514C8">
            <w:pPr>
              <w:jc w:val="right"/>
              <w:rPr>
                <w:color w:val="000000"/>
              </w:rPr>
            </w:pPr>
            <w:r w:rsidRPr="005514C8">
              <w:rPr>
                <w:color w:val="000000"/>
              </w:rPr>
              <w:t>75,000</w:t>
            </w:r>
          </w:p>
        </w:tc>
        <w:tc>
          <w:tcPr>
            <w:tcW w:w="1355" w:type="dxa"/>
          </w:tcPr>
          <w:p w:rsidR="005514C8" w:rsidRPr="005514C8" w:rsidRDefault="005514C8">
            <w:pPr>
              <w:jc w:val="right"/>
              <w:rPr>
                <w:color w:val="000000"/>
              </w:rPr>
            </w:pPr>
            <w:r w:rsidRPr="005514C8">
              <w:rPr>
                <w:color w:val="000000"/>
              </w:rPr>
              <w:t>120,000</w:t>
            </w:r>
          </w:p>
        </w:tc>
        <w:tc>
          <w:tcPr>
            <w:tcW w:w="1246" w:type="dxa"/>
            <w:noWrap/>
          </w:tcPr>
          <w:p w:rsidR="005514C8" w:rsidRPr="005514C8" w:rsidRDefault="005514C8">
            <w:pPr>
              <w:jc w:val="right"/>
              <w:rPr>
                <w:color w:val="000000"/>
              </w:rPr>
            </w:pPr>
            <w:r w:rsidRPr="005514C8">
              <w:rPr>
                <w:color w:val="000000"/>
              </w:rPr>
              <w:t>195,000</w:t>
            </w:r>
          </w:p>
        </w:tc>
        <w:tc>
          <w:tcPr>
            <w:tcW w:w="2084" w:type="dxa"/>
            <w:vMerge w:val="restart"/>
            <w:noWrap/>
            <w:vAlign w:val="center"/>
          </w:tcPr>
          <w:p w:rsidR="005514C8" w:rsidRPr="005514C8" w:rsidRDefault="005514C8">
            <w:pPr>
              <w:jc w:val="center"/>
              <w:rPr>
                <w:color w:val="000000"/>
              </w:rPr>
            </w:pPr>
            <w:r w:rsidRPr="005514C8">
              <w:rPr>
                <w:color w:val="000000"/>
              </w:rPr>
              <w:t>90</w:t>
            </w:r>
          </w:p>
        </w:tc>
      </w:tr>
      <w:tr w:rsidR="005514C8" w:rsidRPr="005514C8">
        <w:trPr>
          <w:trHeight w:val="89"/>
        </w:trPr>
        <w:tc>
          <w:tcPr>
            <w:tcW w:w="1710" w:type="dxa"/>
            <w:vMerge/>
            <w:vAlign w:val="center"/>
          </w:tcPr>
          <w:p w:rsidR="005514C8" w:rsidRPr="005514C8" w:rsidRDefault="005514C8">
            <w:pPr>
              <w:jc w:val="left"/>
              <w:rPr>
                <w:bCs/>
                <w:color w:val="000000"/>
              </w:rPr>
            </w:pPr>
          </w:p>
        </w:tc>
        <w:tc>
          <w:tcPr>
            <w:tcW w:w="1800" w:type="dxa"/>
            <w:noWrap/>
            <w:vAlign w:val="center"/>
          </w:tcPr>
          <w:p w:rsidR="005514C8" w:rsidRPr="005514C8" w:rsidRDefault="002B618E" w:rsidP="002B618E">
            <w:pPr>
              <w:rPr>
                <w:bCs/>
                <w:color w:val="000000"/>
              </w:rPr>
            </w:pPr>
            <w:r>
              <w:rPr>
                <w:rFonts w:hint="eastAsia"/>
                <w:color w:val="000000"/>
                <w:lang w:eastAsia="zh-CN"/>
              </w:rPr>
              <w:t>拨付</w:t>
            </w:r>
            <w:proofErr w:type="spellStart"/>
            <w:r w:rsidR="005514C8" w:rsidRPr="005514C8">
              <w:rPr>
                <w:color w:val="000000"/>
              </w:rPr>
              <w:t>资金</w:t>
            </w:r>
            <w:proofErr w:type="spellEnd"/>
            <w:r w:rsidR="005514C8" w:rsidRPr="005514C8">
              <w:rPr>
                <w:color w:val="000000"/>
              </w:rPr>
              <w:t xml:space="preserve"> </w:t>
            </w:r>
          </w:p>
        </w:tc>
        <w:tc>
          <w:tcPr>
            <w:tcW w:w="1350" w:type="dxa"/>
            <w:noWrap/>
          </w:tcPr>
          <w:p w:rsidR="005514C8" w:rsidRPr="005514C8" w:rsidRDefault="005514C8">
            <w:pPr>
              <w:jc w:val="right"/>
              <w:rPr>
                <w:color w:val="000000"/>
              </w:rPr>
            </w:pPr>
            <w:r w:rsidRPr="005514C8">
              <w:rPr>
                <w:color w:val="000000"/>
              </w:rPr>
              <w:t>55,000</w:t>
            </w:r>
          </w:p>
        </w:tc>
        <w:tc>
          <w:tcPr>
            <w:tcW w:w="1355" w:type="dxa"/>
          </w:tcPr>
          <w:p w:rsidR="005514C8" w:rsidRPr="005514C8" w:rsidRDefault="005514C8">
            <w:pPr>
              <w:jc w:val="right"/>
              <w:rPr>
                <w:color w:val="000000"/>
              </w:rPr>
            </w:pPr>
            <w:r w:rsidRPr="005514C8">
              <w:t>119,949</w:t>
            </w:r>
          </w:p>
        </w:tc>
        <w:tc>
          <w:tcPr>
            <w:tcW w:w="1246" w:type="dxa"/>
            <w:noWrap/>
          </w:tcPr>
          <w:p w:rsidR="005514C8" w:rsidRPr="005514C8" w:rsidRDefault="005514C8">
            <w:pPr>
              <w:jc w:val="right"/>
              <w:rPr>
                <w:color w:val="000000"/>
              </w:rPr>
            </w:pPr>
            <w:r w:rsidRPr="005514C8">
              <w:t>174,949</w:t>
            </w:r>
          </w:p>
        </w:tc>
        <w:tc>
          <w:tcPr>
            <w:tcW w:w="2084" w:type="dxa"/>
            <w:vMerge/>
            <w:vAlign w:val="center"/>
          </w:tcPr>
          <w:p w:rsidR="005514C8" w:rsidRPr="005514C8" w:rsidRDefault="005514C8">
            <w:pPr>
              <w:jc w:val="center"/>
              <w:rPr>
                <w:color w:val="000000"/>
              </w:rPr>
            </w:pPr>
          </w:p>
        </w:tc>
      </w:tr>
      <w:tr w:rsidR="005514C8" w:rsidRPr="005514C8">
        <w:trPr>
          <w:trHeight w:val="58"/>
        </w:trPr>
        <w:tc>
          <w:tcPr>
            <w:tcW w:w="1710" w:type="dxa"/>
            <w:vMerge w:val="restart"/>
            <w:vAlign w:val="center"/>
          </w:tcPr>
          <w:p w:rsidR="005514C8" w:rsidRPr="005514C8" w:rsidRDefault="005514C8">
            <w:pPr>
              <w:jc w:val="left"/>
              <w:rPr>
                <w:bCs/>
                <w:color w:val="000000"/>
              </w:rPr>
            </w:pPr>
            <w:proofErr w:type="spellStart"/>
            <w:r w:rsidRPr="005514C8">
              <w:rPr>
                <w:color w:val="000000"/>
              </w:rPr>
              <w:t>第四次</w:t>
            </w:r>
            <w:proofErr w:type="spellEnd"/>
          </w:p>
        </w:tc>
        <w:tc>
          <w:tcPr>
            <w:tcW w:w="1800" w:type="dxa"/>
            <w:vAlign w:val="center"/>
          </w:tcPr>
          <w:p w:rsidR="005514C8" w:rsidRPr="005514C8" w:rsidRDefault="005514C8">
            <w:pPr>
              <w:rPr>
                <w:bCs/>
                <w:color w:val="000000"/>
              </w:rPr>
            </w:pPr>
            <w:proofErr w:type="spellStart"/>
            <w:r w:rsidRPr="005514C8">
              <w:rPr>
                <w:color w:val="000000"/>
              </w:rPr>
              <w:t>核准资金</w:t>
            </w:r>
            <w:proofErr w:type="spellEnd"/>
            <w:r w:rsidRPr="005514C8">
              <w:rPr>
                <w:color w:val="000000"/>
              </w:rPr>
              <w:t xml:space="preserve"> </w:t>
            </w:r>
          </w:p>
        </w:tc>
        <w:tc>
          <w:tcPr>
            <w:tcW w:w="1350" w:type="dxa"/>
          </w:tcPr>
          <w:p w:rsidR="005514C8" w:rsidRPr="005514C8" w:rsidRDefault="005514C8">
            <w:pPr>
              <w:jc w:val="right"/>
              <w:rPr>
                <w:color w:val="000000"/>
              </w:rPr>
            </w:pPr>
            <w:r w:rsidRPr="005514C8">
              <w:t>65,000</w:t>
            </w:r>
          </w:p>
        </w:tc>
        <w:tc>
          <w:tcPr>
            <w:tcW w:w="1355" w:type="dxa"/>
          </w:tcPr>
          <w:p w:rsidR="005514C8" w:rsidRPr="005514C8" w:rsidRDefault="005514C8">
            <w:pPr>
              <w:jc w:val="right"/>
              <w:rPr>
                <w:color w:val="000000"/>
              </w:rPr>
            </w:pPr>
            <w:proofErr w:type="spellStart"/>
            <w:r w:rsidRPr="005514C8">
              <w:rPr>
                <w:color w:val="000000"/>
              </w:rPr>
              <w:t>不适用</w:t>
            </w:r>
            <w:proofErr w:type="spellEnd"/>
            <w:r w:rsidRPr="005514C8">
              <w:t xml:space="preserve"> </w:t>
            </w:r>
          </w:p>
        </w:tc>
        <w:tc>
          <w:tcPr>
            <w:tcW w:w="1246" w:type="dxa"/>
          </w:tcPr>
          <w:p w:rsidR="005514C8" w:rsidRPr="005514C8" w:rsidRDefault="005514C8">
            <w:pPr>
              <w:jc w:val="right"/>
              <w:rPr>
                <w:color w:val="000000"/>
              </w:rPr>
            </w:pPr>
            <w:r w:rsidRPr="005514C8">
              <w:t>65,000</w:t>
            </w:r>
          </w:p>
        </w:tc>
        <w:tc>
          <w:tcPr>
            <w:tcW w:w="2084" w:type="dxa"/>
            <w:vMerge w:val="restart"/>
            <w:vAlign w:val="center"/>
          </w:tcPr>
          <w:p w:rsidR="005514C8" w:rsidRPr="005514C8" w:rsidRDefault="005514C8">
            <w:pPr>
              <w:jc w:val="center"/>
              <w:rPr>
                <w:color w:val="000000"/>
              </w:rPr>
            </w:pPr>
            <w:r w:rsidRPr="005514C8">
              <w:rPr>
                <w:color w:val="000000"/>
              </w:rPr>
              <w:t>100</w:t>
            </w:r>
          </w:p>
        </w:tc>
      </w:tr>
      <w:tr w:rsidR="005514C8" w:rsidRPr="005514C8">
        <w:trPr>
          <w:trHeight w:val="58"/>
        </w:trPr>
        <w:tc>
          <w:tcPr>
            <w:tcW w:w="1710" w:type="dxa"/>
            <w:vMerge/>
            <w:vAlign w:val="center"/>
          </w:tcPr>
          <w:p w:rsidR="005514C8" w:rsidRPr="005514C8" w:rsidRDefault="005514C8">
            <w:pPr>
              <w:jc w:val="left"/>
              <w:rPr>
                <w:bCs/>
                <w:color w:val="000000"/>
              </w:rPr>
            </w:pPr>
          </w:p>
        </w:tc>
        <w:tc>
          <w:tcPr>
            <w:tcW w:w="1800" w:type="dxa"/>
            <w:vAlign w:val="center"/>
          </w:tcPr>
          <w:p w:rsidR="005514C8" w:rsidRPr="005514C8" w:rsidRDefault="002B618E" w:rsidP="002B618E">
            <w:pPr>
              <w:rPr>
                <w:bCs/>
                <w:color w:val="000000"/>
              </w:rPr>
            </w:pPr>
            <w:r>
              <w:rPr>
                <w:rFonts w:hint="eastAsia"/>
                <w:color w:val="000000"/>
                <w:lang w:eastAsia="zh-CN"/>
              </w:rPr>
              <w:t>拨付</w:t>
            </w:r>
            <w:proofErr w:type="spellStart"/>
            <w:r w:rsidR="005514C8" w:rsidRPr="005514C8">
              <w:rPr>
                <w:color w:val="000000"/>
              </w:rPr>
              <w:t>资金</w:t>
            </w:r>
            <w:proofErr w:type="spellEnd"/>
            <w:r w:rsidR="005514C8" w:rsidRPr="005514C8">
              <w:rPr>
                <w:color w:val="000000"/>
              </w:rPr>
              <w:t xml:space="preserve"> </w:t>
            </w:r>
          </w:p>
        </w:tc>
        <w:tc>
          <w:tcPr>
            <w:tcW w:w="1350" w:type="dxa"/>
          </w:tcPr>
          <w:p w:rsidR="005514C8" w:rsidRPr="005514C8" w:rsidRDefault="005514C8">
            <w:pPr>
              <w:jc w:val="right"/>
              <w:rPr>
                <w:color w:val="000000"/>
              </w:rPr>
            </w:pPr>
            <w:r w:rsidRPr="005514C8">
              <w:t>65,000</w:t>
            </w:r>
          </w:p>
        </w:tc>
        <w:tc>
          <w:tcPr>
            <w:tcW w:w="1355" w:type="dxa"/>
          </w:tcPr>
          <w:p w:rsidR="005514C8" w:rsidRPr="005514C8" w:rsidRDefault="005514C8">
            <w:pPr>
              <w:jc w:val="right"/>
              <w:rPr>
                <w:color w:val="000000"/>
              </w:rPr>
            </w:pPr>
            <w:proofErr w:type="spellStart"/>
            <w:r w:rsidRPr="005514C8">
              <w:rPr>
                <w:color w:val="000000"/>
              </w:rPr>
              <w:t>不适用</w:t>
            </w:r>
            <w:proofErr w:type="spellEnd"/>
          </w:p>
        </w:tc>
        <w:tc>
          <w:tcPr>
            <w:tcW w:w="1246" w:type="dxa"/>
          </w:tcPr>
          <w:p w:rsidR="005514C8" w:rsidRPr="005514C8" w:rsidRDefault="005514C8">
            <w:pPr>
              <w:jc w:val="right"/>
              <w:rPr>
                <w:color w:val="000000"/>
              </w:rPr>
            </w:pPr>
            <w:r w:rsidRPr="005514C8">
              <w:t>65,000</w:t>
            </w:r>
          </w:p>
        </w:tc>
        <w:tc>
          <w:tcPr>
            <w:tcW w:w="2084" w:type="dxa"/>
            <w:vMerge/>
            <w:vAlign w:val="center"/>
          </w:tcPr>
          <w:p w:rsidR="005514C8" w:rsidRPr="005514C8" w:rsidRDefault="005514C8">
            <w:pPr>
              <w:jc w:val="center"/>
              <w:rPr>
                <w:color w:val="000000"/>
              </w:rPr>
            </w:pPr>
          </w:p>
        </w:tc>
      </w:tr>
      <w:tr w:rsidR="005514C8" w:rsidRPr="005514C8">
        <w:trPr>
          <w:trHeight w:val="58"/>
        </w:trPr>
        <w:tc>
          <w:tcPr>
            <w:tcW w:w="1710" w:type="dxa"/>
            <w:vMerge w:val="restart"/>
            <w:vAlign w:val="center"/>
          </w:tcPr>
          <w:p w:rsidR="005514C8" w:rsidRPr="005514C8" w:rsidRDefault="005514C8">
            <w:pPr>
              <w:jc w:val="left"/>
              <w:rPr>
                <w:bCs/>
                <w:color w:val="000000"/>
              </w:rPr>
            </w:pPr>
            <w:proofErr w:type="spellStart"/>
            <w:r w:rsidRPr="005514C8">
              <w:rPr>
                <w:color w:val="000000"/>
              </w:rPr>
              <w:t>总计</w:t>
            </w:r>
            <w:proofErr w:type="spellEnd"/>
          </w:p>
        </w:tc>
        <w:tc>
          <w:tcPr>
            <w:tcW w:w="1800" w:type="dxa"/>
            <w:vAlign w:val="center"/>
          </w:tcPr>
          <w:p w:rsidR="005514C8" w:rsidRPr="005514C8" w:rsidRDefault="005514C8">
            <w:pPr>
              <w:rPr>
                <w:bCs/>
                <w:color w:val="000000"/>
              </w:rPr>
            </w:pPr>
            <w:proofErr w:type="spellStart"/>
            <w:r w:rsidRPr="005514C8">
              <w:rPr>
                <w:color w:val="000000"/>
              </w:rPr>
              <w:t>核准资金</w:t>
            </w:r>
            <w:proofErr w:type="spellEnd"/>
            <w:r w:rsidRPr="005514C8">
              <w:rPr>
                <w:color w:val="000000"/>
              </w:rPr>
              <w:t xml:space="preserve"> </w:t>
            </w:r>
          </w:p>
        </w:tc>
        <w:tc>
          <w:tcPr>
            <w:tcW w:w="1350" w:type="dxa"/>
          </w:tcPr>
          <w:p w:rsidR="005514C8" w:rsidRPr="005514C8" w:rsidRDefault="005514C8">
            <w:pPr>
              <w:jc w:val="right"/>
              <w:rPr>
                <w:color w:val="000000"/>
              </w:rPr>
            </w:pPr>
            <w:r w:rsidRPr="005514C8">
              <w:rPr>
                <w:color w:val="000000"/>
              </w:rPr>
              <w:t>310,000</w:t>
            </w:r>
          </w:p>
        </w:tc>
        <w:tc>
          <w:tcPr>
            <w:tcW w:w="1355" w:type="dxa"/>
          </w:tcPr>
          <w:p w:rsidR="005514C8" w:rsidRPr="005514C8" w:rsidRDefault="005514C8">
            <w:pPr>
              <w:jc w:val="right"/>
              <w:rPr>
                <w:color w:val="000000"/>
              </w:rPr>
            </w:pPr>
            <w:r w:rsidRPr="005514C8">
              <w:rPr>
                <w:color w:val="000000"/>
              </w:rPr>
              <w:t>260,000</w:t>
            </w:r>
          </w:p>
        </w:tc>
        <w:tc>
          <w:tcPr>
            <w:tcW w:w="1246" w:type="dxa"/>
          </w:tcPr>
          <w:p w:rsidR="005514C8" w:rsidRPr="005514C8" w:rsidRDefault="005514C8">
            <w:pPr>
              <w:jc w:val="right"/>
              <w:rPr>
                <w:color w:val="000000"/>
              </w:rPr>
            </w:pPr>
            <w:r w:rsidRPr="005514C8">
              <w:rPr>
                <w:color w:val="000000"/>
              </w:rPr>
              <w:t>570,000</w:t>
            </w:r>
          </w:p>
        </w:tc>
        <w:tc>
          <w:tcPr>
            <w:tcW w:w="2084" w:type="dxa"/>
            <w:vMerge w:val="restart"/>
            <w:vAlign w:val="center"/>
          </w:tcPr>
          <w:p w:rsidR="005514C8" w:rsidRPr="005514C8" w:rsidRDefault="005514C8">
            <w:pPr>
              <w:jc w:val="center"/>
              <w:rPr>
                <w:color w:val="000000"/>
              </w:rPr>
            </w:pPr>
            <w:r w:rsidRPr="005514C8">
              <w:rPr>
                <w:color w:val="000000"/>
              </w:rPr>
              <w:t>96</w:t>
            </w:r>
          </w:p>
        </w:tc>
      </w:tr>
      <w:tr w:rsidR="005514C8" w:rsidRPr="005514C8">
        <w:trPr>
          <w:trHeight w:val="179"/>
        </w:trPr>
        <w:tc>
          <w:tcPr>
            <w:tcW w:w="1710" w:type="dxa"/>
            <w:vMerge/>
            <w:vAlign w:val="center"/>
          </w:tcPr>
          <w:p w:rsidR="005514C8" w:rsidRPr="005514C8" w:rsidRDefault="005514C8">
            <w:pPr>
              <w:jc w:val="left"/>
              <w:rPr>
                <w:b/>
                <w:bCs/>
                <w:color w:val="000000"/>
              </w:rPr>
            </w:pPr>
          </w:p>
        </w:tc>
        <w:tc>
          <w:tcPr>
            <w:tcW w:w="1800" w:type="dxa"/>
            <w:vAlign w:val="center"/>
          </w:tcPr>
          <w:p w:rsidR="005514C8" w:rsidRPr="005514C8" w:rsidRDefault="002B618E" w:rsidP="002B618E">
            <w:pPr>
              <w:rPr>
                <w:bCs/>
                <w:color w:val="000000"/>
              </w:rPr>
            </w:pPr>
            <w:r>
              <w:rPr>
                <w:rFonts w:hint="eastAsia"/>
                <w:color w:val="000000"/>
                <w:lang w:eastAsia="zh-CN"/>
              </w:rPr>
              <w:t>拨付</w:t>
            </w:r>
            <w:proofErr w:type="spellStart"/>
            <w:r w:rsidR="005514C8" w:rsidRPr="005514C8">
              <w:rPr>
                <w:color w:val="000000"/>
              </w:rPr>
              <w:t>资金</w:t>
            </w:r>
            <w:proofErr w:type="spellEnd"/>
            <w:r w:rsidR="005514C8" w:rsidRPr="005514C8">
              <w:rPr>
                <w:color w:val="000000"/>
              </w:rPr>
              <w:t xml:space="preserve"> </w:t>
            </w:r>
          </w:p>
        </w:tc>
        <w:tc>
          <w:tcPr>
            <w:tcW w:w="1350" w:type="dxa"/>
          </w:tcPr>
          <w:p w:rsidR="005514C8" w:rsidRPr="005514C8" w:rsidRDefault="005514C8">
            <w:pPr>
              <w:jc w:val="right"/>
              <w:rPr>
                <w:color w:val="000000"/>
              </w:rPr>
            </w:pPr>
            <w:r w:rsidRPr="005514C8">
              <w:rPr>
                <w:color w:val="000000"/>
              </w:rPr>
              <w:t>290,000</w:t>
            </w:r>
          </w:p>
        </w:tc>
        <w:tc>
          <w:tcPr>
            <w:tcW w:w="1355" w:type="dxa"/>
          </w:tcPr>
          <w:p w:rsidR="005514C8" w:rsidRPr="005514C8" w:rsidRDefault="005514C8">
            <w:pPr>
              <w:jc w:val="right"/>
              <w:rPr>
                <w:color w:val="000000"/>
              </w:rPr>
            </w:pPr>
            <w:r w:rsidRPr="005514C8">
              <w:rPr>
                <w:color w:val="000000"/>
              </w:rPr>
              <w:t>259,564</w:t>
            </w:r>
          </w:p>
        </w:tc>
        <w:tc>
          <w:tcPr>
            <w:tcW w:w="1246" w:type="dxa"/>
          </w:tcPr>
          <w:p w:rsidR="005514C8" w:rsidRPr="005514C8" w:rsidRDefault="005514C8">
            <w:pPr>
              <w:jc w:val="right"/>
              <w:rPr>
                <w:color w:val="000000"/>
              </w:rPr>
            </w:pPr>
            <w:r w:rsidRPr="005514C8">
              <w:rPr>
                <w:color w:val="000000"/>
              </w:rPr>
              <w:t>549,564</w:t>
            </w:r>
          </w:p>
        </w:tc>
        <w:tc>
          <w:tcPr>
            <w:tcW w:w="2084" w:type="dxa"/>
            <w:vMerge/>
            <w:vAlign w:val="center"/>
          </w:tcPr>
          <w:p w:rsidR="005514C8" w:rsidRPr="005514C8" w:rsidRDefault="005514C8">
            <w:pPr>
              <w:jc w:val="center"/>
              <w:rPr>
                <w:color w:val="000000"/>
              </w:rPr>
            </w:pPr>
          </w:p>
        </w:tc>
      </w:tr>
    </w:tbl>
    <w:p w:rsidR="005514C8" w:rsidRDefault="005514C8">
      <w:pPr>
        <w:rPr>
          <w:u w:val="single"/>
        </w:rPr>
      </w:pPr>
    </w:p>
    <w:p w:rsidR="005514C8" w:rsidRDefault="005514C8">
      <w:pPr>
        <w:keepNext/>
        <w:keepLines/>
        <w:rPr>
          <w:u w:val="single"/>
          <w:lang w:eastAsia="zh-CN"/>
        </w:rPr>
      </w:pPr>
      <w:r>
        <w:rPr>
          <w:u w:val="single"/>
          <w:lang w:val="zh-CN" w:eastAsia="zh-CN"/>
        </w:rPr>
        <w:lastRenderedPageBreak/>
        <w:t>氟氯烃淘汰管理计划第五次</w:t>
      </w:r>
      <w:r w:rsidR="002B618E">
        <w:rPr>
          <w:rFonts w:hint="eastAsia"/>
          <w:u w:val="single"/>
          <w:lang w:val="zh-CN" w:eastAsia="zh-CN"/>
        </w:rPr>
        <w:t>拨款</w:t>
      </w:r>
      <w:r>
        <w:rPr>
          <w:u w:val="single"/>
          <w:lang w:val="zh-CN" w:eastAsia="zh-CN"/>
        </w:rPr>
        <w:t>也是最后一次</w:t>
      </w:r>
      <w:r w:rsidR="002B618E">
        <w:rPr>
          <w:rFonts w:hint="eastAsia"/>
          <w:u w:val="single"/>
          <w:lang w:val="zh-CN" w:eastAsia="zh-CN"/>
        </w:rPr>
        <w:t>拨</w:t>
      </w:r>
      <w:r>
        <w:rPr>
          <w:u w:val="single"/>
          <w:lang w:val="zh-CN" w:eastAsia="zh-CN"/>
        </w:rPr>
        <w:t>款的</w:t>
      </w:r>
      <w:r w:rsidR="002B618E">
        <w:rPr>
          <w:rFonts w:hint="eastAsia"/>
          <w:u w:val="single"/>
          <w:lang w:val="zh-CN" w:eastAsia="zh-CN"/>
        </w:rPr>
        <w:t>实施</w:t>
      </w:r>
      <w:r>
        <w:rPr>
          <w:u w:val="single"/>
          <w:lang w:val="zh-CN" w:eastAsia="zh-CN"/>
        </w:rPr>
        <w:t>计划</w:t>
      </w:r>
    </w:p>
    <w:p w:rsidR="005514C8" w:rsidRDefault="005514C8">
      <w:pPr>
        <w:keepNext/>
        <w:keepLines/>
        <w:rPr>
          <w:lang w:eastAsia="zh-CN"/>
        </w:rPr>
      </w:pPr>
    </w:p>
    <w:p w:rsidR="005514C8" w:rsidRDefault="005514C8">
      <w:pPr>
        <w:pStyle w:val="Heading1"/>
        <w:keepNext/>
        <w:keepLines/>
        <w:tabs>
          <w:tab w:val="left" w:pos="0"/>
        </w:tabs>
        <w:rPr>
          <w:lang w:eastAsia="zh-CN"/>
        </w:rPr>
      </w:pPr>
      <w:r>
        <w:rPr>
          <w:lang w:val="zh-CN" w:eastAsia="zh-CN"/>
        </w:rPr>
        <w:t>2021</w:t>
      </w:r>
      <w:r>
        <w:rPr>
          <w:lang w:val="zh-CN" w:eastAsia="zh-CN"/>
        </w:rPr>
        <w:t>年</w:t>
      </w:r>
      <w:r>
        <w:rPr>
          <w:lang w:val="zh-CN" w:eastAsia="zh-CN"/>
        </w:rPr>
        <w:t>7</w:t>
      </w:r>
      <w:r>
        <w:rPr>
          <w:lang w:val="zh-CN" w:eastAsia="zh-CN"/>
        </w:rPr>
        <w:t>月至</w:t>
      </w:r>
      <w:r>
        <w:rPr>
          <w:lang w:val="zh-CN" w:eastAsia="zh-CN"/>
        </w:rPr>
        <w:t>2022</w:t>
      </w:r>
      <w:r>
        <w:rPr>
          <w:lang w:val="zh-CN" w:eastAsia="zh-CN"/>
        </w:rPr>
        <w:t>年</w:t>
      </w:r>
      <w:r>
        <w:rPr>
          <w:lang w:val="zh-CN" w:eastAsia="zh-CN"/>
        </w:rPr>
        <w:t>12</w:t>
      </w:r>
      <w:r>
        <w:rPr>
          <w:lang w:val="zh-CN" w:eastAsia="zh-CN"/>
        </w:rPr>
        <w:t>月</w:t>
      </w:r>
      <w:r w:rsidR="001C76C7">
        <w:rPr>
          <w:rFonts w:hint="eastAsia"/>
          <w:lang w:val="zh-CN" w:eastAsia="zh-CN"/>
        </w:rPr>
        <w:t>期</w:t>
      </w:r>
      <w:r>
        <w:rPr>
          <w:lang w:val="zh-CN" w:eastAsia="zh-CN"/>
        </w:rPr>
        <w:t>间将</w:t>
      </w:r>
      <w:r w:rsidR="002B618E">
        <w:rPr>
          <w:rFonts w:hint="eastAsia"/>
          <w:lang w:val="zh-CN" w:eastAsia="zh-CN"/>
        </w:rPr>
        <w:t>开展</w:t>
      </w:r>
      <w:r>
        <w:rPr>
          <w:lang w:val="zh-CN" w:eastAsia="zh-CN"/>
        </w:rPr>
        <w:t>以下活动：</w:t>
      </w:r>
    </w:p>
    <w:p w:rsidR="005514C8" w:rsidRDefault="005514C8" w:rsidP="0075016F">
      <w:pPr>
        <w:pStyle w:val="Heading2"/>
        <w:keepNext/>
        <w:keepLines/>
        <w:spacing w:before="260" w:after="260"/>
        <w:rPr>
          <w:lang w:eastAsia="zh-CN"/>
        </w:rPr>
      </w:pPr>
      <w:r>
        <w:rPr>
          <w:lang w:val="zh-CN" w:eastAsia="zh-CN"/>
        </w:rPr>
        <w:t>为</w:t>
      </w:r>
      <w:r>
        <w:rPr>
          <w:lang w:val="zh-CN" w:eastAsia="zh-CN"/>
        </w:rPr>
        <w:t>90</w:t>
      </w:r>
      <w:r>
        <w:rPr>
          <w:lang w:val="zh-CN" w:eastAsia="zh-CN"/>
        </w:rPr>
        <w:t>名海关官员和</w:t>
      </w:r>
      <w:r>
        <w:rPr>
          <w:lang w:val="zh-CN" w:eastAsia="zh-CN"/>
        </w:rPr>
        <w:t>10</w:t>
      </w:r>
      <w:r>
        <w:rPr>
          <w:lang w:val="zh-CN" w:eastAsia="zh-CN"/>
        </w:rPr>
        <w:t>名环境检查员举办五场关于</w:t>
      </w:r>
      <w:r w:rsidR="002B618E">
        <w:rPr>
          <w:rFonts w:hint="eastAsia"/>
          <w:lang w:val="zh-CN" w:eastAsia="zh-CN"/>
        </w:rPr>
        <w:t>管</w:t>
      </w:r>
      <w:r>
        <w:rPr>
          <w:lang w:val="zh-CN" w:eastAsia="zh-CN"/>
        </w:rPr>
        <w:t>控和识别</w:t>
      </w:r>
      <w:r w:rsidR="002B618E">
        <w:rPr>
          <w:rFonts w:hint="eastAsia"/>
          <w:lang w:val="zh-CN" w:eastAsia="zh-CN"/>
        </w:rPr>
        <w:t>消耗臭氧层物质</w:t>
      </w:r>
      <w:r>
        <w:rPr>
          <w:lang w:val="zh-CN" w:eastAsia="zh-CN"/>
        </w:rPr>
        <w:t>和</w:t>
      </w:r>
      <w:r w:rsidR="0016073F">
        <w:rPr>
          <w:lang w:val="zh-CN" w:eastAsia="zh-CN"/>
        </w:rPr>
        <w:t>含</w:t>
      </w:r>
      <w:r w:rsidR="002B618E">
        <w:rPr>
          <w:rFonts w:hint="eastAsia"/>
          <w:lang w:val="zh-CN" w:eastAsia="zh-CN"/>
        </w:rPr>
        <w:t>消耗臭氧层物质</w:t>
      </w:r>
      <w:r>
        <w:rPr>
          <w:lang w:val="zh-CN" w:eastAsia="zh-CN"/>
        </w:rPr>
        <w:t>设备的培训班（</w:t>
      </w:r>
      <w:r w:rsidR="002B618E">
        <w:rPr>
          <w:rFonts w:hint="eastAsia"/>
          <w:lang w:val="zh-CN" w:eastAsia="zh-CN"/>
        </w:rPr>
        <w:t>联合国</w:t>
      </w:r>
      <w:r>
        <w:rPr>
          <w:lang w:val="zh-CN" w:eastAsia="zh-CN"/>
        </w:rPr>
        <w:t>环境规划署）（</w:t>
      </w:r>
      <w:r>
        <w:rPr>
          <w:lang w:val="zh-CN" w:eastAsia="zh-CN"/>
        </w:rPr>
        <w:t>20,000</w:t>
      </w:r>
      <w:r>
        <w:rPr>
          <w:lang w:val="zh-CN" w:eastAsia="zh-CN"/>
        </w:rPr>
        <w:t>美元）；</w:t>
      </w:r>
      <w:r>
        <w:rPr>
          <w:lang w:val="zh-CN" w:eastAsia="zh-CN"/>
        </w:rPr>
        <w:t xml:space="preserve"> </w:t>
      </w:r>
    </w:p>
    <w:p w:rsidR="005514C8" w:rsidRDefault="005514C8" w:rsidP="0075016F">
      <w:pPr>
        <w:pStyle w:val="Heading2"/>
        <w:keepNext/>
        <w:keepLines/>
        <w:spacing w:before="260" w:after="260"/>
        <w:rPr>
          <w:lang w:eastAsia="zh-CN"/>
        </w:rPr>
      </w:pPr>
      <w:r>
        <w:rPr>
          <w:lang w:val="zh-CN" w:eastAsia="zh-CN"/>
        </w:rPr>
        <w:t>为总计</w:t>
      </w:r>
      <w:r>
        <w:rPr>
          <w:lang w:val="zh-CN" w:eastAsia="zh-CN"/>
        </w:rPr>
        <w:t>125</w:t>
      </w:r>
      <w:r>
        <w:rPr>
          <w:lang w:val="zh-CN" w:eastAsia="zh-CN"/>
        </w:rPr>
        <w:t>名</w:t>
      </w:r>
      <w:r w:rsidR="00975222">
        <w:rPr>
          <w:rFonts w:hint="eastAsia"/>
          <w:lang w:val="zh-CN" w:eastAsia="zh-CN"/>
        </w:rPr>
        <w:t>制冷空调</w:t>
      </w:r>
      <w:r>
        <w:rPr>
          <w:lang w:val="zh-CN" w:eastAsia="zh-CN"/>
        </w:rPr>
        <w:t>技术人员举办五场培训班，内容涉及制冷</w:t>
      </w:r>
      <w:r w:rsidR="00975222">
        <w:rPr>
          <w:rFonts w:hint="eastAsia"/>
          <w:lang w:val="zh-CN" w:eastAsia="zh-CN"/>
        </w:rPr>
        <w:t>和</w:t>
      </w:r>
      <w:r>
        <w:rPr>
          <w:lang w:val="zh-CN" w:eastAsia="zh-CN"/>
        </w:rPr>
        <w:t>易燃制冷剂的安全处理</w:t>
      </w:r>
      <w:r w:rsidR="00975222">
        <w:rPr>
          <w:rFonts w:hint="eastAsia"/>
          <w:lang w:val="zh-CN" w:eastAsia="zh-CN"/>
        </w:rPr>
        <w:t>方面的良好实务</w:t>
      </w:r>
      <w:r>
        <w:rPr>
          <w:lang w:val="zh-CN" w:eastAsia="zh-CN"/>
        </w:rPr>
        <w:t>，包括制定</w:t>
      </w:r>
      <w:r w:rsidR="0016073F">
        <w:rPr>
          <w:lang w:val="zh-CN" w:eastAsia="zh-CN"/>
        </w:rPr>
        <w:t>含</w:t>
      </w:r>
      <w:r>
        <w:rPr>
          <w:lang w:val="zh-CN" w:eastAsia="zh-CN"/>
        </w:rPr>
        <w:t>碳氢化合物设备的标准（</w:t>
      </w:r>
      <w:r w:rsidR="002B618E">
        <w:rPr>
          <w:rFonts w:hint="eastAsia"/>
          <w:lang w:val="zh-CN" w:eastAsia="zh-CN"/>
        </w:rPr>
        <w:t>联合国</w:t>
      </w:r>
      <w:r>
        <w:rPr>
          <w:lang w:val="zh-CN" w:eastAsia="zh-CN"/>
        </w:rPr>
        <w:t>环境规划署）（</w:t>
      </w:r>
      <w:r>
        <w:rPr>
          <w:lang w:val="zh-CN" w:eastAsia="zh-CN"/>
        </w:rPr>
        <w:t>25,000</w:t>
      </w:r>
      <w:r>
        <w:rPr>
          <w:lang w:val="zh-CN" w:eastAsia="zh-CN"/>
        </w:rPr>
        <w:t>美元）；</w:t>
      </w:r>
      <w:r w:rsidR="00975222">
        <w:rPr>
          <w:rFonts w:hint="eastAsia"/>
          <w:lang w:val="zh-CN" w:eastAsia="zh-CN"/>
        </w:rPr>
        <w:t>以及</w:t>
      </w:r>
    </w:p>
    <w:p w:rsidR="005514C8" w:rsidRDefault="005514C8" w:rsidP="0075016F">
      <w:pPr>
        <w:pStyle w:val="Heading2"/>
        <w:keepNext/>
        <w:keepLines/>
        <w:widowControl/>
        <w:spacing w:before="240" w:after="260"/>
        <w:rPr>
          <w:lang w:eastAsia="zh-CN"/>
        </w:rPr>
      </w:pPr>
      <w:r>
        <w:rPr>
          <w:lang w:val="zh-CN" w:eastAsia="zh-CN"/>
        </w:rPr>
        <w:t>项目管理和</w:t>
      </w:r>
      <w:r w:rsidR="00975222">
        <w:rPr>
          <w:rFonts w:hint="eastAsia"/>
          <w:lang w:val="zh-CN" w:eastAsia="zh-CN"/>
        </w:rPr>
        <w:t>实施</w:t>
      </w:r>
      <w:r>
        <w:rPr>
          <w:lang w:val="zh-CN" w:eastAsia="zh-CN"/>
        </w:rPr>
        <w:t>（</w:t>
      </w:r>
      <w:r w:rsidR="00975222">
        <w:rPr>
          <w:rFonts w:hint="eastAsia"/>
          <w:lang w:val="zh-CN" w:eastAsia="zh-CN"/>
        </w:rPr>
        <w:t>联合国</w:t>
      </w:r>
      <w:r>
        <w:rPr>
          <w:lang w:val="zh-CN" w:eastAsia="zh-CN"/>
        </w:rPr>
        <w:t>环境规划署）（</w:t>
      </w:r>
      <w:r>
        <w:rPr>
          <w:lang w:val="zh-CN" w:eastAsia="zh-CN"/>
        </w:rPr>
        <w:t>15,000</w:t>
      </w:r>
      <w:r>
        <w:rPr>
          <w:lang w:val="zh-CN" w:eastAsia="zh-CN"/>
        </w:rPr>
        <w:t>美元），其中包括聘请两名顾问协助</w:t>
      </w:r>
      <w:r w:rsidR="00975222">
        <w:rPr>
          <w:rFonts w:hint="eastAsia"/>
          <w:lang w:val="zh-CN" w:eastAsia="zh-CN"/>
        </w:rPr>
        <w:t>监测</w:t>
      </w:r>
      <w:r>
        <w:rPr>
          <w:lang w:val="zh-CN" w:eastAsia="zh-CN"/>
        </w:rPr>
        <w:t>和评估氟氯烃淘汰管理计划的</w:t>
      </w:r>
      <w:r w:rsidR="00975222">
        <w:rPr>
          <w:rFonts w:hint="eastAsia"/>
          <w:lang w:val="zh-CN" w:eastAsia="zh-CN"/>
        </w:rPr>
        <w:t>实施</w:t>
      </w:r>
      <w:r>
        <w:rPr>
          <w:lang w:val="zh-CN" w:eastAsia="zh-CN"/>
        </w:rPr>
        <w:t>（</w:t>
      </w:r>
      <w:r>
        <w:rPr>
          <w:lang w:val="zh-CN" w:eastAsia="zh-CN"/>
        </w:rPr>
        <w:t>12,000</w:t>
      </w:r>
      <w:r>
        <w:rPr>
          <w:lang w:val="zh-CN" w:eastAsia="zh-CN"/>
        </w:rPr>
        <w:t>美元）以及相关的差旅费用（</w:t>
      </w:r>
      <w:r>
        <w:rPr>
          <w:lang w:val="zh-CN" w:eastAsia="zh-CN"/>
        </w:rPr>
        <w:t>3,000</w:t>
      </w:r>
      <w:r>
        <w:rPr>
          <w:lang w:val="zh-CN" w:eastAsia="zh-CN"/>
        </w:rPr>
        <w:t>美元）。</w:t>
      </w:r>
    </w:p>
    <w:p w:rsidR="005514C8" w:rsidRDefault="005514C8">
      <w:pPr>
        <w:jc w:val="center"/>
        <w:rPr>
          <w:b/>
          <w:lang w:eastAsia="zh-CN"/>
        </w:rPr>
      </w:pPr>
      <w:r>
        <w:rPr>
          <w:b/>
          <w:lang w:val="zh-CN" w:eastAsia="zh-CN"/>
        </w:rPr>
        <w:t>秘书处评论</w:t>
      </w:r>
      <w:r w:rsidR="00975222">
        <w:rPr>
          <w:rFonts w:hint="eastAsia"/>
          <w:b/>
          <w:lang w:val="zh-CN" w:eastAsia="zh-CN"/>
        </w:rPr>
        <w:t>与</w:t>
      </w:r>
      <w:r>
        <w:rPr>
          <w:b/>
          <w:lang w:val="zh-CN" w:eastAsia="zh-CN"/>
        </w:rPr>
        <w:t>建议</w:t>
      </w:r>
    </w:p>
    <w:p w:rsidR="005514C8" w:rsidRDefault="005514C8">
      <w:pPr>
        <w:rPr>
          <w:lang w:eastAsia="zh-CN"/>
        </w:rPr>
      </w:pPr>
    </w:p>
    <w:p w:rsidR="005514C8" w:rsidRDefault="005514C8">
      <w:pPr>
        <w:rPr>
          <w:b/>
          <w:lang w:eastAsia="zh-CN"/>
        </w:rPr>
      </w:pPr>
      <w:r>
        <w:rPr>
          <w:b/>
          <w:lang w:val="zh-CN" w:eastAsia="zh-CN"/>
        </w:rPr>
        <w:t>评论</w:t>
      </w:r>
    </w:p>
    <w:p w:rsidR="005514C8" w:rsidRDefault="005514C8">
      <w:pPr>
        <w:rPr>
          <w:lang w:eastAsia="zh-CN"/>
        </w:rPr>
      </w:pPr>
    </w:p>
    <w:p w:rsidR="005514C8" w:rsidRDefault="005514C8">
      <w:pPr>
        <w:rPr>
          <w:u w:val="single"/>
          <w:lang w:eastAsia="zh-CN"/>
        </w:rPr>
      </w:pPr>
      <w:r>
        <w:rPr>
          <w:u w:val="single"/>
          <w:lang w:val="zh-CN" w:eastAsia="zh-CN"/>
        </w:rPr>
        <w:t>氟氯烃淘汰管理计划第四次</w:t>
      </w:r>
      <w:r w:rsidR="00975222">
        <w:rPr>
          <w:rFonts w:hint="eastAsia"/>
          <w:u w:val="single"/>
          <w:lang w:val="zh-CN" w:eastAsia="zh-CN"/>
        </w:rPr>
        <w:t>拨款</w:t>
      </w:r>
      <w:r>
        <w:rPr>
          <w:u w:val="single"/>
          <w:lang w:val="zh-CN" w:eastAsia="zh-CN"/>
        </w:rPr>
        <w:t>的</w:t>
      </w:r>
      <w:r w:rsidR="00975222">
        <w:rPr>
          <w:rFonts w:hint="eastAsia"/>
          <w:u w:val="single"/>
          <w:lang w:val="zh-CN" w:eastAsia="zh-CN"/>
        </w:rPr>
        <w:t>实施</w:t>
      </w:r>
      <w:r>
        <w:rPr>
          <w:u w:val="single"/>
          <w:lang w:val="zh-CN" w:eastAsia="zh-CN"/>
        </w:rPr>
        <w:t>进度报告</w:t>
      </w:r>
    </w:p>
    <w:p w:rsidR="005514C8" w:rsidRDefault="005514C8">
      <w:pPr>
        <w:rPr>
          <w:lang w:eastAsia="zh-CN"/>
        </w:rPr>
      </w:pPr>
    </w:p>
    <w:p w:rsidR="005514C8" w:rsidRDefault="005514C8">
      <w:pPr>
        <w:rPr>
          <w:i/>
        </w:rPr>
      </w:pPr>
      <w:r>
        <w:rPr>
          <w:i/>
          <w:lang w:val="zh-CN" w:eastAsia="zh-CN"/>
        </w:rPr>
        <w:t>法律框架</w:t>
      </w:r>
    </w:p>
    <w:p w:rsidR="005514C8" w:rsidRDefault="005514C8"/>
    <w:p w:rsidR="005514C8" w:rsidRDefault="005514C8">
      <w:pPr>
        <w:pStyle w:val="Heading1"/>
        <w:tabs>
          <w:tab w:val="left" w:pos="0"/>
        </w:tabs>
        <w:rPr>
          <w:lang w:eastAsia="zh-CN"/>
        </w:rPr>
      </w:pPr>
      <w:r>
        <w:rPr>
          <w:lang w:val="zh-CN" w:eastAsia="zh-CN"/>
        </w:rPr>
        <w:t>贝宁政府</w:t>
      </w:r>
      <w:r w:rsidR="00975222">
        <w:rPr>
          <w:rFonts w:hint="eastAsia"/>
          <w:lang w:val="zh-CN" w:eastAsia="zh-CN"/>
        </w:rPr>
        <w:t>已</w:t>
      </w:r>
      <w:r>
        <w:rPr>
          <w:lang w:val="zh-CN" w:eastAsia="zh-CN"/>
        </w:rPr>
        <w:t>发布</w:t>
      </w:r>
      <w:r>
        <w:rPr>
          <w:lang w:val="zh-CN" w:eastAsia="zh-CN"/>
        </w:rPr>
        <w:t>2021</w:t>
      </w:r>
      <w:r>
        <w:rPr>
          <w:lang w:val="zh-CN" w:eastAsia="zh-CN"/>
        </w:rPr>
        <w:t>年</w:t>
      </w:r>
      <w:r w:rsidR="00975222">
        <w:rPr>
          <w:lang w:val="zh-CN" w:eastAsia="zh-CN"/>
        </w:rPr>
        <w:t>氟氯烃的</w:t>
      </w:r>
      <w:r>
        <w:rPr>
          <w:lang w:val="zh-CN" w:eastAsia="zh-CN"/>
        </w:rPr>
        <w:t>进口</w:t>
      </w:r>
      <w:r w:rsidR="00975222">
        <w:rPr>
          <w:lang w:val="zh-CN" w:eastAsia="zh-CN"/>
        </w:rPr>
        <w:t>配额</w:t>
      </w:r>
      <w:r w:rsidR="00975222">
        <w:rPr>
          <w:rFonts w:hint="eastAsia"/>
          <w:lang w:val="zh-CN" w:eastAsia="zh-CN"/>
        </w:rPr>
        <w:t>为</w:t>
      </w:r>
      <w:r>
        <w:rPr>
          <w:lang w:val="zh-CN" w:eastAsia="zh-CN"/>
        </w:rPr>
        <w:t>13.2 ODP</w:t>
      </w:r>
      <w:r>
        <w:rPr>
          <w:lang w:val="zh-CN" w:eastAsia="zh-CN"/>
        </w:rPr>
        <w:t>吨，低于</w:t>
      </w:r>
      <w:r w:rsidR="00975222">
        <w:rPr>
          <w:rFonts w:hint="eastAsia"/>
          <w:lang w:val="zh-CN" w:eastAsia="zh-CN"/>
        </w:rPr>
        <w:t>《</w:t>
      </w:r>
      <w:r>
        <w:rPr>
          <w:lang w:val="zh-CN" w:eastAsia="zh-CN"/>
        </w:rPr>
        <w:t>蒙特利尔议定书</w:t>
      </w:r>
      <w:r w:rsidR="00975222">
        <w:rPr>
          <w:rFonts w:hint="eastAsia"/>
          <w:lang w:val="zh-CN" w:eastAsia="zh-CN"/>
        </w:rPr>
        <w:t>》</w:t>
      </w:r>
      <w:r>
        <w:rPr>
          <w:lang w:val="zh-CN" w:eastAsia="zh-CN"/>
        </w:rPr>
        <w:t>的</w:t>
      </w:r>
      <w:r w:rsidR="00E9178A">
        <w:rPr>
          <w:rFonts w:hint="eastAsia"/>
          <w:lang w:val="zh-CN" w:eastAsia="zh-CN"/>
        </w:rPr>
        <w:t>管</w:t>
      </w:r>
      <w:r>
        <w:rPr>
          <w:lang w:val="zh-CN" w:eastAsia="zh-CN"/>
        </w:rPr>
        <w:t>控目标。</w:t>
      </w:r>
    </w:p>
    <w:p w:rsidR="005514C8" w:rsidRDefault="005514C8">
      <w:pPr>
        <w:rPr>
          <w:i/>
        </w:rPr>
      </w:pPr>
      <w:r>
        <w:rPr>
          <w:i/>
          <w:lang w:val="zh-CN" w:eastAsia="zh-CN"/>
        </w:rPr>
        <w:t>制冷维修行业</w:t>
      </w:r>
    </w:p>
    <w:p w:rsidR="005514C8" w:rsidRDefault="005514C8"/>
    <w:p w:rsidR="005514C8" w:rsidRDefault="005514C8">
      <w:pPr>
        <w:pStyle w:val="Heading1"/>
        <w:tabs>
          <w:tab w:val="left" w:pos="0"/>
        </w:tabs>
        <w:rPr>
          <w:lang w:eastAsia="zh-CN"/>
        </w:rPr>
      </w:pPr>
      <w:r>
        <w:rPr>
          <w:lang w:val="zh-CN" w:eastAsia="zh-CN"/>
        </w:rPr>
        <w:t>关于推迟</w:t>
      </w:r>
      <w:r w:rsidR="00E9178A">
        <w:rPr>
          <w:rFonts w:hint="eastAsia"/>
          <w:lang w:val="zh-CN" w:eastAsia="zh-CN"/>
        </w:rPr>
        <w:t>原定</w:t>
      </w:r>
      <w:r>
        <w:rPr>
          <w:lang w:val="zh-CN" w:eastAsia="zh-CN"/>
        </w:rPr>
        <w:t>于</w:t>
      </w:r>
      <w:r>
        <w:rPr>
          <w:lang w:val="zh-CN" w:eastAsia="zh-CN"/>
        </w:rPr>
        <w:t>2020</w:t>
      </w:r>
      <w:r>
        <w:rPr>
          <w:lang w:val="zh-CN" w:eastAsia="zh-CN"/>
        </w:rPr>
        <w:t>年提交的第五次</w:t>
      </w:r>
      <w:r w:rsidR="00E9178A">
        <w:rPr>
          <w:rFonts w:hint="eastAsia"/>
          <w:lang w:val="zh-CN" w:eastAsia="zh-CN"/>
        </w:rPr>
        <w:t>拨款</w:t>
      </w:r>
      <w:r>
        <w:rPr>
          <w:lang w:val="zh-CN" w:eastAsia="zh-CN"/>
        </w:rPr>
        <w:t>申请的问题，</w:t>
      </w:r>
      <w:r w:rsidR="00E9178A">
        <w:rPr>
          <w:rFonts w:hint="eastAsia"/>
          <w:lang w:val="zh-CN" w:eastAsia="zh-CN"/>
        </w:rPr>
        <w:t>联合国</w:t>
      </w:r>
      <w:r>
        <w:rPr>
          <w:lang w:val="zh-CN" w:eastAsia="zh-CN"/>
        </w:rPr>
        <w:t>环境规划署</w:t>
      </w:r>
      <w:r w:rsidR="00E9178A">
        <w:rPr>
          <w:rFonts w:hint="eastAsia"/>
          <w:lang w:val="zh-CN" w:eastAsia="zh-CN"/>
        </w:rPr>
        <w:t>表示</w:t>
      </w:r>
      <w:r>
        <w:rPr>
          <w:lang w:val="zh-CN" w:eastAsia="zh-CN"/>
        </w:rPr>
        <w:t>，这是由于</w:t>
      </w:r>
      <w:r w:rsidR="00CA6F9E">
        <w:rPr>
          <w:rFonts w:hint="eastAsia"/>
          <w:lang w:val="zh-CN" w:eastAsia="zh-CN"/>
        </w:rPr>
        <w:t>在</w:t>
      </w:r>
      <w:r>
        <w:rPr>
          <w:lang w:val="zh-CN" w:eastAsia="zh-CN"/>
        </w:rPr>
        <w:t>获</w:t>
      </w:r>
      <w:r w:rsidR="00CA6F9E">
        <w:rPr>
          <w:rFonts w:hint="eastAsia"/>
          <w:lang w:val="zh-CN" w:eastAsia="zh-CN"/>
        </w:rPr>
        <w:t>取</w:t>
      </w:r>
      <w:r>
        <w:rPr>
          <w:lang w:val="zh-CN" w:eastAsia="zh-CN"/>
        </w:rPr>
        <w:t>内部批准</w:t>
      </w:r>
      <w:r w:rsidR="00CA6F9E">
        <w:rPr>
          <w:rFonts w:hint="eastAsia"/>
          <w:lang w:val="zh-CN" w:eastAsia="zh-CN"/>
        </w:rPr>
        <w:t>方面存在困难以及国家臭氧机构的</w:t>
      </w:r>
      <w:r>
        <w:rPr>
          <w:lang w:val="zh-CN" w:eastAsia="zh-CN"/>
        </w:rPr>
        <w:t>工作发生中断（这些问题现已得到解决）</w:t>
      </w:r>
      <w:r w:rsidR="00CA6F9E">
        <w:rPr>
          <w:rFonts w:hint="eastAsia"/>
          <w:lang w:val="zh-CN" w:eastAsia="zh-CN"/>
        </w:rPr>
        <w:t>，</w:t>
      </w:r>
      <w:r>
        <w:rPr>
          <w:lang w:val="zh-CN" w:eastAsia="zh-CN"/>
        </w:rPr>
        <w:t>以及因新冠疫情导致面对面培训受到限制</w:t>
      </w:r>
      <w:r w:rsidR="00CA6F9E">
        <w:rPr>
          <w:rFonts w:hint="eastAsia"/>
          <w:lang w:val="zh-CN" w:eastAsia="zh-CN"/>
        </w:rPr>
        <w:t>等所致</w:t>
      </w:r>
      <w:r>
        <w:rPr>
          <w:lang w:val="zh-CN" w:eastAsia="zh-CN"/>
        </w:rPr>
        <w:t>。尽管</w:t>
      </w:r>
      <w:r w:rsidR="00CA6F9E">
        <w:rPr>
          <w:rFonts w:hint="eastAsia"/>
          <w:lang w:val="zh-CN" w:eastAsia="zh-CN"/>
        </w:rPr>
        <w:t>与当前疫情相关的挑战仍持续存在</w:t>
      </w:r>
      <w:r>
        <w:rPr>
          <w:lang w:val="zh-CN" w:eastAsia="zh-CN"/>
        </w:rPr>
        <w:t>，</w:t>
      </w:r>
      <w:r w:rsidR="00CA6F9E">
        <w:rPr>
          <w:rFonts w:hint="eastAsia"/>
          <w:lang w:val="zh-CN" w:eastAsia="zh-CN"/>
        </w:rPr>
        <w:t>联合国</w:t>
      </w:r>
      <w:r>
        <w:rPr>
          <w:lang w:val="zh-CN" w:eastAsia="zh-CN"/>
        </w:rPr>
        <w:t>环境规划署与政府密切合作，确保向第</w:t>
      </w:r>
      <w:r>
        <w:rPr>
          <w:lang w:val="zh-CN" w:eastAsia="zh-CN"/>
        </w:rPr>
        <w:t>87</w:t>
      </w:r>
      <w:r>
        <w:rPr>
          <w:lang w:val="zh-CN" w:eastAsia="zh-CN"/>
        </w:rPr>
        <w:t>次会议提交</w:t>
      </w:r>
      <w:r w:rsidR="00CA6F9E">
        <w:rPr>
          <w:rFonts w:hint="eastAsia"/>
          <w:lang w:val="zh-CN" w:eastAsia="zh-CN"/>
        </w:rPr>
        <w:t>拨</w:t>
      </w:r>
      <w:r>
        <w:rPr>
          <w:lang w:val="zh-CN" w:eastAsia="zh-CN"/>
        </w:rPr>
        <w:t>款申请，以便在</w:t>
      </w:r>
      <w:r>
        <w:rPr>
          <w:lang w:val="zh-CN" w:eastAsia="zh-CN"/>
        </w:rPr>
        <w:t>2022</w:t>
      </w:r>
      <w:r>
        <w:rPr>
          <w:lang w:val="zh-CN" w:eastAsia="zh-CN"/>
        </w:rPr>
        <w:t>年底之前完成剩余</w:t>
      </w:r>
      <w:r w:rsidR="00CA6F9E">
        <w:rPr>
          <w:rFonts w:hint="eastAsia"/>
          <w:lang w:val="zh-CN" w:eastAsia="zh-CN"/>
        </w:rPr>
        <w:t>的</w:t>
      </w:r>
      <w:r>
        <w:rPr>
          <w:lang w:val="zh-CN" w:eastAsia="zh-CN"/>
        </w:rPr>
        <w:t>活动，其中包括本次</w:t>
      </w:r>
      <w:r w:rsidR="00CA6F9E">
        <w:rPr>
          <w:rFonts w:hint="eastAsia"/>
          <w:lang w:val="zh-CN" w:eastAsia="zh-CN"/>
        </w:rPr>
        <w:t>拨</w:t>
      </w:r>
      <w:r>
        <w:rPr>
          <w:lang w:val="zh-CN" w:eastAsia="zh-CN"/>
        </w:rPr>
        <w:t>款</w:t>
      </w:r>
      <w:r w:rsidR="00CA6F9E">
        <w:rPr>
          <w:rFonts w:hint="eastAsia"/>
          <w:lang w:val="zh-CN" w:eastAsia="zh-CN"/>
        </w:rPr>
        <w:t>要求开展</w:t>
      </w:r>
      <w:r>
        <w:rPr>
          <w:lang w:val="zh-CN" w:eastAsia="zh-CN"/>
        </w:rPr>
        <w:t>的活动。</w:t>
      </w:r>
      <w:r>
        <w:rPr>
          <w:lang w:val="zh-CN" w:eastAsia="zh-CN"/>
        </w:rPr>
        <w:t xml:space="preserve"> </w:t>
      </w:r>
    </w:p>
    <w:p w:rsidR="005514C8" w:rsidRDefault="005514C8">
      <w:pPr>
        <w:pStyle w:val="Heading1"/>
        <w:tabs>
          <w:tab w:val="left" w:pos="0"/>
        </w:tabs>
        <w:rPr>
          <w:lang w:eastAsia="zh-CN"/>
        </w:rPr>
      </w:pPr>
      <w:r>
        <w:rPr>
          <w:lang w:val="zh-CN" w:eastAsia="zh-CN"/>
        </w:rPr>
        <w:t>关于技术人员</w:t>
      </w:r>
      <w:r w:rsidR="008331F6">
        <w:rPr>
          <w:lang w:val="zh-CN" w:eastAsia="zh-CN"/>
        </w:rPr>
        <w:t>培训</w:t>
      </w:r>
      <w:r>
        <w:rPr>
          <w:lang w:val="zh-CN" w:eastAsia="zh-CN"/>
        </w:rPr>
        <w:t>的</w:t>
      </w:r>
      <w:r w:rsidR="008331F6">
        <w:rPr>
          <w:rFonts w:hint="eastAsia"/>
          <w:lang w:val="zh-CN" w:eastAsia="zh-CN"/>
        </w:rPr>
        <w:t>可</w:t>
      </w:r>
      <w:r>
        <w:rPr>
          <w:lang w:val="zh-CN" w:eastAsia="zh-CN"/>
        </w:rPr>
        <w:t>持续</w:t>
      </w:r>
      <w:r w:rsidR="008331F6">
        <w:rPr>
          <w:rFonts w:hint="eastAsia"/>
          <w:lang w:val="zh-CN" w:eastAsia="zh-CN"/>
        </w:rPr>
        <w:t>性</w:t>
      </w:r>
      <w:r>
        <w:rPr>
          <w:lang w:val="zh-CN" w:eastAsia="zh-CN"/>
        </w:rPr>
        <w:t>问题，</w:t>
      </w:r>
      <w:r w:rsidR="008331F6">
        <w:rPr>
          <w:rFonts w:hint="eastAsia"/>
          <w:lang w:val="zh-CN" w:eastAsia="zh-CN"/>
        </w:rPr>
        <w:t>联合国</w:t>
      </w:r>
      <w:r>
        <w:rPr>
          <w:lang w:val="zh-CN" w:eastAsia="zh-CN"/>
        </w:rPr>
        <w:t>环境规划署解释称，</w:t>
      </w:r>
      <w:r w:rsidR="00BB383E">
        <w:rPr>
          <w:lang w:val="zh-CN" w:eastAsia="zh-CN"/>
        </w:rPr>
        <w:t>通过制冷协会</w:t>
      </w:r>
      <w:r w:rsidR="00BB383E">
        <w:rPr>
          <w:rFonts w:hint="eastAsia"/>
          <w:lang w:val="zh-CN" w:eastAsia="zh-CN"/>
        </w:rPr>
        <w:t>，</w:t>
      </w:r>
      <w:r>
        <w:rPr>
          <w:lang w:val="zh-CN" w:eastAsia="zh-CN"/>
        </w:rPr>
        <w:t>政府</w:t>
      </w:r>
      <w:r w:rsidR="009D46A3">
        <w:rPr>
          <w:rFonts w:hint="eastAsia"/>
          <w:lang w:val="zh-CN" w:eastAsia="zh-CN"/>
        </w:rPr>
        <w:t>对</w:t>
      </w:r>
      <w:r w:rsidR="009D46A3">
        <w:rPr>
          <w:lang w:val="zh-CN" w:eastAsia="zh-CN"/>
        </w:rPr>
        <w:t>受过培训的技术人</w:t>
      </w:r>
      <w:r w:rsidR="009D46A3" w:rsidRPr="00025908">
        <w:rPr>
          <w:lang w:val="zh-CN" w:eastAsia="zh-CN"/>
        </w:rPr>
        <w:t>员</w:t>
      </w:r>
      <w:r w:rsidRPr="00025908">
        <w:rPr>
          <w:lang w:val="zh-CN" w:eastAsia="zh-CN"/>
        </w:rPr>
        <w:t>如何</w:t>
      </w:r>
      <w:r w:rsidR="00BB383E" w:rsidRPr="00025908">
        <w:rPr>
          <w:rFonts w:hint="eastAsia"/>
          <w:lang w:val="zh-CN" w:eastAsia="zh-CN"/>
        </w:rPr>
        <w:t>通过</w:t>
      </w:r>
      <w:r w:rsidRPr="00025908">
        <w:rPr>
          <w:lang w:val="zh-CN" w:eastAsia="zh-CN"/>
        </w:rPr>
        <w:t>实地</w:t>
      </w:r>
      <w:r w:rsidR="00BB383E" w:rsidRPr="00025908">
        <w:rPr>
          <w:rFonts w:hint="eastAsia"/>
          <w:lang w:val="zh-CN" w:eastAsia="zh-CN"/>
        </w:rPr>
        <w:t>参加培训班</w:t>
      </w:r>
      <w:r w:rsidRPr="00025908">
        <w:rPr>
          <w:lang w:val="zh-CN" w:eastAsia="zh-CN"/>
        </w:rPr>
        <w:t>的方式将其</w:t>
      </w:r>
      <w:r w:rsidR="00BB383E" w:rsidRPr="00025908">
        <w:rPr>
          <w:rFonts w:hint="eastAsia"/>
          <w:lang w:val="zh-CN" w:eastAsia="zh-CN"/>
        </w:rPr>
        <w:t>所</w:t>
      </w:r>
      <w:r w:rsidRPr="00025908">
        <w:rPr>
          <w:lang w:val="zh-CN" w:eastAsia="zh-CN"/>
        </w:rPr>
        <w:t>获得的知识</w:t>
      </w:r>
      <w:r w:rsidR="00BB383E" w:rsidRPr="00025908">
        <w:rPr>
          <w:rFonts w:hint="eastAsia"/>
          <w:lang w:val="zh-CN" w:eastAsia="zh-CN"/>
        </w:rPr>
        <w:t>付诸应用进行监测，技术人员</w:t>
      </w:r>
      <w:r w:rsidR="00BD374E" w:rsidRPr="00025908">
        <w:rPr>
          <w:rFonts w:hint="eastAsia"/>
          <w:lang w:val="zh-CN" w:eastAsia="zh-CN"/>
        </w:rPr>
        <w:t>需</w:t>
      </w:r>
      <w:r w:rsidR="00BB383E" w:rsidRPr="00025908">
        <w:rPr>
          <w:rFonts w:hint="eastAsia"/>
          <w:lang w:val="zh-CN" w:eastAsia="zh-CN"/>
        </w:rPr>
        <w:t>在培训班按</w:t>
      </w:r>
      <w:r w:rsidRPr="00025908">
        <w:rPr>
          <w:lang w:val="zh-CN" w:eastAsia="zh-CN"/>
        </w:rPr>
        <w:t>要求展示</w:t>
      </w:r>
      <w:r w:rsidR="00BB383E" w:rsidRPr="00025908">
        <w:rPr>
          <w:rFonts w:hint="eastAsia"/>
          <w:lang w:val="zh-CN" w:eastAsia="zh-CN"/>
        </w:rPr>
        <w:t>其</w:t>
      </w:r>
      <w:r w:rsidRPr="00025908">
        <w:rPr>
          <w:lang w:val="zh-CN" w:eastAsia="zh-CN"/>
        </w:rPr>
        <w:t>维修</w:t>
      </w:r>
      <w:r w:rsidR="00BB383E" w:rsidRPr="00025908">
        <w:rPr>
          <w:rFonts w:hint="eastAsia"/>
          <w:lang w:val="zh-CN" w:eastAsia="zh-CN"/>
        </w:rPr>
        <w:t>实务</w:t>
      </w:r>
      <w:r w:rsidRPr="00025908">
        <w:rPr>
          <w:lang w:val="zh-CN" w:eastAsia="zh-CN"/>
        </w:rPr>
        <w:t>；</w:t>
      </w:r>
      <w:r w:rsidR="008B1563">
        <w:rPr>
          <w:rFonts w:hint="eastAsia"/>
          <w:lang w:val="zh-CN" w:eastAsia="zh-CN"/>
        </w:rPr>
        <w:t>国家臭氧机构</w:t>
      </w:r>
      <w:r>
        <w:rPr>
          <w:lang w:val="zh-CN" w:eastAsia="zh-CN"/>
        </w:rPr>
        <w:t>收集这些数据，并根据收集的信息设计进修培训</w:t>
      </w:r>
      <w:r w:rsidR="00B66329">
        <w:rPr>
          <w:rFonts w:hint="eastAsia"/>
          <w:lang w:val="zh-CN" w:eastAsia="zh-CN"/>
        </w:rPr>
        <w:t>类</w:t>
      </w:r>
      <w:r>
        <w:rPr>
          <w:lang w:val="zh-CN" w:eastAsia="zh-CN"/>
        </w:rPr>
        <w:t>课程。</w:t>
      </w:r>
      <w:r w:rsidR="00B66329">
        <w:rPr>
          <w:rFonts w:hint="eastAsia"/>
          <w:lang w:val="zh-CN" w:eastAsia="zh-CN"/>
        </w:rPr>
        <w:t>另据证实</w:t>
      </w:r>
      <w:r>
        <w:rPr>
          <w:lang w:val="zh-CN" w:eastAsia="zh-CN"/>
        </w:rPr>
        <w:t>，</w:t>
      </w:r>
      <w:r w:rsidR="00B66329">
        <w:rPr>
          <w:rFonts w:hint="eastAsia"/>
          <w:lang w:val="zh-CN" w:eastAsia="zh-CN"/>
        </w:rPr>
        <w:t>该国</w:t>
      </w:r>
      <w:r>
        <w:rPr>
          <w:lang w:val="zh-CN" w:eastAsia="zh-CN"/>
        </w:rPr>
        <w:t>提交</w:t>
      </w:r>
      <w:r w:rsidR="00B66329">
        <w:rPr>
          <w:rFonts w:hint="eastAsia"/>
          <w:lang w:val="zh-CN" w:eastAsia="zh-CN"/>
        </w:rPr>
        <w:t>至</w:t>
      </w:r>
      <w:r>
        <w:rPr>
          <w:lang w:val="zh-CN" w:eastAsia="zh-CN"/>
        </w:rPr>
        <w:t>第</w:t>
      </w:r>
      <w:r>
        <w:rPr>
          <w:lang w:val="zh-CN" w:eastAsia="zh-CN"/>
        </w:rPr>
        <w:t>81</w:t>
      </w:r>
      <w:r>
        <w:rPr>
          <w:lang w:val="zh-CN" w:eastAsia="zh-CN"/>
        </w:rPr>
        <w:t>次会议的核查报告建议，技术人员的正式认证以及制定</w:t>
      </w:r>
      <w:r w:rsidR="00B66329">
        <w:rPr>
          <w:rFonts w:hint="eastAsia"/>
          <w:lang w:val="zh-CN" w:eastAsia="zh-CN"/>
        </w:rPr>
        <w:t>关于</w:t>
      </w:r>
      <w:r>
        <w:rPr>
          <w:lang w:val="zh-CN" w:eastAsia="zh-CN"/>
        </w:rPr>
        <w:t>易燃制冷剂</w:t>
      </w:r>
      <w:r w:rsidR="00B66329">
        <w:rPr>
          <w:lang w:val="zh-CN" w:eastAsia="zh-CN"/>
        </w:rPr>
        <w:t>使用</w:t>
      </w:r>
      <w:r>
        <w:rPr>
          <w:lang w:val="zh-CN" w:eastAsia="zh-CN"/>
        </w:rPr>
        <w:t>的国家标准，将成为拟</w:t>
      </w:r>
      <w:r w:rsidR="00B66329">
        <w:rPr>
          <w:rFonts w:hint="eastAsia"/>
          <w:lang w:val="zh-CN" w:eastAsia="zh-CN"/>
        </w:rPr>
        <w:t>于</w:t>
      </w:r>
      <w:r>
        <w:rPr>
          <w:lang w:val="zh-CN" w:eastAsia="zh-CN"/>
        </w:rPr>
        <w:t>第</w:t>
      </w:r>
      <w:r>
        <w:rPr>
          <w:lang w:val="zh-CN" w:eastAsia="zh-CN"/>
        </w:rPr>
        <w:t>88</w:t>
      </w:r>
      <w:r>
        <w:rPr>
          <w:lang w:val="zh-CN" w:eastAsia="zh-CN"/>
        </w:rPr>
        <w:t>次会议提交的氟氯烃淘汰管理计划第二阶段的部分</w:t>
      </w:r>
      <w:r w:rsidR="00B66329">
        <w:rPr>
          <w:rFonts w:hint="eastAsia"/>
          <w:lang w:val="zh-CN" w:eastAsia="zh-CN"/>
        </w:rPr>
        <w:t>内容</w:t>
      </w:r>
      <w:r>
        <w:rPr>
          <w:lang w:val="zh-CN" w:eastAsia="zh-CN"/>
        </w:rPr>
        <w:t>。</w:t>
      </w:r>
      <w:r w:rsidR="00B66329">
        <w:rPr>
          <w:rFonts w:hint="eastAsia"/>
          <w:lang w:val="zh-CN" w:eastAsia="zh-CN"/>
        </w:rPr>
        <w:t>联合国</w:t>
      </w:r>
      <w:r>
        <w:rPr>
          <w:lang w:val="zh-CN" w:eastAsia="zh-CN"/>
        </w:rPr>
        <w:t>环境规划署重申，在第一阶段为受过培训的技术人员引入认证计划的主要障碍</w:t>
      </w:r>
      <w:r w:rsidR="008E2CB8">
        <w:rPr>
          <w:rFonts w:hint="eastAsia"/>
          <w:lang w:val="zh-CN" w:eastAsia="zh-CN"/>
        </w:rPr>
        <w:t>在于</w:t>
      </w:r>
      <w:r>
        <w:rPr>
          <w:lang w:val="zh-CN" w:eastAsia="zh-CN"/>
        </w:rPr>
        <w:t>缺乏专业知识和辅助基础设施，这将在第二阶段予以解决。</w:t>
      </w:r>
    </w:p>
    <w:p w:rsidR="005514C8" w:rsidRDefault="005514C8">
      <w:pPr>
        <w:pStyle w:val="Heading1"/>
        <w:tabs>
          <w:tab w:val="left" w:pos="0"/>
        </w:tabs>
        <w:rPr>
          <w:u w:val="single"/>
          <w:lang w:eastAsia="zh-CN"/>
        </w:rPr>
      </w:pPr>
      <w:r>
        <w:rPr>
          <w:lang w:val="zh-CN" w:eastAsia="zh-CN"/>
        </w:rPr>
        <w:t>关于核查报告的其他一些建议，包括通过</w:t>
      </w:r>
      <w:r w:rsidR="008E2CB8">
        <w:rPr>
          <w:rFonts w:hint="eastAsia"/>
          <w:lang w:val="zh-CN" w:eastAsia="zh-CN"/>
        </w:rPr>
        <w:t>关于执行</w:t>
      </w:r>
      <w:r w:rsidR="008E2CB8">
        <w:rPr>
          <w:lang w:val="zh-CN" w:eastAsia="zh-CN"/>
        </w:rPr>
        <w:t>国家和次区域</w:t>
      </w:r>
      <w:r w:rsidR="008B1563">
        <w:rPr>
          <w:rFonts w:hint="eastAsia"/>
          <w:lang w:val="zh-CN" w:eastAsia="zh-CN"/>
        </w:rPr>
        <w:t>消耗臭氧层物质</w:t>
      </w:r>
      <w:r>
        <w:rPr>
          <w:lang w:val="zh-CN" w:eastAsia="zh-CN"/>
        </w:rPr>
        <w:t>进口和分销法规的</w:t>
      </w:r>
      <w:r w:rsidR="008E2CB8">
        <w:rPr>
          <w:rFonts w:hint="eastAsia"/>
          <w:lang w:val="zh-CN" w:eastAsia="zh-CN"/>
        </w:rPr>
        <w:t>培训强化</w:t>
      </w:r>
      <w:r>
        <w:rPr>
          <w:lang w:val="zh-CN" w:eastAsia="zh-CN"/>
        </w:rPr>
        <w:t>海关官员的能力；</w:t>
      </w:r>
      <w:r w:rsidR="008E2CB8">
        <w:rPr>
          <w:rFonts w:hint="eastAsia"/>
          <w:lang w:val="zh-CN" w:eastAsia="zh-CN"/>
        </w:rPr>
        <w:t>提高</w:t>
      </w:r>
      <w:r>
        <w:rPr>
          <w:lang w:val="zh-CN" w:eastAsia="zh-CN"/>
        </w:rPr>
        <w:t>进口商和分销商</w:t>
      </w:r>
      <w:r w:rsidR="00BC7BE0">
        <w:rPr>
          <w:lang w:val="zh-CN" w:eastAsia="zh-CN"/>
        </w:rPr>
        <w:t>国家和次区域立法（西非经济货币联盟）</w:t>
      </w:r>
      <w:r>
        <w:rPr>
          <w:lang w:val="zh-CN" w:eastAsia="zh-CN"/>
        </w:rPr>
        <w:t>对上一次</w:t>
      </w:r>
      <w:r w:rsidR="008E2CB8">
        <w:rPr>
          <w:rFonts w:hint="eastAsia"/>
          <w:lang w:val="zh-CN" w:eastAsia="zh-CN"/>
        </w:rPr>
        <w:t>拨</w:t>
      </w:r>
      <w:r>
        <w:rPr>
          <w:lang w:val="zh-CN" w:eastAsia="zh-CN"/>
        </w:rPr>
        <w:t>款期间执行的</w:t>
      </w:r>
      <w:r w:rsidR="008E2CB8">
        <w:rPr>
          <w:rFonts w:hint="eastAsia"/>
          <w:lang w:val="zh-CN" w:eastAsia="zh-CN"/>
        </w:rPr>
        <w:t>关于</w:t>
      </w:r>
      <w:r w:rsidR="008B1563">
        <w:rPr>
          <w:rFonts w:hint="eastAsia"/>
          <w:lang w:val="zh-CN" w:eastAsia="zh-CN"/>
        </w:rPr>
        <w:t>消耗臭氧层物质</w:t>
      </w:r>
      <w:r>
        <w:rPr>
          <w:lang w:val="zh-CN" w:eastAsia="zh-CN"/>
        </w:rPr>
        <w:t>进口和分销的条款的</w:t>
      </w:r>
      <w:r w:rsidR="003536F9">
        <w:rPr>
          <w:rFonts w:hint="eastAsia"/>
          <w:lang w:val="zh-CN" w:eastAsia="zh-CN"/>
        </w:rPr>
        <w:t>认识</w:t>
      </w:r>
      <w:r>
        <w:rPr>
          <w:lang w:val="zh-CN" w:eastAsia="zh-CN"/>
        </w:rPr>
        <w:t>；</w:t>
      </w:r>
      <w:r w:rsidR="00BC7BE0">
        <w:rPr>
          <w:rFonts w:hint="eastAsia"/>
          <w:lang w:val="zh-CN" w:eastAsia="zh-CN"/>
        </w:rPr>
        <w:t>其他</w:t>
      </w:r>
      <w:r w:rsidR="00025908">
        <w:rPr>
          <w:rFonts w:hint="eastAsia"/>
          <w:lang w:val="zh-CN" w:eastAsia="zh-CN"/>
        </w:rPr>
        <w:t>建议</w:t>
      </w:r>
      <w:r w:rsidR="00BC7BE0">
        <w:rPr>
          <w:rFonts w:hint="eastAsia"/>
          <w:lang w:val="zh-CN" w:eastAsia="zh-CN"/>
        </w:rPr>
        <w:t>，</w:t>
      </w:r>
      <w:r w:rsidR="00BC7BE0">
        <w:rPr>
          <w:lang w:val="zh-CN" w:eastAsia="zh-CN"/>
        </w:rPr>
        <w:t>例如</w:t>
      </w:r>
      <w:r>
        <w:rPr>
          <w:lang w:val="zh-CN" w:eastAsia="zh-CN"/>
        </w:rPr>
        <w:t>通过培训材料和</w:t>
      </w:r>
      <w:r w:rsidR="008B1563">
        <w:rPr>
          <w:rFonts w:hint="eastAsia"/>
          <w:lang w:val="zh-CN" w:eastAsia="zh-CN"/>
        </w:rPr>
        <w:t>消耗臭氧层物质</w:t>
      </w:r>
      <w:r>
        <w:rPr>
          <w:lang w:val="zh-CN" w:eastAsia="zh-CN"/>
        </w:rPr>
        <w:t>识别套件来支持海关当局（作为第五次</w:t>
      </w:r>
      <w:r w:rsidR="00BC7BE0">
        <w:rPr>
          <w:rFonts w:hint="eastAsia"/>
          <w:lang w:val="zh-CN" w:eastAsia="zh-CN"/>
        </w:rPr>
        <w:t>拨</w:t>
      </w:r>
      <w:r>
        <w:rPr>
          <w:lang w:val="zh-CN" w:eastAsia="zh-CN"/>
        </w:rPr>
        <w:t>款的一部分予以优先考虑）等。其他长期建议包括</w:t>
      </w:r>
      <w:r w:rsidR="00BC7BE0">
        <w:rPr>
          <w:lang w:val="zh-CN" w:eastAsia="zh-CN"/>
        </w:rPr>
        <w:t>增设示范中心</w:t>
      </w:r>
      <w:r w:rsidR="00F33A71">
        <w:rPr>
          <w:rFonts w:hint="eastAsia"/>
          <w:lang w:val="zh-CN" w:eastAsia="zh-CN"/>
        </w:rPr>
        <w:t>以</w:t>
      </w:r>
      <w:r w:rsidR="00F33A71">
        <w:rPr>
          <w:lang w:val="zh-CN" w:eastAsia="zh-CN"/>
        </w:rPr>
        <w:t>在全国</w:t>
      </w:r>
      <w:r w:rsidR="00F33A71">
        <w:rPr>
          <w:rFonts w:hint="eastAsia"/>
          <w:lang w:val="zh-CN" w:eastAsia="zh-CN"/>
        </w:rPr>
        <w:t>范围</w:t>
      </w:r>
      <w:r w:rsidR="00F33A71">
        <w:rPr>
          <w:lang w:val="zh-CN" w:eastAsia="zh-CN"/>
        </w:rPr>
        <w:t>提供制冷培训等</w:t>
      </w:r>
      <w:r w:rsidR="00BC7BE0">
        <w:rPr>
          <w:rFonts w:hint="eastAsia"/>
          <w:lang w:val="zh-CN" w:eastAsia="zh-CN"/>
        </w:rPr>
        <w:t>，</w:t>
      </w:r>
      <w:r w:rsidR="00F33A71">
        <w:rPr>
          <w:rFonts w:hint="eastAsia"/>
          <w:lang w:val="zh-CN" w:eastAsia="zh-CN"/>
        </w:rPr>
        <w:t>将</w:t>
      </w:r>
      <w:r>
        <w:rPr>
          <w:lang w:val="zh-CN" w:eastAsia="zh-CN"/>
        </w:rPr>
        <w:t>作为氟氯烃淘汰管理计划第二阶段的一部分</w:t>
      </w:r>
      <w:r w:rsidR="00F33A71">
        <w:rPr>
          <w:rFonts w:hint="eastAsia"/>
          <w:lang w:val="zh-CN" w:eastAsia="zh-CN"/>
        </w:rPr>
        <w:t>予以处理</w:t>
      </w:r>
      <w:r>
        <w:rPr>
          <w:lang w:val="zh-CN" w:eastAsia="zh-CN"/>
        </w:rPr>
        <w:t>。</w:t>
      </w:r>
    </w:p>
    <w:p w:rsidR="005514C8" w:rsidRDefault="005514C8">
      <w:pPr>
        <w:pStyle w:val="Heading1"/>
        <w:numPr>
          <w:ilvl w:val="0"/>
          <w:numId w:val="0"/>
        </w:numPr>
        <w:tabs>
          <w:tab w:val="left" w:pos="0"/>
        </w:tabs>
      </w:pPr>
      <w:r>
        <w:rPr>
          <w:u w:val="single"/>
          <w:lang w:val="zh-CN" w:eastAsia="zh-CN"/>
        </w:rPr>
        <w:lastRenderedPageBreak/>
        <w:t>第一阶段的完成</w:t>
      </w:r>
    </w:p>
    <w:p w:rsidR="005514C8" w:rsidRPr="00C4195C" w:rsidRDefault="005514C8">
      <w:pPr>
        <w:pStyle w:val="Heading1"/>
        <w:tabs>
          <w:tab w:val="left" w:pos="0"/>
        </w:tabs>
        <w:rPr>
          <w:lang w:eastAsia="zh-CN"/>
        </w:rPr>
      </w:pPr>
      <w:r>
        <w:rPr>
          <w:lang w:val="zh-CN" w:eastAsia="zh-CN"/>
        </w:rPr>
        <w:t>由于新冠疫情造成</w:t>
      </w:r>
      <w:r w:rsidR="00B71F62">
        <w:rPr>
          <w:rFonts w:hint="eastAsia"/>
          <w:lang w:val="zh-CN" w:eastAsia="zh-CN"/>
        </w:rPr>
        <w:t>的</w:t>
      </w:r>
      <w:r>
        <w:rPr>
          <w:lang w:val="zh-CN" w:eastAsia="zh-CN"/>
        </w:rPr>
        <w:t>延误，贝宁政府请求将第一阶段的完成日期延长至</w:t>
      </w:r>
      <w:r>
        <w:rPr>
          <w:lang w:val="zh-CN" w:eastAsia="zh-CN"/>
        </w:rPr>
        <w:t>2022</w:t>
      </w:r>
      <w:r>
        <w:rPr>
          <w:lang w:val="zh-CN" w:eastAsia="zh-CN"/>
        </w:rPr>
        <w:t>年</w:t>
      </w:r>
      <w:r>
        <w:rPr>
          <w:lang w:val="zh-CN" w:eastAsia="zh-CN"/>
        </w:rPr>
        <w:t>12</w:t>
      </w:r>
      <w:r>
        <w:rPr>
          <w:lang w:val="zh-CN" w:eastAsia="zh-CN"/>
        </w:rPr>
        <w:t>月</w:t>
      </w:r>
      <w:r>
        <w:rPr>
          <w:lang w:val="zh-CN" w:eastAsia="zh-CN"/>
        </w:rPr>
        <w:t>31</w:t>
      </w:r>
      <w:r>
        <w:rPr>
          <w:lang w:val="zh-CN" w:eastAsia="zh-CN"/>
        </w:rPr>
        <w:t>日，以</w:t>
      </w:r>
      <w:r w:rsidR="00B71F62">
        <w:rPr>
          <w:rFonts w:hint="eastAsia"/>
          <w:lang w:val="zh-CN" w:eastAsia="zh-CN"/>
        </w:rPr>
        <w:t>便</w:t>
      </w:r>
      <w:r>
        <w:rPr>
          <w:lang w:val="zh-CN" w:eastAsia="zh-CN"/>
        </w:rPr>
        <w:t>执行氟氯烃淘汰管理计划中的剩余活</w:t>
      </w:r>
      <w:r w:rsidRPr="00C4195C">
        <w:rPr>
          <w:lang w:val="zh-CN" w:eastAsia="zh-CN"/>
        </w:rPr>
        <w:t>动。秘书处支持这一延期</w:t>
      </w:r>
      <w:r w:rsidR="00B71F62" w:rsidRPr="00C4195C">
        <w:rPr>
          <w:rFonts w:hint="eastAsia"/>
          <w:lang w:val="zh-CN" w:eastAsia="zh-CN"/>
        </w:rPr>
        <w:t>请求</w:t>
      </w:r>
      <w:r w:rsidRPr="00C4195C">
        <w:rPr>
          <w:lang w:val="zh-CN" w:eastAsia="zh-CN"/>
        </w:rPr>
        <w:t>，但前提是不得请求进一步延期。</w:t>
      </w:r>
      <w:r w:rsidR="00B71F62" w:rsidRPr="00C4195C">
        <w:rPr>
          <w:rFonts w:hint="eastAsia"/>
          <w:lang w:val="zh-CN" w:eastAsia="zh-CN"/>
        </w:rPr>
        <w:t>联合国</w:t>
      </w:r>
      <w:r w:rsidRPr="00C4195C">
        <w:rPr>
          <w:lang w:val="zh-CN" w:eastAsia="zh-CN"/>
        </w:rPr>
        <w:t>环境规划署还确认，拟</w:t>
      </w:r>
      <w:r w:rsidR="00C4195C" w:rsidRPr="00C4195C">
        <w:rPr>
          <w:rFonts w:hint="eastAsia"/>
          <w:lang w:val="zh-CN" w:eastAsia="zh-CN"/>
        </w:rPr>
        <w:t>于</w:t>
      </w:r>
      <w:r w:rsidRPr="00C4195C">
        <w:rPr>
          <w:lang w:val="zh-CN" w:eastAsia="zh-CN"/>
        </w:rPr>
        <w:t>第</w:t>
      </w:r>
      <w:r w:rsidRPr="00C4195C">
        <w:rPr>
          <w:lang w:val="zh-CN" w:eastAsia="zh-CN"/>
        </w:rPr>
        <w:t>88</w:t>
      </w:r>
      <w:r w:rsidRPr="00C4195C">
        <w:rPr>
          <w:lang w:val="zh-CN" w:eastAsia="zh-CN"/>
        </w:rPr>
        <w:t>次会议提交氟氯烃淘汰管理计划的</w:t>
      </w:r>
      <w:r w:rsidRPr="00FE77B6">
        <w:rPr>
          <w:lang w:val="zh-CN" w:eastAsia="zh-CN"/>
        </w:rPr>
        <w:t>第二阶段</w:t>
      </w:r>
      <w:r w:rsidRPr="00FE77B6">
        <w:rPr>
          <w:rFonts w:hint="eastAsia"/>
          <w:lang w:val="en-US" w:eastAsia="zh-CN"/>
        </w:rPr>
        <w:t>内容</w:t>
      </w:r>
      <w:r w:rsidRPr="00C4195C">
        <w:rPr>
          <w:lang w:val="zh-CN" w:eastAsia="zh-CN"/>
        </w:rPr>
        <w:t>。</w:t>
      </w:r>
      <w:r w:rsidRPr="00C4195C">
        <w:rPr>
          <w:lang w:val="zh-CN" w:eastAsia="zh-CN"/>
        </w:rPr>
        <w:t xml:space="preserve"> </w:t>
      </w:r>
    </w:p>
    <w:p w:rsidR="005514C8" w:rsidRDefault="005514C8">
      <w:pPr>
        <w:keepNext/>
        <w:keepLines/>
        <w:rPr>
          <w:u w:val="single"/>
          <w:lang w:eastAsia="zh-CN"/>
        </w:rPr>
      </w:pPr>
      <w:r>
        <w:rPr>
          <w:u w:val="single"/>
          <w:lang w:val="zh-CN" w:eastAsia="zh-CN"/>
        </w:rPr>
        <w:t>性</w:t>
      </w:r>
      <w:r w:rsidR="00C4195C">
        <w:rPr>
          <w:rFonts w:hint="eastAsia"/>
          <w:u w:val="single"/>
          <w:lang w:val="zh-CN" w:eastAsia="zh-CN"/>
        </w:rPr>
        <w:t>别</w:t>
      </w:r>
      <w:r>
        <w:rPr>
          <w:u w:val="single"/>
          <w:lang w:val="zh-CN" w:eastAsia="zh-CN"/>
        </w:rPr>
        <w:t>平等政策的</w:t>
      </w:r>
      <w:r w:rsidR="00C4195C">
        <w:rPr>
          <w:rFonts w:hint="eastAsia"/>
          <w:u w:val="single"/>
          <w:lang w:val="zh-CN" w:eastAsia="zh-CN"/>
        </w:rPr>
        <w:t>实施</w:t>
      </w:r>
      <w:r>
        <w:rPr>
          <w:u w:val="single"/>
          <w:vertAlign w:val="superscript"/>
          <w:lang w:val="zh-CN" w:eastAsia="zh-CN"/>
        </w:rPr>
        <w:footnoteReference w:id="3"/>
      </w:r>
    </w:p>
    <w:p w:rsidR="005514C8" w:rsidRDefault="005514C8">
      <w:pPr>
        <w:keepNext/>
        <w:keepLines/>
        <w:rPr>
          <w:u w:val="single"/>
          <w:lang w:eastAsia="zh-CN"/>
        </w:rPr>
      </w:pPr>
    </w:p>
    <w:p w:rsidR="005514C8" w:rsidRDefault="008B1563">
      <w:pPr>
        <w:pStyle w:val="Heading1"/>
        <w:keepNext/>
        <w:keepLines/>
        <w:tabs>
          <w:tab w:val="left" w:pos="0"/>
        </w:tabs>
        <w:rPr>
          <w:u w:val="single"/>
          <w:lang w:eastAsia="zh-CN"/>
        </w:rPr>
      </w:pPr>
      <w:r>
        <w:rPr>
          <w:rFonts w:hint="eastAsia"/>
          <w:lang w:val="zh-CN" w:eastAsia="zh-CN"/>
        </w:rPr>
        <w:t>国家臭氧机构</w:t>
      </w:r>
      <w:r w:rsidR="005514C8">
        <w:rPr>
          <w:lang w:val="zh-CN" w:eastAsia="zh-CN"/>
        </w:rPr>
        <w:t>正在与利益攸关方协商，以制定追踪和鼓励</w:t>
      </w:r>
      <w:r w:rsidR="005514C8">
        <w:rPr>
          <w:rFonts w:hint="eastAsia"/>
          <w:lang w:val="en-US" w:eastAsia="zh-CN"/>
        </w:rPr>
        <w:t>女性</w:t>
      </w:r>
      <w:r w:rsidR="005514C8">
        <w:rPr>
          <w:lang w:val="zh-CN" w:eastAsia="zh-CN"/>
        </w:rPr>
        <w:t>参加氟氯烃淘汰管理计划活动的策略。在第四次</w:t>
      </w:r>
      <w:r w:rsidR="00C4195C">
        <w:rPr>
          <w:rFonts w:hint="eastAsia"/>
          <w:lang w:val="zh-CN" w:eastAsia="zh-CN"/>
        </w:rPr>
        <w:t>拨</w:t>
      </w:r>
      <w:r w:rsidR="005514C8">
        <w:rPr>
          <w:lang w:val="zh-CN" w:eastAsia="zh-CN"/>
        </w:rPr>
        <w:t>款的执行期间，鼓励女性</w:t>
      </w:r>
      <w:r w:rsidR="00C4195C">
        <w:rPr>
          <w:rFonts w:hint="eastAsia"/>
          <w:lang w:val="zh-CN" w:eastAsia="zh-CN"/>
        </w:rPr>
        <w:t>进</w:t>
      </w:r>
      <w:r w:rsidR="005514C8">
        <w:rPr>
          <w:lang w:val="zh-CN" w:eastAsia="zh-CN"/>
        </w:rPr>
        <w:t>入职业培训中心</w:t>
      </w:r>
      <w:r w:rsidR="00813E67">
        <w:rPr>
          <w:rFonts w:hint="eastAsia"/>
          <w:lang w:val="zh-CN" w:eastAsia="zh-CN"/>
        </w:rPr>
        <w:t>学习</w:t>
      </w:r>
      <w:r w:rsidR="005514C8">
        <w:rPr>
          <w:lang w:val="zh-CN" w:eastAsia="zh-CN"/>
        </w:rPr>
        <w:t>，</w:t>
      </w:r>
      <w:r w:rsidR="00C4195C">
        <w:rPr>
          <w:rFonts w:hint="eastAsia"/>
          <w:lang w:val="zh-CN" w:eastAsia="zh-CN"/>
        </w:rPr>
        <w:t>且</w:t>
      </w:r>
      <w:r w:rsidR="005514C8">
        <w:rPr>
          <w:lang w:val="zh-CN" w:eastAsia="zh-CN"/>
        </w:rPr>
        <w:t>已获得</w:t>
      </w:r>
      <w:r>
        <w:rPr>
          <w:rFonts w:hint="eastAsia"/>
          <w:lang w:val="zh-CN" w:eastAsia="zh-CN"/>
        </w:rPr>
        <w:t>制冷空调行业</w:t>
      </w:r>
      <w:r w:rsidR="005514C8">
        <w:rPr>
          <w:lang w:val="zh-CN" w:eastAsia="zh-CN"/>
        </w:rPr>
        <w:t>技术文凭的女性每年都会获得</w:t>
      </w:r>
      <w:r w:rsidR="00813E67">
        <w:rPr>
          <w:rFonts w:hint="eastAsia"/>
          <w:lang w:val="zh-CN" w:eastAsia="zh-CN"/>
        </w:rPr>
        <w:t>认证</w:t>
      </w:r>
      <w:r w:rsidR="005514C8">
        <w:rPr>
          <w:lang w:val="zh-CN" w:eastAsia="zh-CN"/>
        </w:rPr>
        <w:t>和基本工具套件，从而为</w:t>
      </w:r>
      <w:r w:rsidR="00C4195C">
        <w:rPr>
          <w:rFonts w:hint="eastAsia"/>
          <w:lang w:val="zh-CN" w:eastAsia="zh-CN"/>
        </w:rPr>
        <w:t>其</w:t>
      </w:r>
      <w:r w:rsidR="005514C8">
        <w:rPr>
          <w:lang w:val="zh-CN" w:eastAsia="zh-CN"/>
        </w:rPr>
        <w:t>培训提供支持。</w:t>
      </w:r>
    </w:p>
    <w:p w:rsidR="005514C8" w:rsidRDefault="005514C8">
      <w:pPr>
        <w:pStyle w:val="Heading1"/>
        <w:numPr>
          <w:ilvl w:val="0"/>
          <w:numId w:val="0"/>
        </w:numPr>
        <w:tabs>
          <w:tab w:val="left" w:pos="0"/>
        </w:tabs>
        <w:rPr>
          <w:u w:val="single"/>
        </w:rPr>
      </w:pPr>
      <w:r>
        <w:rPr>
          <w:u w:val="single"/>
          <w:lang w:val="zh-CN" w:eastAsia="zh-CN"/>
        </w:rPr>
        <w:t>持续淘汰氟氯烃</w:t>
      </w:r>
      <w:r>
        <w:rPr>
          <w:u w:val="single"/>
          <w:lang w:val="zh-CN" w:eastAsia="zh-CN"/>
        </w:rPr>
        <w:t xml:space="preserve"> </w:t>
      </w:r>
    </w:p>
    <w:p w:rsidR="005514C8" w:rsidRDefault="005514C8">
      <w:pPr>
        <w:pStyle w:val="Heading1"/>
        <w:tabs>
          <w:tab w:val="left" w:pos="0"/>
        </w:tabs>
        <w:rPr>
          <w:u w:val="single"/>
          <w:lang w:eastAsia="zh-CN"/>
        </w:rPr>
      </w:pPr>
      <w:r>
        <w:rPr>
          <w:lang w:val="zh-CN" w:eastAsia="zh-CN"/>
        </w:rPr>
        <w:t>为确保持续地向维修技术人员提供培训，贝宁政府建立了一</w:t>
      </w:r>
      <w:r w:rsidR="009E6792">
        <w:rPr>
          <w:rFonts w:hint="eastAsia"/>
          <w:lang w:val="zh-CN" w:eastAsia="zh-CN"/>
        </w:rPr>
        <w:t>项</w:t>
      </w:r>
      <w:r>
        <w:rPr>
          <w:lang w:val="zh-CN" w:eastAsia="zh-CN"/>
        </w:rPr>
        <w:t>由制冷协会牵头并由</w:t>
      </w:r>
      <w:r w:rsidR="008B1563">
        <w:rPr>
          <w:rFonts w:hint="eastAsia"/>
          <w:lang w:val="zh-CN" w:eastAsia="zh-CN"/>
        </w:rPr>
        <w:t>国家臭氧机构</w:t>
      </w:r>
      <w:r>
        <w:rPr>
          <w:lang w:val="zh-CN" w:eastAsia="zh-CN"/>
        </w:rPr>
        <w:t>提供支持的机制，定期</w:t>
      </w:r>
      <w:r w:rsidR="009E6792">
        <w:rPr>
          <w:rFonts w:hint="eastAsia"/>
          <w:lang w:val="zh-CN" w:eastAsia="zh-CN"/>
        </w:rPr>
        <w:t>监测</w:t>
      </w:r>
      <w:r>
        <w:rPr>
          <w:lang w:val="zh-CN" w:eastAsia="zh-CN"/>
        </w:rPr>
        <w:t>维修</w:t>
      </w:r>
      <w:r w:rsidR="009E6792">
        <w:rPr>
          <w:rFonts w:hint="eastAsia"/>
          <w:lang w:val="zh-CN" w:eastAsia="zh-CN"/>
        </w:rPr>
        <w:t>类</w:t>
      </w:r>
      <w:r>
        <w:rPr>
          <w:lang w:val="zh-CN" w:eastAsia="zh-CN"/>
        </w:rPr>
        <w:t>研讨会，以确保技术人员能够使用其在培训中学到的技能；这也有助于更好地设计进修培训课程。</w:t>
      </w:r>
      <w:r w:rsidR="00C15AC2">
        <w:rPr>
          <w:lang w:val="zh-CN" w:eastAsia="zh-CN"/>
        </w:rPr>
        <w:t>强制性技术人员认证制度</w:t>
      </w:r>
      <w:r>
        <w:rPr>
          <w:lang w:val="zh-CN" w:eastAsia="zh-CN"/>
        </w:rPr>
        <w:t>作为氟氯烃淘汰管理计划第二阶段的一部分，将</w:t>
      </w:r>
      <w:r w:rsidR="00C15AC2">
        <w:rPr>
          <w:rFonts w:hint="eastAsia"/>
          <w:lang w:val="zh-CN" w:eastAsia="zh-CN"/>
        </w:rPr>
        <w:t>会予以</w:t>
      </w:r>
      <w:r>
        <w:rPr>
          <w:lang w:val="zh-CN" w:eastAsia="zh-CN"/>
        </w:rPr>
        <w:t>执行。</w:t>
      </w:r>
      <w:r w:rsidR="00C15AC2">
        <w:rPr>
          <w:rFonts w:hint="eastAsia"/>
          <w:lang w:val="zh-CN" w:eastAsia="zh-CN"/>
        </w:rPr>
        <w:t>政府携手</w:t>
      </w:r>
      <w:r>
        <w:rPr>
          <w:lang w:val="zh-CN" w:eastAsia="zh-CN"/>
        </w:rPr>
        <w:t>与海关当局</w:t>
      </w:r>
      <w:r w:rsidR="00C15AC2">
        <w:rPr>
          <w:rFonts w:hint="eastAsia"/>
          <w:lang w:val="zh-CN" w:eastAsia="zh-CN"/>
        </w:rPr>
        <w:t>合力对</w:t>
      </w:r>
      <w:r w:rsidR="00C15AC2">
        <w:rPr>
          <w:lang w:val="zh-CN" w:eastAsia="zh-CN"/>
        </w:rPr>
        <w:t>海关官员</w:t>
      </w:r>
      <w:r w:rsidR="00C15AC2">
        <w:rPr>
          <w:rFonts w:hint="eastAsia"/>
          <w:lang w:val="zh-CN" w:eastAsia="zh-CN"/>
        </w:rPr>
        <w:t>开展</w:t>
      </w:r>
      <w:r>
        <w:rPr>
          <w:lang w:val="zh-CN" w:eastAsia="zh-CN"/>
        </w:rPr>
        <w:t>持续能力建设，</w:t>
      </w:r>
      <w:r>
        <w:rPr>
          <w:rFonts w:hint="eastAsia"/>
          <w:lang w:val="en-US" w:eastAsia="zh-CN"/>
        </w:rPr>
        <w:t>据此</w:t>
      </w:r>
      <w:r w:rsidR="00C15AC2">
        <w:rPr>
          <w:rFonts w:hint="eastAsia"/>
          <w:lang w:val="en-US" w:eastAsia="zh-CN"/>
        </w:rPr>
        <w:t>设立</w:t>
      </w:r>
      <w:r>
        <w:rPr>
          <w:lang w:val="zh-CN" w:eastAsia="zh-CN"/>
        </w:rPr>
        <w:t>了一</w:t>
      </w:r>
      <w:r w:rsidR="00C15AC2">
        <w:rPr>
          <w:rFonts w:hint="eastAsia"/>
          <w:lang w:val="zh-CN" w:eastAsia="zh-CN"/>
        </w:rPr>
        <w:t>项</w:t>
      </w:r>
      <w:r>
        <w:rPr>
          <w:lang w:val="zh-CN" w:eastAsia="zh-CN"/>
        </w:rPr>
        <w:t>有效的培训课程，</w:t>
      </w:r>
      <w:r w:rsidR="00C15AC2">
        <w:rPr>
          <w:rFonts w:hint="eastAsia"/>
          <w:lang w:val="zh-CN" w:eastAsia="zh-CN"/>
        </w:rPr>
        <w:t>这项课程</w:t>
      </w:r>
      <w:r>
        <w:rPr>
          <w:lang w:val="zh-CN" w:eastAsia="zh-CN"/>
        </w:rPr>
        <w:t>可在氟氯烃淘汰管理计划之外持续</w:t>
      </w:r>
      <w:r w:rsidR="00551898">
        <w:rPr>
          <w:rFonts w:hint="eastAsia"/>
          <w:lang w:val="zh-CN" w:eastAsia="zh-CN"/>
        </w:rPr>
        <w:t>开展</w:t>
      </w:r>
      <w:r>
        <w:rPr>
          <w:lang w:val="zh-CN" w:eastAsia="zh-CN"/>
        </w:rPr>
        <w:t>。政府已</w:t>
      </w:r>
      <w:r>
        <w:rPr>
          <w:rFonts w:hint="eastAsia"/>
          <w:lang w:val="en-US" w:eastAsia="zh-CN"/>
        </w:rPr>
        <w:t>批准</w:t>
      </w:r>
      <w:r>
        <w:rPr>
          <w:lang w:val="zh-CN" w:eastAsia="zh-CN"/>
        </w:rPr>
        <w:t>《基加利修正案》，</w:t>
      </w:r>
      <w:r w:rsidR="00551898">
        <w:rPr>
          <w:rFonts w:hint="eastAsia"/>
          <w:lang w:val="zh-CN" w:eastAsia="zh-CN"/>
        </w:rPr>
        <w:t>并</w:t>
      </w:r>
      <w:r>
        <w:rPr>
          <w:lang w:val="zh-CN" w:eastAsia="zh-CN"/>
        </w:rPr>
        <w:t>将氟氯烃淘汰与</w:t>
      </w:r>
      <w:r w:rsidR="00025908">
        <w:rPr>
          <w:lang w:val="zh-CN" w:eastAsia="zh-CN"/>
        </w:rPr>
        <w:t>含氢氟烃</w:t>
      </w:r>
      <w:r>
        <w:rPr>
          <w:lang w:val="zh-CN" w:eastAsia="zh-CN"/>
        </w:rPr>
        <w:t>分阶段削减</w:t>
      </w:r>
      <w:r w:rsidR="00551898">
        <w:rPr>
          <w:rFonts w:hint="eastAsia"/>
          <w:lang w:val="zh-CN" w:eastAsia="zh-CN"/>
        </w:rPr>
        <w:t>相</w:t>
      </w:r>
      <w:r>
        <w:rPr>
          <w:lang w:val="zh-CN" w:eastAsia="zh-CN"/>
        </w:rPr>
        <w:t>结合，从而持续实现协同</w:t>
      </w:r>
      <w:r>
        <w:rPr>
          <w:rFonts w:hint="eastAsia"/>
          <w:lang w:val="en-US" w:eastAsia="zh-CN"/>
        </w:rPr>
        <w:t>效应</w:t>
      </w:r>
      <w:r>
        <w:rPr>
          <w:lang w:val="zh-CN" w:eastAsia="zh-CN"/>
        </w:rPr>
        <w:t>，以解决臭氧</w:t>
      </w:r>
      <w:r w:rsidR="00551898">
        <w:rPr>
          <w:rFonts w:hint="eastAsia"/>
          <w:lang w:val="zh-CN" w:eastAsia="zh-CN"/>
        </w:rPr>
        <w:t>问题</w:t>
      </w:r>
      <w:r>
        <w:rPr>
          <w:lang w:val="zh-CN" w:eastAsia="zh-CN"/>
        </w:rPr>
        <w:t>和气候问题。</w:t>
      </w:r>
      <w:r>
        <w:rPr>
          <w:lang w:val="zh-CN" w:eastAsia="zh-CN"/>
        </w:rPr>
        <w:t xml:space="preserve"> </w:t>
      </w:r>
    </w:p>
    <w:p w:rsidR="005514C8" w:rsidRDefault="005514C8">
      <w:pPr>
        <w:rPr>
          <w:u w:val="single"/>
        </w:rPr>
      </w:pPr>
      <w:r>
        <w:rPr>
          <w:u w:val="single"/>
          <w:lang w:val="zh-CN" w:eastAsia="zh-CN"/>
        </w:rPr>
        <w:t>结论</w:t>
      </w:r>
      <w:r>
        <w:rPr>
          <w:u w:val="single"/>
          <w:lang w:val="zh-CN" w:eastAsia="zh-CN"/>
        </w:rPr>
        <w:t xml:space="preserve"> </w:t>
      </w:r>
    </w:p>
    <w:p w:rsidR="005514C8" w:rsidRDefault="005514C8"/>
    <w:p w:rsidR="005514C8" w:rsidRDefault="005514C8">
      <w:pPr>
        <w:pStyle w:val="Heading1"/>
        <w:tabs>
          <w:tab w:val="left" w:pos="0"/>
        </w:tabs>
        <w:rPr>
          <w:lang w:eastAsia="zh-CN"/>
        </w:rPr>
      </w:pPr>
      <w:r>
        <w:rPr>
          <w:lang w:val="zh-CN" w:eastAsia="zh-CN"/>
        </w:rPr>
        <w:t>贝宁执行的氟氯烃淘汰管理计划第一阶段正</w:t>
      </w:r>
      <w:r w:rsidR="00B91949">
        <w:rPr>
          <w:rFonts w:hint="eastAsia"/>
          <w:lang w:val="zh-CN" w:eastAsia="zh-CN"/>
        </w:rPr>
        <w:t>在</w:t>
      </w:r>
      <w:r>
        <w:rPr>
          <w:lang w:val="zh-CN" w:eastAsia="zh-CN"/>
        </w:rPr>
        <w:t>取得进展，该国遵守</w:t>
      </w:r>
      <w:r w:rsidR="00B91949">
        <w:rPr>
          <w:rFonts w:hint="eastAsia"/>
          <w:lang w:val="zh-CN" w:eastAsia="zh-CN"/>
        </w:rPr>
        <w:t>《</w:t>
      </w:r>
      <w:r>
        <w:rPr>
          <w:lang w:val="zh-CN" w:eastAsia="zh-CN"/>
        </w:rPr>
        <w:t>蒙特利尔议定书</w:t>
      </w:r>
      <w:r w:rsidR="00B91949">
        <w:rPr>
          <w:rFonts w:hint="eastAsia"/>
          <w:lang w:val="zh-CN" w:eastAsia="zh-CN"/>
        </w:rPr>
        <w:t>》</w:t>
      </w:r>
      <w:r>
        <w:rPr>
          <w:lang w:val="zh-CN" w:eastAsia="zh-CN"/>
        </w:rPr>
        <w:t>及其与执行委员会达成的协定。资金</w:t>
      </w:r>
      <w:r w:rsidR="00B91949">
        <w:rPr>
          <w:rFonts w:hint="eastAsia"/>
          <w:lang w:val="zh-CN" w:eastAsia="zh-CN"/>
        </w:rPr>
        <w:t>拨付</w:t>
      </w:r>
      <w:r>
        <w:rPr>
          <w:rFonts w:hint="eastAsia"/>
          <w:lang w:val="en-US" w:eastAsia="zh-CN"/>
        </w:rPr>
        <w:t>的</w:t>
      </w:r>
      <w:r>
        <w:rPr>
          <w:lang w:val="zh-CN" w:eastAsia="zh-CN"/>
        </w:rPr>
        <w:t>总体水平为</w:t>
      </w:r>
      <w:r>
        <w:rPr>
          <w:lang w:val="zh-CN" w:eastAsia="zh-CN"/>
        </w:rPr>
        <w:t>96%</w:t>
      </w:r>
      <w:r>
        <w:rPr>
          <w:lang w:val="zh-CN" w:eastAsia="zh-CN"/>
        </w:rPr>
        <w:t>。</w:t>
      </w:r>
      <w:r>
        <w:rPr>
          <w:rFonts w:hint="eastAsia"/>
          <w:lang w:val="en-US" w:eastAsia="zh-CN"/>
        </w:rPr>
        <w:t>根据该国就</w:t>
      </w:r>
      <w:r>
        <w:rPr>
          <w:lang w:val="zh-CN" w:eastAsia="zh-CN"/>
        </w:rPr>
        <w:t>灯具和室内空调装置</w:t>
      </w:r>
      <w:r w:rsidR="00B91949">
        <w:rPr>
          <w:rFonts w:hint="eastAsia"/>
          <w:lang w:val="zh-CN" w:eastAsia="zh-CN"/>
        </w:rPr>
        <w:t>设</w:t>
      </w:r>
      <w:r>
        <w:rPr>
          <w:lang w:val="zh-CN" w:eastAsia="zh-CN"/>
        </w:rPr>
        <w:t>定最低能效标准和能源</w:t>
      </w:r>
      <w:r w:rsidR="00B91949">
        <w:rPr>
          <w:rFonts w:hint="eastAsia"/>
          <w:lang w:val="zh-CN" w:eastAsia="zh-CN"/>
        </w:rPr>
        <w:t>标签</w:t>
      </w:r>
      <w:r>
        <w:rPr>
          <w:lang w:val="zh-CN" w:eastAsia="zh-CN"/>
        </w:rPr>
        <w:t>标准</w:t>
      </w:r>
      <w:r>
        <w:rPr>
          <w:rFonts w:hint="eastAsia"/>
          <w:lang w:val="en-US" w:eastAsia="zh-CN"/>
        </w:rPr>
        <w:t>的</w:t>
      </w:r>
      <w:r w:rsidR="00B91949">
        <w:rPr>
          <w:rFonts w:hint="eastAsia"/>
          <w:lang w:val="en-US" w:eastAsia="zh-CN"/>
        </w:rPr>
        <w:t>新</w:t>
      </w:r>
      <w:r>
        <w:rPr>
          <w:rFonts w:hint="eastAsia"/>
          <w:lang w:val="en-US" w:eastAsia="zh-CN"/>
        </w:rPr>
        <w:t>政策</w:t>
      </w:r>
      <w:r>
        <w:rPr>
          <w:lang w:val="zh-CN" w:eastAsia="zh-CN"/>
        </w:rPr>
        <w:t>，自</w:t>
      </w:r>
      <w:r>
        <w:rPr>
          <w:lang w:val="zh-CN" w:eastAsia="zh-CN"/>
        </w:rPr>
        <w:t>2020</w:t>
      </w:r>
      <w:r>
        <w:rPr>
          <w:lang w:val="zh-CN" w:eastAsia="zh-CN"/>
        </w:rPr>
        <w:t>年</w:t>
      </w:r>
      <w:r>
        <w:rPr>
          <w:lang w:val="zh-CN" w:eastAsia="zh-CN"/>
        </w:rPr>
        <w:t>6</w:t>
      </w:r>
      <w:r>
        <w:rPr>
          <w:lang w:val="zh-CN" w:eastAsia="zh-CN"/>
        </w:rPr>
        <w:t>月以来，</w:t>
      </w:r>
      <w:r>
        <w:rPr>
          <w:rFonts w:hint="eastAsia"/>
          <w:lang w:val="en-US" w:eastAsia="zh-CN"/>
        </w:rPr>
        <w:t>该国</w:t>
      </w:r>
      <w:r w:rsidR="00B91949">
        <w:rPr>
          <w:rFonts w:hint="eastAsia"/>
          <w:lang w:val="en-US" w:eastAsia="zh-CN"/>
        </w:rPr>
        <w:t>没有</w:t>
      </w:r>
      <w:r>
        <w:rPr>
          <w:rFonts w:hint="eastAsia"/>
          <w:lang w:val="en-US" w:eastAsia="zh-CN"/>
        </w:rPr>
        <w:t>进口</w:t>
      </w:r>
      <w:r w:rsidR="0016073F">
        <w:rPr>
          <w:rFonts w:hint="eastAsia"/>
          <w:lang w:val="en-US" w:eastAsia="zh-CN"/>
        </w:rPr>
        <w:t>含</w:t>
      </w:r>
      <w:r>
        <w:rPr>
          <w:lang w:val="zh-CN" w:eastAsia="zh-CN"/>
        </w:rPr>
        <w:t>氟氯烃</w:t>
      </w:r>
      <w:r w:rsidR="008B1563">
        <w:rPr>
          <w:rFonts w:hint="eastAsia"/>
          <w:lang w:val="zh-CN" w:eastAsia="zh-CN"/>
        </w:rPr>
        <w:t>的制冷空调</w:t>
      </w:r>
      <w:r>
        <w:rPr>
          <w:lang w:val="zh-CN" w:eastAsia="zh-CN"/>
        </w:rPr>
        <w:t>设备。这将</w:t>
      </w:r>
      <w:r>
        <w:rPr>
          <w:rFonts w:hint="eastAsia"/>
          <w:lang w:val="en-US" w:eastAsia="zh-CN"/>
        </w:rPr>
        <w:t>支持</w:t>
      </w:r>
      <w:r>
        <w:rPr>
          <w:lang w:val="zh-CN" w:eastAsia="zh-CN"/>
        </w:rPr>
        <w:t>该国的战略，即该国持续</w:t>
      </w:r>
      <w:r>
        <w:rPr>
          <w:rFonts w:hint="eastAsia"/>
          <w:lang w:val="en-US" w:eastAsia="zh-CN"/>
        </w:rPr>
        <w:t>的</w:t>
      </w:r>
      <w:r>
        <w:rPr>
          <w:lang w:val="zh-CN" w:eastAsia="zh-CN"/>
        </w:rPr>
        <w:t>氟氯烃</w:t>
      </w:r>
      <w:r w:rsidR="00B91949">
        <w:rPr>
          <w:lang w:val="zh-CN" w:eastAsia="zh-CN"/>
        </w:rPr>
        <w:t>需求</w:t>
      </w:r>
      <w:r>
        <w:rPr>
          <w:lang w:val="zh-CN" w:eastAsia="zh-CN"/>
        </w:rPr>
        <w:t>将仅用于现有</w:t>
      </w:r>
      <w:r w:rsidR="0016073F">
        <w:rPr>
          <w:lang w:val="zh-CN" w:eastAsia="zh-CN"/>
        </w:rPr>
        <w:t>含</w:t>
      </w:r>
      <w:r>
        <w:rPr>
          <w:lang w:val="zh-CN" w:eastAsia="zh-CN"/>
        </w:rPr>
        <w:t>氟氯烃设备</w:t>
      </w:r>
      <w:r w:rsidR="00B91949">
        <w:rPr>
          <w:rFonts w:hint="eastAsia"/>
          <w:lang w:val="zh-CN" w:eastAsia="zh-CN"/>
        </w:rPr>
        <w:t>的</w:t>
      </w:r>
      <w:r w:rsidR="00B91949">
        <w:rPr>
          <w:lang w:val="zh-CN" w:eastAsia="zh-CN"/>
        </w:rPr>
        <w:t>维修</w:t>
      </w:r>
      <w:r>
        <w:rPr>
          <w:lang w:val="zh-CN" w:eastAsia="zh-CN"/>
        </w:rPr>
        <w:t>。</w:t>
      </w:r>
      <w:r w:rsidR="004445B2">
        <w:rPr>
          <w:rFonts w:hint="eastAsia"/>
          <w:lang w:val="zh-CN" w:eastAsia="zh-CN"/>
        </w:rPr>
        <w:t>迄今为止</w:t>
      </w:r>
      <w:r w:rsidR="004445B2">
        <w:rPr>
          <w:lang w:val="zh-CN" w:eastAsia="zh-CN"/>
        </w:rPr>
        <w:t>开展的活动</w:t>
      </w:r>
      <w:r>
        <w:rPr>
          <w:lang w:val="zh-CN" w:eastAsia="zh-CN"/>
        </w:rPr>
        <w:t>通过</w:t>
      </w:r>
      <w:r w:rsidR="00472AE8">
        <w:rPr>
          <w:rFonts w:hint="eastAsia"/>
          <w:lang w:val="zh-CN" w:eastAsia="zh-CN"/>
        </w:rPr>
        <w:t>完善</w:t>
      </w:r>
      <w:r>
        <w:rPr>
          <w:lang w:val="zh-CN" w:eastAsia="zh-CN"/>
        </w:rPr>
        <w:t>技术人员</w:t>
      </w:r>
      <w:r w:rsidR="004445B2">
        <w:rPr>
          <w:rFonts w:hint="eastAsia"/>
          <w:lang w:val="zh-CN" w:eastAsia="zh-CN"/>
        </w:rPr>
        <w:t>的</w:t>
      </w:r>
      <w:r>
        <w:rPr>
          <w:lang w:val="zh-CN" w:eastAsia="zh-CN"/>
        </w:rPr>
        <w:t>维修</w:t>
      </w:r>
      <w:r w:rsidR="004445B2">
        <w:rPr>
          <w:rFonts w:hint="eastAsia"/>
          <w:lang w:val="zh-CN" w:eastAsia="zh-CN"/>
        </w:rPr>
        <w:t>实务</w:t>
      </w:r>
      <w:r>
        <w:rPr>
          <w:lang w:val="zh-CN" w:eastAsia="zh-CN"/>
        </w:rPr>
        <w:t>和减少泄漏</w:t>
      </w:r>
      <w:r w:rsidR="004445B2">
        <w:rPr>
          <w:rFonts w:hint="eastAsia"/>
          <w:lang w:val="zh-CN" w:eastAsia="zh-CN"/>
        </w:rPr>
        <w:t>，</w:t>
      </w:r>
      <w:r w:rsidR="004445B2">
        <w:rPr>
          <w:lang w:val="zh-CN" w:eastAsia="zh-CN"/>
        </w:rPr>
        <w:t>通过法规和技术人员培训鼓励使用氟氯烃替代品和天然制冷剂</w:t>
      </w:r>
      <w:r w:rsidR="004445B2">
        <w:rPr>
          <w:rFonts w:hint="eastAsia"/>
          <w:lang w:val="zh-CN" w:eastAsia="zh-CN"/>
        </w:rPr>
        <w:t>，以及</w:t>
      </w:r>
      <w:r w:rsidR="004445B2">
        <w:rPr>
          <w:lang w:val="zh-CN" w:eastAsia="zh-CN"/>
        </w:rPr>
        <w:t>确保进口</w:t>
      </w:r>
      <w:r w:rsidR="004445B2">
        <w:rPr>
          <w:rFonts w:hint="eastAsia"/>
          <w:lang w:val="zh-CN" w:eastAsia="zh-CN"/>
        </w:rPr>
        <w:t>制度</w:t>
      </w:r>
      <w:r w:rsidR="004445B2">
        <w:rPr>
          <w:lang w:val="zh-CN" w:eastAsia="zh-CN"/>
        </w:rPr>
        <w:t>和配额制度有效</w:t>
      </w:r>
      <w:r w:rsidR="004445B2">
        <w:rPr>
          <w:rFonts w:hint="eastAsia"/>
          <w:lang w:val="zh-CN" w:eastAsia="zh-CN"/>
        </w:rPr>
        <w:t>且</w:t>
      </w:r>
      <w:r w:rsidR="004445B2">
        <w:rPr>
          <w:lang w:val="zh-CN" w:eastAsia="zh-CN"/>
        </w:rPr>
        <w:t>高效从而达到协定规定的目标，已</w:t>
      </w:r>
      <w:r w:rsidR="002E6868">
        <w:rPr>
          <w:rFonts w:hint="eastAsia"/>
          <w:lang w:val="zh-CN" w:eastAsia="zh-CN"/>
        </w:rPr>
        <w:t>然</w:t>
      </w:r>
      <w:r>
        <w:rPr>
          <w:lang w:val="zh-CN" w:eastAsia="zh-CN"/>
        </w:rPr>
        <w:t>促进氟氯烃维修行业的发展；在第五次</w:t>
      </w:r>
      <w:r w:rsidR="00472AE8">
        <w:rPr>
          <w:rFonts w:hint="eastAsia"/>
          <w:lang w:val="zh-CN" w:eastAsia="zh-CN"/>
        </w:rPr>
        <w:t>拨款</w:t>
      </w:r>
      <w:r>
        <w:rPr>
          <w:lang w:val="zh-CN" w:eastAsia="zh-CN"/>
        </w:rPr>
        <w:t>也是最后一次</w:t>
      </w:r>
      <w:r w:rsidR="00472AE8">
        <w:rPr>
          <w:rFonts w:hint="eastAsia"/>
          <w:lang w:val="zh-CN" w:eastAsia="zh-CN"/>
        </w:rPr>
        <w:t>拨</w:t>
      </w:r>
      <w:r>
        <w:rPr>
          <w:lang w:val="zh-CN" w:eastAsia="zh-CN"/>
        </w:rPr>
        <w:t>款项下规划的海关和技术人员培训活动</w:t>
      </w:r>
      <w:r w:rsidR="00472AE8">
        <w:rPr>
          <w:rFonts w:hint="eastAsia"/>
          <w:lang w:val="zh-CN" w:eastAsia="zh-CN"/>
        </w:rPr>
        <w:t>，</w:t>
      </w:r>
      <w:r>
        <w:rPr>
          <w:lang w:val="zh-CN" w:eastAsia="zh-CN"/>
        </w:rPr>
        <w:t>将进一步确保氟氯烃淘汰管理计划第一阶段的长</w:t>
      </w:r>
      <w:r w:rsidR="00472AE8">
        <w:rPr>
          <w:rFonts w:hint="eastAsia"/>
          <w:lang w:val="zh-CN" w:eastAsia="zh-CN"/>
        </w:rPr>
        <w:t>效</w:t>
      </w:r>
      <w:r>
        <w:rPr>
          <w:lang w:val="zh-CN" w:eastAsia="zh-CN"/>
        </w:rPr>
        <w:t>可持续性。</w:t>
      </w:r>
      <w:r>
        <w:rPr>
          <w:lang w:val="zh-CN" w:eastAsia="zh-CN"/>
        </w:rPr>
        <w:t xml:space="preserve"> </w:t>
      </w:r>
    </w:p>
    <w:p w:rsidR="005514C8" w:rsidRDefault="005514C8">
      <w:r>
        <w:rPr>
          <w:b/>
          <w:lang w:val="zh-CN" w:eastAsia="zh-CN"/>
        </w:rPr>
        <w:t>建议</w:t>
      </w:r>
      <w:r>
        <w:rPr>
          <w:b/>
          <w:lang w:val="zh-CN" w:eastAsia="zh-CN"/>
        </w:rPr>
        <w:t xml:space="preserve"> </w:t>
      </w:r>
    </w:p>
    <w:p w:rsidR="005514C8" w:rsidRDefault="005514C8"/>
    <w:p w:rsidR="005514C8" w:rsidRDefault="005514C8">
      <w:pPr>
        <w:pStyle w:val="Heading1"/>
        <w:tabs>
          <w:tab w:val="left" w:pos="0"/>
        </w:tabs>
        <w:rPr>
          <w:lang w:eastAsia="zh-CN"/>
        </w:rPr>
      </w:pPr>
      <w:r>
        <w:rPr>
          <w:lang w:val="zh-CN" w:eastAsia="zh-CN"/>
        </w:rPr>
        <w:t>基金秘书处</w:t>
      </w:r>
      <w:r w:rsidR="00A630A7">
        <w:rPr>
          <w:rFonts w:hint="eastAsia"/>
          <w:lang w:val="zh-CN" w:eastAsia="zh-CN"/>
        </w:rPr>
        <w:t>谨</w:t>
      </w:r>
      <w:r>
        <w:rPr>
          <w:lang w:val="zh-CN" w:eastAsia="zh-CN"/>
        </w:rPr>
        <w:t>建议执行委员会：</w:t>
      </w:r>
    </w:p>
    <w:p w:rsidR="005514C8" w:rsidRDefault="005514C8" w:rsidP="0075016F">
      <w:pPr>
        <w:pStyle w:val="Heading2"/>
        <w:keepNext/>
        <w:keepLines/>
        <w:spacing w:before="260" w:after="260"/>
        <w:rPr>
          <w:lang w:eastAsia="zh-CN"/>
        </w:rPr>
      </w:pPr>
      <w:r>
        <w:rPr>
          <w:lang w:val="zh-CN" w:eastAsia="zh-CN"/>
        </w:rPr>
        <w:lastRenderedPageBreak/>
        <w:t>注意</w:t>
      </w:r>
      <w:r>
        <w:rPr>
          <w:rFonts w:hint="eastAsia"/>
          <w:lang w:val="en-US" w:eastAsia="zh-CN"/>
        </w:rPr>
        <w:t>到</w:t>
      </w:r>
      <w:r>
        <w:rPr>
          <w:lang w:val="zh-CN" w:eastAsia="zh-CN"/>
        </w:rPr>
        <w:t>贝宁氟氯烃淘汰管理计划第一阶段第四次</w:t>
      </w:r>
      <w:r w:rsidR="00472AE8">
        <w:rPr>
          <w:rFonts w:hint="eastAsia"/>
          <w:lang w:val="zh-CN" w:eastAsia="zh-CN"/>
        </w:rPr>
        <w:t>拨款</w:t>
      </w:r>
      <w:r>
        <w:rPr>
          <w:lang w:val="zh-CN" w:eastAsia="zh-CN"/>
        </w:rPr>
        <w:t>的执行进度报告；</w:t>
      </w:r>
      <w:r w:rsidR="00472AE8">
        <w:rPr>
          <w:rFonts w:hint="eastAsia"/>
          <w:lang w:val="zh-CN" w:eastAsia="zh-CN"/>
        </w:rPr>
        <w:t>以及</w:t>
      </w:r>
    </w:p>
    <w:p w:rsidR="005514C8" w:rsidRDefault="005514C8" w:rsidP="00E17303">
      <w:pPr>
        <w:pStyle w:val="Heading2"/>
        <w:spacing w:before="260" w:after="260"/>
        <w:rPr>
          <w:lang w:eastAsia="zh-CN"/>
        </w:rPr>
      </w:pPr>
      <w:r>
        <w:rPr>
          <w:lang w:val="zh-CN" w:eastAsia="zh-CN"/>
        </w:rPr>
        <w:t>鉴于新冠疫情可能进一步推迟</w:t>
      </w:r>
      <w:r w:rsidR="00472AE8">
        <w:rPr>
          <w:rFonts w:hint="eastAsia"/>
          <w:lang w:val="zh-CN" w:eastAsia="zh-CN"/>
        </w:rPr>
        <w:t>实施</w:t>
      </w:r>
      <w:r>
        <w:rPr>
          <w:lang w:val="zh-CN" w:eastAsia="zh-CN"/>
        </w:rPr>
        <w:t>淘汰活动，在</w:t>
      </w:r>
      <w:r w:rsidR="00472AE8">
        <w:rPr>
          <w:rFonts w:hint="eastAsia"/>
          <w:lang w:val="zh-CN" w:eastAsia="zh-CN"/>
        </w:rPr>
        <w:t>此</w:t>
      </w:r>
      <w:r>
        <w:rPr>
          <w:lang w:val="zh-CN" w:eastAsia="zh-CN"/>
        </w:rPr>
        <w:t>特殊情况下批准将贝宁氟氯烃淘汰管理计划第一阶段的完成日期延至</w:t>
      </w:r>
      <w:r>
        <w:rPr>
          <w:lang w:val="zh-CN" w:eastAsia="zh-CN"/>
        </w:rPr>
        <w:t>2022</w:t>
      </w:r>
      <w:r>
        <w:rPr>
          <w:lang w:val="zh-CN" w:eastAsia="zh-CN"/>
        </w:rPr>
        <w:t>年</w:t>
      </w:r>
      <w:r>
        <w:rPr>
          <w:lang w:val="zh-CN" w:eastAsia="zh-CN"/>
        </w:rPr>
        <w:t>12</w:t>
      </w:r>
      <w:r>
        <w:rPr>
          <w:lang w:val="zh-CN" w:eastAsia="zh-CN"/>
        </w:rPr>
        <w:t>月</w:t>
      </w:r>
      <w:r>
        <w:rPr>
          <w:lang w:val="zh-CN" w:eastAsia="zh-CN"/>
        </w:rPr>
        <w:t>31</w:t>
      </w:r>
      <w:r>
        <w:rPr>
          <w:lang w:val="zh-CN" w:eastAsia="zh-CN"/>
        </w:rPr>
        <w:t>日</w:t>
      </w:r>
      <w:r>
        <w:rPr>
          <w:rFonts w:hint="eastAsia"/>
          <w:lang w:val="zh-CN" w:eastAsia="zh-CN"/>
        </w:rPr>
        <w:t>，</w:t>
      </w:r>
      <w:r>
        <w:rPr>
          <w:rFonts w:hint="eastAsia"/>
          <w:lang w:val="en-US" w:eastAsia="zh-CN"/>
        </w:rPr>
        <w:t>但是贝宁</w:t>
      </w:r>
      <w:r>
        <w:rPr>
          <w:lang w:val="zh-CN" w:eastAsia="zh-CN"/>
        </w:rPr>
        <w:t>不得</w:t>
      </w:r>
      <w:r w:rsidR="00472AE8">
        <w:rPr>
          <w:rFonts w:hint="eastAsia"/>
          <w:lang w:val="zh-CN" w:eastAsia="zh-CN"/>
        </w:rPr>
        <w:t>再就项目实施</w:t>
      </w:r>
      <w:r w:rsidR="00472AE8">
        <w:rPr>
          <w:lang w:val="zh-CN" w:eastAsia="zh-CN"/>
        </w:rPr>
        <w:t>请求</w:t>
      </w:r>
      <w:r>
        <w:rPr>
          <w:lang w:val="zh-CN" w:eastAsia="zh-CN"/>
        </w:rPr>
        <w:t>进一步</w:t>
      </w:r>
      <w:r w:rsidR="00472AE8">
        <w:rPr>
          <w:rFonts w:hint="eastAsia"/>
          <w:lang w:val="zh-CN" w:eastAsia="zh-CN"/>
        </w:rPr>
        <w:t>延期</w:t>
      </w:r>
      <w:r>
        <w:rPr>
          <w:lang w:val="zh-CN" w:eastAsia="zh-CN"/>
        </w:rPr>
        <w:t>执行。</w:t>
      </w:r>
    </w:p>
    <w:p w:rsidR="005514C8" w:rsidRDefault="005514C8" w:rsidP="00E17303">
      <w:pPr>
        <w:pStyle w:val="Heading1"/>
        <w:keepNext/>
        <w:keepLines/>
        <w:tabs>
          <w:tab w:val="left" w:pos="0"/>
        </w:tabs>
        <w:rPr>
          <w:lang w:eastAsia="zh-CN"/>
        </w:rPr>
      </w:pPr>
      <w:r>
        <w:rPr>
          <w:lang w:val="zh-CN" w:eastAsia="zh-CN"/>
        </w:rPr>
        <w:t>基金秘书处进一步建议，</w:t>
      </w:r>
      <w:r w:rsidR="00A630A7">
        <w:rPr>
          <w:rFonts w:hint="eastAsia"/>
          <w:lang w:val="zh-CN" w:eastAsia="zh-CN"/>
        </w:rPr>
        <w:t>对</w:t>
      </w:r>
      <w:r>
        <w:rPr>
          <w:lang w:val="zh-CN" w:eastAsia="zh-CN"/>
        </w:rPr>
        <w:t>贝宁氟氯烃淘汰管理计划第一阶段第五次</w:t>
      </w:r>
      <w:r w:rsidR="00A630A7">
        <w:rPr>
          <w:rFonts w:hint="eastAsia"/>
          <w:lang w:val="zh-CN" w:eastAsia="zh-CN"/>
        </w:rPr>
        <w:t>拨款</w:t>
      </w:r>
      <w:r>
        <w:rPr>
          <w:lang w:val="zh-CN" w:eastAsia="zh-CN"/>
        </w:rPr>
        <w:t>也是最后一次</w:t>
      </w:r>
      <w:r w:rsidR="00A630A7">
        <w:rPr>
          <w:rFonts w:hint="eastAsia"/>
          <w:lang w:val="zh-CN" w:eastAsia="zh-CN"/>
        </w:rPr>
        <w:t>拨款</w:t>
      </w:r>
      <w:r>
        <w:rPr>
          <w:lang w:val="zh-CN" w:eastAsia="zh-CN"/>
        </w:rPr>
        <w:t>以及相应的</w:t>
      </w:r>
      <w:r>
        <w:rPr>
          <w:lang w:val="zh-CN" w:eastAsia="zh-CN"/>
        </w:rPr>
        <w:t>2021-2022</w:t>
      </w:r>
      <w:r>
        <w:rPr>
          <w:lang w:val="zh-CN" w:eastAsia="zh-CN"/>
        </w:rPr>
        <w:t>年</w:t>
      </w:r>
      <w:r w:rsidR="00A630A7">
        <w:rPr>
          <w:rFonts w:hint="eastAsia"/>
          <w:lang w:val="zh-CN" w:eastAsia="zh-CN"/>
        </w:rPr>
        <w:t>拨款</w:t>
      </w:r>
      <w:r>
        <w:rPr>
          <w:lang w:val="zh-CN" w:eastAsia="zh-CN"/>
        </w:rPr>
        <w:t>执行计划</w:t>
      </w:r>
      <w:r w:rsidR="00A630A7">
        <w:rPr>
          <w:rFonts w:hint="eastAsia"/>
          <w:lang w:val="zh-CN" w:eastAsia="zh-CN"/>
        </w:rPr>
        <w:t>予以</w:t>
      </w:r>
      <w:r w:rsidR="00A630A7">
        <w:rPr>
          <w:lang w:val="zh-CN" w:eastAsia="zh-CN"/>
        </w:rPr>
        <w:t>一揽子</w:t>
      </w:r>
      <w:r w:rsidR="00A630A7">
        <w:rPr>
          <w:rFonts w:hint="eastAsia"/>
          <w:lang w:val="zh-CN" w:eastAsia="zh-CN"/>
        </w:rPr>
        <w:t>核准</w:t>
      </w:r>
      <w:r>
        <w:rPr>
          <w:lang w:val="zh-CN" w:eastAsia="zh-CN"/>
        </w:rPr>
        <w:t>，供资水平如下表所示：</w:t>
      </w:r>
    </w:p>
    <w:tbl>
      <w:tblPr>
        <w:tblW w:w="94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40"/>
        <w:gridCol w:w="4320"/>
        <w:gridCol w:w="1620"/>
        <w:gridCol w:w="1380"/>
        <w:gridCol w:w="1590"/>
      </w:tblGrid>
      <w:tr w:rsidR="005514C8" w:rsidRPr="005514C8">
        <w:tc>
          <w:tcPr>
            <w:tcW w:w="540" w:type="dxa"/>
          </w:tcPr>
          <w:p w:rsidR="005514C8" w:rsidRPr="005514C8" w:rsidRDefault="005514C8" w:rsidP="00E17303">
            <w:pPr>
              <w:keepNext/>
              <w:keepLines/>
              <w:jc w:val="center"/>
              <w:rPr>
                <w:b/>
                <w:bCs/>
                <w:sz w:val="20"/>
                <w:szCs w:val="20"/>
                <w:lang w:eastAsia="zh-CN"/>
              </w:rPr>
            </w:pPr>
          </w:p>
        </w:tc>
        <w:tc>
          <w:tcPr>
            <w:tcW w:w="4320" w:type="dxa"/>
          </w:tcPr>
          <w:p w:rsidR="005514C8" w:rsidRPr="005514C8" w:rsidRDefault="005514C8" w:rsidP="00E17303">
            <w:pPr>
              <w:keepNext/>
              <w:keepLines/>
              <w:jc w:val="center"/>
              <w:rPr>
                <w:b/>
                <w:bCs/>
                <w:sz w:val="20"/>
                <w:szCs w:val="20"/>
              </w:rPr>
            </w:pPr>
            <w:proofErr w:type="spellStart"/>
            <w:r w:rsidRPr="005514C8">
              <w:rPr>
                <w:b/>
                <w:sz w:val="20"/>
              </w:rPr>
              <w:t>项目名称</w:t>
            </w:r>
            <w:proofErr w:type="spellEnd"/>
          </w:p>
        </w:tc>
        <w:tc>
          <w:tcPr>
            <w:tcW w:w="1620" w:type="dxa"/>
            <w:tcMar>
              <w:left w:w="29" w:type="dxa"/>
              <w:right w:w="29" w:type="dxa"/>
            </w:tcMar>
          </w:tcPr>
          <w:p w:rsidR="005514C8" w:rsidRPr="005514C8" w:rsidRDefault="005514C8" w:rsidP="00E17303">
            <w:pPr>
              <w:keepNext/>
              <w:keepLines/>
              <w:jc w:val="center"/>
              <w:rPr>
                <w:b/>
                <w:bCs/>
                <w:sz w:val="20"/>
                <w:szCs w:val="20"/>
                <w:lang w:eastAsia="zh-CN"/>
              </w:rPr>
            </w:pPr>
            <w:r w:rsidRPr="005514C8">
              <w:rPr>
                <w:b/>
                <w:sz w:val="20"/>
                <w:lang w:eastAsia="zh-CN"/>
              </w:rPr>
              <w:t>项目供资金额（美元）</w:t>
            </w:r>
          </w:p>
        </w:tc>
        <w:tc>
          <w:tcPr>
            <w:tcW w:w="1380" w:type="dxa"/>
            <w:tcMar>
              <w:left w:w="29" w:type="dxa"/>
              <w:right w:w="29" w:type="dxa"/>
            </w:tcMar>
          </w:tcPr>
          <w:p w:rsidR="005514C8" w:rsidRPr="005514C8" w:rsidRDefault="005514C8" w:rsidP="00E17303">
            <w:pPr>
              <w:keepNext/>
              <w:keepLines/>
              <w:jc w:val="center"/>
              <w:rPr>
                <w:b/>
                <w:bCs/>
                <w:sz w:val="20"/>
                <w:szCs w:val="20"/>
              </w:rPr>
            </w:pPr>
            <w:proofErr w:type="spellStart"/>
            <w:r w:rsidRPr="005514C8">
              <w:rPr>
                <w:b/>
                <w:sz w:val="20"/>
              </w:rPr>
              <w:t>支持成本（美元</w:t>
            </w:r>
            <w:proofErr w:type="spellEnd"/>
            <w:r w:rsidRPr="005514C8">
              <w:rPr>
                <w:b/>
                <w:sz w:val="20"/>
              </w:rPr>
              <w:t>）</w:t>
            </w:r>
          </w:p>
        </w:tc>
        <w:tc>
          <w:tcPr>
            <w:tcW w:w="1590" w:type="dxa"/>
            <w:tcMar>
              <w:left w:w="29" w:type="dxa"/>
              <w:right w:w="29" w:type="dxa"/>
            </w:tcMar>
          </w:tcPr>
          <w:p w:rsidR="005514C8" w:rsidRPr="005514C8" w:rsidRDefault="005514C8" w:rsidP="00E17303">
            <w:pPr>
              <w:keepNext/>
              <w:keepLines/>
              <w:jc w:val="center"/>
              <w:rPr>
                <w:b/>
                <w:bCs/>
                <w:sz w:val="20"/>
                <w:szCs w:val="20"/>
              </w:rPr>
            </w:pPr>
            <w:proofErr w:type="spellStart"/>
            <w:r w:rsidRPr="005514C8">
              <w:rPr>
                <w:b/>
                <w:sz w:val="20"/>
              </w:rPr>
              <w:t>执行机构</w:t>
            </w:r>
            <w:proofErr w:type="spellEnd"/>
          </w:p>
        </w:tc>
      </w:tr>
      <w:tr w:rsidR="005514C8" w:rsidRPr="005514C8">
        <w:tc>
          <w:tcPr>
            <w:tcW w:w="540" w:type="dxa"/>
          </w:tcPr>
          <w:p w:rsidR="005514C8" w:rsidRPr="005514C8" w:rsidRDefault="005514C8" w:rsidP="00E17303">
            <w:pPr>
              <w:keepNext/>
              <w:keepLines/>
              <w:rPr>
                <w:sz w:val="20"/>
                <w:szCs w:val="20"/>
              </w:rPr>
            </w:pPr>
            <w:r w:rsidRPr="005514C8">
              <w:rPr>
                <w:sz w:val="20"/>
              </w:rPr>
              <w:t>(a)</w:t>
            </w:r>
          </w:p>
        </w:tc>
        <w:tc>
          <w:tcPr>
            <w:tcW w:w="4320" w:type="dxa"/>
          </w:tcPr>
          <w:p w:rsidR="005514C8" w:rsidRPr="005514C8" w:rsidRDefault="005514C8" w:rsidP="00E17303">
            <w:pPr>
              <w:keepNext/>
              <w:keepLines/>
              <w:rPr>
                <w:sz w:val="20"/>
                <w:szCs w:val="20"/>
                <w:lang w:eastAsia="zh-CN"/>
              </w:rPr>
            </w:pPr>
            <w:r w:rsidRPr="005514C8">
              <w:rPr>
                <w:sz w:val="20"/>
                <w:lang w:eastAsia="zh-CN"/>
              </w:rPr>
              <w:t>氟氯烃淘汰管理计划（第一阶段第五次</w:t>
            </w:r>
            <w:r w:rsidR="00A630A7">
              <w:rPr>
                <w:rFonts w:hint="eastAsia"/>
                <w:sz w:val="20"/>
                <w:lang w:eastAsia="zh-CN"/>
              </w:rPr>
              <w:t>拨</w:t>
            </w:r>
            <w:r w:rsidRPr="005514C8">
              <w:rPr>
                <w:sz w:val="20"/>
                <w:lang w:eastAsia="zh-CN"/>
              </w:rPr>
              <w:t>款）</w:t>
            </w:r>
          </w:p>
        </w:tc>
        <w:tc>
          <w:tcPr>
            <w:tcW w:w="1620" w:type="dxa"/>
          </w:tcPr>
          <w:p w:rsidR="005514C8" w:rsidRPr="005514C8" w:rsidRDefault="005514C8" w:rsidP="00E17303">
            <w:pPr>
              <w:keepNext/>
              <w:keepLines/>
              <w:jc w:val="right"/>
              <w:rPr>
                <w:sz w:val="20"/>
                <w:szCs w:val="20"/>
              </w:rPr>
            </w:pPr>
            <w:r w:rsidRPr="005514C8">
              <w:rPr>
                <w:sz w:val="20"/>
              </w:rPr>
              <w:t>60,000</w:t>
            </w:r>
          </w:p>
        </w:tc>
        <w:tc>
          <w:tcPr>
            <w:tcW w:w="1380" w:type="dxa"/>
          </w:tcPr>
          <w:p w:rsidR="005514C8" w:rsidRPr="005514C8" w:rsidRDefault="005514C8" w:rsidP="00E17303">
            <w:pPr>
              <w:keepNext/>
              <w:keepLines/>
              <w:jc w:val="right"/>
            </w:pPr>
            <w:r w:rsidRPr="005514C8">
              <w:rPr>
                <w:sz w:val="20"/>
              </w:rPr>
              <w:t>7,800</w:t>
            </w:r>
          </w:p>
        </w:tc>
        <w:tc>
          <w:tcPr>
            <w:tcW w:w="1590" w:type="dxa"/>
          </w:tcPr>
          <w:p w:rsidR="005514C8" w:rsidRPr="005514C8" w:rsidRDefault="00A630A7" w:rsidP="00E17303">
            <w:pPr>
              <w:keepNext/>
              <w:keepLines/>
              <w:jc w:val="center"/>
              <w:rPr>
                <w:sz w:val="20"/>
                <w:szCs w:val="20"/>
              </w:rPr>
            </w:pPr>
            <w:r>
              <w:rPr>
                <w:rFonts w:hint="eastAsia"/>
                <w:sz w:val="20"/>
                <w:lang w:eastAsia="zh-CN"/>
              </w:rPr>
              <w:t>联合国</w:t>
            </w:r>
            <w:proofErr w:type="spellStart"/>
            <w:r w:rsidR="005514C8" w:rsidRPr="005514C8">
              <w:rPr>
                <w:sz w:val="20"/>
              </w:rPr>
              <w:t>环境规划署</w:t>
            </w:r>
            <w:proofErr w:type="spellEnd"/>
          </w:p>
        </w:tc>
      </w:tr>
    </w:tbl>
    <w:p w:rsidR="005514C8" w:rsidRDefault="005514C8" w:rsidP="00E17303">
      <w:pPr>
        <w:keepNext/>
        <w:keepLines/>
      </w:pPr>
    </w:p>
    <w:p w:rsidR="005514C8" w:rsidRDefault="005514C8"/>
    <w:p w:rsidR="005514C8" w:rsidRDefault="005514C8"/>
    <w:tbl>
      <w:tblPr>
        <w:tblW w:w="0" w:type="auto"/>
        <w:tblLook w:val="0000" w:firstRow="0" w:lastRow="0" w:firstColumn="0" w:lastColumn="0" w:noHBand="0" w:noVBand="0"/>
      </w:tblPr>
      <w:tblGrid>
        <w:gridCol w:w="1871"/>
        <w:gridCol w:w="1872"/>
        <w:gridCol w:w="1872"/>
        <w:gridCol w:w="1872"/>
        <w:gridCol w:w="1873"/>
      </w:tblGrid>
      <w:tr w:rsidR="005514C8" w:rsidRPr="005514C8">
        <w:tc>
          <w:tcPr>
            <w:tcW w:w="1871" w:type="dxa"/>
          </w:tcPr>
          <w:p w:rsidR="005514C8" w:rsidRPr="005514C8" w:rsidRDefault="005514C8"/>
        </w:tc>
        <w:tc>
          <w:tcPr>
            <w:tcW w:w="1872" w:type="dxa"/>
          </w:tcPr>
          <w:p w:rsidR="005514C8" w:rsidRPr="005514C8" w:rsidRDefault="005514C8"/>
        </w:tc>
        <w:tc>
          <w:tcPr>
            <w:tcW w:w="1872" w:type="dxa"/>
            <w:tcBorders>
              <w:bottom w:val="single" w:sz="4" w:space="0" w:color="auto"/>
            </w:tcBorders>
          </w:tcPr>
          <w:p w:rsidR="005514C8" w:rsidRPr="005514C8" w:rsidRDefault="005514C8"/>
        </w:tc>
        <w:tc>
          <w:tcPr>
            <w:tcW w:w="1872" w:type="dxa"/>
          </w:tcPr>
          <w:p w:rsidR="005514C8" w:rsidRPr="005514C8" w:rsidRDefault="005514C8"/>
        </w:tc>
        <w:tc>
          <w:tcPr>
            <w:tcW w:w="1873" w:type="dxa"/>
          </w:tcPr>
          <w:p w:rsidR="005514C8" w:rsidRPr="005514C8" w:rsidRDefault="005514C8"/>
        </w:tc>
      </w:tr>
    </w:tbl>
    <w:p w:rsidR="005514C8" w:rsidRDefault="005514C8"/>
    <w:p w:rsidR="005514C8" w:rsidRDefault="005514C8"/>
    <w:p w:rsidR="005514C8" w:rsidRDefault="005514C8"/>
    <w:p w:rsidR="005514C8" w:rsidRDefault="005514C8"/>
    <w:p w:rsidR="005514C8" w:rsidRDefault="005514C8"/>
    <w:p w:rsidR="005514C8" w:rsidRDefault="005514C8"/>
    <w:p w:rsidR="005514C8" w:rsidRDefault="005514C8">
      <w:pPr>
        <w:jc w:val="right"/>
        <w:rPr>
          <w:lang w:val="en-CA"/>
        </w:rPr>
      </w:pPr>
    </w:p>
    <w:sectPr w:rsidR="005514C8">
      <w:headerReference w:type="even" r:id="rId10"/>
      <w:headerReference w:type="default" r:id="rId11"/>
      <w:footerReference w:type="even" r:id="rId12"/>
      <w:footerReference w:type="default" r:id="rId13"/>
      <w:headerReference w:type="first" r:id="rId14"/>
      <w:footerReference w:type="first" r:id="rId15"/>
      <w:pgSz w:w="12240" w:h="15840"/>
      <w:pgMar w:top="720" w:right="1440" w:bottom="864" w:left="1440" w:header="720" w:footer="475" w:gutter="0"/>
      <w:pgNumType w:start="1"/>
      <w:cols w:space="720"/>
      <w:titlePg/>
    </w:sectPr>
  </w:body>
</w:document>
</file>

<file path=word/customizations.xml><?xml version="1.0" encoding="utf-8"?>
<wne:tcg xmlns:r="http://schemas.openxmlformats.org/officeDocument/2006/relationships" xmlns:wne="http://schemas.microsoft.com/office/word/2006/wordml">
  <wne:keymaps>
    <wne:keymap wne:kcmPrimary="0430">
      <wne:acd wne:acdName="acd0"/>
    </wne:keymap>
    <wne:keymap wne:kcmPrimary="0431">
      <wne:acd wne:acdName="acd1"/>
    </wne:keymap>
    <wne:keymap wne:kcmPrimary="0432">
      <wne:acd wne:acdName="acd2"/>
    </wne:keymap>
    <wne:keymap wne:kcmPrimary="0433">
      <wne:acd wne:acdName="acd3"/>
    </wne:keymap>
    <wne:keymap wne:kcmPrimary="0434">
      <wne:acd wne:acdName="acd4"/>
    </wne:keymap>
    <wne:keymap wne:kcmPrimary="0435">
      <wne:acd wne:acdName="acd5"/>
    </wne:keymap>
    <wne:keymap wne:kcmPrimary="0442">
      <wne:macro wne:macroName="TEMPLATEPROJECT.HCFC141.MAIN"/>
    </wne:keymap>
    <wne:keymap wne:kcmPrimary="0443">
      <wne:macro wne:macroName="TEMPLATEPROJECT.HCFC22.MAIN"/>
    </wne:keymap>
    <wne:keymap wne:kcmPrimary="0444">
      <wne:macro wne:macroName="TEMPLATEPROJECT.DECESION.DECISION"/>
    </wne:keymap>
    <wne:keymap wne:kcmPrimary="0445">
      <wne:macro wne:macroName="TEMPLATEPROJECT.EC.MAIN"/>
    </wne:keymap>
    <wne:keymap wne:kcmPrimary="0446">
      <wne:macro wne:macroName="TEMPLATEPROJECT.FS.MAIN"/>
    </wne:keymap>
    <wne:keymap wne:kcmPrimary="0448">
      <wne:macro wne:macroName="TEMPLATEPROJECT.HPMP.MAIN"/>
    </wne:keymap>
    <wne:keymap wne:kcmPrimary="0449">
      <wne:macro wne:macroName="TEMPLATEPROJECT.IS1.MAIN"/>
    </wne:keymap>
    <wne:keymap wne:kcmPrimary="044C">
      <wne:fci wne:fciName="CssLinks" wne:swArg="0000"/>
    </wne:keymap>
    <wne:keymap wne:kcmPrimary="044D">
      <wne:macro wne:macroName="TEMPLATEPROJECT.MF.MAIN"/>
    </wne:keymap>
    <wne:keymap wne:kcmPrimary="044F">
      <wne:macro wne:macroName="TEMPLATEPROJECT.ODP.MAIN"/>
    </wne:keymap>
    <wne:keymap wne:kcmPrimary="0450">
      <wne:macro wne:macroName="TEMPLATEPROJECT.MP.MAIN"/>
    </wne:keymap>
    <wne:keymap wne:kcmPrimary="0453">
      <wne:macro wne:macroName="TEMPLATEPROJECT.US.MAIN"/>
    </wne:keymap>
    <wne:keymap wne:kcmPrimary="0454">
      <wne:macro wne:macroName="TEMPLATEPROJECT.MT.MAIN"/>
    </wne:keymap>
    <wne:keymap wne:kcmPrimary="0455">
      <wne:macro wne:macroName="TEMPLATEPROJECT.CODE.MAIN"/>
    </wne:keymap>
    <wne:keymap wne:kcmPrimary="0543">
      <wne:macro wne:macroName="TEMPLATEPROJECT.POLYOLS.MAIN"/>
    </wne:keymap>
    <wne:keymap wne:kcmPrimary="0544">
      <wne:macro wne:macroName="TEMPLATEPROJECT.DEC.MAIN"/>
    </wne:keymap>
    <wne:keymap wne:kcmPrimary="0548">
      <wne:macro wne:macroName="TEMPLATEPROJECT.HPMP1.MAIN"/>
    </wne:keymap>
    <wne:keymap wne:kcmPrimary="054D">
      <wne:macro wne:macroName="TEMPLATEPROJECT.MEETING.MAIN"/>
    </wne:keymap>
    <wne:keymap wne:kcmPrimary="0550">
      <wne:macro wne:macroName="TEMPLATEPROJECT.MOP.MAIN"/>
    </wne:keymap>
    <wne:keymap wne:kcmPrimary="0553">
      <wne:macro wne:macroName="TEMPLATEPROJECT.STAGE1.MAIN"/>
    </wne:keymap>
  </wne:keymaps>
  <wne:toolbars>
    <wne:acdManifest>
      <wne:acdEntry wne:acdName="acd0"/>
      <wne:acdEntry wne:acdName="acd1"/>
      <wne:acdEntry wne:acdName="acd2"/>
      <wne:acdEntry wne:acdName="acd3"/>
      <wne:acdEntry wne:acdName="acd4"/>
      <wne:acdEntry wne:acdName="acd5"/>
    </wne:acdManifest>
    <wne:toolbarData r:id="rId1"/>
  </wne:toolbars>
  <wne:acds>
    <wne:acd wne:argValue="AgAwACAASABlAGEAZABpAG4AZwAgADAA" wne:acdName="acd0" wne:fciIndexBasedOn="0065"/>
    <wne:acd wne:argValue="AQAAAAEA" wne:acdName="acd1" wne:fciIndexBasedOn="0065"/>
    <wne:acd wne:argValue="AQAAAAIA" wne:acdName="acd2" wne:fciIndexBasedOn="0065"/>
    <wne:acd wne:argValue="AQAAAAMA" wne:acdName="acd3" wne:fciIndexBasedOn="0065"/>
    <wne:acd wne:argValue="AgBIAGUAYQBkAGUAcgA0ACwAUABhAHIAYQAgADQA" wne:acdName="acd4" wne:fciIndexBasedOn="0065"/>
    <wne:acd wne:argValue="AQAAAAUA" wne:acdName="acd5" wne:fciIndexBasedOn="0065"/>
  </wne:acds>
</wne:tcg>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D6B0A" w:rsidRDefault="00ED6B0A">
      <w:r>
        <w:separator/>
      </w:r>
    </w:p>
  </w:endnote>
  <w:endnote w:type="continuationSeparator" w:id="0">
    <w:p w:rsidR="00ED6B0A" w:rsidRDefault="00ED6B0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SimHei">
    <w:altName w:val="Malgun Gothic Semilight"/>
    <w:panose1 w:val="02010600030101010101"/>
    <w:charset w:val="86"/>
    <w:family w:val="modern"/>
    <w:pitch w:val="fixed"/>
    <w:sig w:usb0="00000000" w:usb1="38CF7CFA" w:usb2="00000016" w:usb3="00000000" w:csb0="00040001" w:csb1="00000000"/>
  </w:font>
  <w:font w:name="Univers Bold">
    <w:altName w:val="Arial"/>
    <w:panose1 w:val="00000000000000000000"/>
    <w:charset w:val="00"/>
    <w:family w:val="swiss"/>
    <w:notTrueType/>
    <w:pitch w:val="default"/>
    <w:sig w:usb0="00000003" w:usb1="00000000" w:usb2="00000000" w:usb3="00000000" w:csb0="00000001" w:csb1="00000000"/>
  </w:font>
  <w:font w:name="DengXian">
    <w:altName w:val="SimSun"/>
    <w:panose1 w:val="02010600030101010101"/>
    <w:charset w:val="86"/>
    <w:family w:val="modern"/>
    <w:pitch w:val="fixed"/>
    <w:sig w:usb0="00000001" w:usb1="080E0000" w:usb2="00000010" w:usb3="00000000" w:csb0="00040000" w:csb1="00000000"/>
  </w:font>
  <w:font w:name="DengXian Light">
    <w:altName w:val="SimSun"/>
    <w:panose1 w:val="02010600030101010101"/>
    <w:charset w:val="86"/>
    <w:family w:val="roman"/>
    <w:notTrueType/>
    <w:pitch w:val="default"/>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947854024"/>
      <w:docPartObj>
        <w:docPartGallery w:val="Page Numbers (Bottom of Page)"/>
        <w:docPartUnique/>
      </w:docPartObj>
    </w:sdtPr>
    <w:sdtEndPr>
      <w:rPr>
        <w:noProof/>
      </w:rPr>
    </w:sdtEndPr>
    <w:sdtContent>
      <w:p w:rsidR="00ED6B0A" w:rsidRDefault="00ED6B0A" w:rsidP="00ED6B0A">
        <w:pPr>
          <w:pStyle w:val="Footer"/>
          <w:jc w:val="center"/>
        </w:pPr>
        <w:r>
          <w:fldChar w:fldCharType="begin"/>
        </w:r>
        <w:r>
          <w:instrText xml:space="preserve"> PAGE   \* MERGEFORMAT </w:instrText>
        </w:r>
        <w:r>
          <w:fldChar w:fldCharType="separate"/>
        </w:r>
        <w:r w:rsidR="00E17303">
          <w:rPr>
            <w:noProof/>
          </w:rPr>
          <w:t>6</w:t>
        </w:r>
        <w:r>
          <w:rPr>
            <w:noProof/>
          </w:rPr>
          <w:fldChar w:fldCharType="end"/>
        </w:r>
      </w:p>
    </w:sdtContent>
  </w:sdt>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22650761"/>
      <w:docPartObj>
        <w:docPartGallery w:val="Page Numbers (Bottom of Page)"/>
        <w:docPartUnique/>
      </w:docPartObj>
    </w:sdtPr>
    <w:sdtEndPr>
      <w:rPr>
        <w:noProof/>
      </w:rPr>
    </w:sdtEndPr>
    <w:sdtContent>
      <w:p w:rsidR="00ED6B0A" w:rsidRDefault="00ED6B0A">
        <w:pPr>
          <w:pStyle w:val="Footer"/>
          <w:jc w:val="center"/>
        </w:pPr>
        <w:r>
          <w:fldChar w:fldCharType="begin"/>
        </w:r>
        <w:r>
          <w:instrText xml:space="preserve"> PAGE   \* MERGEFORMAT </w:instrText>
        </w:r>
        <w:r>
          <w:fldChar w:fldCharType="separate"/>
        </w:r>
        <w:r w:rsidR="00E17303">
          <w:rPr>
            <w:noProof/>
          </w:rPr>
          <w:t>5</w:t>
        </w:r>
        <w:r>
          <w:rPr>
            <w:noProof/>
          </w:rPr>
          <w:fldChar w:fldCharType="end"/>
        </w:r>
      </w:p>
    </w:sdtContent>
  </w:sdt>
  <w:p w:rsidR="00ED6B0A" w:rsidRDefault="00ED6B0A">
    <w:pPr>
      <w:pStyle w:val="Footer"/>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D6B0A" w:rsidRDefault="00ED6B0A">
    <w:pPr>
      <w:pBdr>
        <w:top w:val="single" w:sz="4" w:space="1" w:color="auto"/>
        <w:left w:val="single" w:sz="4" w:space="4" w:color="auto"/>
        <w:bottom w:val="single" w:sz="4" w:space="1" w:color="auto"/>
        <w:right w:val="single" w:sz="4" w:space="4" w:color="auto"/>
      </w:pBdr>
      <w:jc w:val="center"/>
      <w:rPr>
        <w:sz w:val="20"/>
        <w:szCs w:val="20"/>
        <w:lang w:val="en-US" w:eastAsia="zh-CN"/>
      </w:rPr>
    </w:pPr>
    <w:r>
      <w:rPr>
        <w:rFonts w:cs="SimSun" w:hint="eastAsia"/>
        <w:sz w:val="20"/>
        <w:szCs w:val="20"/>
        <w:lang w:val="en-US" w:eastAsia="zh-CN" w:bidi="ar"/>
      </w:rPr>
      <w:t>执行蒙特利尔议定书多边基金执行委员会的会前文件不妨碍文件印发后执行委员会可能作出的任何决定。</w:t>
    </w:r>
  </w:p>
  <w:p w:rsidR="00ED6B0A" w:rsidRDefault="00ED6B0A" w:rsidP="00ED6B0A">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D6B0A" w:rsidRDefault="00ED6B0A">
      <w:r>
        <w:separator/>
      </w:r>
    </w:p>
  </w:footnote>
  <w:footnote w:type="continuationSeparator" w:id="0">
    <w:p w:rsidR="00ED6B0A" w:rsidRDefault="00ED6B0A">
      <w:r>
        <w:continuationSeparator/>
      </w:r>
    </w:p>
  </w:footnote>
  <w:footnote w:id="1">
    <w:p w:rsidR="00ED6B0A" w:rsidRPr="00ED6B0A" w:rsidRDefault="00ED6B0A">
      <w:pPr>
        <w:pStyle w:val="FootnoteText"/>
        <w:spacing w:after="60"/>
        <w:rPr>
          <w:rFonts w:eastAsia="SimSun"/>
          <w:sz w:val="21"/>
          <w:lang w:eastAsia="zh-CN"/>
        </w:rPr>
      </w:pPr>
      <w:r>
        <w:rPr>
          <w:rStyle w:val="FootnoteReference"/>
        </w:rPr>
        <w:footnoteRef/>
      </w:r>
      <w:r>
        <w:rPr>
          <w:lang w:eastAsia="zh-CN"/>
        </w:rPr>
        <w:t xml:space="preserve"> </w:t>
      </w:r>
      <w:r>
        <w:rPr>
          <w:rFonts w:eastAsia="SimSun"/>
          <w:szCs w:val="18"/>
          <w:lang w:eastAsia="zh-CN"/>
        </w:rPr>
        <w:t>由于</w:t>
      </w:r>
      <w:r>
        <w:rPr>
          <w:rFonts w:eastAsia="SimSun"/>
          <w:szCs w:val="18"/>
          <w:lang w:eastAsia="zh-CN"/>
        </w:rPr>
        <w:t>2019</w:t>
      </w:r>
      <w:r>
        <w:rPr>
          <w:rFonts w:eastAsia="SimSun"/>
          <w:szCs w:val="18"/>
          <w:lang w:eastAsia="zh-CN"/>
        </w:rPr>
        <w:t>冠状病毒病（</w:t>
      </w:r>
      <w:r>
        <w:rPr>
          <w:rFonts w:eastAsia="SimSun"/>
          <w:szCs w:val="18"/>
          <w:lang w:eastAsia="zh-CN"/>
        </w:rPr>
        <w:t>COVID-19</w:t>
      </w:r>
      <w:r>
        <w:rPr>
          <w:rFonts w:eastAsia="SimSun"/>
          <w:szCs w:val="18"/>
          <w:lang w:eastAsia="zh-CN"/>
        </w:rPr>
        <w:t>）</w:t>
      </w:r>
      <w:r>
        <w:rPr>
          <w:rFonts w:eastAsia="SimSun" w:hint="eastAsia"/>
          <w:szCs w:val="18"/>
          <w:lang w:eastAsia="zh-CN"/>
        </w:rPr>
        <w:t>，将于</w:t>
      </w:r>
      <w:r>
        <w:rPr>
          <w:rFonts w:eastAsia="SimSun" w:hint="eastAsia"/>
          <w:szCs w:val="18"/>
          <w:lang w:eastAsia="zh-CN"/>
        </w:rPr>
        <w:t>2</w:t>
      </w:r>
      <w:r>
        <w:rPr>
          <w:rFonts w:eastAsia="SimSun"/>
          <w:szCs w:val="18"/>
          <w:lang w:eastAsia="zh-CN"/>
        </w:rPr>
        <w:t>021</w:t>
      </w:r>
      <w:r>
        <w:rPr>
          <w:rFonts w:eastAsia="SimSun" w:hint="eastAsia"/>
          <w:szCs w:val="18"/>
          <w:lang w:eastAsia="zh-CN"/>
        </w:rPr>
        <w:t>年</w:t>
      </w:r>
      <w:r>
        <w:rPr>
          <w:rFonts w:eastAsia="SimSun" w:hint="eastAsia"/>
          <w:szCs w:val="18"/>
          <w:lang w:eastAsia="zh-CN"/>
        </w:rPr>
        <w:t>6</w:t>
      </w:r>
      <w:r>
        <w:rPr>
          <w:rFonts w:eastAsia="SimSun" w:hint="eastAsia"/>
          <w:szCs w:val="18"/>
          <w:lang w:eastAsia="zh-CN"/>
        </w:rPr>
        <w:t>月和</w:t>
      </w:r>
      <w:r>
        <w:rPr>
          <w:rFonts w:eastAsia="SimSun" w:hint="eastAsia"/>
          <w:szCs w:val="18"/>
          <w:lang w:eastAsia="zh-CN"/>
        </w:rPr>
        <w:t>7</w:t>
      </w:r>
      <w:r>
        <w:rPr>
          <w:rFonts w:eastAsia="SimSun" w:hint="eastAsia"/>
          <w:szCs w:val="18"/>
          <w:lang w:eastAsia="zh-CN"/>
        </w:rPr>
        <w:t>月举行在线会议和闭会期间批准程序</w:t>
      </w:r>
      <w:r>
        <w:rPr>
          <w:rFonts w:eastAsia="SimSun"/>
          <w:sz w:val="21"/>
          <w:lang w:eastAsia="zh-CN"/>
        </w:rPr>
        <w:t>。</w:t>
      </w:r>
    </w:p>
  </w:footnote>
  <w:footnote w:id="2">
    <w:p w:rsidR="00ED6B0A" w:rsidRDefault="00ED6B0A">
      <w:pPr>
        <w:rPr>
          <w:sz w:val="20"/>
          <w:szCs w:val="20"/>
          <w:lang w:eastAsia="zh-CN"/>
        </w:rPr>
      </w:pPr>
      <w:r>
        <w:rPr>
          <w:sz w:val="20"/>
          <w:szCs w:val="20"/>
          <w:vertAlign w:val="superscript"/>
        </w:rPr>
        <w:footnoteRef/>
      </w:r>
      <w:r>
        <w:rPr>
          <w:sz w:val="20"/>
          <w:szCs w:val="20"/>
          <w:vertAlign w:val="superscript"/>
          <w:lang w:eastAsia="zh-CN"/>
        </w:rPr>
        <w:t xml:space="preserve"> </w:t>
      </w:r>
      <w:r>
        <w:rPr>
          <w:sz w:val="20"/>
          <w:szCs w:val="20"/>
          <w:lang w:eastAsia="zh-CN"/>
        </w:rPr>
        <w:t>根据贝宁环境与可持续发展部秘书处</w:t>
      </w:r>
      <w:r>
        <w:rPr>
          <w:sz w:val="20"/>
          <w:szCs w:val="20"/>
          <w:lang w:eastAsia="zh-CN"/>
        </w:rPr>
        <w:t>2021</w:t>
      </w:r>
      <w:r>
        <w:rPr>
          <w:sz w:val="20"/>
          <w:szCs w:val="20"/>
          <w:lang w:eastAsia="zh-CN"/>
        </w:rPr>
        <w:t>年</w:t>
      </w:r>
      <w:r>
        <w:rPr>
          <w:sz w:val="20"/>
          <w:szCs w:val="20"/>
          <w:lang w:eastAsia="zh-CN"/>
        </w:rPr>
        <w:t>4</w:t>
      </w:r>
      <w:r>
        <w:rPr>
          <w:sz w:val="20"/>
          <w:szCs w:val="20"/>
          <w:lang w:eastAsia="zh-CN"/>
        </w:rPr>
        <w:t>月</w:t>
      </w:r>
      <w:r>
        <w:rPr>
          <w:sz w:val="20"/>
          <w:szCs w:val="20"/>
          <w:lang w:eastAsia="zh-CN"/>
        </w:rPr>
        <w:t>15</w:t>
      </w:r>
      <w:r>
        <w:rPr>
          <w:sz w:val="20"/>
          <w:szCs w:val="20"/>
          <w:lang w:eastAsia="zh-CN"/>
        </w:rPr>
        <w:t>日的信函。</w:t>
      </w:r>
    </w:p>
  </w:footnote>
  <w:footnote w:id="3">
    <w:p w:rsidR="00ED6B0A" w:rsidRDefault="00ED6B0A">
      <w:pPr>
        <w:rPr>
          <w:sz w:val="20"/>
          <w:szCs w:val="20"/>
          <w:lang w:eastAsia="zh-CN"/>
        </w:rPr>
      </w:pPr>
      <w:r>
        <w:rPr>
          <w:sz w:val="20"/>
          <w:szCs w:val="20"/>
          <w:vertAlign w:val="superscript"/>
        </w:rPr>
        <w:footnoteRef/>
      </w:r>
      <w:r>
        <w:rPr>
          <w:rFonts w:hint="eastAsia"/>
          <w:sz w:val="20"/>
          <w:szCs w:val="20"/>
          <w:lang w:eastAsia="zh-CN"/>
        </w:rPr>
        <w:t>根据</w:t>
      </w:r>
      <w:r>
        <w:rPr>
          <w:sz w:val="20"/>
          <w:szCs w:val="20"/>
          <w:lang w:eastAsia="zh-CN"/>
        </w:rPr>
        <w:t>第</w:t>
      </w:r>
      <w:r>
        <w:rPr>
          <w:sz w:val="20"/>
          <w:szCs w:val="20"/>
          <w:lang w:eastAsia="zh-CN"/>
        </w:rPr>
        <w:t>84/92</w:t>
      </w:r>
      <w:r>
        <w:rPr>
          <w:sz w:val="20"/>
          <w:szCs w:val="20"/>
          <w:lang w:eastAsia="zh-CN"/>
        </w:rPr>
        <w:t>（</w:t>
      </w:r>
      <w:r>
        <w:rPr>
          <w:sz w:val="20"/>
          <w:szCs w:val="20"/>
          <w:lang w:eastAsia="zh-CN"/>
        </w:rPr>
        <w:t>d</w:t>
      </w:r>
      <w:r>
        <w:rPr>
          <w:sz w:val="20"/>
          <w:szCs w:val="20"/>
          <w:lang w:eastAsia="zh-CN"/>
        </w:rPr>
        <w:t>）号</w:t>
      </w:r>
      <w:r>
        <w:rPr>
          <w:rFonts w:hint="eastAsia"/>
          <w:sz w:val="20"/>
          <w:szCs w:val="20"/>
          <w:lang w:eastAsia="zh-CN"/>
        </w:rPr>
        <w:t>决议</w:t>
      </w:r>
      <w:r>
        <w:rPr>
          <w:sz w:val="20"/>
          <w:szCs w:val="20"/>
          <w:lang w:eastAsia="zh-CN"/>
        </w:rPr>
        <w:t>，要求双边</w:t>
      </w:r>
      <w:r>
        <w:rPr>
          <w:rFonts w:hint="eastAsia"/>
          <w:sz w:val="20"/>
          <w:szCs w:val="20"/>
          <w:lang w:eastAsia="zh-CN"/>
        </w:rPr>
        <w:t>机构</w:t>
      </w:r>
      <w:r>
        <w:rPr>
          <w:sz w:val="20"/>
          <w:szCs w:val="20"/>
          <w:lang w:eastAsia="zh-CN"/>
        </w:rPr>
        <w:t>和执行机构在整个项目周期内实施关于性别主流化的</w:t>
      </w:r>
      <w:r>
        <w:rPr>
          <w:rFonts w:hint="eastAsia"/>
          <w:sz w:val="20"/>
          <w:szCs w:val="20"/>
          <w:lang w:eastAsia="zh-CN"/>
        </w:rPr>
        <w:t>运营</w:t>
      </w:r>
      <w:r>
        <w:rPr>
          <w:sz w:val="20"/>
          <w:szCs w:val="20"/>
          <w:lang w:eastAsia="zh-CN"/>
        </w:rPr>
        <w:t>政策。</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D6B0A" w:rsidRDefault="00E17303">
    <w:pPr>
      <w:pStyle w:val="Header"/>
    </w:pPr>
    <w:r>
      <w:fldChar w:fldCharType="begin"/>
    </w:r>
    <w:r>
      <w:instrText xml:space="preserve"> DOCPROPERTY "Document number"  \* MERGEFORMAT </w:instrText>
    </w:r>
    <w:r>
      <w:fldChar w:fldCharType="separate"/>
    </w:r>
    <w:r w:rsidR="00ED6B0A">
      <w:t>UNEP/OzL.Pro/ExCom/87/20</w:t>
    </w:r>
    <w:r>
      <w:fldChar w:fldCharType="end"/>
    </w:r>
  </w:p>
  <w:p w:rsidR="00ED6B0A" w:rsidRDefault="00ED6B0A">
    <w:pPr>
      <w:pStyle w:val="Header"/>
    </w:pPr>
  </w:p>
  <w:p w:rsidR="00ED6B0A" w:rsidRDefault="00ED6B0A">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D6B0A" w:rsidRDefault="00E17303" w:rsidP="00ED6B0A">
    <w:pPr>
      <w:pStyle w:val="Header"/>
      <w:jc w:val="right"/>
    </w:pPr>
    <w:r>
      <w:fldChar w:fldCharType="begin"/>
    </w:r>
    <w:r>
      <w:instrText xml:space="preserve"> DOCPROPERTY "Document number"  \* MERGEFORMAT </w:instrText>
    </w:r>
    <w:r>
      <w:fldChar w:fldCharType="separate"/>
    </w:r>
    <w:r w:rsidR="00ED6B0A">
      <w:t>UNEP/OzL.Pro/ExCom/87/20</w:t>
    </w:r>
    <w:r>
      <w:fldChar w:fldCharType="end"/>
    </w:r>
  </w:p>
  <w:p w:rsidR="00ED6B0A" w:rsidRDefault="00ED6B0A">
    <w:pPr>
      <w:pStyle w:val="Header"/>
    </w:pPr>
  </w:p>
  <w:p w:rsidR="00ED6B0A" w:rsidRDefault="00ED6B0A">
    <w:pPr>
      <w:pStyle w:val="Heade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D6B0A" w:rsidRDefault="00ED6B0A">
    <w:pPr>
      <w:pStyle w:val="Header"/>
      <w:jc w:val="right"/>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FB"/>
    <w:multiLevelType w:val="multilevel"/>
    <w:tmpl w:val="FFFFFFFB"/>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 w15:restartNumberingAfterBreak="0">
    <w:nsid w:val="1A270972"/>
    <w:multiLevelType w:val="multilevel"/>
    <w:tmpl w:val="1A270972"/>
    <w:lvl w:ilvl="0">
      <w:start w:val="1"/>
      <w:numFmt w:val="decimal"/>
      <w:pStyle w:val="Normal-para"/>
      <w:lvlText w:val="%1."/>
      <w:lvlJc w:val="left"/>
      <w:pPr>
        <w:tabs>
          <w:tab w:val="num" w:pos="1440"/>
        </w:tabs>
        <w:ind w:left="1080" w:firstLine="0"/>
      </w:pPr>
      <w:rPr>
        <w:rFonts w:ascii="Arial" w:hAnsi="Arial" w:cs="Arial" w:hint="default"/>
        <w:b w:val="0"/>
        <w:i w:val="0"/>
      </w:rPr>
    </w:lvl>
    <w:lvl w:ilvl="1">
      <w:start w:val="1"/>
      <w:numFmt w:val="lowerLetter"/>
      <w:lvlText w:val="%2."/>
      <w:lvlJc w:val="left"/>
      <w:pPr>
        <w:tabs>
          <w:tab w:val="num" w:pos="2160"/>
        </w:tabs>
        <w:ind w:left="2160" w:hanging="360"/>
      </w:pPr>
      <w:rPr>
        <w:rFonts w:hint="default"/>
      </w:rPr>
    </w:lvl>
    <w:lvl w:ilvl="2">
      <w:start w:val="1"/>
      <w:numFmt w:val="lowerLetter"/>
      <w:lvlText w:val="(%3)"/>
      <w:lvlJc w:val="left"/>
      <w:pPr>
        <w:tabs>
          <w:tab w:val="num" w:pos="3015"/>
        </w:tabs>
        <w:ind w:left="3015" w:hanging="495"/>
      </w:pPr>
      <w:rPr>
        <w:rFonts w:hint="default"/>
      </w:rPr>
    </w:lvl>
    <w:lvl w:ilvl="3">
      <w:start w:val="1"/>
      <w:numFmt w:val="decimal"/>
      <w:lvlText w:val="%4."/>
      <w:lvlJc w:val="left"/>
      <w:pPr>
        <w:tabs>
          <w:tab w:val="num" w:pos="3600"/>
        </w:tabs>
        <w:ind w:left="3600" w:hanging="360"/>
      </w:pPr>
      <w:rPr>
        <w:rFonts w:hint="default"/>
        <w:b w:val="0"/>
        <w:i w:val="0"/>
      </w:rPr>
    </w:lvl>
    <w:lvl w:ilvl="4">
      <w:start w:val="1"/>
      <w:numFmt w:val="bullet"/>
      <w:lvlText w:val="o"/>
      <w:lvlJc w:val="left"/>
      <w:pPr>
        <w:tabs>
          <w:tab w:val="num" w:pos="4320"/>
        </w:tabs>
        <w:ind w:left="4320" w:hanging="360"/>
      </w:pPr>
      <w:rPr>
        <w:rFonts w:ascii="Courier New" w:hAnsi="Courier New" w:cs="Courier New" w:hint="default"/>
      </w:rPr>
    </w:lvl>
    <w:lvl w:ilvl="5">
      <w:start w:val="1"/>
      <w:numFmt w:val="bullet"/>
      <w:lvlText w:val=""/>
      <w:lvlJc w:val="left"/>
      <w:pPr>
        <w:tabs>
          <w:tab w:val="num" w:pos="5040"/>
        </w:tabs>
        <w:ind w:left="5040" w:hanging="360"/>
      </w:pPr>
      <w:rPr>
        <w:rFonts w:ascii="Wingdings" w:hAnsi="Wingdings" w:hint="default"/>
      </w:rPr>
    </w:lvl>
    <w:lvl w:ilvl="6">
      <w:start w:val="1"/>
      <w:numFmt w:val="bullet"/>
      <w:lvlText w:val=""/>
      <w:lvlJc w:val="left"/>
      <w:pPr>
        <w:tabs>
          <w:tab w:val="num" w:pos="5760"/>
        </w:tabs>
        <w:ind w:left="5760" w:hanging="360"/>
      </w:pPr>
      <w:rPr>
        <w:rFonts w:ascii="Symbol" w:hAnsi="Symbol" w:hint="default"/>
      </w:rPr>
    </w:lvl>
    <w:lvl w:ilvl="7">
      <w:start w:val="1"/>
      <w:numFmt w:val="bullet"/>
      <w:lvlText w:val="o"/>
      <w:lvlJc w:val="left"/>
      <w:pPr>
        <w:tabs>
          <w:tab w:val="num" w:pos="6480"/>
        </w:tabs>
        <w:ind w:left="6480" w:hanging="360"/>
      </w:pPr>
      <w:rPr>
        <w:rFonts w:ascii="Courier New" w:hAnsi="Courier New" w:cs="Courier New" w:hint="default"/>
      </w:rPr>
    </w:lvl>
    <w:lvl w:ilvl="8">
      <w:start w:val="1"/>
      <w:numFmt w:val="bullet"/>
      <w:lvlText w:val=""/>
      <w:lvlJc w:val="left"/>
      <w:pPr>
        <w:tabs>
          <w:tab w:val="num" w:pos="7200"/>
        </w:tabs>
        <w:ind w:left="7200" w:hanging="360"/>
      </w:pPr>
      <w:rPr>
        <w:rFonts w:ascii="Wingdings" w:hAnsi="Wingdings" w:hint="default"/>
      </w:rPr>
    </w:lvl>
  </w:abstractNum>
  <w:abstractNum w:abstractNumId="2" w15:restartNumberingAfterBreak="0">
    <w:nsid w:val="326050D8"/>
    <w:multiLevelType w:val="multilevel"/>
    <w:tmpl w:val="326050D8"/>
    <w:lvl w:ilvl="0">
      <w:start w:val="1"/>
      <w:numFmt w:val="lowerRoman"/>
      <w:pStyle w:val="Heading5"/>
      <w:lvlText w:val="%1."/>
      <w:lvlJc w:val="right"/>
      <w:pPr>
        <w:ind w:left="3583" w:hanging="360"/>
      </w:pPr>
    </w:lvl>
    <w:lvl w:ilvl="1">
      <w:start w:val="1"/>
      <w:numFmt w:val="lowerLetter"/>
      <w:lvlText w:val="%2."/>
      <w:lvlJc w:val="left"/>
      <w:pPr>
        <w:ind w:left="4303" w:hanging="360"/>
      </w:pPr>
    </w:lvl>
    <w:lvl w:ilvl="2">
      <w:start w:val="1"/>
      <w:numFmt w:val="lowerRoman"/>
      <w:lvlText w:val="%3."/>
      <w:lvlJc w:val="right"/>
      <w:pPr>
        <w:ind w:left="5023" w:hanging="180"/>
      </w:pPr>
    </w:lvl>
    <w:lvl w:ilvl="3">
      <w:start w:val="1"/>
      <w:numFmt w:val="decimal"/>
      <w:lvlText w:val="%4."/>
      <w:lvlJc w:val="left"/>
      <w:pPr>
        <w:ind w:left="5743" w:hanging="360"/>
      </w:pPr>
    </w:lvl>
    <w:lvl w:ilvl="4">
      <w:start w:val="1"/>
      <w:numFmt w:val="lowerLetter"/>
      <w:lvlText w:val="%5."/>
      <w:lvlJc w:val="left"/>
      <w:pPr>
        <w:ind w:left="6463" w:hanging="360"/>
      </w:pPr>
    </w:lvl>
    <w:lvl w:ilvl="5">
      <w:start w:val="1"/>
      <w:numFmt w:val="lowerRoman"/>
      <w:lvlText w:val="%6."/>
      <w:lvlJc w:val="right"/>
      <w:pPr>
        <w:ind w:left="7183" w:hanging="180"/>
      </w:pPr>
    </w:lvl>
    <w:lvl w:ilvl="6">
      <w:start w:val="1"/>
      <w:numFmt w:val="decimal"/>
      <w:lvlText w:val="%7."/>
      <w:lvlJc w:val="left"/>
      <w:pPr>
        <w:ind w:left="7903" w:hanging="360"/>
      </w:pPr>
    </w:lvl>
    <w:lvl w:ilvl="7">
      <w:start w:val="1"/>
      <w:numFmt w:val="lowerLetter"/>
      <w:lvlText w:val="%8."/>
      <w:lvlJc w:val="left"/>
      <w:pPr>
        <w:ind w:left="8623" w:hanging="360"/>
      </w:pPr>
    </w:lvl>
    <w:lvl w:ilvl="8">
      <w:start w:val="1"/>
      <w:numFmt w:val="lowerRoman"/>
      <w:lvlText w:val="%9."/>
      <w:lvlJc w:val="right"/>
      <w:pPr>
        <w:ind w:left="9343" w:hanging="180"/>
      </w:pPr>
    </w:lvl>
  </w:abstractNum>
  <w:abstractNum w:abstractNumId="3" w15:restartNumberingAfterBreak="0">
    <w:nsid w:val="5FD4054B"/>
    <w:multiLevelType w:val="multilevel"/>
    <w:tmpl w:val="5FD4054B"/>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 w15:restartNumberingAfterBreak="0">
    <w:nsid w:val="7E100F2A"/>
    <w:multiLevelType w:val="multilevel"/>
    <w:tmpl w:val="7E100F2A"/>
    <w:lvl w:ilvl="0">
      <w:start w:val="1"/>
      <w:numFmt w:val="lowerLetter"/>
      <w:pStyle w:val="Header4"/>
      <w:lvlText w:val="%1."/>
      <w:lvlJc w:val="left"/>
      <w:pPr>
        <w:tabs>
          <w:tab w:val="num" w:pos="3600"/>
        </w:tabs>
        <w:ind w:left="3600" w:hanging="360"/>
      </w:pPr>
    </w:lvl>
    <w:lvl w:ilvl="1">
      <w:start w:val="1"/>
      <w:numFmt w:val="lowerLetter"/>
      <w:lvlText w:val="%2."/>
      <w:lvlJc w:val="left"/>
      <w:pPr>
        <w:tabs>
          <w:tab w:val="num" w:pos="4320"/>
        </w:tabs>
        <w:ind w:left="4320" w:hanging="360"/>
      </w:pPr>
    </w:lvl>
    <w:lvl w:ilvl="2">
      <w:start w:val="1"/>
      <w:numFmt w:val="lowerRoman"/>
      <w:lvlText w:val="%3."/>
      <w:lvlJc w:val="right"/>
      <w:pPr>
        <w:tabs>
          <w:tab w:val="num" w:pos="5040"/>
        </w:tabs>
        <w:ind w:left="5040" w:hanging="180"/>
      </w:pPr>
    </w:lvl>
    <w:lvl w:ilvl="3">
      <w:start w:val="1"/>
      <w:numFmt w:val="decimal"/>
      <w:lvlText w:val="%4."/>
      <w:lvlJc w:val="left"/>
      <w:pPr>
        <w:tabs>
          <w:tab w:val="num" w:pos="5760"/>
        </w:tabs>
        <w:ind w:left="5760" w:hanging="360"/>
      </w:pPr>
    </w:lvl>
    <w:lvl w:ilvl="4">
      <w:start w:val="1"/>
      <w:numFmt w:val="lowerLetter"/>
      <w:lvlText w:val="%5."/>
      <w:lvlJc w:val="left"/>
      <w:pPr>
        <w:tabs>
          <w:tab w:val="num" w:pos="6480"/>
        </w:tabs>
        <w:ind w:left="6480" w:hanging="360"/>
      </w:pPr>
    </w:lvl>
    <w:lvl w:ilvl="5">
      <w:start w:val="1"/>
      <w:numFmt w:val="lowerRoman"/>
      <w:lvlText w:val="%6."/>
      <w:lvlJc w:val="right"/>
      <w:pPr>
        <w:tabs>
          <w:tab w:val="num" w:pos="7200"/>
        </w:tabs>
        <w:ind w:left="7200" w:hanging="180"/>
      </w:pPr>
    </w:lvl>
    <w:lvl w:ilvl="6">
      <w:start w:val="1"/>
      <w:numFmt w:val="decimal"/>
      <w:lvlText w:val="%7."/>
      <w:lvlJc w:val="left"/>
      <w:pPr>
        <w:tabs>
          <w:tab w:val="num" w:pos="7920"/>
        </w:tabs>
        <w:ind w:left="7920" w:hanging="360"/>
      </w:pPr>
    </w:lvl>
    <w:lvl w:ilvl="7">
      <w:start w:val="1"/>
      <w:numFmt w:val="lowerLetter"/>
      <w:lvlText w:val="%8."/>
      <w:lvlJc w:val="left"/>
      <w:pPr>
        <w:tabs>
          <w:tab w:val="num" w:pos="8640"/>
        </w:tabs>
        <w:ind w:left="8640" w:hanging="360"/>
      </w:pPr>
    </w:lvl>
    <w:lvl w:ilvl="8">
      <w:start w:val="1"/>
      <w:numFmt w:val="lowerRoman"/>
      <w:lvlText w:val="%9."/>
      <w:lvlJc w:val="right"/>
      <w:pPr>
        <w:tabs>
          <w:tab w:val="num" w:pos="9360"/>
        </w:tabs>
        <w:ind w:left="9360" w:hanging="180"/>
      </w:pPr>
    </w:lvl>
  </w:abstractNum>
  <w:num w:numId="1">
    <w:abstractNumId w:val="0"/>
  </w:num>
  <w:num w:numId="2">
    <w:abstractNumId w:val="2"/>
  </w:num>
  <w:num w:numId="3">
    <w:abstractNumId w:val="4"/>
  </w:num>
  <w:num w:numId="4">
    <w:abstractNumId w:val="1"/>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44"/>
  <w:bordersDoNotSurroundHeader/>
  <w:bordersDoNotSurroundFooter/>
  <w:proofState w:spelling="clean" w:grammar="clean"/>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LockTheme/>
  <w:styleLockQFSet/>
  <w:defaultTabStop w:val="720"/>
  <w:evenAndOddHeaders/>
  <w:displayHorizontalDrawingGridEvery w:val="0"/>
  <w:displayVerticalDrawingGridEvery w:val="2"/>
  <w:doNotUseMarginsForDrawingGridOrigin/>
  <w:characterSpacingControl w:val="doNotCompress"/>
  <w:hdrShapeDefaults>
    <o:shapedefaults v:ext="edit" spidmax="6145" fillcolor="white">
      <v:fill color="white"/>
    </o:shapedefaults>
  </w:hdrShapeDefaults>
  <w:footnotePr>
    <w:footnote w:id="-1"/>
    <w:footnote w:id="0"/>
  </w:footnotePr>
  <w:endnotePr>
    <w:endnote w:id="-1"/>
    <w:endnote w:id="0"/>
  </w:endnotePr>
  <w:compat>
    <w:balanceSingleByteDoubleByteWidth/>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B468A"/>
    <w:rsid w:val="0000292F"/>
    <w:rsid w:val="0002589C"/>
    <w:rsid w:val="00025908"/>
    <w:rsid w:val="00052574"/>
    <w:rsid w:val="00056019"/>
    <w:rsid w:val="000A089D"/>
    <w:rsid w:val="000D6A18"/>
    <w:rsid w:val="00122E90"/>
    <w:rsid w:val="0016073F"/>
    <w:rsid w:val="00167517"/>
    <w:rsid w:val="00184ED6"/>
    <w:rsid w:val="001C21E4"/>
    <w:rsid w:val="001C76C7"/>
    <w:rsid w:val="001D14A6"/>
    <w:rsid w:val="001F2B5E"/>
    <w:rsid w:val="001F57DF"/>
    <w:rsid w:val="002472B2"/>
    <w:rsid w:val="00247771"/>
    <w:rsid w:val="002959EA"/>
    <w:rsid w:val="002B12F4"/>
    <w:rsid w:val="002B618E"/>
    <w:rsid w:val="002E6868"/>
    <w:rsid w:val="002F6F74"/>
    <w:rsid w:val="003244DF"/>
    <w:rsid w:val="003536F9"/>
    <w:rsid w:val="00357FB9"/>
    <w:rsid w:val="003649FC"/>
    <w:rsid w:val="003B468A"/>
    <w:rsid w:val="004445B2"/>
    <w:rsid w:val="00472AE8"/>
    <w:rsid w:val="005262ED"/>
    <w:rsid w:val="005514C8"/>
    <w:rsid w:val="00551898"/>
    <w:rsid w:val="005774E9"/>
    <w:rsid w:val="005A12AF"/>
    <w:rsid w:val="005C2E4E"/>
    <w:rsid w:val="005C3539"/>
    <w:rsid w:val="005D38E3"/>
    <w:rsid w:val="005D5F8A"/>
    <w:rsid w:val="00665A8D"/>
    <w:rsid w:val="00665C74"/>
    <w:rsid w:val="006B7072"/>
    <w:rsid w:val="006C2358"/>
    <w:rsid w:val="006D120A"/>
    <w:rsid w:val="006F131C"/>
    <w:rsid w:val="0075016F"/>
    <w:rsid w:val="00761FD9"/>
    <w:rsid w:val="007B1DC5"/>
    <w:rsid w:val="007C3E56"/>
    <w:rsid w:val="00803127"/>
    <w:rsid w:val="00813E67"/>
    <w:rsid w:val="008331F6"/>
    <w:rsid w:val="008579BD"/>
    <w:rsid w:val="008B1563"/>
    <w:rsid w:val="008E2CB8"/>
    <w:rsid w:val="008F44A9"/>
    <w:rsid w:val="008F52E1"/>
    <w:rsid w:val="008F6B11"/>
    <w:rsid w:val="009169DC"/>
    <w:rsid w:val="00943350"/>
    <w:rsid w:val="0094672B"/>
    <w:rsid w:val="009645B6"/>
    <w:rsid w:val="00975222"/>
    <w:rsid w:val="009766F2"/>
    <w:rsid w:val="00997DEE"/>
    <w:rsid w:val="009B377B"/>
    <w:rsid w:val="009D46A3"/>
    <w:rsid w:val="009E2E64"/>
    <w:rsid w:val="009E6792"/>
    <w:rsid w:val="00A319C5"/>
    <w:rsid w:val="00A33C67"/>
    <w:rsid w:val="00A630A7"/>
    <w:rsid w:val="00A8067B"/>
    <w:rsid w:val="00A81B44"/>
    <w:rsid w:val="00AD4D4F"/>
    <w:rsid w:val="00AE69F1"/>
    <w:rsid w:val="00AF53DC"/>
    <w:rsid w:val="00B3458A"/>
    <w:rsid w:val="00B569F7"/>
    <w:rsid w:val="00B66329"/>
    <w:rsid w:val="00B71F62"/>
    <w:rsid w:val="00B83637"/>
    <w:rsid w:val="00B85CAD"/>
    <w:rsid w:val="00B91949"/>
    <w:rsid w:val="00BB383E"/>
    <w:rsid w:val="00BC7BE0"/>
    <w:rsid w:val="00BD374E"/>
    <w:rsid w:val="00BF0327"/>
    <w:rsid w:val="00C15AC2"/>
    <w:rsid w:val="00C4195C"/>
    <w:rsid w:val="00C4722B"/>
    <w:rsid w:val="00C64C0E"/>
    <w:rsid w:val="00C8675B"/>
    <w:rsid w:val="00CA6F9E"/>
    <w:rsid w:val="00D2077F"/>
    <w:rsid w:val="00D37188"/>
    <w:rsid w:val="00D951FA"/>
    <w:rsid w:val="00DA5580"/>
    <w:rsid w:val="00E17303"/>
    <w:rsid w:val="00E51C8B"/>
    <w:rsid w:val="00E90D3F"/>
    <w:rsid w:val="00E9178A"/>
    <w:rsid w:val="00E92EEF"/>
    <w:rsid w:val="00EA0BD8"/>
    <w:rsid w:val="00ED6B0A"/>
    <w:rsid w:val="00EE3CE9"/>
    <w:rsid w:val="00F33A71"/>
    <w:rsid w:val="00FA44A6"/>
    <w:rsid w:val="00FD0FD4"/>
    <w:rsid w:val="00FE77B6"/>
    <w:rsid w:val="013244EA"/>
    <w:rsid w:val="0B142A09"/>
    <w:rsid w:val="4ED27766"/>
    <w:rsid w:val="6544255F"/>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5" fillcolor="white">
      <v:fill color="white"/>
    </o:shapedefaults>
    <o:shapelayout v:ext="edit">
      <o:idmap v:ext="edit" data="1"/>
    </o:shapelayout>
  </w:shapeDefaults>
  <w:decimalSymbol w:val="."/>
  <w:listSeparator w:val=","/>
  <w14:docId w14:val="15D827E8"/>
  <w15:chartTrackingRefBased/>
  <w15:docId w15:val="{FF350F8B-E7E4-4C9E-8567-EF27CC3B8E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SimSun" w:hAnsi="Times New Roman" w:cs="Times New Roman"/>
        <w:lang w:val="en-US" w:eastAsia="zh-CN"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unhideWhenUsed="1"/>
    <w:lsdException w:name="annotation text" w:semiHidden="1" w:unhideWhenUsed="1"/>
    <w:lsdException w:name="header" w:uiPriority="0"/>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uiPriority="0"/>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lsdException w:name="Body Text Indent 2" w:semiHidden="1" w:unhideWhenUsed="1"/>
    <w:lsdException w:name="Body Text Indent 3" w:semiHidden="1" w:uiPriority="0"/>
    <w:lsdException w:name="Block Text" w:semiHidden="1" w:uiPriority="0"/>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0"/>
    <w:lsdException w:name="Table Theme" w:semiHidden="1" w:uiPriority="0"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jc w:val="both"/>
    </w:pPr>
    <w:rPr>
      <w:sz w:val="22"/>
      <w:szCs w:val="22"/>
      <w:lang w:val="en-GB" w:eastAsia="en-US"/>
    </w:rPr>
  </w:style>
  <w:style w:type="paragraph" w:styleId="Heading1">
    <w:name w:val="heading 1"/>
    <w:basedOn w:val="Normal"/>
    <w:next w:val="Normal"/>
    <w:link w:val="Heading1Char"/>
    <w:qFormat/>
    <w:pPr>
      <w:numPr>
        <w:numId w:val="1"/>
      </w:numPr>
      <w:spacing w:after="240"/>
      <w:outlineLvl w:val="0"/>
    </w:pPr>
  </w:style>
  <w:style w:type="paragraph" w:styleId="Heading2">
    <w:name w:val="heading 2"/>
    <w:basedOn w:val="Normal"/>
    <w:next w:val="Normal"/>
    <w:qFormat/>
    <w:pPr>
      <w:widowControl w:val="0"/>
      <w:numPr>
        <w:ilvl w:val="1"/>
        <w:numId w:val="1"/>
      </w:numPr>
      <w:tabs>
        <w:tab w:val="left" w:pos="0"/>
      </w:tabs>
      <w:spacing w:after="240"/>
      <w:outlineLvl w:val="1"/>
    </w:pPr>
  </w:style>
  <w:style w:type="paragraph" w:styleId="Heading3">
    <w:name w:val="heading 3"/>
    <w:basedOn w:val="Normal"/>
    <w:next w:val="Normal"/>
    <w:qFormat/>
    <w:pPr>
      <w:widowControl w:val="0"/>
      <w:numPr>
        <w:ilvl w:val="2"/>
        <w:numId w:val="1"/>
      </w:numPr>
      <w:tabs>
        <w:tab w:val="left" w:pos="0"/>
      </w:tabs>
      <w:spacing w:after="240"/>
      <w:outlineLvl w:val="2"/>
    </w:pPr>
  </w:style>
  <w:style w:type="paragraph" w:styleId="Heading4">
    <w:name w:val="heading 4"/>
    <w:basedOn w:val="Normal"/>
    <w:next w:val="Heading9"/>
    <w:qFormat/>
    <w:pPr>
      <w:keepNext/>
      <w:numPr>
        <w:ilvl w:val="3"/>
        <w:numId w:val="1"/>
      </w:numPr>
      <w:tabs>
        <w:tab w:val="left" w:pos="-90"/>
      </w:tabs>
      <w:spacing w:before="240" w:after="60"/>
      <w:outlineLvl w:val="3"/>
    </w:pPr>
  </w:style>
  <w:style w:type="paragraph" w:styleId="Heading5">
    <w:name w:val="heading 5"/>
    <w:basedOn w:val="Normal"/>
    <w:next w:val="Normal"/>
    <w:qFormat/>
    <w:pPr>
      <w:keepNext/>
      <w:numPr>
        <w:numId w:val="2"/>
      </w:numPr>
      <w:spacing w:after="240"/>
      <w:ind w:left="3600" w:hanging="720"/>
      <w:outlineLvl w:val="4"/>
    </w:pPr>
  </w:style>
  <w:style w:type="paragraph" w:styleId="Heading6">
    <w:name w:val="heading 6"/>
    <w:basedOn w:val="Normal"/>
    <w:next w:val="Normal"/>
    <w:qFormat/>
    <w:pPr>
      <w:numPr>
        <w:ilvl w:val="5"/>
        <w:numId w:val="1"/>
      </w:numPr>
      <w:tabs>
        <w:tab w:val="left" w:pos="0"/>
      </w:tabs>
      <w:spacing w:before="240" w:after="60"/>
      <w:outlineLvl w:val="5"/>
    </w:pPr>
    <w:rPr>
      <w:rFonts w:ascii="Arial" w:hAnsi="Arial"/>
      <w:i/>
    </w:rPr>
  </w:style>
  <w:style w:type="paragraph" w:styleId="Heading7">
    <w:name w:val="heading 7"/>
    <w:basedOn w:val="Normal"/>
    <w:next w:val="Normal"/>
    <w:qFormat/>
    <w:pPr>
      <w:numPr>
        <w:ilvl w:val="6"/>
        <w:numId w:val="1"/>
      </w:numPr>
      <w:tabs>
        <w:tab w:val="left" w:pos="0"/>
      </w:tabs>
      <w:spacing w:before="240" w:after="60"/>
      <w:outlineLvl w:val="6"/>
    </w:pPr>
    <w:rPr>
      <w:rFonts w:ascii="Arial" w:hAnsi="Arial"/>
    </w:rPr>
  </w:style>
  <w:style w:type="paragraph" w:styleId="Heading8">
    <w:name w:val="heading 8"/>
    <w:basedOn w:val="Normal"/>
    <w:next w:val="Normal"/>
    <w:qFormat/>
    <w:pPr>
      <w:outlineLvl w:val="7"/>
    </w:pPr>
    <w:rPr>
      <w:b/>
    </w:rPr>
  </w:style>
  <w:style w:type="paragraph" w:styleId="Heading9">
    <w:name w:val="heading 9"/>
    <w:basedOn w:val="Normal"/>
    <w:next w:val="Normal"/>
    <w:qFormat/>
    <w:pPr>
      <w:numPr>
        <w:ilvl w:val="8"/>
        <w:numId w:val="1"/>
      </w:numPr>
      <w:tabs>
        <w:tab w:val="left" w:pos="0"/>
      </w:tabs>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uiPriority w:val="99"/>
    <w:unhideWhenUsed/>
    <w:rPr>
      <w:sz w:val="16"/>
      <w:szCs w:val="16"/>
    </w:rPr>
  </w:style>
  <w:style w:type="character" w:styleId="FootnoteReference">
    <w:name w:val="footnote reference"/>
    <w:uiPriority w:val="99"/>
    <w:unhideWhenUsed/>
    <w:rPr>
      <w:vertAlign w:val="superscript"/>
    </w:rPr>
  </w:style>
  <w:style w:type="character" w:customStyle="1" w:styleId="Heading1Char">
    <w:name w:val="Heading 1 Char"/>
    <w:link w:val="Heading1"/>
    <w:rPr>
      <w:sz w:val="22"/>
      <w:szCs w:val="22"/>
      <w:lang w:val="en-GB"/>
    </w:rPr>
  </w:style>
  <w:style w:type="character" w:styleId="PlaceholderText">
    <w:name w:val="Placeholder Text"/>
    <w:uiPriority w:val="99"/>
    <w:semiHidden/>
    <w:rPr>
      <w:color w:val="808080"/>
    </w:rPr>
  </w:style>
  <w:style w:type="character" w:customStyle="1" w:styleId="BalloonTextChar">
    <w:name w:val="Balloon Text Char"/>
    <w:link w:val="BalloonText"/>
    <w:uiPriority w:val="99"/>
    <w:semiHidden/>
    <w:rPr>
      <w:rFonts w:ascii="Tahoma" w:hAnsi="Tahoma" w:cs="Tahoma"/>
      <w:sz w:val="16"/>
      <w:szCs w:val="16"/>
      <w:lang w:val="en-GB"/>
    </w:rPr>
  </w:style>
  <w:style w:type="character" w:customStyle="1" w:styleId="CommentTextChar">
    <w:name w:val="Comment Text Char"/>
    <w:link w:val="CommentText"/>
    <w:uiPriority w:val="99"/>
    <w:semiHidden/>
    <w:rPr>
      <w:lang w:val="en-GB"/>
    </w:rPr>
  </w:style>
  <w:style w:type="character" w:customStyle="1" w:styleId="CommentSubjectChar">
    <w:name w:val="Comment Subject Char"/>
    <w:link w:val="CommentSubject"/>
    <w:uiPriority w:val="99"/>
    <w:semiHidden/>
    <w:rPr>
      <w:b/>
      <w:bCs/>
      <w:lang w:val="en-GB"/>
    </w:rPr>
  </w:style>
  <w:style w:type="character" w:customStyle="1" w:styleId="FooterChar">
    <w:name w:val="Footer Char"/>
    <w:link w:val="Footer"/>
    <w:uiPriority w:val="99"/>
    <w:rPr>
      <w:sz w:val="22"/>
      <w:szCs w:val="22"/>
      <w:lang w:val="en-GB"/>
    </w:rPr>
  </w:style>
  <w:style w:type="character" w:customStyle="1" w:styleId="FootnoteTextChar">
    <w:name w:val="Footnote Text Char"/>
    <w:link w:val="FootnoteText"/>
    <w:uiPriority w:val="99"/>
    <w:rPr>
      <w:rFonts w:eastAsia="Times New Roman"/>
      <w:lang w:val="en-CA"/>
    </w:rPr>
  </w:style>
  <w:style w:type="paragraph" w:styleId="Title">
    <w:name w:val="Title"/>
    <w:basedOn w:val="Normal"/>
    <w:qFormat/>
    <w:pPr>
      <w:spacing w:before="240" w:after="60"/>
      <w:jc w:val="center"/>
      <w:outlineLvl w:val="0"/>
    </w:pPr>
    <w:rPr>
      <w:rFonts w:ascii="Arial" w:hAnsi="Arial" w:cs="Arial"/>
      <w:b/>
      <w:bCs/>
      <w:kern w:val="28"/>
    </w:rPr>
  </w:style>
  <w:style w:type="paragraph" w:styleId="CommentSubject">
    <w:name w:val="annotation subject"/>
    <w:basedOn w:val="CommentText"/>
    <w:next w:val="CommentText"/>
    <w:link w:val="CommentSubjectChar"/>
    <w:uiPriority w:val="99"/>
    <w:unhideWhenUsed/>
    <w:rPr>
      <w:b/>
      <w:bCs/>
    </w:rPr>
  </w:style>
  <w:style w:type="paragraph" w:styleId="CommentText">
    <w:name w:val="annotation text"/>
    <w:basedOn w:val="Normal"/>
    <w:link w:val="CommentTextChar"/>
    <w:uiPriority w:val="99"/>
    <w:unhideWhenUsed/>
    <w:rPr>
      <w:sz w:val="20"/>
      <w:szCs w:val="20"/>
    </w:rPr>
  </w:style>
  <w:style w:type="paragraph" w:styleId="BodyText3">
    <w:name w:val="Body Text 3"/>
    <w:basedOn w:val="Normal"/>
    <w:semiHidden/>
    <w:pPr>
      <w:spacing w:after="120"/>
    </w:pPr>
    <w:rPr>
      <w:sz w:val="16"/>
      <w:szCs w:val="16"/>
    </w:rPr>
  </w:style>
  <w:style w:type="paragraph" w:styleId="BlockText">
    <w:name w:val="Block Text"/>
    <w:basedOn w:val="Normal"/>
    <w:semiHidden/>
    <w:pPr>
      <w:spacing w:after="120"/>
      <w:ind w:left="1440" w:right="1440"/>
    </w:pPr>
  </w:style>
  <w:style w:type="paragraph" w:styleId="PlainText">
    <w:name w:val="Plain Text"/>
    <w:basedOn w:val="Normal"/>
    <w:semiHidden/>
    <w:rPr>
      <w:rFonts w:ascii="Courier New" w:hAnsi="Courier New" w:cs="Courier New"/>
      <w:sz w:val="20"/>
    </w:rPr>
  </w:style>
  <w:style w:type="paragraph" w:styleId="Date">
    <w:name w:val="Date"/>
    <w:basedOn w:val="Normal"/>
    <w:next w:val="Normal"/>
  </w:style>
  <w:style w:type="paragraph" w:styleId="Subtitle">
    <w:name w:val="Subtitle"/>
    <w:basedOn w:val="Normal"/>
    <w:qFormat/>
    <w:pPr>
      <w:spacing w:after="60"/>
      <w:jc w:val="center"/>
      <w:outlineLvl w:val="1"/>
    </w:pPr>
    <w:rPr>
      <w:rFonts w:ascii="Arial" w:hAnsi="Arial" w:cs="Arial"/>
    </w:rPr>
  </w:style>
  <w:style w:type="paragraph" w:styleId="BalloonText">
    <w:name w:val="Balloon Text"/>
    <w:basedOn w:val="Normal"/>
    <w:link w:val="BalloonTextChar"/>
    <w:uiPriority w:val="99"/>
    <w:unhideWhenUsed/>
    <w:rPr>
      <w:rFonts w:ascii="Tahoma" w:hAnsi="Tahoma" w:cs="Tahoma"/>
      <w:sz w:val="16"/>
      <w:szCs w:val="16"/>
    </w:rPr>
  </w:style>
  <w:style w:type="paragraph" w:styleId="Footer">
    <w:name w:val="footer"/>
    <w:basedOn w:val="Normal"/>
    <w:link w:val="FooterChar"/>
    <w:uiPriority w:val="99"/>
    <w:pPr>
      <w:tabs>
        <w:tab w:val="center" w:pos="4320"/>
        <w:tab w:val="right" w:pos="8640"/>
      </w:tabs>
    </w:pPr>
  </w:style>
  <w:style w:type="paragraph" w:styleId="Header">
    <w:name w:val="header"/>
    <w:basedOn w:val="Normal"/>
    <w:link w:val="HeaderChar"/>
    <w:pPr>
      <w:tabs>
        <w:tab w:val="center" w:pos="4320"/>
        <w:tab w:val="right" w:pos="8640"/>
      </w:tabs>
    </w:pPr>
  </w:style>
  <w:style w:type="paragraph" w:styleId="FootnoteText">
    <w:name w:val="footnote text"/>
    <w:basedOn w:val="Normal"/>
    <w:link w:val="FootnoteTextChar"/>
    <w:uiPriority w:val="99"/>
    <w:unhideWhenUsed/>
    <w:rPr>
      <w:rFonts w:eastAsia="Times New Roman"/>
      <w:sz w:val="20"/>
      <w:szCs w:val="20"/>
      <w:lang w:val="en-CA"/>
    </w:rPr>
  </w:style>
  <w:style w:type="paragraph" w:styleId="BodyTextIndent3">
    <w:name w:val="Body Text Indent 3"/>
    <w:basedOn w:val="Normal"/>
    <w:semiHidden/>
    <w:pPr>
      <w:spacing w:after="120"/>
      <w:ind w:left="360"/>
    </w:pPr>
    <w:rPr>
      <w:sz w:val="16"/>
      <w:szCs w:val="16"/>
    </w:rPr>
  </w:style>
  <w:style w:type="paragraph" w:customStyle="1" w:styleId="sub-title">
    <w:name w:val="sub-title"/>
    <w:pPr>
      <w:jc w:val="both"/>
      <w:outlineLvl w:val="0"/>
    </w:pPr>
    <w:rPr>
      <w:b/>
      <w:sz w:val="22"/>
      <w:szCs w:val="22"/>
      <w:lang w:eastAsia="en-US"/>
    </w:rPr>
  </w:style>
  <w:style w:type="paragraph" w:customStyle="1" w:styleId="Title1">
    <w:name w:val="Title1"/>
    <w:pPr>
      <w:jc w:val="center"/>
      <w:outlineLvl w:val="0"/>
    </w:pPr>
    <w:rPr>
      <w:b/>
      <w:caps/>
      <w:sz w:val="22"/>
      <w:szCs w:val="22"/>
      <w:lang w:val="en-GB" w:eastAsia="en-US"/>
    </w:rPr>
  </w:style>
  <w:style w:type="paragraph" w:customStyle="1" w:styleId="Decision">
    <w:name w:val="Decision"/>
    <w:basedOn w:val="Normal"/>
    <w:pPr>
      <w:keepLines/>
      <w:jc w:val="right"/>
    </w:pPr>
    <w:rPr>
      <w:b/>
    </w:rPr>
  </w:style>
  <w:style w:type="paragraph" w:customStyle="1" w:styleId="0Heading0">
    <w:name w:val="0 Heading 0"/>
    <w:rPr>
      <w:sz w:val="22"/>
      <w:szCs w:val="22"/>
      <w:lang w:val="en-GB" w:eastAsia="en-US"/>
    </w:rPr>
  </w:style>
  <w:style w:type="paragraph" w:customStyle="1" w:styleId="Header4">
    <w:name w:val="Header4"/>
    <w:basedOn w:val="Normal"/>
    <w:next w:val="Normal"/>
    <w:pPr>
      <w:widowControl w:val="0"/>
      <w:numPr>
        <w:numId w:val="3"/>
      </w:numPr>
      <w:tabs>
        <w:tab w:val="clear" w:pos="3600"/>
        <w:tab w:val="left" w:pos="2880"/>
        <w:tab w:val="left" w:pos="5760"/>
      </w:tabs>
      <w:spacing w:after="240"/>
      <w:ind w:left="2880" w:hanging="720"/>
    </w:pPr>
  </w:style>
  <w:style w:type="paragraph" w:customStyle="1" w:styleId="StyleHeader4Para4Left0Firstline0">
    <w:name w:val="Style Header4Para 4 + Left:  0&quot; First line:  0&quot;"/>
    <w:basedOn w:val="Header4"/>
    <w:pPr>
      <w:ind w:left="0" w:firstLine="0"/>
    </w:pPr>
    <w:rPr>
      <w:sz w:val="20"/>
    </w:rPr>
  </w:style>
  <w:style w:type="paragraph" w:customStyle="1" w:styleId="Normal-para">
    <w:name w:val="Normal-para"/>
    <w:basedOn w:val="Normal"/>
    <w:pPr>
      <w:widowControl w:val="0"/>
      <w:numPr>
        <w:numId w:val="4"/>
      </w:numPr>
      <w:tabs>
        <w:tab w:val="clear" w:pos="1440"/>
        <w:tab w:val="left" w:pos="490"/>
        <w:tab w:val="left" w:pos="979"/>
        <w:tab w:val="left" w:pos="1469"/>
      </w:tabs>
      <w:adjustRightInd w:val="0"/>
      <w:spacing w:before="120" w:after="120" w:line="240" w:lineRule="atLeast"/>
      <w:textAlignment w:val="baseline"/>
    </w:pPr>
    <w:rPr>
      <w:sz w:val="24"/>
      <w:szCs w:val="20"/>
      <w:lang w:val="en-US" w:eastAsia="zh-CN"/>
    </w:rPr>
  </w:style>
  <w:style w:type="table" w:styleId="TableList7">
    <w:name w:val="Table List 7"/>
    <w:basedOn w:val="TableNormal"/>
    <w:semiHidden/>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top w:val="none" w:sz="0" w:space="0" w:color="auto"/>
          <w:left w:val="none" w:sz="0" w:space="0" w:color="auto"/>
          <w:bottom w:val="single" w:sz="12" w:space="0" w:color="008000"/>
          <w:right w:val="none" w:sz="0" w:space="0" w:color="auto"/>
          <w:insideH w:val="none" w:sz="0" w:space="0" w:color="auto"/>
          <w:insideV w:val="none" w:sz="0" w:space="0" w:color="auto"/>
          <w:tl2br w:val="nil"/>
          <w:tr2bl w:val="nil"/>
        </w:tcBorders>
        <w:shd w:val="solid" w:color="C0C0C0" w:fill="FFFFFF"/>
      </w:tcPr>
    </w:tblStylePr>
    <w:tblStylePr w:type="lastRow">
      <w:rPr>
        <w:b/>
        <w:bCs/>
      </w:rPr>
      <w:tblPr/>
      <w:tcPr>
        <w:tcBorders>
          <w:top w:val="single" w:sz="12" w:space="0" w:color="008000"/>
          <w:left w:val="none" w:sz="0" w:space="0" w:color="auto"/>
          <w:bottom w:val="none" w:sz="0" w:space="0" w:color="auto"/>
          <w:right w:val="none" w:sz="0" w:space="0" w:color="auto"/>
          <w:insideH w:val="none" w:sz="0" w:space="0" w:color="auto"/>
          <w:insideV w:val="none" w:sz="0" w:space="0" w:color="auto"/>
          <w:tl2br w:val="nil"/>
          <w:tr2bl w:val="nil"/>
        </w:tcBorders>
      </w:tcPr>
    </w:tblStylePr>
    <w:tblStylePr w:type="firstCol">
      <w:rPr>
        <w:b/>
        <w:bCs/>
      </w:rPr>
      <w:tblPr/>
      <w:tcPr>
        <w:tcBorders>
          <w:top w:val="none" w:sz="0" w:space="0" w:color="auto"/>
          <w:left w:val="none" w:sz="0" w:space="0" w:color="auto"/>
          <w:bottom w:val="none" w:sz="0" w:space="0" w:color="auto"/>
          <w:right w:val="none" w:sz="0" w:space="0" w:color="auto"/>
          <w:insideH w:val="none" w:sz="0" w:space="0" w:color="auto"/>
          <w:insideV w:val="none" w:sz="0" w:space="0" w:color="auto"/>
          <w:tl2br w:val="nil"/>
          <w:tr2bl w:val="nil"/>
        </w:tcBorders>
      </w:tcPr>
    </w:tblStylePr>
    <w:tblStylePr w:type="lastCol">
      <w:rPr>
        <w:b/>
        <w:bCs/>
      </w:rPr>
      <w:tblPr/>
      <w:tcPr>
        <w:tcBorders>
          <w:top w:val="none" w:sz="0" w:space="0" w:color="auto"/>
          <w:left w:val="none" w:sz="0" w:space="0" w:color="auto"/>
          <w:bottom w:val="none" w:sz="0" w:space="0" w:color="auto"/>
          <w:right w:val="none" w:sz="0" w:space="0" w:color="auto"/>
          <w:insideH w:val="none" w:sz="0" w:space="0" w:color="auto"/>
          <w:insideV w:val="none" w:sz="0" w:space="0" w:color="auto"/>
          <w:tl2br w:val="nil"/>
          <w:tr2bl w:val="nil"/>
        </w:tcBorders>
      </w:tcPr>
    </w:tblStylePr>
    <w:tblStylePr w:type="band1Horz">
      <w:rPr>
        <w:color w:val="auto"/>
      </w:rPr>
      <w:tblPr/>
      <w:tcPr>
        <w:tcBorders>
          <w:top w:val="none" w:sz="0" w:space="0" w:color="auto"/>
          <w:left w:val="none" w:sz="0" w:space="0" w:color="auto"/>
          <w:bottom w:val="none" w:sz="0" w:space="0" w:color="auto"/>
          <w:right w:val="none" w:sz="0" w:space="0" w:color="auto"/>
          <w:insideH w:val="none" w:sz="0" w:space="0" w:color="auto"/>
          <w:insideV w:val="none" w:sz="0" w:space="0" w:color="auto"/>
          <w:tl2br w:val="nil"/>
          <w:tr2bl w:val="nil"/>
        </w:tcBorders>
        <w:shd w:val="pct20" w:color="000000" w:fill="FFFFFF"/>
      </w:tcPr>
    </w:tblStylePr>
    <w:tblStylePr w:type="band2Horz">
      <w:tblPr/>
      <w:tcPr>
        <w:tcBorders>
          <w:top w:val="none" w:sz="0" w:space="0" w:color="auto"/>
          <w:left w:val="none" w:sz="0" w:space="0" w:color="auto"/>
          <w:bottom w:val="none" w:sz="0" w:space="0" w:color="auto"/>
          <w:right w:val="none" w:sz="0" w:space="0" w:color="auto"/>
          <w:insideH w:val="none" w:sz="0" w:space="0" w:color="auto"/>
          <w:insideV w:val="none" w:sz="0" w:space="0" w:color="auto"/>
          <w:tl2br w:val="nil"/>
          <w:tr2bl w:val="nil"/>
        </w:tcBorders>
        <w:shd w:val="pct25" w:color="FFFF00" w:fill="FFFFFF"/>
      </w:tcPr>
    </w:tblStylePr>
  </w:style>
  <w:style w:type="table" w:styleId="TableGrid5">
    <w:name w:val="Table Grid 5"/>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top w:val="none" w:sz="0" w:space="0" w:color="auto"/>
          <w:left w:val="none" w:sz="0" w:space="0" w:color="auto"/>
          <w:bottom w:val="single" w:sz="12" w:space="0" w:color="000000"/>
          <w:right w:val="none" w:sz="0" w:space="0" w:color="auto"/>
          <w:insideH w:val="none" w:sz="0" w:space="0" w:color="auto"/>
          <w:insideV w:val="none" w:sz="0" w:space="0" w:color="auto"/>
          <w:tl2br w:val="nil"/>
          <w:tr2bl w:val="nil"/>
        </w:tcBorders>
      </w:tcPr>
    </w:tblStylePr>
    <w:tblStylePr w:type="lastRow">
      <w:rPr>
        <w:b/>
        <w:bCs/>
      </w:rPr>
      <w:tblPr/>
      <w:tcPr>
        <w:tcBorders>
          <w:top w:val="none" w:sz="0" w:space="0" w:color="auto"/>
          <w:left w:val="none" w:sz="0" w:space="0" w:color="auto"/>
          <w:bottom w:val="none" w:sz="0" w:space="0" w:color="auto"/>
          <w:right w:val="none" w:sz="0" w:space="0" w:color="auto"/>
          <w:insideH w:val="none" w:sz="0" w:space="0" w:color="auto"/>
          <w:insideV w:val="none" w:sz="0" w:space="0" w:color="auto"/>
          <w:tl2br w:val="nil"/>
          <w:tr2bl w:val="nil"/>
        </w:tcBorders>
      </w:tcPr>
    </w:tblStylePr>
    <w:tblStylePr w:type="lastCol">
      <w:rPr>
        <w:b/>
        <w:bCs/>
      </w:rPr>
      <w:tblPr/>
      <w:tcPr>
        <w:tcBorders>
          <w:top w:val="none" w:sz="0" w:space="0" w:color="auto"/>
          <w:left w:val="none" w:sz="0" w:space="0" w:color="auto"/>
          <w:bottom w:val="none" w:sz="0" w:space="0" w:color="auto"/>
          <w:right w:val="none" w:sz="0" w:space="0" w:color="auto"/>
          <w:insideH w:val="none" w:sz="0" w:space="0" w:color="auto"/>
          <w:insideV w:val="none" w:sz="0" w:space="0" w:color="auto"/>
          <w:tl2br w:val="nil"/>
          <w:tr2bl w:val="nil"/>
        </w:tcBorders>
      </w:tcPr>
    </w:tblStylePr>
    <w:tblStylePr w:type="nwCell">
      <w:tblPr/>
      <w:tcPr>
        <w:tcBorders>
          <w:top w:val="none" w:sz="0" w:space="0" w:color="auto"/>
          <w:left w:val="none" w:sz="0" w:space="0" w:color="auto"/>
          <w:bottom w:val="none" w:sz="0" w:space="0" w:color="auto"/>
          <w:right w:val="none" w:sz="0" w:space="0" w:color="auto"/>
          <w:insideH w:val="none" w:sz="0" w:space="0" w:color="auto"/>
          <w:insideV w:val="none" w:sz="0" w:space="0" w:color="auto"/>
          <w:tl2br w:val="single" w:sz="6" w:space="0" w:color="000000"/>
          <w:tr2bl w:val="nil"/>
        </w:tcBorders>
      </w:tcPr>
    </w:tblStylePr>
  </w:style>
  <w:style w:type="table" w:styleId="TableWeb3">
    <w:name w:val="Table Web 3"/>
    <w:basedOn w:val="TableNormal"/>
    <w:semiHidden/>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op w:val="none" w:sz="0" w:space="0" w:color="auto"/>
          <w:left w:val="none" w:sz="0" w:space="0" w:color="auto"/>
          <w:bottom w:val="none" w:sz="0" w:space="0" w:color="auto"/>
          <w:right w:val="none" w:sz="0" w:space="0" w:color="auto"/>
          <w:insideH w:val="none" w:sz="0" w:space="0" w:color="auto"/>
          <w:insideV w:val="none" w:sz="0" w:space="0" w:color="auto"/>
          <w:tl2br w:val="nil"/>
          <w:tr2bl w:val="nil"/>
        </w:tcBorders>
      </w:tcPr>
    </w:tblStylePr>
  </w:style>
  <w:style w:type="table" w:styleId="TableGrid1">
    <w:name w:val="Table Grid 1"/>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op w:val="none" w:sz="0" w:space="0" w:color="auto"/>
          <w:left w:val="none" w:sz="0" w:space="0" w:color="auto"/>
          <w:bottom w:val="none" w:sz="0" w:space="0" w:color="auto"/>
          <w:right w:val="none" w:sz="0" w:space="0" w:color="auto"/>
          <w:insideH w:val="none" w:sz="0" w:space="0" w:color="auto"/>
          <w:insideV w:val="none" w:sz="0" w:space="0" w:color="auto"/>
          <w:tl2br w:val="nil"/>
          <w:tr2bl w:val="nil"/>
        </w:tcBorders>
      </w:tcPr>
    </w:tblStylePr>
    <w:tblStylePr w:type="lastCol">
      <w:rPr>
        <w:i/>
        <w:iCs/>
      </w:rPr>
      <w:tblPr/>
      <w:tcPr>
        <w:tcBorders>
          <w:top w:val="none" w:sz="0" w:space="0" w:color="auto"/>
          <w:left w:val="none" w:sz="0" w:space="0" w:color="auto"/>
          <w:bottom w:val="none" w:sz="0" w:space="0" w:color="auto"/>
          <w:right w:val="none" w:sz="0" w:space="0" w:color="auto"/>
          <w:insideH w:val="none" w:sz="0" w:space="0" w:color="auto"/>
          <w:insideV w:val="none" w:sz="0" w:space="0" w:color="auto"/>
          <w:tl2br w:val="nil"/>
          <w:tr2bl w:val="nil"/>
        </w:tcBorders>
      </w:tcPr>
    </w:tblStylePr>
    <w:tblStylePr w:type="nwCell">
      <w:tblPr/>
      <w:tcPr>
        <w:tcBorders>
          <w:top w:val="none" w:sz="0" w:space="0" w:color="auto"/>
          <w:left w:val="none" w:sz="0" w:space="0" w:color="auto"/>
          <w:bottom w:val="none" w:sz="0" w:space="0" w:color="auto"/>
          <w:right w:val="none" w:sz="0" w:space="0" w:color="auto"/>
          <w:insideH w:val="none" w:sz="0" w:space="0" w:color="auto"/>
          <w:insideV w:val="none" w:sz="0" w:space="0" w:color="auto"/>
          <w:tl2br w:val="single" w:sz="6" w:space="0" w:color="000000"/>
          <w:tr2bl w:val="nil"/>
        </w:tcBorders>
      </w:tcPr>
    </w:tblStylePr>
  </w:style>
  <w:style w:type="table" w:styleId="TableColumns4">
    <w:name w:val="Table Columns 4"/>
    <w:basedOn w:val="TableNormal"/>
    <w:semiHidden/>
    <w:pPr>
      <w:jc w:val="both"/>
    </w:pPr>
    <w:tblPr>
      <w:tblStyleColBandSize w:val="1"/>
    </w:tblPr>
    <w:tblStylePr w:type="firstRow">
      <w:rPr>
        <w:color w:val="FFFFFF"/>
      </w:rPr>
      <w:tblPr/>
      <w:tcPr>
        <w:tcBorders>
          <w:top w:val="none" w:sz="0" w:space="0" w:color="auto"/>
          <w:left w:val="none" w:sz="0" w:space="0" w:color="auto"/>
          <w:bottom w:val="none" w:sz="0" w:space="0" w:color="auto"/>
          <w:right w:val="none" w:sz="0" w:space="0" w:color="auto"/>
          <w:insideH w:val="none" w:sz="0" w:space="0" w:color="auto"/>
          <w:insideV w:val="none" w:sz="0" w:space="0" w:color="auto"/>
          <w:tl2br w:val="nil"/>
          <w:tr2bl w:val="nil"/>
        </w:tcBorders>
        <w:shd w:val="solid" w:color="000000" w:fill="FFFFFF"/>
      </w:tcPr>
    </w:tblStylePr>
    <w:tblStylePr w:type="lastRow">
      <w:rPr>
        <w:b/>
        <w:bCs/>
      </w:rPr>
      <w:tblPr/>
      <w:tcPr>
        <w:tcBorders>
          <w:top w:val="none" w:sz="0" w:space="0" w:color="auto"/>
          <w:left w:val="none" w:sz="0" w:space="0" w:color="auto"/>
          <w:bottom w:val="none" w:sz="0" w:space="0" w:color="auto"/>
          <w:right w:val="none" w:sz="0" w:space="0" w:color="auto"/>
          <w:insideH w:val="none" w:sz="0" w:space="0" w:color="auto"/>
          <w:insideV w:val="none" w:sz="0" w:space="0" w:color="auto"/>
          <w:tl2br w:val="nil"/>
          <w:tr2bl w:val="nil"/>
        </w:tcBorders>
      </w:tcPr>
    </w:tblStylePr>
    <w:tblStylePr w:type="lastCol">
      <w:rPr>
        <w:b/>
        <w:bCs/>
      </w:rPr>
      <w:tblPr/>
      <w:tcPr>
        <w:tcBorders>
          <w:top w:val="none" w:sz="0" w:space="0" w:color="auto"/>
          <w:left w:val="none" w:sz="0" w:space="0" w:color="auto"/>
          <w:bottom w:val="none" w:sz="0" w:space="0" w:color="auto"/>
          <w:right w:val="none" w:sz="0" w:space="0" w:color="auto"/>
          <w:insideH w:val="none" w:sz="0" w:space="0" w:color="auto"/>
          <w:insideV w:val="none" w:sz="0" w:space="0" w:color="auto"/>
          <w:tl2br w:val="nil"/>
          <w:tr2bl w:val="nil"/>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ntemporary">
    <w:name w:val="Table Contemporary"/>
    <w:basedOn w:val="TableNormal"/>
    <w:semiHidden/>
    <w:pPr>
      <w:jc w:val="both"/>
    </w:pPr>
    <w:tblPr>
      <w:tblStyleRowBandSize w:val="1"/>
      <w:tblBorders>
        <w:insideH w:val="single" w:sz="18" w:space="0" w:color="FFFFFF"/>
        <w:insideV w:val="single" w:sz="18" w:space="0" w:color="FFFFFF"/>
      </w:tblBorders>
    </w:tblPr>
    <w:tblStylePr w:type="firstRow">
      <w:rPr>
        <w:b/>
        <w:bCs/>
        <w:color w:val="auto"/>
      </w:rPr>
      <w:tblPr/>
      <w:tcPr>
        <w:tcBorders>
          <w:top w:val="none" w:sz="0" w:space="0" w:color="auto"/>
          <w:left w:val="none" w:sz="0" w:space="0" w:color="auto"/>
          <w:bottom w:val="none" w:sz="0" w:space="0" w:color="auto"/>
          <w:right w:val="none" w:sz="0" w:space="0" w:color="auto"/>
          <w:insideH w:val="none" w:sz="0" w:space="0" w:color="auto"/>
          <w:insideV w:val="none" w:sz="0" w:space="0" w:color="auto"/>
          <w:tl2br w:val="nil"/>
          <w:tr2bl w:val="nil"/>
        </w:tcBorders>
        <w:shd w:val="pct20" w:color="000000" w:fill="FFFFFF"/>
      </w:tcPr>
    </w:tblStylePr>
    <w:tblStylePr w:type="band1Horz">
      <w:rPr>
        <w:color w:val="auto"/>
      </w:rPr>
      <w:tblPr/>
      <w:tcPr>
        <w:tcBorders>
          <w:top w:val="none" w:sz="0" w:space="0" w:color="auto"/>
          <w:left w:val="none" w:sz="0" w:space="0" w:color="auto"/>
          <w:bottom w:val="none" w:sz="0" w:space="0" w:color="auto"/>
          <w:right w:val="none" w:sz="0" w:space="0" w:color="auto"/>
          <w:insideH w:val="none" w:sz="0" w:space="0" w:color="auto"/>
          <w:insideV w:val="none" w:sz="0" w:space="0" w:color="auto"/>
          <w:tl2br w:val="nil"/>
          <w:tr2bl w:val="nil"/>
        </w:tcBorders>
        <w:shd w:val="pct5" w:color="000000" w:fill="FFFFFF"/>
      </w:tcPr>
    </w:tblStylePr>
    <w:tblStylePr w:type="band2Horz">
      <w:rPr>
        <w:color w:val="auto"/>
      </w:rPr>
      <w:tblPr/>
      <w:tcPr>
        <w:tcBorders>
          <w:top w:val="none" w:sz="0" w:space="0" w:color="auto"/>
          <w:left w:val="none" w:sz="0" w:space="0" w:color="auto"/>
          <w:bottom w:val="none" w:sz="0" w:space="0" w:color="auto"/>
          <w:right w:val="none" w:sz="0" w:space="0" w:color="auto"/>
          <w:insideH w:val="none" w:sz="0" w:space="0" w:color="auto"/>
          <w:insideV w:val="none" w:sz="0" w:space="0" w:color="auto"/>
          <w:tl2br w:val="nil"/>
          <w:tr2bl w:val="nil"/>
        </w:tcBorders>
        <w:shd w:val="pct20" w:color="000000" w:fill="FFFFFF"/>
      </w:tcPr>
    </w:tblStylePr>
  </w:style>
  <w:style w:type="table" w:styleId="Table3Deffects1">
    <w:name w:val="Table 3D effects 1"/>
    <w:basedOn w:val="TableNormal"/>
    <w:semiHidden/>
    <w:pPr>
      <w:jc w:val="both"/>
    </w:pPr>
    <w:tblPr/>
    <w:tcPr>
      <w:shd w:val="solid" w:color="C0C0C0" w:fill="FFFFFF"/>
    </w:tcPr>
    <w:tblStylePr w:type="firstRow">
      <w:rPr>
        <w:b/>
        <w:bCs/>
        <w:color w:val="800080"/>
      </w:rPr>
      <w:tblPr/>
      <w:tcPr>
        <w:tcBorders>
          <w:top w:val="none" w:sz="0" w:space="0" w:color="auto"/>
          <w:left w:val="none" w:sz="0" w:space="0" w:color="auto"/>
          <w:bottom w:val="single" w:sz="6" w:space="0" w:color="808080"/>
          <w:right w:val="none" w:sz="0" w:space="0" w:color="auto"/>
          <w:insideH w:val="none" w:sz="0" w:space="0" w:color="auto"/>
          <w:insideV w:val="none" w:sz="0" w:space="0" w:color="auto"/>
          <w:tl2br w:val="nil"/>
          <w:tr2bl w:val="nil"/>
        </w:tcBorders>
      </w:tcPr>
    </w:tblStylePr>
    <w:tblStylePr w:type="lastRow">
      <w:tblPr/>
      <w:tcPr>
        <w:tcBorders>
          <w:top w:val="single" w:sz="6" w:space="0" w:color="FFFFFF"/>
          <w:left w:val="none" w:sz="0" w:space="0" w:color="auto"/>
          <w:bottom w:val="none" w:sz="0" w:space="0" w:color="auto"/>
          <w:right w:val="none" w:sz="0" w:space="0" w:color="auto"/>
          <w:insideH w:val="none" w:sz="0" w:space="0" w:color="auto"/>
          <w:insideV w:val="none" w:sz="0" w:space="0" w:color="auto"/>
          <w:tl2br w:val="nil"/>
          <w:tr2bl w:val="nil"/>
        </w:tcBorders>
      </w:tcPr>
    </w:tblStylePr>
    <w:tblStylePr w:type="firstCol">
      <w:rPr>
        <w:b/>
        <w:bCs/>
      </w:rPr>
      <w:tblPr/>
      <w:tcPr>
        <w:tcBorders>
          <w:top w:val="none" w:sz="0" w:space="0" w:color="auto"/>
          <w:left w:val="none" w:sz="0" w:space="0" w:color="auto"/>
          <w:bottom w:val="none" w:sz="0" w:space="0" w:color="auto"/>
          <w:right w:val="single" w:sz="6" w:space="0" w:color="808080"/>
          <w:insideH w:val="none" w:sz="0" w:space="0" w:color="auto"/>
          <w:insideV w:val="none" w:sz="0" w:space="0" w:color="auto"/>
          <w:tl2br w:val="nil"/>
          <w:tr2bl w:val="nil"/>
        </w:tcBorders>
      </w:tcPr>
    </w:tblStylePr>
    <w:tblStylePr w:type="lastCol">
      <w:tblPr/>
      <w:tcPr>
        <w:tcBorders>
          <w:top w:val="none" w:sz="0" w:space="0" w:color="auto"/>
          <w:left w:val="single" w:sz="6" w:space="0" w:color="FFFFFF"/>
          <w:bottom w:val="none" w:sz="0" w:space="0" w:color="auto"/>
          <w:right w:val="none" w:sz="0" w:space="0" w:color="auto"/>
          <w:insideH w:val="none" w:sz="0" w:space="0" w:color="auto"/>
          <w:insideV w:val="none" w:sz="0" w:space="0" w:color="auto"/>
          <w:tl2br w:val="nil"/>
          <w:tr2bl w:val="nil"/>
        </w:tcBorders>
      </w:tcPr>
    </w:tblStylePr>
    <w:tblStylePr w:type="neCell">
      <w:tblPr/>
      <w:tcPr>
        <w:tcBorders>
          <w:top w:val="none" w:sz="0" w:space="0" w:color="auto"/>
          <w:left w:val="nil"/>
          <w:bottom w:val="nil"/>
          <w:right w:val="none" w:sz="0" w:space="0" w:color="auto"/>
          <w:insideH w:val="none" w:sz="0" w:space="0" w:color="auto"/>
          <w:insideV w:val="none" w:sz="0" w:space="0" w:color="auto"/>
          <w:tl2br w:val="nil"/>
          <w:tr2bl w:val="nil"/>
        </w:tcBorders>
      </w:tcPr>
    </w:tblStylePr>
    <w:tblStylePr w:type="nwCell">
      <w:tblPr/>
      <w:tcPr>
        <w:tcBorders>
          <w:top w:val="none" w:sz="0" w:space="0" w:color="auto"/>
          <w:left w:val="none" w:sz="0" w:space="0" w:color="auto"/>
          <w:bottom w:val="nil"/>
          <w:right w:val="nil"/>
          <w:insideH w:val="none" w:sz="0" w:space="0" w:color="auto"/>
          <w:insideV w:val="none" w:sz="0" w:space="0" w:color="auto"/>
          <w:tl2br w:val="nil"/>
          <w:tr2bl w:val="nil"/>
        </w:tcBorders>
      </w:tcPr>
    </w:tblStylePr>
    <w:tblStylePr w:type="seCell">
      <w:tblPr/>
      <w:tcPr>
        <w:tcBorders>
          <w:top w:val="nil"/>
          <w:left w:val="nil"/>
          <w:bottom w:val="none" w:sz="0" w:space="0" w:color="auto"/>
          <w:right w:val="none" w:sz="0" w:space="0" w:color="auto"/>
          <w:insideH w:val="none" w:sz="0" w:space="0" w:color="auto"/>
          <w:insideV w:val="none" w:sz="0" w:space="0" w:color="auto"/>
          <w:tl2br w:val="nil"/>
          <w:tr2bl w:val="nil"/>
        </w:tcBorders>
      </w:tcPr>
    </w:tblStylePr>
    <w:tblStylePr w:type="swCell">
      <w:rPr>
        <w:color w:val="000080"/>
      </w:rPr>
      <w:tblPr/>
      <w:tcPr>
        <w:tcBorders>
          <w:top w:val="nil"/>
          <w:left w:val="none" w:sz="0" w:space="0" w:color="auto"/>
          <w:bottom w:val="none" w:sz="0" w:space="0" w:color="auto"/>
          <w:right w:val="nil"/>
          <w:insideH w:val="none" w:sz="0" w:space="0" w:color="auto"/>
          <w:insideV w:val="none" w:sz="0" w:space="0" w:color="auto"/>
          <w:tl2br w:val="nil"/>
          <w:tr2bl w:val="nil"/>
        </w:tcBorders>
      </w:tcPr>
    </w:tblStylePr>
  </w:style>
  <w:style w:type="table" w:styleId="TableSubtle1">
    <w:name w:val="Table Subtle 1"/>
    <w:basedOn w:val="TableNormal"/>
    <w:semiHidden/>
    <w:pPr>
      <w:jc w:val="both"/>
    </w:pPr>
    <w:tblPr>
      <w:tblStyleRowBandSize w:val="1"/>
    </w:tblPr>
    <w:tblStylePr w:type="firstRow">
      <w:tblPr/>
      <w:tcPr>
        <w:tcBorders>
          <w:top w:val="single" w:sz="6" w:space="0" w:color="000000"/>
          <w:left w:val="none" w:sz="0" w:space="0" w:color="auto"/>
          <w:bottom w:val="single" w:sz="12" w:space="0" w:color="000000"/>
          <w:right w:val="none" w:sz="0" w:space="0" w:color="auto"/>
          <w:insideH w:val="none" w:sz="0" w:space="0" w:color="auto"/>
          <w:insideV w:val="none" w:sz="0" w:space="0" w:color="auto"/>
          <w:tl2br w:val="nil"/>
          <w:tr2bl w:val="nil"/>
        </w:tcBorders>
      </w:tcPr>
    </w:tblStylePr>
    <w:tblStylePr w:type="lastRow">
      <w:tblPr/>
      <w:tcPr>
        <w:tcBorders>
          <w:top w:val="single" w:sz="12" w:space="0" w:color="000000"/>
          <w:left w:val="none" w:sz="0" w:space="0" w:color="auto"/>
          <w:bottom w:val="none" w:sz="0" w:space="0" w:color="auto"/>
          <w:right w:val="none" w:sz="0" w:space="0" w:color="auto"/>
          <w:insideH w:val="none" w:sz="0" w:space="0" w:color="auto"/>
          <w:insideV w:val="none" w:sz="0" w:space="0" w:color="auto"/>
          <w:tl2br w:val="nil"/>
          <w:tr2bl w:val="nil"/>
        </w:tcBorders>
        <w:shd w:val="pct25" w:color="800080" w:fill="FFFFFF"/>
      </w:tcPr>
    </w:tblStylePr>
    <w:tblStylePr w:type="firstCol">
      <w:tblPr/>
      <w:tcPr>
        <w:tcBorders>
          <w:top w:val="none" w:sz="0" w:space="0" w:color="auto"/>
          <w:left w:val="none" w:sz="0" w:space="0" w:color="auto"/>
          <w:bottom w:val="none" w:sz="0" w:space="0" w:color="auto"/>
          <w:right w:val="single" w:sz="12" w:space="0" w:color="000000"/>
          <w:insideH w:val="none" w:sz="0" w:space="0" w:color="auto"/>
          <w:insideV w:val="none" w:sz="0" w:space="0" w:color="auto"/>
          <w:tl2br w:val="nil"/>
          <w:tr2bl w:val="nil"/>
        </w:tcBorders>
      </w:tcPr>
    </w:tblStylePr>
    <w:tblStylePr w:type="lastCol">
      <w:tblPr/>
      <w:tcPr>
        <w:tcBorders>
          <w:top w:val="none" w:sz="0" w:space="0" w:color="auto"/>
          <w:left w:val="single" w:sz="12" w:space="0" w:color="000000"/>
          <w:bottom w:val="none" w:sz="0" w:space="0" w:color="auto"/>
          <w:right w:val="none" w:sz="0" w:space="0" w:color="auto"/>
          <w:insideH w:val="none" w:sz="0" w:space="0" w:color="auto"/>
          <w:insideV w:val="none" w:sz="0" w:space="0" w:color="auto"/>
          <w:tl2br w:val="nil"/>
          <w:tr2bl w:val="nil"/>
        </w:tcBorders>
      </w:tcPr>
    </w:tblStylePr>
    <w:tblStylePr w:type="band1Horz">
      <w:tblPr/>
      <w:tcPr>
        <w:tcBorders>
          <w:top w:val="none" w:sz="0" w:space="0" w:color="auto"/>
          <w:left w:val="none" w:sz="0" w:space="0" w:color="auto"/>
          <w:bottom w:val="single" w:sz="6" w:space="0" w:color="000000"/>
          <w:right w:val="none" w:sz="0" w:space="0" w:color="auto"/>
          <w:insideH w:val="none" w:sz="0" w:space="0" w:color="auto"/>
          <w:insideV w:val="none" w:sz="0" w:space="0" w:color="auto"/>
          <w:tl2br w:val="nil"/>
          <w:tr2bl w:val="nil"/>
        </w:tcBorders>
        <w:shd w:val="pct25" w:color="808000" w:fill="FFFFFF"/>
      </w:tcPr>
    </w:tblStylePr>
    <w:tblStylePr w:type="neCell">
      <w:rPr>
        <w:b/>
        <w:bCs/>
      </w:rPr>
      <w:tblPr/>
      <w:tcPr>
        <w:tcBorders>
          <w:top w:val="none" w:sz="0" w:space="0" w:color="auto"/>
          <w:left w:val="none" w:sz="0" w:space="0" w:color="auto"/>
          <w:bottom w:val="none" w:sz="0" w:space="0" w:color="auto"/>
          <w:right w:val="none" w:sz="0" w:space="0" w:color="auto"/>
          <w:insideH w:val="none" w:sz="0" w:space="0" w:color="auto"/>
          <w:insideV w:val="none" w:sz="0" w:space="0" w:color="auto"/>
          <w:tl2br w:val="nil"/>
          <w:tr2bl w:val="nil"/>
        </w:tcBorders>
      </w:tcPr>
    </w:tblStylePr>
    <w:tblStylePr w:type="swCell">
      <w:rPr>
        <w:b/>
        <w:bCs/>
      </w:rPr>
      <w:tblPr/>
      <w:tcPr>
        <w:tcBorders>
          <w:top w:val="none" w:sz="0" w:space="0" w:color="auto"/>
          <w:left w:val="none" w:sz="0" w:space="0" w:color="auto"/>
          <w:bottom w:val="none" w:sz="0" w:space="0" w:color="auto"/>
          <w:right w:val="none" w:sz="0" w:space="0" w:color="auto"/>
          <w:insideH w:val="none" w:sz="0" w:space="0" w:color="auto"/>
          <w:insideV w:val="none" w:sz="0" w:space="0" w:color="auto"/>
          <w:tl2br w:val="nil"/>
          <w:tr2bl w:val="nil"/>
        </w:tcBorders>
      </w:tcPr>
    </w:tblStylePr>
  </w:style>
  <w:style w:type="table" w:styleId="TableClassic4">
    <w:name w:val="Table Classic 4"/>
    <w:basedOn w:val="TableNormal"/>
    <w:semiHidden/>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top w:val="none" w:sz="0" w:space="0" w:color="auto"/>
          <w:left w:val="none" w:sz="0" w:space="0" w:color="auto"/>
          <w:bottom w:val="single" w:sz="6" w:space="0" w:color="000000"/>
          <w:right w:val="none" w:sz="0" w:space="0" w:color="auto"/>
          <w:insideH w:val="none" w:sz="0" w:space="0" w:color="auto"/>
          <w:insideV w:val="none" w:sz="0" w:space="0" w:color="auto"/>
          <w:tl2br w:val="nil"/>
          <w:tr2bl w:val="nil"/>
        </w:tcBorders>
        <w:shd w:val="pct50" w:color="000080" w:fill="FFFFFF"/>
      </w:tcPr>
    </w:tblStylePr>
    <w:tblStylePr w:type="lastRow">
      <w:rPr>
        <w:color w:val="000080"/>
      </w:rPr>
      <w:tblPr/>
      <w:tcPr>
        <w:tcBorders>
          <w:top w:val="none" w:sz="0" w:space="0" w:color="auto"/>
          <w:left w:val="none" w:sz="0" w:space="0" w:color="auto"/>
          <w:bottom w:val="single" w:sz="6" w:space="0" w:color="000000"/>
          <w:right w:val="none" w:sz="0" w:space="0" w:color="auto"/>
          <w:insideH w:val="none" w:sz="0" w:space="0" w:color="auto"/>
          <w:insideV w:val="none" w:sz="0" w:space="0" w:color="auto"/>
          <w:tl2br w:val="nil"/>
          <w:tr2bl w:val="nil"/>
        </w:tcBorders>
        <w:shd w:val="pct50" w:color="000000" w:fill="FFFFFF"/>
      </w:tcPr>
    </w:tblStylePr>
    <w:tblStylePr w:type="firstCol">
      <w:rPr>
        <w:b/>
        <w:bCs/>
      </w:rPr>
      <w:tblPr/>
      <w:tcPr>
        <w:tcBorders>
          <w:top w:val="none" w:sz="0" w:space="0" w:color="auto"/>
          <w:left w:val="none" w:sz="0" w:space="0" w:color="auto"/>
          <w:bottom w:val="none" w:sz="0" w:space="0" w:color="auto"/>
          <w:right w:val="none" w:sz="0" w:space="0" w:color="auto"/>
          <w:insideH w:val="none" w:sz="0" w:space="0" w:color="auto"/>
          <w:insideV w:val="none" w:sz="0" w:space="0" w:color="auto"/>
          <w:tl2br w:val="nil"/>
          <w:tr2bl w:val="nil"/>
        </w:tcBorders>
      </w:tcPr>
    </w:tblStylePr>
    <w:tblStylePr w:type="nwCell">
      <w:rPr>
        <w:b/>
        <w:bCs/>
      </w:rPr>
      <w:tblPr/>
      <w:tcPr>
        <w:tcBorders>
          <w:top w:val="none" w:sz="0" w:space="0" w:color="auto"/>
          <w:left w:val="none" w:sz="0" w:space="0" w:color="auto"/>
          <w:bottom w:val="none" w:sz="0" w:space="0" w:color="auto"/>
          <w:right w:val="none" w:sz="0" w:space="0" w:color="auto"/>
          <w:insideH w:val="none" w:sz="0" w:space="0" w:color="auto"/>
          <w:insideV w:val="none" w:sz="0" w:space="0" w:color="auto"/>
          <w:tl2br w:val="nil"/>
          <w:tr2bl w:val="nil"/>
        </w:tcBorders>
      </w:tcPr>
    </w:tblStylePr>
    <w:tblStylePr w:type="swCell">
      <w:rPr>
        <w:color w:val="000080"/>
      </w:rPr>
      <w:tblPr/>
      <w:tcPr>
        <w:tcBorders>
          <w:top w:val="none" w:sz="0" w:space="0" w:color="auto"/>
          <w:left w:val="none" w:sz="0" w:space="0" w:color="auto"/>
          <w:bottom w:val="none" w:sz="0" w:space="0" w:color="auto"/>
          <w:right w:val="none" w:sz="0" w:space="0" w:color="auto"/>
          <w:insideH w:val="none" w:sz="0" w:space="0" w:color="auto"/>
          <w:insideV w:val="none" w:sz="0" w:space="0" w:color="auto"/>
          <w:tl2br w:val="nil"/>
          <w:tr2bl w:val="nil"/>
        </w:tcBorders>
      </w:tcPr>
    </w:tblStylePr>
  </w:style>
  <w:style w:type="table" w:styleId="TableClassic3">
    <w:name w:val="Table Classic 3"/>
    <w:basedOn w:val="TableNormal"/>
    <w:semiHidden/>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top w:val="none" w:sz="0" w:space="0" w:color="auto"/>
          <w:left w:val="none" w:sz="0" w:space="0" w:color="auto"/>
          <w:bottom w:val="single" w:sz="6" w:space="0" w:color="000000"/>
          <w:right w:val="none" w:sz="0" w:space="0" w:color="auto"/>
          <w:insideH w:val="none" w:sz="0" w:space="0" w:color="auto"/>
          <w:insideV w:val="none" w:sz="0" w:space="0" w:color="auto"/>
          <w:tl2br w:val="nil"/>
          <w:tr2bl w:val="nil"/>
        </w:tcBorders>
        <w:shd w:val="solid" w:color="000080" w:fill="FFFFFF"/>
      </w:tcPr>
    </w:tblStylePr>
    <w:tblStylePr w:type="lastRow">
      <w:rPr>
        <w:color w:val="000080"/>
      </w:rPr>
      <w:tblPr/>
      <w:tcPr>
        <w:tcBorders>
          <w:top w:val="single" w:sz="12" w:space="0" w:color="000000"/>
          <w:left w:val="none" w:sz="0" w:space="0" w:color="auto"/>
          <w:bottom w:val="none" w:sz="0" w:space="0" w:color="auto"/>
          <w:right w:val="none" w:sz="0" w:space="0" w:color="auto"/>
          <w:insideH w:val="none" w:sz="0" w:space="0" w:color="auto"/>
          <w:insideV w:val="none" w:sz="0" w:space="0" w:color="auto"/>
          <w:tl2br w:val="nil"/>
          <w:tr2bl w:val="nil"/>
        </w:tcBorders>
        <w:shd w:val="solid" w:color="FFFFFF" w:fill="FFFFFF"/>
      </w:tcPr>
    </w:tblStylePr>
    <w:tblStylePr w:type="firstCol">
      <w:rPr>
        <w:b/>
        <w:bCs/>
        <w:color w:val="000000"/>
      </w:rPr>
      <w:tblPr/>
      <w:tcPr>
        <w:tcBorders>
          <w:top w:val="none" w:sz="0" w:space="0" w:color="auto"/>
          <w:left w:val="none" w:sz="0" w:space="0" w:color="auto"/>
          <w:bottom w:val="none" w:sz="0" w:space="0" w:color="auto"/>
          <w:right w:val="none" w:sz="0" w:space="0" w:color="auto"/>
          <w:insideH w:val="none" w:sz="0" w:space="0" w:color="auto"/>
          <w:insideV w:val="none" w:sz="0" w:space="0" w:color="auto"/>
          <w:tl2br w:val="nil"/>
          <w:tr2bl w:val="nil"/>
        </w:tcBorders>
      </w:tcPr>
    </w:tblStylePr>
  </w:style>
  <w:style w:type="table" w:styleId="TableElegant">
    <w:name w:val="Table Elegant"/>
    <w:basedOn w:val="TableNormal"/>
    <w:semiHidden/>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op w:val="none" w:sz="0" w:space="0" w:color="auto"/>
          <w:left w:val="none" w:sz="0" w:space="0" w:color="auto"/>
          <w:bottom w:val="none" w:sz="0" w:space="0" w:color="auto"/>
          <w:right w:val="none" w:sz="0" w:space="0" w:color="auto"/>
          <w:insideH w:val="none" w:sz="0" w:space="0" w:color="auto"/>
          <w:insideV w:val="none" w:sz="0" w:space="0" w:color="auto"/>
          <w:tl2br w:val="nil"/>
          <w:tr2bl w:val="nil"/>
        </w:tcBorders>
      </w:tcPr>
    </w:tblStylePr>
  </w:style>
  <w:style w:type="table" w:styleId="TableGrid7">
    <w:name w:val="Table Grid 7"/>
    <w:basedOn w:val="TableNormal"/>
    <w:semiHidden/>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top w:val="none" w:sz="0" w:space="0" w:color="auto"/>
          <w:left w:val="none" w:sz="0" w:space="0" w:color="auto"/>
          <w:bottom w:val="single" w:sz="12" w:space="0" w:color="000000"/>
          <w:right w:val="none" w:sz="0" w:space="0" w:color="auto"/>
          <w:insideH w:val="none" w:sz="0" w:space="0" w:color="auto"/>
          <w:insideV w:val="none" w:sz="0" w:space="0" w:color="auto"/>
          <w:tl2br w:val="nil"/>
          <w:tr2bl w:val="nil"/>
        </w:tcBorders>
      </w:tcPr>
    </w:tblStylePr>
    <w:tblStylePr w:type="lastRow">
      <w:rPr>
        <w:b w:val="0"/>
        <w:bCs w:val="0"/>
      </w:rPr>
      <w:tblPr/>
      <w:tcPr>
        <w:tcBorders>
          <w:top w:val="single" w:sz="6" w:space="0" w:color="000000"/>
          <w:left w:val="none" w:sz="0" w:space="0" w:color="auto"/>
          <w:bottom w:val="none" w:sz="0" w:space="0" w:color="auto"/>
          <w:right w:val="none" w:sz="0" w:space="0" w:color="auto"/>
          <w:insideH w:val="none" w:sz="0" w:space="0" w:color="auto"/>
          <w:insideV w:val="none" w:sz="0" w:space="0" w:color="auto"/>
          <w:tl2br w:val="nil"/>
          <w:tr2bl w:val="nil"/>
        </w:tcBorders>
      </w:tcPr>
    </w:tblStylePr>
    <w:tblStylePr w:type="firstCol">
      <w:rPr>
        <w:b w:val="0"/>
        <w:bCs w:val="0"/>
      </w:rPr>
      <w:tblPr/>
      <w:tcPr>
        <w:tcBorders>
          <w:top w:val="none" w:sz="0" w:space="0" w:color="auto"/>
          <w:left w:val="none" w:sz="0" w:space="0" w:color="auto"/>
          <w:bottom w:val="none" w:sz="0" w:space="0" w:color="auto"/>
          <w:right w:val="none" w:sz="0" w:space="0" w:color="auto"/>
          <w:insideH w:val="none" w:sz="0" w:space="0" w:color="auto"/>
          <w:insideV w:val="none" w:sz="0" w:space="0" w:color="auto"/>
          <w:tl2br w:val="nil"/>
          <w:tr2bl w:val="nil"/>
        </w:tcBorders>
      </w:tcPr>
    </w:tblStylePr>
    <w:tblStylePr w:type="lastCol">
      <w:rPr>
        <w:b w:val="0"/>
        <w:bCs w:val="0"/>
      </w:rPr>
      <w:tblPr/>
      <w:tcPr>
        <w:tcBorders>
          <w:top w:val="none" w:sz="0" w:space="0" w:color="auto"/>
          <w:left w:val="none" w:sz="0" w:space="0" w:color="auto"/>
          <w:bottom w:val="none" w:sz="0" w:space="0" w:color="auto"/>
          <w:right w:val="none" w:sz="0" w:space="0" w:color="auto"/>
          <w:insideH w:val="none" w:sz="0" w:space="0" w:color="auto"/>
          <w:insideV w:val="none" w:sz="0" w:space="0" w:color="auto"/>
          <w:tl2br w:val="nil"/>
          <w:tr2bl w:val="nil"/>
        </w:tcBorders>
      </w:tcPr>
    </w:tblStylePr>
    <w:tblStylePr w:type="nwCell">
      <w:tblPr/>
      <w:tcPr>
        <w:tcBorders>
          <w:top w:val="none" w:sz="0" w:space="0" w:color="auto"/>
          <w:left w:val="none" w:sz="0" w:space="0" w:color="auto"/>
          <w:bottom w:val="none" w:sz="0" w:space="0" w:color="auto"/>
          <w:right w:val="none" w:sz="0" w:space="0" w:color="auto"/>
          <w:insideH w:val="none" w:sz="0" w:space="0" w:color="auto"/>
          <w:insideV w:val="none" w:sz="0" w:space="0" w:color="auto"/>
          <w:tl2br w:val="single" w:sz="6" w:space="0" w:color="000000"/>
          <w:tr2bl w:val="nil"/>
        </w:tcBorders>
      </w:tcPr>
    </w:tblStylePr>
  </w:style>
  <w:style w:type="table" w:styleId="TableList4">
    <w:name w:val="Table List 4"/>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top w:val="none" w:sz="0" w:space="0" w:color="auto"/>
          <w:left w:val="none" w:sz="0" w:space="0" w:color="auto"/>
          <w:bottom w:val="single" w:sz="12" w:space="0" w:color="000000"/>
          <w:right w:val="none" w:sz="0" w:space="0" w:color="auto"/>
          <w:insideH w:val="none" w:sz="0" w:space="0" w:color="auto"/>
          <w:insideV w:val="none" w:sz="0" w:space="0" w:color="auto"/>
          <w:tl2br w:val="nil"/>
          <w:tr2bl w:val="nil"/>
        </w:tcBorders>
        <w:shd w:val="solid" w:color="808080" w:fill="FFFFFF"/>
      </w:tcPr>
    </w:tblStylePr>
  </w:style>
  <w:style w:type="table" w:styleId="TableGrid4">
    <w:name w:val="Table Grid 4"/>
    <w:basedOn w:val="TableNormal"/>
    <w:semiHidden/>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top w:val="none" w:sz="0" w:space="0" w:color="auto"/>
          <w:left w:val="none" w:sz="0" w:space="0" w:color="auto"/>
          <w:bottom w:val="single" w:sz="6" w:space="0" w:color="000000"/>
          <w:right w:val="none" w:sz="0" w:space="0" w:color="auto"/>
          <w:insideH w:val="none" w:sz="0" w:space="0" w:color="auto"/>
          <w:insideV w:val="none" w:sz="0" w:space="0" w:color="auto"/>
          <w:tl2br w:val="nil"/>
          <w:tr2bl w:val="nil"/>
        </w:tcBorders>
        <w:shd w:val="pct30" w:color="FFFF00" w:fill="FFFFFF"/>
      </w:tcPr>
    </w:tblStylePr>
    <w:tblStylePr w:type="lastRow">
      <w:rPr>
        <w:b/>
        <w:bCs/>
        <w:color w:val="auto"/>
      </w:rPr>
      <w:tblPr/>
      <w:tcPr>
        <w:tcBorders>
          <w:top w:val="single" w:sz="6" w:space="0" w:color="000000"/>
          <w:left w:val="none" w:sz="0" w:space="0" w:color="auto"/>
          <w:bottom w:val="none" w:sz="0" w:space="0" w:color="auto"/>
          <w:right w:val="none" w:sz="0" w:space="0" w:color="auto"/>
          <w:insideH w:val="none" w:sz="0" w:space="0" w:color="auto"/>
          <w:insideV w:val="none" w:sz="0" w:space="0" w:color="auto"/>
          <w:tl2br w:val="nil"/>
          <w:tr2bl w:val="nil"/>
        </w:tcBorders>
        <w:shd w:val="pct30" w:color="FFFF00" w:fill="FFFFFF"/>
      </w:tcPr>
    </w:tblStylePr>
    <w:tblStylePr w:type="lastCol">
      <w:rPr>
        <w:b/>
        <w:bCs/>
        <w:color w:val="auto"/>
      </w:rPr>
      <w:tblPr/>
      <w:tcPr>
        <w:tcBorders>
          <w:top w:val="none" w:sz="0" w:space="0" w:color="auto"/>
          <w:left w:val="none" w:sz="0" w:space="0" w:color="auto"/>
          <w:bottom w:val="none" w:sz="0" w:space="0" w:color="auto"/>
          <w:right w:val="none" w:sz="0" w:space="0" w:color="auto"/>
          <w:insideH w:val="none" w:sz="0" w:space="0" w:color="auto"/>
          <w:insideV w:val="none" w:sz="0" w:space="0" w:color="auto"/>
          <w:tl2br w:val="nil"/>
          <w:tr2bl w:val="nil"/>
        </w:tcBorders>
      </w:tcPr>
    </w:tblStylePr>
  </w:style>
  <w:style w:type="table" w:styleId="TableGrid3">
    <w:name w:val="Table Grid 3"/>
    <w:basedOn w:val="TableNormal"/>
    <w:semiHidden/>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top w:val="none" w:sz="0" w:space="0" w:color="auto"/>
          <w:left w:val="none" w:sz="0" w:space="0" w:color="auto"/>
          <w:bottom w:val="single" w:sz="6" w:space="0" w:color="000000"/>
          <w:right w:val="none" w:sz="0" w:space="0" w:color="auto"/>
          <w:insideH w:val="none" w:sz="0" w:space="0" w:color="auto"/>
          <w:insideV w:val="none" w:sz="0" w:space="0" w:color="auto"/>
          <w:tl2br w:val="nil"/>
          <w:tr2bl w:val="nil"/>
        </w:tcBorders>
        <w:shd w:val="pct30" w:color="FFFF00" w:fill="FFFFFF"/>
      </w:tcPr>
    </w:tblStylePr>
    <w:tblStylePr w:type="lastRow">
      <w:rPr>
        <w:b/>
        <w:bCs/>
      </w:rPr>
      <w:tblPr/>
      <w:tcPr>
        <w:tcBorders>
          <w:top w:val="none" w:sz="0" w:space="0" w:color="auto"/>
          <w:left w:val="none" w:sz="0" w:space="0" w:color="auto"/>
          <w:bottom w:val="none" w:sz="0" w:space="0" w:color="auto"/>
          <w:right w:val="none" w:sz="0" w:space="0" w:color="auto"/>
          <w:insideH w:val="none" w:sz="0" w:space="0" w:color="auto"/>
          <w:insideV w:val="none" w:sz="0" w:space="0" w:color="auto"/>
          <w:tl2br w:val="nil"/>
          <w:tr2bl w:val="nil"/>
        </w:tcBorders>
      </w:tcPr>
    </w:tblStylePr>
    <w:tblStylePr w:type="lastCol">
      <w:rPr>
        <w:b/>
        <w:bCs/>
      </w:rPr>
      <w:tblPr/>
      <w:tcPr>
        <w:tcBorders>
          <w:top w:val="none" w:sz="0" w:space="0" w:color="auto"/>
          <w:left w:val="none" w:sz="0" w:space="0" w:color="auto"/>
          <w:bottom w:val="none" w:sz="0" w:space="0" w:color="auto"/>
          <w:right w:val="none" w:sz="0" w:space="0" w:color="auto"/>
          <w:insideH w:val="none" w:sz="0" w:space="0" w:color="auto"/>
          <w:insideV w:val="none" w:sz="0" w:space="0" w:color="auto"/>
          <w:tl2br w:val="nil"/>
          <w:tr2bl w:val="nil"/>
        </w:tcBorders>
      </w:tcPr>
    </w:tblStylePr>
    <w:tblStylePr w:type="nwCell">
      <w:tblPr/>
      <w:tcPr>
        <w:tcBorders>
          <w:top w:val="none" w:sz="0" w:space="0" w:color="auto"/>
          <w:left w:val="none" w:sz="0" w:space="0" w:color="auto"/>
          <w:bottom w:val="none" w:sz="0" w:space="0" w:color="auto"/>
          <w:right w:val="none" w:sz="0" w:space="0" w:color="auto"/>
          <w:insideH w:val="none" w:sz="0" w:space="0" w:color="auto"/>
          <w:insideV w:val="none" w:sz="0" w:space="0" w:color="auto"/>
          <w:tl2br w:val="single" w:sz="6" w:space="0" w:color="000000"/>
          <w:tr2bl w:val="nil"/>
        </w:tcBorders>
      </w:tcPr>
    </w:tblStylePr>
  </w:style>
  <w:style w:type="table" w:styleId="TableColumns5">
    <w:name w:val="Table Columns 5"/>
    <w:basedOn w:val="TableNormal"/>
    <w:semiHidden/>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top w:val="none" w:sz="0" w:space="0" w:color="auto"/>
          <w:left w:val="none" w:sz="0" w:space="0" w:color="auto"/>
          <w:bottom w:val="single" w:sz="6" w:space="0" w:color="808080"/>
          <w:right w:val="none" w:sz="0" w:space="0" w:color="auto"/>
          <w:insideH w:val="none" w:sz="0" w:space="0" w:color="auto"/>
          <w:insideV w:val="none" w:sz="0" w:space="0" w:color="auto"/>
          <w:tl2br w:val="nil"/>
          <w:tr2bl w:val="nil"/>
        </w:tcBorders>
      </w:tcPr>
    </w:tblStylePr>
    <w:tblStylePr w:type="lastRow">
      <w:rPr>
        <w:b/>
        <w:bCs/>
      </w:rPr>
      <w:tblPr/>
      <w:tcPr>
        <w:tcBorders>
          <w:top w:val="single" w:sz="6" w:space="0" w:color="808080"/>
          <w:left w:val="none" w:sz="0" w:space="0" w:color="auto"/>
          <w:bottom w:val="none" w:sz="0" w:space="0" w:color="auto"/>
          <w:right w:val="none" w:sz="0" w:space="0" w:color="auto"/>
          <w:insideH w:val="none" w:sz="0" w:space="0" w:color="auto"/>
          <w:insideV w:val="none" w:sz="0" w:space="0" w:color="auto"/>
          <w:tl2br w:val="nil"/>
          <w:tr2bl w:val="nil"/>
        </w:tcBorders>
      </w:tcPr>
    </w:tblStylePr>
    <w:tblStylePr w:type="firstCol">
      <w:rPr>
        <w:b/>
        <w:bCs/>
      </w:rPr>
      <w:tblPr/>
      <w:tcPr>
        <w:tcBorders>
          <w:top w:val="none" w:sz="0" w:space="0" w:color="auto"/>
          <w:left w:val="none" w:sz="0" w:space="0" w:color="auto"/>
          <w:bottom w:val="none" w:sz="0" w:space="0" w:color="auto"/>
          <w:right w:val="none" w:sz="0" w:space="0" w:color="auto"/>
          <w:insideH w:val="none" w:sz="0" w:space="0" w:color="auto"/>
          <w:insideV w:val="none" w:sz="0" w:space="0" w:color="auto"/>
          <w:tl2br w:val="nil"/>
          <w:tr2bl w:val="nil"/>
        </w:tcBorders>
      </w:tcPr>
    </w:tblStylePr>
    <w:tblStylePr w:type="lastCol">
      <w:rPr>
        <w:b/>
        <w:bCs/>
      </w:rPr>
      <w:tblPr/>
      <w:tcPr>
        <w:tcBorders>
          <w:top w:val="none" w:sz="0" w:space="0" w:color="auto"/>
          <w:left w:val="none" w:sz="0" w:space="0" w:color="auto"/>
          <w:bottom w:val="none" w:sz="0" w:space="0" w:color="auto"/>
          <w:right w:val="none" w:sz="0" w:space="0" w:color="auto"/>
          <w:insideH w:val="none" w:sz="0" w:space="0" w:color="auto"/>
          <w:insideV w:val="none" w:sz="0" w:space="0" w:color="auto"/>
          <w:tl2br w:val="nil"/>
          <w:tr2bl w:val="nil"/>
        </w:tcBorders>
      </w:tcPr>
    </w:tblStylePr>
    <w:tblStylePr w:type="band1Vert">
      <w:rPr>
        <w:color w:val="auto"/>
      </w:rPr>
      <w:tblPr/>
      <w:tcPr>
        <w:shd w:val="solid" w:color="C0C0C0" w:fill="FFFFFF"/>
      </w:tcPr>
    </w:tblStylePr>
    <w:tblStylePr w:type="band2Vert">
      <w:rPr>
        <w:color w:val="auto"/>
      </w:rPr>
    </w:tblStylePr>
  </w:style>
  <w:style w:type="table" w:styleId="TableColumns1">
    <w:name w:val="Table Columns 1"/>
    <w:basedOn w:val="TableNormal"/>
    <w:semiHidden/>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top w:val="none" w:sz="0" w:space="0" w:color="auto"/>
          <w:left w:val="none" w:sz="0" w:space="0" w:color="auto"/>
          <w:bottom w:val="double" w:sz="6" w:space="0" w:color="000000"/>
          <w:right w:val="none" w:sz="0" w:space="0" w:color="auto"/>
          <w:insideH w:val="none" w:sz="0" w:space="0" w:color="auto"/>
          <w:insideV w:val="none" w:sz="0" w:space="0" w:color="auto"/>
          <w:tl2br w:val="nil"/>
          <w:tr2bl w:val="nil"/>
        </w:tcBorders>
      </w:tcPr>
    </w:tblStylePr>
    <w:tblStylePr w:type="lastRow">
      <w:rPr>
        <w:b w:val="0"/>
        <w:bCs w:val="0"/>
      </w:rPr>
      <w:tblPr/>
      <w:tcPr>
        <w:tcBorders>
          <w:top w:val="none" w:sz="0" w:space="0" w:color="auto"/>
          <w:left w:val="none" w:sz="0" w:space="0" w:color="auto"/>
          <w:bottom w:val="none" w:sz="0" w:space="0" w:color="auto"/>
          <w:right w:val="none" w:sz="0" w:space="0" w:color="auto"/>
          <w:insideH w:val="none" w:sz="0" w:space="0" w:color="auto"/>
          <w:insideV w:val="none" w:sz="0" w:space="0" w:color="auto"/>
          <w:tl2br w:val="nil"/>
          <w:tr2bl w:val="nil"/>
        </w:tcBorders>
      </w:tcPr>
    </w:tblStylePr>
    <w:tblStylePr w:type="firstCol">
      <w:rPr>
        <w:b w:val="0"/>
        <w:bCs w:val="0"/>
      </w:rPr>
      <w:tblPr/>
      <w:tcPr>
        <w:tcBorders>
          <w:top w:val="none" w:sz="0" w:space="0" w:color="auto"/>
          <w:left w:val="none" w:sz="0" w:space="0" w:color="auto"/>
          <w:bottom w:val="none" w:sz="0" w:space="0" w:color="auto"/>
          <w:right w:val="none" w:sz="0" w:space="0" w:color="auto"/>
          <w:insideH w:val="none" w:sz="0" w:space="0" w:color="auto"/>
          <w:insideV w:val="none" w:sz="0" w:space="0" w:color="auto"/>
          <w:tl2br w:val="nil"/>
          <w:tr2bl w:val="nil"/>
        </w:tcBorders>
      </w:tcPr>
    </w:tblStylePr>
    <w:tblStylePr w:type="lastCol">
      <w:rPr>
        <w:b w:val="0"/>
        <w:bCs w:val="0"/>
      </w:rPr>
      <w:tblPr/>
      <w:tcPr>
        <w:tcBorders>
          <w:top w:val="none" w:sz="0" w:space="0" w:color="auto"/>
          <w:left w:val="none" w:sz="0" w:space="0" w:color="auto"/>
          <w:bottom w:val="none" w:sz="0" w:space="0" w:color="auto"/>
          <w:right w:val="none" w:sz="0" w:space="0" w:color="auto"/>
          <w:insideH w:val="none" w:sz="0" w:space="0" w:color="auto"/>
          <w:insideV w:val="none" w:sz="0" w:space="0" w:color="auto"/>
          <w:tl2br w:val="nil"/>
          <w:tr2bl w:val="nil"/>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op w:val="none" w:sz="0" w:space="0" w:color="auto"/>
          <w:left w:val="none" w:sz="0" w:space="0" w:color="auto"/>
          <w:bottom w:val="none" w:sz="0" w:space="0" w:color="auto"/>
          <w:right w:val="none" w:sz="0" w:space="0" w:color="auto"/>
          <w:insideH w:val="none" w:sz="0" w:space="0" w:color="auto"/>
          <w:insideV w:val="none" w:sz="0" w:space="0" w:color="auto"/>
          <w:tl2br w:val="nil"/>
          <w:tr2bl w:val="nil"/>
        </w:tcBorders>
      </w:tcPr>
    </w:tblStylePr>
    <w:tblStylePr w:type="swCell">
      <w:rPr>
        <w:b/>
        <w:bCs/>
      </w:rPr>
      <w:tblPr/>
      <w:tcPr>
        <w:tcBorders>
          <w:top w:val="none" w:sz="0" w:space="0" w:color="auto"/>
          <w:left w:val="none" w:sz="0" w:space="0" w:color="auto"/>
          <w:bottom w:val="none" w:sz="0" w:space="0" w:color="auto"/>
          <w:right w:val="none" w:sz="0" w:space="0" w:color="auto"/>
          <w:insideH w:val="none" w:sz="0" w:space="0" w:color="auto"/>
          <w:insideV w:val="none" w:sz="0" w:space="0" w:color="auto"/>
          <w:tl2br w:val="nil"/>
          <w:tr2bl w:val="nil"/>
        </w:tcBorders>
      </w:tcPr>
    </w:tblStylePr>
  </w:style>
  <w:style w:type="table" w:styleId="TableWeb2">
    <w:name w:val="Table Web 2"/>
    <w:basedOn w:val="TableNormal"/>
    <w:semiHidden/>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op w:val="none" w:sz="0" w:space="0" w:color="auto"/>
          <w:left w:val="none" w:sz="0" w:space="0" w:color="auto"/>
          <w:bottom w:val="none" w:sz="0" w:space="0" w:color="auto"/>
          <w:right w:val="none" w:sz="0" w:space="0" w:color="auto"/>
          <w:insideH w:val="none" w:sz="0" w:space="0" w:color="auto"/>
          <w:insideV w:val="none" w:sz="0" w:space="0" w:color="auto"/>
          <w:tl2br w:val="nil"/>
          <w:tr2bl w:val="nil"/>
        </w:tcBorders>
      </w:tcPr>
    </w:tblStylePr>
  </w:style>
  <w:style w:type="table" w:styleId="Table3Deffects3">
    <w:name w:val="Table 3D effects 3"/>
    <w:basedOn w:val="TableNormal"/>
    <w:semiHidden/>
    <w:pPr>
      <w:jc w:val="both"/>
    </w:pPr>
    <w:tblPr>
      <w:tblStyleRowBandSize w:val="1"/>
      <w:tblStyleColBandSize w:val="1"/>
    </w:tblPr>
    <w:tblStylePr w:type="firstRow">
      <w:rPr>
        <w:b/>
        <w:bCs/>
      </w:rPr>
      <w:tblPr/>
      <w:tcPr>
        <w:tcBorders>
          <w:top w:val="none" w:sz="0" w:space="0" w:color="auto"/>
          <w:left w:val="none" w:sz="0" w:space="0" w:color="auto"/>
          <w:bottom w:val="none" w:sz="0" w:space="0" w:color="auto"/>
          <w:right w:val="none" w:sz="0" w:space="0" w:color="auto"/>
          <w:insideH w:val="none" w:sz="0" w:space="0" w:color="auto"/>
          <w:insideV w:val="none" w:sz="0" w:space="0" w:color="auto"/>
          <w:tl2br w:val="nil"/>
          <w:tr2bl w:val="nil"/>
        </w:tcBorders>
      </w:tcPr>
    </w:tblStylePr>
    <w:tblStylePr w:type="firstCol">
      <w:tblPr/>
      <w:tcPr>
        <w:tcBorders>
          <w:top w:val="nil"/>
          <w:left w:val="none" w:sz="0" w:space="0" w:color="auto"/>
          <w:bottom w:val="nil"/>
          <w:right w:val="single" w:sz="6" w:space="0" w:color="808080"/>
          <w:insideH w:val="none" w:sz="0" w:space="0" w:color="auto"/>
          <w:insideV w:val="none" w:sz="0" w:space="0" w:color="auto"/>
          <w:tl2br w:val="nil"/>
          <w:tr2bl w:val="nil"/>
        </w:tcBorders>
      </w:tcPr>
    </w:tblStylePr>
    <w:tblStylePr w:type="lastCol">
      <w:tblPr/>
      <w:tcPr>
        <w:tcBorders>
          <w:top w:val="none" w:sz="0" w:space="0" w:color="auto"/>
          <w:left w:val="none" w:sz="0" w:space="0" w:color="auto"/>
          <w:bottom w:val="none" w:sz="0" w:space="0" w:color="auto"/>
          <w:right w:val="single" w:sz="6" w:space="0" w:color="FFFFFF"/>
          <w:insideH w:val="none" w:sz="0" w:space="0" w:color="auto"/>
          <w:insideV w:val="none" w:sz="0" w:space="0" w:color="auto"/>
          <w:tl2br w:val="nil"/>
          <w:tr2bl w:val="nil"/>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left w:val="none" w:sz="0" w:space="0" w:color="auto"/>
          <w:bottom w:val="single" w:sz="6" w:space="0" w:color="FFFFFF"/>
          <w:right w:val="none" w:sz="0" w:space="0" w:color="auto"/>
          <w:insideH w:val="none" w:sz="0" w:space="0" w:color="auto"/>
          <w:insideV w:val="none" w:sz="0" w:space="0" w:color="auto"/>
          <w:tl2br w:val="nil"/>
          <w:tr2bl w:val="nil"/>
        </w:tcBorders>
      </w:tcPr>
    </w:tblStylePr>
    <w:tblStylePr w:type="swCell">
      <w:rPr>
        <w:b/>
        <w:bCs/>
      </w:rPr>
      <w:tblPr/>
      <w:tcPr>
        <w:tcBorders>
          <w:top w:val="none" w:sz="0" w:space="0" w:color="auto"/>
          <w:left w:val="none" w:sz="0" w:space="0" w:color="auto"/>
          <w:bottom w:val="none" w:sz="0" w:space="0" w:color="auto"/>
          <w:right w:val="none" w:sz="0" w:space="0" w:color="auto"/>
          <w:insideH w:val="none" w:sz="0" w:space="0" w:color="auto"/>
          <w:insideV w:val="none" w:sz="0" w:space="0" w:color="auto"/>
          <w:tl2br w:val="nil"/>
          <w:tr2bl w:val="nil"/>
        </w:tcBorders>
      </w:tcPr>
    </w:tblStylePr>
  </w:style>
  <w:style w:type="table" w:styleId="Table3Deffects2">
    <w:name w:val="Table 3D effects 2"/>
    <w:basedOn w:val="TableNormal"/>
    <w:semiHidden/>
    <w:pPr>
      <w:jc w:val="both"/>
    </w:pPr>
    <w:tblPr>
      <w:tblStyleRowBandSize w:val="1"/>
    </w:tblPr>
    <w:tcPr>
      <w:shd w:val="solid" w:color="C0C0C0" w:fill="FFFFFF"/>
    </w:tcPr>
    <w:tblStylePr w:type="firstRow">
      <w:rPr>
        <w:b/>
        <w:bCs/>
      </w:rPr>
      <w:tblPr/>
      <w:tcPr>
        <w:tcBorders>
          <w:top w:val="none" w:sz="0" w:space="0" w:color="auto"/>
          <w:left w:val="none" w:sz="0" w:space="0" w:color="auto"/>
          <w:bottom w:val="none" w:sz="0" w:space="0" w:color="auto"/>
          <w:right w:val="none" w:sz="0" w:space="0" w:color="auto"/>
          <w:insideH w:val="none" w:sz="0" w:space="0" w:color="auto"/>
          <w:insideV w:val="none" w:sz="0" w:space="0" w:color="auto"/>
          <w:tl2br w:val="nil"/>
          <w:tr2bl w:val="nil"/>
        </w:tcBorders>
      </w:tcPr>
    </w:tblStylePr>
    <w:tblStylePr w:type="firstCol">
      <w:tblPr/>
      <w:tcPr>
        <w:tcBorders>
          <w:top w:val="nil"/>
          <w:left w:val="none" w:sz="0" w:space="0" w:color="auto"/>
          <w:bottom w:val="nil"/>
          <w:right w:val="single" w:sz="6" w:space="0" w:color="808080"/>
          <w:insideH w:val="none" w:sz="0" w:space="0" w:color="auto"/>
          <w:insideV w:val="none" w:sz="0" w:space="0" w:color="auto"/>
          <w:tl2br w:val="nil"/>
          <w:tr2bl w:val="nil"/>
        </w:tcBorders>
      </w:tcPr>
    </w:tblStylePr>
    <w:tblStylePr w:type="lastCol">
      <w:tblPr/>
      <w:tcPr>
        <w:tcBorders>
          <w:top w:val="none" w:sz="0" w:space="0" w:color="auto"/>
          <w:left w:val="none" w:sz="0" w:space="0" w:color="auto"/>
          <w:bottom w:val="none" w:sz="0" w:space="0" w:color="auto"/>
          <w:right w:val="single" w:sz="6" w:space="0" w:color="FFFFFF"/>
          <w:insideH w:val="none" w:sz="0" w:space="0" w:color="auto"/>
          <w:insideV w:val="none" w:sz="0" w:space="0" w:color="auto"/>
          <w:tl2br w:val="nil"/>
          <w:tr2bl w:val="nil"/>
        </w:tcBorders>
      </w:tcPr>
    </w:tblStylePr>
    <w:tblStylePr w:type="band1Horz">
      <w:tblPr/>
      <w:tcPr>
        <w:tcBorders>
          <w:top w:val="single" w:sz="6" w:space="0" w:color="808080"/>
          <w:left w:val="none" w:sz="0" w:space="0" w:color="auto"/>
          <w:bottom w:val="single" w:sz="6" w:space="0" w:color="FFFFFF"/>
          <w:right w:val="none" w:sz="0" w:space="0" w:color="auto"/>
          <w:insideH w:val="none" w:sz="0" w:space="0" w:color="auto"/>
          <w:insideV w:val="none" w:sz="0" w:space="0" w:color="auto"/>
          <w:tl2br w:val="nil"/>
          <w:tr2bl w:val="nil"/>
        </w:tcBorders>
      </w:tcPr>
    </w:tblStylePr>
    <w:tblStylePr w:type="swCell">
      <w:rPr>
        <w:b/>
        <w:bCs/>
      </w:rPr>
      <w:tblPr/>
      <w:tcPr>
        <w:tcBorders>
          <w:top w:val="none" w:sz="0" w:space="0" w:color="auto"/>
          <w:left w:val="none" w:sz="0" w:space="0" w:color="auto"/>
          <w:bottom w:val="none" w:sz="0" w:space="0" w:color="auto"/>
          <w:right w:val="none" w:sz="0" w:space="0" w:color="auto"/>
          <w:insideH w:val="none" w:sz="0" w:space="0" w:color="auto"/>
          <w:insideV w:val="none" w:sz="0" w:space="0" w:color="auto"/>
          <w:tl2br w:val="nil"/>
          <w:tr2bl w:val="nil"/>
        </w:tcBorders>
      </w:tcPr>
    </w:tblStylePr>
  </w:style>
  <w:style w:type="table" w:styleId="TableClassic2">
    <w:name w:val="Table Classic 2"/>
    <w:basedOn w:val="TableNormal"/>
    <w:semiHidden/>
    <w:pPr>
      <w:jc w:val="both"/>
    </w:pPr>
    <w:tblPr>
      <w:tblBorders>
        <w:top w:val="single" w:sz="12" w:space="0" w:color="000000"/>
        <w:bottom w:val="single" w:sz="12" w:space="0" w:color="000000"/>
      </w:tblBorders>
    </w:tblPr>
    <w:tcPr>
      <w:shd w:val="clear" w:color="auto" w:fill="auto"/>
    </w:tcPr>
    <w:tblStylePr w:type="firstRow">
      <w:rPr>
        <w:color w:val="FFFFFF"/>
      </w:rPr>
      <w:tblPr/>
      <w:tcPr>
        <w:tcBorders>
          <w:top w:val="none" w:sz="0" w:space="0" w:color="auto"/>
          <w:left w:val="none" w:sz="0" w:space="0" w:color="auto"/>
          <w:bottom w:val="single" w:sz="6" w:space="0" w:color="000000"/>
          <w:right w:val="none" w:sz="0" w:space="0" w:color="auto"/>
          <w:insideH w:val="none" w:sz="0" w:space="0" w:color="auto"/>
          <w:insideV w:val="none" w:sz="0" w:space="0" w:color="auto"/>
          <w:tl2br w:val="nil"/>
          <w:tr2bl w:val="nil"/>
        </w:tcBorders>
        <w:shd w:val="solid" w:color="800080" w:fill="FFFFFF"/>
      </w:tcPr>
    </w:tblStylePr>
    <w:tblStylePr w:type="lastRow">
      <w:tblPr/>
      <w:tcPr>
        <w:tcBorders>
          <w:top w:val="single" w:sz="6" w:space="0" w:color="000000"/>
          <w:left w:val="none" w:sz="0" w:space="0" w:color="auto"/>
          <w:bottom w:val="none" w:sz="0" w:space="0" w:color="auto"/>
          <w:right w:val="none" w:sz="0" w:space="0" w:color="auto"/>
          <w:insideH w:val="none" w:sz="0" w:space="0" w:color="auto"/>
          <w:insideV w:val="none" w:sz="0" w:space="0" w:color="auto"/>
          <w:tl2br w:val="nil"/>
          <w:tr2bl w:val="nil"/>
        </w:tcBorders>
      </w:tcPr>
    </w:tblStylePr>
    <w:tblStylePr w:type="firstCol">
      <w:rPr>
        <w:b/>
        <w:bCs/>
      </w:rPr>
      <w:tblPr/>
      <w:tcPr>
        <w:tcBorders>
          <w:top w:val="none" w:sz="0" w:space="0" w:color="auto"/>
          <w:left w:val="none" w:sz="0" w:space="0" w:color="auto"/>
          <w:bottom w:val="none" w:sz="0" w:space="0" w:color="auto"/>
          <w:right w:val="none" w:sz="0" w:space="0" w:color="auto"/>
          <w:insideH w:val="none" w:sz="0" w:space="0" w:color="auto"/>
          <w:insideV w:val="none" w:sz="0" w:space="0" w:color="auto"/>
          <w:tl2br w:val="nil"/>
          <w:tr2bl w:val="nil"/>
        </w:tcBorders>
        <w:shd w:val="solid" w:color="C0C0C0" w:fill="FFFFFF"/>
      </w:tcPr>
    </w:tblStylePr>
    <w:tblStylePr w:type="neCell">
      <w:rPr>
        <w:b/>
        <w:bCs/>
      </w:rPr>
      <w:tblPr/>
      <w:tcPr>
        <w:tcBorders>
          <w:top w:val="none" w:sz="0" w:space="0" w:color="auto"/>
          <w:left w:val="none" w:sz="0" w:space="0" w:color="auto"/>
          <w:bottom w:val="none" w:sz="0" w:space="0" w:color="auto"/>
          <w:right w:val="none" w:sz="0" w:space="0" w:color="auto"/>
          <w:insideH w:val="none" w:sz="0" w:space="0" w:color="auto"/>
          <w:insideV w:val="none" w:sz="0" w:space="0" w:color="auto"/>
          <w:tl2br w:val="nil"/>
          <w:tr2bl w:val="nil"/>
        </w:tcBorders>
      </w:tcPr>
    </w:tblStylePr>
    <w:tblStylePr w:type="nwCell">
      <w:tblPr/>
      <w:tcPr>
        <w:tcBorders>
          <w:top w:val="none" w:sz="0" w:space="0" w:color="auto"/>
          <w:left w:val="none" w:sz="0" w:space="0" w:color="auto"/>
          <w:bottom w:val="none" w:sz="0" w:space="0" w:color="auto"/>
          <w:right w:val="none" w:sz="0" w:space="0" w:color="auto"/>
          <w:insideH w:val="none" w:sz="0" w:space="0" w:color="auto"/>
          <w:insideV w:val="none" w:sz="0" w:space="0" w:color="auto"/>
          <w:tl2br w:val="nil"/>
          <w:tr2bl w:val="nil"/>
        </w:tcBorders>
        <w:shd w:val="solid" w:color="800080" w:fill="FFFFFF"/>
      </w:tcPr>
    </w:tblStylePr>
    <w:tblStylePr w:type="swCell">
      <w:rPr>
        <w:color w:val="000080"/>
      </w:rPr>
      <w:tblPr/>
      <w:tcPr>
        <w:tcBorders>
          <w:top w:val="none" w:sz="0" w:space="0" w:color="auto"/>
          <w:left w:val="none" w:sz="0" w:space="0" w:color="auto"/>
          <w:bottom w:val="none" w:sz="0" w:space="0" w:color="auto"/>
          <w:right w:val="none" w:sz="0" w:space="0" w:color="auto"/>
          <w:insideH w:val="none" w:sz="0" w:space="0" w:color="auto"/>
          <w:insideV w:val="none" w:sz="0" w:space="0" w:color="auto"/>
          <w:tl2br w:val="nil"/>
          <w:tr2bl w:val="nil"/>
        </w:tcBorders>
      </w:tcPr>
    </w:tblStylePr>
  </w:style>
  <w:style w:type="table" w:styleId="TableColumns3">
    <w:name w:val="Table Columns 3"/>
    <w:basedOn w:val="TableNormal"/>
    <w:semiHidden/>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op w:val="none" w:sz="0" w:space="0" w:color="auto"/>
          <w:left w:val="none" w:sz="0" w:space="0" w:color="auto"/>
          <w:bottom w:val="none" w:sz="0" w:space="0" w:color="auto"/>
          <w:right w:val="none" w:sz="0" w:space="0" w:color="auto"/>
          <w:insideH w:val="none" w:sz="0" w:space="0" w:color="auto"/>
          <w:insideV w:val="none" w:sz="0" w:space="0" w:color="auto"/>
          <w:tl2br w:val="nil"/>
          <w:tr2bl w:val="nil"/>
        </w:tcBorders>
        <w:shd w:val="solid" w:color="000080" w:fill="FFFFFF"/>
      </w:tcPr>
    </w:tblStylePr>
    <w:tblStylePr w:type="lastRow">
      <w:rPr>
        <w:b w:val="0"/>
        <w:bCs w:val="0"/>
      </w:rPr>
      <w:tblPr/>
      <w:tcPr>
        <w:tcBorders>
          <w:top w:val="single" w:sz="6" w:space="0" w:color="000080"/>
          <w:left w:val="none" w:sz="0" w:space="0" w:color="auto"/>
          <w:bottom w:val="none" w:sz="0" w:space="0" w:color="auto"/>
          <w:right w:val="none" w:sz="0" w:space="0" w:color="auto"/>
          <w:insideH w:val="none" w:sz="0" w:space="0" w:color="auto"/>
          <w:insideV w:val="none" w:sz="0" w:space="0" w:color="auto"/>
          <w:tl2br w:val="nil"/>
          <w:tr2bl w:val="nil"/>
        </w:tcBorders>
      </w:tcPr>
    </w:tblStylePr>
    <w:tblStylePr w:type="firstCol">
      <w:rPr>
        <w:b w:val="0"/>
        <w:bCs w:val="0"/>
      </w:rPr>
      <w:tblPr/>
      <w:tcPr>
        <w:tcBorders>
          <w:top w:val="none" w:sz="0" w:space="0" w:color="auto"/>
          <w:left w:val="none" w:sz="0" w:space="0" w:color="auto"/>
          <w:bottom w:val="none" w:sz="0" w:space="0" w:color="auto"/>
          <w:right w:val="none" w:sz="0" w:space="0" w:color="auto"/>
          <w:insideH w:val="none" w:sz="0" w:space="0" w:color="auto"/>
          <w:insideV w:val="none" w:sz="0" w:space="0" w:color="auto"/>
          <w:tl2br w:val="nil"/>
          <w:tr2bl w:val="nil"/>
        </w:tcBorders>
      </w:tcPr>
    </w:tblStylePr>
    <w:tblStylePr w:type="lastCol">
      <w:rPr>
        <w:b w:val="0"/>
        <w:bCs w:val="0"/>
      </w:rPr>
      <w:tblPr/>
      <w:tcPr>
        <w:tcBorders>
          <w:top w:val="none" w:sz="0" w:space="0" w:color="auto"/>
          <w:left w:val="none" w:sz="0" w:space="0" w:color="auto"/>
          <w:bottom w:val="none" w:sz="0" w:space="0" w:color="auto"/>
          <w:right w:val="none" w:sz="0" w:space="0" w:color="auto"/>
          <w:insideH w:val="none" w:sz="0" w:space="0" w:color="auto"/>
          <w:insideV w:val="none" w:sz="0" w:space="0" w:color="auto"/>
          <w:tl2br w:val="nil"/>
          <w:tr2bl w:val="nil"/>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op w:val="none" w:sz="0" w:space="0" w:color="auto"/>
          <w:left w:val="none" w:sz="0" w:space="0" w:color="auto"/>
          <w:bottom w:val="none" w:sz="0" w:space="0" w:color="auto"/>
          <w:right w:val="none" w:sz="0" w:space="0" w:color="auto"/>
          <w:insideH w:val="none" w:sz="0" w:space="0" w:color="auto"/>
          <w:insideV w:val="none" w:sz="0" w:space="0" w:color="auto"/>
          <w:tl2br w:val="nil"/>
          <w:tr2bl w:val="nil"/>
        </w:tcBorders>
      </w:tcPr>
    </w:tblStylePr>
  </w:style>
  <w:style w:type="table" w:styleId="TableColumns2">
    <w:name w:val="Table Columns 2"/>
    <w:basedOn w:val="TableNormal"/>
    <w:semiHidden/>
    <w:pPr>
      <w:jc w:val="both"/>
    </w:pPr>
    <w:rPr>
      <w:b/>
      <w:bCs/>
    </w:rPr>
    <w:tblPr>
      <w:tblStyleColBandSize w:val="1"/>
    </w:tblPr>
    <w:tblStylePr w:type="firstRow">
      <w:rPr>
        <w:color w:val="FFFFFF"/>
      </w:rPr>
      <w:tblPr/>
      <w:tcPr>
        <w:tcBorders>
          <w:top w:val="none" w:sz="0" w:space="0" w:color="auto"/>
          <w:left w:val="none" w:sz="0" w:space="0" w:color="auto"/>
          <w:bottom w:val="none" w:sz="0" w:space="0" w:color="auto"/>
          <w:right w:val="none" w:sz="0" w:space="0" w:color="auto"/>
          <w:insideH w:val="none" w:sz="0" w:space="0" w:color="auto"/>
          <w:insideV w:val="none" w:sz="0" w:space="0" w:color="auto"/>
          <w:tl2br w:val="nil"/>
          <w:tr2bl w:val="nil"/>
        </w:tcBorders>
        <w:shd w:val="solid" w:color="000080" w:fill="FFFFFF"/>
      </w:tcPr>
    </w:tblStylePr>
    <w:tblStylePr w:type="lastRow">
      <w:rPr>
        <w:b w:val="0"/>
        <w:bCs w:val="0"/>
      </w:rPr>
      <w:tblPr/>
      <w:tcPr>
        <w:tcBorders>
          <w:top w:val="none" w:sz="0" w:space="0" w:color="auto"/>
          <w:left w:val="none" w:sz="0" w:space="0" w:color="auto"/>
          <w:bottom w:val="none" w:sz="0" w:space="0" w:color="auto"/>
          <w:right w:val="none" w:sz="0" w:space="0" w:color="auto"/>
          <w:insideH w:val="none" w:sz="0" w:space="0" w:color="auto"/>
          <w:insideV w:val="none" w:sz="0" w:space="0" w:color="auto"/>
          <w:tl2br w:val="nil"/>
          <w:tr2bl w:val="nil"/>
        </w:tcBorders>
      </w:tcPr>
    </w:tblStylePr>
    <w:tblStylePr w:type="firstCol">
      <w:rPr>
        <w:b w:val="0"/>
        <w:bCs w:val="0"/>
        <w:color w:val="000000"/>
      </w:rPr>
      <w:tblPr/>
      <w:tcPr>
        <w:tcBorders>
          <w:top w:val="none" w:sz="0" w:space="0" w:color="auto"/>
          <w:left w:val="none" w:sz="0" w:space="0" w:color="auto"/>
          <w:bottom w:val="none" w:sz="0" w:space="0" w:color="auto"/>
          <w:right w:val="none" w:sz="0" w:space="0" w:color="auto"/>
          <w:insideH w:val="none" w:sz="0" w:space="0" w:color="auto"/>
          <w:insideV w:val="none" w:sz="0" w:space="0" w:color="auto"/>
          <w:tl2br w:val="nil"/>
          <w:tr2bl w:val="nil"/>
        </w:tcBorders>
      </w:tcPr>
    </w:tblStylePr>
    <w:tblStylePr w:type="lastCol">
      <w:rPr>
        <w:b w:val="0"/>
        <w:bCs w:val="0"/>
      </w:rPr>
      <w:tblPr/>
      <w:tcPr>
        <w:tcBorders>
          <w:top w:val="none" w:sz="0" w:space="0" w:color="auto"/>
          <w:left w:val="none" w:sz="0" w:space="0" w:color="auto"/>
          <w:bottom w:val="none" w:sz="0" w:space="0" w:color="auto"/>
          <w:right w:val="none" w:sz="0" w:space="0" w:color="auto"/>
          <w:insideH w:val="none" w:sz="0" w:space="0" w:color="auto"/>
          <w:insideV w:val="none" w:sz="0" w:space="0" w:color="auto"/>
          <w:tl2br w:val="nil"/>
          <w:tr2bl w:val="nil"/>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op w:val="none" w:sz="0" w:space="0" w:color="auto"/>
          <w:left w:val="none" w:sz="0" w:space="0" w:color="auto"/>
          <w:bottom w:val="none" w:sz="0" w:space="0" w:color="auto"/>
          <w:right w:val="none" w:sz="0" w:space="0" w:color="auto"/>
          <w:insideH w:val="none" w:sz="0" w:space="0" w:color="auto"/>
          <w:insideV w:val="none" w:sz="0" w:space="0" w:color="auto"/>
          <w:tl2br w:val="nil"/>
          <w:tr2bl w:val="nil"/>
        </w:tcBorders>
      </w:tcPr>
    </w:tblStylePr>
    <w:tblStylePr w:type="swCell">
      <w:rPr>
        <w:b/>
        <w:bCs/>
      </w:rPr>
      <w:tblPr/>
      <w:tcPr>
        <w:tcBorders>
          <w:top w:val="none" w:sz="0" w:space="0" w:color="auto"/>
          <w:left w:val="none" w:sz="0" w:space="0" w:color="auto"/>
          <w:bottom w:val="none" w:sz="0" w:space="0" w:color="auto"/>
          <w:right w:val="none" w:sz="0" w:space="0" w:color="auto"/>
          <w:insideH w:val="none" w:sz="0" w:space="0" w:color="auto"/>
          <w:insideV w:val="none" w:sz="0" w:space="0" w:color="auto"/>
          <w:tl2br w:val="nil"/>
          <w:tr2bl w:val="nil"/>
        </w:tcBorders>
      </w:tcPr>
    </w:tblStylePr>
  </w:style>
  <w:style w:type="table" w:styleId="TableList8">
    <w:name w:val="Table List 8"/>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top w:val="none" w:sz="0" w:space="0" w:color="auto"/>
          <w:left w:val="none" w:sz="0" w:space="0" w:color="auto"/>
          <w:bottom w:val="single" w:sz="6" w:space="0" w:color="000000"/>
          <w:right w:val="none" w:sz="0" w:space="0" w:color="auto"/>
          <w:insideH w:val="none" w:sz="0" w:space="0" w:color="auto"/>
          <w:insideV w:val="none" w:sz="0" w:space="0" w:color="auto"/>
          <w:tl2br w:val="nil"/>
          <w:tr2bl w:val="nil"/>
        </w:tcBorders>
        <w:shd w:val="solid" w:color="FFFF00" w:fill="FFFFFF"/>
      </w:tcPr>
    </w:tblStylePr>
    <w:tblStylePr w:type="lastRow">
      <w:rPr>
        <w:b/>
        <w:bCs/>
      </w:rPr>
      <w:tblPr/>
      <w:tcPr>
        <w:tcBorders>
          <w:top w:val="single" w:sz="6" w:space="0" w:color="000000"/>
          <w:left w:val="none" w:sz="0" w:space="0" w:color="auto"/>
          <w:bottom w:val="none" w:sz="0" w:space="0" w:color="auto"/>
          <w:right w:val="none" w:sz="0" w:space="0" w:color="auto"/>
          <w:insideH w:val="none" w:sz="0" w:space="0" w:color="auto"/>
          <w:insideV w:val="none" w:sz="0" w:space="0" w:color="auto"/>
          <w:tl2br w:val="nil"/>
          <w:tr2bl w:val="nil"/>
        </w:tcBorders>
      </w:tcPr>
    </w:tblStylePr>
    <w:tblStylePr w:type="firstCol">
      <w:rPr>
        <w:b/>
        <w:bCs/>
      </w:rPr>
      <w:tblPr/>
      <w:tcPr>
        <w:tcBorders>
          <w:top w:val="none" w:sz="0" w:space="0" w:color="auto"/>
          <w:left w:val="none" w:sz="0" w:space="0" w:color="auto"/>
          <w:bottom w:val="none" w:sz="0" w:space="0" w:color="auto"/>
          <w:right w:val="none" w:sz="0" w:space="0" w:color="auto"/>
          <w:insideH w:val="none" w:sz="0" w:space="0" w:color="auto"/>
          <w:insideV w:val="none" w:sz="0" w:space="0" w:color="auto"/>
          <w:tl2br w:val="nil"/>
          <w:tr2bl w:val="nil"/>
        </w:tcBorders>
      </w:tcPr>
    </w:tblStylePr>
    <w:tblStylePr w:type="lastCol">
      <w:rPr>
        <w:b/>
        <w:bCs/>
      </w:rPr>
      <w:tblPr/>
      <w:tcPr>
        <w:tcBorders>
          <w:top w:val="none" w:sz="0" w:space="0" w:color="auto"/>
          <w:left w:val="none" w:sz="0" w:space="0" w:color="auto"/>
          <w:bottom w:val="none" w:sz="0" w:space="0" w:color="auto"/>
          <w:right w:val="none" w:sz="0" w:space="0" w:color="auto"/>
          <w:insideH w:val="none" w:sz="0" w:space="0" w:color="auto"/>
          <w:insideV w:val="none" w:sz="0" w:space="0" w:color="auto"/>
          <w:tl2br w:val="nil"/>
          <w:tr2bl w:val="nil"/>
        </w:tcBorders>
      </w:tcPr>
    </w:tblStylePr>
    <w:tblStylePr w:type="band1Horz">
      <w:rPr>
        <w:color w:val="auto"/>
      </w:rPr>
      <w:tblPr/>
      <w:tcPr>
        <w:tcBorders>
          <w:top w:val="none" w:sz="0" w:space="0" w:color="auto"/>
          <w:left w:val="none" w:sz="0" w:space="0" w:color="auto"/>
          <w:bottom w:val="none" w:sz="0" w:space="0" w:color="auto"/>
          <w:right w:val="none" w:sz="0" w:space="0" w:color="auto"/>
          <w:insideH w:val="none" w:sz="0" w:space="0" w:color="auto"/>
          <w:insideV w:val="none" w:sz="0" w:space="0" w:color="auto"/>
          <w:tl2br w:val="nil"/>
          <w:tr2bl w:val="nil"/>
        </w:tcBorders>
        <w:shd w:val="pct25" w:color="FFFF00" w:fill="FFFFFF"/>
      </w:tcPr>
    </w:tblStylePr>
    <w:tblStylePr w:type="band2Horz">
      <w:tblPr/>
      <w:tcPr>
        <w:tcBorders>
          <w:top w:val="none" w:sz="0" w:space="0" w:color="auto"/>
          <w:left w:val="none" w:sz="0" w:space="0" w:color="auto"/>
          <w:bottom w:val="none" w:sz="0" w:space="0" w:color="auto"/>
          <w:right w:val="none" w:sz="0" w:space="0" w:color="auto"/>
          <w:insideH w:val="none" w:sz="0" w:space="0" w:color="auto"/>
          <w:insideV w:val="none" w:sz="0" w:space="0" w:color="auto"/>
          <w:tl2br w:val="nil"/>
          <w:tr2bl w:val="nil"/>
        </w:tcBorders>
        <w:shd w:val="pct50" w:color="FF0000" w:fill="FFFFFF"/>
      </w:tcPr>
    </w:tblStylePr>
    <w:tblStylePr w:type="nwCell">
      <w:tblPr/>
      <w:tcPr>
        <w:tcBorders>
          <w:top w:val="none" w:sz="0" w:space="0" w:color="auto"/>
          <w:left w:val="none" w:sz="0" w:space="0" w:color="auto"/>
          <w:bottom w:val="none" w:sz="0" w:space="0" w:color="auto"/>
          <w:right w:val="none" w:sz="0" w:space="0" w:color="auto"/>
          <w:insideH w:val="none" w:sz="0" w:space="0" w:color="auto"/>
          <w:insideV w:val="none" w:sz="0" w:space="0" w:color="auto"/>
          <w:tl2br w:val="single" w:sz="6" w:space="0" w:color="auto"/>
          <w:tr2bl w:val="nil"/>
        </w:tcBorders>
      </w:tcPr>
    </w:tblStylePr>
  </w:style>
  <w:style w:type="table" w:styleId="TableGrid">
    <w:name w:val="Table Grid"/>
    <w:basedOn w:val="TableNormal"/>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List5">
    <w:name w:val="Table List 5"/>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top w:val="none" w:sz="0" w:space="0" w:color="auto"/>
          <w:left w:val="none" w:sz="0" w:space="0" w:color="auto"/>
          <w:bottom w:val="single" w:sz="12" w:space="0" w:color="000000"/>
          <w:right w:val="none" w:sz="0" w:space="0" w:color="auto"/>
          <w:insideH w:val="none" w:sz="0" w:space="0" w:color="auto"/>
          <w:insideV w:val="none" w:sz="0" w:space="0" w:color="auto"/>
          <w:tl2br w:val="nil"/>
          <w:tr2bl w:val="nil"/>
        </w:tcBorders>
      </w:tcPr>
    </w:tblStylePr>
    <w:tblStylePr w:type="firstCol">
      <w:rPr>
        <w:b/>
        <w:bCs/>
      </w:rPr>
      <w:tblPr/>
      <w:tcPr>
        <w:tcBorders>
          <w:top w:val="none" w:sz="0" w:space="0" w:color="auto"/>
          <w:left w:val="none" w:sz="0" w:space="0" w:color="auto"/>
          <w:bottom w:val="none" w:sz="0" w:space="0" w:color="auto"/>
          <w:right w:val="none" w:sz="0" w:space="0" w:color="auto"/>
          <w:insideH w:val="none" w:sz="0" w:space="0" w:color="auto"/>
          <w:insideV w:val="none" w:sz="0" w:space="0" w:color="auto"/>
          <w:tl2br w:val="nil"/>
          <w:tr2bl w:val="nil"/>
        </w:tcBorders>
      </w:tcPr>
    </w:tblStylePr>
  </w:style>
  <w:style w:type="table" w:styleId="TableList2">
    <w:name w:val="Table List 2"/>
    <w:basedOn w:val="TableNormal"/>
    <w:semiHidden/>
    <w:pPr>
      <w:jc w:val="both"/>
    </w:pPr>
    <w:tblPr>
      <w:tblStyleRowBandSize w:val="2"/>
      <w:tblBorders>
        <w:bottom w:val="single" w:sz="12" w:space="0" w:color="808080"/>
      </w:tblBorders>
    </w:tblPr>
    <w:tblStylePr w:type="firstRow">
      <w:rPr>
        <w:b/>
        <w:bCs/>
        <w:color w:val="FFFFFF"/>
      </w:rPr>
      <w:tblPr/>
      <w:tcPr>
        <w:tcBorders>
          <w:top w:val="none" w:sz="0" w:space="0" w:color="auto"/>
          <w:left w:val="none" w:sz="0" w:space="0" w:color="auto"/>
          <w:bottom w:val="single" w:sz="6" w:space="0" w:color="000000"/>
          <w:right w:val="none" w:sz="0" w:space="0" w:color="auto"/>
          <w:insideH w:val="none" w:sz="0" w:space="0" w:color="auto"/>
          <w:insideV w:val="none" w:sz="0" w:space="0" w:color="auto"/>
          <w:tl2br w:val="nil"/>
          <w:tr2bl w:val="nil"/>
        </w:tcBorders>
        <w:shd w:val="pct75" w:color="008080" w:fill="008000"/>
      </w:tcPr>
    </w:tblStylePr>
    <w:tblStylePr w:type="lastRow">
      <w:tblPr/>
      <w:tcPr>
        <w:tcBorders>
          <w:top w:val="single" w:sz="6" w:space="0" w:color="000000"/>
          <w:left w:val="none" w:sz="0" w:space="0" w:color="auto"/>
          <w:bottom w:val="none" w:sz="0" w:space="0" w:color="auto"/>
          <w:right w:val="none" w:sz="0" w:space="0" w:color="auto"/>
          <w:insideH w:val="none" w:sz="0" w:space="0" w:color="auto"/>
          <w:insideV w:val="none" w:sz="0" w:space="0" w:color="auto"/>
          <w:tl2br w:val="nil"/>
          <w:tr2bl w:val="nil"/>
        </w:tcBorders>
      </w:tcPr>
    </w:tblStylePr>
    <w:tblStylePr w:type="band1Horz">
      <w:rPr>
        <w:color w:val="auto"/>
      </w:rPr>
      <w:tblPr/>
      <w:tcPr>
        <w:tcBorders>
          <w:top w:val="none" w:sz="0" w:space="0" w:color="auto"/>
          <w:left w:val="none" w:sz="0" w:space="0" w:color="auto"/>
          <w:bottom w:val="none" w:sz="0" w:space="0" w:color="auto"/>
          <w:right w:val="none" w:sz="0" w:space="0" w:color="auto"/>
          <w:insideH w:val="none" w:sz="0" w:space="0" w:color="auto"/>
          <w:insideV w:val="none" w:sz="0" w:space="0" w:color="auto"/>
          <w:tl2br w:val="nil"/>
          <w:tr2bl w:val="nil"/>
        </w:tcBorders>
        <w:shd w:val="pct20" w:color="00FF00" w:fill="FFFFFF"/>
      </w:tcPr>
    </w:tblStylePr>
    <w:tblStylePr w:type="band2Horz">
      <w:rPr>
        <w:color w:val="auto"/>
      </w:rPr>
      <w:tblPr/>
      <w:tcPr>
        <w:tcBorders>
          <w:top w:val="none" w:sz="0" w:space="0" w:color="auto"/>
          <w:left w:val="none" w:sz="0" w:space="0" w:color="auto"/>
          <w:bottom w:val="none" w:sz="0" w:space="0" w:color="auto"/>
          <w:right w:val="none" w:sz="0" w:space="0" w:color="auto"/>
          <w:insideH w:val="none" w:sz="0" w:space="0" w:color="auto"/>
          <w:insideV w:val="none" w:sz="0" w:space="0" w:color="auto"/>
          <w:tl2br w:val="nil"/>
          <w:tr2bl w:val="nil"/>
        </w:tcBorders>
      </w:tcPr>
    </w:tblStylePr>
    <w:tblStylePr w:type="swCell">
      <w:rPr>
        <w:b/>
        <w:bCs/>
      </w:rPr>
      <w:tblPr/>
      <w:tcPr>
        <w:tcBorders>
          <w:top w:val="none" w:sz="0" w:space="0" w:color="auto"/>
          <w:left w:val="none" w:sz="0" w:space="0" w:color="auto"/>
          <w:bottom w:val="none" w:sz="0" w:space="0" w:color="auto"/>
          <w:right w:val="none" w:sz="0" w:space="0" w:color="auto"/>
          <w:insideH w:val="none" w:sz="0" w:space="0" w:color="auto"/>
          <w:insideV w:val="none" w:sz="0" w:space="0" w:color="auto"/>
          <w:tl2br w:val="nil"/>
          <w:tr2bl w:val="nil"/>
        </w:tcBorders>
      </w:tcPr>
    </w:tblStylePr>
  </w:style>
  <w:style w:type="table" w:styleId="TableSimple3">
    <w:name w:val="Table Simple 3"/>
    <w:basedOn w:val="TableNormal"/>
    <w:semiHidden/>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op w:val="none" w:sz="0" w:space="0" w:color="auto"/>
          <w:left w:val="none" w:sz="0" w:space="0" w:color="auto"/>
          <w:bottom w:val="none" w:sz="0" w:space="0" w:color="auto"/>
          <w:right w:val="none" w:sz="0" w:space="0" w:color="auto"/>
          <w:insideH w:val="none" w:sz="0" w:space="0" w:color="auto"/>
          <w:insideV w:val="none" w:sz="0" w:space="0" w:color="auto"/>
          <w:tl2br w:val="nil"/>
          <w:tr2bl w:val="nil"/>
        </w:tcBorders>
        <w:shd w:val="solid" w:color="000000" w:fill="FFFFFF"/>
      </w:tcPr>
    </w:tblStylePr>
  </w:style>
  <w:style w:type="table" w:styleId="TableSimple2">
    <w:name w:val="Table Simple 2"/>
    <w:basedOn w:val="TableNormal"/>
    <w:semiHidden/>
    <w:pPr>
      <w:jc w:val="both"/>
    </w:pPr>
    <w:tblPr/>
    <w:tblStylePr w:type="firstRow">
      <w:rPr>
        <w:b/>
        <w:bCs/>
      </w:rPr>
      <w:tblPr/>
      <w:tcPr>
        <w:tcBorders>
          <w:top w:val="none" w:sz="0" w:space="0" w:color="auto"/>
          <w:left w:val="none" w:sz="0" w:space="0" w:color="auto"/>
          <w:bottom w:val="single" w:sz="12" w:space="0" w:color="000000"/>
          <w:right w:val="none" w:sz="0" w:space="0" w:color="auto"/>
          <w:insideH w:val="none" w:sz="0" w:space="0" w:color="auto"/>
          <w:insideV w:val="none" w:sz="0" w:space="0" w:color="auto"/>
          <w:tl2br w:val="nil"/>
          <w:tr2bl w:val="nil"/>
        </w:tcBorders>
      </w:tcPr>
    </w:tblStylePr>
    <w:tblStylePr w:type="lastRow">
      <w:rPr>
        <w:b/>
        <w:bCs/>
        <w:color w:val="auto"/>
      </w:rPr>
      <w:tblPr/>
      <w:tcPr>
        <w:tcBorders>
          <w:top w:val="single" w:sz="6" w:space="0" w:color="000000"/>
          <w:left w:val="none" w:sz="0" w:space="0" w:color="auto"/>
          <w:bottom w:val="none" w:sz="0" w:space="0" w:color="auto"/>
          <w:right w:val="none" w:sz="0" w:space="0" w:color="auto"/>
          <w:insideH w:val="none" w:sz="0" w:space="0" w:color="auto"/>
          <w:insideV w:val="none" w:sz="0" w:space="0" w:color="auto"/>
          <w:tl2br w:val="nil"/>
          <w:tr2bl w:val="nil"/>
        </w:tcBorders>
      </w:tcPr>
    </w:tblStylePr>
    <w:tblStylePr w:type="firstCol">
      <w:rPr>
        <w:b/>
        <w:bCs/>
      </w:rPr>
      <w:tblPr/>
      <w:tcPr>
        <w:tcBorders>
          <w:top w:val="none" w:sz="0" w:space="0" w:color="auto"/>
          <w:left w:val="none" w:sz="0" w:space="0" w:color="auto"/>
          <w:bottom w:val="none" w:sz="0" w:space="0" w:color="auto"/>
          <w:right w:val="single" w:sz="12" w:space="0" w:color="000000"/>
          <w:insideH w:val="none" w:sz="0" w:space="0" w:color="auto"/>
          <w:insideV w:val="none" w:sz="0" w:space="0" w:color="auto"/>
          <w:tl2br w:val="nil"/>
          <w:tr2bl w:val="nil"/>
        </w:tcBorders>
      </w:tcPr>
    </w:tblStylePr>
    <w:tblStylePr w:type="lastCol">
      <w:rPr>
        <w:b/>
        <w:bCs/>
      </w:rPr>
      <w:tblPr/>
      <w:tcPr>
        <w:tcBorders>
          <w:top w:val="none" w:sz="0" w:space="0" w:color="auto"/>
          <w:left w:val="single" w:sz="6" w:space="0" w:color="000000"/>
          <w:bottom w:val="none" w:sz="0" w:space="0" w:color="auto"/>
          <w:right w:val="none" w:sz="0" w:space="0" w:color="auto"/>
          <w:insideH w:val="none" w:sz="0" w:space="0" w:color="auto"/>
          <w:insideV w:val="none" w:sz="0" w:space="0" w:color="auto"/>
          <w:tl2br w:val="nil"/>
          <w:tr2bl w:val="nil"/>
        </w:tcBorders>
      </w:tcPr>
    </w:tblStylePr>
    <w:tblStylePr w:type="neCell">
      <w:rPr>
        <w:b/>
        <w:bCs/>
      </w:rPr>
      <w:tblPr/>
      <w:tcPr>
        <w:tcBorders>
          <w:top w:val="none" w:sz="0" w:space="0" w:color="auto"/>
          <w:left w:val="nil"/>
          <w:bottom w:val="none" w:sz="0" w:space="0" w:color="auto"/>
          <w:right w:val="none" w:sz="0" w:space="0" w:color="auto"/>
          <w:insideH w:val="none" w:sz="0" w:space="0" w:color="auto"/>
          <w:insideV w:val="none" w:sz="0" w:space="0" w:color="auto"/>
          <w:tl2br w:val="nil"/>
          <w:tr2bl w:val="nil"/>
        </w:tcBorders>
      </w:tcPr>
    </w:tblStylePr>
    <w:tblStylePr w:type="swCell">
      <w:rPr>
        <w:b/>
        <w:bCs/>
      </w:rPr>
      <w:tblPr/>
      <w:tcPr>
        <w:tcBorders>
          <w:top w:val="nil"/>
          <w:left w:val="none" w:sz="0" w:space="0" w:color="auto"/>
          <w:bottom w:val="none" w:sz="0" w:space="0" w:color="auto"/>
          <w:right w:val="none" w:sz="0" w:space="0" w:color="auto"/>
          <w:insideH w:val="none" w:sz="0" w:space="0" w:color="auto"/>
          <w:insideV w:val="none" w:sz="0" w:space="0" w:color="auto"/>
          <w:tl2br w:val="nil"/>
          <w:tr2bl w:val="nil"/>
        </w:tcBorders>
      </w:tcPr>
    </w:tblStylePr>
  </w:style>
  <w:style w:type="table" w:styleId="TableColorful3">
    <w:name w:val="Table Colorful 3"/>
    <w:basedOn w:val="TableNormal"/>
    <w:semiHidden/>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top w:val="none" w:sz="0" w:space="0" w:color="auto"/>
          <w:left w:val="none" w:sz="0" w:space="0" w:color="auto"/>
          <w:bottom w:val="single" w:sz="6" w:space="0" w:color="000000"/>
          <w:right w:val="none" w:sz="0" w:space="0" w:color="auto"/>
          <w:insideH w:val="none" w:sz="0" w:space="0" w:color="auto"/>
          <w:insideV w:val="none" w:sz="0" w:space="0" w:color="auto"/>
          <w:tl2br w:val="nil"/>
          <w:tr2bl w:val="nil"/>
        </w:tcBorders>
        <w:shd w:val="solid" w:color="008080" w:fill="FFFFFF"/>
      </w:tcPr>
    </w:tblStylePr>
    <w:tblStylePr w:type="firstCol">
      <w:tblPr/>
      <w:tcPr>
        <w:tcBorders>
          <w:top w:val="none" w:sz="0" w:space="0" w:color="auto"/>
          <w:left w:val="single" w:sz="36" w:space="0" w:color="000000"/>
          <w:bottom w:val="none" w:sz="0" w:space="0" w:color="auto"/>
          <w:right w:val="single" w:sz="6" w:space="0" w:color="000000"/>
          <w:insideH w:val="none" w:sz="0" w:space="0" w:color="auto"/>
          <w:insideV w:val="none" w:sz="0" w:space="0" w:color="auto"/>
          <w:tl2br w:val="nil"/>
          <w:tr2bl w:val="nil"/>
        </w:tcBorders>
        <w:shd w:val="solid" w:color="008080" w:fill="FFFFFF"/>
      </w:tcPr>
    </w:tblStylePr>
    <w:tblStylePr w:type="nwCell">
      <w:rPr>
        <w:b/>
        <w:bCs/>
        <w:color w:val="FFFFFF"/>
      </w:rPr>
      <w:tblPr/>
      <w:tcPr>
        <w:tcBorders>
          <w:top w:val="none" w:sz="0" w:space="0" w:color="auto"/>
          <w:left w:val="none" w:sz="0" w:space="0" w:color="auto"/>
          <w:bottom w:val="none" w:sz="0" w:space="0" w:color="auto"/>
          <w:right w:val="none" w:sz="0" w:space="0" w:color="auto"/>
          <w:insideH w:val="none" w:sz="0" w:space="0" w:color="auto"/>
          <w:insideV w:val="none" w:sz="0" w:space="0" w:color="auto"/>
          <w:tl2br w:val="nil"/>
          <w:tr2bl w:val="nil"/>
        </w:tcBorders>
        <w:shd w:val="solid" w:color="000000" w:fill="FFFFFF"/>
      </w:tcPr>
    </w:tblStylePr>
  </w:style>
  <w:style w:type="table" w:styleId="TableList6">
    <w:name w:val="Table List 6"/>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top w:val="none" w:sz="0" w:space="0" w:color="auto"/>
          <w:left w:val="none" w:sz="0" w:space="0" w:color="auto"/>
          <w:bottom w:val="single" w:sz="12" w:space="0" w:color="000000"/>
          <w:right w:val="none" w:sz="0" w:space="0" w:color="auto"/>
          <w:insideH w:val="none" w:sz="0" w:space="0" w:color="auto"/>
          <w:insideV w:val="none" w:sz="0" w:space="0" w:color="auto"/>
          <w:tl2br w:val="nil"/>
          <w:tr2bl w:val="nil"/>
        </w:tcBorders>
      </w:tcPr>
    </w:tblStylePr>
    <w:tblStylePr w:type="firstCol">
      <w:rPr>
        <w:b/>
        <w:bCs/>
      </w:rPr>
      <w:tblPr/>
      <w:tcPr>
        <w:tcBorders>
          <w:top w:val="none" w:sz="0" w:space="0" w:color="auto"/>
          <w:left w:val="none" w:sz="0" w:space="0" w:color="auto"/>
          <w:bottom w:val="none" w:sz="0" w:space="0" w:color="auto"/>
          <w:right w:val="single" w:sz="12" w:space="0" w:color="000000"/>
          <w:insideH w:val="none" w:sz="0" w:space="0" w:color="auto"/>
          <w:insideV w:val="none" w:sz="0" w:space="0" w:color="auto"/>
          <w:tl2br w:val="nil"/>
          <w:tr2bl w:val="nil"/>
        </w:tcBorders>
      </w:tcPr>
    </w:tblStylePr>
    <w:tblStylePr w:type="band1Horz">
      <w:tblPr/>
      <w:tcPr>
        <w:tcBorders>
          <w:top w:val="none" w:sz="0" w:space="0" w:color="auto"/>
          <w:left w:val="none" w:sz="0" w:space="0" w:color="auto"/>
          <w:bottom w:val="none" w:sz="0" w:space="0" w:color="auto"/>
          <w:right w:val="none" w:sz="0" w:space="0" w:color="auto"/>
          <w:insideH w:val="none" w:sz="0" w:space="0" w:color="auto"/>
          <w:insideV w:val="none" w:sz="0" w:space="0" w:color="auto"/>
          <w:tl2br w:val="nil"/>
          <w:tr2bl w:val="nil"/>
        </w:tcBorders>
        <w:shd w:val="pct25" w:color="000000" w:fill="FFFFFF"/>
      </w:tcPr>
    </w:tblStylePr>
    <w:tblStylePr w:type="nwCell">
      <w:tblPr/>
      <w:tcPr>
        <w:tcBorders>
          <w:top w:val="none" w:sz="0" w:space="0" w:color="auto"/>
          <w:left w:val="none" w:sz="0" w:space="0" w:color="auto"/>
          <w:bottom w:val="none" w:sz="0" w:space="0" w:color="auto"/>
          <w:right w:val="none" w:sz="0" w:space="0" w:color="auto"/>
          <w:insideH w:val="none" w:sz="0" w:space="0" w:color="auto"/>
          <w:insideV w:val="none" w:sz="0" w:space="0" w:color="auto"/>
          <w:tl2br w:val="single" w:sz="6" w:space="0" w:color="000000"/>
          <w:tr2bl w:val="nil"/>
        </w:tcBorders>
      </w:tcPr>
    </w:tblStylePr>
  </w:style>
  <w:style w:type="table" w:styleId="TableWeb1">
    <w:name w:val="Table Web 1"/>
    <w:basedOn w:val="TableNormal"/>
    <w:semiHidden/>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op w:val="none" w:sz="0" w:space="0" w:color="auto"/>
          <w:left w:val="none" w:sz="0" w:space="0" w:color="auto"/>
          <w:bottom w:val="none" w:sz="0" w:space="0" w:color="auto"/>
          <w:right w:val="none" w:sz="0" w:space="0" w:color="auto"/>
          <w:insideH w:val="none" w:sz="0" w:space="0" w:color="auto"/>
          <w:insideV w:val="none" w:sz="0" w:space="0" w:color="auto"/>
          <w:tl2br w:val="nil"/>
          <w:tr2bl w:val="nil"/>
        </w:tcBorders>
      </w:tcPr>
    </w:tblStylePr>
  </w:style>
  <w:style w:type="table" w:styleId="TableTheme">
    <w:name w:val="Table Theme"/>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Subtle2">
    <w:name w:val="Table Subtle 2"/>
    <w:basedOn w:val="TableNormal"/>
    <w:semiHidden/>
    <w:pPr>
      <w:jc w:val="both"/>
    </w:pPr>
    <w:tblPr>
      <w:tblBorders>
        <w:left w:val="single" w:sz="6" w:space="0" w:color="000000"/>
        <w:right w:val="single" w:sz="6" w:space="0" w:color="000000"/>
      </w:tblBorders>
    </w:tblPr>
    <w:tblStylePr w:type="firstRow">
      <w:tblPr/>
      <w:tcPr>
        <w:tcBorders>
          <w:top w:val="none" w:sz="0" w:space="0" w:color="auto"/>
          <w:left w:val="none" w:sz="0" w:space="0" w:color="auto"/>
          <w:bottom w:val="single" w:sz="12" w:space="0" w:color="000000"/>
          <w:right w:val="none" w:sz="0" w:space="0" w:color="auto"/>
          <w:insideH w:val="none" w:sz="0" w:space="0" w:color="auto"/>
          <w:insideV w:val="none" w:sz="0" w:space="0" w:color="auto"/>
          <w:tl2br w:val="nil"/>
          <w:tr2bl w:val="nil"/>
        </w:tcBorders>
      </w:tcPr>
    </w:tblStylePr>
    <w:tblStylePr w:type="lastRow">
      <w:tblPr/>
      <w:tcPr>
        <w:tcBorders>
          <w:top w:val="single" w:sz="12" w:space="0" w:color="000000"/>
          <w:left w:val="none" w:sz="0" w:space="0" w:color="auto"/>
          <w:bottom w:val="none" w:sz="0" w:space="0" w:color="auto"/>
          <w:right w:val="none" w:sz="0" w:space="0" w:color="auto"/>
          <w:insideH w:val="none" w:sz="0" w:space="0" w:color="auto"/>
          <w:insideV w:val="none" w:sz="0" w:space="0" w:color="auto"/>
          <w:tl2br w:val="nil"/>
          <w:tr2bl w:val="nil"/>
        </w:tcBorders>
      </w:tcPr>
    </w:tblStylePr>
    <w:tblStylePr w:type="firstCol">
      <w:tblPr/>
      <w:tcPr>
        <w:tcBorders>
          <w:top w:val="none" w:sz="0" w:space="0" w:color="auto"/>
          <w:left w:val="none" w:sz="0" w:space="0" w:color="auto"/>
          <w:bottom w:val="none" w:sz="0" w:space="0" w:color="auto"/>
          <w:right w:val="single" w:sz="12" w:space="0" w:color="000000"/>
          <w:insideH w:val="none" w:sz="0" w:space="0" w:color="auto"/>
          <w:insideV w:val="none" w:sz="0" w:space="0" w:color="auto"/>
          <w:tl2br w:val="nil"/>
          <w:tr2bl w:val="nil"/>
        </w:tcBorders>
        <w:shd w:val="pct25" w:color="008000" w:fill="FFFFFF"/>
      </w:tcPr>
    </w:tblStylePr>
    <w:tblStylePr w:type="lastCol">
      <w:tblPr/>
      <w:tcPr>
        <w:tcBorders>
          <w:top w:val="none" w:sz="0" w:space="0" w:color="auto"/>
          <w:left w:val="single" w:sz="12" w:space="0" w:color="000000"/>
          <w:bottom w:val="none" w:sz="0" w:space="0" w:color="auto"/>
          <w:right w:val="none" w:sz="0" w:space="0" w:color="auto"/>
          <w:insideH w:val="none" w:sz="0" w:space="0" w:color="auto"/>
          <w:insideV w:val="none" w:sz="0" w:space="0" w:color="auto"/>
          <w:tl2br w:val="nil"/>
          <w:tr2bl w:val="nil"/>
        </w:tcBorders>
        <w:shd w:val="pct25" w:color="808000" w:fill="FFFFFF"/>
      </w:tcPr>
    </w:tblStylePr>
    <w:tblStylePr w:type="neCell">
      <w:rPr>
        <w:b/>
        <w:bCs/>
      </w:rPr>
      <w:tblPr/>
      <w:tcPr>
        <w:tcBorders>
          <w:top w:val="none" w:sz="0" w:space="0" w:color="auto"/>
          <w:left w:val="none" w:sz="0" w:space="0" w:color="auto"/>
          <w:bottom w:val="none" w:sz="0" w:space="0" w:color="auto"/>
          <w:right w:val="none" w:sz="0" w:space="0" w:color="auto"/>
          <w:insideH w:val="none" w:sz="0" w:space="0" w:color="auto"/>
          <w:insideV w:val="none" w:sz="0" w:space="0" w:color="auto"/>
          <w:tl2br w:val="nil"/>
          <w:tr2bl w:val="nil"/>
        </w:tcBorders>
      </w:tcPr>
    </w:tblStylePr>
    <w:tblStylePr w:type="swCell">
      <w:rPr>
        <w:b/>
        <w:bCs/>
      </w:rPr>
      <w:tblPr/>
      <w:tcPr>
        <w:tcBorders>
          <w:top w:val="none" w:sz="0" w:space="0" w:color="auto"/>
          <w:left w:val="none" w:sz="0" w:space="0" w:color="auto"/>
          <w:bottom w:val="none" w:sz="0" w:space="0" w:color="auto"/>
          <w:right w:val="none" w:sz="0" w:space="0" w:color="auto"/>
          <w:insideH w:val="none" w:sz="0" w:space="0" w:color="auto"/>
          <w:insideV w:val="none" w:sz="0" w:space="0" w:color="auto"/>
          <w:tl2br w:val="nil"/>
          <w:tr2bl w:val="nil"/>
        </w:tcBorders>
      </w:tcPr>
    </w:tblStylePr>
  </w:style>
  <w:style w:type="table" w:styleId="TableGrid8">
    <w:name w:val="Table Grid 8"/>
    <w:basedOn w:val="TableNormal"/>
    <w:semiHidden/>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op w:val="none" w:sz="0" w:space="0" w:color="auto"/>
          <w:left w:val="none" w:sz="0" w:space="0" w:color="auto"/>
          <w:bottom w:val="none" w:sz="0" w:space="0" w:color="auto"/>
          <w:right w:val="none" w:sz="0" w:space="0" w:color="auto"/>
          <w:insideH w:val="none" w:sz="0" w:space="0" w:color="auto"/>
          <w:insideV w:val="none" w:sz="0" w:space="0" w:color="auto"/>
          <w:tl2br w:val="nil"/>
          <w:tr2bl w:val="nil"/>
        </w:tcBorders>
        <w:shd w:val="solid" w:color="000080" w:fill="FFFFFF"/>
      </w:tcPr>
    </w:tblStylePr>
    <w:tblStylePr w:type="lastRow">
      <w:rPr>
        <w:b/>
        <w:bCs/>
        <w:color w:val="auto"/>
      </w:rPr>
      <w:tblPr/>
      <w:tcPr>
        <w:tcBorders>
          <w:top w:val="none" w:sz="0" w:space="0" w:color="auto"/>
          <w:left w:val="none" w:sz="0" w:space="0" w:color="auto"/>
          <w:bottom w:val="none" w:sz="0" w:space="0" w:color="auto"/>
          <w:right w:val="none" w:sz="0" w:space="0" w:color="auto"/>
          <w:insideH w:val="none" w:sz="0" w:space="0" w:color="auto"/>
          <w:insideV w:val="none" w:sz="0" w:space="0" w:color="auto"/>
          <w:tl2br w:val="nil"/>
          <w:tr2bl w:val="nil"/>
        </w:tcBorders>
      </w:tcPr>
    </w:tblStylePr>
    <w:tblStylePr w:type="lastCol">
      <w:rPr>
        <w:b/>
        <w:bCs/>
        <w:color w:val="auto"/>
      </w:rPr>
      <w:tblPr/>
      <w:tcPr>
        <w:tcBorders>
          <w:top w:val="none" w:sz="0" w:space="0" w:color="auto"/>
          <w:left w:val="none" w:sz="0" w:space="0" w:color="auto"/>
          <w:bottom w:val="none" w:sz="0" w:space="0" w:color="auto"/>
          <w:right w:val="none" w:sz="0" w:space="0" w:color="auto"/>
          <w:insideH w:val="none" w:sz="0" w:space="0" w:color="auto"/>
          <w:insideV w:val="none" w:sz="0" w:space="0" w:color="auto"/>
          <w:tl2br w:val="nil"/>
          <w:tr2bl w:val="nil"/>
        </w:tcBorders>
      </w:tcPr>
    </w:tblStylePr>
  </w:style>
  <w:style w:type="table" w:styleId="TableColorful2">
    <w:name w:val="Table Colorful 2"/>
    <w:basedOn w:val="TableNormal"/>
    <w:semiHidden/>
    <w:pPr>
      <w:jc w:val="both"/>
    </w:pPr>
    <w:tblPr>
      <w:tblBorders>
        <w:bottom w:val="single" w:sz="12" w:space="0" w:color="000000"/>
      </w:tblBorders>
    </w:tblPr>
    <w:tcPr>
      <w:shd w:val="pct20" w:color="FFFF00" w:fill="FFFFFF"/>
    </w:tcPr>
    <w:tblStylePr w:type="firstRow">
      <w:rPr>
        <w:b/>
        <w:bCs/>
        <w:i/>
        <w:iCs/>
        <w:color w:val="FFFFFF"/>
      </w:rPr>
      <w:tblPr/>
      <w:tcPr>
        <w:tcBorders>
          <w:top w:val="none" w:sz="0" w:space="0" w:color="auto"/>
          <w:left w:val="none" w:sz="0" w:space="0" w:color="auto"/>
          <w:bottom w:val="single" w:sz="12" w:space="0" w:color="000000"/>
          <w:right w:val="none" w:sz="0" w:space="0" w:color="auto"/>
          <w:insideH w:val="none" w:sz="0" w:space="0" w:color="auto"/>
          <w:insideV w:val="none" w:sz="0" w:space="0" w:color="auto"/>
          <w:tl2br w:val="nil"/>
          <w:tr2bl w:val="nil"/>
        </w:tcBorders>
        <w:shd w:val="solid" w:color="800000" w:fill="FFFFFF"/>
      </w:tcPr>
    </w:tblStylePr>
    <w:tblStylePr w:type="firstCol">
      <w:rPr>
        <w:b/>
        <w:bCs/>
        <w:i/>
        <w:iCs/>
      </w:rPr>
      <w:tblPr/>
      <w:tcPr>
        <w:tcBorders>
          <w:top w:val="none" w:sz="0" w:space="0" w:color="auto"/>
          <w:left w:val="none" w:sz="0" w:space="0" w:color="auto"/>
          <w:bottom w:val="none" w:sz="0" w:space="0" w:color="auto"/>
          <w:right w:val="none" w:sz="0" w:space="0" w:color="auto"/>
          <w:insideH w:val="none" w:sz="0" w:space="0" w:color="auto"/>
          <w:insideV w:val="none" w:sz="0" w:space="0" w:color="auto"/>
          <w:tl2br w:val="nil"/>
          <w:tr2bl w:val="nil"/>
        </w:tcBorders>
      </w:tcPr>
    </w:tblStylePr>
    <w:tblStylePr w:type="lastCol">
      <w:tblPr/>
      <w:tcPr>
        <w:tcBorders>
          <w:top w:val="none" w:sz="0" w:space="0" w:color="auto"/>
          <w:left w:val="none" w:sz="0" w:space="0" w:color="auto"/>
          <w:bottom w:val="none" w:sz="0" w:space="0" w:color="auto"/>
          <w:right w:val="none" w:sz="0" w:space="0" w:color="auto"/>
          <w:insideH w:val="none" w:sz="0" w:space="0" w:color="auto"/>
          <w:insideV w:val="none" w:sz="0" w:space="0" w:color="auto"/>
          <w:tl2br w:val="nil"/>
          <w:tr2bl w:val="nil"/>
        </w:tcBorders>
        <w:shd w:val="solid" w:color="C0C0C0" w:fill="FFFFFF"/>
      </w:tcPr>
    </w:tblStylePr>
    <w:tblStylePr w:type="swCell">
      <w:rPr>
        <w:b/>
        <w:bCs/>
        <w:i w:val="0"/>
        <w:iCs w:val="0"/>
      </w:rPr>
      <w:tblPr/>
      <w:tcPr>
        <w:tcBorders>
          <w:top w:val="none" w:sz="0" w:space="0" w:color="auto"/>
          <w:left w:val="none" w:sz="0" w:space="0" w:color="auto"/>
          <w:bottom w:val="none" w:sz="0" w:space="0" w:color="auto"/>
          <w:right w:val="none" w:sz="0" w:space="0" w:color="auto"/>
          <w:insideH w:val="none" w:sz="0" w:space="0" w:color="auto"/>
          <w:insideV w:val="none" w:sz="0" w:space="0" w:color="auto"/>
          <w:tl2br w:val="nil"/>
          <w:tr2bl w:val="nil"/>
        </w:tcBorders>
      </w:tcPr>
    </w:tblStylePr>
  </w:style>
  <w:style w:type="table" w:styleId="TableGrid6">
    <w:name w:val="Table Grid 6"/>
    <w:basedOn w:val="TableNormal"/>
    <w:semiHidden/>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top w:val="none" w:sz="0" w:space="0" w:color="auto"/>
          <w:left w:val="none" w:sz="0" w:space="0" w:color="auto"/>
          <w:bottom w:val="single" w:sz="6" w:space="0" w:color="000000"/>
          <w:right w:val="none" w:sz="0" w:space="0" w:color="auto"/>
          <w:insideH w:val="none" w:sz="0" w:space="0" w:color="auto"/>
          <w:insideV w:val="none" w:sz="0" w:space="0" w:color="auto"/>
          <w:tl2br w:val="nil"/>
          <w:tr2bl w:val="nil"/>
        </w:tcBorders>
      </w:tcPr>
    </w:tblStylePr>
    <w:tblStylePr w:type="lastRow">
      <w:rPr>
        <w:color w:val="auto"/>
      </w:rPr>
      <w:tblPr/>
      <w:tcPr>
        <w:tcBorders>
          <w:top w:val="single" w:sz="6" w:space="0" w:color="000000"/>
          <w:left w:val="none" w:sz="0" w:space="0" w:color="auto"/>
          <w:bottom w:val="none" w:sz="0" w:space="0" w:color="auto"/>
          <w:right w:val="none" w:sz="0" w:space="0" w:color="auto"/>
          <w:insideH w:val="none" w:sz="0" w:space="0" w:color="auto"/>
          <w:insideV w:val="none" w:sz="0" w:space="0" w:color="auto"/>
          <w:tl2br w:val="nil"/>
          <w:tr2bl w:val="nil"/>
        </w:tcBorders>
      </w:tcPr>
    </w:tblStylePr>
    <w:tblStylePr w:type="firstCol">
      <w:rPr>
        <w:b/>
        <w:bCs/>
      </w:rPr>
      <w:tblPr/>
      <w:tcPr>
        <w:tcBorders>
          <w:top w:val="none" w:sz="0" w:space="0" w:color="auto"/>
          <w:left w:val="none" w:sz="0" w:space="0" w:color="auto"/>
          <w:bottom w:val="none" w:sz="0" w:space="0" w:color="auto"/>
          <w:right w:val="none" w:sz="0" w:space="0" w:color="auto"/>
          <w:insideH w:val="none" w:sz="0" w:space="0" w:color="auto"/>
          <w:insideV w:val="none" w:sz="0" w:space="0" w:color="auto"/>
          <w:tl2br w:val="nil"/>
          <w:tr2bl w:val="nil"/>
        </w:tcBorders>
      </w:tcPr>
    </w:tblStylePr>
    <w:tblStylePr w:type="nwCell">
      <w:tblPr/>
      <w:tcPr>
        <w:tcBorders>
          <w:top w:val="none" w:sz="0" w:space="0" w:color="auto"/>
          <w:left w:val="none" w:sz="0" w:space="0" w:color="auto"/>
          <w:bottom w:val="none" w:sz="0" w:space="0" w:color="auto"/>
          <w:right w:val="none" w:sz="0" w:space="0" w:color="auto"/>
          <w:insideH w:val="none" w:sz="0" w:space="0" w:color="auto"/>
          <w:insideV w:val="none" w:sz="0" w:space="0" w:color="auto"/>
          <w:tl2br w:val="single" w:sz="6" w:space="0" w:color="000000"/>
          <w:tr2bl w:val="nil"/>
        </w:tcBorders>
      </w:tcPr>
    </w:tblStylePr>
  </w:style>
  <w:style w:type="table" w:styleId="TableGrid2">
    <w:name w:val="Table Grid 2"/>
    <w:basedOn w:val="TableNormal"/>
    <w:semiHidden/>
    <w:pPr>
      <w:jc w:val="both"/>
    </w:pPr>
    <w:tblPr>
      <w:tblBorders>
        <w:insideH w:val="single" w:sz="6" w:space="0" w:color="000000"/>
        <w:insideV w:val="single" w:sz="6" w:space="0" w:color="000000"/>
      </w:tblBorders>
    </w:tblPr>
    <w:tcPr>
      <w:shd w:val="clear" w:color="auto" w:fill="auto"/>
    </w:tcPr>
    <w:tblStylePr w:type="firstRow">
      <w:rPr>
        <w:b/>
        <w:bCs/>
      </w:rPr>
      <w:tblPr/>
      <w:tcPr>
        <w:tcBorders>
          <w:top w:val="none" w:sz="0" w:space="0" w:color="auto"/>
          <w:left w:val="none" w:sz="0" w:space="0" w:color="auto"/>
          <w:bottom w:val="none" w:sz="0" w:space="0" w:color="auto"/>
          <w:right w:val="none" w:sz="0" w:space="0" w:color="auto"/>
          <w:insideH w:val="none" w:sz="0" w:space="0" w:color="auto"/>
          <w:insideV w:val="none" w:sz="0" w:space="0" w:color="auto"/>
          <w:tl2br w:val="nil"/>
          <w:tr2bl w:val="nil"/>
        </w:tcBorders>
      </w:tcPr>
    </w:tblStylePr>
    <w:tblStylePr w:type="lastRow">
      <w:rPr>
        <w:b/>
        <w:bCs/>
      </w:rPr>
      <w:tblPr/>
      <w:tcPr>
        <w:tcBorders>
          <w:top w:val="single" w:sz="6" w:space="0" w:color="000000"/>
          <w:left w:val="none" w:sz="0" w:space="0" w:color="auto"/>
          <w:bottom w:val="none" w:sz="0" w:space="0" w:color="auto"/>
          <w:right w:val="none" w:sz="0" w:space="0" w:color="auto"/>
          <w:insideH w:val="none" w:sz="0" w:space="0" w:color="auto"/>
          <w:insideV w:val="none" w:sz="0" w:space="0" w:color="auto"/>
          <w:tl2br w:val="nil"/>
          <w:tr2bl w:val="nil"/>
        </w:tcBorders>
      </w:tcPr>
    </w:tblStylePr>
    <w:tblStylePr w:type="firstCol">
      <w:rPr>
        <w:b/>
        <w:bCs/>
      </w:rPr>
      <w:tblPr/>
      <w:tcPr>
        <w:tcBorders>
          <w:top w:val="none" w:sz="0" w:space="0" w:color="auto"/>
          <w:left w:val="none" w:sz="0" w:space="0" w:color="auto"/>
          <w:bottom w:val="none" w:sz="0" w:space="0" w:color="auto"/>
          <w:right w:val="none" w:sz="0" w:space="0" w:color="auto"/>
          <w:insideH w:val="none" w:sz="0" w:space="0" w:color="auto"/>
          <w:insideV w:val="none" w:sz="0" w:space="0" w:color="auto"/>
          <w:tl2br w:val="nil"/>
          <w:tr2bl w:val="nil"/>
        </w:tcBorders>
      </w:tcPr>
    </w:tblStylePr>
    <w:tblStylePr w:type="lastCol">
      <w:rPr>
        <w:b/>
        <w:bCs/>
      </w:rPr>
      <w:tblPr/>
      <w:tcPr>
        <w:tcBorders>
          <w:top w:val="none" w:sz="0" w:space="0" w:color="auto"/>
          <w:left w:val="none" w:sz="0" w:space="0" w:color="auto"/>
          <w:bottom w:val="none" w:sz="0" w:space="0" w:color="auto"/>
          <w:right w:val="none" w:sz="0" w:space="0" w:color="auto"/>
          <w:insideH w:val="none" w:sz="0" w:space="0" w:color="auto"/>
          <w:insideV w:val="none" w:sz="0" w:space="0" w:color="auto"/>
          <w:tl2br w:val="nil"/>
          <w:tr2bl w:val="nil"/>
        </w:tcBorders>
      </w:tcPr>
    </w:tblStylePr>
  </w:style>
  <w:style w:type="table" w:styleId="TableColorful1">
    <w:name w:val="Table Colorful 1"/>
    <w:basedOn w:val="TableNormal"/>
    <w:semiHidden/>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op w:val="none" w:sz="0" w:space="0" w:color="auto"/>
          <w:left w:val="none" w:sz="0" w:space="0" w:color="auto"/>
          <w:bottom w:val="none" w:sz="0" w:space="0" w:color="auto"/>
          <w:right w:val="none" w:sz="0" w:space="0" w:color="auto"/>
          <w:insideH w:val="none" w:sz="0" w:space="0" w:color="auto"/>
          <w:insideV w:val="none" w:sz="0" w:space="0" w:color="auto"/>
          <w:tl2br w:val="nil"/>
          <w:tr2bl w:val="nil"/>
        </w:tcBorders>
        <w:shd w:val="solid" w:color="000000" w:fill="FFFFFF"/>
      </w:tcPr>
    </w:tblStylePr>
    <w:tblStylePr w:type="firstCol">
      <w:rPr>
        <w:b/>
        <w:bCs/>
        <w:i/>
        <w:iCs/>
      </w:rPr>
      <w:tblPr/>
      <w:tcPr>
        <w:tcBorders>
          <w:top w:val="none" w:sz="0" w:space="0" w:color="auto"/>
          <w:left w:val="none" w:sz="0" w:space="0" w:color="auto"/>
          <w:bottom w:val="none" w:sz="0" w:space="0" w:color="auto"/>
          <w:right w:val="none" w:sz="0" w:space="0" w:color="auto"/>
          <w:insideH w:val="none" w:sz="0" w:space="0" w:color="auto"/>
          <w:insideV w:val="none" w:sz="0" w:space="0" w:color="auto"/>
          <w:tl2br w:val="nil"/>
          <w:tr2bl w:val="nil"/>
        </w:tcBorders>
        <w:shd w:val="solid" w:color="000080" w:fill="FFFFFF"/>
      </w:tcPr>
    </w:tblStylePr>
    <w:tblStylePr w:type="nwCell">
      <w:tblPr/>
      <w:tcPr>
        <w:tcBorders>
          <w:top w:val="none" w:sz="0" w:space="0" w:color="auto"/>
          <w:left w:val="none" w:sz="0" w:space="0" w:color="auto"/>
          <w:bottom w:val="none" w:sz="0" w:space="0" w:color="auto"/>
          <w:right w:val="none" w:sz="0" w:space="0" w:color="auto"/>
          <w:insideH w:val="none" w:sz="0" w:space="0" w:color="auto"/>
          <w:insideV w:val="none" w:sz="0" w:space="0" w:color="auto"/>
          <w:tl2br w:val="nil"/>
          <w:tr2bl w:val="nil"/>
        </w:tcBorders>
        <w:shd w:val="solid" w:color="000000" w:fill="FFFFFF"/>
      </w:tcPr>
    </w:tblStylePr>
    <w:tblStylePr w:type="swCell">
      <w:rPr>
        <w:b/>
        <w:bCs/>
        <w:i w:val="0"/>
        <w:iCs w:val="0"/>
      </w:rPr>
      <w:tblPr/>
      <w:tcPr>
        <w:tcBorders>
          <w:top w:val="none" w:sz="0" w:space="0" w:color="auto"/>
          <w:left w:val="none" w:sz="0" w:space="0" w:color="auto"/>
          <w:bottom w:val="none" w:sz="0" w:space="0" w:color="auto"/>
          <w:right w:val="none" w:sz="0" w:space="0" w:color="auto"/>
          <w:insideH w:val="none" w:sz="0" w:space="0" w:color="auto"/>
          <w:insideV w:val="none" w:sz="0" w:space="0" w:color="auto"/>
          <w:tl2br w:val="nil"/>
          <w:tr2bl w:val="nil"/>
        </w:tcBorders>
      </w:tcPr>
    </w:tblStylePr>
  </w:style>
  <w:style w:type="table" w:styleId="TableList3">
    <w:name w:val="Table List 3"/>
    <w:basedOn w:val="TableNormal"/>
    <w:semiHidden/>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top w:val="none" w:sz="0" w:space="0" w:color="auto"/>
          <w:left w:val="none" w:sz="0" w:space="0" w:color="auto"/>
          <w:bottom w:val="single" w:sz="12" w:space="0" w:color="000000"/>
          <w:right w:val="none" w:sz="0" w:space="0" w:color="auto"/>
          <w:insideH w:val="none" w:sz="0" w:space="0" w:color="auto"/>
          <w:insideV w:val="none" w:sz="0" w:space="0" w:color="auto"/>
          <w:tl2br w:val="nil"/>
          <w:tr2bl w:val="nil"/>
        </w:tcBorders>
      </w:tcPr>
    </w:tblStylePr>
    <w:tblStylePr w:type="lastRow">
      <w:tblPr/>
      <w:tcPr>
        <w:tcBorders>
          <w:top w:val="single" w:sz="12" w:space="0" w:color="000000"/>
          <w:left w:val="none" w:sz="0" w:space="0" w:color="auto"/>
          <w:bottom w:val="none" w:sz="0" w:space="0" w:color="auto"/>
          <w:right w:val="none" w:sz="0" w:space="0" w:color="auto"/>
          <w:insideH w:val="none" w:sz="0" w:space="0" w:color="auto"/>
          <w:insideV w:val="none" w:sz="0" w:space="0" w:color="auto"/>
          <w:tl2br w:val="nil"/>
          <w:tr2bl w:val="nil"/>
        </w:tcBorders>
      </w:tcPr>
    </w:tblStylePr>
    <w:tblStylePr w:type="swCell">
      <w:rPr>
        <w:i/>
        <w:iCs/>
        <w:color w:val="000080"/>
      </w:rPr>
      <w:tblPr/>
      <w:tcPr>
        <w:tcBorders>
          <w:top w:val="none" w:sz="0" w:space="0" w:color="auto"/>
          <w:left w:val="none" w:sz="0" w:space="0" w:color="auto"/>
          <w:bottom w:val="none" w:sz="0" w:space="0" w:color="auto"/>
          <w:right w:val="none" w:sz="0" w:space="0" w:color="auto"/>
          <w:insideH w:val="none" w:sz="0" w:space="0" w:color="auto"/>
          <w:insideV w:val="none" w:sz="0" w:space="0" w:color="auto"/>
          <w:tl2br w:val="nil"/>
          <w:tr2bl w:val="nil"/>
        </w:tcBorders>
      </w:tcPr>
    </w:tblStylePr>
  </w:style>
  <w:style w:type="table" w:styleId="TableList1">
    <w:name w:val="Table List 1"/>
    <w:basedOn w:val="TableNormal"/>
    <w:semiHidden/>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top w:val="none" w:sz="0" w:space="0" w:color="auto"/>
          <w:left w:val="none" w:sz="0" w:space="0" w:color="auto"/>
          <w:bottom w:val="single" w:sz="6" w:space="0" w:color="000000"/>
          <w:right w:val="none" w:sz="0" w:space="0" w:color="auto"/>
          <w:insideH w:val="none" w:sz="0" w:space="0" w:color="auto"/>
          <w:insideV w:val="none" w:sz="0" w:space="0" w:color="auto"/>
          <w:tl2br w:val="nil"/>
          <w:tr2bl w:val="nil"/>
        </w:tcBorders>
        <w:shd w:val="solid" w:color="C0C0C0" w:fill="FFFFFF"/>
      </w:tcPr>
    </w:tblStylePr>
    <w:tblStylePr w:type="lastRow">
      <w:tblPr/>
      <w:tcPr>
        <w:tcBorders>
          <w:top w:val="single" w:sz="6" w:space="0" w:color="000000"/>
          <w:left w:val="none" w:sz="0" w:space="0" w:color="auto"/>
          <w:bottom w:val="none" w:sz="0" w:space="0" w:color="auto"/>
          <w:right w:val="none" w:sz="0" w:space="0" w:color="auto"/>
          <w:insideH w:val="none" w:sz="0" w:space="0" w:color="auto"/>
          <w:insideV w:val="none" w:sz="0" w:space="0" w:color="auto"/>
          <w:tl2br w:val="nil"/>
          <w:tr2bl w:val="nil"/>
        </w:tcBorders>
      </w:tcPr>
    </w:tblStylePr>
    <w:tblStylePr w:type="band1Horz">
      <w:rPr>
        <w:color w:val="auto"/>
      </w:rPr>
      <w:tblPr/>
      <w:tcPr>
        <w:tcBorders>
          <w:top w:val="none" w:sz="0" w:space="0" w:color="auto"/>
          <w:left w:val="none" w:sz="0" w:space="0" w:color="auto"/>
          <w:bottom w:val="none" w:sz="0" w:space="0" w:color="auto"/>
          <w:right w:val="none" w:sz="0" w:space="0" w:color="auto"/>
          <w:insideH w:val="none" w:sz="0" w:space="0" w:color="auto"/>
          <w:insideV w:val="none" w:sz="0" w:space="0" w:color="auto"/>
          <w:tl2br w:val="nil"/>
          <w:tr2bl w:val="nil"/>
        </w:tcBorders>
        <w:shd w:val="solid" w:color="C0C0C0" w:fill="FFFFFF"/>
      </w:tcPr>
    </w:tblStylePr>
    <w:tblStylePr w:type="band2Horz">
      <w:rPr>
        <w:color w:val="auto"/>
      </w:rPr>
      <w:tblPr/>
      <w:tcPr>
        <w:tcBorders>
          <w:top w:val="none" w:sz="0" w:space="0" w:color="auto"/>
          <w:left w:val="none" w:sz="0" w:space="0" w:color="auto"/>
          <w:bottom w:val="none" w:sz="0" w:space="0" w:color="auto"/>
          <w:right w:val="none" w:sz="0" w:space="0" w:color="auto"/>
          <w:insideH w:val="none" w:sz="0" w:space="0" w:color="auto"/>
          <w:insideV w:val="none" w:sz="0" w:space="0" w:color="auto"/>
          <w:tl2br w:val="nil"/>
          <w:tr2bl w:val="nil"/>
        </w:tcBorders>
      </w:tcPr>
    </w:tblStylePr>
    <w:tblStylePr w:type="swCell">
      <w:rPr>
        <w:b/>
        <w:bCs/>
      </w:rPr>
      <w:tblPr/>
      <w:tcPr>
        <w:tcBorders>
          <w:top w:val="none" w:sz="0" w:space="0" w:color="auto"/>
          <w:left w:val="none" w:sz="0" w:space="0" w:color="auto"/>
          <w:bottom w:val="none" w:sz="0" w:space="0" w:color="auto"/>
          <w:right w:val="none" w:sz="0" w:space="0" w:color="auto"/>
          <w:insideH w:val="none" w:sz="0" w:space="0" w:color="auto"/>
          <w:insideV w:val="none" w:sz="0" w:space="0" w:color="auto"/>
          <w:tl2br w:val="nil"/>
          <w:tr2bl w:val="nil"/>
        </w:tcBorders>
      </w:tcPr>
    </w:tblStylePr>
  </w:style>
  <w:style w:type="table" w:styleId="TableSimple1">
    <w:name w:val="Table Simple 1"/>
    <w:basedOn w:val="TableNormal"/>
    <w:semiHidden/>
    <w:pPr>
      <w:jc w:val="both"/>
    </w:pPr>
    <w:tblPr>
      <w:tblBorders>
        <w:top w:val="single" w:sz="12" w:space="0" w:color="008000"/>
        <w:bottom w:val="single" w:sz="12" w:space="0" w:color="008000"/>
      </w:tblBorders>
    </w:tblPr>
    <w:tcPr>
      <w:shd w:val="clear" w:color="auto" w:fill="auto"/>
    </w:tcPr>
    <w:tblStylePr w:type="firstRow">
      <w:tblPr/>
      <w:tcPr>
        <w:tcBorders>
          <w:top w:val="none" w:sz="0" w:space="0" w:color="auto"/>
          <w:left w:val="none" w:sz="0" w:space="0" w:color="auto"/>
          <w:bottom w:val="single" w:sz="6" w:space="0" w:color="008000"/>
          <w:right w:val="none" w:sz="0" w:space="0" w:color="auto"/>
          <w:insideH w:val="none" w:sz="0" w:space="0" w:color="auto"/>
          <w:insideV w:val="none" w:sz="0" w:space="0" w:color="auto"/>
          <w:tl2br w:val="nil"/>
          <w:tr2bl w:val="nil"/>
        </w:tcBorders>
      </w:tcPr>
    </w:tblStylePr>
    <w:tblStylePr w:type="lastRow">
      <w:tblPr/>
      <w:tcPr>
        <w:tcBorders>
          <w:top w:val="single" w:sz="6" w:space="0" w:color="008000"/>
          <w:left w:val="none" w:sz="0" w:space="0" w:color="auto"/>
          <w:bottom w:val="none" w:sz="0" w:space="0" w:color="auto"/>
          <w:right w:val="none" w:sz="0" w:space="0" w:color="auto"/>
          <w:insideH w:val="none" w:sz="0" w:space="0" w:color="auto"/>
          <w:insideV w:val="none" w:sz="0" w:space="0" w:color="auto"/>
          <w:tl2br w:val="nil"/>
          <w:tr2bl w:val="nil"/>
        </w:tcBorders>
      </w:tcPr>
    </w:tblStylePr>
  </w:style>
  <w:style w:type="table" w:styleId="TableProfessional">
    <w:name w:val="Table Professional"/>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op w:val="none" w:sz="0" w:space="0" w:color="auto"/>
          <w:left w:val="none" w:sz="0" w:space="0" w:color="auto"/>
          <w:bottom w:val="none" w:sz="0" w:space="0" w:color="auto"/>
          <w:right w:val="none" w:sz="0" w:space="0" w:color="auto"/>
          <w:insideH w:val="none" w:sz="0" w:space="0" w:color="auto"/>
          <w:insideV w:val="none" w:sz="0" w:space="0" w:color="auto"/>
          <w:tl2br w:val="nil"/>
          <w:tr2bl w:val="nil"/>
        </w:tcBorders>
        <w:shd w:val="solid" w:color="000000" w:fill="FFFFFF"/>
      </w:tcPr>
    </w:tblStylePr>
  </w:style>
  <w:style w:type="table" w:styleId="TableClassic1">
    <w:name w:val="Table Classic 1"/>
    <w:basedOn w:val="TableNormal"/>
    <w:semiHidden/>
    <w:pPr>
      <w:jc w:val="both"/>
    </w:pPr>
    <w:tblPr>
      <w:tblBorders>
        <w:top w:val="single" w:sz="12" w:space="0" w:color="000000"/>
        <w:bottom w:val="single" w:sz="12" w:space="0" w:color="000000"/>
      </w:tblBorders>
    </w:tblPr>
    <w:tcPr>
      <w:shd w:val="clear" w:color="auto" w:fill="auto"/>
    </w:tcPr>
    <w:tblStylePr w:type="firstRow">
      <w:rPr>
        <w:i/>
        <w:iCs/>
      </w:rPr>
      <w:tblPr/>
      <w:tcPr>
        <w:tcBorders>
          <w:top w:val="none" w:sz="0" w:space="0" w:color="auto"/>
          <w:left w:val="none" w:sz="0" w:space="0" w:color="auto"/>
          <w:bottom w:val="single" w:sz="6" w:space="0" w:color="000000"/>
          <w:right w:val="none" w:sz="0" w:space="0" w:color="auto"/>
          <w:insideH w:val="none" w:sz="0" w:space="0" w:color="auto"/>
          <w:insideV w:val="none" w:sz="0" w:space="0" w:color="auto"/>
          <w:tl2br w:val="nil"/>
          <w:tr2bl w:val="nil"/>
        </w:tcBorders>
      </w:tcPr>
    </w:tblStylePr>
    <w:tblStylePr w:type="lastRow">
      <w:rPr>
        <w:color w:val="auto"/>
      </w:rPr>
      <w:tblPr/>
      <w:tcPr>
        <w:tcBorders>
          <w:top w:val="single" w:sz="6" w:space="0" w:color="000000"/>
          <w:left w:val="none" w:sz="0" w:space="0" w:color="auto"/>
          <w:bottom w:val="none" w:sz="0" w:space="0" w:color="auto"/>
          <w:right w:val="none" w:sz="0" w:space="0" w:color="auto"/>
          <w:insideH w:val="none" w:sz="0" w:space="0" w:color="auto"/>
          <w:insideV w:val="none" w:sz="0" w:space="0" w:color="auto"/>
          <w:tl2br w:val="nil"/>
          <w:tr2bl w:val="nil"/>
        </w:tcBorders>
      </w:tcPr>
    </w:tblStylePr>
    <w:tblStylePr w:type="firstCol">
      <w:tblPr/>
      <w:tcPr>
        <w:tcBorders>
          <w:top w:val="none" w:sz="0" w:space="0" w:color="auto"/>
          <w:left w:val="none" w:sz="0" w:space="0" w:color="auto"/>
          <w:bottom w:val="none" w:sz="0" w:space="0" w:color="auto"/>
          <w:right w:val="single" w:sz="6" w:space="0" w:color="000000"/>
          <w:insideH w:val="none" w:sz="0" w:space="0" w:color="auto"/>
          <w:insideV w:val="none" w:sz="0" w:space="0" w:color="auto"/>
          <w:tl2br w:val="nil"/>
          <w:tr2bl w:val="nil"/>
        </w:tcBorders>
      </w:tcPr>
    </w:tblStylePr>
    <w:tblStylePr w:type="neCell">
      <w:rPr>
        <w:b/>
        <w:bCs/>
        <w:i w:val="0"/>
        <w:iCs w:val="0"/>
      </w:rPr>
      <w:tblPr/>
      <w:tcPr>
        <w:tcBorders>
          <w:top w:val="none" w:sz="0" w:space="0" w:color="auto"/>
          <w:left w:val="none" w:sz="0" w:space="0" w:color="auto"/>
          <w:bottom w:val="none" w:sz="0" w:space="0" w:color="auto"/>
          <w:right w:val="none" w:sz="0" w:space="0" w:color="auto"/>
          <w:insideH w:val="none" w:sz="0" w:space="0" w:color="auto"/>
          <w:insideV w:val="none" w:sz="0" w:space="0" w:color="auto"/>
          <w:tl2br w:val="nil"/>
          <w:tr2bl w:val="nil"/>
        </w:tcBorders>
      </w:tcPr>
    </w:tblStylePr>
    <w:tblStylePr w:type="swCell">
      <w:rPr>
        <w:b/>
        <w:bCs/>
      </w:rPr>
      <w:tblPr/>
      <w:tcPr>
        <w:tcBorders>
          <w:top w:val="none" w:sz="0" w:space="0" w:color="auto"/>
          <w:left w:val="none" w:sz="0" w:space="0" w:color="auto"/>
          <w:bottom w:val="none" w:sz="0" w:space="0" w:color="auto"/>
          <w:right w:val="none" w:sz="0" w:space="0" w:color="auto"/>
          <w:insideH w:val="none" w:sz="0" w:space="0" w:color="auto"/>
          <w:insideV w:val="none" w:sz="0" w:space="0" w:color="auto"/>
          <w:tl2br w:val="nil"/>
          <w:tr2bl w:val="nil"/>
        </w:tcBorders>
      </w:tcPr>
    </w:tblStylePr>
  </w:style>
  <w:style w:type="paragraph" w:styleId="ListParagraph">
    <w:name w:val="List Paragraph"/>
    <w:basedOn w:val="Normal"/>
    <w:uiPriority w:val="34"/>
    <w:qFormat/>
    <w:rsid w:val="0002589C"/>
    <w:pPr>
      <w:ind w:left="720"/>
      <w:contextualSpacing/>
    </w:pPr>
  </w:style>
  <w:style w:type="character" w:customStyle="1" w:styleId="HeaderChar">
    <w:name w:val="Header Char"/>
    <w:basedOn w:val="DefaultParagraphFont"/>
    <w:link w:val="Header"/>
    <w:rsid w:val="00ED6B0A"/>
    <w:rPr>
      <w:sz w:val="22"/>
      <w:szCs w:val="22"/>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35432558">
      <w:bodyDiv w:val="1"/>
      <w:marLeft w:val="0"/>
      <w:marRight w:val="0"/>
      <w:marTop w:val="0"/>
      <w:marBottom w:val="0"/>
      <w:divBdr>
        <w:top w:val="none" w:sz="0" w:space="0" w:color="auto"/>
        <w:left w:val="none" w:sz="0" w:space="0" w:color="auto"/>
        <w:bottom w:val="none" w:sz="0" w:space="0" w:color="auto"/>
        <w:right w:val="none" w:sz="0" w:space="0" w:color="auto"/>
      </w:divBdr>
    </w:div>
  </w:divs>
  <w:encoding w:val="x-cp20936"/>
  <w:optimizeForBrowser/>
  <w:allowPNG/>
  <w:pixelsPerInch w:val="120"/>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customXml" Target="../customXml/item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20" Type="http://schemas.openxmlformats.org/officeDocument/2006/relationships/customXml" Target="../customXml/item3.xml"/><Relationship Id="rId1" Type="http://schemas.microsoft.com/office/2006/relationships/keyMapCustomizations" Target="customizations.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19" Type="http://schemas.openxmlformats.org/officeDocument/2006/relationships/customXml" Target="../customXml/item2.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eader" Target="header3.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DF00DB1CFC87549A2FDEA0A8F99BEBC" ma:contentTypeVersion="1" ma:contentTypeDescription="Create a new document." ma:contentTypeScope="" ma:versionID="650eb5de534a4b4ed1be18027b6747b5">
  <xsd:schema xmlns:xsd="http://www.w3.org/2001/XMLSchema" xmlns:p="http://schemas.microsoft.com/office/2006/metadata/properties" xmlns:ns2="dce579b6-ee48-4930-8ef4-fe326d357435" targetNamespace="http://schemas.microsoft.com/office/2006/metadata/properties" ma:root="true" ma:fieldsID="3d979dfa8a93aa54977f5afb54b84d14" ns2:_="">
    <xsd:import namespace="dce579b6-ee48-4930-8ef4-fe326d357435"/>
    <xsd:element name="properties">
      <xsd:complexType>
        <xsd:sequence>
          <xsd:element name="documentManagement">
            <xsd:complexType>
              <xsd:all>
                <xsd:element ref="ns2:Document_x0020_Number" minOccurs="0"/>
              </xsd:all>
            </xsd:complexType>
          </xsd:element>
        </xsd:sequence>
      </xsd:complexType>
    </xsd:element>
  </xsd:schema>
  <xsd:schema xmlns:xsd="http://www.w3.org/2001/XMLSchema" xmlns:dms="http://schemas.microsoft.com/office/2006/documentManagement/types" targetNamespace="dce579b6-ee48-4930-8ef4-fe326d357435"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documentManagement>
    <Document_x0020_Number xmlns="dce579b6-ee48-4930-8ef4-fe326d357435">UNEP/OzL.Pro/ExCom/87/20</Document_x0020_Number>
  </documentManagement>
</p:properties>
</file>

<file path=customXml/itemProps1.xml><?xml version="1.0" encoding="utf-8"?>
<ds:datastoreItem xmlns:ds="http://schemas.openxmlformats.org/officeDocument/2006/customXml" ds:itemID="{E83547B0-528D-4467-96CD-7BD29AC7A5AB}"/>
</file>

<file path=customXml/itemProps2.xml><?xml version="1.0" encoding="utf-8"?>
<ds:datastoreItem xmlns:ds="http://schemas.openxmlformats.org/officeDocument/2006/customXml" ds:itemID="{67F6D19D-6315-42AE-96F6-F9A7B836AC48}"/>
</file>

<file path=customXml/itemProps3.xml><?xml version="1.0" encoding="utf-8"?>
<ds:datastoreItem xmlns:ds="http://schemas.openxmlformats.org/officeDocument/2006/customXml" ds:itemID="{0B9BC540-AB3D-42E1-BA7E-B59454703BE7}"/>
</file>

<file path=docProps/app.xml><?xml version="1.0" encoding="utf-8"?>
<Properties xmlns="http://schemas.openxmlformats.org/officeDocument/2006/extended-properties" xmlns:vt="http://schemas.openxmlformats.org/officeDocument/2006/docPropsVTypes">
  <Template>Normal</Template>
  <TotalTime>45</TotalTime>
  <Pages>7</Pages>
  <Words>4315</Words>
  <Characters>1868</Characters>
  <Application>Microsoft Office Word</Application>
  <DocSecurity>0</DocSecurity>
  <Lines>15</Lines>
  <Paragraphs>12</Paragraphs>
  <ScaleCrop>false</ScaleCrop>
  <HeadingPairs>
    <vt:vector size="2" baseType="variant">
      <vt:variant>
        <vt:lpstr>Title</vt:lpstr>
      </vt:variant>
      <vt:variant>
        <vt:i4>1</vt:i4>
      </vt:variant>
    </vt:vector>
  </HeadingPairs>
  <TitlesOfParts>
    <vt:vector size="1" baseType="lpstr">
      <vt:lpstr>项目提案：贝宁</vt:lpstr>
    </vt:vector>
  </TitlesOfParts>
  <Company>UNMFS</Company>
  <LinksUpToDate>false</LinksUpToDate>
  <CharactersWithSpaces>6171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项目提案：贝宁</dc:title>
  <dc:subject/>
  <dc:creator>Mulu Alem</dc:creator>
  <cp:keywords/>
  <cp:lastModifiedBy>HB</cp:lastModifiedBy>
  <cp:revision>18</cp:revision>
  <cp:lastPrinted>2001-05-26T14:40:00Z</cp:lastPrinted>
  <dcterms:created xsi:type="dcterms:W3CDTF">2021-06-17T09:54:00Z</dcterms:created>
  <dcterms:modified xsi:type="dcterms:W3CDTF">2021-06-21T01:30:00Z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UNEP/OzL.Pro/ExCom/87/20</vt:lpwstr>
  </property>
  <property fmtid="{D5CDD505-2E9C-101B-9397-08002B2CF9AE}" pid="3" name="Revision date">
    <vt:lpwstr>6/7/2021</vt:lpwstr>
  </property>
  <property fmtid="{D5CDD505-2E9C-101B-9397-08002B2CF9AE}" pid="4" name="KSOProductBuildVer">
    <vt:lpwstr>2052-11.1.0.10314</vt:lpwstr>
  </property>
  <property fmtid="{D5CDD505-2E9C-101B-9397-08002B2CF9AE}" pid="5" name="ContentTypeId">
    <vt:lpwstr>0x0101002DF00DB1CFC87549A2FDEA0A8F99BEBC</vt:lpwstr>
  </property>
</Properties>
</file>