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666293" w:rsidRPr="00183B9E" w14:paraId="365C908F" w14:textId="77777777" w:rsidTr="00DC0539">
        <w:trPr>
          <w:trHeight w:val="720"/>
        </w:trPr>
        <w:tc>
          <w:tcPr>
            <w:tcW w:w="5594" w:type="dxa"/>
            <w:gridSpan w:val="2"/>
            <w:tcBorders>
              <w:bottom w:val="single" w:sz="18" w:space="0" w:color="auto"/>
            </w:tcBorders>
          </w:tcPr>
          <w:p w14:paraId="7FCC834F" w14:textId="77777777" w:rsidR="00666293" w:rsidRPr="00014D9B" w:rsidRDefault="00666293" w:rsidP="00DC05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rFonts w:ascii="SimHei" w:eastAsia="SimHei" w:hAnsi="SimHei"/>
                <w:sz w:val="28"/>
                <w:szCs w:val="28"/>
              </w:rPr>
            </w:pPr>
            <w:r w:rsidRPr="00014D9B">
              <w:rPr>
                <w:rFonts w:ascii="SimHei" w:eastAsia="SimHei" w:hAnsi="SimHei"/>
                <w:sz w:val="36"/>
                <w:szCs w:val="24"/>
              </w:rPr>
              <w:t>联  合  国</w:t>
            </w:r>
          </w:p>
        </w:tc>
        <w:tc>
          <w:tcPr>
            <w:tcW w:w="4410" w:type="dxa"/>
            <w:gridSpan w:val="2"/>
            <w:tcBorders>
              <w:bottom w:val="single" w:sz="18" w:space="0" w:color="auto"/>
            </w:tcBorders>
          </w:tcPr>
          <w:p w14:paraId="63D67BE9" w14:textId="77777777" w:rsidR="00666293" w:rsidRPr="00183B9E" w:rsidRDefault="00666293" w:rsidP="00DC0539">
            <w:pPr>
              <w:jc w:val="right"/>
              <w:rPr>
                <w:b/>
                <w:bCs/>
                <w:sz w:val="52"/>
                <w:szCs w:val="52"/>
              </w:rPr>
            </w:pPr>
            <w:r w:rsidRPr="00183B9E">
              <w:rPr>
                <w:rFonts w:ascii="Univers Bold" w:hAnsi="Univers Bold"/>
                <w:b/>
                <w:bCs/>
                <w:sz w:val="72"/>
              </w:rPr>
              <w:t>EP</w:t>
            </w:r>
          </w:p>
        </w:tc>
      </w:tr>
      <w:tr w:rsidR="00666293" w:rsidRPr="00183B9E" w14:paraId="6B10A7CB" w14:textId="77777777" w:rsidTr="00DC05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8227B8B" w14:textId="77777777" w:rsidR="00666293" w:rsidRPr="00183B9E" w:rsidRDefault="00BE4CF0" w:rsidP="00DC0539">
            <w:pPr>
              <w:spacing w:before="120"/>
              <w:ind w:left="-9"/>
              <w:rPr>
                <w:rFonts w:eastAsia="Times New Roman"/>
              </w:rPr>
            </w:pPr>
            <w:r>
              <w:rPr>
                <w:noProof/>
              </w:rPr>
            </w:r>
            <w:r>
              <w:rPr>
                <w:noProof/>
              </w:rPr>
              <w:pict w14:anchorId="6CDC3A1F">
                <v:group id="Group 1"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0" o:title="" croptop="-23f" cropbottom="47f" cropright="4f"/>
                    <o:lock v:ext="edit" aspectratio="f"/>
                  </v:shape>
                  <v:shape id="Picture 3"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1" o:title=""/>
                    <o:lock v:ext="edit" aspectratio="f"/>
                  </v:shape>
                  <w10:wrap type="none"/>
                  <w10:anchorlock/>
                </v:group>
              </w:pict>
            </w:r>
          </w:p>
        </w:tc>
        <w:tc>
          <w:tcPr>
            <w:tcW w:w="3969" w:type="dxa"/>
            <w:gridSpan w:val="2"/>
            <w:tcBorders>
              <w:top w:val="nil"/>
              <w:left w:val="nil"/>
              <w:bottom w:val="single" w:sz="36" w:space="0" w:color="auto"/>
              <w:right w:val="nil"/>
            </w:tcBorders>
          </w:tcPr>
          <w:p w14:paraId="7DEA42CF" w14:textId="77777777" w:rsidR="00666293" w:rsidRDefault="00666293" w:rsidP="00DC0539">
            <w:pPr>
              <w:rPr>
                <w:rFonts w:ascii="SimHei" w:eastAsia="Times New Roman" w:hAnsi="SimHei"/>
                <w:sz w:val="44"/>
                <w:szCs w:val="24"/>
              </w:rPr>
            </w:pPr>
          </w:p>
          <w:p w14:paraId="1F11EBB3" w14:textId="77777777" w:rsidR="00666293" w:rsidRPr="00014D9B" w:rsidRDefault="00666293" w:rsidP="00DC0539">
            <w:pPr>
              <w:rPr>
                <w:rFonts w:ascii="SimHei" w:eastAsia="SimHei" w:hAnsi="SimHei"/>
                <w:sz w:val="44"/>
                <w:szCs w:val="24"/>
              </w:rPr>
            </w:pPr>
            <w:r w:rsidRPr="00014D9B">
              <w:rPr>
                <w:rFonts w:ascii="SimHei" w:eastAsia="SimHei" w:hAnsi="SimHei" w:cs="SimSun" w:hint="eastAsia"/>
                <w:sz w:val="44"/>
                <w:szCs w:val="24"/>
              </w:rPr>
              <w:t>联</w:t>
            </w:r>
            <w:r w:rsidRPr="00014D9B">
              <w:rPr>
                <w:rFonts w:ascii="SimHei" w:eastAsia="SimHei" w:hAnsi="SimHei"/>
                <w:sz w:val="44"/>
                <w:szCs w:val="24"/>
              </w:rPr>
              <w:t xml:space="preserve"> </w:t>
            </w:r>
            <w:r w:rsidRPr="00014D9B">
              <w:rPr>
                <w:rFonts w:ascii="SimHei" w:eastAsia="SimHei" w:hAnsi="SimHei" w:cs="SimSun" w:hint="eastAsia"/>
                <w:sz w:val="44"/>
                <w:szCs w:val="24"/>
              </w:rPr>
              <w:t>合</w:t>
            </w:r>
            <w:r w:rsidRPr="00014D9B">
              <w:rPr>
                <w:rFonts w:ascii="SimHei" w:eastAsia="SimHei" w:hAnsi="SimHei"/>
                <w:sz w:val="44"/>
                <w:szCs w:val="24"/>
              </w:rPr>
              <w:t xml:space="preserve"> </w:t>
            </w:r>
            <w:r w:rsidRPr="00014D9B">
              <w:rPr>
                <w:rFonts w:ascii="SimHei" w:eastAsia="SimHei" w:hAnsi="SimHei" w:cs="SimSun" w:hint="eastAsia"/>
                <w:sz w:val="44"/>
                <w:szCs w:val="24"/>
              </w:rPr>
              <w:t>国</w:t>
            </w:r>
          </w:p>
          <w:p w14:paraId="0D8BE61B" w14:textId="77777777" w:rsidR="00666293" w:rsidRPr="00183B9E" w:rsidRDefault="00666293" w:rsidP="00DC05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014D9B">
              <w:rPr>
                <w:rFonts w:ascii="SimHei" w:eastAsia="SimHei" w:hAnsi="SimHei" w:cs="SimSun" w:hint="eastAsia"/>
                <w:sz w:val="44"/>
                <w:szCs w:val="24"/>
              </w:rPr>
              <w:t>环</w:t>
            </w:r>
            <w:r w:rsidRPr="00014D9B">
              <w:rPr>
                <w:rFonts w:ascii="SimHei" w:eastAsia="SimHei" w:hAnsi="SimHei"/>
                <w:sz w:val="44"/>
                <w:szCs w:val="24"/>
              </w:rPr>
              <w:t xml:space="preserve"> </w:t>
            </w:r>
            <w:r w:rsidRPr="00014D9B">
              <w:rPr>
                <w:rFonts w:ascii="SimHei" w:eastAsia="SimHei" w:hAnsi="SimHei" w:cs="SimSun" w:hint="eastAsia"/>
                <w:sz w:val="44"/>
                <w:szCs w:val="24"/>
              </w:rPr>
              <w:t>境</w:t>
            </w:r>
            <w:r w:rsidRPr="00014D9B">
              <w:rPr>
                <w:rFonts w:ascii="SimHei" w:eastAsia="SimHei" w:hAnsi="SimHei"/>
                <w:sz w:val="44"/>
                <w:szCs w:val="24"/>
              </w:rPr>
              <w:t xml:space="preserve"> </w:t>
            </w:r>
            <w:r w:rsidRPr="00014D9B">
              <w:rPr>
                <w:rFonts w:ascii="SimHei" w:eastAsia="SimHei" w:hAnsi="SimHei" w:cs="SimSun" w:hint="eastAsia"/>
                <w:sz w:val="44"/>
                <w:szCs w:val="24"/>
              </w:rPr>
              <w:t>规</w:t>
            </w:r>
            <w:r w:rsidRPr="00014D9B">
              <w:rPr>
                <w:rFonts w:ascii="SimHei" w:eastAsia="SimHei" w:hAnsi="SimHei"/>
                <w:sz w:val="44"/>
                <w:szCs w:val="24"/>
              </w:rPr>
              <w:t xml:space="preserve"> </w:t>
            </w:r>
            <w:r w:rsidRPr="00014D9B">
              <w:rPr>
                <w:rFonts w:ascii="SimHei" w:eastAsia="SimHei" w:hAnsi="SimHei" w:cs="SimSun" w:hint="eastAsia"/>
                <w:sz w:val="44"/>
                <w:szCs w:val="24"/>
              </w:rPr>
              <w:t>划</w:t>
            </w:r>
            <w:r w:rsidRPr="00014D9B">
              <w:rPr>
                <w:rFonts w:ascii="SimHei" w:eastAsia="SimHei" w:hAnsi="SimHei"/>
                <w:sz w:val="44"/>
                <w:szCs w:val="24"/>
              </w:rPr>
              <w:t xml:space="preserve"> </w:t>
            </w:r>
            <w:r w:rsidRPr="00014D9B">
              <w:rPr>
                <w:rFonts w:ascii="SimHei" w:eastAsia="SimHei" w:hAnsi="SimHei" w:cs="SimSun" w:hint="eastAsia"/>
                <w:sz w:val="44"/>
                <w:szCs w:val="24"/>
              </w:rPr>
              <w:t>署</w:t>
            </w:r>
          </w:p>
        </w:tc>
        <w:tc>
          <w:tcPr>
            <w:tcW w:w="4050" w:type="dxa"/>
            <w:tcBorders>
              <w:top w:val="nil"/>
              <w:left w:val="nil"/>
              <w:bottom w:val="single" w:sz="36" w:space="0" w:color="auto"/>
              <w:right w:val="nil"/>
            </w:tcBorders>
          </w:tcPr>
          <w:p w14:paraId="4B075680" w14:textId="77777777" w:rsidR="00666293" w:rsidRPr="00183B9E" w:rsidRDefault="00666293" w:rsidP="00DC0539"/>
          <w:p w14:paraId="738E4B48" w14:textId="77777777" w:rsidR="00666293" w:rsidRPr="00183B9E" w:rsidRDefault="00666293" w:rsidP="00DC0539">
            <w:r w:rsidRPr="00183B9E">
              <w:t>Distr.</w:t>
            </w:r>
          </w:p>
          <w:p w14:paraId="34EB00BE" w14:textId="77777777" w:rsidR="00666293" w:rsidRPr="00183B9E" w:rsidRDefault="00666293" w:rsidP="00DC0539">
            <w:r w:rsidRPr="00183B9E">
              <w:t>GENERAL</w:t>
            </w:r>
          </w:p>
          <w:p w14:paraId="36884EF8" w14:textId="77777777" w:rsidR="00666293" w:rsidRPr="00183B9E" w:rsidRDefault="00666293" w:rsidP="00DC0539"/>
          <w:p w14:paraId="11D24224" w14:textId="197327F9" w:rsidR="00236C4D" w:rsidRDefault="00236C4D" w:rsidP="00236C4D">
            <w:pPr>
              <w:rPr>
                <w:szCs w:val="24"/>
              </w:rPr>
            </w:pPr>
            <w:fldSimple w:instr=" DOCPROPERTY &quot;Document number&quot;  \* MERGEFORMAT ">
              <w:r w:rsidRPr="00236C4D">
                <w:rPr>
                  <w:szCs w:val="24"/>
                </w:rPr>
                <w:t>UNEP/OzL.Pro/ExCom/97/83</w:t>
              </w:r>
            </w:fldSimple>
          </w:p>
          <w:p w14:paraId="09A04315" w14:textId="77777777" w:rsidR="00666293" w:rsidRPr="00183B9E" w:rsidRDefault="00666293" w:rsidP="00DC0539">
            <w:r>
              <w:t xml:space="preserve">30 October </w:t>
            </w:r>
            <w:r w:rsidRPr="00183B9E">
              <w:t>2025</w:t>
            </w:r>
          </w:p>
          <w:p w14:paraId="643A375F" w14:textId="77777777" w:rsidR="00666293" w:rsidRPr="00183B9E" w:rsidRDefault="00666293" w:rsidP="00DC0539">
            <w:pPr>
              <w:rPr>
                <w:caps/>
              </w:rPr>
            </w:pPr>
          </w:p>
          <w:p w14:paraId="286B20F0" w14:textId="77777777" w:rsidR="00666293" w:rsidRPr="00183B9E" w:rsidRDefault="00666293" w:rsidP="00DC0539">
            <w:pPr>
              <w:rPr>
                <w:caps/>
              </w:rPr>
            </w:pPr>
            <w:r w:rsidRPr="00183B9E">
              <w:rPr>
                <w:caps/>
              </w:rPr>
              <w:t>CHINESE</w:t>
            </w:r>
          </w:p>
          <w:p w14:paraId="30DB6078" w14:textId="77777777" w:rsidR="00666293" w:rsidRPr="00183B9E" w:rsidRDefault="00666293" w:rsidP="00DC0539">
            <w:r w:rsidRPr="00183B9E">
              <w:t>ORIGINAL: ENGLISH</w:t>
            </w:r>
          </w:p>
        </w:tc>
      </w:tr>
    </w:tbl>
    <w:p w14:paraId="79020C88" w14:textId="77777777" w:rsidR="00666293" w:rsidRDefault="00666293" w:rsidP="00014D9B">
      <w:pPr>
        <w:topLinePunct/>
        <w:jc w:val="left"/>
        <w:rPr>
          <w:sz w:val="24"/>
          <w:szCs w:val="24"/>
        </w:rPr>
      </w:pPr>
      <w:r>
        <w:rPr>
          <w:sz w:val="24"/>
          <w:szCs w:val="24"/>
          <w:lang w:val="zh-CN"/>
        </w:rPr>
        <w:t>执行蒙特利尔议定书</w:t>
      </w:r>
      <w:r>
        <w:rPr>
          <w:sz w:val="24"/>
          <w:szCs w:val="24"/>
        </w:rPr>
        <w:br/>
        <w:t xml:space="preserve"> </w:t>
      </w:r>
      <w:r>
        <w:rPr>
          <w:sz w:val="24"/>
          <w:szCs w:val="24"/>
          <w:lang w:val="zh-CN"/>
        </w:rPr>
        <w:t>多边基金执行委员会</w:t>
      </w:r>
      <w:r>
        <w:rPr>
          <w:sz w:val="24"/>
          <w:szCs w:val="24"/>
        </w:rPr>
        <w:br/>
      </w:r>
      <w:r>
        <w:rPr>
          <w:sz w:val="24"/>
          <w:szCs w:val="24"/>
          <w:lang w:val="zh-CN"/>
        </w:rPr>
        <w:t>第九十七次会议</w:t>
      </w:r>
    </w:p>
    <w:p w14:paraId="5EA7ABED" w14:textId="77777777" w:rsidR="00666293" w:rsidRDefault="00666293">
      <w:pPr>
        <w:topLinePunct/>
        <w:jc w:val="left"/>
        <w:rPr>
          <w:sz w:val="24"/>
          <w:szCs w:val="24"/>
        </w:rPr>
      </w:pPr>
      <w:smartTag w:uri="urn:schemas-microsoft-com:office:smarttags" w:element="chsdate">
        <w:smartTagPr>
          <w:attr w:name="IsROCDate" w:val="False"/>
          <w:attr w:name="IsLunarDate" w:val="False"/>
          <w:attr w:name="Day" w:val="31"/>
          <w:attr w:name="Month" w:val="12"/>
          <w:attr w:name="Year" w:val="2025"/>
        </w:smartTagPr>
        <w:r>
          <w:rPr>
            <w:sz w:val="24"/>
            <w:szCs w:val="24"/>
          </w:rPr>
          <w:t>2025</w:t>
        </w:r>
        <w:r>
          <w:rPr>
            <w:sz w:val="24"/>
            <w:szCs w:val="24"/>
            <w:lang w:val="zh-CN"/>
          </w:rPr>
          <w:t>年</w:t>
        </w:r>
        <w:r>
          <w:rPr>
            <w:sz w:val="24"/>
            <w:szCs w:val="24"/>
          </w:rPr>
          <w:t>12</w:t>
        </w:r>
        <w:r>
          <w:rPr>
            <w:sz w:val="24"/>
            <w:szCs w:val="24"/>
            <w:lang w:val="zh-CN"/>
          </w:rPr>
          <w:t>月</w:t>
        </w:r>
        <w:r>
          <w:rPr>
            <w:sz w:val="24"/>
            <w:szCs w:val="24"/>
          </w:rPr>
          <w:t>1</w:t>
        </w:r>
        <w:r>
          <w:rPr>
            <w:sz w:val="24"/>
            <w:szCs w:val="24"/>
            <w:lang w:val="zh-CN"/>
          </w:rPr>
          <w:t>日</w:t>
        </w:r>
      </w:smartTag>
      <w:r>
        <w:rPr>
          <w:sz w:val="24"/>
          <w:szCs w:val="24"/>
          <w:lang w:val="zh-CN"/>
        </w:rPr>
        <w:t>至</w:t>
      </w:r>
      <w:r>
        <w:rPr>
          <w:sz w:val="24"/>
          <w:szCs w:val="24"/>
        </w:rPr>
        <w:t>5</w:t>
      </w:r>
      <w:r>
        <w:rPr>
          <w:sz w:val="24"/>
          <w:szCs w:val="24"/>
          <w:lang w:val="zh-CN"/>
        </w:rPr>
        <w:t>日</w:t>
      </w:r>
      <w:r>
        <w:rPr>
          <w:sz w:val="24"/>
          <w:szCs w:val="24"/>
        </w:rPr>
        <w:t>，</w:t>
      </w:r>
      <w:r>
        <w:rPr>
          <w:sz w:val="24"/>
          <w:szCs w:val="24"/>
          <w:lang w:val="zh-CN"/>
        </w:rPr>
        <w:t>蒙特利尔</w:t>
      </w:r>
    </w:p>
    <w:p w14:paraId="617B79F0" w14:textId="77777777" w:rsidR="00666293" w:rsidRDefault="00666293">
      <w:pPr>
        <w:topLinePunct/>
        <w:jc w:val="left"/>
        <w:rPr>
          <w:sz w:val="24"/>
          <w:szCs w:val="24"/>
        </w:rPr>
      </w:pPr>
      <w:r>
        <w:rPr>
          <w:sz w:val="24"/>
          <w:szCs w:val="24"/>
          <w:lang w:val="zh-CN"/>
        </w:rPr>
        <w:t>临时议程</w:t>
      </w:r>
      <w:r>
        <w:rPr>
          <w:rStyle w:val="FootnoteReference"/>
          <w:sz w:val="24"/>
          <w:szCs w:val="24"/>
          <w:lang w:val="zh-CN"/>
        </w:rPr>
        <w:footnoteReference w:id="1"/>
      </w:r>
      <w:r>
        <w:rPr>
          <w:sz w:val="24"/>
          <w:szCs w:val="24"/>
          <w:lang w:val="zh-CN"/>
        </w:rPr>
        <w:t>项目</w:t>
      </w:r>
      <w:r>
        <w:rPr>
          <w:sz w:val="24"/>
          <w:szCs w:val="24"/>
          <w:lang w:val="zh-CN"/>
        </w:rPr>
        <w:t>9</w:t>
      </w:r>
      <w:r w:rsidRPr="00297ECB">
        <w:rPr>
          <w:sz w:val="24"/>
          <w:szCs w:val="24"/>
          <w:lang w:val="zh-CN"/>
        </w:rPr>
        <w:t>（</w:t>
      </w:r>
      <w:r w:rsidRPr="00297ECB">
        <w:rPr>
          <w:sz w:val="24"/>
          <w:szCs w:val="24"/>
          <w:lang w:val="zh-CN"/>
        </w:rPr>
        <w:t>e</w:t>
      </w:r>
      <w:r w:rsidRPr="00297ECB">
        <w:rPr>
          <w:sz w:val="24"/>
          <w:szCs w:val="24"/>
          <w:lang w:val="zh-CN"/>
        </w:rPr>
        <w:t>）</w:t>
      </w:r>
    </w:p>
    <w:p w14:paraId="5901DA08" w14:textId="77777777" w:rsidR="00666293" w:rsidRDefault="00666293">
      <w:pPr>
        <w:topLinePunct/>
        <w:jc w:val="left"/>
        <w:rPr>
          <w:szCs w:val="24"/>
        </w:rPr>
      </w:pPr>
    </w:p>
    <w:p w14:paraId="371649B0" w14:textId="77777777" w:rsidR="00666293" w:rsidRDefault="00666293">
      <w:pPr>
        <w:topLinePunct/>
        <w:jc w:val="left"/>
        <w:rPr>
          <w:szCs w:val="24"/>
        </w:rPr>
      </w:pPr>
    </w:p>
    <w:p w14:paraId="6D15A42D" w14:textId="77777777" w:rsidR="00666293" w:rsidRDefault="00666293">
      <w:pPr>
        <w:topLinePunct/>
        <w:jc w:val="left"/>
        <w:rPr>
          <w:szCs w:val="24"/>
        </w:rPr>
      </w:pPr>
    </w:p>
    <w:p w14:paraId="724837DF" w14:textId="77777777" w:rsidR="00666293" w:rsidRPr="00BE4CF0" w:rsidRDefault="00666293">
      <w:pPr>
        <w:pStyle w:val="StyleHeader4Para4Left0Firstline0"/>
        <w:numPr>
          <w:ilvl w:val="0"/>
          <w:numId w:val="0"/>
        </w:numPr>
        <w:tabs>
          <w:tab w:val="left" w:pos="488"/>
          <w:tab w:val="center" w:pos="4680"/>
        </w:tabs>
        <w:topLinePunct/>
        <w:jc w:val="center"/>
        <w:rPr>
          <w:rFonts w:eastAsia="SimHei"/>
          <w:b/>
          <w:sz w:val="28"/>
          <w:szCs w:val="28"/>
          <w:lang w:val="en-GB"/>
        </w:rPr>
      </w:pPr>
      <w:r w:rsidRPr="00BE4CF0">
        <w:rPr>
          <w:rFonts w:eastAsia="SimHei"/>
          <w:b/>
          <w:sz w:val="28"/>
          <w:szCs w:val="28"/>
          <w:lang w:val="zh-CN"/>
        </w:rPr>
        <w:t>环境规划署</w:t>
      </w:r>
      <w:r w:rsidRPr="00BE4CF0">
        <w:rPr>
          <w:rFonts w:eastAsia="SimHei"/>
          <w:b/>
          <w:sz w:val="28"/>
          <w:szCs w:val="28"/>
          <w:lang w:val="zh-CN"/>
        </w:rPr>
        <w:t>2026</w:t>
      </w:r>
      <w:r w:rsidRPr="00BE4CF0">
        <w:rPr>
          <w:rFonts w:eastAsia="SimHei"/>
          <w:b/>
          <w:sz w:val="28"/>
          <w:szCs w:val="28"/>
          <w:lang w:val="zh-CN"/>
        </w:rPr>
        <w:t>年履约协助方案预算</w:t>
      </w:r>
    </w:p>
    <w:p w14:paraId="57946B02" w14:textId="77777777" w:rsidR="00666293" w:rsidRPr="00BE4CF0" w:rsidRDefault="00666293">
      <w:pPr>
        <w:pStyle w:val="StyleHeader4Para4Left0Firstline0"/>
        <w:numPr>
          <w:ilvl w:val="0"/>
          <w:numId w:val="0"/>
        </w:numPr>
        <w:tabs>
          <w:tab w:val="left" w:pos="488"/>
          <w:tab w:val="center" w:pos="4680"/>
        </w:tabs>
        <w:topLinePunct/>
        <w:rPr>
          <w:rFonts w:ascii="SimHei" w:eastAsia="SimHei" w:hAnsi="SimHei"/>
          <w:bCs/>
          <w:sz w:val="28"/>
          <w:szCs w:val="28"/>
        </w:rPr>
      </w:pPr>
      <w:r w:rsidRPr="00BE4CF0">
        <w:rPr>
          <w:rFonts w:ascii="SimHei" w:eastAsia="SimHei" w:hAnsi="SimHei" w:hint="eastAsia"/>
          <w:bCs/>
          <w:sz w:val="28"/>
          <w:szCs w:val="28"/>
          <w:lang w:val="zh-CN"/>
        </w:rPr>
        <w:t>导言</w:t>
      </w:r>
    </w:p>
    <w:p w14:paraId="73DA1573" w14:textId="3BCBAE22"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环境署提交了其</w:t>
      </w:r>
      <w:r>
        <w:rPr>
          <w:sz w:val="24"/>
          <w:szCs w:val="24"/>
          <w:lang w:val="en-US"/>
        </w:rPr>
        <w:t>2026</w:t>
      </w:r>
      <w:r>
        <w:rPr>
          <w:sz w:val="24"/>
          <w:szCs w:val="24"/>
          <w:lang w:val="zh-CN"/>
        </w:rPr>
        <w:t>年履约协助方案</w:t>
      </w:r>
      <w:r>
        <w:rPr>
          <w:sz w:val="24"/>
          <w:szCs w:val="24"/>
          <w:lang w:val="en-US"/>
        </w:rPr>
        <w:t>（</w:t>
      </w:r>
      <w:r>
        <w:rPr>
          <w:sz w:val="24"/>
          <w:szCs w:val="24"/>
          <w:lang w:val="en-US"/>
        </w:rPr>
        <w:t>CAP</w:t>
      </w:r>
      <w:r>
        <w:rPr>
          <w:sz w:val="24"/>
          <w:szCs w:val="24"/>
          <w:lang w:val="en-US"/>
        </w:rPr>
        <w:t>）</w:t>
      </w:r>
      <w:r>
        <w:rPr>
          <w:sz w:val="24"/>
          <w:szCs w:val="24"/>
          <w:lang w:val="zh-CN"/>
        </w:rPr>
        <w:t>的预算</w:t>
      </w:r>
      <w:r>
        <w:rPr>
          <w:sz w:val="24"/>
          <w:szCs w:val="24"/>
          <w:lang w:val="en-US"/>
        </w:rPr>
        <w:t>，</w:t>
      </w:r>
      <w:r>
        <w:rPr>
          <w:sz w:val="24"/>
          <w:szCs w:val="24"/>
          <w:lang w:val="zh-CN"/>
        </w:rPr>
        <w:t>总额</w:t>
      </w:r>
      <w:r w:rsidR="0004335A">
        <w:rPr>
          <w:rFonts w:hint="eastAsia"/>
          <w:sz w:val="24"/>
          <w:szCs w:val="24"/>
          <w:lang w:val="zh-CN"/>
        </w:rPr>
        <w:t>为</w:t>
      </w:r>
      <w:r>
        <w:rPr>
          <w:sz w:val="24"/>
          <w:szCs w:val="24"/>
          <w:lang w:val="en-US"/>
        </w:rPr>
        <w:t>11,276,967</w:t>
      </w:r>
      <w:r>
        <w:rPr>
          <w:sz w:val="24"/>
          <w:szCs w:val="24"/>
          <w:lang w:val="zh-CN"/>
        </w:rPr>
        <w:t>美元</w:t>
      </w:r>
      <w:r>
        <w:rPr>
          <w:sz w:val="24"/>
          <w:szCs w:val="24"/>
          <w:lang w:val="en-US"/>
        </w:rPr>
        <w:t>，</w:t>
      </w:r>
      <w:r>
        <w:rPr>
          <w:sz w:val="24"/>
          <w:szCs w:val="24"/>
          <w:lang w:val="zh-CN"/>
        </w:rPr>
        <w:t>外加机构支助费用</w:t>
      </w:r>
      <w:r>
        <w:rPr>
          <w:sz w:val="24"/>
          <w:szCs w:val="24"/>
          <w:lang w:val="en-US"/>
        </w:rPr>
        <w:t>902,157</w:t>
      </w:r>
      <w:r>
        <w:rPr>
          <w:sz w:val="24"/>
          <w:szCs w:val="24"/>
          <w:lang w:val="zh-CN"/>
        </w:rPr>
        <w:t>美元。提交的材料包含</w:t>
      </w:r>
      <w:r>
        <w:rPr>
          <w:sz w:val="24"/>
          <w:szCs w:val="24"/>
          <w:lang w:val="zh-CN"/>
        </w:rPr>
        <w:t>2025</w:t>
      </w:r>
      <w:r>
        <w:rPr>
          <w:sz w:val="24"/>
          <w:szCs w:val="24"/>
          <w:lang w:val="zh-CN"/>
        </w:rPr>
        <w:t>年进度报告和</w:t>
      </w:r>
      <w:r>
        <w:rPr>
          <w:sz w:val="24"/>
          <w:szCs w:val="24"/>
          <w:lang w:val="zh-CN"/>
        </w:rPr>
        <w:t>2026</w:t>
      </w:r>
      <w:r>
        <w:rPr>
          <w:sz w:val="24"/>
          <w:szCs w:val="24"/>
          <w:lang w:val="zh-CN"/>
        </w:rPr>
        <w:t>年工作方案，它们都作为附件附在本文件之后。</w:t>
      </w:r>
      <w:r>
        <w:rPr>
          <w:sz w:val="24"/>
          <w:szCs w:val="24"/>
        </w:rPr>
        <w:t xml:space="preserve"> </w:t>
      </w:r>
    </w:p>
    <w:p w14:paraId="1075C1EF"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履约协助方案</w:t>
      </w:r>
      <w:r>
        <w:rPr>
          <w:sz w:val="24"/>
          <w:szCs w:val="24"/>
          <w:lang w:val="zh-CN"/>
        </w:rPr>
        <w:t>2026</w:t>
      </w:r>
      <w:r>
        <w:rPr>
          <w:sz w:val="24"/>
          <w:szCs w:val="24"/>
          <w:lang w:val="zh-CN"/>
        </w:rPr>
        <w:t>年的拟议工作计划针对的是</w:t>
      </w:r>
      <w:r>
        <w:rPr>
          <w:sz w:val="24"/>
          <w:szCs w:val="24"/>
          <w:lang w:val="zh-CN"/>
        </w:rPr>
        <w:t>2024-2026</w:t>
      </w:r>
      <w:r>
        <w:rPr>
          <w:sz w:val="24"/>
          <w:szCs w:val="24"/>
          <w:lang w:val="zh-CN"/>
        </w:rPr>
        <w:t>三年期履约协助方案战略的最后一年。</w:t>
      </w:r>
    </w:p>
    <w:p w14:paraId="109DA9B2" w14:textId="77777777" w:rsidR="00666293" w:rsidRPr="00BE4CF0" w:rsidRDefault="00666293">
      <w:pPr>
        <w:pStyle w:val="Heading1"/>
        <w:numPr>
          <w:ilvl w:val="0"/>
          <w:numId w:val="0"/>
        </w:numPr>
        <w:tabs>
          <w:tab w:val="left" w:pos="720"/>
        </w:tabs>
        <w:topLinePunct/>
        <w:rPr>
          <w:rFonts w:eastAsia="SimHei"/>
          <w:bCs/>
          <w:sz w:val="28"/>
          <w:szCs w:val="28"/>
        </w:rPr>
      </w:pPr>
      <w:r w:rsidRPr="00BE4CF0">
        <w:rPr>
          <w:rFonts w:eastAsia="SimHei"/>
          <w:bCs/>
          <w:sz w:val="28"/>
          <w:szCs w:val="28"/>
          <w:lang w:val="zh-CN"/>
        </w:rPr>
        <w:t>2025</w:t>
      </w:r>
      <w:r w:rsidRPr="00BE4CF0">
        <w:rPr>
          <w:rFonts w:eastAsia="SimHei"/>
          <w:bCs/>
          <w:sz w:val="28"/>
          <w:szCs w:val="28"/>
          <w:lang w:val="zh-CN"/>
        </w:rPr>
        <w:t>年履约协助方案进度报告</w:t>
      </w:r>
    </w:p>
    <w:p w14:paraId="0B83CA2A"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进度报告载于本文件附件的第二部分</w:t>
      </w:r>
      <w:r>
        <w:rPr>
          <w:sz w:val="24"/>
          <w:szCs w:val="24"/>
        </w:rPr>
        <w:t>，</w:t>
      </w:r>
      <w:r>
        <w:rPr>
          <w:sz w:val="24"/>
          <w:szCs w:val="24"/>
          <w:lang w:val="zh-CN"/>
        </w:rPr>
        <w:t>所附附件对细节有进一步说明。进度报告说明了实施履约协助方案后取得的相关结果和影响。环境署履约协助方案从</w:t>
      </w:r>
      <w:r>
        <w:rPr>
          <w:sz w:val="24"/>
          <w:szCs w:val="24"/>
          <w:lang w:val="en-US"/>
        </w:rPr>
        <w:t>2024</w:t>
      </w:r>
      <w:r>
        <w:rPr>
          <w:sz w:val="24"/>
          <w:szCs w:val="24"/>
          <w:lang w:val="zh-CN"/>
        </w:rPr>
        <w:t>年</w:t>
      </w:r>
      <w:r>
        <w:rPr>
          <w:sz w:val="24"/>
          <w:szCs w:val="24"/>
          <w:lang w:val="en-US"/>
        </w:rPr>
        <w:t>9</w:t>
      </w:r>
      <w:r>
        <w:rPr>
          <w:sz w:val="24"/>
          <w:szCs w:val="24"/>
          <w:lang w:val="zh-CN"/>
        </w:rPr>
        <w:t>月至</w:t>
      </w:r>
      <w:r>
        <w:rPr>
          <w:sz w:val="24"/>
          <w:szCs w:val="24"/>
          <w:lang w:val="en-US"/>
        </w:rPr>
        <w:t>2025</w:t>
      </w:r>
      <w:r>
        <w:rPr>
          <w:sz w:val="24"/>
          <w:szCs w:val="24"/>
          <w:lang w:val="zh-CN"/>
        </w:rPr>
        <w:t>年</w:t>
      </w:r>
      <w:r>
        <w:rPr>
          <w:sz w:val="24"/>
          <w:szCs w:val="24"/>
          <w:lang w:val="en-US"/>
        </w:rPr>
        <w:t>8</w:t>
      </w:r>
      <w:r>
        <w:rPr>
          <w:sz w:val="24"/>
          <w:szCs w:val="24"/>
          <w:lang w:val="zh-CN"/>
        </w:rPr>
        <w:t>月实施了以下活动</w:t>
      </w:r>
      <w:r>
        <w:rPr>
          <w:sz w:val="24"/>
          <w:szCs w:val="24"/>
          <w:lang w:val="en-US"/>
        </w:rPr>
        <w:t>：</w:t>
      </w:r>
      <w:r>
        <w:rPr>
          <w:sz w:val="24"/>
          <w:szCs w:val="24"/>
        </w:rPr>
        <w:t xml:space="preserve"> </w:t>
      </w:r>
    </w:p>
    <w:p w14:paraId="59EF5F15" w14:textId="77777777" w:rsidR="00666293" w:rsidRDefault="00666293">
      <w:pPr>
        <w:pStyle w:val="Heading2"/>
        <w:numPr>
          <w:ilvl w:val="1"/>
          <w:numId w:val="1"/>
        </w:numPr>
        <w:topLinePunct/>
        <w:rPr>
          <w:sz w:val="24"/>
          <w:szCs w:val="24"/>
        </w:rPr>
      </w:pPr>
      <w:r>
        <w:rPr>
          <w:sz w:val="24"/>
          <w:szCs w:val="24"/>
          <w:lang w:val="zh-CN"/>
        </w:rPr>
        <w:t>继续营运所有</w:t>
      </w:r>
      <w:r>
        <w:rPr>
          <w:sz w:val="24"/>
          <w:szCs w:val="24"/>
        </w:rPr>
        <w:t>10</w:t>
      </w:r>
      <w:r>
        <w:rPr>
          <w:sz w:val="24"/>
          <w:szCs w:val="24"/>
          <w:lang w:val="zh-CN"/>
        </w:rPr>
        <w:t>个区域的国家臭氧干事</w:t>
      </w:r>
      <w:r>
        <w:rPr>
          <w:sz w:val="24"/>
          <w:szCs w:val="24"/>
        </w:rPr>
        <w:t>（</w:t>
      </w:r>
      <w:r>
        <w:rPr>
          <w:sz w:val="24"/>
          <w:szCs w:val="24"/>
        </w:rPr>
        <w:t>NOO</w:t>
      </w:r>
      <w:r>
        <w:rPr>
          <w:sz w:val="24"/>
          <w:szCs w:val="24"/>
        </w:rPr>
        <w:t>）</w:t>
      </w:r>
      <w:r>
        <w:rPr>
          <w:sz w:val="24"/>
          <w:szCs w:val="24"/>
          <w:lang w:val="zh-CN"/>
        </w:rPr>
        <w:t>区域网络</w:t>
      </w:r>
      <w:r>
        <w:rPr>
          <w:sz w:val="24"/>
          <w:szCs w:val="24"/>
        </w:rPr>
        <w:t>，</w:t>
      </w:r>
      <w:r>
        <w:rPr>
          <w:sz w:val="24"/>
          <w:szCs w:val="24"/>
          <w:lang w:val="zh-CN"/>
        </w:rPr>
        <w:t>并组织了</w:t>
      </w:r>
      <w:r>
        <w:rPr>
          <w:sz w:val="24"/>
          <w:szCs w:val="24"/>
        </w:rPr>
        <w:t>24</w:t>
      </w:r>
      <w:r>
        <w:rPr>
          <w:sz w:val="24"/>
          <w:szCs w:val="24"/>
          <w:lang w:val="zh-CN"/>
        </w:rPr>
        <w:t>次网络会议和专题会议</w:t>
      </w:r>
      <w:r>
        <w:rPr>
          <w:sz w:val="24"/>
          <w:szCs w:val="24"/>
        </w:rPr>
        <w:t>，</w:t>
      </w:r>
      <w:r>
        <w:rPr>
          <w:sz w:val="24"/>
          <w:szCs w:val="24"/>
          <w:lang w:val="zh-CN"/>
        </w:rPr>
        <w:t>讨论与履行《蒙特利尔议定书》相关的议题</w:t>
      </w:r>
      <w:r>
        <w:rPr>
          <w:sz w:val="24"/>
          <w:szCs w:val="24"/>
        </w:rPr>
        <w:t>；</w:t>
      </w:r>
      <w:r>
        <w:rPr>
          <w:sz w:val="24"/>
          <w:szCs w:val="24"/>
          <w:lang w:val="zh-CN"/>
        </w:rPr>
        <w:t>通过</w:t>
      </w:r>
      <w:r>
        <w:rPr>
          <w:sz w:val="24"/>
          <w:szCs w:val="24"/>
        </w:rPr>
        <w:t>NOO</w:t>
      </w:r>
      <w:r>
        <w:rPr>
          <w:sz w:val="24"/>
          <w:szCs w:val="24"/>
          <w:lang w:val="zh-CN"/>
        </w:rPr>
        <w:t>培训方案</w:t>
      </w:r>
      <w:r>
        <w:rPr>
          <w:sz w:val="24"/>
          <w:szCs w:val="24"/>
        </w:rPr>
        <w:t>，</w:t>
      </w:r>
      <w:r>
        <w:rPr>
          <w:sz w:val="24"/>
          <w:szCs w:val="24"/>
          <w:lang w:val="zh-CN"/>
        </w:rPr>
        <w:t>在五个区域培训了</w:t>
      </w:r>
      <w:r>
        <w:rPr>
          <w:sz w:val="24"/>
          <w:szCs w:val="24"/>
        </w:rPr>
        <w:t>84</w:t>
      </w:r>
      <w:r>
        <w:rPr>
          <w:sz w:val="24"/>
          <w:szCs w:val="24"/>
          <w:lang w:val="zh-CN"/>
        </w:rPr>
        <w:t>名新的</w:t>
      </w:r>
      <w:r>
        <w:rPr>
          <w:sz w:val="24"/>
          <w:szCs w:val="24"/>
        </w:rPr>
        <w:t>NOO</w:t>
      </w:r>
      <w:r>
        <w:rPr>
          <w:sz w:val="24"/>
          <w:szCs w:val="24"/>
          <w:lang w:val="zh-CN"/>
        </w:rPr>
        <w:t>和助理</w:t>
      </w:r>
      <w:r>
        <w:rPr>
          <w:sz w:val="24"/>
          <w:szCs w:val="24"/>
        </w:rPr>
        <w:t>，</w:t>
      </w:r>
      <w:r>
        <w:rPr>
          <w:sz w:val="24"/>
          <w:szCs w:val="24"/>
          <w:lang w:val="zh-CN"/>
        </w:rPr>
        <w:t>以提高国家臭氧机构</w:t>
      </w:r>
      <w:r>
        <w:rPr>
          <w:sz w:val="24"/>
          <w:szCs w:val="24"/>
        </w:rPr>
        <w:t>（</w:t>
      </w:r>
      <w:r>
        <w:rPr>
          <w:sz w:val="24"/>
          <w:szCs w:val="24"/>
        </w:rPr>
        <w:t>NOU</w:t>
      </w:r>
      <w:r>
        <w:rPr>
          <w:sz w:val="24"/>
          <w:szCs w:val="24"/>
        </w:rPr>
        <w:t>）</w:t>
      </w:r>
      <w:r>
        <w:rPr>
          <w:sz w:val="24"/>
          <w:szCs w:val="24"/>
          <w:lang w:val="zh-CN"/>
        </w:rPr>
        <w:t>应对新出现问题的能力和促进信息和最佳做法的分享</w:t>
      </w:r>
      <w:r>
        <w:rPr>
          <w:sz w:val="24"/>
          <w:szCs w:val="24"/>
        </w:rPr>
        <w:t>；</w:t>
      </w:r>
      <w:r>
        <w:rPr>
          <w:sz w:val="24"/>
          <w:szCs w:val="24"/>
          <w:lang w:val="zh-CN"/>
        </w:rPr>
        <w:t>开发了关于谈判技巧的短期培训课程</w:t>
      </w:r>
      <w:r>
        <w:rPr>
          <w:sz w:val="24"/>
          <w:szCs w:val="24"/>
        </w:rPr>
        <w:t>，</w:t>
      </w:r>
      <w:r>
        <w:rPr>
          <w:sz w:val="24"/>
          <w:szCs w:val="24"/>
          <w:lang w:val="zh-CN"/>
        </w:rPr>
        <w:t>以有效参与《蒙利特尔议定书》和多边基金会议</w:t>
      </w:r>
      <w:r>
        <w:rPr>
          <w:sz w:val="24"/>
          <w:szCs w:val="24"/>
        </w:rPr>
        <w:t>；</w:t>
      </w:r>
    </w:p>
    <w:p w14:paraId="4F1FA0D0" w14:textId="77777777" w:rsidR="00666293" w:rsidRDefault="00666293">
      <w:pPr>
        <w:pStyle w:val="Heading2"/>
        <w:numPr>
          <w:ilvl w:val="1"/>
          <w:numId w:val="1"/>
        </w:numPr>
        <w:topLinePunct/>
        <w:rPr>
          <w:sz w:val="24"/>
          <w:szCs w:val="24"/>
        </w:rPr>
      </w:pPr>
      <w:r>
        <w:rPr>
          <w:sz w:val="24"/>
          <w:szCs w:val="24"/>
          <w:lang w:val="zh-CN"/>
        </w:rPr>
        <w:t>通过国家间交流、经验分享和考察访问等方式</w:t>
      </w:r>
      <w:r>
        <w:rPr>
          <w:sz w:val="24"/>
          <w:szCs w:val="24"/>
        </w:rPr>
        <w:t>，</w:t>
      </w:r>
      <w:r>
        <w:rPr>
          <w:sz w:val="24"/>
          <w:szCs w:val="24"/>
          <w:lang w:val="zh-CN"/>
        </w:rPr>
        <w:t>支持</w:t>
      </w:r>
      <w:r>
        <w:rPr>
          <w:sz w:val="24"/>
          <w:szCs w:val="24"/>
        </w:rPr>
        <w:t>34</w:t>
      </w:r>
      <w:r>
        <w:rPr>
          <w:sz w:val="24"/>
          <w:szCs w:val="24"/>
          <w:lang w:val="zh-CN"/>
        </w:rPr>
        <w:t>个提出具体协助请</w:t>
      </w:r>
      <w:r>
        <w:rPr>
          <w:sz w:val="24"/>
          <w:szCs w:val="24"/>
          <w:lang w:val="zh-CN"/>
        </w:rPr>
        <w:lastRenderedPageBreak/>
        <w:t>求的国家</w:t>
      </w:r>
      <w:r>
        <w:rPr>
          <w:sz w:val="24"/>
          <w:szCs w:val="24"/>
        </w:rPr>
        <w:t>，</w:t>
      </w:r>
      <w:r>
        <w:rPr>
          <w:sz w:val="24"/>
          <w:szCs w:val="24"/>
          <w:lang w:val="zh-CN"/>
        </w:rPr>
        <w:t>其范围涵盖边境管理、最低能效标准</w:t>
      </w:r>
      <w:r>
        <w:rPr>
          <w:sz w:val="24"/>
          <w:szCs w:val="24"/>
        </w:rPr>
        <w:t>（</w:t>
      </w:r>
      <w:r>
        <w:rPr>
          <w:sz w:val="24"/>
          <w:szCs w:val="24"/>
        </w:rPr>
        <w:t>MEPS</w:t>
      </w:r>
      <w:r>
        <w:rPr>
          <w:sz w:val="24"/>
          <w:szCs w:val="24"/>
        </w:rPr>
        <w:t>）</w:t>
      </w:r>
      <w:r>
        <w:rPr>
          <w:sz w:val="24"/>
          <w:szCs w:val="24"/>
          <w:lang w:val="zh-CN"/>
        </w:rPr>
        <w:t>的实施和监测、消耗臭氧层物质</w:t>
      </w:r>
      <w:r>
        <w:rPr>
          <w:sz w:val="24"/>
          <w:szCs w:val="24"/>
        </w:rPr>
        <w:t>（</w:t>
      </w:r>
      <w:r>
        <w:rPr>
          <w:sz w:val="24"/>
          <w:szCs w:val="24"/>
        </w:rPr>
        <w:t>ODS</w:t>
      </w:r>
      <w:r>
        <w:rPr>
          <w:sz w:val="24"/>
          <w:szCs w:val="24"/>
        </w:rPr>
        <w:t>）</w:t>
      </w:r>
      <w:r>
        <w:rPr>
          <w:sz w:val="24"/>
          <w:szCs w:val="24"/>
          <w:lang w:val="zh-CN"/>
        </w:rPr>
        <w:t>和氢氟碳化物</w:t>
      </w:r>
      <w:r>
        <w:rPr>
          <w:sz w:val="24"/>
          <w:szCs w:val="24"/>
        </w:rPr>
        <w:t>（</w:t>
      </w:r>
      <w:r>
        <w:rPr>
          <w:sz w:val="24"/>
          <w:szCs w:val="24"/>
        </w:rPr>
        <w:t>HFC</w:t>
      </w:r>
      <w:r>
        <w:rPr>
          <w:sz w:val="24"/>
          <w:szCs w:val="24"/>
        </w:rPr>
        <w:t>）</w:t>
      </w:r>
      <w:r>
        <w:rPr>
          <w:sz w:val="24"/>
          <w:szCs w:val="24"/>
          <w:lang w:val="zh-CN"/>
        </w:rPr>
        <w:t>的销毁以及用于追踪含氢氟氯烃</w:t>
      </w:r>
      <w:r>
        <w:rPr>
          <w:sz w:val="24"/>
          <w:szCs w:val="24"/>
        </w:rPr>
        <w:t>（</w:t>
      </w:r>
      <w:r>
        <w:rPr>
          <w:sz w:val="24"/>
          <w:szCs w:val="24"/>
        </w:rPr>
        <w:t>HCFC</w:t>
      </w:r>
      <w:r>
        <w:rPr>
          <w:sz w:val="24"/>
          <w:szCs w:val="24"/>
        </w:rPr>
        <w:t>）</w:t>
      </w:r>
      <w:r>
        <w:rPr>
          <w:sz w:val="24"/>
          <w:szCs w:val="24"/>
          <w:lang w:val="zh-CN"/>
        </w:rPr>
        <w:t>和氢氟碳化物</w:t>
      </w:r>
      <w:r>
        <w:rPr>
          <w:sz w:val="24"/>
          <w:szCs w:val="24"/>
        </w:rPr>
        <w:t>（</w:t>
      </w:r>
      <w:r>
        <w:rPr>
          <w:sz w:val="24"/>
          <w:szCs w:val="24"/>
        </w:rPr>
        <w:t>HFC</w:t>
      </w:r>
      <w:r>
        <w:rPr>
          <w:sz w:val="24"/>
          <w:szCs w:val="24"/>
        </w:rPr>
        <w:t>）</w:t>
      </w:r>
      <w:r>
        <w:rPr>
          <w:sz w:val="24"/>
          <w:szCs w:val="24"/>
          <w:lang w:val="zh-CN"/>
        </w:rPr>
        <w:t>配额的电子平台等主题</w:t>
      </w:r>
      <w:r>
        <w:rPr>
          <w:sz w:val="24"/>
          <w:szCs w:val="24"/>
        </w:rPr>
        <w:t>；</w:t>
      </w:r>
      <w:r>
        <w:rPr>
          <w:sz w:val="24"/>
          <w:szCs w:val="24"/>
          <w:lang w:val="zh-CN"/>
        </w:rPr>
        <w:t>在七个区域举办了</w:t>
      </w:r>
      <w:r>
        <w:rPr>
          <w:sz w:val="24"/>
          <w:szCs w:val="24"/>
        </w:rPr>
        <w:t>50</w:t>
      </w:r>
      <w:r>
        <w:rPr>
          <w:sz w:val="24"/>
          <w:szCs w:val="24"/>
          <w:lang w:val="zh-CN"/>
        </w:rPr>
        <w:t>场信息发布会</w:t>
      </w:r>
      <w:r>
        <w:rPr>
          <w:sz w:val="24"/>
          <w:szCs w:val="24"/>
        </w:rPr>
        <w:t>，</w:t>
      </w:r>
      <w:r>
        <w:rPr>
          <w:sz w:val="24"/>
          <w:szCs w:val="24"/>
          <w:lang w:val="zh-CN"/>
        </w:rPr>
        <w:t>协助</w:t>
      </w:r>
      <w:r>
        <w:rPr>
          <w:sz w:val="24"/>
          <w:szCs w:val="24"/>
        </w:rPr>
        <w:t>NOU</w:t>
      </w:r>
      <w:r>
        <w:rPr>
          <w:sz w:val="24"/>
          <w:szCs w:val="24"/>
          <w:lang w:val="zh-CN"/>
        </w:rPr>
        <w:t>制定建立废弃或不需要的受控物质库存的方法</w:t>
      </w:r>
      <w:r>
        <w:rPr>
          <w:sz w:val="24"/>
          <w:szCs w:val="24"/>
        </w:rPr>
        <w:t>，</w:t>
      </w:r>
      <w:r>
        <w:rPr>
          <w:sz w:val="24"/>
          <w:szCs w:val="24"/>
          <w:lang w:val="zh-CN"/>
        </w:rPr>
        <w:t>并确定符合第</w:t>
      </w:r>
      <w:r>
        <w:rPr>
          <w:sz w:val="24"/>
          <w:szCs w:val="24"/>
        </w:rPr>
        <w:t>91/66</w:t>
      </w:r>
      <w:r>
        <w:rPr>
          <w:sz w:val="24"/>
          <w:szCs w:val="24"/>
          <w:lang w:val="zh-CN"/>
        </w:rPr>
        <w:t>号决定的战略和商业模式</w:t>
      </w:r>
      <w:r>
        <w:rPr>
          <w:sz w:val="24"/>
          <w:szCs w:val="24"/>
        </w:rPr>
        <w:t>；</w:t>
      </w:r>
    </w:p>
    <w:p w14:paraId="0B6932E4" w14:textId="77777777" w:rsidR="00666293" w:rsidRDefault="00666293">
      <w:pPr>
        <w:pStyle w:val="Heading2"/>
        <w:numPr>
          <w:ilvl w:val="1"/>
          <w:numId w:val="1"/>
        </w:numPr>
        <w:topLinePunct/>
        <w:rPr>
          <w:sz w:val="24"/>
          <w:szCs w:val="24"/>
        </w:rPr>
      </w:pPr>
      <w:r>
        <w:rPr>
          <w:sz w:val="24"/>
          <w:szCs w:val="24"/>
          <w:lang w:val="zh-CN"/>
        </w:rPr>
        <w:t>为所有</w:t>
      </w:r>
      <w:r>
        <w:rPr>
          <w:sz w:val="24"/>
          <w:szCs w:val="24"/>
        </w:rPr>
        <w:t>147</w:t>
      </w:r>
      <w:r>
        <w:rPr>
          <w:sz w:val="24"/>
          <w:szCs w:val="24"/>
          <w:lang w:val="zh-CN"/>
        </w:rPr>
        <w:t>个第五条国家提供履约协助并支持数据收集</w:t>
      </w:r>
      <w:r>
        <w:rPr>
          <w:sz w:val="24"/>
          <w:szCs w:val="24"/>
        </w:rPr>
        <w:t>；</w:t>
      </w:r>
      <w:r>
        <w:rPr>
          <w:sz w:val="24"/>
          <w:szCs w:val="24"/>
          <w:lang w:val="zh-CN"/>
        </w:rPr>
        <w:t>定期监测第七条和国家方案</w:t>
      </w:r>
      <w:r>
        <w:rPr>
          <w:sz w:val="24"/>
          <w:szCs w:val="24"/>
        </w:rPr>
        <w:t>（</w:t>
      </w:r>
      <w:r>
        <w:rPr>
          <w:sz w:val="24"/>
          <w:szCs w:val="24"/>
        </w:rPr>
        <w:t>CP</w:t>
      </w:r>
      <w:r>
        <w:rPr>
          <w:sz w:val="24"/>
          <w:szCs w:val="24"/>
        </w:rPr>
        <w:t>）</w:t>
      </w:r>
      <w:r>
        <w:rPr>
          <w:sz w:val="24"/>
          <w:szCs w:val="24"/>
          <w:lang w:val="zh-CN"/>
        </w:rPr>
        <w:t>数据报告</w:t>
      </w:r>
      <w:r>
        <w:rPr>
          <w:sz w:val="24"/>
          <w:szCs w:val="24"/>
        </w:rPr>
        <w:t>；</w:t>
      </w:r>
      <w:r>
        <w:rPr>
          <w:sz w:val="24"/>
          <w:szCs w:val="24"/>
          <w:lang w:val="zh-CN"/>
        </w:rPr>
        <w:t>支持所有</w:t>
      </w:r>
      <w:r>
        <w:rPr>
          <w:sz w:val="24"/>
          <w:szCs w:val="24"/>
        </w:rPr>
        <w:t>NOU</w:t>
      </w:r>
      <w:r>
        <w:rPr>
          <w:sz w:val="24"/>
          <w:szCs w:val="24"/>
          <w:lang w:val="zh-CN"/>
        </w:rPr>
        <w:t>分析贸易数据、解决数据不一致问题和了解臭氧秘书处提供的年度汇总出口数据</w:t>
      </w:r>
      <w:r>
        <w:rPr>
          <w:sz w:val="24"/>
          <w:szCs w:val="24"/>
        </w:rPr>
        <w:t>；</w:t>
      </w:r>
      <w:r>
        <w:rPr>
          <w:sz w:val="24"/>
          <w:szCs w:val="24"/>
          <w:lang w:val="zh-CN"/>
        </w:rPr>
        <w:t>向</w:t>
      </w:r>
      <w:r>
        <w:rPr>
          <w:sz w:val="24"/>
          <w:szCs w:val="24"/>
        </w:rPr>
        <w:t>NOU</w:t>
      </w:r>
      <w:r>
        <w:rPr>
          <w:sz w:val="24"/>
          <w:szCs w:val="24"/>
          <w:lang w:val="zh-CN"/>
        </w:rPr>
        <w:t>介绍提高认识和教育等各种方法</w:t>
      </w:r>
      <w:r>
        <w:rPr>
          <w:sz w:val="24"/>
          <w:szCs w:val="24"/>
        </w:rPr>
        <w:t>，</w:t>
      </w:r>
      <w:r>
        <w:rPr>
          <w:sz w:val="24"/>
          <w:szCs w:val="24"/>
          <w:lang w:val="zh-CN"/>
        </w:rPr>
        <w:t>以加强其国家对《蒙特利尔议定书》的监测、报告、核查和实施系统</w:t>
      </w:r>
      <w:r>
        <w:rPr>
          <w:sz w:val="24"/>
          <w:szCs w:val="24"/>
        </w:rPr>
        <w:t>；</w:t>
      </w:r>
      <w:r>
        <w:rPr>
          <w:sz w:val="24"/>
          <w:szCs w:val="24"/>
          <w:lang w:val="zh-CN"/>
        </w:rPr>
        <w:t>推广非正式事先知情同意</w:t>
      </w:r>
      <w:r>
        <w:rPr>
          <w:sz w:val="24"/>
          <w:szCs w:val="24"/>
        </w:rPr>
        <w:t>（</w:t>
      </w:r>
      <w:r>
        <w:rPr>
          <w:sz w:val="24"/>
          <w:szCs w:val="24"/>
        </w:rPr>
        <w:t>iPIC</w:t>
      </w:r>
      <w:r>
        <w:rPr>
          <w:sz w:val="24"/>
          <w:szCs w:val="24"/>
        </w:rPr>
        <w:t>）</w:t>
      </w:r>
      <w:r>
        <w:rPr>
          <w:sz w:val="24"/>
          <w:szCs w:val="24"/>
          <w:lang w:val="zh-CN"/>
        </w:rPr>
        <w:t>机制</w:t>
      </w:r>
      <w:r>
        <w:rPr>
          <w:sz w:val="24"/>
          <w:szCs w:val="24"/>
        </w:rPr>
        <w:t>；</w:t>
      </w:r>
    </w:p>
    <w:p w14:paraId="5DD21ACF" w14:textId="77777777" w:rsidR="00666293" w:rsidRDefault="00666293">
      <w:pPr>
        <w:pStyle w:val="Heading2"/>
        <w:keepNext/>
        <w:widowControl/>
        <w:numPr>
          <w:ilvl w:val="1"/>
          <w:numId w:val="1"/>
        </w:numPr>
        <w:topLinePunct/>
        <w:rPr>
          <w:sz w:val="24"/>
          <w:szCs w:val="24"/>
        </w:rPr>
      </w:pPr>
      <w:r>
        <w:rPr>
          <w:sz w:val="24"/>
          <w:szCs w:val="24"/>
          <w:lang w:val="zh-CN"/>
        </w:rPr>
        <w:t>为</w:t>
      </w:r>
      <w:r>
        <w:rPr>
          <w:sz w:val="24"/>
          <w:szCs w:val="24"/>
        </w:rPr>
        <w:t>59</w:t>
      </w:r>
      <w:r>
        <w:rPr>
          <w:sz w:val="24"/>
          <w:szCs w:val="24"/>
          <w:lang w:val="zh-CN"/>
        </w:rPr>
        <w:t>个国家提供定制的履约协助方案</w:t>
      </w:r>
      <w:r>
        <w:rPr>
          <w:sz w:val="24"/>
          <w:szCs w:val="24"/>
        </w:rPr>
        <w:t>；</w:t>
      </w:r>
      <w:r>
        <w:rPr>
          <w:sz w:val="24"/>
          <w:szCs w:val="24"/>
          <w:lang w:val="zh-CN"/>
        </w:rPr>
        <w:t>支持</w:t>
      </w:r>
      <w:r>
        <w:rPr>
          <w:sz w:val="24"/>
          <w:szCs w:val="24"/>
        </w:rPr>
        <w:t>101</w:t>
      </w:r>
      <w:r>
        <w:rPr>
          <w:sz w:val="24"/>
          <w:szCs w:val="24"/>
          <w:lang w:val="zh-CN"/>
        </w:rPr>
        <w:t>个国家实施体制强化项目</w:t>
      </w:r>
      <w:r>
        <w:rPr>
          <w:sz w:val="24"/>
          <w:szCs w:val="24"/>
        </w:rPr>
        <w:t>；</w:t>
      </w:r>
      <w:r>
        <w:rPr>
          <w:sz w:val="24"/>
          <w:szCs w:val="24"/>
          <w:lang w:val="zh-CN"/>
        </w:rPr>
        <w:t>支持</w:t>
      </w:r>
      <w:r>
        <w:rPr>
          <w:sz w:val="24"/>
          <w:szCs w:val="24"/>
        </w:rPr>
        <w:t>58</w:t>
      </w:r>
      <w:r>
        <w:rPr>
          <w:sz w:val="24"/>
          <w:szCs w:val="24"/>
          <w:lang w:val="zh-CN"/>
        </w:rPr>
        <w:t>个国家开展在线国家方案数据报告培训</w:t>
      </w:r>
      <w:r>
        <w:rPr>
          <w:sz w:val="24"/>
          <w:szCs w:val="24"/>
        </w:rPr>
        <w:t>；</w:t>
      </w:r>
      <w:r>
        <w:rPr>
          <w:sz w:val="24"/>
          <w:szCs w:val="24"/>
          <w:lang w:val="zh-CN"/>
        </w:rPr>
        <w:t>指导第二组国家中感兴趣的</w:t>
      </w:r>
      <w:r>
        <w:rPr>
          <w:sz w:val="24"/>
          <w:szCs w:val="24"/>
        </w:rPr>
        <w:t>NOU</w:t>
      </w:r>
      <w:r>
        <w:rPr>
          <w:sz w:val="24"/>
          <w:szCs w:val="24"/>
          <w:lang w:val="zh-CN"/>
        </w:rPr>
        <w:t>设定氢氟碳化物基准量和持续削减起点</w:t>
      </w:r>
      <w:r>
        <w:rPr>
          <w:sz w:val="24"/>
          <w:szCs w:val="24"/>
        </w:rPr>
        <w:t>；</w:t>
      </w:r>
      <w:r>
        <w:rPr>
          <w:sz w:val="24"/>
          <w:szCs w:val="24"/>
          <w:lang w:val="zh-CN"/>
        </w:rPr>
        <w:t>与臭氧秘书处合作</w:t>
      </w:r>
      <w:r>
        <w:rPr>
          <w:sz w:val="24"/>
          <w:szCs w:val="24"/>
        </w:rPr>
        <w:t>，</w:t>
      </w:r>
      <w:r>
        <w:rPr>
          <w:sz w:val="24"/>
          <w:szCs w:val="24"/>
          <w:lang w:val="zh-CN"/>
        </w:rPr>
        <w:t>支持</w:t>
      </w:r>
      <w:r>
        <w:rPr>
          <w:sz w:val="24"/>
          <w:szCs w:val="24"/>
        </w:rPr>
        <w:t>12</w:t>
      </w:r>
      <w:r>
        <w:rPr>
          <w:sz w:val="24"/>
          <w:szCs w:val="24"/>
          <w:lang w:val="zh-CN"/>
        </w:rPr>
        <w:t>个国家批准《基加利修正案》</w:t>
      </w:r>
      <w:r>
        <w:rPr>
          <w:sz w:val="24"/>
          <w:szCs w:val="24"/>
        </w:rPr>
        <w:t>；</w:t>
      </w:r>
    </w:p>
    <w:p w14:paraId="605B6A10" w14:textId="77777777" w:rsidR="00666293" w:rsidRDefault="00666293">
      <w:pPr>
        <w:pStyle w:val="Heading2"/>
        <w:numPr>
          <w:ilvl w:val="1"/>
          <w:numId w:val="1"/>
        </w:numPr>
        <w:topLinePunct/>
        <w:rPr>
          <w:sz w:val="24"/>
          <w:szCs w:val="24"/>
        </w:rPr>
      </w:pPr>
      <w:r>
        <w:rPr>
          <w:sz w:val="24"/>
          <w:szCs w:val="24"/>
          <w:lang w:val="zh-CN"/>
        </w:rPr>
        <w:t>支持通过与技术和经济评估小组</w:t>
      </w:r>
      <w:r>
        <w:rPr>
          <w:sz w:val="24"/>
          <w:szCs w:val="24"/>
        </w:rPr>
        <w:t>（</w:t>
      </w:r>
      <w:r>
        <w:rPr>
          <w:sz w:val="24"/>
          <w:szCs w:val="24"/>
        </w:rPr>
        <w:t>TEAP</w:t>
      </w:r>
      <w:r>
        <w:rPr>
          <w:sz w:val="24"/>
          <w:szCs w:val="24"/>
        </w:rPr>
        <w:t>）</w:t>
      </w:r>
      <w:r>
        <w:rPr>
          <w:sz w:val="24"/>
          <w:szCs w:val="24"/>
          <w:lang w:val="zh-CN"/>
        </w:rPr>
        <w:t>提出的问题相关的立法措施</w:t>
      </w:r>
      <w:r>
        <w:rPr>
          <w:sz w:val="24"/>
          <w:szCs w:val="24"/>
        </w:rPr>
        <w:t>，</w:t>
      </w:r>
      <w:r>
        <w:rPr>
          <w:sz w:val="24"/>
          <w:szCs w:val="24"/>
          <w:lang w:val="zh-CN"/>
        </w:rPr>
        <w:t>例如灭火和制冷剂生命周期管理等问题</w:t>
      </w:r>
      <w:r>
        <w:rPr>
          <w:sz w:val="24"/>
          <w:szCs w:val="24"/>
        </w:rPr>
        <w:t>；</w:t>
      </w:r>
      <w:r>
        <w:rPr>
          <w:sz w:val="24"/>
          <w:szCs w:val="24"/>
          <w:lang w:val="zh-CN"/>
        </w:rPr>
        <w:t>协助各国建立或加强氢氟碳化物</w:t>
      </w:r>
      <w:r>
        <w:rPr>
          <w:sz w:val="24"/>
          <w:szCs w:val="24"/>
        </w:rPr>
        <w:t>（</w:t>
      </w:r>
      <w:r>
        <w:rPr>
          <w:sz w:val="24"/>
          <w:szCs w:val="24"/>
        </w:rPr>
        <w:t>HFC</w:t>
      </w:r>
      <w:r>
        <w:rPr>
          <w:sz w:val="24"/>
          <w:szCs w:val="24"/>
        </w:rPr>
        <w:t>）</w:t>
      </w:r>
      <w:r>
        <w:rPr>
          <w:sz w:val="24"/>
          <w:szCs w:val="24"/>
          <w:lang w:val="zh-CN"/>
        </w:rPr>
        <w:t>许可证颁发和配额制度</w:t>
      </w:r>
      <w:r>
        <w:rPr>
          <w:sz w:val="24"/>
          <w:szCs w:val="24"/>
        </w:rPr>
        <w:t>，</w:t>
      </w:r>
      <w:r>
        <w:rPr>
          <w:sz w:val="24"/>
          <w:szCs w:val="24"/>
          <w:lang w:val="zh-CN"/>
        </w:rPr>
        <w:t>并加强含氢氟氯烃</w:t>
      </w:r>
      <w:r>
        <w:rPr>
          <w:sz w:val="24"/>
          <w:szCs w:val="24"/>
        </w:rPr>
        <w:t>（</w:t>
      </w:r>
      <w:r>
        <w:rPr>
          <w:sz w:val="24"/>
          <w:szCs w:val="24"/>
        </w:rPr>
        <w:t>HCFC</w:t>
      </w:r>
      <w:r>
        <w:rPr>
          <w:sz w:val="24"/>
          <w:szCs w:val="24"/>
        </w:rPr>
        <w:t>）</w:t>
      </w:r>
      <w:r>
        <w:rPr>
          <w:sz w:val="24"/>
          <w:szCs w:val="24"/>
          <w:lang w:val="zh-CN"/>
        </w:rPr>
        <w:t>监管框架</w:t>
      </w:r>
      <w:r>
        <w:rPr>
          <w:sz w:val="24"/>
          <w:szCs w:val="24"/>
        </w:rPr>
        <w:t>，</w:t>
      </w:r>
      <w:r>
        <w:rPr>
          <w:sz w:val="24"/>
          <w:szCs w:val="24"/>
          <w:lang w:val="zh-CN"/>
        </w:rPr>
        <w:t>以打击非法贸易</w:t>
      </w:r>
      <w:r>
        <w:rPr>
          <w:sz w:val="24"/>
          <w:szCs w:val="24"/>
        </w:rPr>
        <w:t>；</w:t>
      </w:r>
      <w:r>
        <w:rPr>
          <w:sz w:val="24"/>
          <w:szCs w:val="24"/>
          <w:lang w:val="zh-CN"/>
        </w:rPr>
        <w:t>支持所有国家臭氧机构</w:t>
      </w:r>
      <w:r>
        <w:rPr>
          <w:sz w:val="24"/>
          <w:szCs w:val="24"/>
        </w:rPr>
        <w:t>（</w:t>
      </w:r>
      <w:r>
        <w:rPr>
          <w:sz w:val="24"/>
          <w:szCs w:val="24"/>
        </w:rPr>
        <w:t>NOU</w:t>
      </w:r>
      <w:r>
        <w:rPr>
          <w:sz w:val="24"/>
          <w:szCs w:val="24"/>
        </w:rPr>
        <w:t>）</w:t>
      </w:r>
      <w:r>
        <w:rPr>
          <w:sz w:val="24"/>
          <w:szCs w:val="24"/>
          <w:lang w:val="zh-CN"/>
        </w:rPr>
        <w:t>加深对移动空调</w:t>
      </w:r>
      <w:r>
        <w:rPr>
          <w:sz w:val="24"/>
          <w:szCs w:val="24"/>
        </w:rPr>
        <w:t>（</w:t>
      </w:r>
      <w:r>
        <w:rPr>
          <w:sz w:val="24"/>
          <w:szCs w:val="24"/>
        </w:rPr>
        <w:t>MAC</w:t>
      </w:r>
      <w:r>
        <w:rPr>
          <w:sz w:val="24"/>
          <w:szCs w:val="24"/>
        </w:rPr>
        <w:t>）</w:t>
      </w:r>
      <w:r>
        <w:rPr>
          <w:sz w:val="24"/>
          <w:szCs w:val="24"/>
          <w:lang w:val="zh-CN"/>
        </w:rPr>
        <w:t>和食品冷链行业使用的氢氟碳化物</w:t>
      </w:r>
      <w:r>
        <w:rPr>
          <w:sz w:val="24"/>
          <w:szCs w:val="24"/>
        </w:rPr>
        <w:t>（</w:t>
      </w:r>
      <w:r>
        <w:rPr>
          <w:sz w:val="24"/>
          <w:szCs w:val="24"/>
        </w:rPr>
        <w:t>HFC-23</w:t>
      </w:r>
      <w:r>
        <w:rPr>
          <w:sz w:val="24"/>
          <w:szCs w:val="24"/>
        </w:rPr>
        <w:t>）</w:t>
      </w:r>
      <w:r>
        <w:rPr>
          <w:sz w:val="24"/>
          <w:szCs w:val="24"/>
          <w:lang w:val="zh-CN"/>
        </w:rPr>
        <w:t>及其替代品相关的技术和监管问题的了解</w:t>
      </w:r>
      <w:r>
        <w:rPr>
          <w:sz w:val="24"/>
          <w:szCs w:val="24"/>
        </w:rPr>
        <w:t>；</w:t>
      </w:r>
    </w:p>
    <w:p w14:paraId="2E00D31C" w14:textId="77777777" w:rsidR="00666293" w:rsidRDefault="00666293">
      <w:pPr>
        <w:pStyle w:val="Heading2"/>
        <w:keepNext/>
        <w:widowControl/>
        <w:numPr>
          <w:ilvl w:val="1"/>
          <w:numId w:val="1"/>
        </w:numPr>
        <w:topLinePunct/>
        <w:rPr>
          <w:sz w:val="24"/>
          <w:szCs w:val="24"/>
        </w:rPr>
      </w:pPr>
      <w:r>
        <w:rPr>
          <w:sz w:val="24"/>
          <w:szCs w:val="24"/>
          <w:lang w:val="zh-CN"/>
        </w:rPr>
        <w:t>开发了氢氟碳化物</w:t>
      </w:r>
      <w:r>
        <w:rPr>
          <w:sz w:val="24"/>
          <w:szCs w:val="24"/>
        </w:rPr>
        <w:t>（</w:t>
      </w:r>
      <w:r>
        <w:rPr>
          <w:sz w:val="24"/>
          <w:szCs w:val="24"/>
        </w:rPr>
        <w:t>HFC</w:t>
      </w:r>
      <w:r>
        <w:rPr>
          <w:sz w:val="24"/>
          <w:szCs w:val="24"/>
        </w:rPr>
        <w:t>）</w:t>
      </w:r>
      <w:r>
        <w:rPr>
          <w:sz w:val="24"/>
          <w:szCs w:val="24"/>
          <w:lang w:val="zh-CN"/>
        </w:rPr>
        <w:t>配额跟踪和监测工具</w:t>
      </w:r>
      <w:r>
        <w:rPr>
          <w:sz w:val="24"/>
          <w:szCs w:val="24"/>
        </w:rPr>
        <w:t>，</w:t>
      </w:r>
      <w:r>
        <w:rPr>
          <w:sz w:val="24"/>
          <w:szCs w:val="24"/>
          <w:lang w:val="zh-CN"/>
        </w:rPr>
        <w:t>以帮助国家臭氧机构以二氧化碳当量吨为单位跟踪</w:t>
      </w:r>
      <w:r>
        <w:rPr>
          <w:sz w:val="24"/>
          <w:szCs w:val="24"/>
        </w:rPr>
        <w:t>HFC</w:t>
      </w:r>
      <w:r>
        <w:rPr>
          <w:sz w:val="24"/>
          <w:szCs w:val="24"/>
          <w:lang w:val="zh-CN"/>
        </w:rPr>
        <w:t>配额使用情况</w:t>
      </w:r>
      <w:r>
        <w:rPr>
          <w:sz w:val="24"/>
          <w:szCs w:val="24"/>
        </w:rPr>
        <w:t>，</w:t>
      </w:r>
      <w:r>
        <w:rPr>
          <w:sz w:val="24"/>
          <w:szCs w:val="24"/>
          <w:lang w:val="zh-CN"/>
        </w:rPr>
        <w:t>确保遵守《基加利修正案》</w:t>
      </w:r>
      <w:r>
        <w:rPr>
          <w:sz w:val="24"/>
          <w:szCs w:val="24"/>
        </w:rPr>
        <w:t>；</w:t>
      </w:r>
      <w:r>
        <w:rPr>
          <w:sz w:val="24"/>
          <w:szCs w:val="24"/>
          <w:lang w:val="zh-CN"/>
        </w:rPr>
        <w:t>提供了</w:t>
      </w:r>
      <w:r>
        <w:rPr>
          <w:sz w:val="24"/>
          <w:szCs w:val="24"/>
        </w:rPr>
        <w:t>40</w:t>
      </w:r>
      <w:r>
        <w:rPr>
          <w:sz w:val="24"/>
          <w:szCs w:val="24"/>
          <w:lang w:val="zh-CN"/>
        </w:rPr>
        <w:t>种工具</w:t>
      </w:r>
      <w:r>
        <w:rPr>
          <w:sz w:val="24"/>
          <w:szCs w:val="24"/>
        </w:rPr>
        <w:t>，</w:t>
      </w:r>
      <w:r>
        <w:rPr>
          <w:sz w:val="24"/>
          <w:szCs w:val="24"/>
          <w:lang w:val="zh-CN"/>
        </w:rPr>
        <w:t>包括由环境署及其合作伙伴开发的视频、应用程序、指南和培训材料</w:t>
      </w:r>
      <w:r>
        <w:rPr>
          <w:sz w:val="24"/>
          <w:szCs w:val="24"/>
        </w:rPr>
        <w:t>，</w:t>
      </w:r>
      <w:r>
        <w:rPr>
          <w:sz w:val="24"/>
          <w:szCs w:val="24"/>
          <w:lang w:val="zh-CN"/>
        </w:rPr>
        <w:t>用于提供海关和技术人员培训</w:t>
      </w:r>
      <w:r>
        <w:rPr>
          <w:sz w:val="24"/>
          <w:szCs w:val="24"/>
        </w:rPr>
        <w:t>（</w:t>
      </w:r>
      <w:r>
        <w:rPr>
          <w:sz w:val="24"/>
          <w:szCs w:val="24"/>
          <w:lang w:val="zh-CN"/>
        </w:rPr>
        <w:t>例如</w:t>
      </w:r>
      <w:r>
        <w:rPr>
          <w:sz w:val="24"/>
          <w:szCs w:val="24"/>
        </w:rPr>
        <w:t>，</w:t>
      </w:r>
      <w:r>
        <w:rPr>
          <w:sz w:val="24"/>
          <w:szCs w:val="24"/>
          <w:lang w:val="zh-CN"/>
        </w:rPr>
        <w:t>环境署</w:t>
      </w:r>
      <w:r>
        <w:rPr>
          <w:sz w:val="24"/>
          <w:szCs w:val="24"/>
        </w:rPr>
        <w:t>/</w:t>
      </w:r>
      <w:r>
        <w:rPr>
          <w:sz w:val="24"/>
          <w:szCs w:val="24"/>
          <w:lang w:val="zh-CN"/>
        </w:rPr>
        <w:t>世界海关组织</w:t>
      </w:r>
      <w:r>
        <w:rPr>
          <w:sz w:val="24"/>
          <w:szCs w:val="24"/>
        </w:rPr>
        <w:t>（</w:t>
      </w:r>
      <w:r>
        <w:rPr>
          <w:sz w:val="24"/>
          <w:szCs w:val="24"/>
        </w:rPr>
        <w:t>WCO</w:t>
      </w:r>
      <w:r>
        <w:rPr>
          <w:sz w:val="24"/>
          <w:szCs w:val="24"/>
        </w:rPr>
        <w:t>）</w:t>
      </w:r>
      <w:r>
        <w:rPr>
          <w:sz w:val="24"/>
          <w:szCs w:val="24"/>
          <w:lang w:val="zh-CN"/>
        </w:rPr>
        <w:t>的海关培训手册、联合效率倡议</w:t>
      </w:r>
      <w:r>
        <w:rPr>
          <w:sz w:val="24"/>
          <w:szCs w:val="24"/>
        </w:rPr>
        <w:t>（</w:t>
      </w:r>
      <w:r>
        <w:rPr>
          <w:sz w:val="24"/>
          <w:szCs w:val="24"/>
        </w:rPr>
        <w:t>U4E</w:t>
      </w:r>
      <w:r>
        <w:rPr>
          <w:sz w:val="24"/>
          <w:szCs w:val="24"/>
        </w:rPr>
        <w:t>）</w:t>
      </w:r>
      <w:r>
        <w:rPr>
          <w:sz w:val="24"/>
          <w:szCs w:val="24"/>
          <w:lang w:val="zh-CN"/>
        </w:rPr>
        <w:t>的冰箱示范法规指南、欧洲空调和制冷协会</w:t>
      </w:r>
      <w:r>
        <w:rPr>
          <w:sz w:val="24"/>
          <w:szCs w:val="24"/>
        </w:rPr>
        <w:t>（</w:t>
      </w:r>
      <w:r>
        <w:rPr>
          <w:sz w:val="24"/>
          <w:szCs w:val="24"/>
        </w:rPr>
        <w:t>AREA</w:t>
      </w:r>
      <w:r>
        <w:rPr>
          <w:sz w:val="24"/>
          <w:szCs w:val="24"/>
        </w:rPr>
        <w:t>）</w:t>
      </w:r>
      <w:r>
        <w:rPr>
          <w:sz w:val="24"/>
          <w:szCs w:val="24"/>
          <w:lang w:val="zh-CN"/>
        </w:rPr>
        <w:t>含氟温室气体</w:t>
      </w:r>
      <w:r>
        <w:rPr>
          <w:sz w:val="24"/>
          <w:szCs w:val="24"/>
        </w:rPr>
        <w:t>（</w:t>
      </w:r>
      <w:r>
        <w:rPr>
          <w:sz w:val="24"/>
          <w:szCs w:val="24"/>
        </w:rPr>
        <w:t>F-gas</w:t>
      </w:r>
      <w:r>
        <w:rPr>
          <w:sz w:val="24"/>
          <w:szCs w:val="24"/>
        </w:rPr>
        <w:t>）</w:t>
      </w:r>
      <w:r>
        <w:rPr>
          <w:sz w:val="24"/>
          <w:szCs w:val="24"/>
          <w:lang w:val="zh-CN"/>
        </w:rPr>
        <w:t>指南、</w:t>
      </w:r>
      <w:r>
        <w:rPr>
          <w:sz w:val="24"/>
          <w:szCs w:val="24"/>
        </w:rPr>
        <w:t>OzonAction/ClimaCheck</w:t>
      </w:r>
      <w:r>
        <w:rPr>
          <w:sz w:val="24"/>
          <w:szCs w:val="24"/>
          <w:lang w:val="zh-CN"/>
        </w:rPr>
        <w:t>关于可持续制冷的文章以及</w:t>
      </w:r>
      <w:r>
        <w:rPr>
          <w:sz w:val="24"/>
          <w:szCs w:val="24"/>
        </w:rPr>
        <w:t>What-Gas</w:t>
      </w:r>
      <w:r>
        <w:rPr>
          <w:sz w:val="24"/>
          <w:szCs w:val="24"/>
          <w:lang w:val="zh-CN"/>
        </w:rPr>
        <w:t>应用程序</w:t>
      </w:r>
      <w:r>
        <w:rPr>
          <w:sz w:val="24"/>
          <w:szCs w:val="24"/>
        </w:rPr>
        <w:t>）；</w:t>
      </w:r>
    </w:p>
    <w:p w14:paraId="70AFB734" w14:textId="77777777" w:rsidR="00666293" w:rsidRDefault="00666293">
      <w:pPr>
        <w:pStyle w:val="Heading2"/>
        <w:numPr>
          <w:ilvl w:val="1"/>
          <w:numId w:val="1"/>
        </w:numPr>
        <w:topLinePunct/>
        <w:rPr>
          <w:sz w:val="24"/>
          <w:szCs w:val="24"/>
        </w:rPr>
      </w:pPr>
      <w:r>
        <w:rPr>
          <w:sz w:val="24"/>
          <w:szCs w:val="24"/>
          <w:lang w:val="zh-CN"/>
        </w:rPr>
        <w:t>继续在各国开展能力建设活动</w:t>
      </w:r>
      <w:r>
        <w:rPr>
          <w:sz w:val="24"/>
          <w:szCs w:val="24"/>
        </w:rPr>
        <w:t>，</w:t>
      </w:r>
      <w:r>
        <w:rPr>
          <w:sz w:val="24"/>
          <w:szCs w:val="24"/>
          <w:lang w:val="zh-CN"/>
        </w:rPr>
        <w:t>以改进对制冷剂的处理、最大限度地减少泄漏和维护</w:t>
      </w:r>
      <w:r>
        <w:rPr>
          <w:sz w:val="24"/>
          <w:szCs w:val="24"/>
        </w:rPr>
        <w:t>/</w:t>
      </w:r>
      <w:r>
        <w:rPr>
          <w:sz w:val="24"/>
          <w:szCs w:val="24"/>
          <w:lang w:val="zh-CN"/>
        </w:rPr>
        <w:t>提高制冷和空调</w:t>
      </w:r>
      <w:r>
        <w:rPr>
          <w:sz w:val="24"/>
          <w:szCs w:val="24"/>
        </w:rPr>
        <w:t>（</w:t>
      </w:r>
      <w:r>
        <w:rPr>
          <w:sz w:val="24"/>
          <w:szCs w:val="24"/>
        </w:rPr>
        <w:t>RAC</w:t>
      </w:r>
      <w:r>
        <w:rPr>
          <w:sz w:val="24"/>
          <w:szCs w:val="24"/>
        </w:rPr>
        <w:t>）</w:t>
      </w:r>
      <w:r>
        <w:rPr>
          <w:sz w:val="24"/>
          <w:szCs w:val="24"/>
          <w:lang w:val="zh-CN"/>
        </w:rPr>
        <w:t>设备的能源效率</w:t>
      </w:r>
      <w:r>
        <w:rPr>
          <w:sz w:val="24"/>
          <w:szCs w:val="24"/>
        </w:rPr>
        <w:t>；</w:t>
      </w:r>
      <w:r>
        <w:rPr>
          <w:sz w:val="24"/>
          <w:szCs w:val="24"/>
          <w:lang w:val="zh-CN"/>
        </w:rPr>
        <w:t>推广使用环境署</w:t>
      </w:r>
      <w:r>
        <w:rPr>
          <w:sz w:val="24"/>
          <w:szCs w:val="24"/>
        </w:rPr>
        <w:t>-AREA</w:t>
      </w:r>
      <w:r>
        <w:rPr>
          <w:sz w:val="24"/>
          <w:szCs w:val="24"/>
          <w:lang w:val="zh-CN"/>
        </w:rPr>
        <w:t>培训手册和在线学习课程</w:t>
      </w:r>
      <w:r>
        <w:rPr>
          <w:sz w:val="24"/>
          <w:szCs w:val="24"/>
        </w:rPr>
        <w:t>；</w:t>
      </w:r>
      <w:r>
        <w:rPr>
          <w:sz w:val="24"/>
          <w:szCs w:val="24"/>
          <w:lang w:val="zh-CN"/>
        </w:rPr>
        <w:t>协助九所大学将环境署</w:t>
      </w:r>
      <w:r>
        <w:rPr>
          <w:sz w:val="24"/>
          <w:szCs w:val="24"/>
        </w:rPr>
        <w:t>-ASHRAE</w:t>
      </w:r>
      <w:r>
        <w:rPr>
          <w:rStyle w:val="FootnoteReference"/>
          <w:sz w:val="24"/>
          <w:szCs w:val="24"/>
          <w:lang w:val="zh-CN"/>
        </w:rPr>
        <w:footnoteReference w:id="2"/>
      </w:r>
      <w:r>
        <w:rPr>
          <w:sz w:val="24"/>
          <w:szCs w:val="24"/>
          <w:lang w:val="zh-CN"/>
        </w:rPr>
        <w:t>的大学制冷剂管理课程纳入工程课程</w:t>
      </w:r>
      <w:r>
        <w:rPr>
          <w:sz w:val="24"/>
          <w:szCs w:val="24"/>
        </w:rPr>
        <w:t>；</w:t>
      </w:r>
      <w:r>
        <w:rPr>
          <w:sz w:val="24"/>
          <w:szCs w:val="24"/>
          <w:lang w:val="zh-CN"/>
        </w:rPr>
        <w:t>为制定国家制冷和空调</w:t>
      </w:r>
      <w:r>
        <w:rPr>
          <w:sz w:val="24"/>
          <w:szCs w:val="24"/>
        </w:rPr>
        <w:t>（</w:t>
      </w:r>
      <w:r>
        <w:rPr>
          <w:sz w:val="24"/>
          <w:szCs w:val="24"/>
        </w:rPr>
        <w:t>RAC</w:t>
      </w:r>
      <w:r>
        <w:rPr>
          <w:sz w:val="24"/>
          <w:szCs w:val="24"/>
        </w:rPr>
        <w:t>）</w:t>
      </w:r>
      <w:r>
        <w:rPr>
          <w:sz w:val="24"/>
          <w:szCs w:val="24"/>
          <w:lang w:val="zh-CN"/>
        </w:rPr>
        <w:t>认证方案提供技术和政策协助</w:t>
      </w:r>
      <w:r>
        <w:rPr>
          <w:sz w:val="24"/>
          <w:szCs w:val="24"/>
        </w:rPr>
        <w:t>；</w:t>
      </w:r>
    </w:p>
    <w:p w14:paraId="20144486" w14:textId="77777777" w:rsidR="00666293" w:rsidRDefault="00666293">
      <w:pPr>
        <w:pStyle w:val="Heading2"/>
        <w:widowControl/>
        <w:numPr>
          <w:ilvl w:val="1"/>
          <w:numId w:val="1"/>
        </w:numPr>
        <w:topLinePunct/>
        <w:rPr>
          <w:sz w:val="24"/>
          <w:szCs w:val="24"/>
        </w:rPr>
      </w:pPr>
      <w:r>
        <w:rPr>
          <w:sz w:val="24"/>
          <w:szCs w:val="24"/>
          <w:lang w:val="zh-CN"/>
        </w:rPr>
        <w:t>通过国家臭氧干事和能源效率决策人员结对研讨会</w:t>
      </w:r>
      <w:r>
        <w:rPr>
          <w:sz w:val="24"/>
          <w:szCs w:val="24"/>
        </w:rPr>
        <w:t>（</w:t>
      </w:r>
      <w:r>
        <w:rPr>
          <w:sz w:val="24"/>
          <w:szCs w:val="24"/>
        </w:rPr>
        <w:t>422</w:t>
      </w:r>
      <w:r>
        <w:rPr>
          <w:sz w:val="24"/>
          <w:szCs w:val="24"/>
          <w:lang w:val="zh-CN"/>
        </w:rPr>
        <w:t>名参与者</w:t>
      </w:r>
      <w:r>
        <w:rPr>
          <w:sz w:val="24"/>
          <w:szCs w:val="24"/>
        </w:rPr>
        <w:t>）</w:t>
      </w:r>
      <w:r>
        <w:rPr>
          <w:sz w:val="24"/>
          <w:szCs w:val="24"/>
          <w:lang w:val="zh-CN"/>
        </w:rPr>
        <w:t>促进国家臭氧机构与国家能源效率决策人员和财政联络点之间的协同作用</w:t>
      </w:r>
      <w:r>
        <w:rPr>
          <w:sz w:val="24"/>
          <w:szCs w:val="24"/>
        </w:rPr>
        <w:t>；</w:t>
      </w:r>
      <w:r>
        <w:rPr>
          <w:sz w:val="24"/>
          <w:szCs w:val="24"/>
          <w:lang w:val="zh-CN"/>
        </w:rPr>
        <w:t>跟进结对项目第一阶段的建议</w:t>
      </w:r>
      <w:r>
        <w:rPr>
          <w:sz w:val="24"/>
          <w:szCs w:val="24"/>
        </w:rPr>
        <w:t>，</w:t>
      </w:r>
      <w:r>
        <w:rPr>
          <w:sz w:val="24"/>
          <w:szCs w:val="24"/>
          <w:lang w:val="zh-CN"/>
        </w:rPr>
        <w:t>包括开发和分享现有的能源效率和低全球升温潜能值</w:t>
      </w:r>
      <w:r>
        <w:rPr>
          <w:sz w:val="24"/>
          <w:szCs w:val="24"/>
        </w:rPr>
        <w:t>（</w:t>
      </w:r>
      <w:r>
        <w:rPr>
          <w:sz w:val="24"/>
          <w:szCs w:val="24"/>
        </w:rPr>
        <w:t>GWP</w:t>
      </w:r>
      <w:r>
        <w:rPr>
          <w:sz w:val="24"/>
          <w:szCs w:val="24"/>
        </w:rPr>
        <w:t>）</w:t>
      </w:r>
      <w:r>
        <w:rPr>
          <w:sz w:val="24"/>
          <w:szCs w:val="24"/>
          <w:lang w:val="zh-CN"/>
        </w:rPr>
        <w:t>制冷剂方面的能力建设材料</w:t>
      </w:r>
      <w:r>
        <w:rPr>
          <w:sz w:val="24"/>
          <w:szCs w:val="24"/>
        </w:rPr>
        <w:t>；</w:t>
      </w:r>
      <w:r>
        <w:rPr>
          <w:sz w:val="24"/>
          <w:szCs w:val="24"/>
          <w:lang w:val="zh-CN"/>
        </w:rPr>
        <w:t>启动项目第二阶段的实施</w:t>
      </w:r>
      <w:r>
        <w:rPr>
          <w:sz w:val="24"/>
          <w:szCs w:val="24"/>
        </w:rPr>
        <w:t>，</w:t>
      </w:r>
      <w:r>
        <w:rPr>
          <w:sz w:val="24"/>
          <w:szCs w:val="24"/>
          <w:lang w:val="zh-CN"/>
        </w:rPr>
        <w:t>包括向</w:t>
      </w:r>
      <w:r>
        <w:rPr>
          <w:sz w:val="24"/>
          <w:szCs w:val="24"/>
          <w:lang w:val="zh-CN"/>
        </w:rPr>
        <w:lastRenderedPageBreak/>
        <w:t>感兴趣的国家臭氧机构提供信息和协助</w:t>
      </w:r>
      <w:r>
        <w:rPr>
          <w:sz w:val="24"/>
          <w:szCs w:val="24"/>
        </w:rPr>
        <w:t>，</w:t>
      </w:r>
      <w:r>
        <w:rPr>
          <w:sz w:val="24"/>
          <w:szCs w:val="24"/>
          <w:lang w:val="zh-CN"/>
        </w:rPr>
        <w:t>以加强或制定政策和法规</w:t>
      </w:r>
      <w:r>
        <w:rPr>
          <w:sz w:val="24"/>
          <w:szCs w:val="24"/>
        </w:rPr>
        <w:t>，</w:t>
      </w:r>
      <w:r>
        <w:rPr>
          <w:sz w:val="24"/>
          <w:szCs w:val="24"/>
          <w:lang w:val="zh-CN"/>
        </w:rPr>
        <w:t>提高现有和新型制冷和空调设备的能源效率</w:t>
      </w:r>
      <w:r>
        <w:rPr>
          <w:sz w:val="24"/>
          <w:szCs w:val="24"/>
        </w:rPr>
        <w:t>；</w:t>
      </w:r>
    </w:p>
    <w:p w14:paraId="44957B42" w14:textId="77777777" w:rsidR="00666293" w:rsidRDefault="00666293">
      <w:pPr>
        <w:pStyle w:val="Heading2"/>
        <w:numPr>
          <w:ilvl w:val="1"/>
          <w:numId w:val="1"/>
        </w:numPr>
        <w:topLinePunct/>
        <w:rPr>
          <w:sz w:val="24"/>
          <w:szCs w:val="24"/>
        </w:rPr>
      </w:pPr>
      <w:r>
        <w:rPr>
          <w:sz w:val="24"/>
          <w:szCs w:val="24"/>
          <w:lang w:val="zh-CN"/>
        </w:rPr>
        <w:t>开发了区域和全球能力建设产品</w:t>
      </w:r>
      <w:r>
        <w:rPr>
          <w:sz w:val="24"/>
          <w:szCs w:val="24"/>
        </w:rPr>
        <w:t>，</w:t>
      </w:r>
      <w:r>
        <w:rPr>
          <w:sz w:val="24"/>
          <w:szCs w:val="24"/>
          <w:lang w:val="zh-CN"/>
        </w:rPr>
        <w:t>包括概况介绍、出版物、应用程序和培训手册</w:t>
      </w:r>
      <w:r>
        <w:rPr>
          <w:sz w:val="24"/>
          <w:szCs w:val="24"/>
        </w:rPr>
        <w:t>；</w:t>
      </w:r>
      <w:r>
        <w:rPr>
          <w:sz w:val="24"/>
          <w:szCs w:val="24"/>
          <w:lang w:val="zh-CN"/>
        </w:rPr>
        <w:t>维护</w:t>
      </w:r>
      <w:r>
        <w:rPr>
          <w:sz w:val="24"/>
          <w:szCs w:val="24"/>
        </w:rPr>
        <w:t>OzonAction</w:t>
      </w:r>
      <w:r>
        <w:rPr>
          <w:sz w:val="24"/>
          <w:szCs w:val="24"/>
          <w:lang w:val="zh-CN"/>
        </w:rPr>
        <w:t>网站</w:t>
      </w:r>
      <w:r>
        <w:rPr>
          <w:sz w:val="24"/>
          <w:szCs w:val="24"/>
        </w:rPr>
        <w:t>；</w:t>
      </w:r>
      <w:r>
        <w:rPr>
          <w:sz w:val="24"/>
          <w:szCs w:val="24"/>
          <w:lang w:val="zh-CN"/>
        </w:rPr>
        <w:t>发布了</w:t>
      </w:r>
      <w:r>
        <w:rPr>
          <w:sz w:val="24"/>
          <w:szCs w:val="24"/>
        </w:rPr>
        <w:t>22</w:t>
      </w:r>
      <w:r>
        <w:rPr>
          <w:sz w:val="24"/>
          <w:szCs w:val="24"/>
          <w:lang w:val="zh-CN"/>
        </w:rPr>
        <w:t>期双周刊</w:t>
      </w:r>
      <w:r>
        <w:rPr>
          <w:sz w:val="24"/>
          <w:szCs w:val="24"/>
        </w:rPr>
        <w:t>OzoNews</w:t>
      </w:r>
      <w:r>
        <w:rPr>
          <w:sz w:val="24"/>
          <w:szCs w:val="24"/>
          <w:lang w:val="zh-CN"/>
        </w:rPr>
        <w:t>通讯和三期特刊</w:t>
      </w:r>
      <w:r>
        <w:rPr>
          <w:sz w:val="24"/>
          <w:szCs w:val="24"/>
        </w:rPr>
        <w:t>；</w:t>
      </w:r>
      <w:r>
        <w:rPr>
          <w:sz w:val="24"/>
          <w:szCs w:val="24"/>
          <w:lang w:val="zh-CN"/>
        </w:rPr>
        <w:t>支持了</w:t>
      </w:r>
      <w:r>
        <w:rPr>
          <w:sz w:val="24"/>
          <w:szCs w:val="24"/>
        </w:rPr>
        <w:t>30</w:t>
      </w:r>
      <w:r>
        <w:rPr>
          <w:sz w:val="24"/>
          <w:szCs w:val="24"/>
          <w:lang w:val="zh-CN"/>
        </w:rPr>
        <w:t>项宣传活动</w:t>
      </w:r>
      <w:r>
        <w:rPr>
          <w:sz w:val="24"/>
          <w:szCs w:val="24"/>
        </w:rPr>
        <w:t>，</w:t>
      </w:r>
      <w:r>
        <w:rPr>
          <w:sz w:val="24"/>
          <w:szCs w:val="24"/>
          <w:lang w:val="zh-CN"/>
        </w:rPr>
        <w:t>例如世界臭氧日庆祝活动、研讨会、臭氧与气候圆桌会议、技术巡回宣传活动和世界制冷日等</w:t>
      </w:r>
      <w:r>
        <w:rPr>
          <w:sz w:val="24"/>
          <w:szCs w:val="24"/>
        </w:rPr>
        <w:t>；</w:t>
      </w:r>
    </w:p>
    <w:p w14:paraId="35A65DC2" w14:textId="77777777" w:rsidR="00666293" w:rsidRDefault="00666293">
      <w:pPr>
        <w:pStyle w:val="Heading2"/>
        <w:numPr>
          <w:ilvl w:val="1"/>
          <w:numId w:val="1"/>
        </w:numPr>
        <w:topLinePunct/>
        <w:rPr>
          <w:sz w:val="24"/>
          <w:szCs w:val="24"/>
          <w:lang w:val="en-GB"/>
        </w:rPr>
      </w:pPr>
      <w:r>
        <w:rPr>
          <w:sz w:val="24"/>
          <w:szCs w:val="24"/>
          <w:lang w:val="zh-CN"/>
        </w:rPr>
        <w:t>支持在履约协助方案的服务和项目中实施多边基金的性别平等政策</w:t>
      </w:r>
      <w:r>
        <w:rPr>
          <w:sz w:val="24"/>
          <w:szCs w:val="24"/>
        </w:rPr>
        <w:t>；</w:t>
      </w:r>
      <w:r>
        <w:rPr>
          <w:sz w:val="24"/>
          <w:szCs w:val="24"/>
          <w:lang w:val="zh-CN"/>
        </w:rPr>
        <w:t>支持国家臭氧机构利用工具和资源完成性别平等评估</w:t>
      </w:r>
      <w:r>
        <w:rPr>
          <w:sz w:val="24"/>
          <w:szCs w:val="24"/>
        </w:rPr>
        <w:t>；</w:t>
      </w:r>
      <w:r>
        <w:rPr>
          <w:sz w:val="24"/>
          <w:szCs w:val="24"/>
          <w:lang w:val="zh-CN"/>
        </w:rPr>
        <w:t>通过国际制冷领域女性网络</w:t>
      </w:r>
      <w:r>
        <w:rPr>
          <w:sz w:val="24"/>
          <w:szCs w:val="24"/>
        </w:rPr>
        <w:t>（</w:t>
      </w:r>
      <w:r>
        <w:rPr>
          <w:sz w:val="24"/>
          <w:szCs w:val="24"/>
        </w:rPr>
        <w:t>INWIC</w:t>
      </w:r>
      <w:r>
        <w:rPr>
          <w:sz w:val="24"/>
          <w:szCs w:val="24"/>
        </w:rPr>
        <w:t>）</w:t>
      </w:r>
      <w:r>
        <w:rPr>
          <w:sz w:val="24"/>
          <w:szCs w:val="24"/>
          <w:lang w:val="zh-CN"/>
        </w:rPr>
        <w:t>提供网络和指导机会</w:t>
      </w:r>
      <w:r>
        <w:rPr>
          <w:sz w:val="24"/>
          <w:szCs w:val="24"/>
        </w:rPr>
        <w:t>；</w:t>
      </w:r>
      <w:r>
        <w:rPr>
          <w:sz w:val="24"/>
          <w:szCs w:val="24"/>
          <w:lang w:val="zh-CN"/>
        </w:rPr>
        <w:t>支持各国将性别平等活动纳入含氢氟氯烃淘汰管理计划</w:t>
      </w:r>
      <w:r>
        <w:rPr>
          <w:sz w:val="24"/>
          <w:szCs w:val="24"/>
        </w:rPr>
        <w:t>（</w:t>
      </w:r>
      <w:r>
        <w:rPr>
          <w:sz w:val="24"/>
          <w:szCs w:val="24"/>
        </w:rPr>
        <w:t>HPMP</w:t>
      </w:r>
      <w:r>
        <w:rPr>
          <w:sz w:val="24"/>
          <w:szCs w:val="24"/>
        </w:rPr>
        <w:t>）</w:t>
      </w:r>
      <w:r>
        <w:rPr>
          <w:sz w:val="24"/>
          <w:szCs w:val="24"/>
          <w:lang w:val="zh-CN"/>
        </w:rPr>
        <w:t>和基加利氢氟碳化物执行计划</w:t>
      </w:r>
      <w:r>
        <w:rPr>
          <w:sz w:val="24"/>
          <w:szCs w:val="24"/>
        </w:rPr>
        <w:t>（</w:t>
      </w:r>
      <w:r>
        <w:rPr>
          <w:sz w:val="24"/>
          <w:szCs w:val="24"/>
        </w:rPr>
        <w:t>KIP</w:t>
      </w:r>
      <w:r>
        <w:rPr>
          <w:sz w:val="24"/>
          <w:szCs w:val="24"/>
        </w:rPr>
        <w:t>）</w:t>
      </w:r>
      <w:r>
        <w:rPr>
          <w:sz w:val="24"/>
          <w:szCs w:val="24"/>
          <w:lang w:val="zh-CN"/>
        </w:rPr>
        <w:t>项目</w:t>
      </w:r>
      <w:r>
        <w:rPr>
          <w:sz w:val="24"/>
          <w:szCs w:val="24"/>
        </w:rPr>
        <w:t>；</w:t>
      </w:r>
    </w:p>
    <w:p w14:paraId="4A679998" w14:textId="77777777" w:rsidR="00666293" w:rsidRDefault="00666293">
      <w:pPr>
        <w:pStyle w:val="Heading2"/>
        <w:numPr>
          <w:ilvl w:val="1"/>
          <w:numId w:val="1"/>
        </w:numPr>
        <w:topLinePunct/>
        <w:rPr>
          <w:sz w:val="24"/>
          <w:szCs w:val="24"/>
        </w:rPr>
      </w:pPr>
      <w:r>
        <w:rPr>
          <w:sz w:val="24"/>
          <w:szCs w:val="24"/>
          <w:lang w:val="zh-CN"/>
        </w:rPr>
        <w:t>支持第九十五次和第九十六次会议批准的项目的编制和提交</w:t>
      </w:r>
      <w:r>
        <w:rPr>
          <w:sz w:val="24"/>
          <w:szCs w:val="24"/>
          <w:lang w:val="en-GB"/>
        </w:rPr>
        <w:t>，</w:t>
      </w:r>
      <w:r>
        <w:rPr>
          <w:sz w:val="24"/>
          <w:szCs w:val="24"/>
          <w:lang w:val="zh-CN"/>
        </w:rPr>
        <w:t>包括</w:t>
      </w:r>
      <w:r>
        <w:rPr>
          <w:sz w:val="24"/>
          <w:szCs w:val="24"/>
          <w:lang w:val="en-GB"/>
        </w:rPr>
        <w:t>34</w:t>
      </w:r>
      <w:r>
        <w:rPr>
          <w:sz w:val="24"/>
          <w:szCs w:val="24"/>
          <w:lang w:val="zh-CN"/>
        </w:rPr>
        <w:t>个</w:t>
      </w:r>
      <w:r>
        <w:rPr>
          <w:sz w:val="24"/>
          <w:szCs w:val="24"/>
          <w:lang w:val="en-GB"/>
        </w:rPr>
        <w:t>HPMP</w:t>
      </w:r>
      <w:r>
        <w:rPr>
          <w:sz w:val="24"/>
          <w:szCs w:val="24"/>
          <w:lang w:val="zh-CN"/>
        </w:rPr>
        <w:t>付款项目和新阶段项目、</w:t>
      </w:r>
      <w:r>
        <w:rPr>
          <w:sz w:val="24"/>
          <w:szCs w:val="24"/>
          <w:lang w:val="en-GB"/>
        </w:rPr>
        <w:t>40</w:t>
      </w:r>
      <w:r>
        <w:rPr>
          <w:sz w:val="24"/>
          <w:szCs w:val="24"/>
          <w:lang w:val="zh-CN"/>
        </w:rPr>
        <w:t>份</w:t>
      </w:r>
      <w:r>
        <w:rPr>
          <w:sz w:val="24"/>
          <w:szCs w:val="24"/>
          <w:lang w:val="en-GB"/>
        </w:rPr>
        <w:t>HPMP</w:t>
      </w:r>
      <w:r>
        <w:rPr>
          <w:sz w:val="24"/>
          <w:szCs w:val="24"/>
          <w:lang w:val="zh-CN"/>
        </w:rPr>
        <w:t>核查报告、</w:t>
      </w:r>
      <w:r>
        <w:rPr>
          <w:sz w:val="24"/>
          <w:szCs w:val="24"/>
          <w:lang w:val="en-GB"/>
        </w:rPr>
        <w:t>28</w:t>
      </w:r>
      <w:r>
        <w:rPr>
          <w:sz w:val="24"/>
          <w:szCs w:val="24"/>
          <w:lang w:val="zh-CN"/>
        </w:rPr>
        <w:t>个</w:t>
      </w:r>
      <w:r>
        <w:rPr>
          <w:sz w:val="24"/>
          <w:szCs w:val="24"/>
          <w:lang w:val="en-GB"/>
        </w:rPr>
        <w:t>KIP</w:t>
      </w:r>
      <w:r>
        <w:rPr>
          <w:sz w:val="24"/>
          <w:szCs w:val="24"/>
          <w:lang w:val="zh-CN"/>
        </w:rPr>
        <w:t>项目、</w:t>
      </w:r>
      <w:r>
        <w:rPr>
          <w:sz w:val="24"/>
          <w:szCs w:val="24"/>
          <w:lang w:val="en-GB"/>
        </w:rPr>
        <w:t>39</w:t>
      </w:r>
      <w:r>
        <w:rPr>
          <w:sz w:val="24"/>
          <w:szCs w:val="24"/>
          <w:lang w:val="zh-CN"/>
        </w:rPr>
        <w:t>个体制强化项目、</w:t>
      </w:r>
      <w:r>
        <w:rPr>
          <w:sz w:val="24"/>
          <w:szCs w:val="24"/>
          <w:lang w:val="en-GB"/>
        </w:rPr>
        <w:t>20</w:t>
      </w:r>
      <w:r>
        <w:rPr>
          <w:sz w:val="24"/>
          <w:szCs w:val="24"/>
          <w:lang w:val="zh-CN"/>
        </w:rPr>
        <w:t>个编制项目、</w:t>
      </w:r>
      <w:r>
        <w:rPr>
          <w:sz w:val="24"/>
          <w:szCs w:val="24"/>
          <w:lang w:val="en-GB"/>
        </w:rPr>
        <w:t>20</w:t>
      </w:r>
      <w:r>
        <w:rPr>
          <w:sz w:val="24"/>
          <w:szCs w:val="24"/>
          <w:lang w:val="zh-CN"/>
        </w:rPr>
        <w:t>个根据第</w:t>
      </w:r>
      <w:r>
        <w:rPr>
          <w:sz w:val="24"/>
          <w:szCs w:val="24"/>
          <w:lang w:val="en-GB"/>
        </w:rPr>
        <w:t>89/6</w:t>
      </w:r>
      <w:r>
        <w:rPr>
          <w:sz w:val="24"/>
          <w:szCs w:val="24"/>
          <w:lang w:val="zh-CN"/>
        </w:rPr>
        <w:t>号决定开展的能源效率项目、</w:t>
      </w:r>
      <w:r>
        <w:rPr>
          <w:sz w:val="24"/>
          <w:szCs w:val="24"/>
          <w:lang w:val="en-GB"/>
        </w:rPr>
        <w:t>1</w:t>
      </w:r>
      <w:r>
        <w:rPr>
          <w:sz w:val="24"/>
          <w:szCs w:val="24"/>
          <w:lang w:val="zh-CN"/>
        </w:rPr>
        <w:t>个根据第</w:t>
      </w:r>
      <w:r>
        <w:rPr>
          <w:sz w:val="24"/>
          <w:szCs w:val="24"/>
          <w:lang w:val="en-GB"/>
        </w:rPr>
        <w:t>91/65</w:t>
      </w:r>
      <w:r>
        <w:rPr>
          <w:sz w:val="24"/>
          <w:szCs w:val="24"/>
          <w:lang w:val="zh-CN"/>
        </w:rPr>
        <w:t>号决定开展的试点项目、</w:t>
      </w:r>
      <w:r>
        <w:rPr>
          <w:sz w:val="24"/>
          <w:szCs w:val="24"/>
          <w:lang w:val="en-GB"/>
        </w:rPr>
        <w:t>35</w:t>
      </w:r>
      <w:r>
        <w:rPr>
          <w:sz w:val="24"/>
          <w:szCs w:val="24"/>
          <w:lang w:val="zh-CN"/>
        </w:rPr>
        <w:t>个根据第</w:t>
      </w:r>
      <w:r>
        <w:rPr>
          <w:sz w:val="24"/>
          <w:szCs w:val="24"/>
          <w:lang w:val="en-GB"/>
        </w:rPr>
        <w:t>91/66</w:t>
      </w:r>
      <w:r>
        <w:rPr>
          <w:sz w:val="24"/>
          <w:szCs w:val="24"/>
          <w:lang w:val="zh-CN"/>
        </w:rPr>
        <w:t>号决定开展的关于用过的或不需要的受控物质库存清单和行动计划项目</w:t>
      </w:r>
      <w:r>
        <w:rPr>
          <w:sz w:val="24"/>
          <w:szCs w:val="24"/>
          <w:lang w:val="en-GB"/>
        </w:rPr>
        <w:t>；</w:t>
      </w:r>
      <w:r>
        <w:rPr>
          <w:sz w:val="24"/>
          <w:szCs w:val="24"/>
          <w:lang w:val="zh-CN"/>
        </w:rPr>
        <w:t>和</w:t>
      </w:r>
    </w:p>
    <w:p w14:paraId="037C25F4" w14:textId="77777777" w:rsidR="00666293" w:rsidRDefault="00666293">
      <w:pPr>
        <w:pStyle w:val="Heading2"/>
        <w:numPr>
          <w:ilvl w:val="1"/>
          <w:numId w:val="1"/>
        </w:numPr>
        <w:topLinePunct/>
        <w:rPr>
          <w:sz w:val="24"/>
          <w:szCs w:val="24"/>
        </w:rPr>
      </w:pPr>
      <w:r>
        <w:rPr>
          <w:sz w:val="24"/>
          <w:szCs w:val="24"/>
          <w:lang w:val="zh-CN"/>
        </w:rPr>
        <w:t>支持在</w:t>
      </w:r>
      <w:r>
        <w:rPr>
          <w:sz w:val="24"/>
          <w:szCs w:val="24"/>
        </w:rPr>
        <w:t>102</w:t>
      </w:r>
      <w:r>
        <w:rPr>
          <w:sz w:val="24"/>
          <w:szCs w:val="24"/>
          <w:lang w:val="zh-CN"/>
        </w:rPr>
        <w:t>个国家</w:t>
      </w:r>
      <w:r>
        <w:rPr>
          <w:sz w:val="24"/>
          <w:szCs w:val="24"/>
        </w:rPr>
        <w:t>（</w:t>
      </w:r>
      <w:r>
        <w:rPr>
          <w:sz w:val="24"/>
          <w:szCs w:val="24"/>
        </w:rPr>
        <w:t>75</w:t>
      </w:r>
      <w:r>
        <w:rPr>
          <w:sz w:val="24"/>
          <w:szCs w:val="24"/>
          <w:lang w:val="zh-CN"/>
        </w:rPr>
        <w:t>个国家作为牵头机构</w:t>
      </w:r>
      <w:r>
        <w:rPr>
          <w:sz w:val="24"/>
          <w:szCs w:val="24"/>
        </w:rPr>
        <w:t>，</w:t>
      </w:r>
      <w:r>
        <w:rPr>
          <w:sz w:val="24"/>
          <w:szCs w:val="24"/>
        </w:rPr>
        <w:t>27</w:t>
      </w:r>
      <w:r>
        <w:rPr>
          <w:sz w:val="24"/>
          <w:szCs w:val="24"/>
          <w:lang w:val="zh-CN"/>
        </w:rPr>
        <w:t>个国家作为合作机构</w:t>
      </w:r>
      <w:r>
        <w:rPr>
          <w:sz w:val="24"/>
          <w:szCs w:val="24"/>
        </w:rPr>
        <w:t>）</w:t>
      </w:r>
      <w:r>
        <w:rPr>
          <w:sz w:val="24"/>
          <w:szCs w:val="24"/>
          <w:lang w:val="zh-CN"/>
        </w:rPr>
        <w:t>实施含氢氟氯烃淘汰管理计划</w:t>
      </w:r>
      <w:r>
        <w:rPr>
          <w:sz w:val="24"/>
          <w:szCs w:val="24"/>
        </w:rPr>
        <w:t>（</w:t>
      </w:r>
      <w:r>
        <w:rPr>
          <w:sz w:val="24"/>
          <w:szCs w:val="24"/>
        </w:rPr>
        <w:t>HPMP</w:t>
      </w:r>
      <w:r>
        <w:rPr>
          <w:sz w:val="24"/>
          <w:szCs w:val="24"/>
        </w:rPr>
        <w:t>）</w:t>
      </w:r>
      <w:r>
        <w:rPr>
          <w:sz w:val="24"/>
          <w:szCs w:val="24"/>
          <w:lang w:val="zh-CN"/>
        </w:rPr>
        <w:t>、在</w:t>
      </w:r>
      <w:r>
        <w:rPr>
          <w:sz w:val="24"/>
          <w:szCs w:val="24"/>
        </w:rPr>
        <w:t>50</w:t>
      </w:r>
      <w:r>
        <w:rPr>
          <w:sz w:val="24"/>
          <w:szCs w:val="24"/>
          <w:lang w:val="zh-CN"/>
        </w:rPr>
        <w:t>个国家</w:t>
      </w:r>
      <w:r>
        <w:rPr>
          <w:sz w:val="24"/>
          <w:szCs w:val="24"/>
        </w:rPr>
        <w:t>（</w:t>
      </w:r>
      <w:r>
        <w:rPr>
          <w:sz w:val="24"/>
          <w:szCs w:val="24"/>
        </w:rPr>
        <w:t>32</w:t>
      </w:r>
      <w:r>
        <w:rPr>
          <w:sz w:val="24"/>
          <w:szCs w:val="24"/>
          <w:lang w:val="zh-CN"/>
        </w:rPr>
        <w:t>个国家作为牵头机构、</w:t>
      </w:r>
      <w:r>
        <w:rPr>
          <w:sz w:val="24"/>
          <w:szCs w:val="24"/>
        </w:rPr>
        <w:t>18</w:t>
      </w:r>
      <w:r>
        <w:rPr>
          <w:sz w:val="24"/>
          <w:szCs w:val="24"/>
          <w:lang w:val="zh-CN"/>
        </w:rPr>
        <w:t>个国家作为合作机构</w:t>
      </w:r>
      <w:r>
        <w:rPr>
          <w:sz w:val="24"/>
          <w:szCs w:val="24"/>
        </w:rPr>
        <w:t>）</w:t>
      </w:r>
      <w:r>
        <w:rPr>
          <w:sz w:val="24"/>
          <w:szCs w:val="24"/>
          <w:lang w:val="zh-CN"/>
        </w:rPr>
        <w:t>实施基加利氢氟碳化物执行计划</w:t>
      </w:r>
      <w:r>
        <w:rPr>
          <w:sz w:val="24"/>
          <w:szCs w:val="24"/>
        </w:rPr>
        <w:t>（</w:t>
      </w:r>
      <w:r>
        <w:rPr>
          <w:sz w:val="24"/>
          <w:szCs w:val="24"/>
        </w:rPr>
        <w:t>KIP</w:t>
      </w:r>
      <w:r>
        <w:rPr>
          <w:sz w:val="24"/>
          <w:szCs w:val="24"/>
        </w:rPr>
        <w:t>）</w:t>
      </w:r>
      <w:r>
        <w:rPr>
          <w:sz w:val="24"/>
          <w:szCs w:val="24"/>
          <w:lang w:val="zh-CN"/>
        </w:rPr>
        <w:t>、在</w:t>
      </w:r>
      <w:r>
        <w:rPr>
          <w:sz w:val="24"/>
          <w:szCs w:val="24"/>
        </w:rPr>
        <w:t>39</w:t>
      </w:r>
      <w:r>
        <w:rPr>
          <w:sz w:val="24"/>
          <w:szCs w:val="24"/>
          <w:lang w:val="zh-CN"/>
        </w:rPr>
        <w:t>个国家实施能源效率项目和在</w:t>
      </w:r>
      <w:r>
        <w:rPr>
          <w:sz w:val="24"/>
          <w:szCs w:val="24"/>
        </w:rPr>
        <w:t>51</w:t>
      </w:r>
      <w:r>
        <w:rPr>
          <w:sz w:val="24"/>
          <w:szCs w:val="24"/>
          <w:lang w:val="zh-CN"/>
        </w:rPr>
        <w:t>个国家实施编制用过的和不需要的国家受控物质库存清单及后续行动计划项目。</w:t>
      </w:r>
      <w:r>
        <w:rPr>
          <w:sz w:val="24"/>
          <w:szCs w:val="24"/>
        </w:rPr>
        <w:t xml:space="preserve"> </w:t>
      </w:r>
    </w:p>
    <w:p w14:paraId="4CC8AAED" w14:textId="77777777" w:rsidR="00666293" w:rsidRDefault="00666293">
      <w:pPr>
        <w:pStyle w:val="Heading2"/>
        <w:numPr>
          <w:ilvl w:val="0"/>
          <w:numId w:val="0"/>
        </w:numPr>
        <w:topLinePunct/>
        <w:rPr>
          <w:sz w:val="24"/>
          <w:szCs w:val="24"/>
          <w:u w:val="single"/>
        </w:rPr>
      </w:pPr>
      <w:r>
        <w:rPr>
          <w:sz w:val="24"/>
          <w:szCs w:val="24"/>
          <w:u w:val="single"/>
          <w:lang w:val="zh-CN"/>
        </w:rPr>
        <w:t>为低消费量国家提供技术和政策支持以支持</w:t>
      </w:r>
      <w:r>
        <w:rPr>
          <w:sz w:val="24"/>
          <w:szCs w:val="24"/>
          <w:u w:val="single"/>
          <w:lang w:val="zh-CN"/>
        </w:rPr>
        <w:t>KIP</w:t>
      </w:r>
      <w:r>
        <w:rPr>
          <w:sz w:val="24"/>
          <w:szCs w:val="24"/>
          <w:u w:val="single"/>
          <w:lang w:val="zh-CN"/>
        </w:rPr>
        <w:t>实施的报告</w:t>
      </w:r>
    </w:p>
    <w:p w14:paraId="49522329"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执行委员会通过第</w:t>
      </w:r>
      <w:r>
        <w:rPr>
          <w:sz w:val="24"/>
          <w:szCs w:val="24"/>
        </w:rPr>
        <w:t>93/95</w:t>
      </w:r>
      <w:r>
        <w:rPr>
          <w:sz w:val="24"/>
          <w:szCs w:val="24"/>
          <w:lang w:val="zh-CN"/>
        </w:rPr>
        <w:t>号决定</w:t>
      </w:r>
      <w:r>
        <w:rPr>
          <w:sz w:val="24"/>
          <w:szCs w:val="24"/>
        </w:rPr>
        <w:t>（</w:t>
      </w:r>
      <w:r>
        <w:rPr>
          <w:sz w:val="24"/>
          <w:szCs w:val="24"/>
        </w:rPr>
        <w:t>d</w:t>
      </w:r>
      <w:r>
        <w:rPr>
          <w:sz w:val="24"/>
          <w:szCs w:val="24"/>
        </w:rPr>
        <w:t>）</w:t>
      </w:r>
      <w:r>
        <w:rPr>
          <w:sz w:val="24"/>
          <w:szCs w:val="24"/>
          <w:lang w:val="zh-CN"/>
        </w:rPr>
        <w:t>段</w:t>
      </w:r>
      <w:r>
        <w:rPr>
          <w:sz w:val="24"/>
          <w:szCs w:val="24"/>
        </w:rPr>
        <w:t>，</w:t>
      </w:r>
      <w:r>
        <w:rPr>
          <w:sz w:val="24"/>
          <w:szCs w:val="24"/>
          <w:lang w:val="zh-CN"/>
        </w:rPr>
        <w:t>批准增加</w:t>
      </w:r>
      <w:r>
        <w:rPr>
          <w:sz w:val="24"/>
          <w:szCs w:val="24"/>
        </w:rPr>
        <w:t>2024</w:t>
      </w:r>
      <w:r>
        <w:rPr>
          <w:sz w:val="24"/>
          <w:szCs w:val="24"/>
          <w:lang w:val="zh-CN"/>
        </w:rPr>
        <w:t>年、</w:t>
      </w:r>
      <w:r>
        <w:rPr>
          <w:sz w:val="24"/>
          <w:szCs w:val="24"/>
        </w:rPr>
        <w:t>2025</w:t>
      </w:r>
      <w:r>
        <w:rPr>
          <w:sz w:val="24"/>
          <w:szCs w:val="24"/>
          <w:lang w:val="zh-CN"/>
        </w:rPr>
        <w:t>年和</w:t>
      </w:r>
      <w:r>
        <w:rPr>
          <w:sz w:val="24"/>
          <w:szCs w:val="24"/>
        </w:rPr>
        <w:t>2026</w:t>
      </w:r>
      <w:r>
        <w:rPr>
          <w:sz w:val="24"/>
          <w:szCs w:val="24"/>
          <w:lang w:val="zh-CN"/>
        </w:rPr>
        <w:t>年履约协助方案预算</w:t>
      </w:r>
      <w:r>
        <w:rPr>
          <w:sz w:val="24"/>
          <w:szCs w:val="24"/>
        </w:rPr>
        <w:t>，</w:t>
      </w:r>
      <w:r>
        <w:rPr>
          <w:sz w:val="24"/>
          <w:szCs w:val="24"/>
          <w:lang w:val="zh-CN"/>
        </w:rPr>
        <w:t>以便向低消费量国家</w:t>
      </w:r>
      <w:r>
        <w:rPr>
          <w:sz w:val="24"/>
          <w:szCs w:val="24"/>
        </w:rPr>
        <w:t>（</w:t>
      </w:r>
      <w:r>
        <w:rPr>
          <w:sz w:val="24"/>
          <w:szCs w:val="24"/>
        </w:rPr>
        <w:t>LVC</w:t>
      </w:r>
      <w:r>
        <w:rPr>
          <w:sz w:val="24"/>
          <w:szCs w:val="24"/>
        </w:rPr>
        <w:t>）</w:t>
      </w:r>
      <w:r>
        <w:rPr>
          <w:sz w:val="24"/>
          <w:szCs w:val="24"/>
          <w:lang w:val="zh-CN"/>
        </w:rPr>
        <w:t>提供技术和政策协助</w:t>
      </w:r>
      <w:r>
        <w:rPr>
          <w:sz w:val="24"/>
          <w:szCs w:val="24"/>
        </w:rPr>
        <w:t>，</w:t>
      </w:r>
      <w:r>
        <w:rPr>
          <w:sz w:val="24"/>
          <w:szCs w:val="24"/>
          <w:lang w:val="zh-CN"/>
        </w:rPr>
        <w:t>以支持</w:t>
      </w:r>
      <w:r>
        <w:rPr>
          <w:sz w:val="24"/>
          <w:szCs w:val="24"/>
        </w:rPr>
        <w:t>KIP</w:t>
      </w:r>
      <w:r>
        <w:rPr>
          <w:sz w:val="24"/>
          <w:szCs w:val="24"/>
          <w:lang w:val="zh-CN"/>
        </w:rPr>
        <w:t>的实施</w:t>
      </w:r>
      <w:r>
        <w:rPr>
          <w:sz w:val="24"/>
          <w:szCs w:val="24"/>
        </w:rPr>
        <w:t>，</w:t>
      </w:r>
      <w:r>
        <w:rPr>
          <w:sz w:val="24"/>
          <w:szCs w:val="24"/>
          <w:lang w:val="zh-CN"/>
        </w:rPr>
        <w:t>但有一项谅解</w:t>
      </w:r>
      <w:r>
        <w:rPr>
          <w:sz w:val="24"/>
          <w:szCs w:val="24"/>
        </w:rPr>
        <w:t>，</w:t>
      </w:r>
      <w:r>
        <w:rPr>
          <w:sz w:val="24"/>
          <w:szCs w:val="24"/>
          <w:lang w:val="zh-CN"/>
        </w:rPr>
        <w:t>即除其他外</w:t>
      </w:r>
      <w:r>
        <w:rPr>
          <w:sz w:val="24"/>
          <w:szCs w:val="24"/>
        </w:rPr>
        <w:t>，</w:t>
      </w:r>
      <w:r>
        <w:rPr>
          <w:sz w:val="24"/>
          <w:szCs w:val="24"/>
          <w:lang w:val="zh-CN"/>
        </w:rPr>
        <w:t>环境署作为履约协助方案年度进展报告的一部分</w:t>
      </w:r>
      <w:r>
        <w:rPr>
          <w:sz w:val="24"/>
          <w:szCs w:val="24"/>
        </w:rPr>
        <w:t>，</w:t>
      </w:r>
      <w:r>
        <w:rPr>
          <w:sz w:val="24"/>
          <w:szCs w:val="24"/>
          <w:lang w:val="zh-CN"/>
        </w:rPr>
        <w:t>报告向</w:t>
      </w:r>
      <w:r>
        <w:rPr>
          <w:sz w:val="24"/>
          <w:szCs w:val="24"/>
        </w:rPr>
        <w:t>LVC</w:t>
      </w:r>
      <w:r>
        <w:rPr>
          <w:sz w:val="24"/>
          <w:szCs w:val="24"/>
          <w:lang w:val="zh-CN"/>
        </w:rPr>
        <w:t>国家提供的技术和政策协助活动及其影响。在第九十五次会议上</w:t>
      </w:r>
      <w:r>
        <w:rPr>
          <w:sz w:val="24"/>
          <w:szCs w:val="24"/>
          <w:lang w:val="en-US"/>
        </w:rPr>
        <w:t>，</w:t>
      </w:r>
      <w:r>
        <w:rPr>
          <w:sz w:val="24"/>
          <w:szCs w:val="24"/>
          <w:lang w:val="zh-CN"/>
        </w:rPr>
        <w:t>环境署报告称</w:t>
      </w:r>
      <w:r>
        <w:rPr>
          <w:sz w:val="24"/>
          <w:szCs w:val="24"/>
          <w:lang w:val="en-US"/>
        </w:rPr>
        <w:t>，</w:t>
      </w:r>
      <w:r>
        <w:rPr>
          <w:sz w:val="24"/>
          <w:szCs w:val="24"/>
          <w:lang w:val="zh-CN"/>
        </w:rPr>
        <w:t>将向</w:t>
      </w:r>
      <w:r>
        <w:rPr>
          <w:sz w:val="24"/>
          <w:szCs w:val="24"/>
          <w:lang w:val="en-US"/>
        </w:rPr>
        <w:t>LVC</w:t>
      </w:r>
      <w:r>
        <w:rPr>
          <w:sz w:val="24"/>
          <w:szCs w:val="24"/>
          <w:lang w:val="zh-CN"/>
        </w:rPr>
        <w:t>国家提供四个优先领域的特别援助</w:t>
      </w:r>
      <w:r>
        <w:rPr>
          <w:sz w:val="24"/>
          <w:szCs w:val="24"/>
          <w:lang w:val="en-US"/>
        </w:rPr>
        <w:t>，</w:t>
      </w:r>
      <w:r>
        <w:rPr>
          <w:sz w:val="24"/>
          <w:szCs w:val="24"/>
          <w:lang w:val="zh-CN"/>
        </w:rPr>
        <w:t>这些领域是根据其相关性、潜在影响和在不同</w:t>
      </w:r>
      <w:r>
        <w:rPr>
          <w:sz w:val="24"/>
          <w:szCs w:val="24"/>
          <w:lang w:val="en-US"/>
        </w:rPr>
        <w:t>LVC</w:t>
      </w:r>
      <w:r>
        <w:rPr>
          <w:sz w:val="24"/>
          <w:szCs w:val="24"/>
          <w:lang w:val="zh-CN"/>
        </w:rPr>
        <w:t>国家背景下的可复制性而选取的。自提交上次报告以来</w:t>
      </w:r>
      <w:r>
        <w:rPr>
          <w:sz w:val="24"/>
          <w:szCs w:val="24"/>
          <w:lang w:val="en-US"/>
        </w:rPr>
        <w:t>，</w:t>
      </w:r>
      <w:r>
        <w:rPr>
          <w:sz w:val="24"/>
          <w:szCs w:val="24"/>
          <w:lang w:val="zh-CN"/>
        </w:rPr>
        <w:t>原先预备增强国家臭氧机构</w:t>
      </w:r>
      <w:r>
        <w:rPr>
          <w:sz w:val="24"/>
          <w:szCs w:val="24"/>
          <w:lang w:val="en-US"/>
        </w:rPr>
        <w:t>（</w:t>
      </w:r>
      <w:r>
        <w:rPr>
          <w:sz w:val="24"/>
          <w:szCs w:val="24"/>
          <w:lang w:val="en-US"/>
        </w:rPr>
        <w:t>NOU</w:t>
      </w:r>
      <w:r>
        <w:rPr>
          <w:sz w:val="24"/>
          <w:szCs w:val="24"/>
          <w:lang w:val="en-US"/>
        </w:rPr>
        <w:t>）</w:t>
      </w:r>
      <w:r>
        <w:rPr>
          <w:sz w:val="24"/>
          <w:szCs w:val="24"/>
          <w:lang w:val="zh-CN"/>
        </w:rPr>
        <w:t>能力以便在移动式空调制造行业采取早期行动和评估消费趋势的领域已被一个新的优先领域所取代</w:t>
      </w:r>
      <w:r>
        <w:rPr>
          <w:sz w:val="24"/>
          <w:szCs w:val="24"/>
          <w:lang w:val="en-US"/>
        </w:rPr>
        <w:t>，</w:t>
      </w:r>
      <w:r>
        <w:rPr>
          <w:sz w:val="24"/>
          <w:szCs w:val="24"/>
          <w:lang w:val="zh-CN"/>
        </w:rPr>
        <w:t>即通过加强制冷和空调</w:t>
      </w:r>
      <w:r>
        <w:rPr>
          <w:sz w:val="24"/>
          <w:szCs w:val="24"/>
          <w:lang w:val="en-US"/>
        </w:rPr>
        <w:t>（</w:t>
      </w:r>
      <w:r>
        <w:rPr>
          <w:sz w:val="24"/>
          <w:szCs w:val="24"/>
          <w:lang w:val="en-US"/>
        </w:rPr>
        <w:t>RAC</w:t>
      </w:r>
      <w:r>
        <w:rPr>
          <w:sz w:val="24"/>
          <w:szCs w:val="24"/>
          <w:lang w:val="en-US"/>
        </w:rPr>
        <w:t>）</w:t>
      </w:r>
      <w:r>
        <w:rPr>
          <w:sz w:val="24"/>
          <w:szCs w:val="24"/>
          <w:lang w:val="zh-CN"/>
        </w:rPr>
        <w:t>行业的职业安全能力来提升安全和可持续制冷能力。环境署打算继续在四个优先领域</w:t>
      </w:r>
      <w:r>
        <w:rPr>
          <w:sz w:val="24"/>
          <w:szCs w:val="24"/>
          <w:lang w:val="en-US"/>
        </w:rPr>
        <w:t>（</w:t>
      </w:r>
      <w:r>
        <w:rPr>
          <w:sz w:val="24"/>
          <w:szCs w:val="24"/>
          <w:lang w:val="zh-CN"/>
        </w:rPr>
        <w:t>现在包括这个新增的领域</w:t>
      </w:r>
      <w:r>
        <w:rPr>
          <w:sz w:val="24"/>
          <w:szCs w:val="24"/>
          <w:lang w:val="en-US"/>
        </w:rPr>
        <w:t>）</w:t>
      </w:r>
      <w:r>
        <w:rPr>
          <w:sz w:val="24"/>
          <w:szCs w:val="24"/>
          <w:lang w:val="zh-CN"/>
        </w:rPr>
        <w:t>支持低量消费国</w:t>
      </w:r>
      <w:r>
        <w:rPr>
          <w:sz w:val="24"/>
          <w:szCs w:val="24"/>
          <w:lang w:val="en-US"/>
        </w:rPr>
        <w:t>（</w:t>
      </w:r>
      <w:r>
        <w:rPr>
          <w:sz w:val="24"/>
          <w:szCs w:val="24"/>
          <w:lang w:val="en-US"/>
        </w:rPr>
        <w:t>LVC</w:t>
      </w:r>
      <w:r>
        <w:rPr>
          <w:sz w:val="24"/>
          <w:szCs w:val="24"/>
          <w:lang w:val="en-US"/>
        </w:rPr>
        <w:t>），</w:t>
      </w:r>
      <w:r>
        <w:rPr>
          <w:sz w:val="24"/>
          <w:szCs w:val="24"/>
          <w:lang w:val="zh-CN"/>
        </w:rPr>
        <w:t>并聘请顾问来补充履约协助方案团队的技术和政策专长</w:t>
      </w:r>
      <w:r>
        <w:rPr>
          <w:sz w:val="24"/>
          <w:szCs w:val="24"/>
          <w:lang w:val="en-US"/>
        </w:rPr>
        <w:t>，</w:t>
      </w:r>
      <w:r>
        <w:rPr>
          <w:sz w:val="24"/>
          <w:szCs w:val="24"/>
          <w:lang w:val="zh-CN"/>
        </w:rPr>
        <w:t>以协助在</w:t>
      </w:r>
      <w:r>
        <w:rPr>
          <w:sz w:val="24"/>
          <w:szCs w:val="24"/>
          <w:lang w:val="en-US"/>
        </w:rPr>
        <w:t>LVC</w:t>
      </w:r>
      <w:r>
        <w:rPr>
          <w:sz w:val="24"/>
          <w:szCs w:val="24"/>
          <w:lang w:val="zh-CN"/>
        </w:rPr>
        <w:t>国家实施</w:t>
      </w:r>
      <w:r>
        <w:rPr>
          <w:sz w:val="24"/>
          <w:szCs w:val="24"/>
          <w:lang w:val="en-US"/>
        </w:rPr>
        <w:t>KIP</w:t>
      </w:r>
      <w:r>
        <w:rPr>
          <w:sz w:val="24"/>
          <w:szCs w:val="24"/>
          <w:lang w:val="zh-CN"/>
        </w:rPr>
        <w:t>项目。在编写本文件时</w:t>
      </w:r>
      <w:r>
        <w:rPr>
          <w:sz w:val="24"/>
          <w:szCs w:val="24"/>
          <w:lang w:val="en-US"/>
        </w:rPr>
        <w:t>，</w:t>
      </w:r>
      <w:r>
        <w:rPr>
          <w:sz w:val="24"/>
          <w:szCs w:val="24"/>
          <w:lang w:val="zh-CN"/>
        </w:rPr>
        <w:t>环境署表示已为此目的聘请了两名顾问。在原有的三个优先领域中，每个领域开展了以下活动：</w:t>
      </w:r>
    </w:p>
    <w:p w14:paraId="6F1BA64C" w14:textId="77777777" w:rsidR="00666293" w:rsidRDefault="00666293">
      <w:pPr>
        <w:pStyle w:val="Heading2"/>
        <w:widowControl/>
        <w:numPr>
          <w:ilvl w:val="1"/>
          <w:numId w:val="1"/>
        </w:numPr>
        <w:topLinePunct/>
        <w:rPr>
          <w:sz w:val="24"/>
          <w:szCs w:val="24"/>
        </w:rPr>
      </w:pPr>
      <w:r>
        <w:rPr>
          <w:sz w:val="24"/>
          <w:szCs w:val="24"/>
          <w:lang w:val="zh-CN"/>
        </w:rPr>
        <w:t>加强低消费量国家家实施氢氟碳化物</w:t>
      </w:r>
      <w:r>
        <w:rPr>
          <w:sz w:val="24"/>
          <w:szCs w:val="24"/>
        </w:rPr>
        <w:t>（</w:t>
      </w:r>
      <w:r>
        <w:rPr>
          <w:sz w:val="24"/>
          <w:szCs w:val="24"/>
        </w:rPr>
        <w:t>HFC</w:t>
      </w:r>
      <w:r>
        <w:rPr>
          <w:sz w:val="24"/>
          <w:szCs w:val="24"/>
        </w:rPr>
        <w:t>）</w:t>
      </w:r>
      <w:r>
        <w:rPr>
          <w:sz w:val="24"/>
          <w:szCs w:val="24"/>
          <w:lang w:val="zh-CN"/>
        </w:rPr>
        <w:t>许可证颁发和配额制度以及收集氢氟碳化物消费趋势数据的能力</w:t>
      </w:r>
      <w:r>
        <w:rPr>
          <w:sz w:val="24"/>
          <w:szCs w:val="24"/>
        </w:rPr>
        <w:t>：</w:t>
      </w:r>
      <w:r>
        <w:rPr>
          <w:sz w:val="24"/>
          <w:szCs w:val="24"/>
          <w:lang w:val="zh-CN"/>
        </w:rPr>
        <w:t>环境署选择了两个低消费量国家开展试点项目和聘请了一名顾问评估氢氟碳化物许可证颁发和配额制度</w:t>
      </w:r>
      <w:r>
        <w:rPr>
          <w:sz w:val="24"/>
          <w:szCs w:val="24"/>
        </w:rPr>
        <w:t>，</w:t>
      </w:r>
      <w:r>
        <w:rPr>
          <w:sz w:val="24"/>
          <w:szCs w:val="24"/>
          <w:lang w:val="zh-CN"/>
        </w:rPr>
        <w:t>包括数据监测和报告机制</w:t>
      </w:r>
      <w:r>
        <w:rPr>
          <w:sz w:val="24"/>
          <w:szCs w:val="24"/>
        </w:rPr>
        <w:t>，</w:t>
      </w:r>
      <w:r>
        <w:rPr>
          <w:sz w:val="24"/>
          <w:szCs w:val="24"/>
          <w:lang w:val="zh-CN"/>
        </w:rPr>
        <w:t>以及分析这两个选定的低消费量国家与其基准量相关的氟</w:t>
      </w:r>
      <w:r>
        <w:rPr>
          <w:sz w:val="24"/>
          <w:szCs w:val="24"/>
          <w:lang w:val="zh-CN"/>
        </w:rPr>
        <w:lastRenderedPageBreak/>
        <w:t>氯烃化物消费趋势</w:t>
      </w:r>
      <w:r>
        <w:rPr>
          <w:sz w:val="24"/>
          <w:szCs w:val="24"/>
        </w:rPr>
        <w:t>，</w:t>
      </w:r>
      <w:r>
        <w:rPr>
          <w:sz w:val="24"/>
          <w:szCs w:val="24"/>
          <w:lang w:val="zh-CN"/>
        </w:rPr>
        <w:t>重点关注消费模式波动的根本驱动因素、国内市场的具体需求以及对未来需求的预测。这两项评估的结果将用于编写情况说明</w:t>
      </w:r>
      <w:r>
        <w:rPr>
          <w:sz w:val="24"/>
          <w:szCs w:val="24"/>
          <w:lang w:val="en-US"/>
        </w:rPr>
        <w:t>/</w:t>
      </w:r>
      <w:r>
        <w:rPr>
          <w:sz w:val="24"/>
          <w:szCs w:val="24"/>
          <w:lang w:val="zh-CN"/>
        </w:rPr>
        <w:t>信息材料</w:t>
      </w:r>
      <w:r>
        <w:rPr>
          <w:sz w:val="24"/>
          <w:szCs w:val="24"/>
          <w:lang w:val="en-US"/>
        </w:rPr>
        <w:t>，</w:t>
      </w:r>
      <w:r>
        <w:rPr>
          <w:sz w:val="24"/>
          <w:szCs w:val="24"/>
          <w:lang w:val="zh-CN"/>
        </w:rPr>
        <w:t>包括一份关于消费趋势分析方法的材料</w:t>
      </w:r>
      <w:r>
        <w:rPr>
          <w:sz w:val="24"/>
          <w:szCs w:val="24"/>
          <w:lang w:val="en-US"/>
        </w:rPr>
        <w:t>；</w:t>
      </w:r>
      <w:r>
        <w:rPr>
          <w:sz w:val="24"/>
          <w:szCs w:val="24"/>
          <w:lang w:val="zh-CN"/>
        </w:rPr>
        <w:t>这些材料以及评估结果和成果将通过与《蒙特利尔议定书》相关的会议发布</w:t>
      </w:r>
      <w:r>
        <w:rPr>
          <w:sz w:val="24"/>
          <w:szCs w:val="24"/>
          <w:lang w:val="en-US"/>
        </w:rPr>
        <w:t>；</w:t>
      </w:r>
    </w:p>
    <w:p w14:paraId="12C7999D" w14:textId="77777777" w:rsidR="00666293" w:rsidRDefault="00666293">
      <w:pPr>
        <w:pStyle w:val="Heading2"/>
        <w:widowControl/>
        <w:numPr>
          <w:ilvl w:val="1"/>
          <w:numId w:val="1"/>
        </w:numPr>
        <w:topLinePunct/>
        <w:rPr>
          <w:sz w:val="24"/>
          <w:szCs w:val="24"/>
        </w:rPr>
      </w:pPr>
      <w:r>
        <w:rPr>
          <w:sz w:val="24"/>
          <w:szCs w:val="24"/>
          <w:lang w:val="zh-CN"/>
        </w:rPr>
        <w:t>协助国家臭氧机构识别本地安装和组装次级行业的消费量</w:t>
      </w:r>
      <w:r>
        <w:rPr>
          <w:sz w:val="24"/>
          <w:szCs w:val="24"/>
        </w:rPr>
        <w:t>，</w:t>
      </w:r>
      <w:r>
        <w:rPr>
          <w:sz w:val="24"/>
          <w:szCs w:val="24"/>
          <w:lang w:val="zh-CN"/>
        </w:rPr>
        <w:t>并通过非投资活动将该次级行业的企业转型采用低全球升温潜能值</w:t>
      </w:r>
      <w:r>
        <w:rPr>
          <w:sz w:val="24"/>
          <w:szCs w:val="24"/>
        </w:rPr>
        <w:t>（</w:t>
      </w:r>
      <w:r>
        <w:rPr>
          <w:sz w:val="24"/>
          <w:szCs w:val="24"/>
        </w:rPr>
        <w:t>GWP</w:t>
      </w:r>
      <w:r>
        <w:rPr>
          <w:sz w:val="24"/>
          <w:szCs w:val="24"/>
        </w:rPr>
        <w:t>）</w:t>
      </w:r>
      <w:r>
        <w:rPr>
          <w:sz w:val="24"/>
          <w:szCs w:val="24"/>
          <w:lang w:val="zh-CN"/>
        </w:rPr>
        <w:t>替代品</w:t>
      </w:r>
      <w:r>
        <w:rPr>
          <w:sz w:val="24"/>
          <w:szCs w:val="24"/>
        </w:rPr>
        <w:t>：</w:t>
      </w:r>
      <w:r>
        <w:rPr>
          <w:sz w:val="24"/>
          <w:szCs w:val="24"/>
          <w:lang w:val="zh-CN"/>
        </w:rPr>
        <w:t>为了向所有低消费量国家提供指导和资源</w:t>
      </w:r>
      <w:r>
        <w:rPr>
          <w:sz w:val="24"/>
          <w:szCs w:val="24"/>
        </w:rPr>
        <w:t>，</w:t>
      </w:r>
      <w:r>
        <w:rPr>
          <w:sz w:val="24"/>
          <w:szCs w:val="24"/>
          <w:lang w:val="zh-CN"/>
        </w:rPr>
        <w:t>环境署选择津巴布韦作为可复制模式的试点。双方签署了一项小规模供资协议</w:t>
      </w:r>
      <w:r>
        <w:rPr>
          <w:sz w:val="24"/>
          <w:szCs w:val="24"/>
          <w:lang w:val="en-US"/>
        </w:rPr>
        <w:t>，</w:t>
      </w:r>
      <w:r>
        <w:rPr>
          <w:sz w:val="24"/>
          <w:szCs w:val="24"/>
          <w:lang w:val="zh-CN"/>
        </w:rPr>
        <w:t>并与津巴布韦制冷和空调协会</w:t>
      </w:r>
      <w:r>
        <w:rPr>
          <w:sz w:val="24"/>
          <w:szCs w:val="24"/>
          <w:lang w:val="en-US"/>
        </w:rPr>
        <w:t>（</w:t>
      </w:r>
      <w:r>
        <w:rPr>
          <w:sz w:val="24"/>
          <w:szCs w:val="24"/>
          <w:lang w:val="en-US"/>
        </w:rPr>
        <w:t>HEVACRAZ</w:t>
      </w:r>
      <w:r>
        <w:rPr>
          <w:sz w:val="24"/>
          <w:szCs w:val="24"/>
          <w:lang w:val="en-US"/>
        </w:rPr>
        <w:t>）</w:t>
      </w:r>
      <w:r>
        <w:rPr>
          <w:sz w:val="24"/>
          <w:szCs w:val="24"/>
          <w:lang w:val="zh-CN"/>
        </w:rPr>
        <w:t>举行了协调会议。双方开展了联合实地考察</w:t>
      </w:r>
      <w:r>
        <w:rPr>
          <w:sz w:val="24"/>
          <w:szCs w:val="24"/>
          <w:lang w:val="en-US"/>
        </w:rPr>
        <w:t>，</w:t>
      </w:r>
      <w:r>
        <w:rPr>
          <w:sz w:val="24"/>
          <w:szCs w:val="24"/>
          <w:lang w:val="zh-CN"/>
        </w:rPr>
        <w:t>对津巴布韦各地的安装和组装企业进行了视察。目前，环境署正在开展对利益攸关方进行调查和对准备情况作出分析，包括评估商业制冷行业的立法、法规和体制障碍。目前正在进行筹备，以便对采用低全球升温潜能值技术的制冷剂使用情况、技术人员认证和采用低全球升温潜能值技术的准备情况进行全国行业调查。这些活动将有助于编制一份全面的准备情况报告，该报告将整合技术技能和政策差距评估以及设备分布图和体制薄弱的分析；设计和试办国家技术人员注册系统和激励活动，以提高行业知名度和促进低全球升温潜能值（</w:t>
      </w:r>
      <w:r>
        <w:rPr>
          <w:sz w:val="24"/>
          <w:szCs w:val="24"/>
          <w:lang w:val="zh-CN"/>
        </w:rPr>
        <w:t>GWP</w:t>
      </w:r>
      <w:r>
        <w:rPr>
          <w:sz w:val="24"/>
          <w:szCs w:val="24"/>
          <w:lang w:val="zh-CN"/>
        </w:rPr>
        <w:t>）技术的应用；提供一套实用的商用制冷工具包，包括尺寸计算软件、技术检查单和配套的指导材料；通过有针对性的宣传材料和培训资源推动行业参与，其内容旨在便于在其他低消费量国家（</w:t>
      </w:r>
      <w:r>
        <w:rPr>
          <w:sz w:val="24"/>
          <w:szCs w:val="24"/>
          <w:lang w:val="zh-CN"/>
        </w:rPr>
        <w:t>LVC</w:t>
      </w:r>
      <w:r>
        <w:rPr>
          <w:sz w:val="24"/>
          <w:szCs w:val="24"/>
          <w:lang w:val="zh-CN"/>
        </w:rPr>
        <w:t>）复制使用；和</w:t>
      </w:r>
    </w:p>
    <w:p w14:paraId="0E5CD403" w14:textId="77777777" w:rsidR="00666293" w:rsidRDefault="00666293">
      <w:pPr>
        <w:pStyle w:val="Heading2"/>
        <w:keepNext/>
        <w:numPr>
          <w:ilvl w:val="1"/>
          <w:numId w:val="1"/>
        </w:numPr>
        <w:topLinePunct/>
        <w:rPr>
          <w:sz w:val="24"/>
          <w:szCs w:val="24"/>
          <w:lang w:val="en-US"/>
        </w:rPr>
      </w:pPr>
      <w:r>
        <w:rPr>
          <w:sz w:val="24"/>
          <w:szCs w:val="24"/>
          <w:lang w:val="zh-CN"/>
        </w:rPr>
        <w:t>为履约协助方案工作人员提供能效和最低能效标准</w:t>
      </w:r>
      <w:r>
        <w:rPr>
          <w:sz w:val="24"/>
          <w:szCs w:val="24"/>
        </w:rPr>
        <w:t>（</w:t>
      </w:r>
      <w:r>
        <w:rPr>
          <w:sz w:val="24"/>
          <w:szCs w:val="24"/>
        </w:rPr>
        <w:t>MEPS</w:t>
      </w:r>
      <w:r>
        <w:rPr>
          <w:sz w:val="24"/>
          <w:szCs w:val="24"/>
        </w:rPr>
        <w:t>）</w:t>
      </w:r>
      <w:r>
        <w:rPr>
          <w:sz w:val="24"/>
          <w:szCs w:val="24"/>
          <w:lang w:val="zh-CN"/>
        </w:rPr>
        <w:t>培训</w:t>
      </w:r>
      <w:r>
        <w:rPr>
          <w:sz w:val="24"/>
          <w:szCs w:val="24"/>
        </w:rPr>
        <w:t>：</w:t>
      </w:r>
      <w:r>
        <w:rPr>
          <w:sz w:val="24"/>
          <w:szCs w:val="24"/>
          <w:lang w:val="zh-CN"/>
        </w:rPr>
        <w:t>来自履约协助方案拉丁美洲区域的代表参加了一次培训活动</w:t>
      </w:r>
      <w:r>
        <w:rPr>
          <w:sz w:val="24"/>
          <w:szCs w:val="24"/>
        </w:rPr>
        <w:t>，</w:t>
      </w:r>
      <w:r>
        <w:rPr>
          <w:sz w:val="24"/>
          <w:szCs w:val="24"/>
          <w:lang w:val="zh-CN"/>
        </w:rPr>
        <w:t>该活动是区域利益攸关方共同探讨拉丁美洲各地的能效政策。与会者深入了解能效能如何带来多重效益</w:t>
      </w:r>
      <w:r>
        <w:rPr>
          <w:sz w:val="24"/>
          <w:szCs w:val="24"/>
          <w:lang w:val="en-US"/>
        </w:rPr>
        <w:t>，</w:t>
      </w:r>
      <w:r>
        <w:rPr>
          <w:sz w:val="24"/>
          <w:szCs w:val="24"/>
          <w:lang w:val="zh-CN"/>
        </w:rPr>
        <w:t>包括促进经济发展、改善公众健康和减少温室气体排放</w:t>
      </w:r>
      <w:r>
        <w:rPr>
          <w:sz w:val="24"/>
          <w:szCs w:val="24"/>
          <w:lang w:val="en-US"/>
        </w:rPr>
        <w:t>；</w:t>
      </w:r>
      <w:r>
        <w:rPr>
          <w:sz w:val="24"/>
          <w:szCs w:val="24"/>
          <w:lang w:val="zh-CN"/>
        </w:rPr>
        <w:t>能效政策选项</w:t>
      </w:r>
      <w:r>
        <w:rPr>
          <w:sz w:val="24"/>
          <w:szCs w:val="24"/>
          <w:lang w:val="en-US"/>
        </w:rPr>
        <w:t>；</w:t>
      </w:r>
      <w:r>
        <w:rPr>
          <w:sz w:val="24"/>
          <w:szCs w:val="24"/>
          <w:lang w:val="zh-CN"/>
        </w:rPr>
        <w:t>探索家用电器和设备的能效</w:t>
      </w:r>
      <w:r>
        <w:rPr>
          <w:sz w:val="24"/>
          <w:szCs w:val="24"/>
          <w:lang w:val="en-US"/>
        </w:rPr>
        <w:t>，</w:t>
      </w:r>
      <w:r>
        <w:rPr>
          <w:sz w:val="24"/>
          <w:szCs w:val="24"/>
          <w:lang w:val="zh-CN"/>
        </w:rPr>
        <w:t>包括利用统一标准、标签和市场转型举措来提高能效潜力。已经计划于</w:t>
      </w:r>
      <w:r>
        <w:rPr>
          <w:sz w:val="24"/>
          <w:szCs w:val="24"/>
          <w:lang w:val="en-US"/>
        </w:rPr>
        <w:t>2025</w:t>
      </w:r>
      <w:r>
        <w:rPr>
          <w:sz w:val="24"/>
          <w:szCs w:val="24"/>
          <w:lang w:val="zh-CN"/>
        </w:rPr>
        <w:t>年</w:t>
      </w:r>
      <w:r>
        <w:rPr>
          <w:sz w:val="24"/>
          <w:szCs w:val="24"/>
          <w:lang w:val="en-US"/>
        </w:rPr>
        <w:t>12</w:t>
      </w:r>
      <w:r>
        <w:rPr>
          <w:sz w:val="24"/>
          <w:szCs w:val="24"/>
          <w:lang w:val="zh-CN"/>
        </w:rPr>
        <w:t>月安排履约协助方案亚太区域工作人员参加关于能源效率方面的专门培训。</w:t>
      </w:r>
    </w:p>
    <w:p w14:paraId="1A3E1E81" w14:textId="77777777" w:rsidR="00666293" w:rsidRPr="00BE4CF0" w:rsidRDefault="00666293">
      <w:pPr>
        <w:pStyle w:val="Heading2"/>
        <w:keepNext/>
        <w:numPr>
          <w:ilvl w:val="0"/>
          <w:numId w:val="0"/>
        </w:numPr>
        <w:topLinePunct/>
        <w:rPr>
          <w:rFonts w:ascii="SimHei" w:eastAsia="SimHei" w:hAnsi="SimHei"/>
          <w:bCs/>
          <w:sz w:val="28"/>
          <w:szCs w:val="28"/>
          <w:lang w:val="en-US"/>
        </w:rPr>
      </w:pPr>
      <w:r w:rsidRPr="00BE4CF0">
        <w:rPr>
          <w:bCs/>
          <w:sz w:val="28"/>
          <w:szCs w:val="28"/>
          <w:lang w:val="zh-CN"/>
        </w:rPr>
        <w:t>2026</w:t>
      </w:r>
      <w:r w:rsidRPr="00BE4CF0">
        <w:rPr>
          <w:rFonts w:ascii="SimHei" w:eastAsia="SimHei" w:hAnsi="SimHei"/>
          <w:bCs/>
          <w:sz w:val="28"/>
          <w:szCs w:val="28"/>
          <w:lang w:val="zh-CN"/>
        </w:rPr>
        <w:t>年履约协助方案工作计划</w:t>
      </w:r>
    </w:p>
    <w:p w14:paraId="5C25032B"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en-US"/>
        </w:rPr>
        <w:t>2026</w:t>
      </w:r>
      <w:r>
        <w:rPr>
          <w:sz w:val="24"/>
          <w:szCs w:val="24"/>
          <w:lang w:val="zh-CN"/>
        </w:rPr>
        <w:t>年工作计划是根据第</w:t>
      </w:r>
      <w:r>
        <w:rPr>
          <w:sz w:val="24"/>
          <w:szCs w:val="24"/>
          <w:lang w:val="en-US"/>
        </w:rPr>
        <w:t>93/91</w:t>
      </w:r>
      <w:r>
        <w:rPr>
          <w:sz w:val="24"/>
          <w:szCs w:val="24"/>
          <w:lang w:val="zh-CN"/>
        </w:rPr>
        <w:t>号决定</w:t>
      </w:r>
      <w:r>
        <w:rPr>
          <w:sz w:val="24"/>
          <w:szCs w:val="24"/>
          <w:lang w:val="en-US"/>
        </w:rPr>
        <w:t>（</w:t>
      </w:r>
      <w:r>
        <w:rPr>
          <w:sz w:val="24"/>
          <w:szCs w:val="24"/>
          <w:lang w:val="en-US"/>
        </w:rPr>
        <w:t>a</w:t>
      </w:r>
      <w:r>
        <w:rPr>
          <w:sz w:val="24"/>
          <w:szCs w:val="24"/>
          <w:lang w:val="en-US"/>
        </w:rPr>
        <w:t>）</w:t>
      </w:r>
      <w:r>
        <w:rPr>
          <w:sz w:val="24"/>
          <w:szCs w:val="24"/>
          <w:lang w:val="zh-CN"/>
        </w:rPr>
        <w:t>段提及的</w:t>
      </w:r>
      <w:r>
        <w:rPr>
          <w:sz w:val="24"/>
          <w:szCs w:val="24"/>
          <w:lang w:val="en-US"/>
        </w:rPr>
        <w:t>2024-2026</w:t>
      </w:r>
      <w:r>
        <w:rPr>
          <w:sz w:val="24"/>
          <w:szCs w:val="24"/>
          <w:lang w:val="zh-CN"/>
        </w:rPr>
        <w:t>年战略框架制定的。环境署将开展以下活动</w:t>
      </w:r>
      <w:r>
        <w:rPr>
          <w:sz w:val="24"/>
          <w:szCs w:val="24"/>
          <w:lang w:val="en-US"/>
        </w:rPr>
        <w:t>，</w:t>
      </w:r>
      <w:r>
        <w:rPr>
          <w:sz w:val="24"/>
          <w:szCs w:val="24"/>
          <w:lang w:val="zh-CN"/>
        </w:rPr>
        <w:t>用以支持三年战略以及</w:t>
      </w:r>
      <w:r>
        <w:rPr>
          <w:sz w:val="24"/>
          <w:szCs w:val="24"/>
          <w:lang w:val="en-US"/>
        </w:rPr>
        <w:t>2026</w:t>
      </w:r>
      <w:r>
        <w:rPr>
          <w:sz w:val="24"/>
          <w:szCs w:val="24"/>
          <w:lang w:val="zh-CN"/>
        </w:rPr>
        <w:t>年具体战略的成果</w:t>
      </w:r>
      <w:r>
        <w:rPr>
          <w:sz w:val="24"/>
          <w:szCs w:val="24"/>
          <w:lang w:val="en-US"/>
        </w:rPr>
        <w:t>，</w:t>
      </w:r>
      <w:r>
        <w:rPr>
          <w:sz w:val="24"/>
          <w:szCs w:val="24"/>
          <w:lang w:val="zh-CN"/>
        </w:rPr>
        <w:t>其内容详见附件第一部分所载的完整工作计划</w:t>
      </w:r>
      <w:r>
        <w:rPr>
          <w:sz w:val="24"/>
          <w:szCs w:val="24"/>
          <w:lang w:val="en-US"/>
        </w:rPr>
        <w:t>：</w:t>
      </w:r>
    </w:p>
    <w:p w14:paraId="12F76D54" w14:textId="77777777" w:rsidR="00666293" w:rsidRDefault="00666293">
      <w:pPr>
        <w:pStyle w:val="Heading2"/>
        <w:numPr>
          <w:ilvl w:val="1"/>
          <w:numId w:val="1"/>
        </w:numPr>
        <w:topLinePunct/>
        <w:spacing w:before="240"/>
        <w:rPr>
          <w:sz w:val="24"/>
          <w:szCs w:val="24"/>
        </w:rPr>
      </w:pPr>
      <w:r>
        <w:rPr>
          <w:sz w:val="24"/>
          <w:szCs w:val="24"/>
          <w:lang w:val="zh-CN"/>
        </w:rPr>
        <w:t>继续提供技术援助</w:t>
      </w:r>
      <w:r>
        <w:rPr>
          <w:sz w:val="24"/>
          <w:szCs w:val="24"/>
        </w:rPr>
        <w:t>，</w:t>
      </w:r>
      <w:r>
        <w:rPr>
          <w:sz w:val="24"/>
          <w:szCs w:val="24"/>
          <w:lang w:val="zh-CN"/>
        </w:rPr>
        <w:t>用于监测、报告和实施体制强化项目</w:t>
      </w:r>
      <w:r>
        <w:rPr>
          <w:sz w:val="24"/>
          <w:szCs w:val="24"/>
        </w:rPr>
        <w:t>，</w:t>
      </w:r>
      <w:r>
        <w:rPr>
          <w:sz w:val="24"/>
          <w:szCs w:val="24"/>
          <w:lang w:val="zh-CN"/>
        </w:rPr>
        <w:t>并根据第五条国家的请求</w:t>
      </w:r>
      <w:r>
        <w:rPr>
          <w:sz w:val="24"/>
          <w:szCs w:val="24"/>
        </w:rPr>
        <w:t>，</w:t>
      </w:r>
      <w:r>
        <w:rPr>
          <w:sz w:val="24"/>
          <w:szCs w:val="24"/>
          <w:lang w:val="zh-CN"/>
        </w:rPr>
        <w:t>向其提供国别援助</w:t>
      </w:r>
      <w:r>
        <w:rPr>
          <w:sz w:val="24"/>
          <w:szCs w:val="24"/>
        </w:rPr>
        <w:t>，</w:t>
      </w:r>
      <w:r>
        <w:rPr>
          <w:sz w:val="24"/>
          <w:szCs w:val="24"/>
          <w:lang w:val="zh-CN"/>
        </w:rPr>
        <w:t>以解决特定的技术、政策或运作问题</w:t>
      </w:r>
      <w:r>
        <w:rPr>
          <w:sz w:val="24"/>
          <w:szCs w:val="24"/>
        </w:rPr>
        <w:t>；</w:t>
      </w:r>
      <w:r>
        <w:rPr>
          <w:sz w:val="24"/>
          <w:szCs w:val="24"/>
          <w:lang w:val="zh-CN"/>
        </w:rPr>
        <w:t>在所有</w:t>
      </w:r>
      <w:r>
        <w:rPr>
          <w:sz w:val="24"/>
          <w:szCs w:val="24"/>
        </w:rPr>
        <w:t>10</w:t>
      </w:r>
      <w:r>
        <w:rPr>
          <w:sz w:val="24"/>
          <w:szCs w:val="24"/>
          <w:lang w:val="zh-CN"/>
        </w:rPr>
        <w:t>个区域举办网络会议</w:t>
      </w:r>
      <w:r>
        <w:rPr>
          <w:sz w:val="24"/>
          <w:szCs w:val="24"/>
        </w:rPr>
        <w:t>，</w:t>
      </w:r>
      <w:r>
        <w:rPr>
          <w:sz w:val="24"/>
          <w:szCs w:val="24"/>
          <w:lang w:val="zh-CN"/>
        </w:rPr>
        <w:t>以解决网络成员国提出的优先问题、交流信息和分享经验</w:t>
      </w:r>
      <w:r>
        <w:rPr>
          <w:sz w:val="24"/>
          <w:szCs w:val="24"/>
        </w:rPr>
        <w:t>；</w:t>
      </w:r>
      <w:r>
        <w:rPr>
          <w:sz w:val="24"/>
          <w:szCs w:val="24"/>
          <w:lang w:val="zh-CN"/>
        </w:rPr>
        <w:t>继续为所有新的国家臭氧干事</w:t>
      </w:r>
      <w:r>
        <w:rPr>
          <w:sz w:val="24"/>
          <w:szCs w:val="24"/>
        </w:rPr>
        <w:t>（</w:t>
      </w:r>
      <w:r>
        <w:rPr>
          <w:sz w:val="24"/>
          <w:szCs w:val="24"/>
        </w:rPr>
        <w:t>NOO</w:t>
      </w:r>
      <w:r>
        <w:rPr>
          <w:sz w:val="24"/>
          <w:szCs w:val="24"/>
        </w:rPr>
        <w:t>）</w:t>
      </w:r>
      <w:r>
        <w:rPr>
          <w:sz w:val="24"/>
          <w:szCs w:val="24"/>
          <w:lang w:val="zh-CN"/>
        </w:rPr>
        <w:t>和助理提供培训</w:t>
      </w:r>
      <w:r>
        <w:rPr>
          <w:sz w:val="24"/>
          <w:szCs w:val="24"/>
        </w:rPr>
        <w:t>，</w:t>
      </w:r>
      <w:r>
        <w:rPr>
          <w:sz w:val="24"/>
          <w:szCs w:val="24"/>
          <w:lang w:val="zh-CN"/>
        </w:rPr>
        <w:t>使其能有效管理国家履约方案</w:t>
      </w:r>
      <w:r>
        <w:rPr>
          <w:sz w:val="24"/>
          <w:szCs w:val="24"/>
        </w:rPr>
        <w:t>，</w:t>
      </w:r>
      <w:r>
        <w:rPr>
          <w:sz w:val="24"/>
          <w:szCs w:val="24"/>
          <w:lang w:val="zh-CN"/>
        </w:rPr>
        <w:t>并向有兴趣的官员提供高级培训</w:t>
      </w:r>
      <w:r>
        <w:rPr>
          <w:sz w:val="24"/>
          <w:szCs w:val="24"/>
        </w:rPr>
        <w:t>，</w:t>
      </w:r>
      <w:r>
        <w:rPr>
          <w:sz w:val="24"/>
          <w:szCs w:val="24"/>
          <w:lang w:val="zh-CN"/>
        </w:rPr>
        <w:t>以加强国家臭氧机构</w:t>
      </w:r>
      <w:r>
        <w:rPr>
          <w:sz w:val="24"/>
          <w:szCs w:val="24"/>
        </w:rPr>
        <w:t>（</w:t>
      </w:r>
      <w:r>
        <w:rPr>
          <w:sz w:val="24"/>
          <w:szCs w:val="24"/>
        </w:rPr>
        <w:t>NOU</w:t>
      </w:r>
      <w:r>
        <w:rPr>
          <w:sz w:val="24"/>
          <w:szCs w:val="24"/>
        </w:rPr>
        <w:t>）</w:t>
      </w:r>
      <w:r>
        <w:rPr>
          <w:sz w:val="24"/>
          <w:szCs w:val="24"/>
          <w:lang w:val="zh-CN"/>
        </w:rPr>
        <w:t>的管理</w:t>
      </w:r>
      <w:r>
        <w:rPr>
          <w:sz w:val="24"/>
          <w:szCs w:val="24"/>
        </w:rPr>
        <w:t>；</w:t>
      </w:r>
    </w:p>
    <w:p w14:paraId="3929E7CA" w14:textId="77777777" w:rsidR="00666293" w:rsidRDefault="00666293">
      <w:pPr>
        <w:pStyle w:val="Heading2"/>
        <w:widowControl/>
        <w:numPr>
          <w:ilvl w:val="1"/>
          <w:numId w:val="1"/>
        </w:numPr>
        <w:topLinePunct/>
        <w:spacing w:before="240"/>
        <w:rPr>
          <w:sz w:val="24"/>
          <w:szCs w:val="24"/>
        </w:rPr>
      </w:pPr>
      <w:r>
        <w:rPr>
          <w:sz w:val="24"/>
          <w:szCs w:val="24"/>
          <w:lang w:val="zh-CN"/>
        </w:rPr>
        <w:t>继续协助有兴趣的国家臭氧机构了解建立已用过或不需要的受控物质库存清单的方法</w:t>
      </w:r>
      <w:r>
        <w:rPr>
          <w:sz w:val="24"/>
          <w:szCs w:val="24"/>
        </w:rPr>
        <w:t>，</w:t>
      </w:r>
      <w:r>
        <w:rPr>
          <w:sz w:val="24"/>
          <w:szCs w:val="24"/>
          <w:lang w:val="zh-CN"/>
        </w:rPr>
        <w:t>并确定其报废管理的可能战略和商业模式</w:t>
      </w:r>
      <w:r>
        <w:rPr>
          <w:sz w:val="24"/>
          <w:szCs w:val="24"/>
        </w:rPr>
        <w:t>；</w:t>
      </w:r>
      <w:r>
        <w:rPr>
          <w:sz w:val="24"/>
          <w:szCs w:val="24"/>
          <w:lang w:val="zh-CN"/>
        </w:rPr>
        <w:t>鼓励各国针对具体需</w:t>
      </w:r>
      <w:r>
        <w:rPr>
          <w:sz w:val="24"/>
          <w:szCs w:val="24"/>
          <w:lang w:val="zh-CN"/>
        </w:rPr>
        <w:lastRenderedPageBreak/>
        <w:t>求开展活动</w:t>
      </w:r>
      <w:r>
        <w:rPr>
          <w:sz w:val="24"/>
          <w:szCs w:val="24"/>
        </w:rPr>
        <w:t>，</w:t>
      </w:r>
      <w:r>
        <w:rPr>
          <w:sz w:val="24"/>
          <w:szCs w:val="24"/>
          <w:lang w:val="zh-CN"/>
        </w:rPr>
        <w:t>并促进南南</w:t>
      </w:r>
      <w:r>
        <w:rPr>
          <w:sz w:val="24"/>
          <w:szCs w:val="24"/>
        </w:rPr>
        <w:t>/</w:t>
      </w:r>
      <w:r>
        <w:rPr>
          <w:sz w:val="24"/>
          <w:szCs w:val="24"/>
          <w:lang w:val="zh-CN"/>
        </w:rPr>
        <w:t>南北合作</w:t>
      </w:r>
      <w:r>
        <w:rPr>
          <w:sz w:val="24"/>
          <w:szCs w:val="24"/>
        </w:rPr>
        <w:t>；</w:t>
      </w:r>
      <w:r>
        <w:rPr>
          <w:sz w:val="24"/>
          <w:szCs w:val="24"/>
          <w:lang w:val="zh-CN"/>
        </w:rPr>
        <w:t>支持国家臭氧机构探索与实施《基加利修正案》相关的增效作用</w:t>
      </w:r>
      <w:r>
        <w:rPr>
          <w:sz w:val="24"/>
          <w:szCs w:val="24"/>
        </w:rPr>
        <w:t>；</w:t>
      </w:r>
    </w:p>
    <w:p w14:paraId="17ADF3AC" w14:textId="77777777" w:rsidR="00666293" w:rsidRDefault="00666293">
      <w:pPr>
        <w:pStyle w:val="Heading2"/>
        <w:numPr>
          <w:ilvl w:val="1"/>
          <w:numId w:val="1"/>
        </w:numPr>
        <w:topLinePunct/>
        <w:rPr>
          <w:sz w:val="24"/>
          <w:szCs w:val="24"/>
        </w:rPr>
      </w:pPr>
      <w:r>
        <w:rPr>
          <w:sz w:val="24"/>
          <w:szCs w:val="24"/>
          <w:lang w:val="zh-CN"/>
        </w:rPr>
        <w:t>监测和支持数据报告的规定</w:t>
      </w:r>
      <w:r>
        <w:rPr>
          <w:sz w:val="24"/>
          <w:szCs w:val="24"/>
        </w:rPr>
        <w:t>，</w:t>
      </w:r>
      <w:r>
        <w:rPr>
          <w:sz w:val="24"/>
          <w:szCs w:val="24"/>
          <w:lang w:val="zh-CN"/>
        </w:rPr>
        <w:t>并支持国家臭氧机构使用在线报告系统</w:t>
      </w:r>
      <w:r>
        <w:rPr>
          <w:sz w:val="24"/>
          <w:szCs w:val="24"/>
        </w:rPr>
        <w:t>；</w:t>
      </w:r>
      <w:r>
        <w:rPr>
          <w:sz w:val="24"/>
          <w:szCs w:val="24"/>
          <w:lang w:val="zh-CN"/>
        </w:rPr>
        <w:t>继续支持第五条国家确定和采用数据收集、交叉比对、核对和报告方面的最佳做法</w:t>
      </w:r>
      <w:r>
        <w:rPr>
          <w:sz w:val="24"/>
          <w:szCs w:val="24"/>
        </w:rPr>
        <w:t>，</w:t>
      </w:r>
      <w:r>
        <w:rPr>
          <w:sz w:val="24"/>
          <w:szCs w:val="24"/>
          <w:lang w:val="zh-CN"/>
        </w:rPr>
        <w:t>特别是针对氢氟碳化合物</w:t>
      </w:r>
      <w:r>
        <w:rPr>
          <w:sz w:val="24"/>
          <w:szCs w:val="24"/>
        </w:rPr>
        <w:t>（</w:t>
      </w:r>
      <w:r>
        <w:rPr>
          <w:sz w:val="24"/>
          <w:szCs w:val="24"/>
        </w:rPr>
        <w:t>HFC</w:t>
      </w:r>
      <w:r>
        <w:rPr>
          <w:sz w:val="24"/>
          <w:szCs w:val="24"/>
        </w:rPr>
        <w:t>）</w:t>
      </w:r>
      <w:r>
        <w:rPr>
          <w:sz w:val="24"/>
          <w:szCs w:val="24"/>
          <w:lang w:val="zh-CN"/>
        </w:rPr>
        <w:t>的最佳做法</w:t>
      </w:r>
      <w:r>
        <w:rPr>
          <w:sz w:val="24"/>
          <w:szCs w:val="24"/>
        </w:rPr>
        <w:t>；</w:t>
      </w:r>
      <w:r>
        <w:rPr>
          <w:sz w:val="24"/>
          <w:szCs w:val="24"/>
          <w:lang w:val="zh-CN"/>
        </w:rPr>
        <w:t>协助国家臭氧机构了解氢氟碳化合物基准量的计算和持续总量削减的起点</w:t>
      </w:r>
      <w:r>
        <w:rPr>
          <w:sz w:val="24"/>
          <w:szCs w:val="24"/>
        </w:rPr>
        <w:t>；</w:t>
      </w:r>
      <w:r>
        <w:rPr>
          <w:sz w:val="24"/>
          <w:szCs w:val="24"/>
          <w:lang w:val="zh-CN"/>
        </w:rPr>
        <w:t>就建立氢氟碳化合物的基准量和监测</w:t>
      </w:r>
      <w:r>
        <w:rPr>
          <w:sz w:val="24"/>
          <w:szCs w:val="24"/>
        </w:rPr>
        <w:t>2024</w:t>
      </w:r>
      <w:r>
        <w:rPr>
          <w:sz w:val="24"/>
          <w:szCs w:val="24"/>
          <w:lang w:val="zh-CN"/>
        </w:rPr>
        <w:t>年冻结控制措施的执行情况提供指导</w:t>
      </w:r>
      <w:r>
        <w:rPr>
          <w:sz w:val="24"/>
          <w:szCs w:val="24"/>
        </w:rPr>
        <w:t>；</w:t>
      </w:r>
    </w:p>
    <w:p w14:paraId="0769C54F" w14:textId="77777777" w:rsidR="00666293" w:rsidRDefault="00666293">
      <w:pPr>
        <w:pStyle w:val="Heading2"/>
        <w:numPr>
          <w:ilvl w:val="1"/>
          <w:numId w:val="1"/>
        </w:numPr>
        <w:topLinePunct/>
        <w:rPr>
          <w:sz w:val="24"/>
          <w:szCs w:val="24"/>
        </w:rPr>
      </w:pPr>
      <w:r>
        <w:rPr>
          <w:sz w:val="24"/>
          <w:szCs w:val="24"/>
          <w:lang w:val="zh-CN"/>
        </w:rPr>
        <w:t>继续协助第</w:t>
      </w:r>
      <w:r>
        <w:rPr>
          <w:sz w:val="24"/>
          <w:szCs w:val="24"/>
        </w:rPr>
        <w:t>5</w:t>
      </w:r>
      <w:r>
        <w:rPr>
          <w:sz w:val="24"/>
          <w:szCs w:val="24"/>
          <w:lang w:val="zh-CN"/>
        </w:rPr>
        <w:t>条国家制定、修订和实施政策、法律和法规</w:t>
      </w:r>
      <w:r>
        <w:rPr>
          <w:sz w:val="24"/>
          <w:szCs w:val="24"/>
        </w:rPr>
        <w:t>，</w:t>
      </w:r>
      <w:r>
        <w:rPr>
          <w:sz w:val="24"/>
          <w:szCs w:val="24"/>
          <w:lang w:val="zh-CN"/>
        </w:rPr>
        <w:t>包括与许可证颁发和配额制度相关的政策、法律和法规</w:t>
      </w:r>
      <w:r>
        <w:rPr>
          <w:sz w:val="24"/>
          <w:szCs w:val="24"/>
        </w:rPr>
        <w:t>，</w:t>
      </w:r>
      <w:r>
        <w:rPr>
          <w:sz w:val="24"/>
          <w:szCs w:val="24"/>
          <w:lang w:val="zh-CN"/>
        </w:rPr>
        <w:t>并加强对含氢氟氯烃和氢氟碳化物的法规的监测、报告、核查和执行</w:t>
      </w:r>
      <w:r>
        <w:rPr>
          <w:sz w:val="24"/>
          <w:szCs w:val="24"/>
        </w:rPr>
        <w:t>；</w:t>
      </w:r>
      <w:r>
        <w:rPr>
          <w:sz w:val="24"/>
          <w:szCs w:val="24"/>
          <w:lang w:val="zh-CN"/>
        </w:rPr>
        <w:t>继续推广现有工具</w:t>
      </w:r>
      <w:r>
        <w:rPr>
          <w:sz w:val="24"/>
          <w:szCs w:val="24"/>
        </w:rPr>
        <w:t>（</w:t>
      </w:r>
      <w:r>
        <w:rPr>
          <w:sz w:val="24"/>
          <w:szCs w:val="24"/>
          <w:lang w:val="zh-CN"/>
        </w:rPr>
        <w:t>例如</w:t>
      </w:r>
      <w:r>
        <w:rPr>
          <w:sz w:val="24"/>
          <w:szCs w:val="24"/>
        </w:rPr>
        <w:t>，</w:t>
      </w:r>
      <w:r>
        <w:rPr>
          <w:sz w:val="24"/>
          <w:szCs w:val="24"/>
          <w:lang w:val="zh-CN"/>
        </w:rPr>
        <w:t>数据报告手册、</w:t>
      </w:r>
      <w:r>
        <w:rPr>
          <w:sz w:val="24"/>
          <w:szCs w:val="24"/>
        </w:rPr>
        <w:t>iPIC</w:t>
      </w:r>
      <w:r>
        <w:rPr>
          <w:sz w:val="24"/>
          <w:szCs w:val="24"/>
          <w:lang w:val="zh-CN"/>
        </w:rPr>
        <w:t>、配额计算器</w:t>
      </w:r>
      <w:r>
        <w:rPr>
          <w:sz w:val="24"/>
          <w:szCs w:val="24"/>
        </w:rPr>
        <w:t>）</w:t>
      </w:r>
      <w:r>
        <w:rPr>
          <w:sz w:val="24"/>
          <w:szCs w:val="24"/>
          <w:lang w:val="zh-CN"/>
        </w:rPr>
        <w:t>并采用电子许可证颁发系统</w:t>
      </w:r>
      <w:r>
        <w:rPr>
          <w:sz w:val="24"/>
          <w:szCs w:val="24"/>
        </w:rPr>
        <w:t>；</w:t>
      </w:r>
      <w:r>
        <w:rPr>
          <w:sz w:val="24"/>
          <w:szCs w:val="24"/>
          <w:lang w:val="zh-CN"/>
        </w:rPr>
        <w:t>协助尚未批准《基加利修正案》的第</w:t>
      </w:r>
      <w:r>
        <w:rPr>
          <w:sz w:val="24"/>
          <w:szCs w:val="24"/>
        </w:rPr>
        <w:t>5</w:t>
      </w:r>
      <w:r>
        <w:rPr>
          <w:sz w:val="24"/>
          <w:szCs w:val="24"/>
          <w:lang w:val="zh-CN"/>
        </w:rPr>
        <w:t>条国家批准该修正案和支持第二组国家采用氢氟碳化物的许可证颁发和配额制度</w:t>
      </w:r>
      <w:r>
        <w:rPr>
          <w:sz w:val="24"/>
          <w:szCs w:val="24"/>
        </w:rPr>
        <w:t>；</w:t>
      </w:r>
      <w:r>
        <w:rPr>
          <w:sz w:val="24"/>
          <w:szCs w:val="24"/>
          <w:lang w:val="zh-CN"/>
        </w:rPr>
        <w:t>鼓励采取与灭火和制冷剂生命周期管理相关的政策措施</w:t>
      </w:r>
      <w:r>
        <w:rPr>
          <w:sz w:val="24"/>
          <w:szCs w:val="24"/>
        </w:rPr>
        <w:t>；</w:t>
      </w:r>
    </w:p>
    <w:p w14:paraId="7FC32789" w14:textId="77777777" w:rsidR="00666293" w:rsidRDefault="00666293">
      <w:pPr>
        <w:pStyle w:val="Heading2"/>
        <w:numPr>
          <w:ilvl w:val="1"/>
          <w:numId w:val="1"/>
        </w:numPr>
        <w:topLinePunct/>
        <w:rPr>
          <w:sz w:val="24"/>
          <w:szCs w:val="24"/>
        </w:rPr>
      </w:pPr>
      <w:r>
        <w:rPr>
          <w:sz w:val="24"/>
          <w:szCs w:val="24"/>
          <w:lang w:val="zh-CN"/>
        </w:rPr>
        <w:t>继续与海关和执法机构合作</w:t>
      </w:r>
      <w:r>
        <w:rPr>
          <w:sz w:val="24"/>
          <w:szCs w:val="24"/>
        </w:rPr>
        <w:t>，</w:t>
      </w:r>
      <w:r>
        <w:rPr>
          <w:sz w:val="24"/>
          <w:szCs w:val="24"/>
          <w:lang w:val="zh-CN"/>
        </w:rPr>
        <w:t>将与《蒙特利尔议定书》相关的工作纳入其业务</w:t>
      </w:r>
      <w:r>
        <w:rPr>
          <w:sz w:val="24"/>
          <w:szCs w:val="24"/>
        </w:rPr>
        <w:t>，</w:t>
      </w:r>
      <w:r>
        <w:rPr>
          <w:sz w:val="24"/>
          <w:szCs w:val="24"/>
          <w:lang w:val="zh-CN"/>
        </w:rPr>
        <w:t>并推广使用环境署及其合作伙伴开发的数字工具和材料</w:t>
      </w:r>
      <w:r>
        <w:rPr>
          <w:sz w:val="24"/>
          <w:szCs w:val="24"/>
        </w:rPr>
        <w:t>（</w:t>
      </w:r>
      <w:r>
        <w:rPr>
          <w:sz w:val="24"/>
          <w:szCs w:val="24"/>
          <w:lang w:val="zh-CN"/>
        </w:rPr>
        <w:t>例如</w:t>
      </w:r>
      <w:r>
        <w:rPr>
          <w:sz w:val="24"/>
          <w:szCs w:val="24"/>
        </w:rPr>
        <w:t>，</w:t>
      </w:r>
      <w:r>
        <w:rPr>
          <w:sz w:val="24"/>
          <w:szCs w:val="24"/>
          <w:lang w:val="zh-CN"/>
        </w:rPr>
        <w:t>电子追踪系统、共享的执法数据库、单一窗口海关系统、</w:t>
      </w:r>
      <w:r>
        <w:rPr>
          <w:sz w:val="24"/>
          <w:szCs w:val="24"/>
        </w:rPr>
        <w:t>HCFC</w:t>
      </w:r>
      <w:r>
        <w:rPr>
          <w:sz w:val="24"/>
          <w:szCs w:val="24"/>
          <w:lang w:val="zh-CN"/>
        </w:rPr>
        <w:t>配额和许可证证追踪桌面应用程序</w:t>
      </w:r>
      <w:r>
        <w:rPr>
          <w:sz w:val="24"/>
          <w:szCs w:val="24"/>
        </w:rPr>
        <w:t>）；</w:t>
      </w:r>
      <w:r>
        <w:rPr>
          <w:sz w:val="24"/>
          <w:szCs w:val="24"/>
          <w:lang w:val="zh-CN"/>
        </w:rPr>
        <w:t>支持对执法人员进行培训、开展跨境合作、对话和数据共享和与报关行合作</w:t>
      </w:r>
      <w:r>
        <w:rPr>
          <w:sz w:val="24"/>
          <w:szCs w:val="24"/>
        </w:rPr>
        <w:t>，</w:t>
      </w:r>
      <w:r>
        <w:rPr>
          <w:sz w:val="24"/>
          <w:szCs w:val="24"/>
          <w:lang w:val="zh-CN"/>
        </w:rPr>
        <w:t>确保制冷剂的正确分类</w:t>
      </w:r>
      <w:r>
        <w:rPr>
          <w:sz w:val="24"/>
          <w:szCs w:val="24"/>
        </w:rPr>
        <w:t>；</w:t>
      </w:r>
      <w:r>
        <w:rPr>
          <w:sz w:val="24"/>
          <w:szCs w:val="24"/>
          <w:lang w:val="zh-CN"/>
        </w:rPr>
        <w:t>鼓励所有国家臭氧机构将与海关当局的合作制度化</w:t>
      </w:r>
      <w:r>
        <w:rPr>
          <w:sz w:val="24"/>
          <w:szCs w:val="24"/>
        </w:rPr>
        <w:t>；</w:t>
      </w:r>
      <w:r>
        <w:rPr>
          <w:sz w:val="24"/>
          <w:szCs w:val="24"/>
          <w:lang w:val="zh-CN"/>
        </w:rPr>
        <w:t>支持有意愿的国家臭氧机构与海关当局合作</w:t>
      </w:r>
      <w:r>
        <w:rPr>
          <w:sz w:val="24"/>
          <w:szCs w:val="24"/>
        </w:rPr>
        <w:t>，</w:t>
      </w:r>
      <w:r>
        <w:rPr>
          <w:sz w:val="24"/>
          <w:szCs w:val="24"/>
          <w:lang w:val="zh-CN"/>
        </w:rPr>
        <w:t>推广采用和</w:t>
      </w:r>
      <w:r>
        <w:rPr>
          <w:sz w:val="24"/>
          <w:szCs w:val="24"/>
        </w:rPr>
        <w:t>/</w:t>
      </w:r>
      <w:r>
        <w:rPr>
          <w:sz w:val="24"/>
          <w:szCs w:val="24"/>
          <w:lang w:val="zh-CN"/>
        </w:rPr>
        <w:t>或实施</w:t>
      </w:r>
      <w:r>
        <w:rPr>
          <w:sz w:val="24"/>
          <w:szCs w:val="24"/>
        </w:rPr>
        <w:t>2022</w:t>
      </w:r>
      <w:r>
        <w:rPr>
          <w:sz w:val="24"/>
          <w:szCs w:val="24"/>
          <w:lang w:val="zh-CN"/>
        </w:rPr>
        <w:t>年协调制度</w:t>
      </w:r>
      <w:r>
        <w:rPr>
          <w:sz w:val="24"/>
          <w:szCs w:val="24"/>
        </w:rPr>
        <w:t>（</w:t>
      </w:r>
      <w:r>
        <w:rPr>
          <w:sz w:val="24"/>
          <w:szCs w:val="24"/>
        </w:rPr>
        <w:t>HS</w:t>
      </w:r>
      <w:r>
        <w:rPr>
          <w:sz w:val="24"/>
          <w:szCs w:val="24"/>
        </w:rPr>
        <w:t>）</w:t>
      </w:r>
      <w:r>
        <w:rPr>
          <w:sz w:val="24"/>
          <w:szCs w:val="24"/>
          <w:lang w:val="zh-CN"/>
        </w:rPr>
        <w:t>编码</w:t>
      </w:r>
      <w:r>
        <w:rPr>
          <w:sz w:val="24"/>
          <w:szCs w:val="24"/>
        </w:rPr>
        <w:t>，</w:t>
      </w:r>
      <w:r>
        <w:rPr>
          <w:sz w:val="24"/>
          <w:szCs w:val="24"/>
          <w:lang w:val="zh-CN"/>
        </w:rPr>
        <w:t>或采用区域编码、国家编码或其他措施</w:t>
      </w:r>
      <w:r>
        <w:rPr>
          <w:sz w:val="24"/>
          <w:szCs w:val="24"/>
        </w:rPr>
        <w:t>，</w:t>
      </w:r>
      <w:r>
        <w:rPr>
          <w:sz w:val="24"/>
          <w:szCs w:val="24"/>
          <w:lang w:val="zh-CN"/>
        </w:rPr>
        <w:t>便利个别氢氟碳化物进出口的监测</w:t>
      </w:r>
      <w:r>
        <w:rPr>
          <w:sz w:val="24"/>
          <w:szCs w:val="24"/>
        </w:rPr>
        <w:t>；</w:t>
      </w:r>
      <w:r>
        <w:rPr>
          <w:sz w:val="24"/>
          <w:szCs w:val="24"/>
          <w:lang w:val="zh-CN"/>
        </w:rPr>
        <w:t>协助有意愿的区域和次区域组织以及国家海关当局评估国家关税制度</w:t>
      </w:r>
      <w:r>
        <w:rPr>
          <w:sz w:val="24"/>
          <w:szCs w:val="24"/>
        </w:rPr>
        <w:t>，</w:t>
      </w:r>
      <w:r>
        <w:rPr>
          <w:sz w:val="24"/>
          <w:szCs w:val="24"/>
          <w:lang w:val="zh-CN"/>
        </w:rPr>
        <w:t>并使其与</w:t>
      </w:r>
      <w:r>
        <w:rPr>
          <w:sz w:val="24"/>
          <w:szCs w:val="24"/>
        </w:rPr>
        <w:t>2027</w:t>
      </w:r>
      <w:r>
        <w:rPr>
          <w:sz w:val="24"/>
          <w:szCs w:val="24"/>
          <w:lang w:val="zh-CN"/>
        </w:rPr>
        <w:t>年协调制度编码系统下的氢氟碳化物的协调制度编码保持一致</w:t>
      </w:r>
      <w:r>
        <w:rPr>
          <w:sz w:val="24"/>
          <w:szCs w:val="24"/>
        </w:rPr>
        <w:t>；</w:t>
      </w:r>
      <w:r>
        <w:rPr>
          <w:sz w:val="24"/>
          <w:szCs w:val="24"/>
          <w:lang w:val="zh-CN"/>
        </w:rPr>
        <w:t>鼓励国家臭氧机构参与世界海关组织关于用过的消耗臭氧层物质跨境贩运的方案</w:t>
      </w:r>
      <w:r>
        <w:rPr>
          <w:sz w:val="24"/>
          <w:szCs w:val="24"/>
        </w:rPr>
        <w:t>；</w:t>
      </w:r>
      <w:r>
        <w:rPr>
          <w:sz w:val="24"/>
          <w:szCs w:val="24"/>
          <w:lang w:val="zh-CN"/>
        </w:rPr>
        <w:t>开发和分发执法工具包、打击非法贸易指南以及关于最新非法贸易趋势的报告</w:t>
      </w:r>
      <w:r>
        <w:rPr>
          <w:sz w:val="24"/>
          <w:szCs w:val="24"/>
        </w:rPr>
        <w:t>；</w:t>
      </w:r>
    </w:p>
    <w:p w14:paraId="7CD0A9AD" w14:textId="77777777" w:rsidR="00666293" w:rsidRDefault="00666293">
      <w:pPr>
        <w:pStyle w:val="Heading2"/>
        <w:numPr>
          <w:ilvl w:val="1"/>
          <w:numId w:val="1"/>
        </w:numPr>
        <w:topLinePunct/>
        <w:rPr>
          <w:sz w:val="24"/>
          <w:szCs w:val="24"/>
        </w:rPr>
      </w:pPr>
      <w:r>
        <w:rPr>
          <w:sz w:val="24"/>
          <w:szCs w:val="24"/>
          <w:lang w:val="zh-CN"/>
        </w:rPr>
        <w:t>继续实施全球信息交换所活动</w:t>
      </w:r>
      <w:r>
        <w:rPr>
          <w:sz w:val="24"/>
          <w:szCs w:val="24"/>
        </w:rPr>
        <w:t>，</w:t>
      </w:r>
      <w:r>
        <w:rPr>
          <w:sz w:val="24"/>
          <w:szCs w:val="24"/>
          <w:lang w:val="zh-CN"/>
        </w:rPr>
        <w:t>包括但不限于以数字和印刷品形式为利益攸关方编制和分发有针对性的信息和教育材料以及提供服务</w:t>
      </w:r>
      <w:r>
        <w:rPr>
          <w:sz w:val="24"/>
          <w:szCs w:val="24"/>
        </w:rPr>
        <w:t>，</w:t>
      </w:r>
      <w:r>
        <w:rPr>
          <w:sz w:val="24"/>
          <w:szCs w:val="24"/>
          <w:lang w:val="zh-CN"/>
        </w:rPr>
        <w:t>出版关于替代制冷剂和技术的技术简报</w:t>
      </w:r>
      <w:r>
        <w:rPr>
          <w:sz w:val="24"/>
          <w:szCs w:val="24"/>
        </w:rPr>
        <w:t>；</w:t>
      </w:r>
      <w:r>
        <w:rPr>
          <w:sz w:val="24"/>
          <w:szCs w:val="24"/>
          <w:lang w:val="zh-CN"/>
        </w:rPr>
        <w:t>维护</w:t>
      </w:r>
      <w:r>
        <w:rPr>
          <w:sz w:val="24"/>
          <w:szCs w:val="24"/>
        </w:rPr>
        <w:t>OzonAction</w:t>
      </w:r>
      <w:r>
        <w:rPr>
          <w:sz w:val="24"/>
          <w:szCs w:val="24"/>
          <w:lang w:val="zh-CN"/>
        </w:rPr>
        <w:t>网站和会议门户网站</w:t>
      </w:r>
      <w:r>
        <w:rPr>
          <w:sz w:val="24"/>
          <w:szCs w:val="24"/>
        </w:rPr>
        <w:t>；</w:t>
      </w:r>
      <w:r>
        <w:rPr>
          <w:sz w:val="24"/>
          <w:szCs w:val="24"/>
          <w:lang w:val="zh-CN"/>
        </w:rPr>
        <w:t>分发</w:t>
      </w:r>
      <w:r>
        <w:rPr>
          <w:sz w:val="24"/>
          <w:szCs w:val="24"/>
        </w:rPr>
        <w:t>OzoNews</w:t>
      </w:r>
      <w:r>
        <w:rPr>
          <w:sz w:val="24"/>
          <w:szCs w:val="24"/>
          <w:lang w:val="zh-CN"/>
        </w:rPr>
        <w:t>双周刊和三份</w:t>
      </w:r>
      <w:r>
        <w:rPr>
          <w:sz w:val="24"/>
          <w:szCs w:val="24"/>
        </w:rPr>
        <w:t>OzonAction Scoop</w:t>
      </w:r>
      <w:r>
        <w:rPr>
          <w:sz w:val="24"/>
          <w:szCs w:val="24"/>
          <w:lang w:val="zh-CN"/>
        </w:rPr>
        <w:t>专刊</w:t>
      </w:r>
      <w:r>
        <w:rPr>
          <w:sz w:val="24"/>
          <w:szCs w:val="24"/>
        </w:rPr>
        <w:t>；</w:t>
      </w:r>
      <w:r>
        <w:rPr>
          <w:sz w:val="24"/>
          <w:szCs w:val="24"/>
          <w:lang w:val="zh-CN"/>
        </w:rPr>
        <w:t>通过各国在网络会议商定的区域宣传活动</w:t>
      </w:r>
      <w:r>
        <w:rPr>
          <w:sz w:val="24"/>
          <w:szCs w:val="24"/>
        </w:rPr>
        <w:t>，</w:t>
      </w:r>
      <w:r>
        <w:rPr>
          <w:sz w:val="24"/>
          <w:szCs w:val="24"/>
          <w:lang w:val="zh-CN"/>
        </w:rPr>
        <w:t>促进对《蒙特利尔议定书》的支持</w:t>
      </w:r>
      <w:r>
        <w:rPr>
          <w:sz w:val="24"/>
          <w:szCs w:val="24"/>
        </w:rPr>
        <w:t>；</w:t>
      </w:r>
      <w:r>
        <w:rPr>
          <w:sz w:val="24"/>
          <w:szCs w:val="24"/>
          <w:lang w:val="zh-CN"/>
        </w:rPr>
        <w:t>鼓励国家臭氧机构和海关部门参与世界臭氧日、世界制冷日和世界海关日活动</w:t>
      </w:r>
      <w:r>
        <w:rPr>
          <w:sz w:val="24"/>
          <w:szCs w:val="24"/>
        </w:rPr>
        <w:t>，</w:t>
      </w:r>
      <w:r>
        <w:rPr>
          <w:sz w:val="24"/>
          <w:szCs w:val="24"/>
          <w:lang w:val="zh-CN"/>
        </w:rPr>
        <w:t>促进《蒙特利尔议定书》目标的实现和展示监测和执法工作</w:t>
      </w:r>
      <w:r>
        <w:rPr>
          <w:sz w:val="24"/>
          <w:szCs w:val="24"/>
        </w:rPr>
        <w:t>；</w:t>
      </w:r>
    </w:p>
    <w:p w14:paraId="6C0A5C3D" w14:textId="77777777" w:rsidR="00666293" w:rsidRDefault="00666293">
      <w:pPr>
        <w:pStyle w:val="Heading2"/>
        <w:widowControl/>
        <w:numPr>
          <w:ilvl w:val="1"/>
          <w:numId w:val="1"/>
        </w:numPr>
        <w:topLinePunct/>
        <w:rPr>
          <w:sz w:val="24"/>
          <w:szCs w:val="24"/>
        </w:rPr>
      </w:pPr>
      <w:r>
        <w:rPr>
          <w:sz w:val="24"/>
          <w:szCs w:val="24"/>
          <w:lang w:val="zh-CN"/>
        </w:rPr>
        <w:t>通过提供关于替代制冷剂和技术、制冷剂的妥善管理、安全和负责地使用制冷剂的指南和标准以及当地安装和组装行业的培训材料和信息</w:t>
      </w:r>
      <w:r>
        <w:rPr>
          <w:sz w:val="24"/>
          <w:szCs w:val="24"/>
        </w:rPr>
        <w:t>，</w:t>
      </w:r>
      <w:r>
        <w:rPr>
          <w:sz w:val="24"/>
          <w:szCs w:val="24"/>
          <w:lang w:val="zh-CN"/>
        </w:rPr>
        <w:t>支持所有国家臭氧机构开展制冷维修行业的培训</w:t>
      </w:r>
      <w:r>
        <w:rPr>
          <w:sz w:val="24"/>
          <w:szCs w:val="24"/>
        </w:rPr>
        <w:t>；</w:t>
      </w:r>
      <w:r>
        <w:rPr>
          <w:sz w:val="24"/>
          <w:szCs w:val="24"/>
          <w:lang w:val="zh-CN"/>
        </w:rPr>
        <w:t>为所有国家臭氧机构提供最新的维修技术人员培训课程</w:t>
      </w:r>
      <w:r>
        <w:rPr>
          <w:sz w:val="24"/>
          <w:szCs w:val="24"/>
        </w:rPr>
        <w:t>，</w:t>
      </w:r>
      <w:r>
        <w:rPr>
          <w:sz w:val="24"/>
          <w:szCs w:val="24"/>
          <w:lang w:val="zh-CN"/>
        </w:rPr>
        <w:t>以支持其</w:t>
      </w:r>
      <w:r>
        <w:rPr>
          <w:sz w:val="24"/>
          <w:szCs w:val="24"/>
        </w:rPr>
        <w:t>HPMP</w:t>
      </w:r>
      <w:r>
        <w:rPr>
          <w:sz w:val="24"/>
          <w:szCs w:val="24"/>
          <w:lang w:val="zh-CN"/>
        </w:rPr>
        <w:t>和</w:t>
      </w:r>
      <w:r>
        <w:rPr>
          <w:sz w:val="24"/>
          <w:szCs w:val="24"/>
        </w:rPr>
        <w:t>KIP</w:t>
      </w:r>
      <w:r>
        <w:rPr>
          <w:sz w:val="24"/>
          <w:szCs w:val="24"/>
          <w:lang w:val="zh-CN"/>
        </w:rPr>
        <w:t>培训活动</w:t>
      </w:r>
      <w:r>
        <w:rPr>
          <w:sz w:val="24"/>
          <w:szCs w:val="24"/>
        </w:rPr>
        <w:t>；</w:t>
      </w:r>
      <w:r>
        <w:rPr>
          <w:sz w:val="24"/>
          <w:szCs w:val="24"/>
          <w:lang w:val="zh-CN"/>
        </w:rPr>
        <w:t>协助有意愿的大学将制冷剂管理课程纳入其工程课程</w:t>
      </w:r>
      <w:r>
        <w:rPr>
          <w:sz w:val="24"/>
          <w:szCs w:val="24"/>
        </w:rPr>
        <w:t>；</w:t>
      </w:r>
      <w:r>
        <w:rPr>
          <w:sz w:val="24"/>
          <w:szCs w:val="24"/>
          <w:lang w:val="zh-CN"/>
        </w:rPr>
        <w:t>协助国家臭氧机构与技术职业教育和培训机构合作</w:t>
      </w:r>
      <w:r>
        <w:rPr>
          <w:sz w:val="24"/>
          <w:szCs w:val="24"/>
        </w:rPr>
        <w:t>，</w:t>
      </w:r>
      <w:r>
        <w:rPr>
          <w:sz w:val="24"/>
          <w:szCs w:val="24"/>
          <w:lang w:val="zh-CN"/>
        </w:rPr>
        <w:t>开展制冷和空调维修行业的培训和加强其国家制冷空调协会</w:t>
      </w:r>
      <w:r>
        <w:rPr>
          <w:sz w:val="24"/>
          <w:szCs w:val="24"/>
        </w:rPr>
        <w:t>；</w:t>
      </w:r>
      <w:r>
        <w:rPr>
          <w:sz w:val="24"/>
          <w:szCs w:val="24"/>
          <w:lang w:val="zh-CN"/>
        </w:rPr>
        <w:t>向</w:t>
      </w:r>
      <w:r>
        <w:rPr>
          <w:sz w:val="24"/>
          <w:szCs w:val="24"/>
          <w:lang w:val="zh-CN"/>
        </w:rPr>
        <w:lastRenderedPageBreak/>
        <w:t>国家臭氧机构提供关于消耗氢氟碳化合物的特定应用和建立或加强技术人员认证计划的指南</w:t>
      </w:r>
      <w:r>
        <w:rPr>
          <w:sz w:val="24"/>
          <w:szCs w:val="24"/>
        </w:rPr>
        <w:t>；</w:t>
      </w:r>
      <w:r>
        <w:rPr>
          <w:sz w:val="24"/>
          <w:szCs w:val="24"/>
          <w:lang w:val="zh-CN"/>
        </w:rPr>
        <w:t>推广</w:t>
      </w:r>
      <w:r>
        <w:rPr>
          <w:sz w:val="24"/>
          <w:szCs w:val="24"/>
        </w:rPr>
        <w:t>Ozone2Climate</w:t>
      </w:r>
      <w:r>
        <w:rPr>
          <w:sz w:val="24"/>
          <w:szCs w:val="24"/>
          <w:lang w:val="zh-CN"/>
        </w:rPr>
        <w:t>圆桌会议和巡回宣传活动</w:t>
      </w:r>
      <w:r>
        <w:rPr>
          <w:sz w:val="24"/>
          <w:szCs w:val="24"/>
        </w:rPr>
        <w:t>；</w:t>
      </w:r>
      <w:r>
        <w:rPr>
          <w:sz w:val="24"/>
          <w:szCs w:val="24"/>
          <w:lang w:val="zh-CN"/>
        </w:rPr>
        <w:t>继续支持国家臭氧机构在移动空调和冷链行业使用氢氟碳化物和替代品方面的能力建设</w:t>
      </w:r>
      <w:r>
        <w:rPr>
          <w:sz w:val="24"/>
          <w:szCs w:val="24"/>
        </w:rPr>
        <w:t>；</w:t>
      </w:r>
      <w:r>
        <w:rPr>
          <w:sz w:val="24"/>
          <w:szCs w:val="24"/>
          <w:lang w:val="zh-CN"/>
        </w:rPr>
        <w:t>为非正式行业的技术人员开发相关材料</w:t>
      </w:r>
      <w:r>
        <w:rPr>
          <w:sz w:val="24"/>
          <w:szCs w:val="24"/>
        </w:rPr>
        <w:t>；</w:t>
      </w:r>
    </w:p>
    <w:p w14:paraId="64817CE1" w14:textId="77777777" w:rsidR="00666293" w:rsidRDefault="00666293">
      <w:pPr>
        <w:pStyle w:val="Heading2"/>
        <w:numPr>
          <w:ilvl w:val="1"/>
          <w:numId w:val="1"/>
        </w:numPr>
        <w:topLinePunct/>
        <w:rPr>
          <w:sz w:val="24"/>
          <w:szCs w:val="24"/>
        </w:rPr>
      </w:pPr>
      <w:r>
        <w:rPr>
          <w:sz w:val="24"/>
          <w:szCs w:val="24"/>
        </w:rPr>
        <w:t>​​</w:t>
      </w:r>
      <w:r>
        <w:rPr>
          <w:sz w:val="24"/>
          <w:szCs w:val="24"/>
          <w:lang w:val="zh-CN"/>
        </w:rPr>
        <w:t>继续实施国家臭氧干事和能效决策人员结对项目的第二阶段</w:t>
      </w:r>
      <w:r>
        <w:rPr>
          <w:sz w:val="24"/>
          <w:szCs w:val="24"/>
        </w:rPr>
        <w:t>，</w:t>
      </w:r>
      <w:r>
        <w:rPr>
          <w:sz w:val="24"/>
          <w:szCs w:val="24"/>
          <w:lang w:val="zh-CN"/>
        </w:rPr>
        <w:t>并跟进第一阶段提出的建议</w:t>
      </w:r>
      <w:r>
        <w:rPr>
          <w:sz w:val="24"/>
          <w:szCs w:val="24"/>
        </w:rPr>
        <w:t>；</w:t>
      </w:r>
      <w:r>
        <w:rPr>
          <w:sz w:val="24"/>
          <w:szCs w:val="24"/>
          <w:lang w:val="zh-CN"/>
        </w:rPr>
        <w:t>开发和</w:t>
      </w:r>
      <w:r>
        <w:rPr>
          <w:sz w:val="24"/>
          <w:szCs w:val="24"/>
        </w:rPr>
        <w:t>/</w:t>
      </w:r>
      <w:r>
        <w:rPr>
          <w:sz w:val="24"/>
          <w:szCs w:val="24"/>
          <w:lang w:val="zh-CN"/>
        </w:rPr>
        <w:t>或分享与能源效率和低全球升温潜能值制冷剂相关的现有能力建设材料</w:t>
      </w:r>
      <w:r>
        <w:rPr>
          <w:sz w:val="24"/>
          <w:szCs w:val="24"/>
        </w:rPr>
        <w:t>；</w:t>
      </w:r>
      <w:r>
        <w:rPr>
          <w:sz w:val="24"/>
          <w:szCs w:val="24"/>
          <w:lang w:val="zh-CN"/>
        </w:rPr>
        <w:t>继续为技术人员提供关于节能制冷和空调设备的安装和维护的最新培训课程</w:t>
      </w:r>
      <w:r>
        <w:rPr>
          <w:sz w:val="24"/>
          <w:szCs w:val="24"/>
        </w:rPr>
        <w:t>；</w:t>
      </w:r>
      <w:r>
        <w:rPr>
          <w:sz w:val="24"/>
          <w:szCs w:val="24"/>
          <w:lang w:val="zh-CN"/>
        </w:rPr>
        <w:t>支持国家臭氧机构制定政策或法规</w:t>
      </w:r>
      <w:r>
        <w:rPr>
          <w:sz w:val="24"/>
          <w:szCs w:val="24"/>
        </w:rPr>
        <w:t>，</w:t>
      </w:r>
      <w:r>
        <w:rPr>
          <w:sz w:val="24"/>
          <w:szCs w:val="24"/>
          <w:lang w:val="zh-CN"/>
        </w:rPr>
        <w:t>以提高制冷和空调设备的能源效率</w:t>
      </w:r>
      <w:r>
        <w:rPr>
          <w:sz w:val="24"/>
          <w:szCs w:val="24"/>
        </w:rPr>
        <w:t>，</w:t>
      </w:r>
      <w:r>
        <w:rPr>
          <w:sz w:val="24"/>
          <w:szCs w:val="24"/>
          <w:lang w:val="zh-CN"/>
        </w:rPr>
        <w:t>包括节能制冷空调设备的采购政策以及制冷和空调设备的制冷剂和能源效率数据库</w:t>
      </w:r>
      <w:r>
        <w:rPr>
          <w:sz w:val="24"/>
          <w:szCs w:val="24"/>
        </w:rPr>
        <w:t>；</w:t>
      </w:r>
    </w:p>
    <w:p w14:paraId="56A0B328" w14:textId="77777777" w:rsidR="00666293" w:rsidRDefault="00666293">
      <w:pPr>
        <w:pStyle w:val="Heading2"/>
        <w:numPr>
          <w:ilvl w:val="1"/>
          <w:numId w:val="1"/>
        </w:numPr>
        <w:topLinePunct/>
        <w:rPr>
          <w:sz w:val="24"/>
          <w:szCs w:val="24"/>
        </w:rPr>
      </w:pPr>
      <w:r>
        <w:rPr>
          <w:sz w:val="24"/>
          <w:szCs w:val="24"/>
          <w:lang w:val="zh-CN"/>
        </w:rPr>
        <w:t>确保所有环境署实施的多边基金项目都包含性别平等内容和支持国家臭氧机构根据多边基金的性别平等政策完成性别平等评估</w:t>
      </w:r>
      <w:r>
        <w:rPr>
          <w:sz w:val="24"/>
          <w:szCs w:val="24"/>
        </w:rPr>
        <w:t>；</w:t>
      </w:r>
      <w:r>
        <w:rPr>
          <w:sz w:val="24"/>
          <w:szCs w:val="24"/>
          <w:lang w:val="zh-CN"/>
        </w:rPr>
        <w:t>鼓励并协助所有国家臭氧机构通过提高认识、提供信息和培训等方式</w:t>
      </w:r>
      <w:r>
        <w:rPr>
          <w:sz w:val="24"/>
          <w:szCs w:val="24"/>
        </w:rPr>
        <w:t>，</w:t>
      </w:r>
      <w:r>
        <w:rPr>
          <w:sz w:val="24"/>
          <w:szCs w:val="24"/>
          <w:lang w:val="zh-CN"/>
        </w:rPr>
        <w:t>促进妇女参与制冷和空调行业</w:t>
      </w:r>
      <w:r>
        <w:rPr>
          <w:sz w:val="24"/>
          <w:szCs w:val="24"/>
        </w:rPr>
        <w:t>；</w:t>
      </w:r>
      <w:r>
        <w:rPr>
          <w:sz w:val="24"/>
          <w:szCs w:val="24"/>
          <w:lang w:val="zh-CN"/>
        </w:rPr>
        <w:t>继续将性别平等纳入涉及《蒙特利尔议定书》的国家方案、项目和活动并将其作为区域网络会议的议题</w:t>
      </w:r>
      <w:r>
        <w:rPr>
          <w:sz w:val="24"/>
          <w:szCs w:val="24"/>
        </w:rPr>
        <w:t>；</w:t>
      </w:r>
      <w:r>
        <w:rPr>
          <w:sz w:val="24"/>
          <w:szCs w:val="24"/>
          <w:lang w:val="zh-CN"/>
        </w:rPr>
        <w:t>通过国际制冷领域女性网络</w:t>
      </w:r>
      <w:r>
        <w:rPr>
          <w:sz w:val="24"/>
          <w:szCs w:val="24"/>
        </w:rPr>
        <w:t>（</w:t>
      </w:r>
      <w:r>
        <w:rPr>
          <w:sz w:val="24"/>
          <w:szCs w:val="24"/>
        </w:rPr>
        <w:t>INWIC</w:t>
      </w:r>
      <w:r>
        <w:rPr>
          <w:sz w:val="24"/>
          <w:szCs w:val="24"/>
        </w:rPr>
        <w:t>）</w:t>
      </w:r>
      <w:r>
        <w:rPr>
          <w:sz w:val="24"/>
          <w:szCs w:val="24"/>
          <w:lang w:val="zh-CN"/>
        </w:rPr>
        <w:t>提供交流和指导的机会</w:t>
      </w:r>
      <w:r>
        <w:rPr>
          <w:sz w:val="24"/>
          <w:szCs w:val="24"/>
        </w:rPr>
        <w:t>；</w:t>
      </w:r>
      <w:r>
        <w:rPr>
          <w:sz w:val="24"/>
          <w:szCs w:val="24"/>
          <w:lang w:val="zh-CN"/>
        </w:rPr>
        <w:t>和</w:t>
      </w:r>
    </w:p>
    <w:p w14:paraId="6E05E330" w14:textId="77777777" w:rsidR="00666293" w:rsidRDefault="00666293">
      <w:pPr>
        <w:pStyle w:val="Heading2"/>
        <w:numPr>
          <w:ilvl w:val="1"/>
          <w:numId w:val="1"/>
        </w:numPr>
        <w:topLinePunct/>
        <w:rPr>
          <w:sz w:val="24"/>
          <w:szCs w:val="24"/>
        </w:rPr>
      </w:pPr>
      <w:r>
        <w:rPr>
          <w:sz w:val="24"/>
          <w:szCs w:val="24"/>
          <w:lang w:val="zh-CN"/>
        </w:rPr>
        <w:t>继续支持含氢氟氯烃淘汰管理计划、基加利氢氟碳化物执行计划以及含氢氟氯烃淘汰管理计划中的其他活动的项目编制、提交和实施</w:t>
      </w:r>
      <w:r>
        <w:rPr>
          <w:sz w:val="24"/>
          <w:szCs w:val="24"/>
        </w:rPr>
        <w:t>，</w:t>
      </w:r>
      <w:r>
        <w:rPr>
          <w:sz w:val="24"/>
          <w:szCs w:val="24"/>
          <w:lang w:val="zh-CN"/>
        </w:rPr>
        <w:t>以保持制冷维修行业的能源效率</w:t>
      </w:r>
      <w:r>
        <w:rPr>
          <w:sz w:val="24"/>
          <w:szCs w:val="24"/>
        </w:rPr>
        <w:t>；</w:t>
      </w:r>
      <w:r>
        <w:rPr>
          <w:sz w:val="24"/>
          <w:szCs w:val="24"/>
          <w:lang w:val="zh-CN"/>
        </w:rPr>
        <w:t>开展试点项目</w:t>
      </w:r>
      <w:r>
        <w:rPr>
          <w:sz w:val="24"/>
          <w:szCs w:val="24"/>
        </w:rPr>
        <w:t>，</w:t>
      </w:r>
      <w:r>
        <w:rPr>
          <w:sz w:val="24"/>
          <w:szCs w:val="24"/>
          <w:lang w:val="zh-CN"/>
        </w:rPr>
        <w:t>以保持和</w:t>
      </w:r>
      <w:r>
        <w:rPr>
          <w:sz w:val="24"/>
          <w:szCs w:val="24"/>
        </w:rPr>
        <w:t>/</w:t>
      </w:r>
      <w:r>
        <w:rPr>
          <w:sz w:val="24"/>
          <w:szCs w:val="24"/>
          <w:lang w:val="zh-CN"/>
        </w:rPr>
        <w:t>或提高在逐步淘汰氢氟碳化物的背景下的替代技术和设备的能源效率</w:t>
      </w:r>
      <w:r>
        <w:rPr>
          <w:sz w:val="24"/>
          <w:szCs w:val="24"/>
        </w:rPr>
        <w:t>；</w:t>
      </w:r>
      <w:r>
        <w:rPr>
          <w:sz w:val="24"/>
          <w:szCs w:val="24"/>
          <w:lang w:val="zh-CN"/>
        </w:rPr>
        <w:t>开展项目以支持编制用过的或不需要的受控物质国家库存清单和编制核查报告</w:t>
      </w:r>
      <w:r>
        <w:rPr>
          <w:sz w:val="24"/>
          <w:szCs w:val="24"/>
        </w:rPr>
        <w:t>；</w:t>
      </w:r>
      <w:r>
        <w:rPr>
          <w:sz w:val="24"/>
          <w:szCs w:val="24"/>
          <w:lang w:val="zh-CN"/>
        </w:rPr>
        <w:t>继续在优先领域开展活动</w:t>
      </w:r>
      <w:r>
        <w:rPr>
          <w:sz w:val="24"/>
          <w:szCs w:val="24"/>
        </w:rPr>
        <w:t>，</w:t>
      </w:r>
      <w:r>
        <w:rPr>
          <w:sz w:val="24"/>
          <w:szCs w:val="24"/>
          <w:lang w:val="zh-CN"/>
        </w:rPr>
        <w:t>为低消费量国家提供额外支持。</w:t>
      </w:r>
    </w:p>
    <w:p w14:paraId="72E9AA96" w14:textId="77777777" w:rsidR="00666293" w:rsidRDefault="00666293">
      <w:pPr>
        <w:pStyle w:val="Heading2"/>
        <w:numPr>
          <w:ilvl w:val="0"/>
          <w:numId w:val="0"/>
        </w:numPr>
        <w:topLinePunct/>
        <w:ind w:left="284" w:hanging="284"/>
        <w:rPr>
          <w:sz w:val="24"/>
          <w:szCs w:val="24"/>
        </w:rPr>
      </w:pPr>
      <w:r>
        <w:rPr>
          <w:sz w:val="24"/>
          <w:szCs w:val="24"/>
          <w:u w:val="single"/>
          <w:lang w:val="zh-CN"/>
        </w:rPr>
        <w:t>为低消费量国家提供技术和政策支持，以支持</w:t>
      </w:r>
      <w:r>
        <w:rPr>
          <w:sz w:val="24"/>
          <w:szCs w:val="24"/>
          <w:u w:val="single"/>
          <w:lang w:val="zh-CN"/>
        </w:rPr>
        <w:t>2026</w:t>
      </w:r>
      <w:r>
        <w:rPr>
          <w:sz w:val="24"/>
          <w:szCs w:val="24"/>
          <w:u w:val="single"/>
          <w:lang w:val="zh-CN"/>
        </w:rPr>
        <w:t>年基加利氢氟碳化物执行计划的实施</w:t>
      </w:r>
    </w:p>
    <w:p w14:paraId="094229F7"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rPr>
        <w:t>2026</w:t>
      </w:r>
      <w:r>
        <w:rPr>
          <w:sz w:val="24"/>
          <w:szCs w:val="24"/>
          <w:lang w:val="zh-CN"/>
        </w:rPr>
        <w:t>年</w:t>
      </w:r>
      <w:r>
        <w:rPr>
          <w:sz w:val="24"/>
          <w:szCs w:val="24"/>
        </w:rPr>
        <w:t>，</w:t>
      </w:r>
      <w:r>
        <w:rPr>
          <w:sz w:val="24"/>
          <w:szCs w:val="24"/>
          <w:lang w:val="zh-CN"/>
        </w:rPr>
        <w:t>环境署将利用专项援助资金支持已批准基加利氢氟碳化物执行计划并处于实施阶段的低消费量国家以及将向执行委员会提交基加利氢氟碳化物执行计划供第九十七次和第九十八次会议审议的低消费量国家。这将通过在最初确定的三个优先领域和新增的一个优先领域开展的现有活动来实现</w:t>
      </w:r>
      <w:r>
        <w:rPr>
          <w:sz w:val="24"/>
          <w:szCs w:val="24"/>
          <w:lang w:val="en-US"/>
        </w:rPr>
        <w:t>，</w:t>
      </w:r>
      <w:r>
        <w:rPr>
          <w:sz w:val="24"/>
          <w:szCs w:val="24"/>
          <w:lang w:val="zh-CN"/>
        </w:rPr>
        <w:t>并增聘一名顾问来补充履约协助方案团队为低消费量国家提供的技术和政策支持</w:t>
      </w:r>
      <w:r>
        <w:rPr>
          <w:sz w:val="24"/>
          <w:szCs w:val="24"/>
          <w:lang w:val="en-US"/>
        </w:rPr>
        <w:t>，</w:t>
      </w:r>
      <w:r>
        <w:rPr>
          <w:sz w:val="24"/>
          <w:szCs w:val="24"/>
          <w:lang w:val="zh-CN"/>
        </w:rPr>
        <w:t>以支持基加利氢氟碳化物执行计划的实施。此外</w:t>
      </w:r>
      <w:r>
        <w:rPr>
          <w:sz w:val="24"/>
          <w:szCs w:val="24"/>
          <w:lang w:val="en-US"/>
        </w:rPr>
        <w:t>，</w:t>
      </w:r>
      <w:r>
        <w:rPr>
          <w:sz w:val="24"/>
          <w:szCs w:val="24"/>
          <w:lang w:val="zh-CN"/>
        </w:rPr>
        <w:t>预计其他履约协助方案团队</w:t>
      </w:r>
      <w:r>
        <w:rPr>
          <w:sz w:val="24"/>
          <w:szCs w:val="24"/>
          <w:lang w:val="en-US"/>
        </w:rPr>
        <w:t>（</w:t>
      </w:r>
      <w:r>
        <w:rPr>
          <w:sz w:val="24"/>
          <w:szCs w:val="24"/>
          <w:lang w:val="zh-CN"/>
        </w:rPr>
        <w:t>即非洲、西亚、欧洲和中亚以及全球履约协助方案</w:t>
      </w:r>
      <w:r>
        <w:rPr>
          <w:sz w:val="24"/>
          <w:szCs w:val="24"/>
          <w:lang w:val="en-US"/>
        </w:rPr>
        <w:t>）</w:t>
      </w:r>
      <w:r>
        <w:rPr>
          <w:sz w:val="24"/>
          <w:szCs w:val="24"/>
          <w:lang w:val="zh-CN"/>
        </w:rPr>
        <w:t>也将在</w:t>
      </w:r>
      <w:r>
        <w:rPr>
          <w:sz w:val="24"/>
          <w:szCs w:val="24"/>
          <w:lang w:val="en-US"/>
        </w:rPr>
        <w:t>2026</w:t>
      </w:r>
      <w:r>
        <w:rPr>
          <w:sz w:val="24"/>
          <w:szCs w:val="24"/>
          <w:lang w:val="zh-CN"/>
        </w:rPr>
        <w:t>年接受能源效率方面的培训</w:t>
      </w:r>
      <w:r>
        <w:rPr>
          <w:sz w:val="24"/>
          <w:szCs w:val="24"/>
          <w:lang w:val="en-US"/>
        </w:rPr>
        <w:t>，</w:t>
      </w:r>
      <w:r>
        <w:rPr>
          <w:sz w:val="24"/>
          <w:szCs w:val="24"/>
          <w:lang w:val="zh-CN"/>
        </w:rPr>
        <w:t>这取决于有否相关的专门培训方案。作为</w:t>
      </w:r>
      <w:r>
        <w:rPr>
          <w:sz w:val="24"/>
          <w:szCs w:val="24"/>
          <w:lang w:val="en-US"/>
        </w:rPr>
        <w:t>2026</w:t>
      </w:r>
      <w:r>
        <w:rPr>
          <w:sz w:val="24"/>
          <w:szCs w:val="24"/>
          <w:lang w:val="zh-CN"/>
        </w:rPr>
        <w:t>年履约协助方案进度报告的一部分</w:t>
      </w:r>
      <w:r>
        <w:rPr>
          <w:sz w:val="24"/>
          <w:szCs w:val="24"/>
          <w:lang w:val="en-US"/>
        </w:rPr>
        <w:t>，</w:t>
      </w:r>
      <w:r>
        <w:rPr>
          <w:sz w:val="24"/>
          <w:szCs w:val="24"/>
          <w:lang w:val="zh-CN"/>
        </w:rPr>
        <w:t>环境署将提供这些专项额外拨款前两年成果的初步总结报告。</w:t>
      </w:r>
    </w:p>
    <w:p w14:paraId="4A50AABE"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新增的优先领域在于通过加强制冷和空调行业的职业安全来实现安全和可持续制冷</w:t>
      </w:r>
      <w:r>
        <w:rPr>
          <w:sz w:val="24"/>
          <w:szCs w:val="24"/>
        </w:rPr>
        <w:t>，</w:t>
      </w:r>
      <w:r>
        <w:rPr>
          <w:sz w:val="24"/>
          <w:szCs w:val="24"/>
          <w:lang w:val="zh-CN"/>
        </w:rPr>
        <w:t>环境署认为</w:t>
      </w:r>
      <w:r>
        <w:rPr>
          <w:sz w:val="24"/>
          <w:szCs w:val="24"/>
        </w:rPr>
        <w:t>，</w:t>
      </w:r>
      <w:r>
        <w:rPr>
          <w:sz w:val="24"/>
          <w:szCs w:val="24"/>
          <w:lang w:val="zh-CN"/>
        </w:rPr>
        <w:t>这个优先领域对许多低消费量国家至关重要</w:t>
      </w:r>
      <w:r>
        <w:rPr>
          <w:sz w:val="24"/>
          <w:szCs w:val="24"/>
        </w:rPr>
        <w:t>，</w:t>
      </w:r>
      <w:r>
        <w:rPr>
          <w:sz w:val="24"/>
          <w:szCs w:val="24"/>
          <w:lang w:val="zh-CN"/>
        </w:rPr>
        <w:t>因为这些国家的技术能力有限、监管执法不力以及缺乏安全技术</w:t>
      </w:r>
      <w:r>
        <w:rPr>
          <w:sz w:val="24"/>
          <w:szCs w:val="24"/>
        </w:rPr>
        <w:t>，</w:t>
      </w:r>
      <w:r>
        <w:rPr>
          <w:sz w:val="24"/>
          <w:szCs w:val="24"/>
          <w:lang w:val="zh-CN"/>
        </w:rPr>
        <w:t>向低全球升温潜能值制冷剂过渡会带来环境和安全方面的挑战。这项举措目前处于制定阶段</w:t>
      </w:r>
      <w:r>
        <w:rPr>
          <w:sz w:val="24"/>
          <w:szCs w:val="24"/>
          <w:lang w:val="en-US"/>
        </w:rPr>
        <w:t>，</w:t>
      </w:r>
      <w:r>
        <w:rPr>
          <w:sz w:val="24"/>
          <w:szCs w:val="24"/>
          <w:lang w:val="zh-CN"/>
        </w:rPr>
        <w:t>预计将分四个阶段实施。这四个阶段包括</w:t>
      </w:r>
      <w:r>
        <w:rPr>
          <w:sz w:val="24"/>
          <w:szCs w:val="24"/>
          <w:lang w:val="en-US"/>
        </w:rPr>
        <w:t>：</w:t>
      </w:r>
      <w:r>
        <w:rPr>
          <w:sz w:val="24"/>
          <w:szCs w:val="24"/>
          <w:lang w:val="zh-CN"/>
        </w:rPr>
        <w:t>选择试点国家和根据国际安全标准评估国家政策</w:t>
      </w:r>
      <w:r>
        <w:rPr>
          <w:sz w:val="24"/>
          <w:szCs w:val="24"/>
          <w:lang w:val="en-US"/>
        </w:rPr>
        <w:t>，</w:t>
      </w:r>
      <w:r>
        <w:rPr>
          <w:sz w:val="24"/>
          <w:szCs w:val="24"/>
          <w:lang w:val="zh-CN"/>
        </w:rPr>
        <w:t>以确定监管差距</w:t>
      </w:r>
      <w:r>
        <w:rPr>
          <w:sz w:val="24"/>
          <w:szCs w:val="24"/>
          <w:lang w:val="en-US"/>
        </w:rPr>
        <w:t>；</w:t>
      </w:r>
      <w:r>
        <w:rPr>
          <w:sz w:val="24"/>
          <w:szCs w:val="24"/>
          <w:lang w:val="zh-CN"/>
        </w:rPr>
        <w:t>开发符合当地文化特色的培训材料</w:t>
      </w:r>
      <w:r>
        <w:rPr>
          <w:sz w:val="24"/>
          <w:szCs w:val="24"/>
          <w:lang w:val="en-US"/>
        </w:rPr>
        <w:t>，</w:t>
      </w:r>
      <w:r>
        <w:rPr>
          <w:sz w:val="24"/>
          <w:szCs w:val="24"/>
          <w:lang w:val="zh-CN"/>
        </w:rPr>
        <w:t>例如图示警告标签、工作辅助工具和图文并茂的小册子</w:t>
      </w:r>
      <w:r>
        <w:rPr>
          <w:sz w:val="24"/>
          <w:szCs w:val="24"/>
          <w:lang w:val="en-US"/>
        </w:rPr>
        <w:t>，</w:t>
      </w:r>
      <w:r>
        <w:rPr>
          <w:sz w:val="24"/>
          <w:szCs w:val="24"/>
          <w:lang w:val="zh-CN"/>
        </w:rPr>
        <w:t>并通过</w:t>
      </w:r>
      <w:r>
        <w:rPr>
          <w:sz w:val="24"/>
          <w:szCs w:val="24"/>
          <w:lang w:val="en-US"/>
        </w:rPr>
        <w:t>WhatsApp</w:t>
      </w:r>
      <w:r>
        <w:rPr>
          <w:sz w:val="24"/>
          <w:szCs w:val="24"/>
          <w:lang w:val="zh-CN"/>
        </w:rPr>
        <w:t>和社区广播进行传播</w:t>
      </w:r>
      <w:r>
        <w:rPr>
          <w:sz w:val="24"/>
          <w:szCs w:val="24"/>
          <w:lang w:val="en-US"/>
        </w:rPr>
        <w:t>；</w:t>
      </w:r>
      <w:r>
        <w:rPr>
          <w:sz w:val="24"/>
          <w:szCs w:val="24"/>
          <w:lang w:val="zh-CN"/>
        </w:rPr>
        <w:t>创建</w:t>
      </w:r>
      <w:r>
        <w:rPr>
          <w:sz w:val="24"/>
          <w:szCs w:val="24"/>
          <w:lang w:val="en-US"/>
        </w:rPr>
        <w:t>“</w:t>
      </w:r>
      <w:r>
        <w:rPr>
          <w:sz w:val="24"/>
          <w:szCs w:val="24"/>
          <w:lang w:val="zh-CN"/>
        </w:rPr>
        <w:t>安全扫描</w:t>
      </w:r>
      <w:r>
        <w:rPr>
          <w:sz w:val="24"/>
          <w:szCs w:val="24"/>
          <w:lang w:val="en-US"/>
        </w:rPr>
        <w:t>”</w:t>
      </w:r>
      <w:r>
        <w:rPr>
          <w:sz w:val="24"/>
          <w:szCs w:val="24"/>
          <w:lang w:val="zh-CN"/>
        </w:rPr>
        <w:t>移动应用程序</w:t>
      </w:r>
      <w:r>
        <w:rPr>
          <w:sz w:val="24"/>
          <w:szCs w:val="24"/>
          <w:lang w:val="en-US"/>
        </w:rPr>
        <w:t>，</w:t>
      </w:r>
      <w:r>
        <w:rPr>
          <w:sz w:val="24"/>
          <w:szCs w:val="24"/>
          <w:lang w:val="zh-CN"/>
        </w:rPr>
        <w:t>帮助技术人员实时评估风</w:t>
      </w:r>
      <w:r>
        <w:rPr>
          <w:sz w:val="24"/>
          <w:szCs w:val="24"/>
          <w:lang w:val="zh-CN"/>
        </w:rPr>
        <w:lastRenderedPageBreak/>
        <w:t>险并支持数据收集和监测</w:t>
      </w:r>
      <w:r>
        <w:rPr>
          <w:sz w:val="24"/>
          <w:szCs w:val="24"/>
          <w:lang w:val="en-US"/>
        </w:rPr>
        <w:t>；</w:t>
      </w:r>
      <w:r>
        <w:rPr>
          <w:sz w:val="24"/>
          <w:szCs w:val="24"/>
          <w:lang w:val="zh-CN"/>
        </w:rPr>
        <w:t>将经验教训纳入国家政策</w:t>
      </w:r>
      <w:r>
        <w:rPr>
          <w:sz w:val="24"/>
          <w:szCs w:val="24"/>
          <w:lang w:val="en-US"/>
        </w:rPr>
        <w:t>，</w:t>
      </w:r>
      <w:r>
        <w:rPr>
          <w:sz w:val="24"/>
          <w:szCs w:val="24"/>
          <w:lang w:val="zh-CN"/>
        </w:rPr>
        <w:t>包括在国家基加利氢氟碳化物执行计划中采纳与基加利协定相符的职业安全与健康</w:t>
      </w:r>
      <w:r>
        <w:rPr>
          <w:sz w:val="24"/>
          <w:szCs w:val="24"/>
          <w:lang w:val="en-US"/>
        </w:rPr>
        <w:t>（</w:t>
      </w:r>
      <w:r>
        <w:rPr>
          <w:sz w:val="24"/>
          <w:szCs w:val="24"/>
          <w:lang w:val="en-US"/>
        </w:rPr>
        <w:t>OSH</w:t>
      </w:r>
      <w:r>
        <w:rPr>
          <w:sz w:val="24"/>
          <w:szCs w:val="24"/>
          <w:lang w:val="en-US"/>
        </w:rPr>
        <w:t>）</w:t>
      </w:r>
      <w:r>
        <w:rPr>
          <w:sz w:val="24"/>
          <w:szCs w:val="24"/>
          <w:lang w:val="zh-CN"/>
        </w:rPr>
        <w:t>法规。</w:t>
      </w:r>
      <w:r>
        <w:rPr>
          <w:sz w:val="24"/>
          <w:szCs w:val="24"/>
        </w:rPr>
        <w:t xml:space="preserve"> </w:t>
      </w:r>
    </w:p>
    <w:p w14:paraId="13B315D7" w14:textId="77777777" w:rsidR="00666293" w:rsidRDefault="00666293">
      <w:pPr>
        <w:pStyle w:val="Heading1"/>
        <w:keepNext/>
        <w:numPr>
          <w:ilvl w:val="0"/>
          <w:numId w:val="0"/>
        </w:numPr>
        <w:tabs>
          <w:tab w:val="left" w:pos="720"/>
        </w:tabs>
        <w:topLinePunct/>
        <w:rPr>
          <w:sz w:val="24"/>
          <w:szCs w:val="24"/>
          <w:u w:val="single"/>
          <w:lang w:val="en-US"/>
        </w:rPr>
      </w:pPr>
      <w:r>
        <w:rPr>
          <w:sz w:val="24"/>
          <w:szCs w:val="24"/>
          <w:u w:val="single"/>
          <w:lang w:val="zh-CN"/>
        </w:rPr>
        <w:t>履约协助方案</w:t>
      </w:r>
      <w:r>
        <w:rPr>
          <w:sz w:val="24"/>
          <w:szCs w:val="24"/>
          <w:u w:val="single"/>
          <w:lang w:val="zh-CN"/>
        </w:rPr>
        <w:t>2026</w:t>
      </w:r>
      <w:r>
        <w:rPr>
          <w:sz w:val="24"/>
          <w:szCs w:val="24"/>
          <w:u w:val="single"/>
          <w:lang w:val="zh-CN"/>
        </w:rPr>
        <w:t>年预算的改变</w:t>
      </w:r>
    </w:p>
    <w:p w14:paraId="58599246"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履约协助方案</w:t>
      </w:r>
      <w:r>
        <w:rPr>
          <w:sz w:val="24"/>
          <w:szCs w:val="24"/>
          <w:lang w:val="en-US"/>
        </w:rPr>
        <w:t>2026</w:t>
      </w:r>
      <w:r>
        <w:rPr>
          <w:sz w:val="24"/>
          <w:szCs w:val="24"/>
          <w:lang w:val="zh-CN"/>
        </w:rPr>
        <w:t>年的拟议预算为</w:t>
      </w:r>
      <w:r>
        <w:rPr>
          <w:sz w:val="24"/>
          <w:szCs w:val="24"/>
          <w:lang w:val="en-US"/>
        </w:rPr>
        <w:t>11,276,967</w:t>
      </w:r>
      <w:r>
        <w:rPr>
          <w:sz w:val="24"/>
          <w:szCs w:val="24"/>
          <w:lang w:val="zh-CN"/>
        </w:rPr>
        <w:t>美元</w:t>
      </w:r>
      <w:r>
        <w:rPr>
          <w:sz w:val="24"/>
          <w:szCs w:val="24"/>
          <w:lang w:val="en-US"/>
        </w:rPr>
        <w:t>，</w:t>
      </w:r>
      <w:r>
        <w:rPr>
          <w:sz w:val="24"/>
          <w:szCs w:val="24"/>
          <w:lang w:val="zh-CN"/>
        </w:rPr>
        <w:t>外加机构支助费用</w:t>
      </w:r>
      <w:r>
        <w:rPr>
          <w:sz w:val="24"/>
          <w:szCs w:val="24"/>
          <w:lang w:val="en-US"/>
        </w:rPr>
        <w:t>902,157</w:t>
      </w:r>
      <w:r>
        <w:rPr>
          <w:sz w:val="24"/>
          <w:szCs w:val="24"/>
          <w:lang w:val="zh-CN"/>
        </w:rPr>
        <w:t>美元</w:t>
      </w:r>
      <w:r>
        <w:rPr>
          <w:sz w:val="24"/>
          <w:szCs w:val="24"/>
          <w:lang w:val="en-US"/>
        </w:rPr>
        <w:t>（</w:t>
      </w:r>
      <w:r>
        <w:rPr>
          <w:sz w:val="24"/>
          <w:szCs w:val="24"/>
          <w:lang w:val="en-US"/>
        </w:rPr>
        <w:t>8%</w:t>
      </w:r>
      <w:r>
        <w:rPr>
          <w:sz w:val="24"/>
          <w:szCs w:val="24"/>
          <w:lang w:val="en-US"/>
        </w:rPr>
        <w:t>），</w:t>
      </w:r>
      <w:r>
        <w:rPr>
          <w:sz w:val="24"/>
          <w:szCs w:val="24"/>
          <w:lang w:val="zh-CN"/>
        </w:rPr>
        <w:t>均载于所附附件的第三部分。履约协助方案总预算包括第</w:t>
      </w:r>
      <w:r>
        <w:rPr>
          <w:sz w:val="24"/>
          <w:szCs w:val="24"/>
          <w:lang w:val="en-US"/>
        </w:rPr>
        <w:t>93/95</w:t>
      </w:r>
      <w:r>
        <w:rPr>
          <w:sz w:val="24"/>
          <w:szCs w:val="24"/>
          <w:lang w:val="zh-CN"/>
        </w:rPr>
        <w:t>号决定为低消费量国家实施基加利氢氟碳化物执行计划提供技术和政策支持提供的</w:t>
      </w:r>
      <w:r>
        <w:rPr>
          <w:sz w:val="24"/>
          <w:szCs w:val="24"/>
          <w:lang w:val="en-US"/>
        </w:rPr>
        <w:t>15</w:t>
      </w:r>
      <w:r>
        <w:rPr>
          <w:sz w:val="24"/>
          <w:szCs w:val="24"/>
          <w:lang w:val="zh-CN"/>
        </w:rPr>
        <w:t>万美元额外拨款</w:t>
      </w:r>
      <w:r>
        <w:rPr>
          <w:sz w:val="24"/>
          <w:szCs w:val="24"/>
          <w:lang w:val="en-US"/>
        </w:rPr>
        <w:t>（</w:t>
      </w:r>
      <w:r>
        <w:rPr>
          <w:sz w:val="24"/>
          <w:szCs w:val="24"/>
          <w:lang w:val="zh-CN"/>
        </w:rPr>
        <w:t>预算项目</w:t>
      </w:r>
      <w:r>
        <w:rPr>
          <w:sz w:val="24"/>
          <w:szCs w:val="24"/>
          <w:lang w:val="en-US"/>
        </w:rPr>
        <w:t>3216</w:t>
      </w:r>
      <w:r>
        <w:rPr>
          <w:sz w:val="24"/>
          <w:szCs w:val="24"/>
          <w:lang w:val="en-US"/>
        </w:rPr>
        <w:t>）</w:t>
      </w:r>
      <w:r>
        <w:rPr>
          <w:sz w:val="24"/>
          <w:szCs w:val="24"/>
          <w:lang w:val="zh-CN"/>
        </w:rPr>
        <w:t>。总预算比</w:t>
      </w:r>
      <w:r>
        <w:rPr>
          <w:sz w:val="24"/>
          <w:szCs w:val="24"/>
          <w:lang w:val="en-US"/>
        </w:rPr>
        <w:t>2025</w:t>
      </w:r>
      <w:r>
        <w:rPr>
          <w:sz w:val="24"/>
          <w:szCs w:val="24"/>
          <w:lang w:val="zh-CN"/>
        </w:rPr>
        <w:t>年批准的预算高出</w:t>
      </w:r>
      <w:r>
        <w:rPr>
          <w:sz w:val="24"/>
          <w:szCs w:val="24"/>
          <w:lang w:val="en-US"/>
        </w:rPr>
        <w:t>0.77%</w:t>
      </w:r>
      <w:r>
        <w:rPr>
          <w:sz w:val="24"/>
          <w:szCs w:val="24"/>
          <w:lang w:val="en-US"/>
        </w:rPr>
        <w:t>（</w:t>
      </w:r>
      <w:r>
        <w:rPr>
          <w:sz w:val="24"/>
          <w:szCs w:val="24"/>
          <w:lang w:val="zh-CN"/>
        </w:rPr>
        <w:t>即</w:t>
      </w:r>
      <w:r>
        <w:rPr>
          <w:sz w:val="24"/>
          <w:szCs w:val="24"/>
          <w:lang w:val="en-US"/>
        </w:rPr>
        <w:t>11,191,331</w:t>
      </w:r>
      <w:r>
        <w:rPr>
          <w:sz w:val="24"/>
          <w:szCs w:val="24"/>
          <w:lang w:val="zh-CN"/>
        </w:rPr>
        <w:t>美元</w:t>
      </w:r>
      <w:r>
        <w:rPr>
          <w:sz w:val="24"/>
          <w:szCs w:val="24"/>
          <w:lang w:val="en-US"/>
        </w:rPr>
        <w:t>，</w:t>
      </w:r>
      <w:r>
        <w:rPr>
          <w:sz w:val="24"/>
          <w:szCs w:val="24"/>
          <w:lang w:val="zh-CN"/>
        </w:rPr>
        <w:t>其中包括第</w:t>
      </w:r>
      <w:r>
        <w:rPr>
          <w:sz w:val="24"/>
          <w:szCs w:val="24"/>
          <w:lang w:val="en-US"/>
        </w:rPr>
        <w:t>93/95</w:t>
      </w:r>
      <w:r>
        <w:rPr>
          <w:sz w:val="24"/>
          <w:szCs w:val="24"/>
          <w:lang w:val="zh-CN"/>
        </w:rPr>
        <w:t>号决定额外拨供的</w:t>
      </w:r>
      <w:r>
        <w:rPr>
          <w:sz w:val="24"/>
          <w:szCs w:val="24"/>
          <w:lang w:val="en-US"/>
        </w:rPr>
        <w:t>15</w:t>
      </w:r>
      <w:r>
        <w:rPr>
          <w:sz w:val="24"/>
          <w:szCs w:val="24"/>
          <w:lang w:val="zh-CN"/>
        </w:rPr>
        <w:t>万美元</w:t>
      </w:r>
      <w:r>
        <w:rPr>
          <w:sz w:val="24"/>
          <w:szCs w:val="24"/>
          <w:lang w:val="en-US"/>
        </w:rPr>
        <w:t>，</w:t>
      </w:r>
      <w:r>
        <w:rPr>
          <w:sz w:val="24"/>
          <w:szCs w:val="24"/>
          <w:lang w:val="zh-CN"/>
        </w:rPr>
        <w:t>外加机构支持费用</w:t>
      </w:r>
      <w:r>
        <w:rPr>
          <w:sz w:val="24"/>
          <w:szCs w:val="24"/>
          <w:lang w:val="en-US"/>
        </w:rPr>
        <w:t>）</w:t>
      </w:r>
      <w:r>
        <w:rPr>
          <w:sz w:val="24"/>
          <w:szCs w:val="24"/>
          <w:lang w:val="zh-CN"/>
        </w:rPr>
        <w:t>。拟议预算低于第</w:t>
      </w:r>
      <w:r>
        <w:rPr>
          <w:sz w:val="24"/>
          <w:szCs w:val="24"/>
          <w:lang w:val="en-US"/>
        </w:rPr>
        <w:t>47/24</w:t>
      </w:r>
      <w:r>
        <w:rPr>
          <w:sz w:val="24"/>
          <w:szCs w:val="24"/>
          <w:lang w:val="zh-CN"/>
        </w:rPr>
        <w:t>号决定</w:t>
      </w:r>
      <w:r>
        <w:rPr>
          <w:sz w:val="24"/>
          <w:szCs w:val="24"/>
          <w:lang w:val="en-US"/>
        </w:rPr>
        <w:t>（</w:t>
      </w:r>
      <w:r>
        <w:rPr>
          <w:sz w:val="24"/>
          <w:szCs w:val="24"/>
          <w:lang w:val="en-US"/>
        </w:rPr>
        <w:t>a</w:t>
      </w:r>
      <w:r>
        <w:rPr>
          <w:sz w:val="24"/>
          <w:szCs w:val="24"/>
          <w:lang w:val="en-US"/>
        </w:rPr>
        <w:t>）（</w:t>
      </w:r>
      <w:r>
        <w:rPr>
          <w:sz w:val="24"/>
          <w:szCs w:val="24"/>
          <w:lang w:val="zh-CN"/>
        </w:rPr>
        <w:t>三</w:t>
      </w:r>
      <w:r>
        <w:rPr>
          <w:sz w:val="24"/>
          <w:szCs w:val="24"/>
          <w:lang w:val="en-US"/>
        </w:rPr>
        <w:t>）</w:t>
      </w:r>
      <w:r>
        <w:rPr>
          <w:sz w:val="24"/>
          <w:szCs w:val="24"/>
          <w:lang w:val="zh-CN"/>
        </w:rPr>
        <w:t>段规定的允许预算每年最多增长</w:t>
      </w:r>
      <w:r>
        <w:rPr>
          <w:sz w:val="24"/>
          <w:szCs w:val="24"/>
          <w:lang w:val="en-US"/>
        </w:rPr>
        <w:t>3%</w:t>
      </w:r>
      <w:r>
        <w:rPr>
          <w:sz w:val="24"/>
          <w:szCs w:val="24"/>
          <w:lang w:val="zh-CN"/>
        </w:rPr>
        <w:t>的幅度。</w:t>
      </w:r>
      <w:r>
        <w:rPr>
          <w:sz w:val="24"/>
          <w:szCs w:val="24"/>
          <w:vertAlign w:val="superscript"/>
          <w:lang w:val="zh-CN"/>
        </w:rPr>
        <w:footnoteReference w:id="3"/>
      </w:r>
    </w:p>
    <w:p w14:paraId="7F4D77F8" w14:textId="77777777" w:rsidR="00666293" w:rsidRDefault="00666293">
      <w:pPr>
        <w:pStyle w:val="Heading1"/>
        <w:widowControl w:val="0"/>
        <w:numPr>
          <w:ilvl w:val="0"/>
          <w:numId w:val="0"/>
        </w:numPr>
        <w:tabs>
          <w:tab w:val="left" w:pos="720"/>
        </w:tabs>
        <w:topLinePunct/>
        <w:rPr>
          <w:sz w:val="24"/>
          <w:szCs w:val="24"/>
          <w:lang w:val="en-US"/>
        </w:rPr>
      </w:pPr>
      <w:r w:rsidRPr="00E51AFD">
        <w:rPr>
          <w:rFonts w:ascii="KaiTi" w:eastAsia="KaiTi" w:hAnsi="KaiTi"/>
          <w:sz w:val="24"/>
          <w:szCs w:val="24"/>
          <w:lang w:val="zh-CN"/>
        </w:rPr>
        <w:t>方案预算的改变</w:t>
      </w:r>
      <w:r>
        <w:rPr>
          <w:rStyle w:val="FootnoteReference"/>
          <w:sz w:val="24"/>
          <w:szCs w:val="24"/>
          <w:lang w:val="zh-CN"/>
        </w:rPr>
        <w:footnoteReference w:id="4"/>
      </w:r>
    </w:p>
    <w:p w14:paraId="5A005E8D"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就活动项目而言</w:t>
      </w:r>
      <w:r>
        <w:rPr>
          <w:sz w:val="24"/>
          <w:szCs w:val="24"/>
          <w:lang w:val="en-US"/>
        </w:rPr>
        <w:t>，</w:t>
      </w:r>
      <w:r>
        <w:rPr>
          <w:sz w:val="24"/>
          <w:szCs w:val="24"/>
          <w:lang w:val="zh-CN"/>
        </w:rPr>
        <w:t>拟议预算是基于零增长情景编制的。在拟议预算中</w:t>
      </w:r>
      <w:r>
        <w:rPr>
          <w:sz w:val="24"/>
          <w:szCs w:val="24"/>
          <w:lang w:val="en-US"/>
        </w:rPr>
        <w:t>，</w:t>
      </w:r>
      <w:r>
        <w:rPr>
          <w:sz w:val="24"/>
          <w:szCs w:val="24"/>
          <w:lang w:val="zh-CN"/>
        </w:rPr>
        <w:t>人员费用增加</w:t>
      </w:r>
      <w:r>
        <w:rPr>
          <w:sz w:val="24"/>
          <w:szCs w:val="24"/>
          <w:lang w:val="en-US"/>
        </w:rPr>
        <w:t>3.00%</w:t>
      </w:r>
      <w:r>
        <w:rPr>
          <w:sz w:val="24"/>
          <w:szCs w:val="24"/>
          <w:lang w:val="en-US"/>
        </w:rPr>
        <w:t>，</w:t>
      </w:r>
      <w:r>
        <w:rPr>
          <w:sz w:val="24"/>
          <w:szCs w:val="24"/>
          <w:lang w:val="zh-CN"/>
        </w:rPr>
        <w:t>主要用于抵消现有职位的通货膨胀差额</w:t>
      </w:r>
      <w:r>
        <w:rPr>
          <w:sz w:val="24"/>
          <w:szCs w:val="24"/>
          <w:lang w:val="en-US"/>
        </w:rPr>
        <w:t>；</w:t>
      </w:r>
      <w:r>
        <w:rPr>
          <w:sz w:val="24"/>
          <w:szCs w:val="24"/>
          <w:lang w:val="zh-CN"/>
        </w:rPr>
        <w:t>差旅费用减少</w:t>
      </w:r>
      <w:r>
        <w:rPr>
          <w:sz w:val="24"/>
          <w:szCs w:val="24"/>
          <w:lang w:val="en-US"/>
        </w:rPr>
        <w:t>0.70%</w:t>
      </w:r>
      <w:r>
        <w:rPr>
          <w:sz w:val="24"/>
          <w:szCs w:val="24"/>
          <w:lang w:val="en-US"/>
        </w:rPr>
        <w:t>；</w:t>
      </w:r>
      <w:r>
        <w:rPr>
          <w:sz w:val="24"/>
          <w:szCs w:val="24"/>
          <w:lang w:val="zh-CN"/>
        </w:rPr>
        <w:t>区域活动和会议费用增加</w:t>
      </w:r>
      <w:r>
        <w:rPr>
          <w:sz w:val="24"/>
          <w:szCs w:val="24"/>
          <w:lang w:val="en-US"/>
        </w:rPr>
        <w:t>0.30%</w:t>
      </w:r>
      <w:r>
        <w:rPr>
          <w:sz w:val="24"/>
          <w:szCs w:val="24"/>
          <w:lang w:val="en-US"/>
        </w:rPr>
        <w:t>；</w:t>
      </w:r>
      <w:r>
        <w:rPr>
          <w:sz w:val="24"/>
          <w:szCs w:val="24"/>
          <w:lang w:val="zh-CN"/>
        </w:rPr>
        <w:t>全球服务和咨询费用减少</w:t>
      </w:r>
      <w:r>
        <w:rPr>
          <w:sz w:val="24"/>
          <w:szCs w:val="24"/>
          <w:lang w:val="en-US"/>
        </w:rPr>
        <w:t>17.54%</w:t>
      </w:r>
      <w:r>
        <w:rPr>
          <w:sz w:val="24"/>
          <w:szCs w:val="24"/>
          <w:lang w:val="zh-CN"/>
        </w:rPr>
        <w:t>。</w:t>
      </w:r>
      <w:r>
        <w:rPr>
          <w:sz w:val="24"/>
          <w:szCs w:val="24"/>
        </w:rPr>
        <w:t xml:space="preserve"> </w:t>
      </w:r>
    </w:p>
    <w:p w14:paraId="5B3831FE" w14:textId="77777777" w:rsidR="00666293" w:rsidRDefault="00666293">
      <w:pPr>
        <w:pStyle w:val="Heading1"/>
        <w:numPr>
          <w:ilvl w:val="0"/>
          <w:numId w:val="0"/>
        </w:numPr>
        <w:topLinePunct/>
        <w:rPr>
          <w:i/>
          <w:sz w:val="24"/>
          <w:szCs w:val="24"/>
          <w:lang w:val="en-US"/>
        </w:rPr>
      </w:pPr>
      <w:r w:rsidRPr="00E51AFD">
        <w:rPr>
          <w:rFonts w:ascii="KaiTi" w:eastAsia="KaiTi" w:hAnsi="KaiTi"/>
          <w:sz w:val="24"/>
          <w:szCs w:val="24"/>
          <w:lang w:val="zh-CN"/>
        </w:rPr>
        <w:t>履约协助方案人员的改变</w:t>
      </w:r>
      <w:r>
        <w:rPr>
          <w:rStyle w:val="FootnoteReference"/>
          <w:sz w:val="24"/>
          <w:szCs w:val="24"/>
          <w:lang w:val="zh-CN"/>
        </w:rPr>
        <w:footnoteReference w:id="5"/>
      </w:r>
    </w:p>
    <w:p w14:paraId="15E2D742"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环境署根据</w:t>
      </w:r>
      <w:r>
        <w:rPr>
          <w:sz w:val="24"/>
          <w:szCs w:val="24"/>
          <w:lang w:val="en-US"/>
        </w:rPr>
        <w:t>2025</w:t>
      </w:r>
      <w:r>
        <w:rPr>
          <w:sz w:val="24"/>
          <w:szCs w:val="24"/>
          <w:lang w:val="zh-CN"/>
        </w:rPr>
        <w:t>年的在职职位人事费用</w:t>
      </w:r>
      <w:r>
        <w:rPr>
          <w:sz w:val="24"/>
          <w:szCs w:val="24"/>
          <w:lang w:val="en-US"/>
        </w:rPr>
        <w:t>，</w:t>
      </w:r>
      <w:r>
        <w:rPr>
          <w:sz w:val="24"/>
          <w:szCs w:val="24"/>
          <w:lang w:val="zh-CN"/>
        </w:rPr>
        <w:t>加上</w:t>
      </w:r>
      <w:r>
        <w:rPr>
          <w:sz w:val="24"/>
          <w:szCs w:val="24"/>
          <w:lang w:val="en-US"/>
        </w:rPr>
        <w:t>3.00%</w:t>
      </w:r>
      <w:r>
        <w:rPr>
          <w:sz w:val="24"/>
          <w:szCs w:val="24"/>
          <w:lang w:val="zh-CN"/>
        </w:rPr>
        <w:t>的通货膨胀调整数</w:t>
      </w:r>
      <w:r>
        <w:rPr>
          <w:sz w:val="24"/>
          <w:szCs w:val="24"/>
          <w:lang w:val="en-US"/>
        </w:rPr>
        <w:t>，</w:t>
      </w:r>
      <w:r>
        <w:rPr>
          <w:sz w:val="24"/>
          <w:szCs w:val="24"/>
          <w:lang w:val="zh-CN"/>
        </w:rPr>
        <w:t>制定了</w:t>
      </w:r>
      <w:r>
        <w:rPr>
          <w:sz w:val="24"/>
          <w:szCs w:val="24"/>
          <w:lang w:val="en-US"/>
        </w:rPr>
        <w:t>2026</w:t>
      </w:r>
      <w:r>
        <w:rPr>
          <w:sz w:val="24"/>
          <w:szCs w:val="24"/>
          <w:lang w:val="zh-CN"/>
        </w:rPr>
        <w:t>年的人事预算费用。对于空缺职位</w:t>
      </w:r>
      <w:r>
        <w:rPr>
          <w:sz w:val="24"/>
          <w:szCs w:val="24"/>
          <w:lang w:val="en-US"/>
        </w:rPr>
        <w:t>，</w:t>
      </w:r>
      <w:r>
        <w:rPr>
          <w:sz w:val="24"/>
          <w:szCs w:val="24"/>
          <w:lang w:val="zh-CN"/>
        </w:rPr>
        <w:t>环境署采用联合国</w:t>
      </w:r>
      <w:r>
        <w:rPr>
          <w:sz w:val="24"/>
          <w:szCs w:val="24"/>
          <w:lang w:val="en-US"/>
        </w:rPr>
        <w:t>2025</w:t>
      </w:r>
      <w:r>
        <w:rPr>
          <w:sz w:val="24"/>
          <w:szCs w:val="24"/>
          <w:lang w:val="zh-CN"/>
        </w:rPr>
        <w:t>年的官方标准费用。环境署不建议对</w:t>
      </w:r>
      <w:r>
        <w:rPr>
          <w:sz w:val="24"/>
          <w:szCs w:val="24"/>
          <w:lang w:val="en-US"/>
        </w:rPr>
        <w:t>2026</w:t>
      </w:r>
      <w:r>
        <w:rPr>
          <w:sz w:val="24"/>
          <w:szCs w:val="24"/>
          <w:lang w:val="zh-CN"/>
        </w:rPr>
        <w:t>年的人事费项目作出任何调整。依照关于审慎预算管理和组织韧性的内部指导方针，自</w:t>
      </w:r>
      <w:smartTag w:uri="urn:schemas-microsoft-com:office:smarttags" w:element="chsdate">
        <w:smartTagPr>
          <w:attr w:name="IsROCDate" w:val="False"/>
          <w:attr w:name="IsLunarDate" w:val="False"/>
          <w:attr w:name="Day" w:val="31"/>
          <w:attr w:name="Month" w:val="12"/>
          <w:attr w:name="Year" w:val="2025"/>
        </w:smartTagPr>
        <w:r>
          <w:rPr>
            <w:sz w:val="24"/>
            <w:szCs w:val="24"/>
            <w:lang w:val="zh-CN"/>
          </w:rPr>
          <w:t>2025</w:t>
        </w:r>
        <w:r>
          <w:rPr>
            <w:sz w:val="24"/>
            <w:szCs w:val="24"/>
            <w:lang w:val="zh-CN"/>
          </w:rPr>
          <w:t>年</w:t>
        </w:r>
        <w:r>
          <w:rPr>
            <w:sz w:val="24"/>
            <w:szCs w:val="24"/>
            <w:lang w:val="zh-CN"/>
          </w:rPr>
          <w:t>2</w:t>
        </w:r>
        <w:r>
          <w:rPr>
            <w:sz w:val="24"/>
            <w:szCs w:val="24"/>
            <w:lang w:val="zh-CN"/>
          </w:rPr>
          <w:t>月</w:t>
        </w:r>
        <w:r>
          <w:rPr>
            <w:sz w:val="24"/>
            <w:szCs w:val="24"/>
            <w:lang w:val="zh-CN"/>
          </w:rPr>
          <w:t>21</w:t>
        </w:r>
        <w:r>
          <w:rPr>
            <w:sz w:val="24"/>
            <w:szCs w:val="24"/>
            <w:lang w:val="zh-CN"/>
          </w:rPr>
          <w:t>日起</w:t>
        </w:r>
      </w:smartTag>
      <w:r>
        <w:rPr>
          <w:sz w:val="24"/>
          <w:szCs w:val="24"/>
          <w:lang w:val="zh-CN"/>
        </w:rPr>
        <w:t>，环境署所有为期一年或以上的职位空缺均以一年期定期任用合同（</w:t>
      </w:r>
      <w:r>
        <w:rPr>
          <w:sz w:val="24"/>
          <w:szCs w:val="24"/>
          <w:lang w:val="zh-CN"/>
        </w:rPr>
        <w:t>FTA</w:t>
      </w:r>
      <w:r>
        <w:rPr>
          <w:sz w:val="24"/>
          <w:szCs w:val="24"/>
          <w:lang w:val="zh-CN"/>
        </w:rPr>
        <w:t>）的形式发布招聘广告，臭氧行动处所有有待续签的定期任用职位目前最长续签一年。</w:t>
      </w:r>
      <w:r>
        <w:rPr>
          <w:sz w:val="24"/>
          <w:szCs w:val="24"/>
        </w:rPr>
        <w:t xml:space="preserve"> </w:t>
      </w:r>
    </w:p>
    <w:p w14:paraId="3A68CDBA" w14:textId="77777777" w:rsidR="00666293" w:rsidRPr="00E51AFD" w:rsidRDefault="00666293">
      <w:pPr>
        <w:topLinePunct/>
        <w:spacing w:after="240"/>
        <w:rPr>
          <w:rFonts w:ascii="KaiTi" w:eastAsia="KaiTi" w:hAnsi="KaiTi"/>
          <w:i/>
          <w:sz w:val="24"/>
          <w:szCs w:val="24"/>
          <w:lang w:val="en-US"/>
        </w:rPr>
      </w:pPr>
      <w:r w:rsidRPr="00E51AFD">
        <w:rPr>
          <w:rFonts w:ascii="KaiTi" w:eastAsia="KaiTi" w:hAnsi="KaiTi"/>
          <w:sz w:val="24"/>
          <w:szCs w:val="24"/>
          <w:lang w:val="zh-CN"/>
        </w:rPr>
        <w:t>全球咨询服务</w:t>
      </w:r>
    </w:p>
    <w:p w14:paraId="61A92EBC"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全球服务预算减少的原因是</w:t>
      </w:r>
      <w:r>
        <w:rPr>
          <w:sz w:val="24"/>
          <w:szCs w:val="24"/>
          <w:lang w:val="en-US"/>
        </w:rPr>
        <w:t>，</w:t>
      </w:r>
      <w:r>
        <w:rPr>
          <w:sz w:val="24"/>
          <w:szCs w:val="24"/>
          <w:lang w:val="en-US"/>
        </w:rPr>
        <w:t>2025</w:t>
      </w:r>
      <w:r>
        <w:rPr>
          <w:sz w:val="24"/>
          <w:szCs w:val="24"/>
          <w:lang w:val="zh-CN"/>
        </w:rPr>
        <w:t>年预算</w:t>
      </w:r>
      <w:r>
        <w:rPr>
          <w:sz w:val="24"/>
          <w:szCs w:val="24"/>
          <w:lang w:val="en-US"/>
        </w:rPr>
        <w:t>（</w:t>
      </w:r>
      <w:r>
        <w:rPr>
          <w:sz w:val="24"/>
          <w:szCs w:val="24"/>
          <w:lang w:val="zh-CN"/>
        </w:rPr>
        <w:t>预算项目</w:t>
      </w:r>
      <w:r>
        <w:rPr>
          <w:sz w:val="24"/>
          <w:szCs w:val="24"/>
          <w:lang w:val="en-US"/>
        </w:rPr>
        <w:t>3213</w:t>
      </w:r>
      <w:r>
        <w:rPr>
          <w:sz w:val="24"/>
          <w:szCs w:val="24"/>
          <w:lang w:val="en-US"/>
        </w:rPr>
        <w:t>）</w:t>
      </w:r>
      <w:r>
        <w:rPr>
          <w:sz w:val="24"/>
          <w:szCs w:val="24"/>
          <w:lang w:val="zh-CN"/>
        </w:rPr>
        <w:t>特别拨款</w:t>
      </w:r>
      <w:r>
        <w:rPr>
          <w:sz w:val="24"/>
          <w:szCs w:val="24"/>
          <w:lang w:val="en-US"/>
        </w:rPr>
        <w:t>15</w:t>
      </w:r>
      <w:r>
        <w:rPr>
          <w:sz w:val="24"/>
          <w:szCs w:val="24"/>
          <w:lang w:val="zh-CN"/>
        </w:rPr>
        <w:t>万美元</w:t>
      </w:r>
      <w:r>
        <w:rPr>
          <w:sz w:val="24"/>
          <w:szCs w:val="24"/>
          <w:lang w:val="en-US"/>
        </w:rPr>
        <w:t>，</w:t>
      </w:r>
      <w:r>
        <w:rPr>
          <w:sz w:val="24"/>
          <w:szCs w:val="24"/>
          <w:lang w:val="zh-CN"/>
        </w:rPr>
        <w:t>用于聘请能源效率专家协助第</w:t>
      </w:r>
      <w:r>
        <w:rPr>
          <w:sz w:val="24"/>
          <w:szCs w:val="24"/>
          <w:lang w:val="en-US"/>
        </w:rPr>
        <w:t>5</w:t>
      </w:r>
      <w:r>
        <w:rPr>
          <w:sz w:val="24"/>
          <w:szCs w:val="24"/>
          <w:lang w:val="zh-CN"/>
        </w:rPr>
        <w:t>条缔约国根据执行委员会的相关决定提交与能源效率相关的项目。环境署未要求为</w:t>
      </w:r>
      <w:r>
        <w:rPr>
          <w:sz w:val="24"/>
          <w:szCs w:val="24"/>
          <w:lang w:val="en-US"/>
        </w:rPr>
        <w:t>2026</w:t>
      </w:r>
      <w:r>
        <w:rPr>
          <w:sz w:val="24"/>
          <w:szCs w:val="24"/>
          <w:lang w:val="zh-CN"/>
        </w:rPr>
        <w:t>年续编此项预算项目。该项拨款本来就是短期拨款，并需在以后的履约协助方案预算中重新加以评估。</w:t>
      </w:r>
      <w:r>
        <w:rPr>
          <w:sz w:val="24"/>
          <w:szCs w:val="24"/>
        </w:rPr>
        <w:t xml:space="preserve"> </w:t>
      </w:r>
    </w:p>
    <w:p w14:paraId="3272DE28" w14:textId="77777777" w:rsidR="00666293" w:rsidRPr="00E51AFD" w:rsidRDefault="00666293">
      <w:pPr>
        <w:topLinePunct/>
        <w:spacing w:after="240"/>
        <w:rPr>
          <w:rFonts w:ascii="KaiTi" w:eastAsia="KaiTi" w:hAnsi="KaiTi"/>
          <w:i/>
          <w:sz w:val="24"/>
          <w:szCs w:val="24"/>
          <w:lang w:val="en-US"/>
        </w:rPr>
      </w:pPr>
      <w:r w:rsidRPr="00E51AFD">
        <w:rPr>
          <w:rFonts w:ascii="KaiTi" w:eastAsia="KaiTi" w:hAnsi="KaiTi"/>
          <w:sz w:val="24"/>
          <w:szCs w:val="24"/>
          <w:lang w:val="zh-CN"/>
        </w:rPr>
        <w:t>差旅、区域活动和会议以及办公场所和设备部分</w:t>
      </w:r>
    </w:p>
    <w:p w14:paraId="7BC161AB" w14:textId="77777777" w:rsidR="00666293" w:rsidRDefault="00666293">
      <w:pPr>
        <w:widowControl w:val="0"/>
        <w:numPr>
          <w:ilvl w:val="0"/>
          <w:numId w:val="1"/>
        </w:numPr>
        <w:tabs>
          <w:tab w:val="clear" w:pos="1985"/>
          <w:tab w:val="num" w:pos="0"/>
        </w:tabs>
        <w:topLinePunct/>
        <w:spacing w:after="240"/>
        <w:ind w:left="0"/>
        <w:outlineLvl w:val="0"/>
        <w:rPr>
          <w:sz w:val="24"/>
          <w:szCs w:val="24"/>
        </w:rPr>
      </w:pPr>
      <w:r>
        <w:rPr>
          <w:sz w:val="24"/>
          <w:szCs w:val="24"/>
          <w:lang w:val="zh-CN"/>
        </w:rPr>
        <w:t>这些部分的预算采用零增长方案</w:t>
      </w:r>
      <w:r>
        <w:rPr>
          <w:sz w:val="24"/>
          <w:szCs w:val="24"/>
          <w:lang w:val="en-US"/>
        </w:rPr>
        <w:t>，</w:t>
      </w:r>
      <w:r>
        <w:rPr>
          <w:sz w:val="24"/>
          <w:szCs w:val="24"/>
          <w:lang w:val="zh-CN"/>
        </w:rPr>
        <w:t>但作出微调</w:t>
      </w:r>
      <w:r>
        <w:rPr>
          <w:sz w:val="24"/>
          <w:szCs w:val="24"/>
          <w:lang w:val="en-US"/>
        </w:rPr>
        <w:t>，</w:t>
      </w:r>
      <w:r>
        <w:rPr>
          <w:sz w:val="24"/>
          <w:szCs w:val="24"/>
          <w:lang w:val="zh-CN"/>
        </w:rPr>
        <w:t>即差旅费预算减少</w:t>
      </w:r>
      <w:r>
        <w:rPr>
          <w:sz w:val="24"/>
          <w:szCs w:val="24"/>
          <w:lang w:val="en-US"/>
        </w:rPr>
        <w:t>4,000</w:t>
      </w:r>
      <w:r>
        <w:rPr>
          <w:sz w:val="24"/>
          <w:szCs w:val="24"/>
          <w:lang w:val="zh-CN"/>
        </w:rPr>
        <w:t>美元</w:t>
      </w:r>
      <w:r>
        <w:rPr>
          <w:sz w:val="24"/>
          <w:szCs w:val="24"/>
          <w:lang w:val="en-US"/>
        </w:rPr>
        <w:lastRenderedPageBreak/>
        <w:t>（</w:t>
      </w:r>
      <w:r>
        <w:rPr>
          <w:sz w:val="24"/>
          <w:szCs w:val="24"/>
          <w:lang w:val="en-US"/>
        </w:rPr>
        <w:t>0.70%</w:t>
      </w:r>
      <w:r>
        <w:rPr>
          <w:sz w:val="24"/>
          <w:szCs w:val="24"/>
          <w:lang w:val="en-US"/>
        </w:rPr>
        <w:t>），</w:t>
      </w:r>
      <w:r>
        <w:rPr>
          <w:sz w:val="24"/>
          <w:szCs w:val="24"/>
          <w:lang w:val="zh-CN"/>
        </w:rPr>
        <w:t>而区域活动和会议费用增加</w:t>
      </w:r>
      <w:r>
        <w:rPr>
          <w:sz w:val="24"/>
          <w:szCs w:val="24"/>
          <w:lang w:val="en-US"/>
        </w:rPr>
        <w:t>4,000</w:t>
      </w:r>
      <w:r>
        <w:rPr>
          <w:sz w:val="24"/>
          <w:szCs w:val="24"/>
          <w:lang w:val="zh-CN"/>
        </w:rPr>
        <w:t>美元</w:t>
      </w:r>
      <w:r>
        <w:rPr>
          <w:sz w:val="24"/>
          <w:szCs w:val="24"/>
          <w:lang w:val="en-US"/>
        </w:rPr>
        <w:t>（</w:t>
      </w:r>
      <w:r>
        <w:rPr>
          <w:sz w:val="24"/>
          <w:szCs w:val="24"/>
          <w:lang w:val="en-US"/>
        </w:rPr>
        <w:t>0.30%</w:t>
      </w:r>
      <w:r>
        <w:rPr>
          <w:sz w:val="24"/>
          <w:szCs w:val="24"/>
          <w:lang w:val="en-US"/>
        </w:rPr>
        <w:t>），</w:t>
      </w:r>
      <w:r>
        <w:rPr>
          <w:sz w:val="24"/>
          <w:szCs w:val="24"/>
          <w:lang w:val="zh-CN"/>
        </w:rPr>
        <w:t>两者相互抵消。</w:t>
      </w:r>
      <w:r>
        <w:rPr>
          <w:sz w:val="24"/>
          <w:szCs w:val="24"/>
          <w:vertAlign w:val="superscript"/>
          <w:lang w:val="zh-CN"/>
        </w:rPr>
        <w:footnoteReference w:id="6"/>
      </w:r>
    </w:p>
    <w:p w14:paraId="44CCE5B7" w14:textId="77777777" w:rsidR="00666293" w:rsidRPr="00E51AFD" w:rsidRDefault="00666293">
      <w:pPr>
        <w:keepNext/>
        <w:topLinePunct/>
        <w:spacing w:after="240"/>
        <w:rPr>
          <w:rFonts w:ascii="KaiTi" w:eastAsia="KaiTi" w:hAnsi="KaiTi"/>
          <w:i/>
          <w:sz w:val="24"/>
          <w:szCs w:val="24"/>
          <w:lang w:val="en-US"/>
        </w:rPr>
      </w:pPr>
      <w:r w:rsidRPr="008A1121">
        <w:rPr>
          <w:rFonts w:eastAsia="KaiTi"/>
          <w:sz w:val="24"/>
          <w:szCs w:val="24"/>
          <w:lang w:val="zh-CN"/>
        </w:rPr>
        <w:t>2024-2026</w:t>
      </w:r>
      <w:r w:rsidRPr="00E51AFD">
        <w:rPr>
          <w:rFonts w:ascii="KaiTi" w:eastAsia="KaiTi" w:hAnsi="KaiTi"/>
          <w:sz w:val="24"/>
          <w:szCs w:val="24"/>
          <w:lang w:val="zh-CN"/>
        </w:rPr>
        <w:t>年预算的比较</w:t>
      </w:r>
    </w:p>
    <w:p w14:paraId="03957C6B" w14:textId="77777777" w:rsidR="00666293" w:rsidRDefault="00666293">
      <w:pPr>
        <w:widowControl w:val="0"/>
        <w:numPr>
          <w:ilvl w:val="0"/>
          <w:numId w:val="1"/>
        </w:numPr>
        <w:tabs>
          <w:tab w:val="clear" w:pos="1985"/>
          <w:tab w:val="num" w:pos="0"/>
        </w:tabs>
        <w:topLinePunct/>
        <w:spacing w:after="240"/>
        <w:ind w:left="0"/>
        <w:outlineLvl w:val="0"/>
        <w:rPr>
          <w:sz w:val="24"/>
          <w:szCs w:val="24"/>
        </w:rPr>
      </w:pPr>
      <w:r>
        <w:rPr>
          <w:sz w:val="24"/>
          <w:szCs w:val="24"/>
          <w:lang w:val="zh-CN"/>
        </w:rPr>
        <w:t>如表</w:t>
      </w:r>
      <w:r>
        <w:rPr>
          <w:sz w:val="24"/>
          <w:szCs w:val="24"/>
          <w:lang w:val="zh-CN"/>
        </w:rPr>
        <w:t>1</w:t>
      </w:r>
      <w:r>
        <w:rPr>
          <w:sz w:val="24"/>
          <w:szCs w:val="24"/>
          <w:lang w:val="zh-CN"/>
        </w:rPr>
        <w:t>所示，依照第</w:t>
      </w:r>
      <w:r>
        <w:rPr>
          <w:sz w:val="24"/>
          <w:szCs w:val="24"/>
          <w:lang w:val="zh-CN"/>
        </w:rPr>
        <w:t>95/83</w:t>
      </w:r>
      <w:r>
        <w:rPr>
          <w:sz w:val="24"/>
          <w:szCs w:val="24"/>
          <w:lang w:val="zh-CN"/>
        </w:rPr>
        <w:t>号决定（</w:t>
      </w:r>
      <w:r>
        <w:rPr>
          <w:sz w:val="24"/>
          <w:szCs w:val="24"/>
          <w:lang w:val="zh-CN"/>
        </w:rPr>
        <w:t>c</w:t>
      </w:r>
      <w:r>
        <w:rPr>
          <w:sz w:val="24"/>
          <w:szCs w:val="24"/>
          <w:lang w:val="zh-CN"/>
        </w:rPr>
        <w:t>）（四）段的规定，</w:t>
      </w:r>
      <w:r>
        <w:rPr>
          <w:sz w:val="24"/>
          <w:szCs w:val="24"/>
          <w:vertAlign w:val="superscript"/>
          <w:lang w:val="zh-CN"/>
        </w:rPr>
        <w:footnoteReference w:id="7"/>
      </w:r>
      <w:r>
        <w:rPr>
          <w:sz w:val="24"/>
          <w:szCs w:val="24"/>
          <w:lang w:val="zh-CN"/>
        </w:rPr>
        <w:t>环境署比较了履约协助方案三年的预算</w:t>
      </w:r>
      <w:r>
        <w:rPr>
          <w:b/>
          <w:sz w:val="24"/>
          <w:szCs w:val="24"/>
          <w:lang w:val="zh-CN"/>
        </w:rPr>
        <w:t>。</w:t>
      </w:r>
    </w:p>
    <w:p w14:paraId="18D2CDAB" w14:textId="538C94D9" w:rsidR="00666293" w:rsidRPr="00F44A2E" w:rsidRDefault="00666293">
      <w:pPr>
        <w:keepNext/>
        <w:widowControl w:val="0"/>
        <w:topLinePunct/>
        <w:rPr>
          <w:b/>
        </w:rPr>
      </w:pPr>
      <w:r w:rsidRPr="00F44A2E">
        <w:rPr>
          <w:b/>
          <w:lang w:val="zh-CN"/>
        </w:rPr>
        <w:t>表</w:t>
      </w:r>
      <w:r w:rsidRPr="00F44A2E">
        <w:rPr>
          <w:b/>
          <w:lang w:val="en-US"/>
        </w:rPr>
        <w:t>1</w:t>
      </w:r>
      <w:r w:rsidR="00F44A2E">
        <w:rPr>
          <w:rFonts w:hint="eastAsia"/>
          <w:b/>
          <w:lang w:val="en-US"/>
        </w:rPr>
        <w:t xml:space="preserve">. </w:t>
      </w:r>
      <w:r w:rsidRPr="00F44A2E">
        <w:rPr>
          <w:b/>
          <w:lang w:val="zh-CN"/>
        </w:rPr>
        <w:t>履约协助方案</w:t>
      </w:r>
      <w:r w:rsidRPr="00F44A2E">
        <w:rPr>
          <w:b/>
          <w:lang w:val="zh-CN"/>
        </w:rPr>
        <w:t>2024-2026</w:t>
      </w:r>
      <w:r w:rsidRPr="00F44A2E">
        <w:rPr>
          <w:b/>
          <w:lang w:val="zh-CN"/>
        </w:rPr>
        <w:t>年预算</w:t>
      </w:r>
      <w:r w:rsidRPr="00F44A2E">
        <w:rPr>
          <w:b/>
          <w:lang w:val="zh-CN"/>
        </w:rPr>
        <w:t>(</w:t>
      </w:r>
      <w:r w:rsidRPr="00F44A2E">
        <w:rPr>
          <w:b/>
          <w:lang w:val="zh-CN"/>
        </w:rPr>
        <w:t>美元</w:t>
      </w:r>
      <w:r w:rsidRPr="00F44A2E">
        <w:rPr>
          <w:b/>
          <w:lang w:val="zh-CN"/>
        </w:rPr>
        <w:t>)</w:t>
      </w:r>
    </w:p>
    <w:tbl>
      <w:tblPr>
        <w:tblW w:w="9418" w:type="dxa"/>
        <w:tblInd w:w="-5" w:type="dxa"/>
        <w:tblLayout w:type="fixed"/>
        <w:tblCellMar>
          <w:left w:w="57" w:type="dxa"/>
          <w:right w:w="57" w:type="dxa"/>
        </w:tblCellMar>
        <w:tblLook w:val="00A0" w:firstRow="1" w:lastRow="0" w:firstColumn="1" w:lastColumn="0" w:noHBand="0" w:noVBand="0"/>
      </w:tblPr>
      <w:tblGrid>
        <w:gridCol w:w="1418"/>
        <w:gridCol w:w="1333"/>
        <w:gridCol w:w="1333"/>
        <w:gridCol w:w="1303"/>
        <w:gridCol w:w="1364"/>
        <w:gridCol w:w="1329"/>
        <w:gridCol w:w="1338"/>
      </w:tblGrid>
      <w:tr w:rsidR="00666293" w14:paraId="7D7B59C1" w14:textId="77777777">
        <w:trPr>
          <w:trHeight w:val="230"/>
          <w:tblHeader/>
        </w:trPr>
        <w:tc>
          <w:tcPr>
            <w:tcW w:w="1418"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tcPr>
          <w:p w14:paraId="6A28E6D2" w14:textId="77777777" w:rsidR="00666293" w:rsidRDefault="00666293">
            <w:pPr>
              <w:widowControl w:val="0"/>
              <w:topLinePunct/>
              <w:jc w:val="left"/>
              <w:rPr>
                <w:szCs w:val="24"/>
              </w:rPr>
            </w:pPr>
            <w:r>
              <w:rPr>
                <w:rFonts w:ascii="SimSun" w:hint="eastAsia"/>
                <w:b/>
                <w:sz w:val="20"/>
                <w:szCs w:val="24"/>
                <w:lang w:val="zh-CN"/>
              </w:rPr>
              <w:t>预算项目</w:t>
            </w:r>
          </w:p>
        </w:tc>
        <w:tc>
          <w:tcPr>
            <w:tcW w:w="3969" w:type="dxa"/>
            <w:gridSpan w:val="3"/>
            <w:tcBorders>
              <w:top w:val="single" w:sz="4" w:space="0" w:color="auto"/>
              <w:left w:val="single" w:sz="4" w:space="0" w:color="auto"/>
              <w:bottom w:val="single" w:sz="4" w:space="0" w:color="auto"/>
              <w:right w:val="single" w:sz="4" w:space="0" w:color="auto"/>
            </w:tcBorders>
            <w:noWrap/>
            <w:vAlign w:val="center"/>
          </w:tcPr>
          <w:p w14:paraId="3E2BEDFE" w14:textId="77777777" w:rsidR="00666293" w:rsidRDefault="00666293">
            <w:pPr>
              <w:widowControl w:val="0"/>
              <w:topLinePunct/>
              <w:jc w:val="center"/>
              <w:rPr>
                <w:b/>
                <w:color w:val="000000"/>
                <w:sz w:val="20"/>
                <w:szCs w:val="24"/>
              </w:rPr>
            </w:pPr>
            <w:r>
              <w:rPr>
                <w:b/>
                <w:color w:val="000000"/>
                <w:sz w:val="20"/>
                <w:szCs w:val="24"/>
              </w:rPr>
              <w:t>2024</w:t>
            </w:r>
          </w:p>
        </w:tc>
        <w:tc>
          <w:tcPr>
            <w:tcW w:w="2693" w:type="dxa"/>
            <w:gridSpan w:val="2"/>
            <w:tcBorders>
              <w:top w:val="single" w:sz="4" w:space="0" w:color="auto"/>
              <w:left w:val="single" w:sz="4" w:space="0" w:color="auto"/>
              <w:bottom w:val="single" w:sz="4" w:space="0" w:color="auto"/>
              <w:right w:val="single" w:sz="4" w:space="0" w:color="auto"/>
            </w:tcBorders>
            <w:noWrap/>
            <w:vAlign w:val="center"/>
          </w:tcPr>
          <w:p w14:paraId="3655EBBC" w14:textId="77777777" w:rsidR="00666293" w:rsidRDefault="00666293">
            <w:pPr>
              <w:widowControl w:val="0"/>
              <w:topLinePunct/>
              <w:jc w:val="center"/>
              <w:rPr>
                <w:b/>
                <w:color w:val="000000"/>
                <w:sz w:val="20"/>
                <w:szCs w:val="24"/>
              </w:rPr>
            </w:pPr>
            <w:r>
              <w:rPr>
                <w:b/>
                <w:color w:val="000000"/>
                <w:sz w:val="20"/>
                <w:szCs w:val="24"/>
              </w:rPr>
              <w:t>2025</w:t>
            </w:r>
          </w:p>
        </w:tc>
        <w:tc>
          <w:tcPr>
            <w:tcW w:w="1338" w:type="dxa"/>
            <w:tcBorders>
              <w:top w:val="single" w:sz="4" w:space="0" w:color="auto"/>
              <w:left w:val="single" w:sz="4" w:space="0" w:color="auto"/>
              <w:bottom w:val="single" w:sz="4" w:space="0" w:color="auto"/>
              <w:right w:val="single" w:sz="4" w:space="0" w:color="auto"/>
            </w:tcBorders>
            <w:noWrap/>
            <w:vAlign w:val="center"/>
          </w:tcPr>
          <w:p w14:paraId="1941698F" w14:textId="77777777" w:rsidR="00666293" w:rsidRDefault="00666293">
            <w:pPr>
              <w:widowControl w:val="0"/>
              <w:topLinePunct/>
              <w:jc w:val="center"/>
              <w:rPr>
                <w:b/>
                <w:color w:val="000000"/>
                <w:sz w:val="20"/>
                <w:szCs w:val="24"/>
              </w:rPr>
            </w:pPr>
            <w:r>
              <w:rPr>
                <w:b/>
                <w:color w:val="000000"/>
                <w:sz w:val="20"/>
                <w:szCs w:val="24"/>
              </w:rPr>
              <w:t>2026</w:t>
            </w:r>
          </w:p>
        </w:tc>
      </w:tr>
      <w:tr w:rsidR="00666293" w14:paraId="112425AA" w14:textId="77777777">
        <w:trPr>
          <w:trHeight w:val="71"/>
          <w:tblHeader/>
        </w:trPr>
        <w:tc>
          <w:tcPr>
            <w:tcW w:w="1418" w:type="dxa"/>
            <w:vMerge/>
            <w:tcBorders>
              <w:top w:val="single" w:sz="4" w:space="0" w:color="auto"/>
              <w:left w:val="single" w:sz="4" w:space="0" w:color="auto"/>
              <w:bottom w:val="single" w:sz="4" w:space="0" w:color="auto"/>
              <w:right w:val="single" w:sz="4" w:space="0" w:color="auto"/>
            </w:tcBorders>
            <w:vAlign w:val="center"/>
          </w:tcPr>
          <w:p w14:paraId="002F33E8" w14:textId="77777777" w:rsidR="00666293" w:rsidRDefault="00666293">
            <w:pPr>
              <w:widowControl w:val="0"/>
              <w:topLinePunct/>
              <w:jc w:val="left"/>
              <w:rPr>
                <w:b/>
                <w:color w:val="000000"/>
                <w:sz w:val="20"/>
                <w:szCs w:val="24"/>
                <w:lang w:val="en-GB"/>
              </w:rPr>
            </w:pP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DE70940" w14:textId="77777777" w:rsidR="00666293" w:rsidRDefault="00666293">
            <w:pPr>
              <w:widowControl w:val="0"/>
              <w:topLinePunct/>
              <w:jc w:val="center"/>
              <w:rPr>
                <w:szCs w:val="24"/>
              </w:rPr>
            </w:pPr>
            <w:r>
              <w:rPr>
                <w:rFonts w:ascii="SimSun" w:hint="eastAsia"/>
                <w:b/>
                <w:sz w:val="20"/>
                <w:szCs w:val="24"/>
                <w:lang w:val="zh-CN"/>
              </w:rPr>
              <w:t>已批准</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35A980C" w14:textId="77777777" w:rsidR="00666293" w:rsidRDefault="00666293">
            <w:pPr>
              <w:widowControl w:val="0"/>
              <w:topLinePunct/>
              <w:jc w:val="center"/>
              <w:rPr>
                <w:szCs w:val="24"/>
              </w:rPr>
            </w:pPr>
            <w:r>
              <w:rPr>
                <w:rFonts w:ascii="SimSun" w:hint="eastAsia"/>
                <w:b/>
                <w:sz w:val="20"/>
                <w:szCs w:val="24"/>
                <w:lang w:val="zh-CN"/>
              </w:rPr>
              <w:t>支出</w:t>
            </w:r>
          </w:p>
        </w:tc>
        <w:tc>
          <w:tcPr>
            <w:tcW w:w="130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87C447" w14:textId="77777777" w:rsidR="00666293" w:rsidRDefault="00666293">
            <w:pPr>
              <w:widowControl w:val="0"/>
              <w:topLinePunct/>
              <w:jc w:val="center"/>
              <w:rPr>
                <w:szCs w:val="24"/>
              </w:rPr>
            </w:pPr>
            <w:r>
              <w:rPr>
                <w:rFonts w:ascii="SimSun" w:hint="eastAsia"/>
                <w:b/>
                <w:sz w:val="20"/>
                <w:szCs w:val="24"/>
                <w:lang w:val="zh-CN"/>
              </w:rPr>
              <w:t>余额</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48188F3" w14:textId="77777777" w:rsidR="00666293" w:rsidRDefault="00666293">
            <w:pPr>
              <w:widowControl w:val="0"/>
              <w:topLinePunct/>
              <w:jc w:val="center"/>
              <w:rPr>
                <w:szCs w:val="24"/>
              </w:rPr>
            </w:pPr>
            <w:r>
              <w:rPr>
                <w:rFonts w:ascii="SimSun" w:hint="eastAsia"/>
                <w:b/>
                <w:sz w:val="20"/>
                <w:szCs w:val="24"/>
                <w:lang w:val="zh-CN"/>
              </w:rPr>
              <w:t>已批准</w:t>
            </w:r>
          </w:p>
        </w:tc>
        <w:tc>
          <w:tcPr>
            <w:tcW w:w="132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86F8BBF" w14:textId="77777777" w:rsidR="00666293" w:rsidRDefault="00666293">
            <w:pPr>
              <w:widowControl w:val="0"/>
              <w:topLinePunct/>
              <w:jc w:val="center"/>
              <w:rPr>
                <w:szCs w:val="24"/>
              </w:rPr>
            </w:pPr>
            <w:r>
              <w:rPr>
                <w:rFonts w:ascii="SimSun" w:hint="eastAsia"/>
                <w:b/>
                <w:sz w:val="20"/>
                <w:szCs w:val="24"/>
                <w:lang w:val="zh-CN"/>
              </w:rPr>
              <w:t>支出</w:t>
            </w:r>
            <w:r>
              <w:rPr>
                <w:sz w:val="20"/>
                <w:szCs w:val="24"/>
                <w:vertAlign w:val="superscript"/>
                <w:lang w:val="zh-CN"/>
              </w:rPr>
              <w:t>a</w:t>
            </w:r>
          </w:p>
        </w:tc>
        <w:tc>
          <w:tcPr>
            <w:tcW w:w="13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A510470" w14:textId="77777777" w:rsidR="00666293" w:rsidRDefault="00666293">
            <w:pPr>
              <w:widowControl w:val="0"/>
              <w:topLinePunct/>
              <w:jc w:val="center"/>
              <w:rPr>
                <w:szCs w:val="24"/>
              </w:rPr>
            </w:pPr>
            <w:r>
              <w:rPr>
                <w:rFonts w:ascii="SimSun" w:hint="eastAsia"/>
                <w:b/>
                <w:sz w:val="20"/>
                <w:szCs w:val="24"/>
                <w:lang w:val="zh-CN"/>
              </w:rPr>
              <w:t>拟议数额</w:t>
            </w:r>
          </w:p>
        </w:tc>
      </w:tr>
      <w:tr w:rsidR="00666293" w14:paraId="5B0AD769" w14:textId="77777777">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32C5B0AB" w14:textId="77777777" w:rsidR="00666293" w:rsidRDefault="00666293">
            <w:pPr>
              <w:widowControl w:val="0"/>
              <w:topLinePunct/>
              <w:jc w:val="left"/>
              <w:rPr>
                <w:szCs w:val="24"/>
              </w:rPr>
            </w:pPr>
            <w:r>
              <w:rPr>
                <w:rFonts w:ascii="SimSun" w:hint="eastAsia"/>
                <w:sz w:val="20"/>
                <w:szCs w:val="24"/>
                <w:lang w:val="zh-CN"/>
              </w:rPr>
              <w:t>人事和顾问费</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51755A7" w14:textId="77777777" w:rsidR="00666293" w:rsidRDefault="00666293">
            <w:pPr>
              <w:widowControl w:val="0"/>
              <w:topLinePunct/>
              <w:jc w:val="right"/>
              <w:rPr>
                <w:color w:val="000000"/>
                <w:sz w:val="20"/>
                <w:szCs w:val="24"/>
                <w:highlight w:val="yellow"/>
              </w:rPr>
            </w:pPr>
            <w:r>
              <w:rPr>
                <w:sz w:val="20"/>
                <w:szCs w:val="24"/>
              </w:rPr>
              <w:t>7,626,200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B3DD716" w14:textId="77777777" w:rsidR="00666293" w:rsidRDefault="00666293">
            <w:pPr>
              <w:widowControl w:val="0"/>
              <w:topLinePunct/>
              <w:jc w:val="right"/>
              <w:rPr>
                <w:color w:val="000000"/>
                <w:sz w:val="20"/>
                <w:szCs w:val="24"/>
                <w:highlight w:val="yellow"/>
              </w:rPr>
            </w:pPr>
            <w:r>
              <w:rPr>
                <w:sz w:val="20"/>
                <w:szCs w:val="24"/>
              </w:rPr>
              <w:t>6,743,871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7144A8" w14:textId="77777777" w:rsidR="00666293" w:rsidRDefault="00666293">
            <w:pPr>
              <w:widowControl w:val="0"/>
              <w:topLinePunct/>
              <w:jc w:val="right"/>
              <w:rPr>
                <w:color w:val="000000"/>
                <w:sz w:val="20"/>
                <w:szCs w:val="24"/>
              </w:rPr>
            </w:pPr>
            <w:r>
              <w:rPr>
                <w:sz w:val="20"/>
                <w:szCs w:val="24"/>
              </w:rPr>
              <w:t>882,329</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A639674" w14:textId="77777777" w:rsidR="00666293" w:rsidRDefault="00666293">
            <w:pPr>
              <w:widowControl w:val="0"/>
              <w:topLinePunct/>
              <w:jc w:val="right"/>
              <w:rPr>
                <w:color w:val="000000"/>
                <w:sz w:val="20"/>
                <w:szCs w:val="24"/>
                <w:highlight w:val="yellow"/>
              </w:rPr>
            </w:pPr>
            <w:r>
              <w:rPr>
                <w:sz w:val="20"/>
                <w:szCs w:val="24"/>
              </w:rPr>
              <w:t>7,854,531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98FCD89" w14:textId="77777777" w:rsidR="00666293" w:rsidRDefault="00666293">
            <w:pPr>
              <w:widowControl w:val="0"/>
              <w:topLinePunct/>
              <w:jc w:val="right"/>
              <w:rPr>
                <w:color w:val="000000"/>
                <w:sz w:val="20"/>
                <w:szCs w:val="24"/>
                <w:highlight w:val="yellow"/>
              </w:rPr>
            </w:pPr>
            <w:r>
              <w:rPr>
                <w:sz w:val="20"/>
                <w:szCs w:val="24"/>
              </w:rPr>
              <w:t>7,381,500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CCCE219" w14:textId="77777777" w:rsidR="00666293" w:rsidRDefault="00666293">
            <w:pPr>
              <w:widowControl w:val="0"/>
              <w:topLinePunct/>
              <w:jc w:val="right"/>
              <w:rPr>
                <w:color w:val="000000"/>
                <w:sz w:val="20"/>
                <w:szCs w:val="24"/>
              </w:rPr>
            </w:pPr>
            <w:r>
              <w:rPr>
                <w:color w:val="000000"/>
                <w:sz w:val="20"/>
                <w:szCs w:val="24"/>
              </w:rPr>
              <w:t>8,090,167</w:t>
            </w:r>
          </w:p>
        </w:tc>
      </w:tr>
      <w:tr w:rsidR="00666293" w14:paraId="6DA0EC4F" w14:textId="77777777">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49F6BA93" w14:textId="77777777" w:rsidR="00666293" w:rsidRDefault="00666293">
            <w:pPr>
              <w:widowControl w:val="0"/>
              <w:topLinePunct/>
              <w:jc w:val="left"/>
              <w:rPr>
                <w:szCs w:val="24"/>
              </w:rPr>
            </w:pPr>
            <w:r>
              <w:rPr>
                <w:rFonts w:ascii="SimSun" w:hint="eastAsia"/>
                <w:sz w:val="20"/>
                <w:szCs w:val="24"/>
                <w:lang w:val="zh-CN"/>
              </w:rPr>
              <w:t>差旅费</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96074AB" w14:textId="77777777" w:rsidR="00666293" w:rsidRDefault="00666293">
            <w:pPr>
              <w:widowControl w:val="0"/>
              <w:topLinePunct/>
              <w:jc w:val="right"/>
              <w:rPr>
                <w:color w:val="000000"/>
                <w:sz w:val="20"/>
                <w:szCs w:val="24"/>
                <w:highlight w:val="yellow"/>
              </w:rPr>
            </w:pPr>
            <w:r>
              <w:rPr>
                <w:sz w:val="20"/>
                <w:szCs w:val="24"/>
              </w:rPr>
              <w:t>548,000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46880BD" w14:textId="77777777" w:rsidR="00666293" w:rsidRDefault="00666293">
            <w:pPr>
              <w:widowControl w:val="0"/>
              <w:topLinePunct/>
              <w:jc w:val="right"/>
              <w:rPr>
                <w:color w:val="000000"/>
                <w:sz w:val="20"/>
                <w:szCs w:val="24"/>
                <w:highlight w:val="yellow"/>
              </w:rPr>
            </w:pPr>
            <w:r>
              <w:rPr>
                <w:sz w:val="20"/>
                <w:szCs w:val="24"/>
              </w:rPr>
              <w:t>548,000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81FAA7A" w14:textId="77777777" w:rsidR="00666293" w:rsidRDefault="00666293">
            <w:pPr>
              <w:widowControl w:val="0"/>
              <w:topLinePunct/>
              <w:jc w:val="right"/>
              <w:rPr>
                <w:color w:val="000000"/>
                <w:sz w:val="20"/>
                <w:szCs w:val="24"/>
                <w:highlight w:val="yellow"/>
              </w:rPr>
            </w:pPr>
            <w:r>
              <w:rPr>
                <w:sz w:val="20"/>
                <w:szCs w:val="24"/>
              </w:rPr>
              <w:t>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DBDFAA" w14:textId="77777777" w:rsidR="00666293" w:rsidRDefault="00666293">
            <w:pPr>
              <w:widowControl w:val="0"/>
              <w:topLinePunct/>
              <w:jc w:val="right"/>
              <w:rPr>
                <w:color w:val="000000"/>
                <w:sz w:val="20"/>
                <w:szCs w:val="24"/>
                <w:highlight w:val="yellow"/>
              </w:rPr>
            </w:pPr>
            <w:r>
              <w:rPr>
                <w:sz w:val="20"/>
                <w:szCs w:val="24"/>
              </w:rPr>
              <w:t>575,400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B205253" w14:textId="77777777" w:rsidR="00666293" w:rsidRDefault="00666293">
            <w:pPr>
              <w:widowControl w:val="0"/>
              <w:topLinePunct/>
              <w:jc w:val="right"/>
              <w:rPr>
                <w:color w:val="000000"/>
                <w:sz w:val="20"/>
                <w:szCs w:val="24"/>
                <w:highlight w:val="yellow"/>
              </w:rPr>
            </w:pPr>
            <w:r>
              <w:rPr>
                <w:sz w:val="20"/>
                <w:szCs w:val="24"/>
              </w:rPr>
              <w:t>575,400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20324A1" w14:textId="77777777" w:rsidR="00666293" w:rsidRDefault="00666293">
            <w:pPr>
              <w:widowControl w:val="0"/>
              <w:topLinePunct/>
              <w:jc w:val="right"/>
              <w:rPr>
                <w:color w:val="000000"/>
                <w:sz w:val="20"/>
                <w:szCs w:val="24"/>
              </w:rPr>
            </w:pPr>
            <w:r>
              <w:rPr>
                <w:color w:val="000000"/>
                <w:sz w:val="20"/>
                <w:szCs w:val="24"/>
              </w:rPr>
              <w:t>571,400</w:t>
            </w:r>
          </w:p>
        </w:tc>
      </w:tr>
      <w:tr w:rsidR="00666293" w14:paraId="3897EB41" w14:textId="77777777">
        <w:trPr>
          <w:trHeight w:val="42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519678E7" w14:textId="77777777" w:rsidR="00666293" w:rsidRDefault="00666293">
            <w:pPr>
              <w:widowControl w:val="0"/>
              <w:topLinePunct/>
              <w:jc w:val="left"/>
              <w:rPr>
                <w:szCs w:val="24"/>
              </w:rPr>
            </w:pPr>
            <w:r>
              <w:rPr>
                <w:rFonts w:ascii="SimSun" w:hint="eastAsia"/>
                <w:sz w:val="20"/>
                <w:szCs w:val="24"/>
                <w:lang w:val="zh-CN"/>
              </w:rPr>
              <w:t>区域活动和会议</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4A90678" w14:textId="77777777" w:rsidR="00666293" w:rsidRDefault="00666293">
            <w:pPr>
              <w:widowControl w:val="0"/>
              <w:topLinePunct/>
              <w:ind w:left="112"/>
              <w:jc w:val="right"/>
              <w:rPr>
                <w:szCs w:val="24"/>
              </w:rPr>
            </w:pPr>
            <w:r>
              <w:rPr>
                <w:noProof/>
                <w:sz w:val="20"/>
                <w:szCs w:val="24"/>
                <w:vertAlign w:val="superscript"/>
              </w:rPr>
              <w:t>b</w:t>
            </w:r>
            <w:r>
              <w:rPr>
                <w:noProof/>
                <w:sz w:val="20"/>
                <w:szCs w:val="24"/>
              </w:rPr>
              <w:t>1,117,000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369E730" w14:textId="77777777" w:rsidR="00666293" w:rsidRDefault="00666293">
            <w:pPr>
              <w:widowControl w:val="0"/>
              <w:topLinePunct/>
              <w:jc w:val="right"/>
              <w:rPr>
                <w:color w:val="000000"/>
                <w:sz w:val="20"/>
                <w:szCs w:val="24"/>
              </w:rPr>
            </w:pPr>
            <w:r>
              <w:rPr>
                <w:sz w:val="20"/>
                <w:szCs w:val="24"/>
              </w:rPr>
              <w:t>1,115,360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0D6DBC2" w14:textId="77777777" w:rsidR="00666293" w:rsidRDefault="00666293">
            <w:pPr>
              <w:widowControl w:val="0"/>
              <w:topLinePunct/>
              <w:jc w:val="right"/>
              <w:rPr>
                <w:color w:val="000000"/>
                <w:sz w:val="20"/>
                <w:szCs w:val="24"/>
              </w:rPr>
            </w:pPr>
            <w:r>
              <w:rPr>
                <w:sz w:val="20"/>
                <w:szCs w:val="24"/>
              </w:rPr>
              <w:t>1,640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DB9413F" w14:textId="77777777" w:rsidR="00666293" w:rsidRDefault="00666293">
            <w:pPr>
              <w:widowControl w:val="0"/>
              <w:topLinePunct/>
              <w:jc w:val="right"/>
              <w:rPr>
                <w:color w:val="000000"/>
                <w:sz w:val="20"/>
                <w:szCs w:val="24"/>
              </w:rPr>
            </w:pPr>
            <w:r>
              <w:rPr>
                <w:noProof/>
                <w:color w:val="000000"/>
                <w:sz w:val="20"/>
                <w:szCs w:val="24"/>
                <w:vertAlign w:val="superscript"/>
              </w:rPr>
              <w:t>c</w:t>
            </w:r>
            <w:r>
              <w:rPr>
                <w:noProof/>
                <w:sz w:val="20"/>
                <w:szCs w:val="24"/>
              </w:rPr>
              <w:t>1,316,400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708E853" w14:textId="77777777" w:rsidR="00666293" w:rsidRDefault="00666293">
            <w:pPr>
              <w:widowControl w:val="0"/>
              <w:topLinePunct/>
              <w:jc w:val="right"/>
              <w:rPr>
                <w:color w:val="000000"/>
                <w:sz w:val="20"/>
                <w:szCs w:val="24"/>
              </w:rPr>
            </w:pPr>
            <w:r>
              <w:rPr>
                <w:sz w:val="20"/>
                <w:szCs w:val="24"/>
              </w:rPr>
              <w:t>1,316,400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BC5A6AD" w14:textId="77777777" w:rsidR="00666293" w:rsidRDefault="00666293">
            <w:pPr>
              <w:widowControl w:val="0"/>
              <w:topLinePunct/>
              <w:jc w:val="right"/>
              <w:rPr>
                <w:color w:val="000000"/>
                <w:sz w:val="20"/>
                <w:szCs w:val="24"/>
              </w:rPr>
            </w:pPr>
            <w:r>
              <w:rPr>
                <w:color w:val="000000"/>
                <w:sz w:val="20"/>
                <w:szCs w:val="24"/>
              </w:rPr>
              <w:t>1,320,400</w:t>
            </w:r>
          </w:p>
        </w:tc>
      </w:tr>
      <w:tr w:rsidR="00666293" w14:paraId="3E408152" w14:textId="77777777">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3728DD21" w14:textId="77777777" w:rsidR="00666293" w:rsidRDefault="00666293">
            <w:pPr>
              <w:widowControl w:val="0"/>
              <w:topLinePunct/>
              <w:jc w:val="left"/>
              <w:rPr>
                <w:szCs w:val="24"/>
              </w:rPr>
            </w:pPr>
            <w:r>
              <w:rPr>
                <w:rFonts w:ascii="SimSun" w:hint="eastAsia"/>
                <w:sz w:val="20"/>
                <w:szCs w:val="24"/>
                <w:lang w:val="zh-CN"/>
              </w:rPr>
              <w:t>全球服务和会议支助</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B7FD87" w14:textId="77777777" w:rsidR="00666293" w:rsidRDefault="00666293">
            <w:pPr>
              <w:widowControl w:val="0"/>
              <w:topLinePunct/>
              <w:jc w:val="right"/>
              <w:rPr>
                <w:color w:val="000000"/>
                <w:sz w:val="20"/>
                <w:szCs w:val="24"/>
              </w:rPr>
            </w:pPr>
            <w:r>
              <w:rPr>
                <w:noProof/>
                <w:sz w:val="20"/>
                <w:szCs w:val="24"/>
                <w:vertAlign w:val="superscript"/>
              </w:rPr>
              <w:t>d</w:t>
            </w:r>
            <w:r>
              <w:rPr>
                <w:noProof/>
                <w:sz w:val="20"/>
                <w:szCs w:val="24"/>
              </w:rPr>
              <w:t xml:space="preserve">750,000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E85E2E8" w14:textId="77777777" w:rsidR="00666293" w:rsidRDefault="00666293">
            <w:pPr>
              <w:widowControl w:val="0"/>
              <w:topLinePunct/>
              <w:jc w:val="right"/>
              <w:rPr>
                <w:color w:val="000000"/>
                <w:sz w:val="20"/>
                <w:szCs w:val="24"/>
              </w:rPr>
            </w:pPr>
            <w:r>
              <w:rPr>
                <w:sz w:val="20"/>
                <w:szCs w:val="24"/>
              </w:rPr>
              <w:t>407,088</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15EC755" w14:textId="77777777" w:rsidR="00666293" w:rsidRDefault="00666293">
            <w:pPr>
              <w:widowControl w:val="0"/>
              <w:topLinePunct/>
              <w:jc w:val="right"/>
              <w:rPr>
                <w:color w:val="000000"/>
                <w:sz w:val="20"/>
                <w:szCs w:val="24"/>
              </w:rPr>
            </w:pPr>
            <w:r>
              <w:rPr>
                <w:sz w:val="20"/>
                <w:szCs w:val="24"/>
              </w:rPr>
              <w:t>342,912</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C11D4D4" w14:textId="77777777" w:rsidR="00666293" w:rsidRDefault="00666293">
            <w:pPr>
              <w:widowControl w:val="0"/>
              <w:topLinePunct/>
              <w:jc w:val="right"/>
              <w:rPr>
                <w:color w:val="000000"/>
                <w:sz w:val="20"/>
                <w:szCs w:val="24"/>
              </w:rPr>
            </w:pPr>
            <w:r>
              <w:rPr>
                <w:noProof/>
                <w:sz w:val="20"/>
                <w:szCs w:val="24"/>
                <w:vertAlign w:val="superscript"/>
              </w:rPr>
              <w:t>e</w:t>
            </w:r>
            <w:r>
              <w:rPr>
                <w:noProof/>
                <w:sz w:val="20"/>
                <w:szCs w:val="24"/>
              </w:rPr>
              <w:t>855,000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31EB7C2" w14:textId="77777777" w:rsidR="00666293" w:rsidRDefault="00666293">
            <w:pPr>
              <w:widowControl w:val="0"/>
              <w:topLinePunct/>
              <w:jc w:val="right"/>
              <w:rPr>
                <w:color w:val="000000"/>
                <w:sz w:val="20"/>
                <w:szCs w:val="24"/>
              </w:rPr>
            </w:pPr>
            <w:r>
              <w:rPr>
                <w:sz w:val="20"/>
                <w:szCs w:val="24"/>
              </w:rPr>
              <w:t>725,000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C7C7926" w14:textId="77777777" w:rsidR="00666293" w:rsidRDefault="00666293">
            <w:pPr>
              <w:widowControl w:val="0"/>
              <w:topLinePunct/>
              <w:jc w:val="right"/>
              <w:rPr>
                <w:color w:val="000000"/>
                <w:sz w:val="20"/>
                <w:szCs w:val="24"/>
              </w:rPr>
            </w:pPr>
            <w:r>
              <w:rPr>
                <w:color w:val="000000"/>
                <w:sz w:val="20"/>
                <w:szCs w:val="24"/>
              </w:rPr>
              <w:t>705,000</w:t>
            </w:r>
          </w:p>
        </w:tc>
      </w:tr>
      <w:tr w:rsidR="00666293" w14:paraId="127FC497" w14:textId="77777777">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4BADEA73" w14:textId="77777777" w:rsidR="00666293" w:rsidRDefault="00666293">
            <w:pPr>
              <w:widowControl w:val="0"/>
              <w:topLinePunct/>
              <w:jc w:val="left"/>
              <w:rPr>
                <w:szCs w:val="24"/>
              </w:rPr>
            </w:pPr>
            <w:r>
              <w:rPr>
                <w:rFonts w:ascii="SimSun" w:hint="eastAsia"/>
                <w:sz w:val="20"/>
                <w:szCs w:val="24"/>
                <w:lang w:val="zh-CN"/>
              </w:rPr>
              <w:t>办公室和设备</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A081870" w14:textId="77777777" w:rsidR="00666293" w:rsidRDefault="00666293">
            <w:pPr>
              <w:widowControl w:val="0"/>
              <w:topLinePunct/>
              <w:jc w:val="right"/>
              <w:rPr>
                <w:color w:val="000000"/>
                <w:sz w:val="20"/>
                <w:szCs w:val="24"/>
                <w:highlight w:val="yellow"/>
              </w:rPr>
            </w:pPr>
            <w:r>
              <w:rPr>
                <w:sz w:val="20"/>
                <w:szCs w:val="24"/>
              </w:rPr>
              <w:t>590,000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39E78A6" w14:textId="77777777" w:rsidR="00666293" w:rsidRDefault="00666293">
            <w:pPr>
              <w:widowControl w:val="0"/>
              <w:topLinePunct/>
              <w:jc w:val="right"/>
              <w:rPr>
                <w:color w:val="000000"/>
                <w:sz w:val="20"/>
                <w:szCs w:val="24"/>
                <w:highlight w:val="yellow"/>
              </w:rPr>
            </w:pPr>
            <w:r>
              <w:rPr>
                <w:sz w:val="20"/>
                <w:szCs w:val="24"/>
              </w:rPr>
              <w:t>480,575</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1874ABB" w14:textId="77777777" w:rsidR="00666293" w:rsidRDefault="00666293">
            <w:pPr>
              <w:widowControl w:val="0"/>
              <w:topLinePunct/>
              <w:jc w:val="right"/>
              <w:rPr>
                <w:color w:val="000000"/>
                <w:sz w:val="20"/>
                <w:szCs w:val="24"/>
                <w:highlight w:val="yellow"/>
              </w:rPr>
            </w:pPr>
            <w:r>
              <w:rPr>
                <w:sz w:val="20"/>
                <w:szCs w:val="24"/>
              </w:rPr>
              <w:t>109,425</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4A93EB" w14:textId="77777777" w:rsidR="00666293" w:rsidRDefault="00666293">
            <w:pPr>
              <w:widowControl w:val="0"/>
              <w:topLinePunct/>
              <w:jc w:val="right"/>
              <w:rPr>
                <w:color w:val="000000"/>
                <w:sz w:val="20"/>
                <w:szCs w:val="24"/>
                <w:highlight w:val="yellow"/>
              </w:rPr>
            </w:pPr>
            <w:r>
              <w:rPr>
                <w:sz w:val="20"/>
                <w:szCs w:val="24"/>
              </w:rPr>
              <w:t>590,000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E1969C0" w14:textId="77777777" w:rsidR="00666293" w:rsidRDefault="00666293">
            <w:pPr>
              <w:widowControl w:val="0"/>
              <w:topLinePunct/>
              <w:jc w:val="right"/>
              <w:rPr>
                <w:color w:val="000000"/>
                <w:sz w:val="20"/>
                <w:szCs w:val="24"/>
                <w:highlight w:val="yellow"/>
              </w:rPr>
            </w:pPr>
            <w:r>
              <w:rPr>
                <w:sz w:val="20"/>
                <w:szCs w:val="24"/>
              </w:rPr>
              <w:t>570,000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FFAC5B7" w14:textId="77777777" w:rsidR="00666293" w:rsidRDefault="00666293">
            <w:pPr>
              <w:widowControl w:val="0"/>
              <w:topLinePunct/>
              <w:jc w:val="right"/>
              <w:rPr>
                <w:color w:val="000000"/>
                <w:sz w:val="20"/>
                <w:szCs w:val="24"/>
              </w:rPr>
            </w:pPr>
            <w:r>
              <w:rPr>
                <w:color w:val="000000"/>
                <w:sz w:val="20"/>
                <w:szCs w:val="24"/>
              </w:rPr>
              <w:t>590,000</w:t>
            </w:r>
          </w:p>
        </w:tc>
      </w:tr>
      <w:tr w:rsidR="00666293" w14:paraId="6CE7F589" w14:textId="77777777">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4AA596CB" w14:textId="77777777" w:rsidR="00666293" w:rsidRDefault="00666293">
            <w:pPr>
              <w:widowControl w:val="0"/>
              <w:topLinePunct/>
              <w:jc w:val="left"/>
              <w:rPr>
                <w:szCs w:val="24"/>
              </w:rPr>
            </w:pPr>
            <w:r>
              <w:rPr>
                <w:rFonts w:ascii="SimSun" w:hint="eastAsia"/>
                <w:b/>
                <w:sz w:val="20"/>
                <w:szCs w:val="24"/>
                <w:lang w:val="zh-CN"/>
              </w:rPr>
              <w:t>小计</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D96BD97" w14:textId="77777777" w:rsidR="00666293" w:rsidRDefault="00666293">
            <w:pPr>
              <w:widowControl w:val="0"/>
              <w:topLinePunct/>
              <w:jc w:val="right"/>
              <w:rPr>
                <w:b/>
                <w:color w:val="000000"/>
                <w:sz w:val="20"/>
                <w:szCs w:val="24"/>
                <w:highlight w:val="yellow"/>
              </w:rPr>
            </w:pPr>
            <w:r>
              <w:rPr>
                <w:b/>
                <w:sz w:val="20"/>
                <w:szCs w:val="24"/>
              </w:rPr>
              <w:t>10,631,200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AF42D83" w14:textId="77777777" w:rsidR="00666293" w:rsidRDefault="00666293">
            <w:pPr>
              <w:widowControl w:val="0"/>
              <w:topLinePunct/>
              <w:jc w:val="right"/>
              <w:rPr>
                <w:b/>
                <w:color w:val="000000"/>
                <w:sz w:val="20"/>
                <w:szCs w:val="24"/>
                <w:highlight w:val="yellow"/>
              </w:rPr>
            </w:pPr>
            <w:r>
              <w:rPr>
                <w:b/>
                <w:sz w:val="20"/>
                <w:szCs w:val="24"/>
              </w:rPr>
              <w:t>9,294,894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482C464" w14:textId="77777777" w:rsidR="00666293" w:rsidRDefault="00666293">
            <w:pPr>
              <w:widowControl w:val="0"/>
              <w:topLinePunct/>
              <w:jc w:val="right"/>
              <w:rPr>
                <w:b/>
                <w:sz w:val="20"/>
                <w:szCs w:val="24"/>
                <w:highlight w:val="yellow"/>
              </w:rPr>
            </w:pPr>
            <w:r>
              <w:rPr>
                <w:b/>
                <w:sz w:val="20"/>
                <w:szCs w:val="24"/>
              </w:rPr>
              <w:t>1,336,306</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7B52D4F" w14:textId="77777777" w:rsidR="00666293" w:rsidRDefault="00666293">
            <w:pPr>
              <w:widowControl w:val="0"/>
              <w:topLinePunct/>
              <w:jc w:val="right"/>
              <w:rPr>
                <w:b/>
                <w:color w:val="000000"/>
                <w:sz w:val="20"/>
                <w:szCs w:val="24"/>
                <w:highlight w:val="yellow"/>
              </w:rPr>
            </w:pPr>
            <w:r>
              <w:rPr>
                <w:b/>
                <w:sz w:val="20"/>
                <w:szCs w:val="24"/>
              </w:rPr>
              <w:t>11,191,331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C9808A3" w14:textId="77777777" w:rsidR="00666293" w:rsidRDefault="00666293">
            <w:pPr>
              <w:widowControl w:val="0"/>
              <w:topLinePunct/>
              <w:jc w:val="right"/>
              <w:rPr>
                <w:b/>
                <w:color w:val="000000"/>
                <w:sz w:val="20"/>
                <w:szCs w:val="24"/>
                <w:highlight w:val="yellow"/>
              </w:rPr>
            </w:pPr>
            <w:r>
              <w:rPr>
                <w:b/>
                <w:sz w:val="20"/>
                <w:szCs w:val="24"/>
              </w:rPr>
              <w:t>10,568,300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90465B" w14:textId="77777777" w:rsidR="00666293" w:rsidRDefault="00666293">
            <w:pPr>
              <w:widowControl w:val="0"/>
              <w:topLinePunct/>
              <w:jc w:val="right"/>
              <w:rPr>
                <w:b/>
                <w:color w:val="000000"/>
                <w:sz w:val="20"/>
                <w:szCs w:val="24"/>
              </w:rPr>
            </w:pPr>
            <w:r>
              <w:rPr>
                <w:b/>
                <w:color w:val="000000"/>
                <w:sz w:val="20"/>
                <w:szCs w:val="24"/>
              </w:rPr>
              <w:t>11,276,967</w:t>
            </w:r>
          </w:p>
        </w:tc>
      </w:tr>
      <w:tr w:rsidR="00666293" w14:paraId="7DEE884C" w14:textId="77777777">
        <w:trPr>
          <w:trHeight w:val="476"/>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19C378DD" w14:textId="77777777" w:rsidR="00666293" w:rsidRDefault="00666293">
            <w:pPr>
              <w:widowControl w:val="0"/>
              <w:topLinePunct/>
              <w:jc w:val="left"/>
              <w:rPr>
                <w:szCs w:val="24"/>
              </w:rPr>
            </w:pPr>
            <w:r>
              <w:rPr>
                <w:rFonts w:ascii="SimSun" w:hint="eastAsia"/>
                <w:sz w:val="20"/>
                <w:szCs w:val="24"/>
                <w:lang w:val="zh-CN"/>
              </w:rPr>
              <w:t>方案支助费用</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B0085EE" w14:textId="77777777" w:rsidR="00666293" w:rsidRDefault="00666293">
            <w:pPr>
              <w:widowControl w:val="0"/>
              <w:topLinePunct/>
              <w:jc w:val="right"/>
              <w:rPr>
                <w:color w:val="000000"/>
                <w:sz w:val="20"/>
                <w:szCs w:val="24"/>
                <w:highlight w:val="yellow"/>
              </w:rPr>
            </w:pPr>
            <w:r>
              <w:rPr>
                <w:sz w:val="20"/>
                <w:szCs w:val="24"/>
              </w:rPr>
              <w:t>850,496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E1EFEE2" w14:textId="77777777" w:rsidR="00666293" w:rsidRDefault="00666293">
            <w:pPr>
              <w:widowControl w:val="0"/>
              <w:topLinePunct/>
              <w:jc w:val="right"/>
              <w:rPr>
                <w:color w:val="000000"/>
                <w:sz w:val="20"/>
                <w:szCs w:val="24"/>
                <w:highlight w:val="yellow"/>
              </w:rPr>
            </w:pPr>
            <w:r>
              <w:rPr>
                <w:sz w:val="20"/>
                <w:szCs w:val="24"/>
              </w:rPr>
              <w:t>743,592</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6251504" w14:textId="77777777" w:rsidR="00666293" w:rsidRDefault="00666293">
            <w:pPr>
              <w:widowControl w:val="0"/>
              <w:topLinePunct/>
              <w:jc w:val="right"/>
              <w:rPr>
                <w:color w:val="000000"/>
                <w:sz w:val="20"/>
                <w:szCs w:val="24"/>
                <w:highlight w:val="yellow"/>
              </w:rPr>
            </w:pPr>
            <w:r>
              <w:rPr>
                <w:sz w:val="20"/>
                <w:szCs w:val="24"/>
              </w:rPr>
              <w:t>106,904</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7A43064" w14:textId="77777777" w:rsidR="00666293" w:rsidRDefault="00666293">
            <w:pPr>
              <w:widowControl w:val="0"/>
              <w:topLinePunct/>
              <w:jc w:val="right"/>
              <w:rPr>
                <w:color w:val="000000"/>
                <w:sz w:val="20"/>
                <w:szCs w:val="24"/>
              </w:rPr>
            </w:pPr>
            <w:r>
              <w:rPr>
                <w:color w:val="000000"/>
                <w:sz w:val="20"/>
                <w:szCs w:val="24"/>
              </w:rPr>
              <w:t>895,306</w:t>
            </w:r>
          </w:p>
          <w:p w14:paraId="30E1426C" w14:textId="77777777" w:rsidR="00666293" w:rsidRDefault="00666293">
            <w:pPr>
              <w:widowControl w:val="0"/>
              <w:topLinePunct/>
              <w:jc w:val="right"/>
              <w:rPr>
                <w:color w:val="000000"/>
                <w:sz w:val="20"/>
                <w:szCs w:val="24"/>
                <w:highlight w:val="yellow"/>
              </w:rPr>
            </w:pP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CBDF7C2" w14:textId="77777777" w:rsidR="00666293" w:rsidRDefault="00666293">
            <w:pPr>
              <w:widowControl w:val="0"/>
              <w:topLinePunct/>
              <w:jc w:val="right"/>
              <w:rPr>
                <w:color w:val="000000"/>
                <w:sz w:val="20"/>
                <w:szCs w:val="24"/>
                <w:highlight w:val="yellow"/>
              </w:rPr>
            </w:pPr>
            <w:r>
              <w:rPr>
                <w:color w:val="000000"/>
                <w:sz w:val="20"/>
                <w:szCs w:val="24"/>
              </w:rPr>
              <w:t>845,464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D6B51B" w14:textId="77777777" w:rsidR="00666293" w:rsidRDefault="00666293">
            <w:pPr>
              <w:widowControl w:val="0"/>
              <w:topLinePunct/>
              <w:jc w:val="right"/>
              <w:rPr>
                <w:color w:val="000000"/>
                <w:sz w:val="20"/>
                <w:szCs w:val="24"/>
                <w:highlight w:val="yellow"/>
              </w:rPr>
            </w:pPr>
            <w:r>
              <w:rPr>
                <w:color w:val="000000"/>
                <w:sz w:val="20"/>
                <w:szCs w:val="24"/>
              </w:rPr>
              <w:t>902,157</w:t>
            </w:r>
          </w:p>
        </w:tc>
      </w:tr>
      <w:tr w:rsidR="00666293" w14:paraId="7790D6DA" w14:textId="77777777">
        <w:trPr>
          <w:trHeight w:val="7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42EFD45B" w14:textId="77777777" w:rsidR="00666293" w:rsidRDefault="00666293">
            <w:pPr>
              <w:widowControl w:val="0"/>
              <w:topLinePunct/>
              <w:jc w:val="left"/>
              <w:rPr>
                <w:szCs w:val="24"/>
              </w:rPr>
            </w:pPr>
            <w:r>
              <w:rPr>
                <w:rFonts w:ascii="SimSun" w:hint="eastAsia"/>
                <w:b/>
                <w:sz w:val="20"/>
                <w:szCs w:val="24"/>
                <w:lang w:val="zh-CN"/>
              </w:rPr>
              <w:t>共计</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5B26D92" w14:textId="77777777" w:rsidR="00666293" w:rsidRDefault="00666293">
            <w:pPr>
              <w:widowControl w:val="0"/>
              <w:topLinePunct/>
              <w:jc w:val="right"/>
              <w:rPr>
                <w:b/>
                <w:color w:val="000000"/>
                <w:sz w:val="20"/>
                <w:szCs w:val="24"/>
                <w:highlight w:val="yellow"/>
              </w:rPr>
            </w:pPr>
            <w:r>
              <w:rPr>
                <w:b/>
                <w:sz w:val="20"/>
                <w:szCs w:val="24"/>
              </w:rPr>
              <w:t>11,481,696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9222A98" w14:textId="77777777" w:rsidR="00666293" w:rsidRDefault="00666293">
            <w:pPr>
              <w:widowControl w:val="0"/>
              <w:topLinePunct/>
              <w:jc w:val="right"/>
              <w:rPr>
                <w:b/>
                <w:color w:val="000000"/>
                <w:sz w:val="20"/>
                <w:szCs w:val="24"/>
                <w:highlight w:val="yellow"/>
              </w:rPr>
            </w:pPr>
            <w:r>
              <w:rPr>
                <w:b/>
                <w:sz w:val="20"/>
                <w:szCs w:val="24"/>
              </w:rPr>
              <w:t>10,038,486</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C8D7AC" w14:textId="77777777" w:rsidR="00666293" w:rsidRDefault="00666293">
            <w:pPr>
              <w:widowControl w:val="0"/>
              <w:topLinePunct/>
              <w:jc w:val="right"/>
              <w:rPr>
                <w:b/>
                <w:color w:val="000000"/>
                <w:sz w:val="20"/>
                <w:szCs w:val="24"/>
                <w:highlight w:val="yellow"/>
              </w:rPr>
            </w:pPr>
            <w:r>
              <w:rPr>
                <w:b/>
                <w:sz w:val="20"/>
                <w:szCs w:val="24"/>
              </w:rPr>
              <w:t xml:space="preserve"> </w:t>
            </w:r>
            <w:r>
              <w:rPr>
                <w:noProof/>
                <w:color w:val="000000"/>
                <w:sz w:val="20"/>
                <w:szCs w:val="24"/>
                <w:vertAlign w:val="superscript"/>
              </w:rPr>
              <w:t>f</w:t>
            </w:r>
            <w:r>
              <w:rPr>
                <w:b/>
                <w:noProof/>
                <w:sz w:val="20"/>
                <w:szCs w:val="24"/>
              </w:rPr>
              <w:t>1,443,210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A069BC8" w14:textId="77777777" w:rsidR="00666293" w:rsidRDefault="00666293">
            <w:pPr>
              <w:widowControl w:val="0"/>
              <w:topLinePunct/>
              <w:jc w:val="right"/>
              <w:rPr>
                <w:b/>
                <w:color w:val="000000"/>
                <w:sz w:val="20"/>
                <w:szCs w:val="24"/>
              </w:rPr>
            </w:pPr>
            <w:r>
              <w:rPr>
                <w:b/>
                <w:color w:val="000000"/>
                <w:sz w:val="20"/>
                <w:szCs w:val="24"/>
              </w:rPr>
              <w:t>12,086,637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930746" w14:textId="77777777" w:rsidR="00666293" w:rsidRDefault="00666293">
            <w:pPr>
              <w:widowControl w:val="0"/>
              <w:topLinePunct/>
              <w:jc w:val="right"/>
              <w:rPr>
                <w:b/>
                <w:color w:val="000000"/>
                <w:sz w:val="20"/>
                <w:szCs w:val="24"/>
                <w:highlight w:val="yellow"/>
              </w:rPr>
            </w:pPr>
            <w:r>
              <w:rPr>
                <w:b/>
                <w:color w:val="000000"/>
                <w:sz w:val="20"/>
                <w:szCs w:val="24"/>
              </w:rPr>
              <w:t>11,413,764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8AC413" w14:textId="77777777" w:rsidR="00666293" w:rsidRDefault="00666293">
            <w:pPr>
              <w:widowControl w:val="0"/>
              <w:topLinePunct/>
              <w:jc w:val="right"/>
              <w:rPr>
                <w:b/>
                <w:color w:val="000000"/>
                <w:sz w:val="20"/>
                <w:szCs w:val="24"/>
                <w:highlight w:val="yellow"/>
              </w:rPr>
            </w:pPr>
            <w:r>
              <w:rPr>
                <w:b/>
                <w:color w:val="000000"/>
                <w:sz w:val="20"/>
                <w:szCs w:val="24"/>
              </w:rPr>
              <w:t>12,179,124</w:t>
            </w:r>
          </w:p>
        </w:tc>
      </w:tr>
    </w:tbl>
    <w:p w14:paraId="0A8F741E" w14:textId="77777777" w:rsidR="00666293" w:rsidRDefault="00666293">
      <w:pPr>
        <w:widowControl w:val="0"/>
        <w:topLinePunct/>
        <w:rPr>
          <w:sz w:val="19"/>
          <w:szCs w:val="24"/>
          <w:lang w:val="en-US"/>
        </w:rPr>
      </w:pPr>
      <w:r>
        <w:rPr>
          <w:sz w:val="19"/>
          <w:szCs w:val="24"/>
          <w:vertAlign w:val="superscript"/>
          <w:lang w:val="zh-CN"/>
        </w:rPr>
        <w:t>a</w:t>
      </w:r>
      <w:r>
        <w:rPr>
          <w:sz w:val="19"/>
          <w:szCs w:val="24"/>
          <w:lang w:val="zh-CN"/>
        </w:rPr>
        <w:t xml:space="preserve"> </w:t>
      </w:r>
      <w:r>
        <w:rPr>
          <w:rFonts w:ascii="SimSun" w:hint="eastAsia"/>
          <w:sz w:val="19"/>
          <w:szCs w:val="24"/>
          <w:lang w:val="zh-CN"/>
        </w:rPr>
        <w:t>截至</w:t>
      </w:r>
      <w:r>
        <w:rPr>
          <w:sz w:val="19"/>
          <w:szCs w:val="24"/>
          <w:lang w:val="zh-CN"/>
        </w:rPr>
        <w:t>2025</w:t>
      </w:r>
      <w:r>
        <w:rPr>
          <w:rFonts w:ascii="SimSun" w:hint="eastAsia"/>
          <w:sz w:val="19"/>
          <w:szCs w:val="24"/>
          <w:lang w:val="zh-CN"/>
        </w:rPr>
        <w:t>年</w:t>
      </w:r>
      <w:r>
        <w:rPr>
          <w:sz w:val="19"/>
          <w:szCs w:val="24"/>
          <w:lang w:val="zh-CN"/>
        </w:rPr>
        <w:t>12</w:t>
      </w:r>
      <w:r>
        <w:rPr>
          <w:rFonts w:ascii="SimSun" w:hint="eastAsia"/>
          <w:sz w:val="19"/>
          <w:szCs w:val="24"/>
          <w:lang w:val="zh-CN"/>
        </w:rPr>
        <w:t>月</w:t>
      </w:r>
      <w:r>
        <w:rPr>
          <w:sz w:val="19"/>
          <w:szCs w:val="24"/>
          <w:lang w:val="zh-CN"/>
        </w:rPr>
        <w:t>31</w:t>
      </w:r>
      <w:r>
        <w:rPr>
          <w:rFonts w:ascii="SimSun" w:hint="eastAsia"/>
          <w:sz w:val="19"/>
          <w:szCs w:val="24"/>
          <w:lang w:val="zh-CN"/>
        </w:rPr>
        <w:t>日的估计支出。</w:t>
      </w:r>
    </w:p>
    <w:p w14:paraId="3C664D62" w14:textId="77777777" w:rsidR="00666293" w:rsidRDefault="00666293">
      <w:pPr>
        <w:widowControl w:val="0"/>
        <w:topLinePunct/>
        <w:rPr>
          <w:sz w:val="19"/>
          <w:szCs w:val="24"/>
          <w:lang w:val="en-US"/>
        </w:rPr>
      </w:pPr>
      <w:r>
        <w:rPr>
          <w:sz w:val="19"/>
          <w:szCs w:val="24"/>
          <w:vertAlign w:val="superscript"/>
          <w:lang w:val="zh-CN"/>
        </w:rPr>
        <w:t>b</w:t>
      </w:r>
      <w:r>
        <w:rPr>
          <w:sz w:val="19"/>
          <w:szCs w:val="24"/>
          <w:lang w:val="zh-CN"/>
        </w:rPr>
        <w:t xml:space="preserve"> </w:t>
      </w:r>
      <w:r>
        <w:rPr>
          <w:rFonts w:ascii="SimSun" w:hint="eastAsia"/>
          <w:sz w:val="19"/>
          <w:szCs w:val="24"/>
          <w:lang w:val="zh-CN"/>
        </w:rPr>
        <w:t>包括咨询和顾问会议的支出</w:t>
      </w:r>
      <w:r>
        <w:rPr>
          <w:rFonts w:ascii="SimSun"/>
          <w:sz w:val="19"/>
          <w:szCs w:val="24"/>
          <w:lang w:val="zh-CN"/>
        </w:rPr>
        <w:t xml:space="preserve"> - </w:t>
      </w:r>
      <w:r>
        <w:rPr>
          <w:rFonts w:ascii="SimSun" w:hint="eastAsia"/>
          <w:sz w:val="19"/>
          <w:szCs w:val="24"/>
          <w:lang w:val="zh-CN"/>
        </w:rPr>
        <w:t>预算项目</w:t>
      </w:r>
      <w:r>
        <w:rPr>
          <w:rFonts w:ascii="SimSun"/>
          <w:sz w:val="19"/>
          <w:szCs w:val="24"/>
          <w:lang w:val="zh-CN"/>
        </w:rPr>
        <w:t>4210</w:t>
      </w:r>
      <w:r>
        <w:rPr>
          <w:rFonts w:ascii="SimSun" w:hint="eastAsia"/>
          <w:sz w:val="19"/>
          <w:szCs w:val="24"/>
          <w:lang w:val="zh-CN"/>
        </w:rPr>
        <w:t>。</w:t>
      </w:r>
      <w:r>
        <w:rPr>
          <w:sz w:val="19"/>
          <w:szCs w:val="24"/>
          <w:lang w:val="zh-CN"/>
        </w:rPr>
        <w:t>.</w:t>
      </w:r>
    </w:p>
    <w:p w14:paraId="3BB38211" w14:textId="77777777" w:rsidR="00666293" w:rsidRDefault="00666293">
      <w:pPr>
        <w:widowControl w:val="0"/>
        <w:topLinePunct/>
        <w:rPr>
          <w:szCs w:val="24"/>
          <w:lang w:val="en-US"/>
        </w:rPr>
      </w:pPr>
      <w:r>
        <w:rPr>
          <w:sz w:val="19"/>
          <w:szCs w:val="24"/>
          <w:vertAlign w:val="superscript"/>
          <w:lang w:val="en-US"/>
        </w:rPr>
        <w:t>c</w:t>
      </w:r>
      <w:r>
        <w:rPr>
          <w:sz w:val="19"/>
          <w:szCs w:val="24"/>
          <w:lang w:val="en-US"/>
        </w:rPr>
        <w:t xml:space="preserve"> </w:t>
      </w:r>
      <w:r>
        <w:rPr>
          <w:rFonts w:ascii="SimSun" w:hint="eastAsia"/>
          <w:sz w:val="19"/>
          <w:szCs w:val="24"/>
          <w:lang w:val="zh-CN"/>
        </w:rPr>
        <w:t>为与提交文件附件第三部分的预算细目保持一致</w:t>
      </w:r>
      <w:r>
        <w:rPr>
          <w:rFonts w:ascii="SimSun" w:hint="eastAsia"/>
          <w:sz w:val="19"/>
          <w:szCs w:val="24"/>
          <w:lang w:val="en-US"/>
        </w:rPr>
        <w:t>，</w:t>
      </w:r>
      <w:r>
        <w:rPr>
          <w:rFonts w:ascii="SimSun" w:hint="eastAsia"/>
          <w:sz w:val="19"/>
          <w:szCs w:val="24"/>
          <w:lang w:val="zh-CN"/>
        </w:rPr>
        <w:t>已从预算总额中删除预算项目</w:t>
      </w:r>
      <w:r>
        <w:rPr>
          <w:sz w:val="19"/>
          <w:szCs w:val="24"/>
          <w:lang w:val="en-US"/>
        </w:rPr>
        <w:t>4210</w:t>
      </w:r>
      <w:r>
        <w:rPr>
          <w:rFonts w:ascii="SimSun" w:hint="eastAsia"/>
          <w:sz w:val="19"/>
          <w:szCs w:val="24"/>
          <w:lang w:val="en-US"/>
        </w:rPr>
        <w:t>（</w:t>
      </w:r>
      <w:r>
        <w:rPr>
          <w:rFonts w:ascii="SimSun" w:hint="eastAsia"/>
          <w:sz w:val="19"/>
          <w:szCs w:val="24"/>
          <w:lang w:val="zh-CN"/>
        </w:rPr>
        <w:t>会议</w:t>
      </w:r>
      <w:r>
        <w:rPr>
          <w:sz w:val="19"/>
          <w:szCs w:val="24"/>
          <w:lang w:val="en-US"/>
        </w:rPr>
        <w:t>/</w:t>
      </w:r>
      <w:r>
        <w:rPr>
          <w:rFonts w:ascii="SimSun" w:hint="eastAsia"/>
          <w:sz w:val="19"/>
          <w:szCs w:val="24"/>
          <w:lang w:val="zh-CN"/>
        </w:rPr>
        <w:t>支助</w:t>
      </w:r>
      <w:r>
        <w:rPr>
          <w:rFonts w:ascii="SimSun" w:hint="eastAsia"/>
          <w:sz w:val="19"/>
          <w:szCs w:val="24"/>
          <w:lang w:val="en-US"/>
        </w:rPr>
        <w:t>）</w:t>
      </w:r>
      <w:r>
        <w:rPr>
          <w:rFonts w:ascii="SimSun" w:hint="eastAsia"/>
          <w:sz w:val="19"/>
          <w:szCs w:val="24"/>
          <w:lang w:val="zh-CN"/>
        </w:rPr>
        <w:t>的预算。</w:t>
      </w:r>
      <w:r>
        <w:rPr>
          <w:sz w:val="19"/>
          <w:szCs w:val="24"/>
          <w:lang w:val="en-US"/>
        </w:rPr>
        <w:t xml:space="preserve"> </w:t>
      </w:r>
    </w:p>
    <w:p w14:paraId="70919B5E" w14:textId="77777777" w:rsidR="00666293" w:rsidRDefault="00666293">
      <w:pPr>
        <w:widowControl w:val="0"/>
        <w:topLinePunct/>
        <w:rPr>
          <w:sz w:val="19"/>
          <w:szCs w:val="24"/>
          <w:lang w:val="en-US"/>
        </w:rPr>
      </w:pPr>
      <w:r>
        <w:rPr>
          <w:sz w:val="19"/>
          <w:szCs w:val="24"/>
          <w:vertAlign w:val="superscript"/>
          <w:lang w:val="en-US"/>
        </w:rPr>
        <w:t xml:space="preserve">d </w:t>
      </w:r>
      <w:r>
        <w:rPr>
          <w:rFonts w:ascii="SimSun" w:hint="eastAsia"/>
          <w:sz w:val="19"/>
          <w:szCs w:val="24"/>
          <w:lang w:val="zh-CN"/>
        </w:rPr>
        <w:t>只包括全球服务预算项目</w:t>
      </w:r>
      <w:r>
        <w:rPr>
          <w:sz w:val="19"/>
          <w:szCs w:val="24"/>
          <w:lang w:val="en-US"/>
        </w:rPr>
        <w:t>3210-3216</w:t>
      </w:r>
      <w:r>
        <w:rPr>
          <w:rFonts w:ascii="SimSun" w:hint="eastAsia"/>
          <w:sz w:val="19"/>
          <w:szCs w:val="24"/>
          <w:lang w:val="zh-CN"/>
        </w:rPr>
        <w:t>。</w:t>
      </w:r>
    </w:p>
    <w:p w14:paraId="1D025325" w14:textId="2381D517" w:rsidR="00666293" w:rsidRDefault="00666293">
      <w:pPr>
        <w:widowControl w:val="0"/>
        <w:topLinePunct/>
        <w:rPr>
          <w:szCs w:val="24"/>
          <w:lang w:val="en-US"/>
        </w:rPr>
      </w:pPr>
      <w:r>
        <w:rPr>
          <w:sz w:val="19"/>
          <w:szCs w:val="24"/>
          <w:vertAlign w:val="superscript"/>
          <w:lang w:val="en-US"/>
        </w:rPr>
        <w:t>c</w:t>
      </w:r>
      <w:r w:rsidR="00E51AFD">
        <w:rPr>
          <w:sz w:val="19"/>
          <w:szCs w:val="24"/>
          <w:vertAlign w:val="superscript"/>
          <w:lang w:val="en-US"/>
        </w:rPr>
        <w:t xml:space="preserve"> </w:t>
      </w:r>
      <w:r w:rsidRPr="00E51AFD">
        <w:rPr>
          <w:sz w:val="19"/>
          <w:szCs w:val="24"/>
          <w:lang w:val="zh-CN"/>
        </w:rPr>
        <w:t>为与提交的附件第三部分的预算细目保持一致</w:t>
      </w:r>
      <w:r>
        <w:rPr>
          <w:rFonts w:ascii="SimSun" w:hint="eastAsia"/>
          <w:sz w:val="19"/>
          <w:szCs w:val="24"/>
          <w:lang w:val="en-US"/>
        </w:rPr>
        <w:t>，</w:t>
      </w:r>
      <w:r>
        <w:rPr>
          <w:rFonts w:ascii="SimSun" w:hint="eastAsia"/>
          <w:sz w:val="19"/>
          <w:szCs w:val="24"/>
          <w:lang w:val="zh-CN"/>
        </w:rPr>
        <w:t>列入了预算项目</w:t>
      </w:r>
      <w:r>
        <w:rPr>
          <w:sz w:val="19"/>
          <w:szCs w:val="24"/>
          <w:lang w:val="en-US"/>
        </w:rPr>
        <w:t>4210</w:t>
      </w:r>
      <w:r>
        <w:rPr>
          <w:rFonts w:ascii="SimSun" w:hint="eastAsia"/>
          <w:sz w:val="19"/>
          <w:szCs w:val="24"/>
          <w:lang w:val="en-US"/>
        </w:rPr>
        <w:t>（</w:t>
      </w:r>
      <w:r>
        <w:rPr>
          <w:rFonts w:ascii="SimSun" w:hint="eastAsia"/>
          <w:sz w:val="19"/>
          <w:szCs w:val="24"/>
          <w:lang w:val="zh-CN"/>
        </w:rPr>
        <w:t>会议</w:t>
      </w:r>
      <w:r>
        <w:rPr>
          <w:sz w:val="19"/>
          <w:szCs w:val="24"/>
          <w:lang w:val="en-US"/>
        </w:rPr>
        <w:t>/</w:t>
      </w:r>
      <w:r>
        <w:rPr>
          <w:rFonts w:ascii="SimSun" w:hint="eastAsia"/>
          <w:sz w:val="19"/>
          <w:szCs w:val="24"/>
          <w:lang w:val="zh-CN"/>
        </w:rPr>
        <w:t>支助</w:t>
      </w:r>
      <w:r>
        <w:rPr>
          <w:rFonts w:ascii="SimSun" w:hint="eastAsia"/>
          <w:sz w:val="19"/>
          <w:szCs w:val="24"/>
          <w:lang w:val="en-US"/>
        </w:rPr>
        <w:t>）</w:t>
      </w:r>
      <w:r>
        <w:rPr>
          <w:rFonts w:ascii="SimSun" w:hint="eastAsia"/>
          <w:sz w:val="19"/>
          <w:szCs w:val="24"/>
          <w:lang w:val="zh-CN"/>
        </w:rPr>
        <w:t>的预算。</w:t>
      </w:r>
      <w:r>
        <w:rPr>
          <w:sz w:val="19"/>
          <w:szCs w:val="24"/>
          <w:lang w:val="en-US"/>
        </w:rPr>
        <w:t xml:space="preserve"> </w:t>
      </w:r>
    </w:p>
    <w:p w14:paraId="7D3C7ECA" w14:textId="77777777" w:rsidR="00666293" w:rsidRDefault="00666293">
      <w:pPr>
        <w:widowControl w:val="0"/>
        <w:topLinePunct/>
        <w:rPr>
          <w:szCs w:val="24"/>
          <w:vertAlign w:val="superscript"/>
          <w:lang w:val="en-US"/>
        </w:rPr>
      </w:pPr>
      <w:bookmarkStart w:id="0" w:name="_Hlk182338250"/>
      <w:r>
        <w:rPr>
          <w:sz w:val="19"/>
          <w:szCs w:val="24"/>
          <w:vertAlign w:val="superscript"/>
          <w:lang w:val="zh-CN"/>
        </w:rPr>
        <w:t>f</w:t>
      </w:r>
      <w:r>
        <w:rPr>
          <w:sz w:val="19"/>
          <w:szCs w:val="24"/>
          <w:lang w:val="zh-CN"/>
        </w:rPr>
        <w:t xml:space="preserve"> </w:t>
      </w:r>
      <w:r>
        <w:rPr>
          <w:rFonts w:ascii="SimSun" w:hint="eastAsia"/>
          <w:sz w:val="19"/>
          <w:szCs w:val="24"/>
          <w:lang w:val="zh-CN"/>
        </w:rPr>
        <w:t>归还第九十七次会议的余额。</w:t>
      </w:r>
      <w:r>
        <w:rPr>
          <w:sz w:val="19"/>
          <w:szCs w:val="24"/>
          <w:lang w:val="en-US"/>
        </w:rPr>
        <w:t xml:space="preserve"> </w:t>
      </w:r>
    </w:p>
    <w:bookmarkEnd w:id="0"/>
    <w:p w14:paraId="14D90F1C" w14:textId="77777777" w:rsidR="00666293" w:rsidRDefault="00666293">
      <w:pPr>
        <w:widowControl w:val="0"/>
        <w:numPr>
          <w:ilvl w:val="0"/>
          <w:numId w:val="1"/>
        </w:numPr>
        <w:tabs>
          <w:tab w:val="clear" w:pos="1985"/>
          <w:tab w:val="num" w:pos="0"/>
        </w:tabs>
        <w:topLinePunct/>
        <w:spacing w:before="240" w:after="240"/>
        <w:ind w:left="0"/>
        <w:outlineLvl w:val="0"/>
        <w:rPr>
          <w:sz w:val="24"/>
          <w:szCs w:val="24"/>
        </w:rPr>
      </w:pPr>
      <w:r>
        <w:rPr>
          <w:sz w:val="24"/>
          <w:szCs w:val="24"/>
          <w:lang w:val="en-US"/>
        </w:rPr>
        <w:t>2024</w:t>
      </w:r>
      <w:r>
        <w:rPr>
          <w:sz w:val="24"/>
          <w:szCs w:val="24"/>
          <w:lang w:val="zh-CN"/>
        </w:rPr>
        <w:t>年履约协助方案的余额将在第九十七次会议归还</w:t>
      </w:r>
      <w:r>
        <w:rPr>
          <w:sz w:val="24"/>
          <w:szCs w:val="24"/>
          <w:lang w:val="en-US"/>
        </w:rPr>
        <w:t>，</w:t>
      </w:r>
      <w:r>
        <w:rPr>
          <w:sz w:val="24"/>
          <w:szCs w:val="24"/>
          <w:lang w:val="zh-CN"/>
        </w:rPr>
        <w:t>金额为</w:t>
      </w:r>
      <w:r>
        <w:rPr>
          <w:sz w:val="24"/>
          <w:szCs w:val="24"/>
          <w:lang w:val="en-US"/>
        </w:rPr>
        <w:t>1,336,306</w:t>
      </w:r>
      <w:r>
        <w:rPr>
          <w:sz w:val="24"/>
          <w:szCs w:val="24"/>
          <w:lang w:val="zh-CN"/>
        </w:rPr>
        <w:t>美元</w:t>
      </w:r>
      <w:r>
        <w:rPr>
          <w:sz w:val="24"/>
          <w:szCs w:val="24"/>
          <w:lang w:val="en-US"/>
        </w:rPr>
        <w:t>，</w:t>
      </w:r>
      <w:r>
        <w:rPr>
          <w:sz w:val="24"/>
          <w:szCs w:val="24"/>
          <w:lang w:val="zh-CN"/>
        </w:rPr>
        <w:t>外加机构支持费用</w:t>
      </w:r>
      <w:r>
        <w:rPr>
          <w:sz w:val="24"/>
          <w:szCs w:val="24"/>
          <w:lang w:val="en-US"/>
        </w:rPr>
        <w:t>106,904</w:t>
      </w:r>
      <w:r>
        <w:rPr>
          <w:sz w:val="24"/>
          <w:szCs w:val="24"/>
          <w:lang w:val="zh-CN"/>
        </w:rPr>
        <w:t>美元。退还的大部分余额与部分或全年空缺职位的人事费有关。</w:t>
      </w:r>
    </w:p>
    <w:p w14:paraId="6625653C" w14:textId="77777777" w:rsidR="00666293" w:rsidRPr="00484961" w:rsidRDefault="00666293">
      <w:pPr>
        <w:pStyle w:val="Heading1"/>
        <w:widowControl w:val="0"/>
        <w:numPr>
          <w:ilvl w:val="0"/>
          <w:numId w:val="0"/>
        </w:numPr>
        <w:topLinePunct/>
        <w:jc w:val="center"/>
        <w:rPr>
          <w:rFonts w:ascii="SimHei" w:eastAsia="SimHei" w:hAnsi="SimHei"/>
          <w:bCs/>
          <w:sz w:val="28"/>
          <w:szCs w:val="28"/>
          <w:lang w:val="en-GB"/>
        </w:rPr>
      </w:pPr>
      <w:r w:rsidRPr="00484961">
        <w:rPr>
          <w:rFonts w:ascii="SimHei" w:eastAsia="SimHei" w:hAnsi="SimHei"/>
          <w:bCs/>
          <w:sz w:val="28"/>
          <w:szCs w:val="28"/>
          <w:lang w:val="zh-CN"/>
        </w:rPr>
        <w:t>秘书处的评论和建议</w:t>
      </w:r>
    </w:p>
    <w:p w14:paraId="43A99440" w14:textId="77777777" w:rsidR="00666293" w:rsidRPr="00BE4CF0" w:rsidRDefault="00666293">
      <w:pPr>
        <w:widowControl w:val="0"/>
        <w:topLinePunct/>
        <w:spacing w:after="240"/>
        <w:jc w:val="left"/>
        <w:rPr>
          <w:rFonts w:ascii="SimHei" w:eastAsia="SimHei" w:hAnsi="SimHei"/>
          <w:bCs/>
          <w:sz w:val="28"/>
          <w:szCs w:val="28"/>
          <w:lang w:val="en-US"/>
        </w:rPr>
      </w:pPr>
      <w:r w:rsidRPr="00BE4CF0">
        <w:rPr>
          <w:rFonts w:ascii="SimHei" w:eastAsia="SimHei" w:hAnsi="SimHei"/>
          <w:bCs/>
          <w:sz w:val="28"/>
          <w:szCs w:val="28"/>
          <w:lang w:val="zh-CN"/>
        </w:rPr>
        <w:t>评论</w:t>
      </w:r>
    </w:p>
    <w:p w14:paraId="5BA932D7"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秘书处根据第</w:t>
      </w:r>
      <w:r>
        <w:rPr>
          <w:sz w:val="24"/>
          <w:szCs w:val="24"/>
          <w:lang w:val="en-US"/>
        </w:rPr>
        <w:t>95/83</w:t>
      </w:r>
      <w:r>
        <w:rPr>
          <w:sz w:val="24"/>
          <w:szCs w:val="24"/>
          <w:lang w:val="zh-CN"/>
        </w:rPr>
        <w:t>号决定</w:t>
      </w:r>
      <w:r>
        <w:rPr>
          <w:sz w:val="24"/>
          <w:szCs w:val="24"/>
          <w:lang w:val="en-US"/>
        </w:rPr>
        <w:t>（</w:t>
      </w:r>
      <w:r>
        <w:rPr>
          <w:sz w:val="24"/>
          <w:szCs w:val="24"/>
          <w:lang w:val="en-US"/>
        </w:rPr>
        <w:t>c</w:t>
      </w:r>
      <w:r>
        <w:rPr>
          <w:sz w:val="24"/>
          <w:szCs w:val="24"/>
          <w:lang w:val="en-US"/>
        </w:rPr>
        <w:t>）</w:t>
      </w:r>
      <w:r>
        <w:rPr>
          <w:sz w:val="24"/>
          <w:szCs w:val="24"/>
          <w:lang w:val="zh-CN"/>
        </w:rPr>
        <w:t>段审查了履约协助方案提交的预算以及方案和人事的变化</w:t>
      </w:r>
      <w:r>
        <w:rPr>
          <w:sz w:val="24"/>
          <w:szCs w:val="24"/>
          <w:lang w:val="en-US"/>
        </w:rPr>
        <w:t>，</w:t>
      </w:r>
      <w:r>
        <w:rPr>
          <w:sz w:val="24"/>
          <w:szCs w:val="24"/>
          <w:vertAlign w:val="superscript"/>
          <w:lang w:val="zh-CN"/>
        </w:rPr>
        <w:footnoteReference w:id="8"/>
      </w:r>
      <w:r>
        <w:rPr>
          <w:sz w:val="24"/>
          <w:szCs w:val="24"/>
          <w:lang w:val="zh-CN"/>
        </w:rPr>
        <w:t>同时考虑了履约协助方案的整体结构、运作情况和区域结构以及其他相关决定。</w:t>
      </w:r>
    </w:p>
    <w:p w14:paraId="051048E9" w14:textId="77777777" w:rsidR="00666293" w:rsidRDefault="00666293">
      <w:pPr>
        <w:numPr>
          <w:ilvl w:val="0"/>
          <w:numId w:val="1"/>
        </w:numPr>
        <w:tabs>
          <w:tab w:val="clear" w:pos="1985"/>
          <w:tab w:val="num" w:pos="0"/>
        </w:tabs>
        <w:topLinePunct/>
        <w:spacing w:before="240" w:after="240"/>
        <w:ind w:left="0"/>
        <w:outlineLvl w:val="0"/>
        <w:rPr>
          <w:sz w:val="24"/>
          <w:szCs w:val="24"/>
        </w:rPr>
      </w:pPr>
      <w:r>
        <w:rPr>
          <w:sz w:val="24"/>
          <w:szCs w:val="24"/>
          <w:lang w:val="zh-CN"/>
        </w:rPr>
        <w:lastRenderedPageBreak/>
        <w:t>秘书处询问环境署是否考虑在</w:t>
      </w:r>
      <w:r>
        <w:rPr>
          <w:sz w:val="24"/>
          <w:szCs w:val="24"/>
        </w:rPr>
        <w:t>2026</w:t>
      </w:r>
      <w:r>
        <w:rPr>
          <w:sz w:val="24"/>
          <w:szCs w:val="24"/>
          <w:lang w:val="zh-CN"/>
        </w:rPr>
        <w:t>年即履约协助方案</w:t>
      </w:r>
      <w:r>
        <w:rPr>
          <w:sz w:val="24"/>
          <w:szCs w:val="24"/>
        </w:rPr>
        <w:t>2024-2026</w:t>
      </w:r>
      <w:r>
        <w:rPr>
          <w:sz w:val="24"/>
          <w:szCs w:val="24"/>
          <w:lang w:val="zh-CN"/>
        </w:rPr>
        <w:t>年战略的最后一年举行广泛磋商</w:t>
      </w:r>
      <w:r>
        <w:rPr>
          <w:sz w:val="24"/>
          <w:szCs w:val="24"/>
        </w:rPr>
        <w:t>，</w:t>
      </w:r>
      <w:r>
        <w:rPr>
          <w:sz w:val="24"/>
          <w:szCs w:val="24"/>
          <w:lang w:val="zh-CN"/>
        </w:rPr>
        <w:t>以便在制定</w:t>
      </w:r>
      <w:r>
        <w:rPr>
          <w:sz w:val="24"/>
          <w:szCs w:val="24"/>
        </w:rPr>
        <w:t>2027-2029</w:t>
      </w:r>
      <w:r>
        <w:rPr>
          <w:sz w:val="24"/>
          <w:szCs w:val="24"/>
          <w:lang w:val="zh-CN"/>
        </w:rPr>
        <w:t>年战略并调整相关活动时</w:t>
      </w:r>
      <w:r>
        <w:rPr>
          <w:sz w:val="24"/>
          <w:szCs w:val="24"/>
        </w:rPr>
        <w:t>，</w:t>
      </w:r>
      <w:r>
        <w:rPr>
          <w:sz w:val="24"/>
          <w:szCs w:val="24"/>
          <w:lang w:val="zh-CN"/>
        </w:rPr>
        <w:t>对现有战略进行全面审查。环境署表示</w:t>
      </w:r>
      <w:r>
        <w:rPr>
          <w:sz w:val="24"/>
          <w:szCs w:val="24"/>
          <w:lang w:val="en-US"/>
        </w:rPr>
        <w:t>，</w:t>
      </w:r>
      <w:r>
        <w:rPr>
          <w:sz w:val="24"/>
          <w:szCs w:val="24"/>
          <w:lang w:val="zh-CN"/>
        </w:rPr>
        <w:t>鉴于履约协助方案</w:t>
      </w:r>
      <w:r>
        <w:rPr>
          <w:sz w:val="24"/>
          <w:szCs w:val="24"/>
          <w:lang w:val="en-US"/>
        </w:rPr>
        <w:t>2024-2026</w:t>
      </w:r>
      <w:r>
        <w:rPr>
          <w:sz w:val="24"/>
          <w:szCs w:val="24"/>
          <w:lang w:val="zh-CN"/>
        </w:rPr>
        <w:t>年战略即将进入最后一年</w:t>
      </w:r>
      <w:r>
        <w:rPr>
          <w:sz w:val="24"/>
          <w:szCs w:val="24"/>
          <w:lang w:val="en-US"/>
        </w:rPr>
        <w:t>，</w:t>
      </w:r>
      <w:r>
        <w:rPr>
          <w:sz w:val="24"/>
          <w:szCs w:val="24"/>
          <w:lang w:val="zh-CN"/>
        </w:rPr>
        <w:t>环境署臭氧行动处将在</w:t>
      </w:r>
      <w:r>
        <w:rPr>
          <w:sz w:val="24"/>
          <w:szCs w:val="24"/>
          <w:lang w:val="en-US"/>
        </w:rPr>
        <w:t>2026</w:t>
      </w:r>
      <w:r>
        <w:rPr>
          <w:sz w:val="24"/>
          <w:szCs w:val="24"/>
          <w:lang w:val="zh-CN"/>
        </w:rPr>
        <w:t>年与主要利益攸关方举行磋商</w:t>
      </w:r>
      <w:r>
        <w:rPr>
          <w:sz w:val="24"/>
          <w:szCs w:val="24"/>
          <w:lang w:val="en-US"/>
        </w:rPr>
        <w:t>，</w:t>
      </w:r>
      <w:r>
        <w:rPr>
          <w:sz w:val="24"/>
          <w:szCs w:val="24"/>
          <w:lang w:val="zh-CN"/>
        </w:rPr>
        <w:t>征求他们关于如何更好地满足第</w:t>
      </w:r>
      <w:r>
        <w:rPr>
          <w:sz w:val="24"/>
          <w:szCs w:val="24"/>
          <w:lang w:val="en-US"/>
        </w:rPr>
        <w:t>5</w:t>
      </w:r>
      <w:r>
        <w:rPr>
          <w:sz w:val="24"/>
          <w:szCs w:val="24"/>
          <w:lang w:val="zh-CN"/>
        </w:rPr>
        <w:t>条国家需求的意见</w:t>
      </w:r>
      <w:r>
        <w:rPr>
          <w:sz w:val="24"/>
          <w:szCs w:val="24"/>
          <w:lang w:val="en-US"/>
        </w:rPr>
        <w:t>，</w:t>
      </w:r>
      <w:r>
        <w:rPr>
          <w:sz w:val="24"/>
          <w:szCs w:val="24"/>
          <w:lang w:val="zh-CN"/>
        </w:rPr>
        <w:t>并总结经验教训和创新方法。</w:t>
      </w:r>
      <w:r>
        <w:rPr>
          <w:sz w:val="24"/>
          <w:szCs w:val="24"/>
        </w:rPr>
        <w:t xml:space="preserve"> </w:t>
      </w:r>
    </w:p>
    <w:p w14:paraId="5CC9CE36" w14:textId="77777777" w:rsidR="00666293" w:rsidRDefault="00666293">
      <w:pPr>
        <w:widowControl w:val="0"/>
        <w:numPr>
          <w:ilvl w:val="0"/>
          <w:numId w:val="1"/>
        </w:numPr>
        <w:tabs>
          <w:tab w:val="clear" w:pos="1985"/>
          <w:tab w:val="num" w:pos="0"/>
        </w:tabs>
        <w:topLinePunct/>
        <w:spacing w:after="240"/>
        <w:ind w:left="0"/>
        <w:outlineLvl w:val="0"/>
        <w:rPr>
          <w:sz w:val="24"/>
          <w:szCs w:val="24"/>
        </w:rPr>
      </w:pPr>
      <w:r>
        <w:rPr>
          <w:sz w:val="24"/>
          <w:szCs w:val="24"/>
          <w:lang w:val="zh-CN"/>
        </w:rPr>
        <w:t>在审查提案时</w:t>
      </w:r>
      <w:r>
        <w:rPr>
          <w:sz w:val="24"/>
          <w:szCs w:val="24"/>
        </w:rPr>
        <w:t>，</w:t>
      </w:r>
      <w:r>
        <w:rPr>
          <w:sz w:val="24"/>
          <w:szCs w:val="24"/>
          <w:lang w:val="zh-CN"/>
        </w:rPr>
        <w:t>秘书处注意到</w:t>
      </w:r>
      <w:r>
        <w:rPr>
          <w:sz w:val="24"/>
          <w:szCs w:val="24"/>
        </w:rPr>
        <w:t>，</w:t>
      </w:r>
      <w:r>
        <w:rPr>
          <w:sz w:val="24"/>
          <w:szCs w:val="24"/>
          <w:lang w:val="zh-CN"/>
        </w:rPr>
        <w:t>在</w:t>
      </w:r>
      <w:r>
        <w:rPr>
          <w:sz w:val="24"/>
          <w:szCs w:val="24"/>
        </w:rPr>
        <w:t>2025</w:t>
      </w:r>
      <w:r>
        <w:rPr>
          <w:sz w:val="24"/>
          <w:szCs w:val="24"/>
          <w:lang w:val="zh-CN"/>
        </w:rPr>
        <w:t>年工作计划中包含的</w:t>
      </w:r>
      <w:r>
        <w:rPr>
          <w:sz w:val="24"/>
          <w:szCs w:val="24"/>
        </w:rPr>
        <w:t>“</w:t>
      </w:r>
      <w:r>
        <w:rPr>
          <w:sz w:val="24"/>
          <w:szCs w:val="24"/>
          <w:lang w:val="zh-CN"/>
        </w:rPr>
        <w:t>为国家臭氧干事开发并试行关于有效参与《蒙特利尔议定书》和多边基金会议的短期培训课程</w:t>
      </w:r>
      <w:r>
        <w:rPr>
          <w:sz w:val="24"/>
          <w:szCs w:val="24"/>
        </w:rPr>
        <w:t>”</w:t>
      </w:r>
      <w:r>
        <w:rPr>
          <w:sz w:val="24"/>
          <w:szCs w:val="24"/>
          <w:lang w:val="zh-CN"/>
        </w:rPr>
        <w:t>的这项活动再次被列入了</w:t>
      </w:r>
      <w:r>
        <w:rPr>
          <w:sz w:val="24"/>
          <w:szCs w:val="24"/>
        </w:rPr>
        <w:t>2026</w:t>
      </w:r>
      <w:r>
        <w:rPr>
          <w:sz w:val="24"/>
          <w:szCs w:val="24"/>
          <w:lang w:val="zh-CN"/>
        </w:rPr>
        <w:t>年工作计划。环境署解释说</w:t>
      </w:r>
      <w:r>
        <w:rPr>
          <w:sz w:val="24"/>
          <w:szCs w:val="24"/>
          <w:lang w:val="en-US"/>
        </w:rPr>
        <w:t>，</w:t>
      </w:r>
      <w:r>
        <w:rPr>
          <w:sz w:val="24"/>
          <w:szCs w:val="24"/>
          <w:lang w:val="zh-CN"/>
        </w:rPr>
        <w:t>随着臭氧行动处能力建设经理</w:t>
      </w:r>
      <w:r>
        <w:rPr>
          <w:sz w:val="24"/>
          <w:szCs w:val="24"/>
          <w:lang w:val="en-US"/>
        </w:rPr>
        <w:t>2025</w:t>
      </w:r>
      <w:r>
        <w:rPr>
          <w:sz w:val="24"/>
          <w:szCs w:val="24"/>
          <w:lang w:val="zh-CN"/>
        </w:rPr>
        <w:t>年</w:t>
      </w:r>
      <w:r>
        <w:rPr>
          <w:sz w:val="24"/>
          <w:szCs w:val="24"/>
          <w:lang w:val="en-US"/>
        </w:rPr>
        <w:t>2</w:t>
      </w:r>
      <w:r>
        <w:rPr>
          <w:sz w:val="24"/>
          <w:szCs w:val="24"/>
          <w:lang w:val="zh-CN"/>
        </w:rPr>
        <w:t>月到任</w:t>
      </w:r>
      <w:r>
        <w:rPr>
          <w:sz w:val="24"/>
          <w:szCs w:val="24"/>
          <w:lang w:val="en-US"/>
        </w:rPr>
        <w:t>，</w:t>
      </w:r>
      <w:r>
        <w:rPr>
          <w:sz w:val="24"/>
          <w:szCs w:val="24"/>
          <w:lang w:val="zh-CN"/>
        </w:rPr>
        <w:t>培训材料已经准备就绪</w:t>
      </w:r>
      <w:r>
        <w:rPr>
          <w:sz w:val="24"/>
          <w:szCs w:val="24"/>
          <w:lang w:val="en-US"/>
        </w:rPr>
        <w:t>，</w:t>
      </w:r>
      <w:r>
        <w:rPr>
          <w:sz w:val="24"/>
          <w:szCs w:val="24"/>
          <w:lang w:val="zh-CN"/>
        </w:rPr>
        <w:t>试点培训计划于</w:t>
      </w:r>
      <w:r>
        <w:rPr>
          <w:sz w:val="24"/>
          <w:szCs w:val="24"/>
          <w:lang w:val="en-US"/>
        </w:rPr>
        <w:t>2026</w:t>
      </w:r>
      <w:r>
        <w:rPr>
          <w:sz w:val="24"/>
          <w:szCs w:val="24"/>
          <w:lang w:val="zh-CN"/>
        </w:rPr>
        <w:t>年举行。环境署还补充指出，一些地区和国家已对此次试点培训表示兴趣。</w:t>
      </w:r>
    </w:p>
    <w:p w14:paraId="44F8D6F7"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针对秘书处关于履约协助方案如何支持加强数据收集和分析的问题</w:t>
      </w:r>
      <w:r>
        <w:rPr>
          <w:sz w:val="24"/>
          <w:szCs w:val="24"/>
        </w:rPr>
        <w:t>，</w:t>
      </w:r>
      <w:r>
        <w:rPr>
          <w:sz w:val="24"/>
          <w:szCs w:val="24"/>
          <w:lang w:val="zh-CN"/>
        </w:rPr>
        <w:t>环境署表示</w:t>
      </w:r>
      <w:r>
        <w:rPr>
          <w:sz w:val="24"/>
          <w:szCs w:val="24"/>
        </w:rPr>
        <w:t>，</w:t>
      </w:r>
      <w:r>
        <w:rPr>
          <w:sz w:val="24"/>
          <w:szCs w:val="24"/>
          <w:lang w:val="zh-CN"/>
        </w:rPr>
        <w:t>数据可靠性一直是区域网络会议经常提出的议题。支持各国开展关于消耗臭氧层物质替代品的调查和编制基加利氢氟碳化物执行计划所需的调查提高了数据的准确性。关于数据收集和分析方法和标准化问卷的指导材料已经编写完成</w:t>
      </w:r>
      <w:r>
        <w:rPr>
          <w:sz w:val="24"/>
          <w:szCs w:val="24"/>
          <w:lang w:val="en-US"/>
        </w:rPr>
        <w:t>，</w:t>
      </w:r>
      <w:r>
        <w:rPr>
          <w:sz w:val="24"/>
          <w:szCs w:val="24"/>
          <w:lang w:val="zh-CN"/>
        </w:rPr>
        <w:t>并通过网络分发给了各国。臭氧行动处开发了一套编制基加利氢氟碳化物执行计划的工具包</w:t>
      </w:r>
      <w:r>
        <w:rPr>
          <w:sz w:val="24"/>
          <w:szCs w:val="24"/>
          <w:lang w:val="en-US"/>
        </w:rPr>
        <w:t>，</w:t>
      </w:r>
      <w:r>
        <w:rPr>
          <w:sz w:val="24"/>
          <w:szCs w:val="24"/>
          <w:lang w:val="zh-CN"/>
        </w:rPr>
        <w:t>其中包括一份检查单</w:t>
      </w:r>
      <w:r>
        <w:rPr>
          <w:sz w:val="24"/>
          <w:szCs w:val="24"/>
          <w:lang w:val="en-US"/>
        </w:rPr>
        <w:t>，</w:t>
      </w:r>
      <w:r>
        <w:rPr>
          <w:sz w:val="24"/>
          <w:szCs w:val="24"/>
          <w:lang w:val="zh-CN"/>
        </w:rPr>
        <w:t>以支持专家和国家臭氧机构进行数据收集。为了加强数据收集和分析能力</w:t>
      </w:r>
      <w:r>
        <w:rPr>
          <w:sz w:val="24"/>
          <w:szCs w:val="24"/>
          <w:lang w:val="en-US"/>
        </w:rPr>
        <w:t>，</w:t>
      </w:r>
      <w:r>
        <w:rPr>
          <w:sz w:val="24"/>
          <w:szCs w:val="24"/>
          <w:lang w:val="zh-CN"/>
        </w:rPr>
        <w:t>国家和区域专家也参加了专门的能力建设培训。履约协助方案已编制一份报告</w:t>
      </w:r>
      <w:r>
        <w:rPr>
          <w:sz w:val="24"/>
          <w:szCs w:val="24"/>
          <w:lang w:val="en-US"/>
        </w:rPr>
        <w:t>，</w:t>
      </w:r>
      <w:r>
        <w:rPr>
          <w:sz w:val="24"/>
          <w:szCs w:val="24"/>
          <w:lang w:val="zh-CN"/>
        </w:rPr>
        <w:t>总结了已提交的基加利氢氟碳化物执行计划中包含的各项活动</w:t>
      </w:r>
      <w:r>
        <w:rPr>
          <w:sz w:val="24"/>
          <w:szCs w:val="24"/>
          <w:lang w:val="en-US"/>
        </w:rPr>
        <w:t>，</w:t>
      </w:r>
      <w:r>
        <w:rPr>
          <w:sz w:val="24"/>
          <w:szCs w:val="24"/>
          <w:lang w:val="zh-CN"/>
        </w:rPr>
        <w:t>并将随着更多基加利氢氟碳化物执行计划获得批准而继续更新该报告。此外</w:t>
      </w:r>
      <w:r>
        <w:rPr>
          <w:sz w:val="24"/>
          <w:szCs w:val="24"/>
          <w:lang w:val="en-US"/>
        </w:rPr>
        <w:t>，</w:t>
      </w:r>
      <w:r>
        <w:rPr>
          <w:sz w:val="24"/>
          <w:szCs w:val="24"/>
          <w:lang w:val="zh-CN"/>
        </w:rPr>
        <w:t>环境署还通过实施体制强化项目、为新任国家臭氧干事提供量身定制的培训以及提供符合国家需要的特别技术援助来支持国家臭氧机构</w:t>
      </w:r>
      <w:r>
        <w:rPr>
          <w:sz w:val="24"/>
          <w:szCs w:val="24"/>
          <w:lang w:val="en-US"/>
        </w:rPr>
        <w:t>，</w:t>
      </w:r>
      <w:r>
        <w:rPr>
          <w:sz w:val="24"/>
          <w:szCs w:val="24"/>
          <w:lang w:val="zh-CN"/>
        </w:rPr>
        <w:t>包括协调来自不同来源的数据</w:t>
      </w:r>
      <w:r>
        <w:rPr>
          <w:sz w:val="24"/>
          <w:szCs w:val="24"/>
          <w:lang w:val="en-US"/>
        </w:rPr>
        <w:t>，</w:t>
      </w:r>
      <w:r>
        <w:rPr>
          <w:sz w:val="24"/>
          <w:szCs w:val="24"/>
          <w:lang w:val="zh-CN"/>
        </w:rPr>
        <w:t>以生成一套单一、准确的数据用于报告。</w:t>
      </w:r>
    </w:p>
    <w:p w14:paraId="195BAA68"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针对秘书处关于履约协助方案如何支持相关国家臭氧机构更新其国家关于《蒙特利尔议定书》的法律框架并为起草或修订法律和法规提供咨询支助的问题</w:t>
      </w:r>
      <w:r>
        <w:rPr>
          <w:sz w:val="24"/>
          <w:szCs w:val="24"/>
        </w:rPr>
        <w:t>，</w:t>
      </w:r>
      <w:r>
        <w:rPr>
          <w:sz w:val="24"/>
          <w:szCs w:val="24"/>
          <w:lang w:val="zh-CN"/>
        </w:rPr>
        <w:t>环境署表示</w:t>
      </w:r>
      <w:r>
        <w:rPr>
          <w:sz w:val="24"/>
          <w:szCs w:val="24"/>
        </w:rPr>
        <w:t>，</w:t>
      </w:r>
      <w:r>
        <w:rPr>
          <w:sz w:val="24"/>
          <w:szCs w:val="24"/>
          <w:lang w:val="zh-CN"/>
        </w:rPr>
        <w:t>臭氧行动处与环境署法律司下的蒙得维的亚环境法方案</w:t>
      </w:r>
      <w:r>
        <w:rPr>
          <w:sz w:val="24"/>
          <w:szCs w:val="24"/>
        </w:rPr>
        <w:t>（</w:t>
      </w:r>
      <w:r>
        <w:rPr>
          <w:sz w:val="24"/>
          <w:szCs w:val="24"/>
        </w:rPr>
        <w:t>MELP</w:t>
      </w:r>
      <w:r>
        <w:rPr>
          <w:sz w:val="24"/>
          <w:szCs w:val="24"/>
        </w:rPr>
        <w:t>）</w:t>
      </w:r>
      <w:r>
        <w:rPr>
          <w:sz w:val="24"/>
          <w:szCs w:val="24"/>
          <w:lang w:val="zh-CN"/>
        </w:rPr>
        <w:t>合作</w:t>
      </w:r>
      <w:r>
        <w:rPr>
          <w:sz w:val="24"/>
          <w:szCs w:val="24"/>
        </w:rPr>
        <w:t>，</w:t>
      </w:r>
      <w:r>
        <w:rPr>
          <w:sz w:val="24"/>
          <w:szCs w:val="24"/>
          <w:lang w:val="zh-CN"/>
        </w:rPr>
        <w:t>为第</w:t>
      </w:r>
      <w:r>
        <w:rPr>
          <w:sz w:val="24"/>
          <w:szCs w:val="24"/>
        </w:rPr>
        <w:t>5</w:t>
      </w:r>
      <w:r>
        <w:rPr>
          <w:sz w:val="24"/>
          <w:szCs w:val="24"/>
          <w:lang w:val="zh-CN"/>
        </w:rPr>
        <w:t>条国家提供专业法律支持。</w:t>
      </w:r>
      <w:r>
        <w:rPr>
          <w:sz w:val="24"/>
          <w:szCs w:val="24"/>
          <w:lang w:val="en-US"/>
        </w:rPr>
        <w:t>MELP</w:t>
      </w:r>
      <w:r>
        <w:rPr>
          <w:sz w:val="24"/>
          <w:szCs w:val="24"/>
          <w:lang w:val="zh-CN"/>
        </w:rPr>
        <w:t>团队包括环境法专家</w:t>
      </w:r>
      <w:r>
        <w:rPr>
          <w:sz w:val="24"/>
          <w:szCs w:val="24"/>
          <w:lang w:val="en-US"/>
        </w:rPr>
        <w:t>，</w:t>
      </w:r>
      <w:r>
        <w:rPr>
          <w:sz w:val="24"/>
          <w:szCs w:val="24"/>
          <w:lang w:val="zh-CN"/>
        </w:rPr>
        <w:t>他们与履约协助方案区域团队的技术专家共同支持国家臭氧机构起草和修订履行和执行《蒙特利尔议定书》所需的法律和监管框架。</w:t>
      </w:r>
      <w:r>
        <w:rPr>
          <w:sz w:val="24"/>
          <w:szCs w:val="24"/>
        </w:rPr>
        <w:t xml:space="preserve"> </w:t>
      </w:r>
    </w:p>
    <w:p w14:paraId="6CA5281A" w14:textId="77777777" w:rsidR="00666293" w:rsidRDefault="00666293" w:rsidP="009C5232">
      <w:pPr>
        <w:numPr>
          <w:ilvl w:val="0"/>
          <w:numId w:val="1"/>
        </w:numPr>
        <w:tabs>
          <w:tab w:val="clear" w:pos="1985"/>
          <w:tab w:val="num" w:pos="0"/>
        </w:tabs>
        <w:topLinePunct/>
        <w:spacing w:after="240"/>
        <w:ind w:left="0"/>
        <w:outlineLvl w:val="0"/>
        <w:rPr>
          <w:sz w:val="24"/>
          <w:szCs w:val="24"/>
        </w:rPr>
      </w:pPr>
      <w:r>
        <w:rPr>
          <w:sz w:val="24"/>
          <w:szCs w:val="24"/>
          <w:lang w:val="zh-CN"/>
        </w:rPr>
        <w:t>秘书处还询问了为支持履行《蒙特利尔议定书》和《基加利修正案》起草全球传播战略草案的进展情况。环境署表示</w:t>
      </w:r>
      <w:r>
        <w:rPr>
          <w:sz w:val="24"/>
          <w:szCs w:val="24"/>
          <w:lang w:val="en-US"/>
        </w:rPr>
        <w:t>，</w:t>
      </w:r>
      <w:r>
        <w:rPr>
          <w:sz w:val="24"/>
          <w:szCs w:val="24"/>
          <w:lang w:val="zh-CN"/>
        </w:rPr>
        <w:t>该战略草案已于</w:t>
      </w:r>
      <w:r>
        <w:rPr>
          <w:sz w:val="24"/>
          <w:szCs w:val="24"/>
          <w:lang w:val="en-US"/>
        </w:rPr>
        <w:t>2025</w:t>
      </w:r>
      <w:r>
        <w:rPr>
          <w:sz w:val="24"/>
          <w:szCs w:val="24"/>
          <w:lang w:val="zh-CN"/>
        </w:rPr>
        <w:t>年制定</w:t>
      </w:r>
      <w:r>
        <w:rPr>
          <w:sz w:val="24"/>
          <w:szCs w:val="24"/>
          <w:lang w:val="en-US"/>
        </w:rPr>
        <w:t>，</w:t>
      </w:r>
      <w:r>
        <w:rPr>
          <w:sz w:val="24"/>
          <w:szCs w:val="24"/>
          <w:lang w:val="zh-CN"/>
        </w:rPr>
        <w:t>目前正根据进行的磋商作出进一步调整。预计它将于</w:t>
      </w:r>
      <w:r>
        <w:rPr>
          <w:sz w:val="24"/>
          <w:szCs w:val="24"/>
          <w:lang w:val="zh-CN"/>
        </w:rPr>
        <w:t>2025</w:t>
      </w:r>
      <w:r>
        <w:rPr>
          <w:sz w:val="24"/>
          <w:szCs w:val="24"/>
          <w:lang w:val="zh-CN"/>
        </w:rPr>
        <w:t>年底最终定稿。</w:t>
      </w:r>
    </w:p>
    <w:p w14:paraId="170062DC"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关于</w:t>
      </w:r>
      <w:r>
        <w:rPr>
          <w:sz w:val="24"/>
          <w:szCs w:val="24"/>
        </w:rPr>
        <w:t>2026</w:t>
      </w:r>
      <w:r>
        <w:rPr>
          <w:sz w:val="24"/>
          <w:szCs w:val="24"/>
          <w:lang w:val="zh-CN"/>
        </w:rPr>
        <w:t>年的拟议预算</w:t>
      </w:r>
      <w:r>
        <w:rPr>
          <w:sz w:val="24"/>
          <w:szCs w:val="24"/>
        </w:rPr>
        <w:t>，</w:t>
      </w:r>
      <w:r>
        <w:rPr>
          <w:sz w:val="24"/>
          <w:szCs w:val="24"/>
          <w:lang w:val="zh-CN"/>
        </w:rPr>
        <w:t>秘书处询问了空缺职位的情况。环境署指出</w:t>
      </w:r>
      <w:r>
        <w:rPr>
          <w:sz w:val="24"/>
          <w:szCs w:val="24"/>
        </w:rPr>
        <w:t>，</w:t>
      </w:r>
      <w:r>
        <w:rPr>
          <w:sz w:val="24"/>
          <w:szCs w:val="24"/>
          <w:lang w:val="zh-CN"/>
        </w:rPr>
        <w:t>共有六个职位空缺</w:t>
      </w:r>
      <w:r>
        <w:rPr>
          <w:sz w:val="24"/>
          <w:szCs w:val="24"/>
        </w:rPr>
        <w:t>，</w:t>
      </w:r>
      <w:r>
        <w:rPr>
          <w:sz w:val="24"/>
          <w:szCs w:val="24"/>
          <w:lang w:val="zh-CN"/>
        </w:rPr>
        <w:t>其中三个职位的招聘流程已进入后期阶段</w:t>
      </w:r>
      <w:r>
        <w:rPr>
          <w:sz w:val="24"/>
          <w:szCs w:val="24"/>
        </w:rPr>
        <w:t>，</w:t>
      </w:r>
      <w:r>
        <w:rPr>
          <w:sz w:val="24"/>
          <w:szCs w:val="24"/>
          <w:lang w:val="zh-CN"/>
        </w:rPr>
        <w:t>所有内部流程预计将于</w:t>
      </w:r>
      <w:r>
        <w:rPr>
          <w:sz w:val="24"/>
          <w:szCs w:val="24"/>
        </w:rPr>
        <w:t>12</w:t>
      </w:r>
      <w:r>
        <w:rPr>
          <w:sz w:val="24"/>
          <w:szCs w:val="24"/>
          <w:lang w:val="zh-CN"/>
        </w:rPr>
        <w:t>月前几周完成</w:t>
      </w:r>
      <w:r>
        <w:rPr>
          <w:sz w:val="24"/>
          <w:szCs w:val="24"/>
        </w:rPr>
        <w:t>；</w:t>
      </w:r>
      <w:r>
        <w:rPr>
          <w:sz w:val="24"/>
          <w:szCs w:val="24"/>
          <w:lang w:val="zh-CN"/>
        </w:rPr>
        <w:t>另外三个职位的招聘工作已经开始并在进行中。</w:t>
      </w:r>
      <w:r>
        <w:rPr>
          <w:sz w:val="24"/>
          <w:szCs w:val="24"/>
        </w:rPr>
        <w:t xml:space="preserve"> </w:t>
      </w:r>
    </w:p>
    <w:p w14:paraId="04DD5DAE"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根据</w:t>
      </w:r>
      <w:r>
        <w:rPr>
          <w:sz w:val="24"/>
          <w:szCs w:val="24"/>
        </w:rPr>
        <w:t>2025</w:t>
      </w:r>
      <w:r>
        <w:rPr>
          <w:sz w:val="24"/>
          <w:szCs w:val="24"/>
          <w:lang w:val="zh-CN"/>
        </w:rPr>
        <w:t>年批准的预算审查履约协助方案</w:t>
      </w:r>
      <w:r>
        <w:rPr>
          <w:sz w:val="24"/>
          <w:szCs w:val="24"/>
        </w:rPr>
        <w:t>2026</w:t>
      </w:r>
      <w:r>
        <w:rPr>
          <w:sz w:val="24"/>
          <w:szCs w:val="24"/>
          <w:lang w:val="zh-CN"/>
        </w:rPr>
        <w:t>年拟议预算时</w:t>
      </w:r>
      <w:r>
        <w:rPr>
          <w:sz w:val="24"/>
          <w:szCs w:val="24"/>
        </w:rPr>
        <w:t>，</w:t>
      </w:r>
      <w:r>
        <w:rPr>
          <w:sz w:val="24"/>
          <w:szCs w:val="24"/>
          <w:lang w:val="zh-CN"/>
        </w:rPr>
        <w:t>秘书处注意到</w:t>
      </w:r>
      <w:r>
        <w:rPr>
          <w:sz w:val="24"/>
          <w:szCs w:val="24"/>
        </w:rPr>
        <w:t>，</w:t>
      </w:r>
      <w:r>
        <w:rPr>
          <w:sz w:val="24"/>
          <w:szCs w:val="24"/>
        </w:rPr>
        <w:t>2025</w:t>
      </w:r>
      <w:r>
        <w:rPr>
          <w:sz w:val="24"/>
          <w:szCs w:val="24"/>
          <w:lang w:val="zh-CN"/>
        </w:rPr>
        <w:t>年预算用于聘请能源效率专家以支持第</w:t>
      </w:r>
      <w:r>
        <w:rPr>
          <w:sz w:val="24"/>
          <w:szCs w:val="24"/>
        </w:rPr>
        <w:t>5</w:t>
      </w:r>
      <w:r>
        <w:rPr>
          <w:sz w:val="24"/>
          <w:szCs w:val="24"/>
          <w:lang w:val="zh-CN"/>
        </w:rPr>
        <w:t>条国家的额外资金未包含在</w:t>
      </w:r>
      <w:r>
        <w:rPr>
          <w:sz w:val="24"/>
          <w:szCs w:val="24"/>
        </w:rPr>
        <w:t>2026</w:t>
      </w:r>
      <w:r>
        <w:rPr>
          <w:sz w:val="24"/>
          <w:szCs w:val="24"/>
          <w:lang w:val="zh-CN"/>
        </w:rPr>
        <w:t>年预算提案中。因此</w:t>
      </w:r>
      <w:r>
        <w:rPr>
          <w:sz w:val="24"/>
          <w:szCs w:val="24"/>
          <w:lang w:val="en-US"/>
        </w:rPr>
        <w:t>，</w:t>
      </w:r>
      <w:r>
        <w:rPr>
          <w:sz w:val="24"/>
          <w:szCs w:val="24"/>
          <w:lang w:val="zh-CN"/>
        </w:rPr>
        <w:t>秘书处要求提供一份关于</w:t>
      </w:r>
      <w:r>
        <w:rPr>
          <w:sz w:val="24"/>
          <w:szCs w:val="24"/>
          <w:lang w:val="en-US"/>
        </w:rPr>
        <w:t>2025</w:t>
      </w:r>
      <w:r>
        <w:rPr>
          <w:sz w:val="24"/>
          <w:szCs w:val="24"/>
          <w:lang w:val="zh-CN"/>
        </w:rPr>
        <w:t>年预算全球服务项目下已批准的额外资金</w:t>
      </w:r>
      <w:r>
        <w:rPr>
          <w:sz w:val="24"/>
          <w:szCs w:val="24"/>
          <w:lang w:val="en-US"/>
        </w:rPr>
        <w:t>（</w:t>
      </w:r>
      <w:r>
        <w:rPr>
          <w:sz w:val="24"/>
          <w:szCs w:val="24"/>
          <w:lang w:val="en-US"/>
        </w:rPr>
        <w:t>15</w:t>
      </w:r>
      <w:r>
        <w:rPr>
          <w:sz w:val="24"/>
          <w:szCs w:val="24"/>
          <w:lang w:val="zh-CN"/>
        </w:rPr>
        <w:t>万美元</w:t>
      </w:r>
      <w:r>
        <w:rPr>
          <w:sz w:val="24"/>
          <w:szCs w:val="24"/>
          <w:lang w:val="en-US"/>
        </w:rPr>
        <w:t>）</w:t>
      </w:r>
      <w:r>
        <w:rPr>
          <w:sz w:val="24"/>
          <w:szCs w:val="24"/>
          <w:lang w:val="zh-CN"/>
        </w:rPr>
        <w:t>的使用成果报告。环境署表示</w:t>
      </w:r>
      <w:r>
        <w:rPr>
          <w:sz w:val="24"/>
          <w:szCs w:val="24"/>
          <w:lang w:val="en-US"/>
        </w:rPr>
        <w:t>，</w:t>
      </w:r>
      <w:r>
        <w:rPr>
          <w:sz w:val="24"/>
          <w:szCs w:val="24"/>
          <w:lang w:val="zh-CN"/>
        </w:rPr>
        <w:t>由于其他方案方面的考虑</w:t>
      </w:r>
      <w:r>
        <w:rPr>
          <w:sz w:val="24"/>
          <w:szCs w:val="24"/>
          <w:lang w:val="en-US"/>
        </w:rPr>
        <w:t>，</w:t>
      </w:r>
      <w:r>
        <w:rPr>
          <w:sz w:val="24"/>
          <w:szCs w:val="24"/>
          <w:lang w:val="zh-CN"/>
        </w:rPr>
        <w:t>这笔资金尚未分配用于能源效率项目的集中或区域支持</w:t>
      </w:r>
      <w:r>
        <w:rPr>
          <w:sz w:val="24"/>
          <w:szCs w:val="24"/>
          <w:lang w:val="en-US"/>
        </w:rPr>
        <w:t>，</w:t>
      </w:r>
      <w:r>
        <w:rPr>
          <w:sz w:val="24"/>
          <w:szCs w:val="24"/>
          <w:lang w:val="zh-CN"/>
        </w:rPr>
        <w:t>目前正在与各区域履约协助方案团队进行磋商</w:t>
      </w:r>
      <w:r>
        <w:rPr>
          <w:sz w:val="24"/>
          <w:szCs w:val="24"/>
          <w:lang w:val="en-US"/>
        </w:rPr>
        <w:t>，</w:t>
      </w:r>
      <w:r>
        <w:rPr>
          <w:sz w:val="24"/>
          <w:szCs w:val="24"/>
          <w:lang w:val="zh-CN"/>
        </w:rPr>
        <w:t>目标是在第九十七次会议之前落实资金使用。根据惯例</w:t>
      </w:r>
      <w:r>
        <w:rPr>
          <w:sz w:val="24"/>
          <w:szCs w:val="24"/>
          <w:lang w:val="en-US"/>
        </w:rPr>
        <w:t>，</w:t>
      </w:r>
      <w:r>
        <w:rPr>
          <w:sz w:val="24"/>
          <w:szCs w:val="24"/>
          <w:lang w:val="zh-CN"/>
        </w:rPr>
        <w:t>任何在</w:t>
      </w:r>
      <w:r>
        <w:rPr>
          <w:sz w:val="24"/>
          <w:szCs w:val="24"/>
          <w:lang w:val="en-US"/>
        </w:rPr>
        <w:t>2025</w:t>
      </w:r>
      <w:r>
        <w:rPr>
          <w:sz w:val="24"/>
          <w:szCs w:val="24"/>
          <w:lang w:val="zh-CN"/>
        </w:rPr>
        <w:t>年底前未使用的资</w:t>
      </w:r>
      <w:r>
        <w:rPr>
          <w:sz w:val="24"/>
          <w:szCs w:val="24"/>
          <w:lang w:val="zh-CN"/>
        </w:rPr>
        <w:lastRenderedPageBreak/>
        <w:t>金都将退还给多边基金。表</w:t>
      </w:r>
      <w:r>
        <w:rPr>
          <w:sz w:val="24"/>
          <w:szCs w:val="24"/>
          <w:lang w:val="zh-CN"/>
        </w:rPr>
        <w:t>2</w:t>
      </w:r>
      <w:r>
        <w:rPr>
          <w:sz w:val="24"/>
          <w:szCs w:val="24"/>
          <w:lang w:val="zh-CN"/>
        </w:rPr>
        <w:t>列出了</w:t>
      </w:r>
      <w:r>
        <w:rPr>
          <w:sz w:val="24"/>
          <w:szCs w:val="24"/>
          <w:lang w:val="zh-CN"/>
        </w:rPr>
        <w:t>2025</w:t>
      </w:r>
      <w:r>
        <w:rPr>
          <w:sz w:val="24"/>
          <w:szCs w:val="24"/>
          <w:lang w:val="zh-CN"/>
        </w:rPr>
        <w:t>年批准的履约协助方案预算与</w:t>
      </w:r>
      <w:r>
        <w:rPr>
          <w:sz w:val="24"/>
          <w:szCs w:val="24"/>
          <w:lang w:val="zh-CN"/>
        </w:rPr>
        <w:t>2026</w:t>
      </w:r>
      <w:r>
        <w:rPr>
          <w:sz w:val="24"/>
          <w:szCs w:val="24"/>
          <w:lang w:val="zh-CN"/>
        </w:rPr>
        <w:t>年拟议预算的比较。</w:t>
      </w:r>
      <w:r>
        <w:rPr>
          <w:sz w:val="24"/>
          <w:szCs w:val="24"/>
        </w:rPr>
        <w:t xml:space="preserve">  </w:t>
      </w:r>
    </w:p>
    <w:p w14:paraId="3B5F81D3" w14:textId="38B9A80C" w:rsidR="00666293" w:rsidRPr="00F44A2E" w:rsidRDefault="00666293">
      <w:pPr>
        <w:pStyle w:val="Heading1"/>
        <w:keepNext/>
        <w:numPr>
          <w:ilvl w:val="0"/>
          <w:numId w:val="0"/>
        </w:numPr>
        <w:tabs>
          <w:tab w:val="left" w:pos="720"/>
        </w:tabs>
        <w:topLinePunct/>
        <w:spacing w:after="0"/>
        <w:rPr>
          <w:rFonts w:eastAsia="SimHei"/>
          <w:b/>
        </w:rPr>
      </w:pPr>
      <w:r w:rsidRPr="00F44A2E">
        <w:rPr>
          <w:rFonts w:eastAsia="SimHei"/>
          <w:b/>
          <w:lang w:val="zh-CN"/>
        </w:rPr>
        <w:t>表</w:t>
      </w:r>
      <w:r w:rsidRPr="00F44A2E">
        <w:rPr>
          <w:rFonts w:eastAsia="SimHei"/>
          <w:b/>
          <w:lang w:val="en-US"/>
        </w:rPr>
        <w:t xml:space="preserve">2. </w:t>
      </w:r>
      <w:r w:rsidRPr="00F44A2E">
        <w:rPr>
          <w:rFonts w:eastAsia="SimHei"/>
          <w:b/>
          <w:lang w:val="zh-CN"/>
        </w:rPr>
        <w:t>2025</w:t>
      </w:r>
      <w:r w:rsidRPr="00F44A2E">
        <w:rPr>
          <w:rFonts w:eastAsia="SimHei"/>
          <w:b/>
          <w:lang w:val="zh-CN"/>
        </w:rPr>
        <w:t>年批准的履约协助方案预算与</w:t>
      </w:r>
      <w:r w:rsidRPr="00F44A2E">
        <w:rPr>
          <w:rFonts w:eastAsia="SimHei"/>
          <w:b/>
          <w:lang w:val="zh-CN"/>
        </w:rPr>
        <w:t>2026</w:t>
      </w:r>
      <w:r w:rsidRPr="00F44A2E">
        <w:rPr>
          <w:rFonts w:eastAsia="SimHei"/>
          <w:b/>
          <w:lang w:val="zh-CN"/>
        </w:rPr>
        <w:t>年拟议预算的比较（美元）</w:t>
      </w:r>
    </w:p>
    <w:tbl>
      <w:tblPr>
        <w:tblW w:w="5000" w:type="pct"/>
        <w:tblLayout w:type="fixed"/>
        <w:tblLook w:val="00A0" w:firstRow="1" w:lastRow="0" w:firstColumn="1" w:lastColumn="0" w:noHBand="0" w:noVBand="0"/>
      </w:tblPr>
      <w:tblGrid>
        <w:gridCol w:w="3585"/>
        <w:gridCol w:w="1494"/>
        <w:gridCol w:w="1494"/>
        <w:gridCol w:w="1494"/>
        <w:gridCol w:w="1496"/>
      </w:tblGrid>
      <w:tr w:rsidR="00666293" w14:paraId="7FA17D9E" w14:textId="77777777">
        <w:trPr>
          <w:tblHeader/>
        </w:trPr>
        <w:tc>
          <w:tcPr>
            <w:tcW w:w="1874" w:type="pct"/>
            <w:tcBorders>
              <w:top w:val="single" w:sz="4" w:space="0" w:color="auto"/>
              <w:left w:val="single" w:sz="4" w:space="0" w:color="auto"/>
              <w:bottom w:val="single" w:sz="4" w:space="0" w:color="auto"/>
              <w:right w:val="single" w:sz="4" w:space="0" w:color="auto"/>
            </w:tcBorders>
            <w:noWrap/>
            <w:vAlign w:val="center"/>
          </w:tcPr>
          <w:p w14:paraId="5A045C89" w14:textId="77777777" w:rsidR="00666293" w:rsidRDefault="00666293">
            <w:pPr>
              <w:keepNext/>
              <w:topLinePunct/>
              <w:jc w:val="left"/>
              <w:rPr>
                <w:szCs w:val="24"/>
              </w:rPr>
            </w:pPr>
            <w:r>
              <w:rPr>
                <w:rFonts w:ascii="SimSun" w:hint="eastAsia"/>
                <w:b/>
                <w:sz w:val="20"/>
                <w:szCs w:val="24"/>
                <w:lang w:val="zh-CN"/>
              </w:rPr>
              <w:t>预算项目</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tcPr>
          <w:p w14:paraId="745EC849" w14:textId="1F1716B4" w:rsidR="00666293" w:rsidRDefault="00666293">
            <w:pPr>
              <w:keepNext/>
              <w:topLinePunct/>
              <w:jc w:val="center"/>
              <w:rPr>
                <w:szCs w:val="24"/>
              </w:rPr>
            </w:pPr>
            <w:r>
              <w:rPr>
                <w:rFonts w:ascii="SimSun"/>
                <w:b/>
                <w:sz w:val="20"/>
                <w:szCs w:val="24"/>
                <w:lang w:val="zh-CN"/>
              </w:rPr>
              <w:t>2025</w:t>
            </w:r>
            <w:r>
              <w:rPr>
                <w:rFonts w:ascii="SimSun" w:hint="eastAsia"/>
                <w:b/>
                <w:sz w:val="20"/>
                <w:szCs w:val="24"/>
                <w:lang w:val="zh-CN"/>
              </w:rPr>
              <w:t>年批准的</w:t>
            </w:r>
            <w:r w:rsidR="0004335A">
              <w:rPr>
                <w:rFonts w:ascii="SimSun"/>
                <w:b/>
                <w:sz w:val="20"/>
                <w:szCs w:val="24"/>
                <w:lang w:val="zh-CN"/>
              </w:rPr>
              <w:br/>
            </w:r>
            <w:r>
              <w:rPr>
                <w:rFonts w:ascii="SimSun" w:hint="eastAsia"/>
                <w:b/>
                <w:sz w:val="20"/>
                <w:szCs w:val="24"/>
                <w:lang w:val="zh-CN"/>
              </w:rPr>
              <w:t>预算</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tcPr>
          <w:p w14:paraId="73369486" w14:textId="53CEB55B" w:rsidR="00666293" w:rsidRDefault="00666293">
            <w:pPr>
              <w:keepNext/>
              <w:topLinePunct/>
              <w:jc w:val="center"/>
              <w:rPr>
                <w:szCs w:val="24"/>
              </w:rPr>
            </w:pPr>
            <w:r>
              <w:rPr>
                <w:rFonts w:ascii="SimSun"/>
                <w:b/>
                <w:sz w:val="20"/>
                <w:szCs w:val="24"/>
                <w:lang w:val="zh-CN"/>
              </w:rPr>
              <w:t>2026</w:t>
            </w:r>
            <w:r>
              <w:rPr>
                <w:rFonts w:ascii="SimSun" w:hint="eastAsia"/>
                <w:b/>
                <w:sz w:val="20"/>
                <w:szCs w:val="24"/>
                <w:lang w:val="zh-CN"/>
              </w:rPr>
              <w:t>年拟议的</w:t>
            </w:r>
            <w:r w:rsidR="0004335A">
              <w:rPr>
                <w:rFonts w:ascii="SimSun"/>
                <w:b/>
                <w:sz w:val="20"/>
                <w:szCs w:val="24"/>
                <w:lang w:val="zh-CN"/>
              </w:rPr>
              <w:br/>
            </w:r>
            <w:r>
              <w:rPr>
                <w:rFonts w:ascii="SimSun" w:hint="eastAsia"/>
                <w:b/>
                <w:sz w:val="20"/>
                <w:szCs w:val="24"/>
                <w:lang w:val="zh-CN"/>
              </w:rPr>
              <w:t>预算</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tcPr>
          <w:p w14:paraId="0FECCA33" w14:textId="77777777" w:rsidR="00666293" w:rsidRDefault="00666293">
            <w:pPr>
              <w:keepNext/>
              <w:topLinePunct/>
              <w:jc w:val="center"/>
              <w:rPr>
                <w:szCs w:val="24"/>
              </w:rPr>
            </w:pPr>
            <w:r>
              <w:rPr>
                <w:rFonts w:ascii="SimSun" w:hint="eastAsia"/>
                <w:b/>
                <w:sz w:val="20"/>
                <w:szCs w:val="24"/>
                <w:lang w:val="zh-CN"/>
              </w:rPr>
              <w:t>差额</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tcPr>
          <w:p w14:paraId="0A15C133" w14:textId="77777777" w:rsidR="00666293" w:rsidRDefault="00666293">
            <w:pPr>
              <w:keepNext/>
              <w:topLinePunct/>
              <w:jc w:val="center"/>
              <w:rPr>
                <w:szCs w:val="24"/>
              </w:rPr>
            </w:pPr>
            <w:r>
              <w:rPr>
                <w:rFonts w:ascii="SimSun" w:hint="eastAsia"/>
                <w:b/>
                <w:sz w:val="20"/>
                <w:szCs w:val="24"/>
                <w:lang w:val="zh-CN"/>
              </w:rPr>
              <w:t>改变</w:t>
            </w:r>
            <w:r>
              <w:rPr>
                <w:rFonts w:ascii="SimSun"/>
                <w:b/>
                <w:sz w:val="20"/>
                <w:szCs w:val="24"/>
                <w:lang w:val="zh-CN"/>
              </w:rPr>
              <w:br/>
            </w:r>
            <w:r>
              <w:rPr>
                <w:rFonts w:ascii="SimSun" w:hint="eastAsia"/>
                <w:b/>
                <w:sz w:val="20"/>
                <w:szCs w:val="24"/>
                <w:lang w:val="zh-CN"/>
              </w:rPr>
              <w:t>（</w:t>
            </w:r>
            <w:r>
              <w:rPr>
                <w:rFonts w:ascii="SimSun"/>
                <w:b/>
                <w:sz w:val="20"/>
                <w:szCs w:val="24"/>
                <w:lang w:val="zh-CN"/>
              </w:rPr>
              <w:t>%</w:t>
            </w:r>
            <w:r>
              <w:rPr>
                <w:rFonts w:ascii="SimSun" w:hint="eastAsia"/>
                <w:b/>
                <w:sz w:val="20"/>
                <w:szCs w:val="24"/>
                <w:lang w:val="zh-CN"/>
              </w:rPr>
              <w:t>）</w:t>
            </w:r>
          </w:p>
        </w:tc>
      </w:tr>
      <w:tr w:rsidR="00666293" w14:paraId="3B6CBEAE" w14:textId="77777777">
        <w:trPr>
          <w:trHeight w:val="70"/>
        </w:trPr>
        <w:tc>
          <w:tcPr>
            <w:tcW w:w="1874" w:type="pct"/>
            <w:tcBorders>
              <w:top w:val="nil"/>
              <w:left w:val="single" w:sz="4" w:space="0" w:color="auto"/>
              <w:bottom w:val="single" w:sz="4" w:space="0" w:color="auto"/>
              <w:right w:val="single" w:sz="4" w:space="0" w:color="auto"/>
            </w:tcBorders>
          </w:tcPr>
          <w:p w14:paraId="715D0A29" w14:textId="77777777" w:rsidR="00666293" w:rsidRDefault="00666293">
            <w:pPr>
              <w:topLinePunct/>
              <w:jc w:val="left"/>
              <w:rPr>
                <w:szCs w:val="24"/>
              </w:rPr>
            </w:pPr>
            <w:r>
              <w:rPr>
                <w:sz w:val="20"/>
                <w:szCs w:val="24"/>
                <w:lang w:val="zh-CN"/>
              </w:rPr>
              <w:t>1100 (</w:t>
            </w:r>
            <w:r>
              <w:rPr>
                <w:rFonts w:ascii="SimSun" w:hint="eastAsia"/>
                <w:sz w:val="20"/>
                <w:szCs w:val="24"/>
                <w:lang w:val="zh-CN"/>
              </w:rPr>
              <w:t>人事费</w:t>
            </w:r>
            <w:r>
              <w:rPr>
                <w:sz w:val="20"/>
                <w:szCs w:val="24"/>
                <w:lang w:val="zh-CN"/>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95BB92A" w14:textId="77777777" w:rsidR="00666293" w:rsidRDefault="00666293">
            <w:pPr>
              <w:topLinePunct/>
              <w:jc w:val="right"/>
              <w:rPr>
                <w:color w:val="000000"/>
                <w:sz w:val="20"/>
                <w:szCs w:val="24"/>
              </w:rPr>
            </w:pPr>
            <w:r>
              <w:rPr>
                <w:color w:val="000000"/>
                <w:sz w:val="20"/>
                <w:szCs w:val="24"/>
              </w:rPr>
              <w:t>7,854,531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EDB33E2" w14:textId="77777777" w:rsidR="00666293" w:rsidRDefault="00666293">
            <w:pPr>
              <w:topLinePunct/>
              <w:jc w:val="right"/>
              <w:rPr>
                <w:color w:val="000000"/>
                <w:sz w:val="20"/>
                <w:szCs w:val="24"/>
              </w:rPr>
            </w:pPr>
            <w:r>
              <w:rPr>
                <w:color w:val="000000"/>
                <w:sz w:val="20"/>
                <w:szCs w:val="24"/>
              </w:rPr>
              <w:t>8,090,167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A6244B5" w14:textId="77777777" w:rsidR="00666293" w:rsidRDefault="00666293">
            <w:pPr>
              <w:topLinePunct/>
              <w:jc w:val="right"/>
              <w:rPr>
                <w:color w:val="000000"/>
                <w:sz w:val="20"/>
                <w:szCs w:val="24"/>
              </w:rPr>
            </w:pPr>
            <w:r>
              <w:rPr>
                <w:color w:val="000000"/>
                <w:sz w:val="20"/>
                <w:szCs w:val="24"/>
              </w:rPr>
              <w:t>235,636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6F2CB43" w14:textId="77777777" w:rsidR="00666293" w:rsidRDefault="00666293">
            <w:pPr>
              <w:topLinePunct/>
              <w:jc w:val="right"/>
              <w:rPr>
                <w:color w:val="000000"/>
                <w:sz w:val="20"/>
                <w:szCs w:val="24"/>
              </w:rPr>
            </w:pPr>
            <w:r>
              <w:rPr>
                <w:color w:val="000000"/>
                <w:sz w:val="20"/>
                <w:szCs w:val="24"/>
              </w:rPr>
              <w:t>3.00</w:t>
            </w:r>
          </w:p>
        </w:tc>
      </w:tr>
      <w:tr w:rsidR="00666293" w14:paraId="0DF03A51" w14:textId="77777777">
        <w:tc>
          <w:tcPr>
            <w:tcW w:w="1874" w:type="pct"/>
            <w:tcBorders>
              <w:top w:val="nil"/>
              <w:left w:val="single" w:sz="4" w:space="0" w:color="auto"/>
              <w:bottom w:val="single" w:sz="4" w:space="0" w:color="auto"/>
              <w:right w:val="single" w:sz="4" w:space="0" w:color="auto"/>
            </w:tcBorders>
          </w:tcPr>
          <w:p w14:paraId="55DBDDEB" w14:textId="77777777" w:rsidR="00666293" w:rsidRDefault="00666293">
            <w:pPr>
              <w:topLinePunct/>
              <w:jc w:val="left"/>
              <w:rPr>
                <w:szCs w:val="24"/>
              </w:rPr>
            </w:pPr>
            <w:r>
              <w:rPr>
                <w:sz w:val="20"/>
                <w:szCs w:val="24"/>
                <w:lang w:val="zh-CN"/>
              </w:rPr>
              <w:t>1600</w:t>
            </w:r>
            <w:r>
              <w:rPr>
                <w:rFonts w:ascii="SimSun" w:hint="eastAsia"/>
                <w:sz w:val="20"/>
                <w:szCs w:val="24"/>
                <w:lang w:val="zh-CN"/>
              </w:rPr>
              <w:t>（差旅费）</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EDD6FDD" w14:textId="77777777" w:rsidR="00666293" w:rsidRDefault="00666293">
            <w:pPr>
              <w:topLinePunct/>
              <w:jc w:val="right"/>
              <w:rPr>
                <w:color w:val="000000"/>
                <w:sz w:val="20"/>
                <w:szCs w:val="24"/>
              </w:rPr>
            </w:pPr>
            <w:r>
              <w:rPr>
                <w:color w:val="000000"/>
                <w:sz w:val="20"/>
                <w:szCs w:val="24"/>
              </w:rPr>
              <w:t>575,400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01955EA" w14:textId="77777777" w:rsidR="00666293" w:rsidRDefault="00666293">
            <w:pPr>
              <w:topLinePunct/>
              <w:jc w:val="right"/>
              <w:rPr>
                <w:b/>
                <w:sz w:val="20"/>
                <w:szCs w:val="24"/>
              </w:rPr>
            </w:pPr>
            <w:r>
              <w:rPr>
                <w:color w:val="000000"/>
                <w:sz w:val="20"/>
                <w:szCs w:val="24"/>
              </w:rPr>
              <w:t>571,400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701C9C0" w14:textId="77777777" w:rsidR="00666293" w:rsidRDefault="00666293">
            <w:pPr>
              <w:topLinePunct/>
              <w:jc w:val="right"/>
              <w:rPr>
                <w:color w:val="000000"/>
                <w:sz w:val="20"/>
                <w:szCs w:val="24"/>
              </w:rPr>
            </w:pPr>
            <w:r>
              <w:rPr>
                <w:color w:val="000000"/>
                <w:sz w:val="20"/>
                <w:szCs w:val="24"/>
              </w:rPr>
              <w:t>(4,000)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AA59921" w14:textId="77777777" w:rsidR="00666293" w:rsidRDefault="00666293">
            <w:pPr>
              <w:topLinePunct/>
              <w:jc w:val="right"/>
              <w:rPr>
                <w:color w:val="000000"/>
                <w:sz w:val="20"/>
                <w:szCs w:val="24"/>
              </w:rPr>
            </w:pPr>
            <w:r>
              <w:rPr>
                <w:color w:val="000000"/>
                <w:sz w:val="20"/>
                <w:szCs w:val="24"/>
              </w:rPr>
              <w:t>(0.70)</w:t>
            </w:r>
          </w:p>
        </w:tc>
      </w:tr>
      <w:tr w:rsidR="00666293" w14:paraId="7572ED8E" w14:textId="77777777">
        <w:tc>
          <w:tcPr>
            <w:tcW w:w="1874" w:type="pct"/>
            <w:tcBorders>
              <w:top w:val="nil"/>
              <w:left w:val="single" w:sz="4" w:space="0" w:color="auto"/>
              <w:bottom w:val="single" w:sz="4" w:space="0" w:color="auto"/>
              <w:right w:val="single" w:sz="4" w:space="0" w:color="auto"/>
            </w:tcBorders>
          </w:tcPr>
          <w:p w14:paraId="53F9F929" w14:textId="77777777" w:rsidR="00666293" w:rsidRDefault="00666293">
            <w:pPr>
              <w:topLinePunct/>
              <w:jc w:val="left"/>
              <w:rPr>
                <w:szCs w:val="24"/>
              </w:rPr>
            </w:pPr>
            <w:r>
              <w:rPr>
                <w:sz w:val="20"/>
                <w:szCs w:val="24"/>
                <w:lang w:val="zh-CN"/>
              </w:rPr>
              <w:t>2030</w:t>
            </w:r>
            <w:r>
              <w:rPr>
                <w:rFonts w:ascii="SimSun" w:hint="eastAsia"/>
                <w:sz w:val="20"/>
                <w:szCs w:val="24"/>
                <w:lang w:val="zh-CN"/>
              </w:rPr>
              <w:t>（区域活动）</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7D87B87" w14:textId="77777777" w:rsidR="00666293" w:rsidRDefault="00666293">
            <w:pPr>
              <w:topLinePunct/>
              <w:jc w:val="right"/>
              <w:rPr>
                <w:color w:val="000000"/>
                <w:sz w:val="20"/>
                <w:szCs w:val="24"/>
              </w:rPr>
            </w:pPr>
            <w:r>
              <w:rPr>
                <w:color w:val="000000"/>
                <w:sz w:val="20"/>
                <w:szCs w:val="24"/>
              </w:rPr>
              <w:t>1,316,400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707B786" w14:textId="77777777" w:rsidR="00666293" w:rsidRDefault="00666293">
            <w:pPr>
              <w:topLinePunct/>
              <w:jc w:val="right"/>
              <w:rPr>
                <w:color w:val="000000"/>
                <w:sz w:val="20"/>
                <w:szCs w:val="24"/>
              </w:rPr>
            </w:pPr>
            <w:r>
              <w:rPr>
                <w:color w:val="000000"/>
                <w:sz w:val="20"/>
                <w:szCs w:val="24"/>
              </w:rPr>
              <w:t>1,320,400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E183C1D" w14:textId="77777777" w:rsidR="00666293" w:rsidRDefault="00666293">
            <w:pPr>
              <w:topLinePunct/>
              <w:jc w:val="right"/>
              <w:rPr>
                <w:color w:val="000000"/>
                <w:sz w:val="20"/>
                <w:szCs w:val="24"/>
              </w:rPr>
            </w:pPr>
            <w:r>
              <w:rPr>
                <w:color w:val="000000"/>
                <w:sz w:val="20"/>
                <w:szCs w:val="24"/>
              </w:rPr>
              <w:t>4,000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2C6F35D" w14:textId="77777777" w:rsidR="00666293" w:rsidRDefault="00666293">
            <w:pPr>
              <w:topLinePunct/>
              <w:jc w:val="right"/>
              <w:rPr>
                <w:color w:val="000000"/>
                <w:sz w:val="20"/>
                <w:szCs w:val="24"/>
              </w:rPr>
            </w:pPr>
            <w:r>
              <w:rPr>
                <w:color w:val="000000"/>
                <w:sz w:val="20"/>
                <w:szCs w:val="24"/>
              </w:rPr>
              <w:t>0.30</w:t>
            </w:r>
          </w:p>
        </w:tc>
      </w:tr>
      <w:tr w:rsidR="00666293" w14:paraId="2C90E241" w14:textId="77777777">
        <w:tc>
          <w:tcPr>
            <w:tcW w:w="1874" w:type="pct"/>
            <w:tcBorders>
              <w:top w:val="nil"/>
              <w:left w:val="single" w:sz="4" w:space="0" w:color="auto"/>
              <w:bottom w:val="single" w:sz="4" w:space="0" w:color="auto"/>
              <w:right w:val="single" w:sz="4" w:space="0" w:color="auto"/>
            </w:tcBorders>
          </w:tcPr>
          <w:p w14:paraId="55105852" w14:textId="77777777" w:rsidR="00666293" w:rsidRDefault="00666293">
            <w:pPr>
              <w:topLinePunct/>
              <w:jc w:val="left"/>
              <w:rPr>
                <w:szCs w:val="24"/>
              </w:rPr>
            </w:pPr>
            <w:r>
              <w:rPr>
                <w:sz w:val="20"/>
                <w:szCs w:val="24"/>
                <w:lang w:val="zh-CN"/>
              </w:rPr>
              <w:t>3200</w:t>
            </w:r>
            <w:r>
              <w:rPr>
                <w:rFonts w:ascii="SimSun" w:hint="eastAsia"/>
                <w:sz w:val="20"/>
                <w:szCs w:val="24"/>
                <w:lang w:val="zh-CN"/>
              </w:rPr>
              <w:t>（全球服务）</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F1925D1" w14:textId="77777777" w:rsidR="00666293" w:rsidRDefault="00666293">
            <w:pPr>
              <w:topLinePunct/>
              <w:jc w:val="right"/>
              <w:rPr>
                <w:color w:val="000000"/>
                <w:sz w:val="20"/>
                <w:szCs w:val="24"/>
              </w:rPr>
            </w:pPr>
            <w:r>
              <w:rPr>
                <w:color w:val="000000"/>
                <w:sz w:val="20"/>
                <w:szCs w:val="24"/>
              </w:rPr>
              <w:t>850,000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2CCAF93" w14:textId="77777777" w:rsidR="00666293" w:rsidRDefault="00666293">
            <w:pPr>
              <w:topLinePunct/>
              <w:jc w:val="right"/>
              <w:rPr>
                <w:color w:val="000000"/>
                <w:sz w:val="20"/>
                <w:szCs w:val="24"/>
              </w:rPr>
            </w:pPr>
            <w:r>
              <w:rPr>
                <w:color w:val="000000"/>
                <w:sz w:val="20"/>
                <w:szCs w:val="24"/>
              </w:rPr>
              <w:t>700,000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1785C90" w14:textId="77777777" w:rsidR="00666293" w:rsidRDefault="00666293">
            <w:pPr>
              <w:topLinePunct/>
              <w:jc w:val="right"/>
              <w:rPr>
                <w:color w:val="000000"/>
                <w:sz w:val="20"/>
                <w:szCs w:val="24"/>
              </w:rPr>
            </w:pPr>
            <w:r>
              <w:rPr>
                <w:color w:val="000000"/>
                <w:sz w:val="20"/>
                <w:szCs w:val="24"/>
              </w:rPr>
              <w:t>(150,000)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183E910" w14:textId="77777777" w:rsidR="00666293" w:rsidRDefault="00666293">
            <w:pPr>
              <w:topLinePunct/>
              <w:jc w:val="right"/>
              <w:rPr>
                <w:color w:val="000000"/>
                <w:sz w:val="20"/>
                <w:szCs w:val="24"/>
              </w:rPr>
            </w:pPr>
            <w:r>
              <w:rPr>
                <w:color w:val="000000"/>
                <w:sz w:val="20"/>
                <w:szCs w:val="24"/>
              </w:rPr>
              <w:t>(17.65)</w:t>
            </w:r>
          </w:p>
        </w:tc>
      </w:tr>
      <w:tr w:rsidR="00666293" w14:paraId="3BEC079D" w14:textId="77777777">
        <w:tc>
          <w:tcPr>
            <w:tcW w:w="1874" w:type="pct"/>
            <w:tcBorders>
              <w:top w:val="nil"/>
              <w:left w:val="single" w:sz="4" w:space="0" w:color="auto"/>
              <w:bottom w:val="single" w:sz="4" w:space="0" w:color="auto"/>
              <w:right w:val="single" w:sz="4" w:space="0" w:color="auto"/>
            </w:tcBorders>
          </w:tcPr>
          <w:p w14:paraId="4D44B07A" w14:textId="77777777" w:rsidR="00666293" w:rsidRDefault="00666293">
            <w:pPr>
              <w:topLinePunct/>
              <w:jc w:val="left"/>
              <w:rPr>
                <w:szCs w:val="24"/>
              </w:rPr>
            </w:pPr>
            <w:r>
              <w:rPr>
                <w:rFonts w:ascii="SimSun"/>
                <w:sz w:val="20"/>
                <w:szCs w:val="24"/>
                <w:lang w:val="zh-CN"/>
              </w:rPr>
              <w:t>4210</w:t>
            </w:r>
            <w:r>
              <w:rPr>
                <w:rFonts w:ascii="SimSun" w:hint="eastAsia"/>
                <w:sz w:val="20"/>
                <w:szCs w:val="24"/>
                <w:lang w:val="zh-CN"/>
              </w:rPr>
              <w:t>（咨询和协商会议）</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F33227E" w14:textId="77777777" w:rsidR="00666293" w:rsidRDefault="00666293">
            <w:pPr>
              <w:topLinePunct/>
              <w:jc w:val="right"/>
              <w:rPr>
                <w:color w:val="000000"/>
                <w:sz w:val="20"/>
                <w:szCs w:val="24"/>
              </w:rPr>
            </w:pPr>
            <w:r>
              <w:rPr>
                <w:color w:val="000000"/>
                <w:sz w:val="20"/>
                <w:szCs w:val="24"/>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7BF2460" w14:textId="77777777" w:rsidR="00666293" w:rsidRDefault="00666293">
            <w:pPr>
              <w:topLinePunct/>
              <w:jc w:val="right"/>
              <w:rPr>
                <w:color w:val="000000"/>
                <w:sz w:val="20"/>
                <w:szCs w:val="24"/>
              </w:rPr>
            </w:pPr>
            <w:r>
              <w:rPr>
                <w:color w:val="000000"/>
                <w:sz w:val="20"/>
                <w:szCs w:val="24"/>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AE3403C" w14:textId="77777777" w:rsidR="00666293" w:rsidRDefault="00666293">
            <w:pPr>
              <w:topLinePunct/>
              <w:jc w:val="right"/>
              <w:rPr>
                <w:color w:val="000000"/>
                <w:sz w:val="20"/>
                <w:szCs w:val="24"/>
              </w:rPr>
            </w:pPr>
            <w:r>
              <w:rPr>
                <w:color w:val="000000"/>
                <w:sz w:val="20"/>
                <w:szCs w:val="24"/>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B23EA9B" w14:textId="77777777" w:rsidR="00666293" w:rsidRDefault="00666293">
            <w:pPr>
              <w:topLinePunct/>
              <w:jc w:val="right"/>
              <w:rPr>
                <w:color w:val="000000"/>
                <w:sz w:val="20"/>
                <w:szCs w:val="24"/>
              </w:rPr>
            </w:pPr>
            <w:r>
              <w:rPr>
                <w:color w:val="000000"/>
                <w:sz w:val="20"/>
                <w:szCs w:val="24"/>
              </w:rPr>
              <w:t>0.00</w:t>
            </w:r>
          </w:p>
        </w:tc>
      </w:tr>
      <w:tr w:rsidR="00666293" w14:paraId="5BE753F0" w14:textId="77777777">
        <w:tc>
          <w:tcPr>
            <w:tcW w:w="1874" w:type="pct"/>
            <w:tcBorders>
              <w:top w:val="nil"/>
              <w:left w:val="single" w:sz="4" w:space="0" w:color="auto"/>
              <w:bottom w:val="single" w:sz="4" w:space="0" w:color="auto"/>
              <w:right w:val="single" w:sz="4" w:space="0" w:color="auto"/>
            </w:tcBorders>
          </w:tcPr>
          <w:p w14:paraId="68ECDA90" w14:textId="77777777" w:rsidR="00666293" w:rsidRDefault="00666293">
            <w:pPr>
              <w:topLinePunct/>
              <w:jc w:val="left"/>
              <w:rPr>
                <w:szCs w:val="24"/>
              </w:rPr>
            </w:pPr>
            <w:r>
              <w:rPr>
                <w:sz w:val="20"/>
                <w:szCs w:val="24"/>
                <w:lang w:val="zh-CN"/>
              </w:rPr>
              <w:t>5200</w:t>
            </w:r>
            <w:r>
              <w:rPr>
                <w:rFonts w:ascii="SimSun" w:hint="eastAsia"/>
                <w:sz w:val="20"/>
                <w:szCs w:val="24"/>
                <w:lang w:val="zh-CN"/>
              </w:rPr>
              <w:t>（办公室业务</w:t>
            </w:r>
            <w:r>
              <w:rPr>
                <w:sz w:val="20"/>
                <w:szCs w:val="24"/>
                <w:lang w:val="zh-CN"/>
              </w:rPr>
              <w:t>/</w:t>
            </w:r>
            <w:r>
              <w:rPr>
                <w:rFonts w:ascii="SimSun" w:hint="eastAsia"/>
                <w:sz w:val="20"/>
                <w:szCs w:val="24"/>
                <w:lang w:val="zh-CN"/>
              </w:rPr>
              <w:t>传播）</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189BFEB" w14:textId="77777777" w:rsidR="00666293" w:rsidRDefault="00666293">
            <w:pPr>
              <w:topLinePunct/>
              <w:jc w:val="right"/>
              <w:rPr>
                <w:color w:val="000000"/>
                <w:sz w:val="20"/>
                <w:szCs w:val="24"/>
              </w:rPr>
            </w:pPr>
            <w:r>
              <w:rPr>
                <w:color w:val="000000"/>
                <w:sz w:val="20"/>
                <w:szCs w:val="24"/>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C949301" w14:textId="77777777" w:rsidR="00666293" w:rsidRDefault="00666293">
            <w:pPr>
              <w:topLinePunct/>
              <w:jc w:val="right"/>
              <w:rPr>
                <w:color w:val="000000"/>
                <w:sz w:val="20"/>
                <w:szCs w:val="24"/>
              </w:rPr>
            </w:pPr>
            <w:r>
              <w:rPr>
                <w:color w:val="000000"/>
                <w:sz w:val="20"/>
                <w:szCs w:val="24"/>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AD87822" w14:textId="77777777" w:rsidR="00666293" w:rsidRDefault="00666293">
            <w:pPr>
              <w:topLinePunct/>
              <w:jc w:val="right"/>
              <w:rPr>
                <w:color w:val="000000"/>
                <w:sz w:val="20"/>
                <w:szCs w:val="24"/>
              </w:rPr>
            </w:pPr>
            <w:r>
              <w:rPr>
                <w:color w:val="000000"/>
                <w:sz w:val="20"/>
                <w:szCs w:val="24"/>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D85AA6A" w14:textId="77777777" w:rsidR="00666293" w:rsidRDefault="00666293">
            <w:pPr>
              <w:topLinePunct/>
              <w:jc w:val="right"/>
              <w:rPr>
                <w:color w:val="000000"/>
                <w:sz w:val="20"/>
                <w:szCs w:val="24"/>
              </w:rPr>
            </w:pPr>
            <w:r>
              <w:rPr>
                <w:color w:val="000000"/>
                <w:sz w:val="20"/>
                <w:szCs w:val="24"/>
              </w:rPr>
              <w:t>0.00</w:t>
            </w:r>
          </w:p>
        </w:tc>
      </w:tr>
      <w:tr w:rsidR="00666293" w14:paraId="2C72E30E" w14:textId="77777777">
        <w:tc>
          <w:tcPr>
            <w:tcW w:w="1874" w:type="pct"/>
            <w:tcBorders>
              <w:top w:val="nil"/>
              <w:left w:val="single" w:sz="4" w:space="0" w:color="auto"/>
              <w:bottom w:val="single" w:sz="4" w:space="0" w:color="auto"/>
              <w:right w:val="single" w:sz="4" w:space="0" w:color="auto"/>
            </w:tcBorders>
          </w:tcPr>
          <w:p w14:paraId="548BF734" w14:textId="77777777" w:rsidR="00666293" w:rsidRDefault="00666293">
            <w:pPr>
              <w:topLinePunct/>
              <w:jc w:val="left"/>
              <w:rPr>
                <w:szCs w:val="24"/>
              </w:rPr>
            </w:pPr>
            <w:r>
              <w:rPr>
                <w:rFonts w:ascii="SimSun" w:hint="eastAsia"/>
                <w:b/>
                <w:sz w:val="20"/>
                <w:szCs w:val="24"/>
                <w:lang w:val="zh-CN"/>
              </w:rPr>
              <w:t>共计</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89757A4" w14:textId="77777777" w:rsidR="00666293" w:rsidRDefault="00666293">
            <w:pPr>
              <w:topLinePunct/>
              <w:jc w:val="right"/>
              <w:rPr>
                <w:b/>
                <w:color w:val="000000"/>
                <w:sz w:val="20"/>
                <w:szCs w:val="24"/>
              </w:rPr>
            </w:pPr>
            <w:r>
              <w:rPr>
                <w:b/>
                <w:color w:val="000000"/>
                <w:sz w:val="20"/>
                <w:szCs w:val="24"/>
              </w:rPr>
              <w:t>11,191,331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109E894" w14:textId="77777777" w:rsidR="00666293" w:rsidRDefault="00666293">
            <w:pPr>
              <w:topLinePunct/>
              <w:jc w:val="right"/>
              <w:rPr>
                <w:b/>
                <w:color w:val="000000"/>
                <w:sz w:val="20"/>
                <w:szCs w:val="24"/>
              </w:rPr>
            </w:pPr>
            <w:r>
              <w:rPr>
                <w:b/>
                <w:color w:val="000000"/>
                <w:sz w:val="20"/>
                <w:szCs w:val="24"/>
              </w:rPr>
              <w:t>11,276,967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42C1981" w14:textId="77777777" w:rsidR="00666293" w:rsidRDefault="00666293">
            <w:pPr>
              <w:topLinePunct/>
              <w:jc w:val="right"/>
              <w:rPr>
                <w:b/>
                <w:color w:val="000000"/>
                <w:sz w:val="20"/>
                <w:szCs w:val="24"/>
              </w:rPr>
            </w:pPr>
            <w:r>
              <w:rPr>
                <w:b/>
                <w:sz w:val="20"/>
                <w:szCs w:val="24"/>
              </w:rPr>
              <w:t>85,636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5ADB5C5B" w14:textId="77777777" w:rsidR="00666293" w:rsidRDefault="00666293">
            <w:pPr>
              <w:topLinePunct/>
              <w:jc w:val="right"/>
              <w:rPr>
                <w:b/>
                <w:color w:val="000000"/>
                <w:sz w:val="20"/>
                <w:szCs w:val="24"/>
              </w:rPr>
            </w:pPr>
            <w:r>
              <w:rPr>
                <w:b/>
                <w:color w:val="000000"/>
                <w:sz w:val="20"/>
                <w:szCs w:val="24"/>
              </w:rPr>
              <w:t>0.77</w:t>
            </w:r>
          </w:p>
        </w:tc>
      </w:tr>
    </w:tbl>
    <w:p w14:paraId="4E7D5B50" w14:textId="77777777" w:rsidR="00666293" w:rsidRDefault="00666293">
      <w:pPr>
        <w:topLinePunct/>
        <w:rPr>
          <w:szCs w:val="24"/>
          <w:highlight w:val="green"/>
          <w:lang w:val="en-GB"/>
        </w:rPr>
      </w:pPr>
    </w:p>
    <w:p w14:paraId="3A24F3FD" w14:textId="77777777" w:rsidR="00666293" w:rsidRPr="00BE4CF0" w:rsidRDefault="00666293">
      <w:pPr>
        <w:topLinePunct/>
        <w:spacing w:after="240"/>
        <w:jc w:val="left"/>
        <w:outlineLvl w:val="0"/>
        <w:rPr>
          <w:rFonts w:ascii="SimHei" w:eastAsia="SimHei" w:hAnsi="SimHei"/>
          <w:bCs/>
          <w:sz w:val="28"/>
          <w:szCs w:val="28"/>
        </w:rPr>
      </w:pPr>
      <w:r w:rsidRPr="00BE4CF0">
        <w:rPr>
          <w:rFonts w:ascii="SimHei" w:eastAsia="SimHei" w:hAnsi="SimHei"/>
          <w:bCs/>
          <w:sz w:val="28"/>
          <w:szCs w:val="28"/>
          <w:lang w:val="zh-CN"/>
        </w:rPr>
        <w:t>建议</w:t>
      </w:r>
    </w:p>
    <w:p w14:paraId="36B10847" w14:textId="77777777" w:rsidR="00666293" w:rsidRDefault="00666293">
      <w:pPr>
        <w:numPr>
          <w:ilvl w:val="0"/>
          <w:numId w:val="1"/>
        </w:numPr>
        <w:tabs>
          <w:tab w:val="clear" w:pos="1985"/>
          <w:tab w:val="num" w:pos="0"/>
        </w:tabs>
        <w:topLinePunct/>
        <w:spacing w:after="240"/>
        <w:ind w:left="0"/>
        <w:outlineLvl w:val="0"/>
        <w:rPr>
          <w:sz w:val="24"/>
          <w:szCs w:val="24"/>
        </w:rPr>
      </w:pPr>
      <w:r>
        <w:rPr>
          <w:sz w:val="24"/>
          <w:szCs w:val="24"/>
          <w:lang w:val="zh-CN"/>
        </w:rPr>
        <w:t>根据环境署提供的信息和上述评论</w:t>
      </w:r>
      <w:r>
        <w:rPr>
          <w:sz w:val="24"/>
          <w:szCs w:val="24"/>
        </w:rPr>
        <w:t>，</w:t>
      </w:r>
      <w:r>
        <w:rPr>
          <w:sz w:val="24"/>
          <w:szCs w:val="24"/>
          <w:lang w:val="zh-CN"/>
        </w:rPr>
        <w:t>谨建议执行委员会</w:t>
      </w:r>
      <w:r>
        <w:rPr>
          <w:sz w:val="24"/>
          <w:szCs w:val="24"/>
        </w:rPr>
        <w:t>：</w:t>
      </w:r>
    </w:p>
    <w:p w14:paraId="40975DB1" w14:textId="5AA57F2E" w:rsidR="00666293" w:rsidRDefault="00666293">
      <w:pPr>
        <w:widowControl w:val="0"/>
        <w:numPr>
          <w:ilvl w:val="1"/>
          <w:numId w:val="1"/>
        </w:numPr>
        <w:topLinePunct/>
        <w:spacing w:after="240"/>
        <w:ind w:left="1429"/>
        <w:outlineLvl w:val="1"/>
        <w:rPr>
          <w:sz w:val="24"/>
          <w:szCs w:val="24"/>
        </w:rPr>
      </w:pPr>
      <w:r>
        <w:rPr>
          <w:sz w:val="24"/>
          <w:szCs w:val="24"/>
          <w:lang w:val="zh-CN"/>
        </w:rPr>
        <w:t>注意到</w:t>
      </w:r>
      <w:r>
        <w:rPr>
          <w:sz w:val="24"/>
          <w:szCs w:val="24"/>
        </w:rPr>
        <w:t>UNEP/OzL.Pro/ExCom/97/83</w:t>
      </w:r>
      <w:r>
        <w:rPr>
          <w:sz w:val="24"/>
          <w:szCs w:val="24"/>
          <w:lang w:val="zh-CN"/>
        </w:rPr>
        <w:t>号文件所载环境署履约协助方案</w:t>
      </w:r>
      <w:r>
        <w:rPr>
          <w:sz w:val="24"/>
          <w:szCs w:val="24"/>
        </w:rPr>
        <w:t>2025</w:t>
      </w:r>
      <w:r>
        <w:rPr>
          <w:sz w:val="24"/>
          <w:szCs w:val="24"/>
          <w:lang w:val="zh-CN"/>
        </w:rPr>
        <w:t>年进度报告和</w:t>
      </w:r>
      <w:r>
        <w:rPr>
          <w:sz w:val="24"/>
          <w:szCs w:val="24"/>
        </w:rPr>
        <w:t>2026</w:t>
      </w:r>
      <w:r>
        <w:rPr>
          <w:sz w:val="24"/>
          <w:szCs w:val="24"/>
          <w:lang w:val="zh-CN"/>
        </w:rPr>
        <w:t>年工作计划和预算</w:t>
      </w:r>
      <w:r>
        <w:rPr>
          <w:sz w:val="24"/>
          <w:szCs w:val="24"/>
        </w:rPr>
        <w:t>；</w:t>
      </w:r>
    </w:p>
    <w:p w14:paraId="09F2173C" w14:textId="77777777" w:rsidR="00666293" w:rsidRDefault="00666293">
      <w:pPr>
        <w:pStyle w:val="Heading2"/>
        <w:widowControl/>
        <w:numPr>
          <w:ilvl w:val="1"/>
          <w:numId w:val="1"/>
        </w:numPr>
        <w:topLinePunct/>
        <w:rPr>
          <w:sz w:val="24"/>
          <w:szCs w:val="24"/>
        </w:rPr>
      </w:pPr>
      <w:r>
        <w:rPr>
          <w:sz w:val="24"/>
          <w:szCs w:val="24"/>
          <w:lang w:val="zh-CN"/>
        </w:rPr>
        <w:t>批准</w:t>
      </w:r>
      <w:r>
        <w:rPr>
          <w:sz w:val="24"/>
          <w:szCs w:val="24"/>
        </w:rPr>
        <w:t>2026</w:t>
      </w:r>
      <w:r>
        <w:rPr>
          <w:sz w:val="24"/>
          <w:szCs w:val="24"/>
          <w:lang w:val="zh-CN"/>
        </w:rPr>
        <w:t>年履约协助方案的活动和预算</w:t>
      </w:r>
      <w:r>
        <w:rPr>
          <w:sz w:val="24"/>
          <w:szCs w:val="24"/>
        </w:rPr>
        <w:t>，</w:t>
      </w:r>
      <w:r>
        <w:rPr>
          <w:sz w:val="24"/>
          <w:szCs w:val="24"/>
          <w:lang w:val="zh-CN"/>
        </w:rPr>
        <w:t>数额为</w:t>
      </w:r>
      <w:r>
        <w:rPr>
          <w:sz w:val="24"/>
          <w:szCs w:val="24"/>
        </w:rPr>
        <w:t>11,276,967</w:t>
      </w:r>
      <w:r>
        <w:rPr>
          <w:sz w:val="24"/>
          <w:szCs w:val="24"/>
          <w:lang w:val="zh-CN"/>
        </w:rPr>
        <w:t>美元</w:t>
      </w:r>
      <w:r>
        <w:rPr>
          <w:sz w:val="24"/>
          <w:szCs w:val="24"/>
        </w:rPr>
        <w:t>，</w:t>
      </w:r>
      <w:r>
        <w:rPr>
          <w:sz w:val="24"/>
          <w:szCs w:val="24"/>
          <w:lang w:val="zh-CN"/>
        </w:rPr>
        <w:t>外加</w:t>
      </w:r>
      <w:r>
        <w:rPr>
          <w:sz w:val="24"/>
          <w:szCs w:val="24"/>
        </w:rPr>
        <w:t>8%</w:t>
      </w:r>
      <w:r>
        <w:rPr>
          <w:sz w:val="24"/>
          <w:szCs w:val="24"/>
          <w:lang w:val="zh-CN"/>
        </w:rPr>
        <w:t>的机构支助费用</w:t>
      </w:r>
      <w:r>
        <w:rPr>
          <w:sz w:val="24"/>
          <w:szCs w:val="24"/>
        </w:rPr>
        <w:t>，</w:t>
      </w:r>
      <w:r>
        <w:rPr>
          <w:sz w:val="24"/>
          <w:szCs w:val="24"/>
          <w:lang w:val="zh-CN"/>
        </w:rPr>
        <w:t>数额为</w:t>
      </w:r>
      <w:r>
        <w:rPr>
          <w:sz w:val="24"/>
          <w:szCs w:val="24"/>
        </w:rPr>
        <w:t>902,157</w:t>
      </w:r>
      <w:r>
        <w:rPr>
          <w:sz w:val="24"/>
          <w:szCs w:val="24"/>
          <w:lang w:val="zh-CN"/>
        </w:rPr>
        <w:t>美元</w:t>
      </w:r>
      <w:r>
        <w:rPr>
          <w:sz w:val="24"/>
          <w:szCs w:val="24"/>
        </w:rPr>
        <w:t>，</w:t>
      </w:r>
      <w:r>
        <w:rPr>
          <w:sz w:val="24"/>
          <w:szCs w:val="24"/>
          <w:lang w:val="zh-CN"/>
        </w:rPr>
        <w:t>同时注意到其中提议的调整额</w:t>
      </w:r>
      <w:r>
        <w:rPr>
          <w:sz w:val="24"/>
          <w:szCs w:val="24"/>
        </w:rPr>
        <w:t>；</w:t>
      </w:r>
      <w:r>
        <w:rPr>
          <w:sz w:val="24"/>
          <w:szCs w:val="24"/>
          <w:lang w:val="zh-CN"/>
        </w:rPr>
        <w:t>和</w:t>
      </w:r>
    </w:p>
    <w:p w14:paraId="27721AA9" w14:textId="77777777" w:rsidR="00666293" w:rsidRDefault="00666293">
      <w:pPr>
        <w:pStyle w:val="Heading2"/>
        <w:widowControl/>
        <w:numPr>
          <w:ilvl w:val="1"/>
          <w:numId w:val="1"/>
        </w:numPr>
        <w:topLinePunct/>
        <w:rPr>
          <w:sz w:val="24"/>
          <w:szCs w:val="24"/>
        </w:rPr>
      </w:pPr>
      <w:r>
        <w:rPr>
          <w:sz w:val="24"/>
          <w:szCs w:val="24"/>
          <w:lang w:val="zh-CN"/>
        </w:rPr>
        <w:t>请环境署继续在将来提出的履约协助方案预算文件中：</w:t>
      </w:r>
    </w:p>
    <w:p w14:paraId="5F759245" w14:textId="77777777" w:rsidR="00666293" w:rsidRDefault="00666293" w:rsidP="0073097F">
      <w:pPr>
        <w:pStyle w:val="Heading3"/>
        <w:widowControl/>
        <w:numPr>
          <w:ilvl w:val="2"/>
          <w:numId w:val="1"/>
        </w:numPr>
        <w:tabs>
          <w:tab w:val="left" w:pos="432"/>
        </w:tabs>
        <w:topLinePunct/>
        <w:ind w:left="2592" w:hanging="1152"/>
        <w:jc w:val="left"/>
        <w:rPr>
          <w:sz w:val="24"/>
          <w:szCs w:val="24"/>
        </w:rPr>
      </w:pPr>
      <w:r>
        <w:rPr>
          <w:sz w:val="24"/>
          <w:szCs w:val="24"/>
          <w:lang w:val="zh-CN"/>
        </w:rPr>
        <w:t>提供有关使用全球资金开展的活动的详细信息；</w:t>
      </w:r>
    </w:p>
    <w:p w14:paraId="3C7948D8" w14:textId="77777777" w:rsidR="00666293" w:rsidRDefault="00666293" w:rsidP="0073097F">
      <w:pPr>
        <w:pStyle w:val="Heading3"/>
        <w:widowControl/>
        <w:numPr>
          <w:ilvl w:val="2"/>
          <w:numId w:val="1"/>
        </w:numPr>
        <w:topLinePunct/>
        <w:ind w:left="2592" w:hanging="1152"/>
        <w:jc w:val="left"/>
        <w:rPr>
          <w:sz w:val="24"/>
          <w:szCs w:val="24"/>
        </w:rPr>
      </w:pPr>
      <w:r>
        <w:rPr>
          <w:sz w:val="24"/>
          <w:szCs w:val="24"/>
          <w:lang w:val="zh-CN"/>
        </w:rPr>
        <w:t>扩大履约协助方案各预算项目之间的供资优先次序</w:t>
      </w:r>
      <w:r>
        <w:rPr>
          <w:sz w:val="24"/>
          <w:szCs w:val="24"/>
        </w:rPr>
        <w:t>，</w:t>
      </w:r>
      <w:r>
        <w:rPr>
          <w:sz w:val="24"/>
          <w:szCs w:val="24"/>
          <w:lang w:val="zh-CN"/>
        </w:rPr>
        <w:t>以便配合不断变化的优先事项</w:t>
      </w:r>
      <w:r>
        <w:rPr>
          <w:sz w:val="24"/>
          <w:szCs w:val="24"/>
        </w:rPr>
        <w:t>，</w:t>
      </w:r>
      <w:r>
        <w:rPr>
          <w:sz w:val="24"/>
          <w:szCs w:val="24"/>
          <w:lang w:val="zh-CN"/>
        </w:rPr>
        <w:t>并提供详细情况说明依照第</w:t>
      </w:r>
      <w:r>
        <w:rPr>
          <w:sz w:val="24"/>
          <w:szCs w:val="24"/>
        </w:rPr>
        <w:t>47/24</w:t>
      </w:r>
      <w:r>
        <w:rPr>
          <w:sz w:val="24"/>
          <w:szCs w:val="24"/>
          <w:lang w:val="zh-CN"/>
        </w:rPr>
        <w:t>号和第</w:t>
      </w:r>
      <w:r>
        <w:rPr>
          <w:sz w:val="24"/>
          <w:szCs w:val="24"/>
        </w:rPr>
        <w:t>50/26</w:t>
      </w:r>
      <w:r>
        <w:rPr>
          <w:sz w:val="24"/>
          <w:szCs w:val="24"/>
          <w:lang w:val="zh-CN"/>
        </w:rPr>
        <w:t>号决定对预算所作的重新分配</w:t>
      </w:r>
      <w:r>
        <w:rPr>
          <w:sz w:val="24"/>
          <w:szCs w:val="24"/>
        </w:rPr>
        <w:t>；</w:t>
      </w:r>
    </w:p>
    <w:p w14:paraId="13EC4FE7" w14:textId="77777777" w:rsidR="00666293" w:rsidRDefault="00666293" w:rsidP="0073097F">
      <w:pPr>
        <w:pStyle w:val="Heading3"/>
        <w:numPr>
          <w:ilvl w:val="2"/>
          <w:numId w:val="1"/>
        </w:numPr>
        <w:topLinePunct/>
        <w:ind w:left="2592" w:hanging="1152"/>
        <w:jc w:val="left"/>
        <w:rPr>
          <w:sz w:val="24"/>
          <w:szCs w:val="24"/>
        </w:rPr>
      </w:pPr>
      <w:r>
        <w:rPr>
          <w:sz w:val="24"/>
          <w:szCs w:val="24"/>
          <w:lang w:val="zh-CN"/>
        </w:rPr>
        <w:t>报告现有工作人员员额的职等</w:t>
      </w:r>
      <w:r>
        <w:rPr>
          <w:sz w:val="24"/>
          <w:szCs w:val="24"/>
        </w:rPr>
        <w:t>，</w:t>
      </w:r>
      <w:r>
        <w:rPr>
          <w:sz w:val="24"/>
          <w:szCs w:val="24"/>
          <w:lang w:val="zh-CN"/>
        </w:rPr>
        <w:t>并向执行委员会通报其中的任何变化</w:t>
      </w:r>
      <w:r>
        <w:rPr>
          <w:sz w:val="24"/>
          <w:szCs w:val="24"/>
        </w:rPr>
        <w:t>，</w:t>
      </w:r>
      <w:r>
        <w:rPr>
          <w:sz w:val="24"/>
          <w:szCs w:val="24"/>
          <w:lang w:val="zh-CN"/>
        </w:rPr>
        <w:t>特别是与增加预算拨款有关的变化</w:t>
      </w:r>
      <w:r>
        <w:rPr>
          <w:sz w:val="24"/>
          <w:szCs w:val="24"/>
        </w:rPr>
        <w:t>；</w:t>
      </w:r>
      <w:r>
        <w:rPr>
          <w:sz w:val="24"/>
          <w:szCs w:val="24"/>
          <w:lang w:val="zh-CN"/>
        </w:rPr>
        <w:t>和</w:t>
      </w:r>
    </w:p>
    <w:p w14:paraId="6BC204B1" w14:textId="77777777" w:rsidR="00666293" w:rsidRDefault="00666293" w:rsidP="0073097F">
      <w:pPr>
        <w:pStyle w:val="Heading3"/>
        <w:widowControl/>
        <w:numPr>
          <w:ilvl w:val="2"/>
          <w:numId w:val="1"/>
        </w:numPr>
        <w:topLinePunct/>
        <w:ind w:left="2592" w:hanging="1152"/>
        <w:jc w:val="left"/>
        <w:rPr>
          <w:sz w:val="24"/>
          <w:szCs w:val="24"/>
        </w:rPr>
      </w:pPr>
      <w:r>
        <w:rPr>
          <w:sz w:val="24"/>
          <w:szCs w:val="24"/>
          <w:lang w:val="zh-CN"/>
        </w:rPr>
        <w:t>提供本年度预算以及上一年度之前一年的费用报告</w:t>
      </w:r>
      <w:r>
        <w:rPr>
          <w:sz w:val="24"/>
          <w:szCs w:val="24"/>
        </w:rPr>
        <w:t>，</w:t>
      </w:r>
      <w:r>
        <w:rPr>
          <w:sz w:val="24"/>
          <w:szCs w:val="24"/>
          <w:lang w:val="zh-CN"/>
        </w:rPr>
        <w:t>同时注意到上文</w:t>
      </w:r>
      <w:r>
        <w:rPr>
          <w:sz w:val="24"/>
          <w:szCs w:val="24"/>
        </w:rPr>
        <w:t xml:space="preserve"> (c)(</w:t>
      </w:r>
      <w:r>
        <w:rPr>
          <w:sz w:val="24"/>
          <w:szCs w:val="24"/>
          <w:lang w:val="zh-CN"/>
        </w:rPr>
        <w:t>二</w:t>
      </w:r>
      <w:r>
        <w:rPr>
          <w:sz w:val="24"/>
          <w:szCs w:val="24"/>
        </w:rPr>
        <w:t>)</w:t>
      </w:r>
      <w:r>
        <w:rPr>
          <w:sz w:val="24"/>
          <w:szCs w:val="24"/>
          <w:lang w:val="zh-CN"/>
        </w:rPr>
        <w:t>和</w:t>
      </w:r>
      <w:r>
        <w:rPr>
          <w:sz w:val="24"/>
          <w:szCs w:val="24"/>
        </w:rPr>
        <w:t xml:space="preserve"> (c)(</w:t>
      </w:r>
      <w:r>
        <w:rPr>
          <w:sz w:val="24"/>
          <w:szCs w:val="24"/>
          <w:lang w:val="zh-CN"/>
        </w:rPr>
        <w:t>三</w:t>
      </w:r>
      <w:r>
        <w:rPr>
          <w:sz w:val="24"/>
          <w:szCs w:val="24"/>
        </w:rPr>
        <w:t>)</w:t>
      </w:r>
      <w:r>
        <w:rPr>
          <w:sz w:val="24"/>
          <w:szCs w:val="24"/>
          <w:lang w:val="zh-CN"/>
        </w:rPr>
        <w:t>分段。</w:t>
      </w:r>
      <w:r>
        <w:rPr>
          <w:sz w:val="24"/>
          <w:szCs w:val="24"/>
        </w:rPr>
        <w:t xml:space="preserve"> </w:t>
      </w:r>
    </w:p>
    <w:p w14:paraId="0D3AE7D9" w14:textId="77777777" w:rsidR="00666293" w:rsidRDefault="00666293">
      <w:pPr>
        <w:topLinePunct/>
        <w:rPr>
          <w:szCs w:val="24"/>
        </w:rPr>
      </w:pPr>
    </w:p>
    <w:sectPr w:rsidR="00666293" w:rsidSect="007B2F82">
      <w:headerReference w:type="even" r:id="rId12"/>
      <w:headerReference w:type="default" r:id="rId13"/>
      <w:footerReference w:type="even" r:id="rId14"/>
      <w:footerReference w:type="default" r:id="rId15"/>
      <w:footerReference w:type="first" r:id="rId16"/>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89BB8" w14:textId="77777777" w:rsidR="008B7426" w:rsidRDefault="008B7426">
      <w:pPr>
        <w:rPr>
          <w:szCs w:val="24"/>
        </w:rPr>
      </w:pPr>
      <w:r>
        <w:rPr>
          <w:szCs w:val="24"/>
        </w:rPr>
        <w:separator/>
      </w:r>
    </w:p>
  </w:endnote>
  <w:endnote w:type="continuationSeparator" w:id="0">
    <w:p w14:paraId="42AB3C93" w14:textId="77777777" w:rsidR="008B7426" w:rsidRDefault="008B742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1A84" w14:textId="77777777" w:rsidR="00666293" w:rsidRDefault="00666293">
    <w:pPr>
      <w:jc w:val="center"/>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D9D0" w14:textId="77777777" w:rsidR="00666293" w:rsidRDefault="00666293">
    <w:pPr>
      <w:jc w:val="center"/>
      <w:rPr>
        <w:szCs w:val="24"/>
      </w:rPr>
    </w:pPr>
    <w:r>
      <w:rPr>
        <w:szCs w:val="24"/>
      </w:rPr>
      <w:fldChar w:fldCharType="begin"/>
    </w:r>
    <w:r>
      <w:rPr>
        <w:szCs w:val="24"/>
      </w:rPr>
      <w:instrText xml:space="preserve"> PAGE </w:instrText>
    </w:r>
    <w:r>
      <w:rPr>
        <w:szCs w:val="24"/>
      </w:rPr>
      <w:fldChar w:fldCharType="separate"/>
    </w:r>
    <w:r>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2357" w14:textId="77777777" w:rsidR="00995C5C" w:rsidRDefault="00995C5C" w:rsidP="00995C5C">
    <w:pPr>
      <w:pBdr>
        <w:top w:val="single" w:sz="4" w:space="0" w:color="auto"/>
        <w:left w:val="single" w:sz="4" w:space="4" w:color="auto"/>
        <w:bottom w:val="single" w:sz="4" w:space="1" w:color="auto"/>
        <w:right w:val="single" w:sz="4" w:space="4" w:color="auto"/>
      </w:pBdr>
      <w:spacing w:before="60" w:after="60"/>
      <w:jc w:val="center"/>
      <w:rPr>
        <w:rFonts w:ascii="SimSun" w:hAnsi="SimSun" w:cs="SimSun"/>
        <w:sz w:val="20"/>
        <w:szCs w:val="20"/>
        <w:lang w:val="en-US"/>
      </w:rPr>
    </w:pPr>
    <w:r w:rsidRPr="003066DB">
      <w:rPr>
        <w:rFonts w:ascii="SimSun" w:hAnsi="SimSun" w:cs="SimSun"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4E7F1" w14:textId="77777777" w:rsidR="008B7426" w:rsidRDefault="008B7426">
      <w:pPr>
        <w:rPr>
          <w:szCs w:val="24"/>
        </w:rPr>
      </w:pPr>
      <w:r>
        <w:rPr>
          <w:szCs w:val="24"/>
        </w:rPr>
        <w:separator/>
      </w:r>
    </w:p>
  </w:footnote>
  <w:footnote w:type="continuationSeparator" w:id="0">
    <w:p w14:paraId="3250D85E" w14:textId="77777777" w:rsidR="008B7426" w:rsidRDefault="008B7426">
      <w:pPr>
        <w:rPr>
          <w:szCs w:val="24"/>
        </w:rPr>
      </w:pPr>
      <w:r>
        <w:rPr>
          <w:szCs w:val="24"/>
        </w:rPr>
        <w:continuationSeparator/>
      </w:r>
    </w:p>
  </w:footnote>
  <w:footnote w:id="1">
    <w:p w14:paraId="1CBE35E7" w14:textId="77777777" w:rsidR="00666293" w:rsidRDefault="00666293">
      <w:pPr>
        <w:pStyle w:val="FootnoteText"/>
      </w:pPr>
      <w:r>
        <w:rPr>
          <w:rStyle w:val="FootnoteReference"/>
          <w:szCs w:val="24"/>
        </w:rPr>
        <w:footnoteRef/>
      </w:r>
      <w:r>
        <w:rPr>
          <w:szCs w:val="24"/>
        </w:rPr>
        <w:t xml:space="preserve"> </w:t>
      </w:r>
      <w:r w:rsidRPr="00EB58A5">
        <w:rPr>
          <w:rFonts w:ascii="SimSun"/>
          <w:szCs w:val="24"/>
          <w:lang w:val="en-US"/>
        </w:rPr>
        <w:t>UNEP/OzL.Pro/ExCom/97/1</w:t>
      </w:r>
      <w:r>
        <w:rPr>
          <w:rFonts w:ascii="SimSun" w:hint="eastAsia"/>
          <w:szCs w:val="24"/>
          <w:lang w:val="zh-CN"/>
        </w:rPr>
        <w:t>。</w:t>
      </w:r>
    </w:p>
  </w:footnote>
  <w:footnote w:id="2">
    <w:p w14:paraId="48269D2F" w14:textId="77777777" w:rsidR="00666293" w:rsidRDefault="00666293">
      <w:pPr>
        <w:pStyle w:val="FootnoteText"/>
      </w:pPr>
      <w:r>
        <w:rPr>
          <w:rStyle w:val="FootnoteReference"/>
          <w:szCs w:val="24"/>
        </w:rPr>
        <w:footnoteRef/>
      </w:r>
      <w:r>
        <w:rPr>
          <w:szCs w:val="24"/>
        </w:rPr>
        <w:t xml:space="preserve"> </w:t>
      </w:r>
      <w:r>
        <w:rPr>
          <w:szCs w:val="24"/>
          <w:lang w:val="zh-CN"/>
        </w:rPr>
        <w:t>美国暖气、制冷及空调工程师协会。</w:t>
      </w:r>
    </w:p>
  </w:footnote>
  <w:footnote w:id="3">
    <w:p w14:paraId="0C68EBBE" w14:textId="77777777" w:rsidR="00666293" w:rsidRDefault="00666293">
      <w:pPr>
        <w:pStyle w:val="FootnoteText"/>
      </w:pPr>
      <w:r>
        <w:rPr>
          <w:rStyle w:val="FootnoteReference"/>
          <w:szCs w:val="24"/>
        </w:rPr>
        <w:footnoteRef/>
      </w:r>
      <w:r>
        <w:rPr>
          <w:szCs w:val="24"/>
        </w:rPr>
        <w:t xml:space="preserve"> </w:t>
      </w:r>
      <w:r>
        <w:rPr>
          <w:szCs w:val="24"/>
          <w:lang w:val="zh-CN"/>
        </w:rPr>
        <w:t>未来履约协助方案预算的增加额度限于</w:t>
      </w:r>
      <w:r>
        <w:rPr>
          <w:szCs w:val="24"/>
          <w:lang w:val="zh-CN"/>
        </w:rPr>
        <w:t>3%</w:t>
      </w:r>
      <w:r>
        <w:rPr>
          <w:szCs w:val="24"/>
          <w:lang w:val="zh-CN"/>
        </w:rPr>
        <w:t>，除非向执行委员会提出证据证明由于通货膨胀的压力以致必须作出其他增加额度的要求。</w:t>
      </w:r>
    </w:p>
  </w:footnote>
  <w:footnote w:id="4">
    <w:p w14:paraId="30289F6E" w14:textId="77777777" w:rsidR="00666293" w:rsidRDefault="00666293">
      <w:pPr>
        <w:pStyle w:val="FootnoteText"/>
      </w:pPr>
      <w:r>
        <w:rPr>
          <w:rStyle w:val="FootnoteReference"/>
          <w:szCs w:val="24"/>
        </w:rPr>
        <w:footnoteRef/>
      </w:r>
      <w:r>
        <w:rPr>
          <w:szCs w:val="24"/>
        </w:rPr>
        <w:t xml:space="preserve"> </w:t>
      </w:r>
      <w:r>
        <w:rPr>
          <w:szCs w:val="24"/>
          <w:lang w:val="zh-CN"/>
        </w:rPr>
        <w:t>第</w:t>
      </w:r>
      <w:r>
        <w:rPr>
          <w:szCs w:val="24"/>
          <w:lang w:val="zh-CN"/>
        </w:rPr>
        <w:t>95/83</w:t>
      </w:r>
      <w:r>
        <w:rPr>
          <w:szCs w:val="24"/>
          <w:lang w:val="zh-CN"/>
        </w:rPr>
        <w:t>号决定（</w:t>
      </w:r>
      <w:r>
        <w:rPr>
          <w:szCs w:val="24"/>
          <w:lang w:val="zh-CN"/>
        </w:rPr>
        <w:t>c</w:t>
      </w:r>
      <w:r>
        <w:rPr>
          <w:szCs w:val="24"/>
          <w:lang w:val="zh-CN"/>
        </w:rPr>
        <w:t>）（二）段：请环境署在未来提交履约协助方案预算时，继续扩大履约协助方案各预算项目之间的供资优先次序，以便适应不断变化的优先事项，并提供详细情况说明依照第</w:t>
      </w:r>
      <w:r>
        <w:rPr>
          <w:szCs w:val="24"/>
          <w:lang w:val="zh-CN"/>
        </w:rPr>
        <w:t>47/24</w:t>
      </w:r>
      <w:r>
        <w:rPr>
          <w:szCs w:val="24"/>
          <w:lang w:val="zh-CN"/>
        </w:rPr>
        <w:t>号和第</w:t>
      </w:r>
      <w:r>
        <w:rPr>
          <w:szCs w:val="24"/>
          <w:lang w:val="zh-CN"/>
        </w:rPr>
        <w:t>50/26</w:t>
      </w:r>
      <w:r>
        <w:rPr>
          <w:szCs w:val="24"/>
          <w:lang w:val="zh-CN"/>
        </w:rPr>
        <w:t>号决定对预算所作的重新分配。</w:t>
      </w:r>
    </w:p>
  </w:footnote>
  <w:footnote w:id="5">
    <w:p w14:paraId="21791CC6" w14:textId="77777777" w:rsidR="00666293" w:rsidRDefault="00666293">
      <w:pPr>
        <w:pStyle w:val="FootnoteText"/>
      </w:pPr>
      <w:r>
        <w:rPr>
          <w:rStyle w:val="FootnoteReference"/>
          <w:szCs w:val="24"/>
        </w:rPr>
        <w:footnoteRef/>
      </w:r>
      <w:r>
        <w:rPr>
          <w:szCs w:val="24"/>
        </w:rPr>
        <w:t xml:space="preserve"> </w:t>
      </w:r>
      <w:r>
        <w:rPr>
          <w:szCs w:val="24"/>
          <w:lang w:val="zh-CN"/>
        </w:rPr>
        <w:t>第</w:t>
      </w:r>
      <w:r>
        <w:rPr>
          <w:szCs w:val="24"/>
          <w:lang w:val="zh-CN"/>
        </w:rPr>
        <w:t>95/83</w:t>
      </w:r>
      <w:r>
        <w:rPr>
          <w:szCs w:val="24"/>
          <w:lang w:val="zh-CN"/>
        </w:rPr>
        <w:t>号决定（</w:t>
      </w:r>
      <w:r>
        <w:rPr>
          <w:szCs w:val="24"/>
          <w:lang w:val="zh-CN"/>
        </w:rPr>
        <w:t>c</w:t>
      </w:r>
      <w:r>
        <w:rPr>
          <w:szCs w:val="24"/>
          <w:lang w:val="zh-CN"/>
        </w:rPr>
        <w:t>）（三）段：请环境署在未来提交履约协助方案预算的申请时，报告目前工作人员人数，并将其任何变化通知执行委员会，特别是在任何增加预算拨款方面。</w:t>
      </w:r>
    </w:p>
  </w:footnote>
  <w:footnote w:id="6">
    <w:p w14:paraId="3E519B4A" w14:textId="77777777" w:rsidR="00666293" w:rsidRDefault="00666293">
      <w:pPr>
        <w:pStyle w:val="FootnoteText"/>
      </w:pPr>
      <w:r>
        <w:rPr>
          <w:rStyle w:val="FootnoteReference"/>
          <w:szCs w:val="24"/>
        </w:rPr>
        <w:footnoteRef/>
      </w:r>
      <w:r>
        <w:rPr>
          <w:szCs w:val="24"/>
        </w:rPr>
        <w:t xml:space="preserve"> </w:t>
      </w:r>
      <w:r>
        <w:rPr>
          <w:szCs w:val="24"/>
          <w:lang w:val="zh-CN"/>
        </w:rPr>
        <w:t>这是根据第</w:t>
      </w:r>
      <w:r>
        <w:rPr>
          <w:szCs w:val="24"/>
          <w:lang w:val="zh-CN"/>
        </w:rPr>
        <w:t>95/83</w:t>
      </w:r>
      <w:r>
        <w:rPr>
          <w:szCs w:val="24"/>
          <w:lang w:val="zh-CN"/>
        </w:rPr>
        <w:t>号决定</w:t>
      </w:r>
      <w:r>
        <w:rPr>
          <w:szCs w:val="24"/>
          <w:lang w:val="zh-CN"/>
        </w:rPr>
        <w:t>(c)(</w:t>
      </w:r>
      <w:r>
        <w:rPr>
          <w:szCs w:val="24"/>
          <w:lang w:val="zh-CN"/>
        </w:rPr>
        <w:t>二</w:t>
      </w:r>
      <w:r>
        <w:rPr>
          <w:szCs w:val="24"/>
          <w:lang w:val="zh-CN"/>
        </w:rPr>
        <w:t>)</w:t>
      </w:r>
      <w:r>
        <w:rPr>
          <w:szCs w:val="24"/>
          <w:lang w:val="zh-CN"/>
        </w:rPr>
        <w:t>段作出的</w:t>
      </w:r>
      <w:r>
        <w:rPr>
          <w:szCs w:val="24"/>
          <w:lang w:val="zh-CN"/>
        </w:rPr>
        <w:t>4,000</w:t>
      </w:r>
      <w:r>
        <w:rPr>
          <w:szCs w:val="24"/>
          <w:lang w:val="zh-CN"/>
        </w:rPr>
        <w:t>美元的调整款，该决定允许环境署为配合不断变化的优先事项在履约协助方案的预算项目之间调整资金分配优先顺序。</w:t>
      </w:r>
    </w:p>
  </w:footnote>
  <w:footnote w:id="7">
    <w:p w14:paraId="5BBF4B09" w14:textId="77777777" w:rsidR="00666293" w:rsidRDefault="00666293">
      <w:pPr>
        <w:pStyle w:val="FootnoteText"/>
      </w:pPr>
      <w:r>
        <w:rPr>
          <w:rStyle w:val="FootnoteReference"/>
          <w:szCs w:val="24"/>
        </w:rPr>
        <w:footnoteRef/>
      </w:r>
      <w:r>
        <w:rPr>
          <w:szCs w:val="24"/>
        </w:rPr>
        <w:t xml:space="preserve"> </w:t>
      </w:r>
      <w:r>
        <w:rPr>
          <w:szCs w:val="24"/>
          <w:lang w:val="zh-CN"/>
        </w:rPr>
        <w:t>第</w:t>
      </w:r>
      <w:r>
        <w:rPr>
          <w:szCs w:val="24"/>
          <w:lang w:val="zh-CN"/>
        </w:rPr>
        <w:t>95/83</w:t>
      </w:r>
      <w:r>
        <w:rPr>
          <w:szCs w:val="24"/>
          <w:lang w:val="zh-CN"/>
        </w:rPr>
        <w:t>号决定（</w:t>
      </w:r>
      <w:r>
        <w:rPr>
          <w:szCs w:val="24"/>
          <w:lang w:val="zh-CN"/>
        </w:rPr>
        <w:t>c</w:t>
      </w:r>
      <w:r>
        <w:rPr>
          <w:szCs w:val="24"/>
          <w:lang w:val="zh-CN"/>
        </w:rPr>
        <w:t>）（四）段：鉴于</w:t>
      </w:r>
      <w:r>
        <w:rPr>
          <w:szCs w:val="24"/>
          <w:lang w:val="zh-CN"/>
        </w:rPr>
        <w:t>(d)(</w:t>
      </w:r>
      <w:r>
        <w:rPr>
          <w:szCs w:val="24"/>
          <w:lang w:val="zh-CN"/>
        </w:rPr>
        <w:t>二</w:t>
      </w:r>
      <w:r>
        <w:rPr>
          <w:szCs w:val="24"/>
          <w:lang w:val="zh-CN"/>
        </w:rPr>
        <w:t>)</w:t>
      </w:r>
      <w:r>
        <w:rPr>
          <w:szCs w:val="24"/>
          <w:lang w:val="zh-CN"/>
        </w:rPr>
        <w:t>段和</w:t>
      </w:r>
      <w:r>
        <w:rPr>
          <w:szCs w:val="24"/>
          <w:lang w:val="zh-CN"/>
        </w:rPr>
        <w:t>(d)(</w:t>
      </w:r>
      <w:r>
        <w:rPr>
          <w:szCs w:val="24"/>
          <w:lang w:val="zh-CN"/>
        </w:rPr>
        <w:t>三</w:t>
      </w:r>
      <w:r>
        <w:rPr>
          <w:szCs w:val="24"/>
          <w:lang w:val="zh-CN"/>
        </w:rPr>
        <w:t>)</w:t>
      </w:r>
      <w:r>
        <w:rPr>
          <w:szCs w:val="24"/>
          <w:lang w:val="zh-CN"/>
        </w:rPr>
        <w:t>段的规定，请环境署在今后提交的履约协助方案预算中，继续提供有关相关年份的预算和上一年的前一年的费用的报告。</w:t>
      </w:r>
      <w:r>
        <w:rPr>
          <w:szCs w:val="24"/>
        </w:rPr>
        <w:t xml:space="preserve"> </w:t>
      </w:r>
    </w:p>
  </w:footnote>
  <w:footnote w:id="8">
    <w:p w14:paraId="54AE7A5A" w14:textId="77777777" w:rsidR="00666293" w:rsidRDefault="00666293">
      <w:pPr>
        <w:pStyle w:val="FootnoteText"/>
      </w:pPr>
      <w:r>
        <w:rPr>
          <w:rStyle w:val="FootnoteReference"/>
          <w:szCs w:val="24"/>
        </w:rPr>
        <w:footnoteRef/>
      </w:r>
      <w:r>
        <w:rPr>
          <w:szCs w:val="24"/>
        </w:rPr>
        <w:t xml:space="preserve"> </w:t>
      </w:r>
      <w:r>
        <w:rPr>
          <w:szCs w:val="24"/>
          <w:lang w:val="zh-CN"/>
        </w:rPr>
        <w:t>第</w:t>
      </w:r>
      <w:r>
        <w:rPr>
          <w:szCs w:val="24"/>
          <w:lang w:val="zh-CN"/>
        </w:rPr>
        <w:t>95/83</w:t>
      </w:r>
      <w:r>
        <w:rPr>
          <w:szCs w:val="24"/>
          <w:lang w:val="zh-CN"/>
        </w:rPr>
        <w:t>号决定</w:t>
      </w:r>
      <w:r>
        <w:rPr>
          <w:szCs w:val="24"/>
          <w:lang w:val="zh-CN"/>
        </w:rPr>
        <w:t>(c)</w:t>
      </w:r>
      <w:r>
        <w:rPr>
          <w:szCs w:val="24"/>
          <w:lang w:val="zh-CN"/>
        </w:rPr>
        <w:t>段要求环境署在今后提交履约协助方案预算时，继续做到：</w:t>
      </w:r>
      <w:r>
        <w:rPr>
          <w:szCs w:val="24"/>
          <w:lang w:val="zh-CN"/>
        </w:rPr>
        <w:t>(</w:t>
      </w:r>
      <w:r>
        <w:rPr>
          <w:szCs w:val="24"/>
          <w:lang w:val="zh-CN"/>
        </w:rPr>
        <w:t>一</w:t>
      </w:r>
      <w:r>
        <w:rPr>
          <w:szCs w:val="24"/>
          <w:lang w:val="zh-CN"/>
        </w:rPr>
        <w:t>)</w:t>
      </w:r>
      <w:r>
        <w:rPr>
          <w:szCs w:val="24"/>
          <w:lang w:val="zh-CN"/>
        </w:rPr>
        <w:t>提供关于使用全球资金的活动的详细信息；</w:t>
      </w:r>
      <w:r>
        <w:rPr>
          <w:szCs w:val="24"/>
          <w:lang w:val="zh-CN"/>
        </w:rPr>
        <w:t>(</w:t>
      </w:r>
      <w:r>
        <w:rPr>
          <w:szCs w:val="24"/>
          <w:lang w:val="zh-CN"/>
        </w:rPr>
        <w:t>二</w:t>
      </w:r>
      <w:r>
        <w:rPr>
          <w:szCs w:val="24"/>
          <w:lang w:val="zh-CN"/>
        </w:rPr>
        <w:t>)</w:t>
      </w:r>
      <w:r>
        <w:rPr>
          <w:szCs w:val="24"/>
          <w:lang w:val="zh-CN"/>
        </w:rPr>
        <w:t>为配合不断变化的优先事项，调整履约协助方案各预算项目之间的资金分配优先顺序，并根据第</w:t>
      </w:r>
      <w:r>
        <w:rPr>
          <w:szCs w:val="24"/>
          <w:lang w:val="zh-CN"/>
        </w:rPr>
        <w:t>47/24</w:t>
      </w:r>
      <w:r>
        <w:rPr>
          <w:szCs w:val="24"/>
          <w:lang w:val="zh-CN"/>
        </w:rPr>
        <w:t>号和第</w:t>
      </w:r>
      <w:r>
        <w:rPr>
          <w:szCs w:val="24"/>
          <w:lang w:val="zh-CN"/>
        </w:rPr>
        <w:t>50/26</w:t>
      </w:r>
      <w:r>
        <w:rPr>
          <w:szCs w:val="24"/>
          <w:lang w:val="zh-CN"/>
        </w:rPr>
        <w:t>号决定，提供关于资金重新分配的详细信息；</w:t>
      </w:r>
      <w:r>
        <w:rPr>
          <w:szCs w:val="24"/>
          <w:lang w:val="zh-CN"/>
        </w:rPr>
        <w:t>(</w:t>
      </w:r>
      <w:r>
        <w:rPr>
          <w:szCs w:val="24"/>
          <w:lang w:val="zh-CN"/>
        </w:rPr>
        <w:t>三</w:t>
      </w:r>
      <w:r>
        <w:rPr>
          <w:szCs w:val="24"/>
          <w:lang w:val="zh-CN"/>
        </w:rPr>
        <w:t>)</w:t>
      </w:r>
      <w:r>
        <w:rPr>
          <w:szCs w:val="24"/>
          <w:lang w:val="zh-CN"/>
        </w:rPr>
        <w:t>报告工作人员目前的职位级别，并向执行委员会通报其中任何变动，特别是与增加预算拨款有关的变动。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3BF0" w14:textId="6E499934" w:rsidR="00666293" w:rsidRPr="00297ECB" w:rsidRDefault="00666293">
    <w:pPr>
      <w:rPr>
        <w:sz w:val="24"/>
        <w:szCs w:val="24"/>
      </w:rPr>
    </w:pPr>
    <w:r w:rsidRPr="00297ECB">
      <w:rPr>
        <w:sz w:val="24"/>
        <w:szCs w:val="24"/>
      </w:rPr>
      <w:fldChar w:fldCharType="begin"/>
    </w:r>
    <w:r w:rsidRPr="00297ECB">
      <w:rPr>
        <w:sz w:val="24"/>
        <w:szCs w:val="24"/>
      </w:rPr>
      <w:instrText xml:space="preserve"> DOCPROPERTY "Document number"  \* MERGEFORMAT </w:instrText>
    </w:r>
    <w:r w:rsidRPr="00297ECB">
      <w:rPr>
        <w:sz w:val="24"/>
        <w:szCs w:val="24"/>
      </w:rPr>
      <w:fldChar w:fldCharType="separate"/>
    </w:r>
    <w:r w:rsidR="00297ECB" w:rsidRPr="00297ECB">
      <w:rPr>
        <w:sz w:val="24"/>
        <w:szCs w:val="24"/>
      </w:rPr>
      <w:t>UNEP/OzL.Pro/ExCom/97/83</w:t>
    </w:r>
    <w:r w:rsidRPr="00297ECB">
      <w:rPr>
        <w:sz w:val="24"/>
        <w:szCs w:val="24"/>
      </w:rPr>
      <w:fldChar w:fldCharType="end"/>
    </w:r>
  </w:p>
  <w:p w14:paraId="4A2D565B" w14:textId="77777777" w:rsidR="00666293" w:rsidRDefault="00666293">
    <w:pPr>
      <w:rPr>
        <w:szCs w:val="24"/>
      </w:rPr>
    </w:pPr>
  </w:p>
  <w:p w14:paraId="4856B7C0" w14:textId="77777777" w:rsidR="00666293" w:rsidRDefault="00666293">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BA0E" w14:textId="3F2E7EB4" w:rsidR="00666293" w:rsidRPr="00297ECB" w:rsidRDefault="00666293">
    <w:pPr>
      <w:jc w:val="right"/>
      <w:rPr>
        <w:sz w:val="24"/>
        <w:szCs w:val="24"/>
      </w:rPr>
    </w:pPr>
    <w:r w:rsidRPr="00297ECB">
      <w:rPr>
        <w:sz w:val="24"/>
        <w:szCs w:val="24"/>
      </w:rPr>
      <w:fldChar w:fldCharType="begin"/>
    </w:r>
    <w:r w:rsidRPr="00297ECB">
      <w:rPr>
        <w:sz w:val="24"/>
        <w:szCs w:val="24"/>
      </w:rPr>
      <w:instrText xml:space="preserve"> DOCPROPERTY "Document number"  \* MERGEFORMAT </w:instrText>
    </w:r>
    <w:r w:rsidRPr="00297ECB">
      <w:rPr>
        <w:sz w:val="24"/>
        <w:szCs w:val="24"/>
      </w:rPr>
      <w:fldChar w:fldCharType="separate"/>
    </w:r>
    <w:r w:rsidR="00EF0E97" w:rsidRPr="00297ECB">
      <w:rPr>
        <w:sz w:val="24"/>
        <w:szCs w:val="24"/>
      </w:rPr>
      <w:t>UNEP/OzL.Pro/ExCom/97/83</w:t>
    </w:r>
    <w:r w:rsidRPr="00297ECB">
      <w:rPr>
        <w:sz w:val="24"/>
        <w:szCs w:val="24"/>
      </w:rPr>
      <w:fldChar w:fldCharType="end"/>
    </w:r>
  </w:p>
  <w:p w14:paraId="4AEF6993" w14:textId="77777777" w:rsidR="00666293" w:rsidRDefault="00666293">
    <w:pPr>
      <w:rPr>
        <w:szCs w:val="24"/>
      </w:rPr>
    </w:pPr>
  </w:p>
  <w:p w14:paraId="5DB218F9" w14:textId="77777777" w:rsidR="00666293" w:rsidRDefault="00666293">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4721DD8"/>
    <w:lvl w:ilvl="0">
      <w:start w:val="1"/>
      <w:numFmt w:val="decimal"/>
      <w:pStyle w:val="Heading1"/>
      <w:lvlText w:val="%1."/>
      <w:lvlJc w:val="left"/>
      <w:pPr>
        <w:tabs>
          <w:tab w:val="num" w:pos="1985"/>
        </w:tabs>
        <w:ind w:left="1985"/>
      </w:pPr>
      <w:rPr>
        <w:rFonts w:cs="Times New Roman"/>
      </w:rPr>
    </w:lvl>
    <w:lvl w:ilvl="1">
      <w:start w:val="1"/>
      <w:numFmt w:val="lowerLetter"/>
      <w:pStyle w:val="Heading2"/>
      <w:lvlText w:val="(%2)"/>
      <w:lvlJc w:val="left"/>
      <w:pPr>
        <w:tabs>
          <w:tab w:val="num" w:pos="0"/>
        </w:tabs>
        <w:ind w:left="1440" w:hanging="720"/>
      </w:pPr>
      <w:rPr>
        <w:rFonts w:cs="Times New Roman"/>
        <w:b w:val="0"/>
        <w:bCs w:val="0"/>
        <w:i w:val="0"/>
        <w:iCs w:val="0"/>
        <w:sz w:val="22"/>
        <w:szCs w:val="22"/>
      </w:rPr>
    </w:lvl>
    <w:lvl w:ilvl="2">
      <w:start w:val="1"/>
      <w:numFmt w:val="chineseCountingThousand"/>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B51513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 w15:restartNumberingAfterBreak="0">
    <w:nsid w:val="0E172B8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D77F42"/>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4" w15:restartNumberingAfterBreak="0">
    <w:nsid w:val="18FA68D2"/>
    <w:multiLevelType w:val="multilevel"/>
    <w:tmpl w:val="FF90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26050D8"/>
    <w:multiLevelType w:val="hybridMultilevel"/>
    <w:tmpl w:val="FBD6F472"/>
    <w:lvl w:ilvl="0" w:tplc="9166A04E">
      <w:start w:val="1"/>
      <w:numFmt w:val="lowerRoman"/>
      <w:pStyle w:val="Heading5"/>
      <w:lvlText w:val="%1."/>
      <w:lvlJc w:val="left"/>
      <w:pPr>
        <w:ind w:left="3240" w:hanging="360"/>
      </w:pPr>
      <w:rPr>
        <w:rFonts w:cs="Times New Roman" w:hint="default"/>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7" w15:restartNumberingAfterBreak="0">
    <w:nsid w:val="43FE2936"/>
    <w:multiLevelType w:val="hybridMultilevel"/>
    <w:tmpl w:val="6CA44FA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6671E46"/>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487D33D6"/>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D602B4C"/>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F4960D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512F4D3B"/>
    <w:multiLevelType w:val="hybridMultilevel"/>
    <w:tmpl w:val="1D664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57BF139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D9562CC"/>
    <w:multiLevelType w:val="hybridMultilevel"/>
    <w:tmpl w:val="01125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0BF3DE5"/>
    <w:multiLevelType w:val="hybridMultilevel"/>
    <w:tmpl w:val="60EC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8B186A"/>
    <w:multiLevelType w:val="hybridMultilevel"/>
    <w:tmpl w:val="BD8AE97A"/>
    <w:lvl w:ilvl="0" w:tplc="71044238">
      <w:numFmt w:val="bullet"/>
      <w:lvlText w:val="•"/>
      <w:lvlJc w:val="left"/>
      <w:pPr>
        <w:ind w:left="720" w:hanging="360"/>
      </w:pPr>
      <w:rPr>
        <w:rFonts w:ascii="Aptos" w:eastAsia="SimSun" w:hAnsi="Apto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D0AC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852693954">
    <w:abstractNumId w:val="0"/>
  </w:num>
  <w:num w:numId="2" w16cid:durableId="1406101968">
    <w:abstractNumId w:val="0"/>
  </w:num>
  <w:num w:numId="3" w16cid:durableId="658774502">
    <w:abstractNumId w:val="0"/>
  </w:num>
  <w:num w:numId="4" w16cid:durableId="116720222">
    <w:abstractNumId w:val="0"/>
  </w:num>
  <w:num w:numId="5" w16cid:durableId="1466897981">
    <w:abstractNumId w:val="5"/>
  </w:num>
  <w:num w:numId="6" w16cid:durableId="1873759218">
    <w:abstractNumId w:val="11"/>
  </w:num>
  <w:num w:numId="7" w16cid:durableId="959649507">
    <w:abstractNumId w:val="14"/>
  </w:num>
  <w:num w:numId="8" w16cid:durableId="615528902">
    <w:abstractNumId w:val="20"/>
  </w:num>
  <w:num w:numId="9" w16cid:durableId="1444686321">
    <w:abstractNumId w:val="6"/>
  </w:num>
  <w:num w:numId="10" w16cid:durableId="699360022">
    <w:abstractNumId w:val="18"/>
  </w:num>
  <w:num w:numId="11" w16cid:durableId="1649238058">
    <w:abstractNumId w:val="4"/>
  </w:num>
  <w:num w:numId="12" w16cid:durableId="1499537906">
    <w:abstractNumId w:val="0"/>
    <w:lvlOverride w:ilvl="0">
      <w:startOverride w:val="24"/>
    </w:lvlOverride>
  </w:num>
  <w:num w:numId="13" w16cid:durableId="1790857480">
    <w:abstractNumId w:val="0"/>
    <w:lvlOverride w:ilvl="0">
      <w:startOverride w:val="24"/>
    </w:lvlOverride>
  </w:num>
  <w:num w:numId="14" w16cid:durableId="7583342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121661">
    <w:abstractNumId w:val="0"/>
  </w:num>
  <w:num w:numId="16" w16cid:durableId="1253510514">
    <w:abstractNumId w:val="13"/>
  </w:num>
  <w:num w:numId="17" w16cid:durableId="1156187313">
    <w:abstractNumId w:val="17"/>
  </w:num>
  <w:num w:numId="18" w16cid:durableId="1629313610">
    <w:abstractNumId w:val="7"/>
  </w:num>
  <w:num w:numId="19" w16cid:durableId="2007899612">
    <w:abstractNumId w:val="16"/>
  </w:num>
  <w:num w:numId="20" w16cid:durableId="1132361647">
    <w:abstractNumId w:val="0"/>
    <w:lvlOverride w:ilvl="0">
      <w:startOverride w:val="22"/>
    </w:lvlOverride>
  </w:num>
  <w:num w:numId="21" w16cid:durableId="1095974624">
    <w:abstractNumId w:val="1"/>
  </w:num>
  <w:num w:numId="22" w16cid:durableId="1425540143">
    <w:abstractNumId w:val="19"/>
  </w:num>
  <w:num w:numId="23" w16cid:durableId="515193647">
    <w:abstractNumId w:val="10"/>
  </w:num>
  <w:num w:numId="24" w16cid:durableId="1840147973">
    <w:abstractNumId w:val="8"/>
  </w:num>
  <w:num w:numId="25" w16cid:durableId="1045640876">
    <w:abstractNumId w:val="3"/>
  </w:num>
  <w:num w:numId="26" w16cid:durableId="923951988">
    <w:abstractNumId w:val="12"/>
  </w:num>
  <w:num w:numId="27" w16cid:durableId="31001501">
    <w:abstractNumId w:val="2"/>
  </w:num>
  <w:num w:numId="28" w16cid:durableId="802501393">
    <w:abstractNumId w:val="9"/>
  </w:num>
  <w:num w:numId="29" w16cid:durableId="55346820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gFAHxnq5AtAAAA"/>
  </w:docVars>
  <w:rsids>
    <w:rsidRoot w:val="00F73E60"/>
    <w:rsid w:val="00000FED"/>
    <w:rsid w:val="0000108F"/>
    <w:rsid w:val="0000315F"/>
    <w:rsid w:val="0000360E"/>
    <w:rsid w:val="000039E3"/>
    <w:rsid w:val="0000434E"/>
    <w:rsid w:val="00004EA0"/>
    <w:rsid w:val="00007435"/>
    <w:rsid w:val="00010982"/>
    <w:rsid w:val="00010F56"/>
    <w:rsid w:val="00012E93"/>
    <w:rsid w:val="00013236"/>
    <w:rsid w:val="00013A54"/>
    <w:rsid w:val="00013AB4"/>
    <w:rsid w:val="00014D9B"/>
    <w:rsid w:val="000156F3"/>
    <w:rsid w:val="000166C0"/>
    <w:rsid w:val="00016793"/>
    <w:rsid w:val="000170F7"/>
    <w:rsid w:val="0001723E"/>
    <w:rsid w:val="000179D2"/>
    <w:rsid w:val="0002144F"/>
    <w:rsid w:val="00023A1C"/>
    <w:rsid w:val="00027178"/>
    <w:rsid w:val="00027259"/>
    <w:rsid w:val="00031260"/>
    <w:rsid w:val="00032250"/>
    <w:rsid w:val="00033302"/>
    <w:rsid w:val="000335C7"/>
    <w:rsid w:val="00033F20"/>
    <w:rsid w:val="00034E56"/>
    <w:rsid w:val="0003681A"/>
    <w:rsid w:val="0003780B"/>
    <w:rsid w:val="00040C51"/>
    <w:rsid w:val="0004335A"/>
    <w:rsid w:val="00044C58"/>
    <w:rsid w:val="000460DD"/>
    <w:rsid w:val="00046297"/>
    <w:rsid w:val="000471B0"/>
    <w:rsid w:val="00047428"/>
    <w:rsid w:val="00051097"/>
    <w:rsid w:val="0005429C"/>
    <w:rsid w:val="000554FD"/>
    <w:rsid w:val="00055A42"/>
    <w:rsid w:val="00055A5D"/>
    <w:rsid w:val="0005644E"/>
    <w:rsid w:val="000565EB"/>
    <w:rsid w:val="00057DFA"/>
    <w:rsid w:val="00060022"/>
    <w:rsid w:val="0006040C"/>
    <w:rsid w:val="00060730"/>
    <w:rsid w:val="00064404"/>
    <w:rsid w:val="0006476A"/>
    <w:rsid w:val="00065D34"/>
    <w:rsid w:val="000714AF"/>
    <w:rsid w:val="0007189B"/>
    <w:rsid w:val="00072235"/>
    <w:rsid w:val="00072B13"/>
    <w:rsid w:val="00072FC0"/>
    <w:rsid w:val="000732A8"/>
    <w:rsid w:val="00076AE2"/>
    <w:rsid w:val="00080B97"/>
    <w:rsid w:val="00080ED0"/>
    <w:rsid w:val="00081B09"/>
    <w:rsid w:val="000840FB"/>
    <w:rsid w:val="00085078"/>
    <w:rsid w:val="00085B8F"/>
    <w:rsid w:val="000861CF"/>
    <w:rsid w:val="000867A8"/>
    <w:rsid w:val="000873C6"/>
    <w:rsid w:val="0008752E"/>
    <w:rsid w:val="00087723"/>
    <w:rsid w:val="00087AFC"/>
    <w:rsid w:val="00090481"/>
    <w:rsid w:val="00090FC2"/>
    <w:rsid w:val="000919B3"/>
    <w:rsid w:val="00091A22"/>
    <w:rsid w:val="00092193"/>
    <w:rsid w:val="0009352D"/>
    <w:rsid w:val="00094809"/>
    <w:rsid w:val="00095494"/>
    <w:rsid w:val="000A0EFE"/>
    <w:rsid w:val="000A26CF"/>
    <w:rsid w:val="000A3871"/>
    <w:rsid w:val="000A5E99"/>
    <w:rsid w:val="000A6DA4"/>
    <w:rsid w:val="000B0279"/>
    <w:rsid w:val="000B062D"/>
    <w:rsid w:val="000B159E"/>
    <w:rsid w:val="000B37AB"/>
    <w:rsid w:val="000B4E48"/>
    <w:rsid w:val="000B50DB"/>
    <w:rsid w:val="000B5637"/>
    <w:rsid w:val="000C2E60"/>
    <w:rsid w:val="000C31EA"/>
    <w:rsid w:val="000C4EB9"/>
    <w:rsid w:val="000C4F3B"/>
    <w:rsid w:val="000C7802"/>
    <w:rsid w:val="000C7C62"/>
    <w:rsid w:val="000D1BE2"/>
    <w:rsid w:val="000D1C35"/>
    <w:rsid w:val="000D45FD"/>
    <w:rsid w:val="000D52F6"/>
    <w:rsid w:val="000D61B5"/>
    <w:rsid w:val="000E07BC"/>
    <w:rsid w:val="000E0C5B"/>
    <w:rsid w:val="000E1A18"/>
    <w:rsid w:val="000E3F75"/>
    <w:rsid w:val="000E44DE"/>
    <w:rsid w:val="000E50B9"/>
    <w:rsid w:val="000E6E8F"/>
    <w:rsid w:val="000E7293"/>
    <w:rsid w:val="000F1CD4"/>
    <w:rsid w:val="000F4103"/>
    <w:rsid w:val="000F6F17"/>
    <w:rsid w:val="000F70A7"/>
    <w:rsid w:val="00100E33"/>
    <w:rsid w:val="00103C26"/>
    <w:rsid w:val="001049B8"/>
    <w:rsid w:val="001106DB"/>
    <w:rsid w:val="00110A6A"/>
    <w:rsid w:val="00111C99"/>
    <w:rsid w:val="00112180"/>
    <w:rsid w:val="00116152"/>
    <w:rsid w:val="00116FCA"/>
    <w:rsid w:val="001171D1"/>
    <w:rsid w:val="001202A3"/>
    <w:rsid w:val="00121BE4"/>
    <w:rsid w:val="00121BF8"/>
    <w:rsid w:val="00122B8D"/>
    <w:rsid w:val="00122F20"/>
    <w:rsid w:val="00123EA2"/>
    <w:rsid w:val="00124116"/>
    <w:rsid w:val="00124426"/>
    <w:rsid w:val="001279C8"/>
    <w:rsid w:val="00130F74"/>
    <w:rsid w:val="00131412"/>
    <w:rsid w:val="00131AC0"/>
    <w:rsid w:val="00133883"/>
    <w:rsid w:val="00135980"/>
    <w:rsid w:val="00136001"/>
    <w:rsid w:val="001362F9"/>
    <w:rsid w:val="0013636F"/>
    <w:rsid w:val="00136BDC"/>
    <w:rsid w:val="00142688"/>
    <w:rsid w:val="0014705E"/>
    <w:rsid w:val="0014706F"/>
    <w:rsid w:val="0015070D"/>
    <w:rsid w:val="001517E8"/>
    <w:rsid w:val="00154357"/>
    <w:rsid w:val="00155388"/>
    <w:rsid w:val="001566D9"/>
    <w:rsid w:val="0015694C"/>
    <w:rsid w:val="001569E1"/>
    <w:rsid w:val="001579E8"/>
    <w:rsid w:val="00160E29"/>
    <w:rsid w:val="001610A3"/>
    <w:rsid w:val="00161C24"/>
    <w:rsid w:val="00164719"/>
    <w:rsid w:val="00164BAB"/>
    <w:rsid w:val="00164E50"/>
    <w:rsid w:val="00166FC4"/>
    <w:rsid w:val="001677AC"/>
    <w:rsid w:val="001677DF"/>
    <w:rsid w:val="00172CE7"/>
    <w:rsid w:val="00174028"/>
    <w:rsid w:val="0017568D"/>
    <w:rsid w:val="00175D01"/>
    <w:rsid w:val="00180E82"/>
    <w:rsid w:val="00181DC4"/>
    <w:rsid w:val="0018234D"/>
    <w:rsid w:val="00183B9E"/>
    <w:rsid w:val="00184977"/>
    <w:rsid w:val="00185BDB"/>
    <w:rsid w:val="001869B8"/>
    <w:rsid w:val="00186CC8"/>
    <w:rsid w:val="00186DAF"/>
    <w:rsid w:val="001872EE"/>
    <w:rsid w:val="00190A61"/>
    <w:rsid w:val="00190C4D"/>
    <w:rsid w:val="00192AFA"/>
    <w:rsid w:val="00193C31"/>
    <w:rsid w:val="00194061"/>
    <w:rsid w:val="00195ED7"/>
    <w:rsid w:val="00196D14"/>
    <w:rsid w:val="00197784"/>
    <w:rsid w:val="00197C07"/>
    <w:rsid w:val="001A113A"/>
    <w:rsid w:val="001A24C6"/>
    <w:rsid w:val="001A2653"/>
    <w:rsid w:val="001A3342"/>
    <w:rsid w:val="001A3E3D"/>
    <w:rsid w:val="001A53FF"/>
    <w:rsid w:val="001A559E"/>
    <w:rsid w:val="001A57F0"/>
    <w:rsid w:val="001B15CE"/>
    <w:rsid w:val="001B1E40"/>
    <w:rsid w:val="001B5D3A"/>
    <w:rsid w:val="001B5EFD"/>
    <w:rsid w:val="001B7712"/>
    <w:rsid w:val="001C3FCB"/>
    <w:rsid w:val="001C4762"/>
    <w:rsid w:val="001C6143"/>
    <w:rsid w:val="001C6D36"/>
    <w:rsid w:val="001C6D93"/>
    <w:rsid w:val="001C764E"/>
    <w:rsid w:val="001D27A3"/>
    <w:rsid w:val="001D2BB1"/>
    <w:rsid w:val="001D4432"/>
    <w:rsid w:val="001D4D4F"/>
    <w:rsid w:val="001D4EAC"/>
    <w:rsid w:val="001D4F14"/>
    <w:rsid w:val="001D6242"/>
    <w:rsid w:val="001D674C"/>
    <w:rsid w:val="001D6ED3"/>
    <w:rsid w:val="001E1052"/>
    <w:rsid w:val="001E1147"/>
    <w:rsid w:val="001E1759"/>
    <w:rsid w:val="001E21B1"/>
    <w:rsid w:val="001E2587"/>
    <w:rsid w:val="001E2CEB"/>
    <w:rsid w:val="001E2F93"/>
    <w:rsid w:val="001E432D"/>
    <w:rsid w:val="001E5240"/>
    <w:rsid w:val="001E61E5"/>
    <w:rsid w:val="001E6AAD"/>
    <w:rsid w:val="001F0479"/>
    <w:rsid w:val="001F2050"/>
    <w:rsid w:val="001F2159"/>
    <w:rsid w:val="001F2F83"/>
    <w:rsid w:val="001F5252"/>
    <w:rsid w:val="001F676D"/>
    <w:rsid w:val="001F7C1F"/>
    <w:rsid w:val="0020013E"/>
    <w:rsid w:val="002013D0"/>
    <w:rsid w:val="00201F59"/>
    <w:rsid w:val="00203CA8"/>
    <w:rsid w:val="002042A8"/>
    <w:rsid w:val="002045DC"/>
    <w:rsid w:val="00207987"/>
    <w:rsid w:val="00215DDF"/>
    <w:rsid w:val="00216EFE"/>
    <w:rsid w:val="00217222"/>
    <w:rsid w:val="00221572"/>
    <w:rsid w:val="00221F27"/>
    <w:rsid w:val="00222DDB"/>
    <w:rsid w:val="00223DCD"/>
    <w:rsid w:val="00223FD4"/>
    <w:rsid w:val="002245C4"/>
    <w:rsid w:val="00225D03"/>
    <w:rsid w:val="00227F4F"/>
    <w:rsid w:val="00232615"/>
    <w:rsid w:val="0023361F"/>
    <w:rsid w:val="00233954"/>
    <w:rsid w:val="00235A23"/>
    <w:rsid w:val="002364BF"/>
    <w:rsid w:val="00236C4D"/>
    <w:rsid w:val="0023738C"/>
    <w:rsid w:val="00237FD2"/>
    <w:rsid w:val="00240730"/>
    <w:rsid w:val="0024191C"/>
    <w:rsid w:val="00242905"/>
    <w:rsid w:val="00244177"/>
    <w:rsid w:val="002443D6"/>
    <w:rsid w:val="00246B07"/>
    <w:rsid w:val="00253222"/>
    <w:rsid w:val="0025637B"/>
    <w:rsid w:val="00256CAB"/>
    <w:rsid w:val="0025728F"/>
    <w:rsid w:val="00257B9D"/>
    <w:rsid w:val="00262E06"/>
    <w:rsid w:val="00265F20"/>
    <w:rsid w:val="00266BFA"/>
    <w:rsid w:val="00272F4B"/>
    <w:rsid w:val="0027359D"/>
    <w:rsid w:val="00273825"/>
    <w:rsid w:val="00277B2A"/>
    <w:rsid w:val="00277CB1"/>
    <w:rsid w:val="00280A34"/>
    <w:rsid w:val="0028307A"/>
    <w:rsid w:val="00283654"/>
    <w:rsid w:val="00284268"/>
    <w:rsid w:val="0028595F"/>
    <w:rsid w:val="002862F8"/>
    <w:rsid w:val="0028733C"/>
    <w:rsid w:val="0028745A"/>
    <w:rsid w:val="00287C78"/>
    <w:rsid w:val="00290F95"/>
    <w:rsid w:val="00291880"/>
    <w:rsid w:val="002922FE"/>
    <w:rsid w:val="00292A2F"/>
    <w:rsid w:val="0029789E"/>
    <w:rsid w:val="00297ECB"/>
    <w:rsid w:val="002A0985"/>
    <w:rsid w:val="002A15F3"/>
    <w:rsid w:val="002A2D63"/>
    <w:rsid w:val="002A5E2E"/>
    <w:rsid w:val="002A6775"/>
    <w:rsid w:val="002B116E"/>
    <w:rsid w:val="002B5614"/>
    <w:rsid w:val="002B60BD"/>
    <w:rsid w:val="002B62DA"/>
    <w:rsid w:val="002B638F"/>
    <w:rsid w:val="002B72E9"/>
    <w:rsid w:val="002B75BD"/>
    <w:rsid w:val="002B7732"/>
    <w:rsid w:val="002B7A46"/>
    <w:rsid w:val="002B7BB1"/>
    <w:rsid w:val="002C0CD0"/>
    <w:rsid w:val="002C3A74"/>
    <w:rsid w:val="002C485A"/>
    <w:rsid w:val="002C622C"/>
    <w:rsid w:val="002C791B"/>
    <w:rsid w:val="002C7AAF"/>
    <w:rsid w:val="002D001A"/>
    <w:rsid w:val="002D1E9A"/>
    <w:rsid w:val="002D2E17"/>
    <w:rsid w:val="002D3858"/>
    <w:rsid w:val="002D45F0"/>
    <w:rsid w:val="002D4EFE"/>
    <w:rsid w:val="002D5A75"/>
    <w:rsid w:val="002D68DD"/>
    <w:rsid w:val="002E09EC"/>
    <w:rsid w:val="002E0BFC"/>
    <w:rsid w:val="002E1D44"/>
    <w:rsid w:val="002E2A9F"/>
    <w:rsid w:val="002E2DFD"/>
    <w:rsid w:val="002E5809"/>
    <w:rsid w:val="002F0A50"/>
    <w:rsid w:val="002F0F64"/>
    <w:rsid w:val="002F21BD"/>
    <w:rsid w:val="002F22F1"/>
    <w:rsid w:val="002F40DD"/>
    <w:rsid w:val="002F5259"/>
    <w:rsid w:val="002F554B"/>
    <w:rsid w:val="002F6CFC"/>
    <w:rsid w:val="002F6E3D"/>
    <w:rsid w:val="003003D2"/>
    <w:rsid w:val="0030065C"/>
    <w:rsid w:val="003008DD"/>
    <w:rsid w:val="00300D9D"/>
    <w:rsid w:val="0030465A"/>
    <w:rsid w:val="00305A46"/>
    <w:rsid w:val="00311155"/>
    <w:rsid w:val="00311465"/>
    <w:rsid w:val="00311CD8"/>
    <w:rsid w:val="003122F4"/>
    <w:rsid w:val="003161C5"/>
    <w:rsid w:val="00316AD6"/>
    <w:rsid w:val="00323107"/>
    <w:rsid w:val="00323E92"/>
    <w:rsid w:val="00324469"/>
    <w:rsid w:val="003246ED"/>
    <w:rsid w:val="0032565F"/>
    <w:rsid w:val="00326263"/>
    <w:rsid w:val="00327DB6"/>
    <w:rsid w:val="003306E1"/>
    <w:rsid w:val="00331EBA"/>
    <w:rsid w:val="003320E4"/>
    <w:rsid w:val="003320FF"/>
    <w:rsid w:val="00332738"/>
    <w:rsid w:val="00333BD0"/>
    <w:rsid w:val="00333EB6"/>
    <w:rsid w:val="00334542"/>
    <w:rsid w:val="00334C1C"/>
    <w:rsid w:val="00334FBB"/>
    <w:rsid w:val="0033525D"/>
    <w:rsid w:val="00335567"/>
    <w:rsid w:val="0033724E"/>
    <w:rsid w:val="00337B0E"/>
    <w:rsid w:val="00341024"/>
    <w:rsid w:val="003412F5"/>
    <w:rsid w:val="003414F3"/>
    <w:rsid w:val="00342423"/>
    <w:rsid w:val="00342F7A"/>
    <w:rsid w:val="0034389E"/>
    <w:rsid w:val="003468F4"/>
    <w:rsid w:val="00347EEE"/>
    <w:rsid w:val="00347F1C"/>
    <w:rsid w:val="00350617"/>
    <w:rsid w:val="00351019"/>
    <w:rsid w:val="00352027"/>
    <w:rsid w:val="00353421"/>
    <w:rsid w:val="0035613E"/>
    <w:rsid w:val="00356475"/>
    <w:rsid w:val="00363EE9"/>
    <w:rsid w:val="00364917"/>
    <w:rsid w:val="00372D40"/>
    <w:rsid w:val="0037451C"/>
    <w:rsid w:val="0037475C"/>
    <w:rsid w:val="00374DAA"/>
    <w:rsid w:val="00376128"/>
    <w:rsid w:val="00376989"/>
    <w:rsid w:val="00376B94"/>
    <w:rsid w:val="0037742E"/>
    <w:rsid w:val="00377483"/>
    <w:rsid w:val="0038245A"/>
    <w:rsid w:val="003836D2"/>
    <w:rsid w:val="003837F9"/>
    <w:rsid w:val="00384913"/>
    <w:rsid w:val="003860C0"/>
    <w:rsid w:val="003863C6"/>
    <w:rsid w:val="00391A8E"/>
    <w:rsid w:val="00392C36"/>
    <w:rsid w:val="0039337A"/>
    <w:rsid w:val="00394083"/>
    <w:rsid w:val="00395323"/>
    <w:rsid w:val="0039543E"/>
    <w:rsid w:val="00396605"/>
    <w:rsid w:val="0039764E"/>
    <w:rsid w:val="003A04E2"/>
    <w:rsid w:val="003A23C8"/>
    <w:rsid w:val="003A3189"/>
    <w:rsid w:val="003A39EF"/>
    <w:rsid w:val="003A4CEA"/>
    <w:rsid w:val="003B1A6D"/>
    <w:rsid w:val="003B22A8"/>
    <w:rsid w:val="003B270F"/>
    <w:rsid w:val="003B2D84"/>
    <w:rsid w:val="003B3973"/>
    <w:rsid w:val="003B3AB8"/>
    <w:rsid w:val="003B3BF1"/>
    <w:rsid w:val="003B4DE9"/>
    <w:rsid w:val="003B569D"/>
    <w:rsid w:val="003C0DAD"/>
    <w:rsid w:val="003C1403"/>
    <w:rsid w:val="003C1EBD"/>
    <w:rsid w:val="003C1EF2"/>
    <w:rsid w:val="003C3C0E"/>
    <w:rsid w:val="003C6EED"/>
    <w:rsid w:val="003C7C08"/>
    <w:rsid w:val="003D0407"/>
    <w:rsid w:val="003D0420"/>
    <w:rsid w:val="003D07D6"/>
    <w:rsid w:val="003D291E"/>
    <w:rsid w:val="003D3276"/>
    <w:rsid w:val="003D41C1"/>
    <w:rsid w:val="003D4FAC"/>
    <w:rsid w:val="003D5F70"/>
    <w:rsid w:val="003D6F6F"/>
    <w:rsid w:val="003D7451"/>
    <w:rsid w:val="003D74B6"/>
    <w:rsid w:val="003D7572"/>
    <w:rsid w:val="003E03B8"/>
    <w:rsid w:val="003E1AFE"/>
    <w:rsid w:val="003E1E8F"/>
    <w:rsid w:val="003E2578"/>
    <w:rsid w:val="003E32C2"/>
    <w:rsid w:val="003E42CD"/>
    <w:rsid w:val="003E5351"/>
    <w:rsid w:val="003E5D37"/>
    <w:rsid w:val="003E60F5"/>
    <w:rsid w:val="003E6893"/>
    <w:rsid w:val="003E6945"/>
    <w:rsid w:val="003E7906"/>
    <w:rsid w:val="003F04A5"/>
    <w:rsid w:val="003F0721"/>
    <w:rsid w:val="003F27F8"/>
    <w:rsid w:val="003F29BB"/>
    <w:rsid w:val="003F3C50"/>
    <w:rsid w:val="003F4DFD"/>
    <w:rsid w:val="003F5591"/>
    <w:rsid w:val="003F5E70"/>
    <w:rsid w:val="003F6D63"/>
    <w:rsid w:val="003F786A"/>
    <w:rsid w:val="004001E8"/>
    <w:rsid w:val="0040042A"/>
    <w:rsid w:val="00401609"/>
    <w:rsid w:val="00402218"/>
    <w:rsid w:val="00405CFD"/>
    <w:rsid w:val="00406A6A"/>
    <w:rsid w:val="00406B22"/>
    <w:rsid w:val="0040761D"/>
    <w:rsid w:val="004120DD"/>
    <w:rsid w:val="00412582"/>
    <w:rsid w:val="00412D34"/>
    <w:rsid w:val="00413159"/>
    <w:rsid w:val="004137E5"/>
    <w:rsid w:val="0041383C"/>
    <w:rsid w:val="00414849"/>
    <w:rsid w:val="00414866"/>
    <w:rsid w:val="004156F5"/>
    <w:rsid w:val="00415AEC"/>
    <w:rsid w:val="004176B4"/>
    <w:rsid w:val="004215AE"/>
    <w:rsid w:val="00421D24"/>
    <w:rsid w:val="00424985"/>
    <w:rsid w:val="00424F68"/>
    <w:rsid w:val="00425E85"/>
    <w:rsid w:val="004274EE"/>
    <w:rsid w:val="00427AF1"/>
    <w:rsid w:val="00431D12"/>
    <w:rsid w:val="00432279"/>
    <w:rsid w:val="004328A7"/>
    <w:rsid w:val="004333FE"/>
    <w:rsid w:val="00433B39"/>
    <w:rsid w:val="00434C74"/>
    <w:rsid w:val="00434FF2"/>
    <w:rsid w:val="00435032"/>
    <w:rsid w:val="00435BE4"/>
    <w:rsid w:val="00435CAD"/>
    <w:rsid w:val="00436B2B"/>
    <w:rsid w:val="00437C3D"/>
    <w:rsid w:val="00441BEE"/>
    <w:rsid w:val="00442D7C"/>
    <w:rsid w:val="0044348C"/>
    <w:rsid w:val="00444544"/>
    <w:rsid w:val="00444C37"/>
    <w:rsid w:val="00444EB9"/>
    <w:rsid w:val="0045004E"/>
    <w:rsid w:val="0045099E"/>
    <w:rsid w:val="00450AA6"/>
    <w:rsid w:val="00452046"/>
    <w:rsid w:val="004526CA"/>
    <w:rsid w:val="00453749"/>
    <w:rsid w:val="00455B5F"/>
    <w:rsid w:val="00456EB4"/>
    <w:rsid w:val="00460D8B"/>
    <w:rsid w:val="00465A89"/>
    <w:rsid w:val="004661DF"/>
    <w:rsid w:val="004669AD"/>
    <w:rsid w:val="00466E5D"/>
    <w:rsid w:val="00467EF6"/>
    <w:rsid w:val="00470584"/>
    <w:rsid w:val="004718F3"/>
    <w:rsid w:val="00474158"/>
    <w:rsid w:val="00474B6A"/>
    <w:rsid w:val="00475040"/>
    <w:rsid w:val="00476C08"/>
    <w:rsid w:val="0048012F"/>
    <w:rsid w:val="00482ABF"/>
    <w:rsid w:val="004834C6"/>
    <w:rsid w:val="0048379F"/>
    <w:rsid w:val="00484961"/>
    <w:rsid w:val="00484E28"/>
    <w:rsid w:val="0048559F"/>
    <w:rsid w:val="0048637B"/>
    <w:rsid w:val="00493AE3"/>
    <w:rsid w:val="00493D40"/>
    <w:rsid w:val="00496D70"/>
    <w:rsid w:val="00497760"/>
    <w:rsid w:val="00497821"/>
    <w:rsid w:val="004A038E"/>
    <w:rsid w:val="004A171A"/>
    <w:rsid w:val="004A1895"/>
    <w:rsid w:val="004A3A1E"/>
    <w:rsid w:val="004A409A"/>
    <w:rsid w:val="004A504B"/>
    <w:rsid w:val="004A60DC"/>
    <w:rsid w:val="004A66D0"/>
    <w:rsid w:val="004A6911"/>
    <w:rsid w:val="004B07BA"/>
    <w:rsid w:val="004B5299"/>
    <w:rsid w:val="004B54E0"/>
    <w:rsid w:val="004B7384"/>
    <w:rsid w:val="004B75DF"/>
    <w:rsid w:val="004B76AD"/>
    <w:rsid w:val="004C1493"/>
    <w:rsid w:val="004C1521"/>
    <w:rsid w:val="004C2D87"/>
    <w:rsid w:val="004C4269"/>
    <w:rsid w:val="004C4533"/>
    <w:rsid w:val="004C4D05"/>
    <w:rsid w:val="004C7BC5"/>
    <w:rsid w:val="004D06BE"/>
    <w:rsid w:val="004D2089"/>
    <w:rsid w:val="004D2D5F"/>
    <w:rsid w:val="004D390F"/>
    <w:rsid w:val="004D53FF"/>
    <w:rsid w:val="004D6236"/>
    <w:rsid w:val="004D65A2"/>
    <w:rsid w:val="004D7C74"/>
    <w:rsid w:val="004E2147"/>
    <w:rsid w:val="004E2353"/>
    <w:rsid w:val="004E2F62"/>
    <w:rsid w:val="004E4C07"/>
    <w:rsid w:val="004E4DBB"/>
    <w:rsid w:val="004E7F9C"/>
    <w:rsid w:val="004F0B1C"/>
    <w:rsid w:val="004F1A31"/>
    <w:rsid w:val="004F3493"/>
    <w:rsid w:val="004F49EC"/>
    <w:rsid w:val="00500B15"/>
    <w:rsid w:val="00502237"/>
    <w:rsid w:val="005024E6"/>
    <w:rsid w:val="00502F94"/>
    <w:rsid w:val="00506311"/>
    <w:rsid w:val="005067EA"/>
    <w:rsid w:val="00506A5D"/>
    <w:rsid w:val="00506E08"/>
    <w:rsid w:val="005074E8"/>
    <w:rsid w:val="00507BD0"/>
    <w:rsid w:val="00507E4C"/>
    <w:rsid w:val="005118B4"/>
    <w:rsid w:val="00512B09"/>
    <w:rsid w:val="00512BEF"/>
    <w:rsid w:val="005130B8"/>
    <w:rsid w:val="00513FD5"/>
    <w:rsid w:val="00515288"/>
    <w:rsid w:val="00515A7C"/>
    <w:rsid w:val="005169B9"/>
    <w:rsid w:val="00517A4B"/>
    <w:rsid w:val="00520B30"/>
    <w:rsid w:val="005215A4"/>
    <w:rsid w:val="00521A3F"/>
    <w:rsid w:val="0052245C"/>
    <w:rsid w:val="00522540"/>
    <w:rsid w:val="005228DF"/>
    <w:rsid w:val="00525716"/>
    <w:rsid w:val="00525FA6"/>
    <w:rsid w:val="00532682"/>
    <w:rsid w:val="0053580C"/>
    <w:rsid w:val="00535FA1"/>
    <w:rsid w:val="005360A5"/>
    <w:rsid w:val="00536CDB"/>
    <w:rsid w:val="005409C5"/>
    <w:rsid w:val="005441C8"/>
    <w:rsid w:val="00544ECC"/>
    <w:rsid w:val="005452C3"/>
    <w:rsid w:val="0054606E"/>
    <w:rsid w:val="005468EF"/>
    <w:rsid w:val="00547984"/>
    <w:rsid w:val="00547A82"/>
    <w:rsid w:val="0055311C"/>
    <w:rsid w:val="00553892"/>
    <w:rsid w:val="00553A8A"/>
    <w:rsid w:val="00554A27"/>
    <w:rsid w:val="00555D75"/>
    <w:rsid w:val="0055795F"/>
    <w:rsid w:val="005579C0"/>
    <w:rsid w:val="00560534"/>
    <w:rsid w:val="00560DBE"/>
    <w:rsid w:val="00560DF0"/>
    <w:rsid w:val="005640FC"/>
    <w:rsid w:val="00564369"/>
    <w:rsid w:val="0057123A"/>
    <w:rsid w:val="00573124"/>
    <w:rsid w:val="00573AE6"/>
    <w:rsid w:val="005814EB"/>
    <w:rsid w:val="00582FCD"/>
    <w:rsid w:val="005830D3"/>
    <w:rsid w:val="00586758"/>
    <w:rsid w:val="0059068C"/>
    <w:rsid w:val="00590BD7"/>
    <w:rsid w:val="0059281E"/>
    <w:rsid w:val="005928E3"/>
    <w:rsid w:val="00593045"/>
    <w:rsid w:val="005930D0"/>
    <w:rsid w:val="00593AB5"/>
    <w:rsid w:val="005941A6"/>
    <w:rsid w:val="005962A3"/>
    <w:rsid w:val="00597D23"/>
    <w:rsid w:val="005A18F9"/>
    <w:rsid w:val="005A1E00"/>
    <w:rsid w:val="005A26A5"/>
    <w:rsid w:val="005A2C0C"/>
    <w:rsid w:val="005A3509"/>
    <w:rsid w:val="005A45CB"/>
    <w:rsid w:val="005A4A2E"/>
    <w:rsid w:val="005A68C5"/>
    <w:rsid w:val="005A6CF6"/>
    <w:rsid w:val="005B034E"/>
    <w:rsid w:val="005B13EF"/>
    <w:rsid w:val="005B175C"/>
    <w:rsid w:val="005B3867"/>
    <w:rsid w:val="005B48FF"/>
    <w:rsid w:val="005B7B78"/>
    <w:rsid w:val="005C0106"/>
    <w:rsid w:val="005C064A"/>
    <w:rsid w:val="005C1937"/>
    <w:rsid w:val="005C208F"/>
    <w:rsid w:val="005C606D"/>
    <w:rsid w:val="005C7A40"/>
    <w:rsid w:val="005C7F97"/>
    <w:rsid w:val="005D1086"/>
    <w:rsid w:val="005D1F68"/>
    <w:rsid w:val="005D43D9"/>
    <w:rsid w:val="005D49B1"/>
    <w:rsid w:val="005D504D"/>
    <w:rsid w:val="005D5733"/>
    <w:rsid w:val="005D73A6"/>
    <w:rsid w:val="005E031A"/>
    <w:rsid w:val="005E34C6"/>
    <w:rsid w:val="005E3866"/>
    <w:rsid w:val="005E53BC"/>
    <w:rsid w:val="005E67D4"/>
    <w:rsid w:val="005F2A89"/>
    <w:rsid w:val="005F302C"/>
    <w:rsid w:val="005F52F8"/>
    <w:rsid w:val="005F67B3"/>
    <w:rsid w:val="005F7EEF"/>
    <w:rsid w:val="006002D7"/>
    <w:rsid w:val="00600A67"/>
    <w:rsid w:val="00601141"/>
    <w:rsid w:val="006012A7"/>
    <w:rsid w:val="00602789"/>
    <w:rsid w:val="00603654"/>
    <w:rsid w:val="00604C1D"/>
    <w:rsid w:val="00605D1A"/>
    <w:rsid w:val="00611F82"/>
    <w:rsid w:val="006141C1"/>
    <w:rsid w:val="0061571C"/>
    <w:rsid w:val="006158D5"/>
    <w:rsid w:val="006176CC"/>
    <w:rsid w:val="00620B1E"/>
    <w:rsid w:val="00624810"/>
    <w:rsid w:val="00625D83"/>
    <w:rsid w:val="00626198"/>
    <w:rsid w:val="00627A91"/>
    <w:rsid w:val="006309FE"/>
    <w:rsid w:val="00631846"/>
    <w:rsid w:val="00631E80"/>
    <w:rsid w:val="00635A21"/>
    <w:rsid w:val="006369C8"/>
    <w:rsid w:val="00637310"/>
    <w:rsid w:val="006378AC"/>
    <w:rsid w:val="006379CF"/>
    <w:rsid w:val="006401E7"/>
    <w:rsid w:val="00641DDD"/>
    <w:rsid w:val="00643292"/>
    <w:rsid w:val="00644436"/>
    <w:rsid w:val="00644842"/>
    <w:rsid w:val="00646AD6"/>
    <w:rsid w:val="0065436F"/>
    <w:rsid w:val="0065517D"/>
    <w:rsid w:val="00655E3B"/>
    <w:rsid w:val="00656A16"/>
    <w:rsid w:val="0066153D"/>
    <w:rsid w:val="006623E7"/>
    <w:rsid w:val="00662B80"/>
    <w:rsid w:val="00664BAD"/>
    <w:rsid w:val="00665177"/>
    <w:rsid w:val="00666293"/>
    <w:rsid w:val="006739A3"/>
    <w:rsid w:val="00680D29"/>
    <w:rsid w:val="0068130E"/>
    <w:rsid w:val="00684481"/>
    <w:rsid w:val="006852C7"/>
    <w:rsid w:val="00686C41"/>
    <w:rsid w:val="00687328"/>
    <w:rsid w:val="00687545"/>
    <w:rsid w:val="006878E6"/>
    <w:rsid w:val="0069085B"/>
    <w:rsid w:val="00690868"/>
    <w:rsid w:val="0069218C"/>
    <w:rsid w:val="00694FAD"/>
    <w:rsid w:val="006952EE"/>
    <w:rsid w:val="00695493"/>
    <w:rsid w:val="006972C8"/>
    <w:rsid w:val="006A0807"/>
    <w:rsid w:val="006A1DFF"/>
    <w:rsid w:val="006A2240"/>
    <w:rsid w:val="006A4972"/>
    <w:rsid w:val="006A4E36"/>
    <w:rsid w:val="006A7948"/>
    <w:rsid w:val="006B04F7"/>
    <w:rsid w:val="006B3934"/>
    <w:rsid w:val="006B421F"/>
    <w:rsid w:val="006B6522"/>
    <w:rsid w:val="006C0BDE"/>
    <w:rsid w:val="006C0D22"/>
    <w:rsid w:val="006C1727"/>
    <w:rsid w:val="006C32FD"/>
    <w:rsid w:val="006C484F"/>
    <w:rsid w:val="006C4CEA"/>
    <w:rsid w:val="006D0E4B"/>
    <w:rsid w:val="006D0F24"/>
    <w:rsid w:val="006D0FCC"/>
    <w:rsid w:val="006D180D"/>
    <w:rsid w:val="006D2EFB"/>
    <w:rsid w:val="006D2F97"/>
    <w:rsid w:val="006D46F6"/>
    <w:rsid w:val="006D5E81"/>
    <w:rsid w:val="006D5EE4"/>
    <w:rsid w:val="006E05CF"/>
    <w:rsid w:val="006E0D57"/>
    <w:rsid w:val="006E133D"/>
    <w:rsid w:val="006E1F61"/>
    <w:rsid w:val="006E22D5"/>
    <w:rsid w:val="006E7BE3"/>
    <w:rsid w:val="006F09D9"/>
    <w:rsid w:val="006F3A12"/>
    <w:rsid w:val="006F6061"/>
    <w:rsid w:val="006F7E21"/>
    <w:rsid w:val="006F7FD4"/>
    <w:rsid w:val="007005E3"/>
    <w:rsid w:val="00701573"/>
    <w:rsid w:val="007021DE"/>
    <w:rsid w:val="0070290C"/>
    <w:rsid w:val="00704F94"/>
    <w:rsid w:val="007053A9"/>
    <w:rsid w:val="0070616B"/>
    <w:rsid w:val="0070695C"/>
    <w:rsid w:val="00706FDA"/>
    <w:rsid w:val="007100F1"/>
    <w:rsid w:val="00710E09"/>
    <w:rsid w:val="00711591"/>
    <w:rsid w:val="00711F9A"/>
    <w:rsid w:val="00713810"/>
    <w:rsid w:val="007159D3"/>
    <w:rsid w:val="00720372"/>
    <w:rsid w:val="0072230F"/>
    <w:rsid w:val="007228E1"/>
    <w:rsid w:val="00722B4B"/>
    <w:rsid w:val="0072367E"/>
    <w:rsid w:val="0072371C"/>
    <w:rsid w:val="00724432"/>
    <w:rsid w:val="00725C7F"/>
    <w:rsid w:val="007303A5"/>
    <w:rsid w:val="007303E3"/>
    <w:rsid w:val="00730901"/>
    <w:rsid w:val="0073097F"/>
    <w:rsid w:val="00730B3E"/>
    <w:rsid w:val="00731281"/>
    <w:rsid w:val="00733311"/>
    <w:rsid w:val="0073420B"/>
    <w:rsid w:val="00734A1B"/>
    <w:rsid w:val="007357BE"/>
    <w:rsid w:val="007368F5"/>
    <w:rsid w:val="00736D55"/>
    <w:rsid w:val="0074135A"/>
    <w:rsid w:val="0074217A"/>
    <w:rsid w:val="00743AC5"/>
    <w:rsid w:val="007447B2"/>
    <w:rsid w:val="007449C1"/>
    <w:rsid w:val="0074760E"/>
    <w:rsid w:val="00750365"/>
    <w:rsid w:val="00750F28"/>
    <w:rsid w:val="00751307"/>
    <w:rsid w:val="007516F4"/>
    <w:rsid w:val="00753110"/>
    <w:rsid w:val="00753A17"/>
    <w:rsid w:val="00754ABA"/>
    <w:rsid w:val="0075771E"/>
    <w:rsid w:val="00757725"/>
    <w:rsid w:val="00760F9F"/>
    <w:rsid w:val="007617D3"/>
    <w:rsid w:val="007619A5"/>
    <w:rsid w:val="00761AFF"/>
    <w:rsid w:val="00764236"/>
    <w:rsid w:val="00765C0D"/>
    <w:rsid w:val="00766A2E"/>
    <w:rsid w:val="00766D59"/>
    <w:rsid w:val="00766EAC"/>
    <w:rsid w:val="00767475"/>
    <w:rsid w:val="00767886"/>
    <w:rsid w:val="00767C4A"/>
    <w:rsid w:val="00767CFF"/>
    <w:rsid w:val="007715DA"/>
    <w:rsid w:val="00771739"/>
    <w:rsid w:val="00772373"/>
    <w:rsid w:val="007756A4"/>
    <w:rsid w:val="0077627B"/>
    <w:rsid w:val="00777428"/>
    <w:rsid w:val="0078199F"/>
    <w:rsid w:val="00782F01"/>
    <w:rsid w:val="007839EF"/>
    <w:rsid w:val="007847AF"/>
    <w:rsid w:val="0078529C"/>
    <w:rsid w:val="007910BD"/>
    <w:rsid w:val="007A0A9F"/>
    <w:rsid w:val="007A1546"/>
    <w:rsid w:val="007A228C"/>
    <w:rsid w:val="007A368E"/>
    <w:rsid w:val="007A4681"/>
    <w:rsid w:val="007A4F61"/>
    <w:rsid w:val="007A5868"/>
    <w:rsid w:val="007A5D91"/>
    <w:rsid w:val="007A5F30"/>
    <w:rsid w:val="007A6481"/>
    <w:rsid w:val="007B011A"/>
    <w:rsid w:val="007B04CE"/>
    <w:rsid w:val="007B1C23"/>
    <w:rsid w:val="007B263A"/>
    <w:rsid w:val="007B2F82"/>
    <w:rsid w:val="007B32E2"/>
    <w:rsid w:val="007B3D87"/>
    <w:rsid w:val="007B519C"/>
    <w:rsid w:val="007B598C"/>
    <w:rsid w:val="007B6871"/>
    <w:rsid w:val="007B6B1D"/>
    <w:rsid w:val="007C0098"/>
    <w:rsid w:val="007C1C13"/>
    <w:rsid w:val="007C1F4A"/>
    <w:rsid w:val="007C23D0"/>
    <w:rsid w:val="007C34F1"/>
    <w:rsid w:val="007C3D33"/>
    <w:rsid w:val="007C4332"/>
    <w:rsid w:val="007C6AFA"/>
    <w:rsid w:val="007D077C"/>
    <w:rsid w:val="007D1C22"/>
    <w:rsid w:val="007D294A"/>
    <w:rsid w:val="007D47D2"/>
    <w:rsid w:val="007D4951"/>
    <w:rsid w:val="007D64D1"/>
    <w:rsid w:val="007D690A"/>
    <w:rsid w:val="007D69F8"/>
    <w:rsid w:val="007D6EC0"/>
    <w:rsid w:val="007D7972"/>
    <w:rsid w:val="007D7E1D"/>
    <w:rsid w:val="007E18A5"/>
    <w:rsid w:val="007E2E2B"/>
    <w:rsid w:val="007F202F"/>
    <w:rsid w:val="007F5CB8"/>
    <w:rsid w:val="007F616E"/>
    <w:rsid w:val="007F639B"/>
    <w:rsid w:val="007F66B8"/>
    <w:rsid w:val="007F6CBC"/>
    <w:rsid w:val="007F70FC"/>
    <w:rsid w:val="00800114"/>
    <w:rsid w:val="0080012F"/>
    <w:rsid w:val="008063BA"/>
    <w:rsid w:val="0081133E"/>
    <w:rsid w:val="00811ECE"/>
    <w:rsid w:val="00813302"/>
    <w:rsid w:val="00813658"/>
    <w:rsid w:val="00813B1D"/>
    <w:rsid w:val="00814CB8"/>
    <w:rsid w:val="008204F3"/>
    <w:rsid w:val="00821AA4"/>
    <w:rsid w:val="0082294A"/>
    <w:rsid w:val="00823161"/>
    <w:rsid w:val="00824F8A"/>
    <w:rsid w:val="0083222C"/>
    <w:rsid w:val="008323BE"/>
    <w:rsid w:val="00832B2C"/>
    <w:rsid w:val="00834106"/>
    <w:rsid w:val="00834274"/>
    <w:rsid w:val="00834BE4"/>
    <w:rsid w:val="00835E68"/>
    <w:rsid w:val="00836CB5"/>
    <w:rsid w:val="00840499"/>
    <w:rsid w:val="0084114E"/>
    <w:rsid w:val="00841E58"/>
    <w:rsid w:val="00841F1E"/>
    <w:rsid w:val="0084454D"/>
    <w:rsid w:val="00845052"/>
    <w:rsid w:val="008453A8"/>
    <w:rsid w:val="008459A4"/>
    <w:rsid w:val="008470E9"/>
    <w:rsid w:val="00852784"/>
    <w:rsid w:val="0085432F"/>
    <w:rsid w:val="008556CD"/>
    <w:rsid w:val="00855E03"/>
    <w:rsid w:val="0085700D"/>
    <w:rsid w:val="00857E23"/>
    <w:rsid w:val="00857E67"/>
    <w:rsid w:val="008602E7"/>
    <w:rsid w:val="008606B6"/>
    <w:rsid w:val="00861326"/>
    <w:rsid w:val="00861C49"/>
    <w:rsid w:val="00863230"/>
    <w:rsid w:val="00863A9A"/>
    <w:rsid w:val="008640F1"/>
    <w:rsid w:val="00864B1E"/>
    <w:rsid w:val="00864FF9"/>
    <w:rsid w:val="00866466"/>
    <w:rsid w:val="008717D8"/>
    <w:rsid w:val="00871DBC"/>
    <w:rsid w:val="0087215C"/>
    <w:rsid w:val="00873A42"/>
    <w:rsid w:val="00875F4C"/>
    <w:rsid w:val="008817BE"/>
    <w:rsid w:val="00884566"/>
    <w:rsid w:val="00884E77"/>
    <w:rsid w:val="00886392"/>
    <w:rsid w:val="008873C8"/>
    <w:rsid w:val="008875FE"/>
    <w:rsid w:val="0088793B"/>
    <w:rsid w:val="00887F8E"/>
    <w:rsid w:val="008907BE"/>
    <w:rsid w:val="0089151C"/>
    <w:rsid w:val="00891CFE"/>
    <w:rsid w:val="008923B1"/>
    <w:rsid w:val="00896234"/>
    <w:rsid w:val="00897E43"/>
    <w:rsid w:val="008A1121"/>
    <w:rsid w:val="008A2365"/>
    <w:rsid w:val="008A5374"/>
    <w:rsid w:val="008A6E4B"/>
    <w:rsid w:val="008A7B30"/>
    <w:rsid w:val="008B0DCA"/>
    <w:rsid w:val="008B19EF"/>
    <w:rsid w:val="008B3D36"/>
    <w:rsid w:val="008B493C"/>
    <w:rsid w:val="008B7426"/>
    <w:rsid w:val="008B7D1F"/>
    <w:rsid w:val="008B7E9A"/>
    <w:rsid w:val="008C3F6A"/>
    <w:rsid w:val="008C44E5"/>
    <w:rsid w:val="008C4731"/>
    <w:rsid w:val="008C48E9"/>
    <w:rsid w:val="008C5738"/>
    <w:rsid w:val="008C5DD8"/>
    <w:rsid w:val="008C736A"/>
    <w:rsid w:val="008C7EAD"/>
    <w:rsid w:val="008D0477"/>
    <w:rsid w:val="008D1C41"/>
    <w:rsid w:val="008D27B1"/>
    <w:rsid w:val="008D29AB"/>
    <w:rsid w:val="008D2BCE"/>
    <w:rsid w:val="008D2E99"/>
    <w:rsid w:val="008D6152"/>
    <w:rsid w:val="008E1080"/>
    <w:rsid w:val="008E140D"/>
    <w:rsid w:val="008E1B86"/>
    <w:rsid w:val="008E396A"/>
    <w:rsid w:val="008E3BFB"/>
    <w:rsid w:val="008E572E"/>
    <w:rsid w:val="008E5E8B"/>
    <w:rsid w:val="008E6358"/>
    <w:rsid w:val="008E6EEF"/>
    <w:rsid w:val="008E71D7"/>
    <w:rsid w:val="008F0054"/>
    <w:rsid w:val="008F0F81"/>
    <w:rsid w:val="008F2529"/>
    <w:rsid w:val="008F3962"/>
    <w:rsid w:val="008F5263"/>
    <w:rsid w:val="008F531A"/>
    <w:rsid w:val="008F5B38"/>
    <w:rsid w:val="008F5EFF"/>
    <w:rsid w:val="008F7653"/>
    <w:rsid w:val="00900409"/>
    <w:rsid w:val="009024A5"/>
    <w:rsid w:val="00904706"/>
    <w:rsid w:val="0090539F"/>
    <w:rsid w:val="0090589D"/>
    <w:rsid w:val="00912B93"/>
    <w:rsid w:val="00914FAF"/>
    <w:rsid w:val="00915771"/>
    <w:rsid w:val="00915C75"/>
    <w:rsid w:val="009163DF"/>
    <w:rsid w:val="0092029F"/>
    <w:rsid w:val="00920464"/>
    <w:rsid w:val="00921064"/>
    <w:rsid w:val="00921372"/>
    <w:rsid w:val="009213ED"/>
    <w:rsid w:val="00922128"/>
    <w:rsid w:val="00923540"/>
    <w:rsid w:val="00923669"/>
    <w:rsid w:val="00923BED"/>
    <w:rsid w:val="00923CDD"/>
    <w:rsid w:val="00923FF1"/>
    <w:rsid w:val="00924B26"/>
    <w:rsid w:val="00926767"/>
    <w:rsid w:val="00926F02"/>
    <w:rsid w:val="00927701"/>
    <w:rsid w:val="009302F2"/>
    <w:rsid w:val="00931D86"/>
    <w:rsid w:val="00932852"/>
    <w:rsid w:val="0093357A"/>
    <w:rsid w:val="009355D9"/>
    <w:rsid w:val="009361C1"/>
    <w:rsid w:val="009361D5"/>
    <w:rsid w:val="009374A6"/>
    <w:rsid w:val="0093789D"/>
    <w:rsid w:val="00940515"/>
    <w:rsid w:val="009406F8"/>
    <w:rsid w:val="00941102"/>
    <w:rsid w:val="0094204D"/>
    <w:rsid w:val="00942A84"/>
    <w:rsid w:val="00943014"/>
    <w:rsid w:val="00943043"/>
    <w:rsid w:val="0094377F"/>
    <w:rsid w:val="00943826"/>
    <w:rsid w:val="0094632F"/>
    <w:rsid w:val="00952977"/>
    <w:rsid w:val="00952A41"/>
    <w:rsid w:val="0095464F"/>
    <w:rsid w:val="00955554"/>
    <w:rsid w:val="00957600"/>
    <w:rsid w:val="00960647"/>
    <w:rsid w:val="00960704"/>
    <w:rsid w:val="009614F6"/>
    <w:rsid w:val="00961BF8"/>
    <w:rsid w:val="0096402C"/>
    <w:rsid w:val="00964FAB"/>
    <w:rsid w:val="009659F4"/>
    <w:rsid w:val="00970091"/>
    <w:rsid w:val="00970D60"/>
    <w:rsid w:val="0097150E"/>
    <w:rsid w:val="0097173F"/>
    <w:rsid w:val="009722C8"/>
    <w:rsid w:val="009729B3"/>
    <w:rsid w:val="00974466"/>
    <w:rsid w:val="009768BB"/>
    <w:rsid w:val="00977129"/>
    <w:rsid w:val="009773CB"/>
    <w:rsid w:val="00977FC6"/>
    <w:rsid w:val="009805E1"/>
    <w:rsid w:val="00981C7C"/>
    <w:rsid w:val="009835F5"/>
    <w:rsid w:val="0098402F"/>
    <w:rsid w:val="0098608C"/>
    <w:rsid w:val="0098648F"/>
    <w:rsid w:val="009944BE"/>
    <w:rsid w:val="009946B1"/>
    <w:rsid w:val="00994FFA"/>
    <w:rsid w:val="0099569A"/>
    <w:rsid w:val="00995829"/>
    <w:rsid w:val="00995C5C"/>
    <w:rsid w:val="00996CD1"/>
    <w:rsid w:val="009976E9"/>
    <w:rsid w:val="009A02A8"/>
    <w:rsid w:val="009A1FBA"/>
    <w:rsid w:val="009A2913"/>
    <w:rsid w:val="009A38D8"/>
    <w:rsid w:val="009A4A91"/>
    <w:rsid w:val="009A518C"/>
    <w:rsid w:val="009A68DE"/>
    <w:rsid w:val="009A6FF5"/>
    <w:rsid w:val="009A7ADC"/>
    <w:rsid w:val="009A7BBD"/>
    <w:rsid w:val="009B0DB0"/>
    <w:rsid w:val="009B1CB9"/>
    <w:rsid w:val="009B5E22"/>
    <w:rsid w:val="009C0C4B"/>
    <w:rsid w:val="009C19B7"/>
    <w:rsid w:val="009C2830"/>
    <w:rsid w:val="009C2EF5"/>
    <w:rsid w:val="009C3A26"/>
    <w:rsid w:val="009C3CAB"/>
    <w:rsid w:val="009C401F"/>
    <w:rsid w:val="009C4742"/>
    <w:rsid w:val="009C5232"/>
    <w:rsid w:val="009D0BA7"/>
    <w:rsid w:val="009D13BF"/>
    <w:rsid w:val="009D16D1"/>
    <w:rsid w:val="009D451E"/>
    <w:rsid w:val="009D706D"/>
    <w:rsid w:val="009D7C51"/>
    <w:rsid w:val="009E16DB"/>
    <w:rsid w:val="009E1D94"/>
    <w:rsid w:val="009E360E"/>
    <w:rsid w:val="009E6055"/>
    <w:rsid w:val="009F0EE0"/>
    <w:rsid w:val="009F2A57"/>
    <w:rsid w:val="009F3626"/>
    <w:rsid w:val="009F36BF"/>
    <w:rsid w:val="009F5442"/>
    <w:rsid w:val="009F61F8"/>
    <w:rsid w:val="009F6706"/>
    <w:rsid w:val="009F6DC1"/>
    <w:rsid w:val="009F76FF"/>
    <w:rsid w:val="009F7830"/>
    <w:rsid w:val="00A025C6"/>
    <w:rsid w:val="00A027A9"/>
    <w:rsid w:val="00A031DC"/>
    <w:rsid w:val="00A03F42"/>
    <w:rsid w:val="00A046D6"/>
    <w:rsid w:val="00A05354"/>
    <w:rsid w:val="00A05A3B"/>
    <w:rsid w:val="00A06CD1"/>
    <w:rsid w:val="00A07FD7"/>
    <w:rsid w:val="00A101BF"/>
    <w:rsid w:val="00A1063A"/>
    <w:rsid w:val="00A10CFD"/>
    <w:rsid w:val="00A111B6"/>
    <w:rsid w:val="00A14415"/>
    <w:rsid w:val="00A169C0"/>
    <w:rsid w:val="00A1705A"/>
    <w:rsid w:val="00A17BB5"/>
    <w:rsid w:val="00A21826"/>
    <w:rsid w:val="00A22065"/>
    <w:rsid w:val="00A247D0"/>
    <w:rsid w:val="00A27583"/>
    <w:rsid w:val="00A27F1C"/>
    <w:rsid w:val="00A30AF1"/>
    <w:rsid w:val="00A30B81"/>
    <w:rsid w:val="00A32E04"/>
    <w:rsid w:val="00A37CBE"/>
    <w:rsid w:val="00A37DC9"/>
    <w:rsid w:val="00A40317"/>
    <w:rsid w:val="00A41698"/>
    <w:rsid w:val="00A41DD6"/>
    <w:rsid w:val="00A42A99"/>
    <w:rsid w:val="00A432CA"/>
    <w:rsid w:val="00A450F2"/>
    <w:rsid w:val="00A453C9"/>
    <w:rsid w:val="00A470CA"/>
    <w:rsid w:val="00A47530"/>
    <w:rsid w:val="00A5151A"/>
    <w:rsid w:val="00A5204E"/>
    <w:rsid w:val="00A52234"/>
    <w:rsid w:val="00A54D94"/>
    <w:rsid w:val="00A56035"/>
    <w:rsid w:val="00A6198C"/>
    <w:rsid w:val="00A626FA"/>
    <w:rsid w:val="00A64919"/>
    <w:rsid w:val="00A64B58"/>
    <w:rsid w:val="00A679D2"/>
    <w:rsid w:val="00A716D6"/>
    <w:rsid w:val="00A7271E"/>
    <w:rsid w:val="00A72D4F"/>
    <w:rsid w:val="00A7346B"/>
    <w:rsid w:val="00A73D67"/>
    <w:rsid w:val="00A770A9"/>
    <w:rsid w:val="00A80C56"/>
    <w:rsid w:val="00A80DF0"/>
    <w:rsid w:val="00A81FB0"/>
    <w:rsid w:val="00A823F6"/>
    <w:rsid w:val="00A83931"/>
    <w:rsid w:val="00A84841"/>
    <w:rsid w:val="00A852F9"/>
    <w:rsid w:val="00A85C0C"/>
    <w:rsid w:val="00A874A6"/>
    <w:rsid w:val="00A87542"/>
    <w:rsid w:val="00A90D28"/>
    <w:rsid w:val="00A91446"/>
    <w:rsid w:val="00A91D5A"/>
    <w:rsid w:val="00A924D8"/>
    <w:rsid w:val="00A92663"/>
    <w:rsid w:val="00A92A33"/>
    <w:rsid w:val="00A93FFB"/>
    <w:rsid w:val="00A9496F"/>
    <w:rsid w:val="00A95CC0"/>
    <w:rsid w:val="00AA0A89"/>
    <w:rsid w:val="00AA1D78"/>
    <w:rsid w:val="00AA2AFD"/>
    <w:rsid w:val="00AA4C4E"/>
    <w:rsid w:val="00AA51EE"/>
    <w:rsid w:val="00AA5CD0"/>
    <w:rsid w:val="00AA7AA2"/>
    <w:rsid w:val="00AB0667"/>
    <w:rsid w:val="00AB3AE8"/>
    <w:rsid w:val="00AB4645"/>
    <w:rsid w:val="00AB4DBA"/>
    <w:rsid w:val="00AB5333"/>
    <w:rsid w:val="00AB61BC"/>
    <w:rsid w:val="00AB6B71"/>
    <w:rsid w:val="00AB6F3F"/>
    <w:rsid w:val="00AB7364"/>
    <w:rsid w:val="00AB7F16"/>
    <w:rsid w:val="00AC01AA"/>
    <w:rsid w:val="00AC030D"/>
    <w:rsid w:val="00AC3935"/>
    <w:rsid w:val="00AC3A99"/>
    <w:rsid w:val="00AC4F72"/>
    <w:rsid w:val="00AC4FDB"/>
    <w:rsid w:val="00AC63AC"/>
    <w:rsid w:val="00AD0462"/>
    <w:rsid w:val="00AD1750"/>
    <w:rsid w:val="00AD175E"/>
    <w:rsid w:val="00AD20F3"/>
    <w:rsid w:val="00AD4288"/>
    <w:rsid w:val="00AD50AA"/>
    <w:rsid w:val="00AD5111"/>
    <w:rsid w:val="00AD545C"/>
    <w:rsid w:val="00AD5EA6"/>
    <w:rsid w:val="00AD6B34"/>
    <w:rsid w:val="00AD7782"/>
    <w:rsid w:val="00AD790A"/>
    <w:rsid w:val="00AE04BA"/>
    <w:rsid w:val="00AE0EA0"/>
    <w:rsid w:val="00AE10C8"/>
    <w:rsid w:val="00AE11CA"/>
    <w:rsid w:val="00AE3153"/>
    <w:rsid w:val="00AE3928"/>
    <w:rsid w:val="00AE4BBA"/>
    <w:rsid w:val="00AE7910"/>
    <w:rsid w:val="00AF373D"/>
    <w:rsid w:val="00AF6CB2"/>
    <w:rsid w:val="00AF741A"/>
    <w:rsid w:val="00AF76A3"/>
    <w:rsid w:val="00B001EF"/>
    <w:rsid w:val="00B01377"/>
    <w:rsid w:val="00B01E35"/>
    <w:rsid w:val="00B03A1E"/>
    <w:rsid w:val="00B03AF3"/>
    <w:rsid w:val="00B04161"/>
    <w:rsid w:val="00B056F9"/>
    <w:rsid w:val="00B05F5D"/>
    <w:rsid w:val="00B10BA2"/>
    <w:rsid w:val="00B116DE"/>
    <w:rsid w:val="00B11A1F"/>
    <w:rsid w:val="00B11E3D"/>
    <w:rsid w:val="00B12407"/>
    <w:rsid w:val="00B12B14"/>
    <w:rsid w:val="00B12DD3"/>
    <w:rsid w:val="00B13355"/>
    <w:rsid w:val="00B1455A"/>
    <w:rsid w:val="00B14C88"/>
    <w:rsid w:val="00B16BC6"/>
    <w:rsid w:val="00B1788E"/>
    <w:rsid w:val="00B17E82"/>
    <w:rsid w:val="00B20B0D"/>
    <w:rsid w:val="00B20F73"/>
    <w:rsid w:val="00B22D21"/>
    <w:rsid w:val="00B231F0"/>
    <w:rsid w:val="00B26A0D"/>
    <w:rsid w:val="00B27A6D"/>
    <w:rsid w:val="00B308B0"/>
    <w:rsid w:val="00B31697"/>
    <w:rsid w:val="00B31B83"/>
    <w:rsid w:val="00B35AA0"/>
    <w:rsid w:val="00B37D04"/>
    <w:rsid w:val="00B402BA"/>
    <w:rsid w:val="00B40B39"/>
    <w:rsid w:val="00B40F74"/>
    <w:rsid w:val="00B425F9"/>
    <w:rsid w:val="00B43FCA"/>
    <w:rsid w:val="00B44E11"/>
    <w:rsid w:val="00B50DBB"/>
    <w:rsid w:val="00B52AA8"/>
    <w:rsid w:val="00B52DFA"/>
    <w:rsid w:val="00B532DB"/>
    <w:rsid w:val="00B53678"/>
    <w:rsid w:val="00B53D40"/>
    <w:rsid w:val="00B55263"/>
    <w:rsid w:val="00B55642"/>
    <w:rsid w:val="00B567F4"/>
    <w:rsid w:val="00B575BA"/>
    <w:rsid w:val="00B57D30"/>
    <w:rsid w:val="00B57E3A"/>
    <w:rsid w:val="00B57FF5"/>
    <w:rsid w:val="00B6124E"/>
    <w:rsid w:val="00B6143C"/>
    <w:rsid w:val="00B62907"/>
    <w:rsid w:val="00B63FF6"/>
    <w:rsid w:val="00B64C84"/>
    <w:rsid w:val="00B659B0"/>
    <w:rsid w:val="00B6614F"/>
    <w:rsid w:val="00B6676B"/>
    <w:rsid w:val="00B67354"/>
    <w:rsid w:val="00B67711"/>
    <w:rsid w:val="00B67B71"/>
    <w:rsid w:val="00B67F64"/>
    <w:rsid w:val="00B70BDB"/>
    <w:rsid w:val="00B71106"/>
    <w:rsid w:val="00B7245C"/>
    <w:rsid w:val="00B7298E"/>
    <w:rsid w:val="00B734EE"/>
    <w:rsid w:val="00B745C5"/>
    <w:rsid w:val="00B74A24"/>
    <w:rsid w:val="00B74C79"/>
    <w:rsid w:val="00B74E1F"/>
    <w:rsid w:val="00B759FB"/>
    <w:rsid w:val="00B76429"/>
    <w:rsid w:val="00B82079"/>
    <w:rsid w:val="00B84958"/>
    <w:rsid w:val="00B84BF7"/>
    <w:rsid w:val="00B84E8E"/>
    <w:rsid w:val="00B86702"/>
    <w:rsid w:val="00B87E0C"/>
    <w:rsid w:val="00B87FD8"/>
    <w:rsid w:val="00B910C1"/>
    <w:rsid w:val="00B934F2"/>
    <w:rsid w:val="00B956D4"/>
    <w:rsid w:val="00B96493"/>
    <w:rsid w:val="00BA03C5"/>
    <w:rsid w:val="00BA0D38"/>
    <w:rsid w:val="00BA5A7C"/>
    <w:rsid w:val="00BA7432"/>
    <w:rsid w:val="00BA7BEF"/>
    <w:rsid w:val="00BB03F2"/>
    <w:rsid w:val="00BB05A4"/>
    <w:rsid w:val="00BB16D6"/>
    <w:rsid w:val="00BB264B"/>
    <w:rsid w:val="00BB5238"/>
    <w:rsid w:val="00BC0B31"/>
    <w:rsid w:val="00BC1AA0"/>
    <w:rsid w:val="00BC372E"/>
    <w:rsid w:val="00BC4362"/>
    <w:rsid w:val="00BC49CD"/>
    <w:rsid w:val="00BC6191"/>
    <w:rsid w:val="00BC7EB9"/>
    <w:rsid w:val="00BD1649"/>
    <w:rsid w:val="00BD2643"/>
    <w:rsid w:val="00BD42C2"/>
    <w:rsid w:val="00BD4580"/>
    <w:rsid w:val="00BD47CA"/>
    <w:rsid w:val="00BD492A"/>
    <w:rsid w:val="00BD4F1F"/>
    <w:rsid w:val="00BD6558"/>
    <w:rsid w:val="00BD7E9E"/>
    <w:rsid w:val="00BE06DE"/>
    <w:rsid w:val="00BE08BF"/>
    <w:rsid w:val="00BE161E"/>
    <w:rsid w:val="00BE2096"/>
    <w:rsid w:val="00BE2938"/>
    <w:rsid w:val="00BE2B37"/>
    <w:rsid w:val="00BE2BA6"/>
    <w:rsid w:val="00BE3173"/>
    <w:rsid w:val="00BE4CF0"/>
    <w:rsid w:val="00BF06FF"/>
    <w:rsid w:val="00BF1512"/>
    <w:rsid w:val="00BF3214"/>
    <w:rsid w:val="00BF6738"/>
    <w:rsid w:val="00C01204"/>
    <w:rsid w:val="00C0131A"/>
    <w:rsid w:val="00C01BFE"/>
    <w:rsid w:val="00C01C80"/>
    <w:rsid w:val="00C02060"/>
    <w:rsid w:val="00C04631"/>
    <w:rsid w:val="00C05CDB"/>
    <w:rsid w:val="00C07B3E"/>
    <w:rsid w:val="00C128C2"/>
    <w:rsid w:val="00C14193"/>
    <w:rsid w:val="00C1436A"/>
    <w:rsid w:val="00C15867"/>
    <w:rsid w:val="00C15DE7"/>
    <w:rsid w:val="00C17E66"/>
    <w:rsid w:val="00C2296D"/>
    <w:rsid w:val="00C22C5C"/>
    <w:rsid w:val="00C23155"/>
    <w:rsid w:val="00C23B25"/>
    <w:rsid w:val="00C26532"/>
    <w:rsid w:val="00C276E2"/>
    <w:rsid w:val="00C30163"/>
    <w:rsid w:val="00C34BDA"/>
    <w:rsid w:val="00C34F10"/>
    <w:rsid w:val="00C35D8D"/>
    <w:rsid w:val="00C3640D"/>
    <w:rsid w:val="00C36BFC"/>
    <w:rsid w:val="00C405D8"/>
    <w:rsid w:val="00C40867"/>
    <w:rsid w:val="00C40A87"/>
    <w:rsid w:val="00C40C41"/>
    <w:rsid w:val="00C416DA"/>
    <w:rsid w:val="00C419CD"/>
    <w:rsid w:val="00C41F14"/>
    <w:rsid w:val="00C42A8C"/>
    <w:rsid w:val="00C43175"/>
    <w:rsid w:val="00C45885"/>
    <w:rsid w:val="00C46516"/>
    <w:rsid w:val="00C46A0A"/>
    <w:rsid w:val="00C477BD"/>
    <w:rsid w:val="00C50813"/>
    <w:rsid w:val="00C508DD"/>
    <w:rsid w:val="00C50914"/>
    <w:rsid w:val="00C50F22"/>
    <w:rsid w:val="00C5298A"/>
    <w:rsid w:val="00C5360E"/>
    <w:rsid w:val="00C5458B"/>
    <w:rsid w:val="00C57971"/>
    <w:rsid w:val="00C61913"/>
    <w:rsid w:val="00C61F09"/>
    <w:rsid w:val="00C64271"/>
    <w:rsid w:val="00C64973"/>
    <w:rsid w:val="00C654A6"/>
    <w:rsid w:val="00C65D55"/>
    <w:rsid w:val="00C703CB"/>
    <w:rsid w:val="00C70D0B"/>
    <w:rsid w:val="00C719C9"/>
    <w:rsid w:val="00C729E6"/>
    <w:rsid w:val="00C72DC2"/>
    <w:rsid w:val="00C72DFD"/>
    <w:rsid w:val="00C76046"/>
    <w:rsid w:val="00C768E6"/>
    <w:rsid w:val="00C76BA4"/>
    <w:rsid w:val="00C80F93"/>
    <w:rsid w:val="00C811CF"/>
    <w:rsid w:val="00C82452"/>
    <w:rsid w:val="00C826A3"/>
    <w:rsid w:val="00C83A48"/>
    <w:rsid w:val="00C840FC"/>
    <w:rsid w:val="00C8566F"/>
    <w:rsid w:val="00C85865"/>
    <w:rsid w:val="00C85E85"/>
    <w:rsid w:val="00C85F04"/>
    <w:rsid w:val="00C86AA1"/>
    <w:rsid w:val="00C878EC"/>
    <w:rsid w:val="00C90E83"/>
    <w:rsid w:val="00C9181C"/>
    <w:rsid w:val="00C947FC"/>
    <w:rsid w:val="00C954FD"/>
    <w:rsid w:val="00C95C47"/>
    <w:rsid w:val="00C97E2B"/>
    <w:rsid w:val="00CA2EAE"/>
    <w:rsid w:val="00CA2F04"/>
    <w:rsid w:val="00CA4AC1"/>
    <w:rsid w:val="00CA5752"/>
    <w:rsid w:val="00CA6E55"/>
    <w:rsid w:val="00CB0316"/>
    <w:rsid w:val="00CB0B11"/>
    <w:rsid w:val="00CB0BBA"/>
    <w:rsid w:val="00CB0DF4"/>
    <w:rsid w:val="00CB2A1C"/>
    <w:rsid w:val="00CB2F6F"/>
    <w:rsid w:val="00CB30AF"/>
    <w:rsid w:val="00CB3371"/>
    <w:rsid w:val="00CB3462"/>
    <w:rsid w:val="00CB4659"/>
    <w:rsid w:val="00CB4B42"/>
    <w:rsid w:val="00CB5354"/>
    <w:rsid w:val="00CB6045"/>
    <w:rsid w:val="00CB660B"/>
    <w:rsid w:val="00CB68C8"/>
    <w:rsid w:val="00CC0EDF"/>
    <w:rsid w:val="00CC1F54"/>
    <w:rsid w:val="00CC354C"/>
    <w:rsid w:val="00CC39A5"/>
    <w:rsid w:val="00CC3E36"/>
    <w:rsid w:val="00CC68A5"/>
    <w:rsid w:val="00CC6A14"/>
    <w:rsid w:val="00CC6E10"/>
    <w:rsid w:val="00CC70A3"/>
    <w:rsid w:val="00CC7CDB"/>
    <w:rsid w:val="00CD059E"/>
    <w:rsid w:val="00CD4466"/>
    <w:rsid w:val="00CD44D2"/>
    <w:rsid w:val="00CD5132"/>
    <w:rsid w:val="00CD53C3"/>
    <w:rsid w:val="00CD574E"/>
    <w:rsid w:val="00CD593A"/>
    <w:rsid w:val="00CD6EC2"/>
    <w:rsid w:val="00CE294E"/>
    <w:rsid w:val="00CE4C22"/>
    <w:rsid w:val="00CE53D1"/>
    <w:rsid w:val="00CE5BA9"/>
    <w:rsid w:val="00CE757D"/>
    <w:rsid w:val="00CF0217"/>
    <w:rsid w:val="00CF066B"/>
    <w:rsid w:val="00CF155C"/>
    <w:rsid w:val="00CF19FA"/>
    <w:rsid w:val="00CF2982"/>
    <w:rsid w:val="00CF41EC"/>
    <w:rsid w:val="00CF56A9"/>
    <w:rsid w:val="00CF5D04"/>
    <w:rsid w:val="00CF640E"/>
    <w:rsid w:val="00CF6727"/>
    <w:rsid w:val="00D003EA"/>
    <w:rsid w:val="00D00991"/>
    <w:rsid w:val="00D00BAB"/>
    <w:rsid w:val="00D0275C"/>
    <w:rsid w:val="00D039B1"/>
    <w:rsid w:val="00D04DE4"/>
    <w:rsid w:val="00D05563"/>
    <w:rsid w:val="00D05583"/>
    <w:rsid w:val="00D063F1"/>
    <w:rsid w:val="00D06B0E"/>
    <w:rsid w:val="00D071DB"/>
    <w:rsid w:val="00D1076B"/>
    <w:rsid w:val="00D13114"/>
    <w:rsid w:val="00D132E4"/>
    <w:rsid w:val="00D135D0"/>
    <w:rsid w:val="00D14DA2"/>
    <w:rsid w:val="00D14F22"/>
    <w:rsid w:val="00D16533"/>
    <w:rsid w:val="00D20674"/>
    <w:rsid w:val="00D22CFB"/>
    <w:rsid w:val="00D24172"/>
    <w:rsid w:val="00D24723"/>
    <w:rsid w:val="00D25960"/>
    <w:rsid w:val="00D2639A"/>
    <w:rsid w:val="00D27260"/>
    <w:rsid w:val="00D30989"/>
    <w:rsid w:val="00D30A57"/>
    <w:rsid w:val="00D30DE5"/>
    <w:rsid w:val="00D315EB"/>
    <w:rsid w:val="00D3436D"/>
    <w:rsid w:val="00D36936"/>
    <w:rsid w:val="00D36CE2"/>
    <w:rsid w:val="00D40229"/>
    <w:rsid w:val="00D42237"/>
    <w:rsid w:val="00D4438F"/>
    <w:rsid w:val="00D45E61"/>
    <w:rsid w:val="00D46F27"/>
    <w:rsid w:val="00D4718A"/>
    <w:rsid w:val="00D50D20"/>
    <w:rsid w:val="00D50FAA"/>
    <w:rsid w:val="00D52849"/>
    <w:rsid w:val="00D52D98"/>
    <w:rsid w:val="00D54FA3"/>
    <w:rsid w:val="00D56FD6"/>
    <w:rsid w:val="00D57918"/>
    <w:rsid w:val="00D60954"/>
    <w:rsid w:val="00D60D7D"/>
    <w:rsid w:val="00D620FF"/>
    <w:rsid w:val="00D634D7"/>
    <w:rsid w:val="00D63E81"/>
    <w:rsid w:val="00D666B3"/>
    <w:rsid w:val="00D7059A"/>
    <w:rsid w:val="00D71DDE"/>
    <w:rsid w:val="00D731B5"/>
    <w:rsid w:val="00D73DC6"/>
    <w:rsid w:val="00D74319"/>
    <w:rsid w:val="00D74C1A"/>
    <w:rsid w:val="00D75205"/>
    <w:rsid w:val="00D753BC"/>
    <w:rsid w:val="00D754C1"/>
    <w:rsid w:val="00D7578C"/>
    <w:rsid w:val="00D76209"/>
    <w:rsid w:val="00D77A35"/>
    <w:rsid w:val="00D77D1F"/>
    <w:rsid w:val="00D77D62"/>
    <w:rsid w:val="00D8010E"/>
    <w:rsid w:val="00D80AAB"/>
    <w:rsid w:val="00D8198B"/>
    <w:rsid w:val="00D81B3E"/>
    <w:rsid w:val="00D8423F"/>
    <w:rsid w:val="00D850D3"/>
    <w:rsid w:val="00D856C9"/>
    <w:rsid w:val="00D87322"/>
    <w:rsid w:val="00D90C70"/>
    <w:rsid w:val="00D90E49"/>
    <w:rsid w:val="00D93A32"/>
    <w:rsid w:val="00D94171"/>
    <w:rsid w:val="00D94DAA"/>
    <w:rsid w:val="00D95EC7"/>
    <w:rsid w:val="00D96401"/>
    <w:rsid w:val="00D96FA0"/>
    <w:rsid w:val="00D9718C"/>
    <w:rsid w:val="00D974AC"/>
    <w:rsid w:val="00D97B86"/>
    <w:rsid w:val="00DA05C0"/>
    <w:rsid w:val="00DA13A6"/>
    <w:rsid w:val="00DA166F"/>
    <w:rsid w:val="00DA174C"/>
    <w:rsid w:val="00DA6C47"/>
    <w:rsid w:val="00DA73A1"/>
    <w:rsid w:val="00DA7749"/>
    <w:rsid w:val="00DB13AF"/>
    <w:rsid w:val="00DB3634"/>
    <w:rsid w:val="00DB585F"/>
    <w:rsid w:val="00DB615F"/>
    <w:rsid w:val="00DC0539"/>
    <w:rsid w:val="00DC2C8B"/>
    <w:rsid w:val="00DC4AFC"/>
    <w:rsid w:val="00DC6A10"/>
    <w:rsid w:val="00DC6AC3"/>
    <w:rsid w:val="00DD0834"/>
    <w:rsid w:val="00DD3500"/>
    <w:rsid w:val="00DD3BD8"/>
    <w:rsid w:val="00DD4364"/>
    <w:rsid w:val="00DD687F"/>
    <w:rsid w:val="00DD6F94"/>
    <w:rsid w:val="00DE0C91"/>
    <w:rsid w:val="00DE13F5"/>
    <w:rsid w:val="00DE1D5E"/>
    <w:rsid w:val="00DE32E2"/>
    <w:rsid w:val="00DE3397"/>
    <w:rsid w:val="00DE3F39"/>
    <w:rsid w:val="00DE4704"/>
    <w:rsid w:val="00DE6479"/>
    <w:rsid w:val="00DE657E"/>
    <w:rsid w:val="00DE6F87"/>
    <w:rsid w:val="00DF1D9F"/>
    <w:rsid w:val="00DF4704"/>
    <w:rsid w:val="00DF471B"/>
    <w:rsid w:val="00DF4D84"/>
    <w:rsid w:val="00DF540D"/>
    <w:rsid w:val="00DF601C"/>
    <w:rsid w:val="00DF6E63"/>
    <w:rsid w:val="00E024AA"/>
    <w:rsid w:val="00E03904"/>
    <w:rsid w:val="00E05067"/>
    <w:rsid w:val="00E059D1"/>
    <w:rsid w:val="00E06673"/>
    <w:rsid w:val="00E104AD"/>
    <w:rsid w:val="00E11CF2"/>
    <w:rsid w:val="00E125FB"/>
    <w:rsid w:val="00E13599"/>
    <w:rsid w:val="00E1457F"/>
    <w:rsid w:val="00E14C8F"/>
    <w:rsid w:val="00E1638E"/>
    <w:rsid w:val="00E1693E"/>
    <w:rsid w:val="00E16BB0"/>
    <w:rsid w:val="00E16D12"/>
    <w:rsid w:val="00E2427C"/>
    <w:rsid w:val="00E250F1"/>
    <w:rsid w:val="00E25B5A"/>
    <w:rsid w:val="00E273F2"/>
    <w:rsid w:val="00E3112B"/>
    <w:rsid w:val="00E31CC8"/>
    <w:rsid w:val="00E339A5"/>
    <w:rsid w:val="00E339C1"/>
    <w:rsid w:val="00E33F47"/>
    <w:rsid w:val="00E34D6F"/>
    <w:rsid w:val="00E3550D"/>
    <w:rsid w:val="00E3558C"/>
    <w:rsid w:val="00E357DE"/>
    <w:rsid w:val="00E3715D"/>
    <w:rsid w:val="00E41A2D"/>
    <w:rsid w:val="00E42729"/>
    <w:rsid w:val="00E42EE8"/>
    <w:rsid w:val="00E4458E"/>
    <w:rsid w:val="00E456D6"/>
    <w:rsid w:val="00E45958"/>
    <w:rsid w:val="00E45B79"/>
    <w:rsid w:val="00E50035"/>
    <w:rsid w:val="00E51AFD"/>
    <w:rsid w:val="00E51DA4"/>
    <w:rsid w:val="00E53ADE"/>
    <w:rsid w:val="00E54E96"/>
    <w:rsid w:val="00E55646"/>
    <w:rsid w:val="00E56729"/>
    <w:rsid w:val="00E60F21"/>
    <w:rsid w:val="00E614E0"/>
    <w:rsid w:val="00E62461"/>
    <w:rsid w:val="00E63219"/>
    <w:rsid w:val="00E634F1"/>
    <w:rsid w:val="00E63FEE"/>
    <w:rsid w:val="00E65D4D"/>
    <w:rsid w:val="00E70956"/>
    <w:rsid w:val="00E7150B"/>
    <w:rsid w:val="00E72900"/>
    <w:rsid w:val="00E72A45"/>
    <w:rsid w:val="00E73F7F"/>
    <w:rsid w:val="00E74E7A"/>
    <w:rsid w:val="00E76170"/>
    <w:rsid w:val="00E76F70"/>
    <w:rsid w:val="00E77360"/>
    <w:rsid w:val="00E77805"/>
    <w:rsid w:val="00E77EE5"/>
    <w:rsid w:val="00E816F7"/>
    <w:rsid w:val="00E81AB1"/>
    <w:rsid w:val="00E829AC"/>
    <w:rsid w:val="00E82A85"/>
    <w:rsid w:val="00E83704"/>
    <w:rsid w:val="00E84D6D"/>
    <w:rsid w:val="00E85C2A"/>
    <w:rsid w:val="00E85E6B"/>
    <w:rsid w:val="00E8654A"/>
    <w:rsid w:val="00E86936"/>
    <w:rsid w:val="00E902E3"/>
    <w:rsid w:val="00E91D2C"/>
    <w:rsid w:val="00E93D3B"/>
    <w:rsid w:val="00E950EE"/>
    <w:rsid w:val="00E96BFA"/>
    <w:rsid w:val="00E975E5"/>
    <w:rsid w:val="00E97C59"/>
    <w:rsid w:val="00EA0621"/>
    <w:rsid w:val="00EA09A7"/>
    <w:rsid w:val="00EA1DA7"/>
    <w:rsid w:val="00EA2544"/>
    <w:rsid w:val="00EA2887"/>
    <w:rsid w:val="00EA2D18"/>
    <w:rsid w:val="00EA429F"/>
    <w:rsid w:val="00EA4F9E"/>
    <w:rsid w:val="00EA6938"/>
    <w:rsid w:val="00EA6D3B"/>
    <w:rsid w:val="00EA7714"/>
    <w:rsid w:val="00EB00AD"/>
    <w:rsid w:val="00EB03E7"/>
    <w:rsid w:val="00EB136C"/>
    <w:rsid w:val="00EB1C22"/>
    <w:rsid w:val="00EB3D09"/>
    <w:rsid w:val="00EB3FB1"/>
    <w:rsid w:val="00EB480E"/>
    <w:rsid w:val="00EB532B"/>
    <w:rsid w:val="00EB58A5"/>
    <w:rsid w:val="00EB5EC6"/>
    <w:rsid w:val="00EB6CC7"/>
    <w:rsid w:val="00EB6E5D"/>
    <w:rsid w:val="00EB7F75"/>
    <w:rsid w:val="00EB7FC9"/>
    <w:rsid w:val="00EB7FD0"/>
    <w:rsid w:val="00EC15FC"/>
    <w:rsid w:val="00EC3333"/>
    <w:rsid w:val="00EC4AB6"/>
    <w:rsid w:val="00EC7BCA"/>
    <w:rsid w:val="00ED291E"/>
    <w:rsid w:val="00ED3DDF"/>
    <w:rsid w:val="00ED4416"/>
    <w:rsid w:val="00ED48CC"/>
    <w:rsid w:val="00ED6415"/>
    <w:rsid w:val="00ED7137"/>
    <w:rsid w:val="00EE0320"/>
    <w:rsid w:val="00EE1543"/>
    <w:rsid w:val="00EE235F"/>
    <w:rsid w:val="00EE37C8"/>
    <w:rsid w:val="00EE5471"/>
    <w:rsid w:val="00EE702D"/>
    <w:rsid w:val="00EF0E97"/>
    <w:rsid w:val="00EF3647"/>
    <w:rsid w:val="00EF43E9"/>
    <w:rsid w:val="00EF4A1D"/>
    <w:rsid w:val="00EF65CE"/>
    <w:rsid w:val="00EF68DB"/>
    <w:rsid w:val="00EF7091"/>
    <w:rsid w:val="00F0293B"/>
    <w:rsid w:val="00F036EB"/>
    <w:rsid w:val="00F04EEC"/>
    <w:rsid w:val="00F051EA"/>
    <w:rsid w:val="00F05BC1"/>
    <w:rsid w:val="00F06694"/>
    <w:rsid w:val="00F06B0D"/>
    <w:rsid w:val="00F0708A"/>
    <w:rsid w:val="00F1179D"/>
    <w:rsid w:val="00F1248E"/>
    <w:rsid w:val="00F15039"/>
    <w:rsid w:val="00F17915"/>
    <w:rsid w:val="00F17C00"/>
    <w:rsid w:val="00F20735"/>
    <w:rsid w:val="00F20961"/>
    <w:rsid w:val="00F21088"/>
    <w:rsid w:val="00F2224F"/>
    <w:rsid w:val="00F228CE"/>
    <w:rsid w:val="00F2351E"/>
    <w:rsid w:val="00F23D41"/>
    <w:rsid w:val="00F249AE"/>
    <w:rsid w:val="00F2575E"/>
    <w:rsid w:val="00F26CF7"/>
    <w:rsid w:val="00F2737D"/>
    <w:rsid w:val="00F2790B"/>
    <w:rsid w:val="00F30D8B"/>
    <w:rsid w:val="00F311B1"/>
    <w:rsid w:val="00F327E7"/>
    <w:rsid w:val="00F32A5F"/>
    <w:rsid w:val="00F33C60"/>
    <w:rsid w:val="00F3524A"/>
    <w:rsid w:val="00F35746"/>
    <w:rsid w:val="00F36371"/>
    <w:rsid w:val="00F37047"/>
    <w:rsid w:val="00F37316"/>
    <w:rsid w:val="00F410C4"/>
    <w:rsid w:val="00F4294A"/>
    <w:rsid w:val="00F42ADB"/>
    <w:rsid w:val="00F42FC9"/>
    <w:rsid w:val="00F43336"/>
    <w:rsid w:val="00F447C7"/>
    <w:rsid w:val="00F44A2E"/>
    <w:rsid w:val="00F44DDD"/>
    <w:rsid w:val="00F4601F"/>
    <w:rsid w:val="00F47DF9"/>
    <w:rsid w:val="00F50096"/>
    <w:rsid w:val="00F506D6"/>
    <w:rsid w:val="00F518F7"/>
    <w:rsid w:val="00F520CD"/>
    <w:rsid w:val="00F52275"/>
    <w:rsid w:val="00F52618"/>
    <w:rsid w:val="00F536AD"/>
    <w:rsid w:val="00F54588"/>
    <w:rsid w:val="00F55153"/>
    <w:rsid w:val="00F554A9"/>
    <w:rsid w:val="00F55B62"/>
    <w:rsid w:val="00F5677E"/>
    <w:rsid w:val="00F575AA"/>
    <w:rsid w:val="00F60368"/>
    <w:rsid w:val="00F6374C"/>
    <w:rsid w:val="00F65394"/>
    <w:rsid w:val="00F66122"/>
    <w:rsid w:val="00F66CBF"/>
    <w:rsid w:val="00F70150"/>
    <w:rsid w:val="00F716FD"/>
    <w:rsid w:val="00F7170B"/>
    <w:rsid w:val="00F71797"/>
    <w:rsid w:val="00F71D38"/>
    <w:rsid w:val="00F721B6"/>
    <w:rsid w:val="00F72297"/>
    <w:rsid w:val="00F72E81"/>
    <w:rsid w:val="00F73ACF"/>
    <w:rsid w:val="00F73E60"/>
    <w:rsid w:val="00F74C44"/>
    <w:rsid w:val="00F75492"/>
    <w:rsid w:val="00F80355"/>
    <w:rsid w:val="00F82951"/>
    <w:rsid w:val="00F84FA3"/>
    <w:rsid w:val="00F87086"/>
    <w:rsid w:val="00F91FBC"/>
    <w:rsid w:val="00F92FEF"/>
    <w:rsid w:val="00F930AA"/>
    <w:rsid w:val="00F9350D"/>
    <w:rsid w:val="00F93B60"/>
    <w:rsid w:val="00F94ABB"/>
    <w:rsid w:val="00F95655"/>
    <w:rsid w:val="00F97E1F"/>
    <w:rsid w:val="00FA0983"/>
    <w:rsid w:val="00FA1E22"/>
    <w:rsid w:val="00FA31C1"/>
    <w:rsid w:val="00FA5B1C"/>
    <w:rsid w:val="00FA6450"/>
    <w:rsid w:val="00FA701F"/>
    <w:rsid w:val="00FB0C81"/>
    <w:rsid w:val="00FB2C18"/>
    <w:rsid w:val="00FB39B4"/>
    <w:rsid w:val="00FB39BA"/>
    <w:rsid w:val="00FB4299"/>
    <w:rsid w:val="00FB765F"/>
    <w:rsid w:val="00FC0740"/>
    <w:rsid w:val="00FC2200"/>
    <w:rsid w:val="00FC2540"/>
    <w:rsid w:val="00FC2FFD"/>
    <w:rsid w:val="00FC3A41"/>
    <w:rsid w:val="00FC4F1F"/>
    <w:rsid w:val="00FC7461"/>
    <w:rsid w:val="00FD0934"/>
    <w:rsid w:val="00FD3814"/>
    <w:rsid w:val="00FD52EB"/>
    <w:rsid w:val="00FD56EC"/>
    <w:rsid w:val="00FE2506"/>
    <w:rsid w:val="00FE252D"/>
    <w:rsid w:val="00FE3324"/>
    <w:rsid w:val="00FE3364"/>
    <w:rsid w:val="00FE4373"/>
    <w:rsid w:val="00FE45B6"/>
    <w:rsid w:val="00FE46D8"/>
    <w:rsid w:val="00FE50E9"/>
    <w:rsid w:val="00FE5938"/>
    <w:rsid w:val="00FE5ECD"/>
    <w:rsid w:val="00FE7462"/>
    <w:rsid w:val="00FF01C1"/>
    <w:rsid w:val="00FF0204"/>
    <w:rsid w:val="00FF0B73"/>
    <w:rsid w:val="00FF1B8E"/>
    <w:rsid w:val="00FF1C90"/>
    <w:rsid w:val="00FF2245"/>
    <w:rsid w:val="00FF271F"/>
    <w:rsid w:val="00FF336E"/>
    <w:rsid w:val="00FF3AED"/>
    <w:rsid w:val="00FF47AE"/>
    <w:rsid w:val="00FF4EEE"/>
    <w:rsid w:val="00FF5DBD"/>
    <w:rsid w:val="00FF5E96"/>
    <w:rsid w:val="00FF5FC5"/>
    <w:rsid w:val="00FF603D"/>
    <w:rsid w:val="00FF790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4:docId w14:val="0E99CC74"/>
  <w15:docId w15:val="{9909C2D2-C257-41C5-BAAA-BE8E5B46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F5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010F56"/>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rsid w:val="00010F56"/>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010F56"/>
    <w:pPr>
      <w:widowControl w:val="0"/>
      <w:spacing w:after="240"/>
      <w:outlineLvl w:val="2"/>
    </w:pPr>
  </w:style>
  <w:style w:type="paragraph" w:styleId="Heading4">
    <w:name w:val="heading 4"/>
    <w:aliases w:val="Heading 11,para 4,Título 41,Heading 41,标题 41,He=ding 41"/>
    <w:basedOn w:val="Normal"/>
    <w:next w:val="Heading9"/>
    <w:link w:val="Heading4Char"/>
    <w:uiPriority w:val="99"/>
    <w:qFormat/>
    <w:rsid w:val="00010F56"/>
    <w:pPr>
      <w:keepNext/>
      <w:numPr>
        <w:ilvl w:val="3"/>
        <w:numId w:val="4"/>
      </w:numPr>
      <w:spacing w:before="240" w:after="60"/>
      <w:outlineLvl w:val="3"/>
    </w:pPr>
  </w:style>
  <w:style w:type="paragraph" w:styleId="Heading5">
    <w:name w:val="heading 5"/>
    <w:basedOn w:val="Normal"/>
    <w:next w:val="Normal"/>
    <w:link w:val="Heading5Char"/>
    <w:uiPriority w:val="99"/>
    <w:qFormat/>
    <w:rsid w:val="00010F56"/>
    <w:pPr>
      <w:keepNext/>
      <w:numPr>
        <w:numId w:val="9"/>
      </w:numPr>
      <w:spacing w:after="240"/>
      <w:ind w:left="3600" w:hanging="720"/>
      <w:outlineLvl w:val="4"/>
    </w:pPr>
  </w:style>
  <w:style w:type="paragraph" w:styleId="Heading6">
    <w:name w:val="heading 6"/>
    <w:basedOn w:val="Normal"/>
    <w:next w:val="Normal"/>
    <w:link w:val="Heading6Char"/>
    <w:uiPriority w:val="99"/>
    <w:qFormat/>
    <w:rsid w:val="00010F56"/>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010F56"/>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010F56"/>
    <w:pPr>
      <w:outlineLvl w:val="7"/>
    </w:pPr>
    <w:rPr>
      <w:b/>
    </w:rPr>
  </w:style>
  <w:style w:type="paragraph" w:styleId="Heading9">
    <w:name w:val="heading 9"/>
    <w:basedOn w:val="Normal"/>
    <w:next w:val="Normal"/>
    <w:link w:val="Heading9Char"/>
    <w:uiPriority w:val="99"/>
    <w:qFormat/>
    <w:rsid w:val="00010F56"/>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010F56"/>
    <w:rPr>
      <w:rFonts w:cs="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9"/>
    <w:locked/>
    <w:rsid w:val="00010F56"/>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sid w:val="00010F56"/>
    <w:rPr>
      <w:rFonts w:cs="Times New Roman"/>
      <w:sz w:val="22"/>
      <w:szCs w:val="22"/>
      <w:lang w:val="en-CA"/>
    </w:rPr>
  </w:style>
  <w:style w:type="character" w:customStyle="1" w:styleId="Heading4Char">
    <w:name w:val="Heading 4 Char"/>
    <w:aliases w:val="Heading 11 Char,para 4 Char,Título 41 Char,Heading 41 Char,标题 41 Char,He=ding 41 Char"/>
    <w:link w:val="Heading4"/>
    <w:uiPriority w:val="99"/>
    <w:semiHidden/>
    <w:locked/>
    <w:rPr>
      <w:rFonts w:ascii="Calibri" w:eastAsia="SimSun" w:hAnsi="Calibri" w:cs="Times New Roman"/>
      <w:b/>
      <w:bCs/>
      <w:sz w:val="28"/>
      <w:szCs w:val="28"/>
      <w:lang w:val="en-CA"/>
    </w:rPr>
  </w:style>
  <w:style w:type="character" w:customStyle="1" w:styleId="Heading5Char">
    <w:name w:val="Heading 5 Char"/>
    <w:link w:val="Heading5"/>
    <w:uiPriority w:val="99"/>
    <w:semiHidden/>
    <w:locked/>
    <w:rPr>
      <w:rFonts w:ascii="Calibri" w:eastAsia="SimSun" w:hAnsi="Calibri" w:cs="Times New Roman"/>
      <w:b/>
      <w:bCs/>
      <w:i/>
      <w:iCs/>
      <w:sz w:val="26"/>
      <w:szCs w:val="26"/>
      <w:lang w:val="en-CA"/>
    </w:rPr>
  </w:style>
  <w:style w:type="character" w:customStyle="1" w:styleId="Heading6Char">
    <w:name w:val="Heading 6 Char"/>
    <w:link w:val="Heading6"/>
    <w:uiPriority w:val="99"/>
    <w:semiHidden/>
    <w:locked/>
    <w:rPr>
      <w:rFonts w:ascii="Calibri" w:eastAsia="SimSun" w:hAnsi="Calibri" w:cs="Times New Roman"/>
      <w:b/>
      <w:bCs/>
      <w:lang w:val="en-CA"/>
    </w:rPr>
  </w:style>
  <w:style w:type="character" w:customStyle="1" w:styleId="Heading7Char">
    <w:name w:val="Heading 7 Char"/>
    <w:link w:val="Heading7"/>
    <w:uiPriority w:val="99"/>
    <w:semiHidden/>
    <w:locked/>
    <w:rPr>
      <w:rFonts w:ascii="Calibri" w:eastAsia="SimSun" w:hAnsi="Calibri" w:cs="Times New Roman"/>
      <w:sz w:val="24"/>
      <w:szCs w:val="24"/>
      <w:lang w:val="en-CA"/>
    </w:rPr>
  </w:style>
  <w:style w:type="character" w:customStyle="1" w:styleId="Heading8Char">
    <w:name w:val="Heading 8 Char"/>
    <w:link w:val="Heading8"/>
    <w:uiPriority w:val="99"/>
    <w:semiHidden/>
    <w:locked/>
    <w:rPr>
      <w:rFonts w:ascii="Calibri" w:eastAsia="SimSun" w:hAnsi="Calibri" w:cs="Times New Roman"/>
      <w:i/>
      <w:iCs/>
      <w:sz w:val="24"/>
      <w:szCs w:val="24"/>
      <w:lang w:val="en-CA"/>
    </w:rPr>
  </w:style>
  <w:style w:type="character" w:customStyle="1" w:styleId="Heading9Char">
    <w:name w:val="Heading 9 Char"/>
    <w:link w:val="Heading9"/>
    <w:uiPriority w:val="99"/>
    <w:semiHidden/>
    <w:locked/>
    <w:rPr>
      <w:rFonts w:ascii="Cambria" w:eastAsia="SimSun" w:hAnsi="Cambria" w:cs="Times New Roman"/>
      <w:lang w:val="en-CA"/>
    </w:rPr>
  </w:style>
  <w:style w:type="paragraph" w:styleId="Header">
    <w:name w:val="header"/>
    <w:basedOn w:val="Normal"/>
    <w:link w:val="HeaderChar"/>
    <w:uiPriority w:val="99"/>
    <w:rsid w:val="00010F56"/>
    <w:pPr>
      <w:tabs>
        <w:tab w:val="center" w:pos="4320"/>
        <w:tab w:val="right" w:pos="8640"/>
      </w:tabs>
    </w:pPr>
  </w:style>
  <w:style w:type="character" w:customStyle="1" w:styleId="HeaderChar">
    <w:name w:val="Header Char"/>
    <w:link w:val="Header"/>
    <w:uiPriority w:val="99"/>
    <w:semiHidden/>
    <w:locked/>
    <w:rPr>
      <w:rFonts w:cs="Times New Roman"/>
      <w:lang w:val="en-CA"/>
    </w:rPr>
  </w:style>
  <w:style w:type="paragraph" w:customStyle="1" w:styleId="sub-title">
    <w:name w:val="sub-title"/>
    <w:uiPriority w:val="99"/>
    <w:rsid w:val="00010F56"/>
    <w:pPr>
      <w:jc w:val="both"/>
      <w:outlineLvl w:val="0"/>
    </w:pPr>
    <w:rPr>
      <w:b/>
      <w:noProof/>
      <w:sz w:val="22"/>
      <w:szCs w:val="22"/>
    </w:rPr>
  </w:style>
  <w:style w:type="paragraph" w:customStyle="1" w:styleId="Title1">
    <w:name w:val="Title1"/>
    <w:uiPriority w:val="99"/>
    <w:rsid w:val="00010F56"/>
    <w:pPr>
      <w:jc w:val="center"/>
      <w:outlineLvl w:val="0"/>
    </w:pPr>
    <w:rPr>
      <w:b/>
      <w:caps/>
      <w:sz w:val="22"/>
      <w:szCs w:val="22"/>
      <w:lang w:val="en-GB"/>
    </w:rPr>
  </w:style>
  <w:style w:type="paragraph" w:customStyle="1" w:styleId="Decision">
    <w:name w:val="Decision"/>
    <w:basedOn w:val="Normal"/>
    <w:uiPriority w:val="99"/>
    <w:rsid w:val="00010F56"/>
    <w:pPr>
      <w:keepLines/>
      <w:jc w:val="right"/>
    </w:pPr>
    <w:rPr>
      <w:b/>
    </w:rPr>
  </w:style>
  <w:style w:type="paragraph" w:customStyle="1" w:styleId="0Heading0">
    <w:name w:val="0 Heading 0"/>
    <w:uiPriority w:val="99"/>
    <w:rsid w:val="00010F56"/>
    <w:rPr>
      <w:sz w:val="22"/>
      <w:szCs w:val="22"/>
      <w:lang w:val="en-GB"/>
    </w:rPr>
  </w:style>
  <w:style w:type="paragraph" w:styleId="Footer">
    <w:name w:val="footer"/>
    <w:basedOn w:val="Normal"/>
    <w:link w:val="FooterChar"/>
    <w:uiPriority w:val="99"/>
    <w:semiHidden/>
    <w:rsid w:val="00010F56"/>
    <w:pPr>
      <w:tabs>
        <w:tab w:val="center" w:pos="4320"/>
        <w:tab w:val="right" w:pos="8640"/>
      </w:tabs>
    </w:pPr>
  </w:style>
  <w:style w:type="character" w:customStyle="1" w:styleId="FooterChar">
    <w:name w:val="Footer Char"/>
    <w:link w:val="Footer"/>
    <w:uiPriority w:val="99"/>
    <w:semiHidden/>
    <w:locked/>
    <w:rPr>
      <w:rFonts w:cs="Times New Roman"/>
      <w:lang w:val="en-CA"/>
    </w:rPr>
  </w:style>
  <w:style w:type="paragraph" w:styleId="BlockText">
    <w:name w:val="Block Text"/>
    <w:basedOn w:val="Normal"/>
    <w:uiPriority w:val="99"/>
    <w:semiHidden/>
    <w:rsid w:val="00010F56"/>
    <w:pPr>
      <w:spacing w:after="120"/>
      <w:ind w:left="1440" w:right="1440"/>
    </w:pPr>
  </w:style>
  <w:style w:type="paragraph" w:styleId="BodyText3">
    <w:name w:val="Body Text 3"/>
    <w:basedOn w:val="Normal"/>
    <w:link w:val="BodyText3Char"/>
    <w:uiPriority w:val="99"/>
    <w:semiHidden/>
    <w:rsid w:val="00010F56"/>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rsid w:val="00010F56"/>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sid w:val="00010F56"/>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rPr>
  </w:style>
  <w:style w:type="table" w:styleId="Table3Deffects1">
    <w:name w:val="Table 3D effects 1"/>
    <w:basedOn w:val="TableNormal"/>
    <w:uiPriority w:val="99"/>
    <w:semiHidden/>
    <w:rsid w:val="00010F56"/>
    <w:pPr>
      <w:jc w:val="both"/>
    </w:pPr>
    <w:tblPr/>
    <w:tcPr>
      <w:shd w:val="solid" w:color="C0C0C0" w:fill="FFFFFF"/>
    </w:tcPr>
  </w:style>
  <w:style w:type="table" w:styleId="Table3Deffects2">
    <w:name w:val="Table 3D effects 2"/>
    <w:basedOn w:val="TableNormal"/>
    <w:uiPriority w:val="99"/>
    <w:semiHidden/>
    <w:rsid w:val="00010F56"/>
    <w:pPr>
      <w:jc w:val="both"/>
    </w:pPr>
    <w:tblPr/>
    <w:tcPr>
      <w:shd w:val="solid" w:color="C0C0C0" w:fill="FFFFFF"/>
    </w:tcPr>
  </w:style>
  <w:style w:type="table" w:styleId="Table3Deffects3">
    <w:name w:val="Table 3D effects 3"/>
    <w:basedOn w:val="TableNormal"/>
    <w:uiPriority w:val="99"/>
    <w:semiHidden/>
    <w:rsid w:val="00010F56"/>
    <w:pPr>
      <w:jc w:val="both"/>
    </w:pPr>
    <w:tblPr/>
  </w:style>
  <w:style w:type="table" w:styleId="TableClassic1">
    <w:name w:val="Table Classic 1"/>
    <w:basedOn w:val="TableNormal"/>
    <w:uiPriority w:val="99"/>
    <w:semiHidden/>
    <w:rsid w:val="00010F56"/>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rsid w:val="00010F56"/>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rsid w:val="00010F5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010F56"/>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010F5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010F56"/>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010F5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010F56"/>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010F56"/>
    <w:pPr>
      <w:jc w:val="both"/>
    </w:pPr>
    <w:rPr>
      <w:b/>
      <w:bCs/>
    </w:rPr>
    <w:tblPr/>
  </w:style>
  <w:style w:type="table" w:styleId="TableColumns3">
    <w:name w:val="Table Columns 3"/>
    <w:basedOn w:val="TableNormal"/>
    <w:uiPriority w:val="99"/>
    <w:semiHidden/>
    <w:rsid w:val="00010F56"/>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010F56"/>
    <w:pPr>
      <w:jc w:val="both"/>
    </w:pPr>
    <w:tblPr/>
  </w:style>
  <w:style w:type="table" w:styleId="TableColumns5">
    <w:name w:val="Table Columns 5"/>
    <w:basedOn w:val="TableNormal"/>
    <w:uiPriority w:val="99"/>
    <w:semiHidden/>
    <w:rsid w:val="00010F56"/>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010F56"/>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rsid w:val="00010F5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010F5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010F5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010F56"/>
    <w:pPr>
      <w:jc w:val="both"/>
    </w:pPr>
    <w:tblPr>
      <w:tblBorders>
        <w:insideH w:val="single" w:sz="6" w:space="0" w:color="000000"/>
        <w:insideV w:val="single" w:sz="6" w:space="0" w:color="000000"/>
      </w:tblBorders>
    </w:tblPr>
  </w:style>
  <w:style w:type="table" w:styleId="TableGrid3">
    <w:name w:val="Table Grid 3"/>
    <w:basedOn w:val="TableNormal"/>
    <w:uiPriority w:val="99"/>
    <w:semiHidden/>
    <w:rsid w:val="00010F5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010F56"/>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010F5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010F5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010F5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010F5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010F56"/>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010F56"/>
    <w:pPr>
      <w:jc w:val="both"/>
    </w:pPr>
    <w:tblPr>
      <w:tblBorders>
        <w:bottom w:val="single" w:sz="12" w:space="0" w:color="808080"/>
      </w:tblBorders>
    </w:tblPr>
  </w:style>
  <w:style w:type="table" w:styleId="TableList3">
    <w:name w:val="Table List 3"/>
    <w:basedOn w:val="TableNormal"/>
    <w:uiPriority w:val="99"/>
    <w:semiHidden/>
    <w:rsid w:val="00010F56"/>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010F5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010F5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010F56"/>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010F56"/>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010F56"/>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010F5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010F56"/>
    <w:pPr>
      <w:jc w:val="both"/>
    </w:pPr>
    <w:tblPr>
      <w:tblBorders>
        <w:top w:val="single" w:sz="12" w:space="0" w:color="008000"/>
        <w:bottom w:val="single" w:sz="12" w:space="0" w:color="008000"/>
      </w:tblBorders>
    </w:tblPr>
  </w:style>
  <w:style w:type="table" w:styleId="TableSimple2">
    <w:name w:val="Table Simple 2"/>
    <w:basedOn w:val="TableNormal"/>
    <w:uiPriority w:val="99"/>
    <w:semiHidden/>
    <w:rsid w:val="00010F56"/>
    <w:pPr>
      <w:jc w:val="both"/>
    </w:pPr>
    <w:tblPr/>
  </w:style>
  <w:style w:type="table" w:styleId="TableSimple3">
    <w:name w:val="Table Simple 3"/>
    <w:basedOn w:val="TableNormal"/>
    <w:uiPriority w:val="99"/>
    <w:semiHidden/>
    <w:rsid w:val="00010F56"/>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010F56"/>
    <w:pPr>
      <w:jc w:val="both"/>
    </w:pPr>
    <w:tblPr/>
  </w:style>
  <w:style w:type="table" w:styleId="TableSubtle2">
    <w:name w:val="Table Subtle 2"/>
    <w:basedOn w:val="TableNormal"/>
    <w:uiPriority w:val="99"/>
    <w:semiHidden/>
    <w:rsid w:val="00010F56"/>
    <w:pPr>
      <w:jc w:val="both"/>
    </w:pPr>
    <w:tblPr>
      <w:tblBorders>
        <w:left w:val="single" w:sz="6" w:space="0" w:color="000000"/>
        <w:right w:val="single" w:sz="6" w:space="0" w:color="000000"/>
      </w:tblBorders>
    </w:tblPr>
  </w:style>
  <w:style w:type="table" w:styleId="TableTheme">
    <w:name w:val="Table Theme"/>
    <w:basedOn w:val="TableNormal"/>
    <w:uiPriority w:val="99"/>
    <w:semiHidden/>
    <w:rsid w:val="00010F5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0F5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010F5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010F5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010F56"/>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010F56"/>
    <w:rPr>
      <w:rFonts w:cs="Times New Roman"/>
      <w:sz w:val="16"/>
      <w:szCs w:val="16"/>
    </w:rPr>
  </w:style>
  <w:style w:type="paragraph" w:styleId="Subtitle">
    <w:name w:val="Subtitle"/>
    <w:basedOn w:val="Normal"/>
    <w:link w:val="SubtitleChar"/>
    <w:uiPriority w:val="99"/>
    <w:qFormat/>
    <w:rsid w:val="00010F56"/>
    <w:pPr>
      <w:spacing w:after="60"/>
      <w:jc w:val="center"/>
      <w:outlineLvl w:val="1"/>
    </w:pPr>
    <w:rPr>
      <w:rFonts w:ascii="Arial" w:hAnsi="Arial" w:cs="Arial"/>
    </w:rPr>
  </w:style>
  <w:style w:type="character" w:customStyle="1" w:styleId="SubtitleChar">
    <w:name w:val="Subtitle Char"/>
    <w:link w:val="Subtitle"/>
    <w:uiPriority w:val="99"/>
    <w:locked/>
    <w:rPr>
      <w:rFonts w:ascii="Cambria" w:eastAsia="SimSun" w:hAnsi="Cambria" w:cs="Times New Roman"/>
      <w:sz w:val="24"/>
      <w:szCs w:val="24"/>
      <w:lang w:val="en-CA"/>
    </w:rPr>
  </w:style>
  <w:style w:type="paragraph" w:styleId="Title">
    <w:name w:val="Title"/>
    <w:basedOn w:val="Normal"/>
    <w:link w:val="TitleChar"/>
    <w:uiPriority w:val="99"/>
    <w:qFormat/>
    <w:rsid w:val="00010F56"/>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010F56"/>
  </w:style>
  <w:style w:type="character" w:customStyle="1" w:styleId="DateChar">
    <w:name w:val="Date Char"/>
    <w:link w:val="Date"/>
    <w:uiPriority w:val="99"/>
    <w:semiHidden/>
    <w:locked/>
    <w:rPr>
      <w:rFonts w:cs="Times New Roman"/>
      <w:lang w:val="en-CA"/>
    </w:rPr>
  </w:style>
  <w:style w:type="character" w:styleId="PlaceholderText">
    <w:name w:val="Placeholder Text"/>
    <w:uiPriority w:val="99"/>
    <w:semiHidden/>
    <w:rsid w:val="00010F56"/>
    <w:rPr>
      <w:rFonts w:cs="Times New Roman"/>
      <w:color w:val="808080"/>
    </w:rPr>
  </w:style>
  <w:style w:type="paragraph" w:styleId="BalloonText">
    <w:name w:val="Balloon Text"/>
    <w:basedOn w:val="Normal"/>
    <w:link w:val="BalloonTextChar"/>
    <w:uiPriority w:val="99"/>
    <w:semiHidden/>
    <w:rsid w:val="00010F56"/>
    <w:rPr>
      <w:sz w:val="16"/>
      <w:szCs w:val="16"/>
    </w:rPr>
  </w:style>
  <w:style w:type="character" w:customStyle="1" w:styleId="BalloonTextChar">
    <w:name w:val="Balloon Text Char"/>
    <w:link w:val="BalloonText"/>
    <w:uiPriority w:val="99"/>
    <w:semiHidden/>
    <w:locked/>
    <w:rsid w:val="00010F56"/>
    <w:rPr>
      <w:rFonts w:ascii="Times New Roman" w:hAnsi="Times New Roman" w:cs="Times New Roman"/>
      <w:sz w:val="16"/>
      <w:szCs w:val="16"/>
      <w:lang w:val="en-GB"/>
    </w:rPr>
  </w:style>
  <w:style w:type="paragraph" w:styleId="CommentText">
    <w:name w:val="annotation text"/>
    <w:basedOn w:val="Normal"/>
    <w:link w:val="CommentTextChar"/>
    <w:uiPriority w:val="99"/>
    <w:rsid w:val="00010F56"/>
    <w:rPr>
      <w:sz w:val="20"/>
      <w:szCs w:val="20"/>
    </w:rPr>
  </w:style>
  <w:style w:type="character" w:customStyle="1" w:styleId="CommentTextChar">
    <w:name w:val="Comment Text Char"/>
    <w:link w:val="CommentText"/>
    <w:uiPriority w:val="99"/>
    <w:locked/>
    <w:rsid w:val="00010F56"/>
    <w:rPr>
      <w:rFonts w:cs="Times New Roman"/>
      <w:lang w:val="en-GB"/>
    </w:rPr>
  </w:style>
  <w:style w:type="paragraph" w:styleId="CommentSubject">
    <w:name w:val="annotation subject"/>
    <w:basedOn w:val="CommentText"/>
    <w:next w:val="CommentText"/>
    <w:link w:val="CommentSubjectChar"/>
    <w:uiPriority w:val="99"/>
    <w:semiHidden/>
    <w:rsid w:val="00010F56"/>
    <w:rPr>
      <w:b/>
      <w:bCs/>
    </w:rPr>
  </w:style>
  <w:style w:type="character" w:customStyle="1" w:styleId="CommentSubjectChar">
    <w:name w:val="Comment Subject Char"/>
    <w:link w:val="CommentSubject"/>
    <w:uiPriority w:val="99"/>
    <w:semiHidden/>
    <w:locked/>
    <w:rsid w:val="00010F56"/>
    <w:rPr>
      <w:rFonts w:cs="Times New Roman"/>
      <w:b/>
      <w:bCs/>
      <w:lang w:val="en-GB"/>
    </w:rPr>
  </w:style>
  <w:style w:type="paragraph" w:customStyle="1" w:styleId="StyleHeader4Para4Left0Firstline0">
    <w:name w:val="Style Header4Para 4 + Left:  0&quot; First line:  0&quot;"/>
    <w:basedOn w:val="Header4"/>
    <w:uiPriority w:val="99"/>
    <w:rsid w:val="00010F56"/>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
    <w:basedOn w:val="Normal"/>
    <w:link w:val="FootnoteTextChar"/>
    <w:uiPriority w:val="99"/>
    <w:rsid w:val="00010F56"/>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
    <w:link w:val="FootnoteText"/>
    <w:uiPriority w:val="99"/>
    <w:locked/>
    <w:rsid w:val="00010F56"/>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rsid w:val="00010F56"/>
    <w:rPr>
      <w:rFonts w:cs="Times New Roman"/>
      <w:vertAlign w:val="superscript"/>
    </w:rPr>
  </w:style>
  <w:style w:type="paragraph" w:customStyle="1" w:styleId="Newheader4">
    <w:name w:val="New header 4"/>
    <w:basedOn w:val="Heading4"/>
    <w:next w:val="Normal"/>
    <w:uiPriority w:val="99"/>
    <w:rsid w:val="00010F56"/>
    <w:pPr>
      <w:spacing w:before="0" w:after="240"/>
      <w:ind w:left="2880" w:hanging="720"/>
    </w:pPr>
  </w:style>
  <w:style w:type="character" w:customStyle="1" w:styleId="fontstyle01">
    <w:name w:val="fontstyle01"/>
    <w:uiPriority w:val="99"/>
    <w:rsid w:val="00010F56"/>
    <w:rPr>
      <w:rFonts w:ascii="Times New Roman" w:hAnsi="Times New Roman" w:cs="Times New Roman"/>
      <w:b/>
      <w:bCs/>
      <w:color w:val="1E1E1E"/>
      <w:sz w:val="30"/>
      <w:szCs w:val="30"/>
    </w:rPr>
  </w:style>
  <w:style w:type="paragraph" w:styleId="Revision">
    <w:name w:val="Revision"/>
    <w:hidden/>
    <w:uiPriority w:val="99"/>
    <w:semiHidden/>
    <w:rsid w:val="00010F56"/>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uiPriority w:val="99"/>
    <w:qFormat/>
    <w:rsid w:val="00010F56"/>
    <w:pPr>
      <w:ind w:left="720"/>
      <w:contextualSpacing/>
    </w:pPr>
  </w:style>
  <w:style w:type="character" w:customStyle="1" w:styleId="ui-provider">
    <w:name w:val="ui-provider"/>
    <w:uiPriority w:val="99"/>
    <w:rsid w:val="00010F56"/>
    <w:rPr>
      <w:rFonts w:cs="Times New Roman"/>
    </w:rPr>
  </w:style>
  <w:style w:type="character" w:styleId="Hyperlink">
    <w:name w:val="Hyperlink"/>
    <w:uiPriority w:val="99"/>
    <w:rsid w:val="00010F56"/>
    <w:rPr>
      <w:rFonts w:cs="Times New Roman"/>
      <w:color w:val="0000FF"/>
      <w:u w:val="single"/>
    </w:rPr>
  </w:style>
  <w:style w:type="character" w:customStyle="1" w:styleId="UnresolvedMention1">
    <w:name w:val="Unresolved Mention1"/>
    <w:uiPriority w:val="99"/>
    <w:semiHidden/>
    <w:rsid w:val="00010F56"/>
    <w:rPr>
      <w:rFonts w:cs="Times New Roman"/>
      <w:color w:val="605E5C"/>
      <w:shd w:val="clear" w:color="auto" w:fill="E1DFDD"/>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uiPriority w:val="99"/>
    <w:locked/>
    <w:rsid w:val="00010F56"/>
    <w:rPr>
      <w:rFonts w:cs="Times New Roman"/>
      <w:sz w:val="22"/>
      <w:szCs w:val="22"/>
      <w:lang w:val="en-CA"/>
    </w:rPr>
  </w:style>
  <w:style w:type="paragraph" w:styleId="NormalWeb">
    <w:name w:val="Normal (Web)"/>
    <w:basedOn w:val="Normal"/>
    <w:uiPriority w:val="99"/>
    <w:rsid w:val="00010F56"/>
    <w:pPr>
      <w:spacing w:before="100" w:beforeAutospacing="1" w:after="100" w:afterAutospacing="1"/>
      <w:jc w:val="left"/>
    </w:pPr>
    <w:rPr>
      <w:sz w:val="24"/>
      <w:szCs w:val="24"/>
      <w:lang w:val="en-US"/>
    </w:rPr>
  </w:style>
  <w:style w:type="paragraph" w:customStyle="1" w:styleId="Default">
    <w:name w:val="Default"/>
    <w:uiPriority w:val="99"/>
    <w:rsid w:val="00010F56"/>
    <w:pPr>
      <w:autoSpaceDE w:val="0"/>
      <w:autoSpaceDN w:val="0"/>
      <w:adjustRightInd w:val="0"/>
    </w:pPr>
    <w:rPr>
      <w:color w:val="000000"/>
      <w:sz w:val="24"/>
      <w:szCs w:val="24"/>
      <w:lang w:val="en-GB"/>
    </w:rPr>
  </w:style>
  <w:style w:type="paragraph" w:styleId="IntenseQuote">
    <w:name w:val="Intense Quote"/>
    <w:basedOn w:val="Normal"/>
    <w:next w:val="Normal"/>
    <w:link w:val="IntenseQuoteChar"/>
    <w:uiPriority w:val="99"/>
    <w:qFormat/>
    <w:rsid w:val="00010F56"/>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99"/>
    <w:locked/>
    <w:rsid w:val="00010F56"/>
    <w:rPr>
      <w:rFonts w:eastAsia="Times New Roman" w:cs="Times New Roman"/>
      <w:i/>
      <w:iCs/>
      <w:color w:val="365F91"/>
      <w:sz w:val="22"/>
      <w:szCs w:val="22"/>
      <w:lang w:val="en-CA"/>
    </w:rPr>
  </w:style>
  <w:style w:type="character" w:customStyle="1" w:styleId="fontstyle21">
    <w:name w:val="fontstyle21"/>
    <w:uiPriority w:val="99"/>
    <w:rsid w:val="00010F56"/>
    <w:rPr>
      <w:rFonts w:ascii="Times New Roman" w:hAnsi="Times New Roman" w:cs="Times New Roman"/>
      <w:color w:val="000000"/>
      <w:sz w:val="18"/>
      <w:szCs w:val="18"/>
    </w:rPr>
  </w:style>
  <w:style w:type="paragraph" w:customStyle="1" w:styleId="TableParagraph">
    <w:name w:val="Table Paragraph"/>
    <w:basedOn w:val="Normal"/>
    <w:uiPriority w:val="99"/>
    <w:rsid w:val="00010F56"/>
    <w:pPr>
      <w:widowControl w:val="0"/>
      <w:autoSpaceDE w:val="0"/>
      <w:autoSpaceDN w:val="0"/>
      <w:jc w:val="left"/>
    </w:pPr>
    <w:rPr>
      <w:lang w:val="en-US"/>
    </w:rPr>
  </w:style>
  <w:style w:type="character" w:styleId="Strong">
    <w:name w:val="Strong"/>
    <w:uiPriority w:val="99"/>
    <w:qFormat/>
    <w:rsid w:val="00010F56"/>
    <w:rPr>
      <w:rFonts w:cs="Times New Roman"/>
      <w:b/>
      <w:bCs/>
    </w:rPr>
  </w:style>
  <w:style w:type="character" w:customStyle="1" w:styleId="tw4winMark">
    <w:name w:val="tw4winMark"/>
    <w:uiPriority w:val="99"/>
    <w:rsid w:val="00010F56"/>
    <w:rPr>
      <w:rFonts w:ascii="Courier New" w:hAnsi="Courier New"/>
      <w:vanish/>
      <w:color w:val="800080"/>
      <w:vertAlign w:val="subscript"/>
    </w:rPr>
  </w:style>
  <w:style w:type="character" w:customStyle="1" w:styleId="tw4winError">
    <w:name w:val="tw4winError"/>
    <w:uiPriority w:val="99"/>
    <w:rsid w:val="00010F56"/>
    <w:rPr>
      <w:rFonts w:ascii="Courier New" w:hAnsi="Courier New"/>
      <w:color w:val="00FF00"/>
      <w:sz w:val="40"/>
    </w:rPr>
  </w:style>
  <w:style w:type="character" w:customStyle="1" w:styleId="tw4winTerm">
    <w:name w:val="tw4winTerm"/>
    <w:uiPriority w:val="99"/>
    <w:rsid w:val="00010F56"/>
    <w:rPr>
      <w:color w:val="0000FF"/>
    </w:rPr>
  </w:style>
  <w:style w:type="character" w:customStyle="1" w:styleId="tw4winPopup">
    <w:name w:val="tw4winPopup"/>
    <w:uiPriority w:val="99"/>
    <w:rsid w:val="00010F56"/>
    <w:rPr>
      <w:rFonts w:ascii="Courier New" w:hAnsi="Courier New"/>
      <w:color w:val="008000"/>
    </w:rPr>
  </w:style>
  <w:style w:type="character" w:customStyle="1" w:styleId="tw4winJump">
    <w:name w:val="tw4winJump"/>
    <w:uiPriority w:val="99"/>
    <w:rsid w:val="00010F56"/>
    <w:rPr>
      <w:rFonts w:ascii="Courier New" w:hAnsi="Courier New"/>
      <w:color w:val="008080"/>
    </w:rPr>
  </w:style>
  <w:style w:type="character" w:customStyle="1" w:styleId="tw4winExternal">
    <w:name w:val="tw4winExternal"/>
    <w:uiPriority w:val="99"/>
    <w:rsid w:val="00010F56"/>
    <w:rPr>
      <w:rFonts w:ascii="Courier New" w:hAnsi="Courier New"/>
      <w:color w:val="808080"/>
    </w:rPr>
  </w:style>
  <w:style w:type="character" w:customStyle="1" w:styleId="tw4winInternal">
    <w:name w:val="tw4winInternal"/>
    <w:uiPriority w:val="99"/>
    <w:rsid w:val="00010F56"/>
    <w:rPr>
      <w:rFonts w:ascii="Courier New" w:hAnsi="Courier New"/>
      <w:color w:val="FF0000"/>
    </w:rPr>
  </w:style>
  <w:style w:type="character" w:customStyle="1" w:styleId="DONOTTRANSLATE">
    <w:name w:val="DO_NOT_TRANSLATE"/>
    <w:uiPriority w:val="99"/>
    <w:rsid w:val="00010F56"/>
    <w:rPr>
      <w:rFonts w:ascii="Courier New" w:hAnsi="Courier New"/>
      <w:color w:val="800000"/>
    </w:rPr>
  </w:style>
  <w:style w:type="numbering" w:styleId="111111">
    <w:name w:val="Outline List 2"/>
    <w:basedOn w:val="NoList"/>
    <w:uiPriority w:val="99"/>
    <w:semiHidden/>
    <w:unhideWhenUsed/>
    <w:locked/>
    <w:rsid w:val="00814238"/>
    <w:pPr>
      <w:numPr>
        <w:numId w:val="5"/>
      </w:numPr>
    </w:pPr>
  </w:style>
  <w:style w:type="numbering" w:styleId="1ai">
    <w:name w:val="Outline List 1"/>
    <w:basedOn w:val="NoList"/>
    <w:uiPriority w:val="99"/>
    <w:semiHidden/>
    <w:unhideWhenUsed/>
    <w:locked/>
    <w:rsid w:val="00814238"/>
    <w:pPr>
      <w:numPr>
        <w:numId w:val="6"/>
      </w:numPr>
    </w:pPr>
  </w:style>
  <w:style w:type="numbering" w:styleId="ArticleSection">
    <w:name w:val="Outline List 3"/>
    <w:basedOn w:val="NoList"/>
    <w:uiPriority w:val="99"/>
    <w:semiHidden/>
    <w:unhideWhenUsed/>
    <w:locked/>
    <w:rsid w:val="00814238"/>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44136">
      <w:marLeft w:val="0"/>
      <w:marRight w:val="0"/>
      <w:marTop w:val="0"/>
      <w:marBottom w:val="0"/>
      <w:divBdr>
        <w:top w:val="none" w:sz="0" w:space="0" w:color="auto"/>
        <w:left w:val="none" w:sz="0" w:space="0" w:color="auto"/>
        <w:bottom w:val="none" w:sz="0" w:space="0" w:color="auto"/>
        <w:right w:val="none" w:sz="0" w:space="0" w:color="auto"/>
      </w:divBdr>
    </w:div>
    <w:div w:id="267544137">
      <w:marLeft w:val="0"/>
      <w:marRight w:val="0"/>
      <w:marTop w:val="0"/>
      <w:marBottom w:val="0"/>
      <w:divBdr>
        <w:top w:val="none" w:sz="0" w:space="0" w:color="auto"/>
        <w:left w:val="none" w:sz="0" w:space="0" w:color="auto"/>
        <w:bottom w:val="none" w:sz="0" w:space="0" w:color="auto"/>
        <w:right w:val="none" w:sz="0" w:space="0" w:color="auto"/>
      </w:divBdr>
      <w:divsChild>
        <w:div w:id="267544135">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Eec97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B7C8EC8F-E911-4DE6-B307-ABCF85AB52CC}">
  <ds:schemaRefs>
    <ds:schemaRef ds:uri="http://schemas.microsoft.com/sharepoint/v3/contenttype/forms"/>
  </ds:schemaRefs>
</ds:datastoreItem>
</file>

<file path=customXml/itemProps2.xml><?xml version="1.0" encoding="utf-8"?>
<ds:datastoreItem xmlns:ds="http://schemas.openxmlformats.org/officeDocument/2006/customXml" ds:itemID="{2794148B-9507-4508-9388-B89899D17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5944AE-6763-4046-BE62-2314A6C9526D}">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Eec97L</Template>
  <TotalTime>83</TotalTime>
  <Pages>10</Pages>
  <Words>5147</Words>
  <Characters>5920</Characters>
  <Application>Microsoft Office Word</Application>
  <DocSecurity>0</DocSecurity>
  <Lines>246</Lines>
  <Paragraphs>197</Paragraphs>
  <ScaleCrop>false</ScaleCrop>
  <HeadingPairs>
    <vt:vector size="2" baseType="variant">
      <vt:variant>
        <vt:lpstr>Title</vt:lpstr>
      </vt:variant>
      <vt:variant>
        <vt:i4>1</vt:i4>
      </vt:variant>
    </vt:vector>
  </HeadingPairs>
  <TitlesOfParts>
    <vt:vector size="1" baseType="lpstr">
      <vt:lpstr>UNEP¡¯s compliance assistance programme budget for 2026</vt:lpstr>
    </vt:vector>
  </TitlesOfParts>
  <Company>UNMFS</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2026</dc:title>
  <dc:subject/>
  <dc:creator>RSR KM</dc:creator>
  <cp:keywords/>
  <dc:description>97th</dc:description>
  <cp:lastModifiedBy>Angela Xue He Yan</cp:lastModifiedBy>
  <cp:revision>20</cp:revision>
  <cp:lastPrinted>2025-11-02T16:28:00Z</cp:lastPrinted>
  <dcterms:created xsi:type="dcterms:W3CDTF">2025-11-02T14:09:00Z</dcterms:created>
  <dcterms:modified xsi:type="dcterms:W3CDTF">2025-11-02T18:06:00Z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1.99748218451555E-302</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2025-10-30T16:37:21Z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b424248d-0ee1-411f-974c-3d4e254162bd</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lcf76f155ced4ddcb4097134ff3c332f">
    <vt:lpwstr/>
  </property>
  <property fmtid="{D5CDD505-2E9C-101B-9397-08002B2CF9AE}" pid="16" name="TaxCatchAll">
    <vt:lpwstr/>
  </property>
</Properties>
</file>