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352DA7" w14:paraId="3C6FEF1B" w14:textId="77777777" w:rsidTr="00352DA7">
        <w:trPr>
          <w:trHeight w:val="720"/>
        </w:trPr>
        <w:tc>
          <w:tcPr>
            <w:tcW w:w="5922" w:type="dxa"/>
            <w:gridSpan w:val="2"/>
            <w:tcBorders>
              <w:top w:val="nil"/>
              <w:left w:val="nil"/>
              <w:bottom w:val="single" w:sz="18" w:space="0" w:color="auto"/>
              <w:right w:val="nil"/>
            </w:tcBorders>
            <w:hideMark/>
          </w:tcPr>
          <w:p w14:paraId="733C0446" w14:textId="77777777" w:rsidR="00352DA7" w:rsidRDefault="00352D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7CF00F" w14:textId="77777777" w:rsidR="00352DA7" w:rsidRDefault="00352D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34124864" w14:textId="77777777" w:rsidR="00352DA7" w:rsidRDefault="00352DA7">
            <w:pPr>
              <w:tabs>
                <w:tab w:val="left" w:pos="3010"/>
              </w:tabs>
              <w:jc w:val="center"/>
              <w:rPr>
                <w:sz w:val="52"/>
                <w:szCs w:val="52"/>
              </w:rPr>
            </w:pPr>
            <w:r>
              <w:rPr>
                <w:rFonts w:ascii="Univers Bold" w:hAnsi="Univers Bold"/>
                <w:b/>
                <w:sz w:val="72"/>
              </w:rPr>
              <w:t xml:space="preserve">          EP</w:t>
            </w:r>
          </w:p>
        </w:tc>
      </w:tr>
      <w:tr w:rsidR="00352DA7" w14:paraId="43B4A087" w14:textId="77777777" w:rsidTr="00352DA7">
        <w:trPr>
          <w:trHeight w:val="2502"/>
        </w:trPr>
        <w:tc>
          <w:tcPr>
            <w:tcW w:w="2052" w:type="dxa"/>
            <w:tcBorders>
              <w:top w:val="nil"/>
              <w:left w:val="nil"/>
              <w:bottom w:val="single" w:sz="36" w:space="0" w:color="auto"/>
              <w:right w:val="nil"/>
            </w:tcBorders>
            <w:hideMark/>
          </w:tcPr>
          <w:p w14:paraId="2D34C34A" w14:textId="5CF663EA" w:rsidR="00352DA7" w:rsidRDefault="00352DA7">
            <w:pPr>
              <w:spacing w:before="120"/>
            </w:pPr>
            <w:r>
              <w:rPr>
                <w:noProof/>
              </w:rPr>
              <w:drawing>
                <wp:anchor distT="0" distB="0" distL="114300" distR="114300" simplePos="0" relativeHeight="251659264" behindDoc="0" locked="0" layoutInCell="1" allowOverlap="1" wp14:anchorId="3D8C6F93" wp14:editId="0A5601FE">
                  <wp:simplePos x="0" y="0"/>
                  <wp:positionH relativeFrom="column">
                    <wp:posOffset>133985</wp:posOffset>
                  </wp:positionH>
                  <wp:positionV relativeFrom="paragraph">
                    <wp:posOffset>828675</wp:posOffset>
                  </wp:positionV>
                  <wp:extent cx="672465" cy="660400"/>
                  <wp:effectExtent l="0" t="0" r="0" b="6350"/>
                  <wp:wrapNone/>
                  <wp:docPr id="15734594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4FA11F56" wp14:editId="73B538EE">
                  <wp:simplePos x="0" y="0"/>
                  <wp:positionH relativeFrom="column">
                    <wp:posOffset>100965</wp:posOffset>
                  </wp:positionH>
                  <wp:positionV relativeFrom="paragraph">
                    <wp:posOffset>111125</wp:posOffset>
                  </wp:positionV>
                  <wp:extent cx="703580" cy="676275"/>
                  <wp:effectExtent l="0" t="0" r="1270" b="9525"/>
                  <wp:wrapNone/>
                  <wp:docPr id="594377938"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C34B79C" w14:textId="77777777" w:rsidR="00352DA7" w:rsidRDefault="00352D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D74D1AE" w14:textId="77777777" w:rsidR="00352DA7" w:rsidRDefault="00352D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59D03A3" w14:textId="77777777" w:rsidR="00352DA7" w:rsidRDefault="00352DA7">
            <w:pPr>
              <w:rPr>
                <w:rFonts w:ascii="Univers" w:hAnsi="Univers"/>
                <w:b/>
                <w:sz w:val="32"/>
              </w:rPr>
            </w:pPr>
            <w:r>
              <w:rPr>
                <w:rFonts w:ascii="Univers" w:hAnsi="Univers"/>
                <w:b/>
                <w:sz w:val="32"/>
              </w:rPr>
              <w:t>Nations Unies pour</w:t>
            </w:r>
          </w:p>
          <w:p w14:paraId="63A14EC4" w14:textId="77777777" w:rsidR="00352DA7" w:rsidRDefault="00352DA7">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3E57AB24" w14:textId="77777777" w:rsidR="00352DA7" w:rsidRDefault="00352DA7">
            <w:pPr>
              <w:rPr>
                <w:lang w:val="fr-FR"/>
              </w:rPr>
            </w:pPr>
          </w:p>
          <w:p w14:paraId="444D5A2C" w14:textId="77777777" w:rsidR="00352DA7" w:rsidRDefault="00352DA7">
            <w:pPr>
              <w:rPr>
                <w:lang w:val="fr-FR"/>
              </w:rPr>
            </w:pPr>
            <w:proofErr w:type="spellStart"/>
            <w:r>
              <w:rPr>
                <w:lang w:val="fr-FR"/>
              </w:rPr>
              <w:t>Distr</w:t>
            </w:r>
            <w:proofErr w:type="spellEnd"/>
            <w:r>
              <w:rPr>
                <w:lang w:val="fr-FR"/>
              </w:rPr>
              <w:t>.</w:t>
            </w:r>
          </w:p>
          <w:p w14:paraId="66891882" w14:textId="77777777" w:rsidR="00352DA7" w:rsidRDefault="00352DA7">
            <w:pPr>
              <w:rPr>
                <w:lang w:val="fr-FR"/>
              </w:rPr>
            </w:pPr>
            <w:r>
              <w:rPr>
                <w:lang w:val="fr-FR"/>
              </w:rPr>
              <w:t>GÉNÉRALE</w:t>
            </w:r>
          </w:p>
          <w:p w14:paraId="347E1ADA" w14:textId="77777777" w:rsidR="00352DA7" w:rsidRDefault="00352DA7">
            <w:pPr>
              <w:rPr>
                <w:lang w:val="fr-FR"/>
              </w:rPr>
            </w:pPr>
          </w:p>
          <w:p w14:paraId="64D8FF0D" w14:textId="2FD7D8C6" w:rsidR="00352DA7" w:rsidRDefault="00352DA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/95/41</w:t>
            </w:r>
            <w:r>
              <w:fldChar w:fldCharType="end"/>
            </w:r>
          </w:p>
          <w:p w14:paraId="73BD781A" w14:textId="16FEF1A1" w:rsidR="00352DA7" w:rsidRDefault="00352DA7">
            <w:r>
              <w:t>7</w:t>
            </w:r>
            <w:r w:rsidR="00E31DF1">
              <w:t> </w:t>
            </w:r>
            <w:r>
              <w:t>novembre 2024</w:t>
            </w:r>
          </w:p>
          <w:p w14:paraId="46B56A3E" w14:textId="77777777" w:rsidR="00352DA7" w:rsidRDefault="00352DA7">
            <w:pPr>
              <w:rPr>
                <w:caps/>
                <w:lang w:val="fr-FR"/>
              </w:rPr>
            </w:pPr>
            <w:r>
              <w:rPr>
                <w:caps/>
              </w:rPr>
              <w:br/>
            </w:r>
            <w:r>
              <w:rPr>
                <w:caps/>
                <w:lang w:val="fr-FR"/>
              </w:rPr>
              <w:t>FRANÇAIS</w:t>
            </w:r>
          </w:p>
          <w:p w14:paraId="38B99C79" w14:textId="6A86B853" w:rsidR="00352DA7" w:rsidRDefault="00352DA7">
            <w:r>
              <w:t>ORIGINAL</w:t>
            </w:r>
            <w:r w:rsidR="00E31DF1">
              <w:t> </w:t>
            </w:r>
            <w:r>
              <w:t>: ANGLAIS</w:t>
            </w:r>
          </w:p>
        </w:tc>
      </w:tr>
    </w:tbl>
    <w:p w14:paraId="037F3B54" w14:textId="77777777" w:rsidR="00352DA7" w:rsidRDefault="00352DA7" w:rsidP="00352DA7">
      <w:pPr>
        <w:jc w:val="left"/>
      </w:pPr>
      <w:r>
        <w:t xml:space="preserve">COMITÉ EXÉCUTIF </w:t>
      </w:r>
      <w:r>
        <w:br/>
        <w:t xml:space="preserve">  DU FONDS MULTILATÉRAL AUX FINS </w:t>
      </w:r>
      <w:r>
        <w:br/>
        <w:t xml:space="preserve">  D’APPLICATION DU PROTOCOLE DE MONTRÉAL</w:t>
      </w:r>
      <w:r>
        <w:br/>
        <w:t>Quatre-vingt-quinzième réunion</w:t>
      </w:r>
    </w:p>
    <w:p w14:paraId="4313C8A7" w14:textId="038C9A73" w:rsidR="00352DA7" w:rsidRDefault="00352DA7" w:rsidP="00352DA7">
      <w:pPr>
        <w:jc w:val="left"/>
      </w:pPr>
      <w:r>
        <w:t xml:space="preserve">Montréal, 4 </w:t>
      </w:r>
      <w:r w:rsidR="0006578E">
        <w:t>–</w:t>
      </w:r>
      <w:r>
        <w:t xml:space="preserve"> 8</w:t>
      </w:r>
      <w:r w:rsidR="00E31DF1">
        <w:t> </w:t>
      </w:r>
      <w:r>
        <w:t>décembre 2024</w:t>
      </w:r>
    </w:p>
    <w:p w14:paraId="20A5A0FD" w14:textId="189C5647" w:rsidR="005C49AC" w:rsidRDefault="005C49AC" w:rsidP="005C49AC">
      <w:pPr>
        <w:jc w:val="left"/>
      </w:pPr>
      <w:r>
        <w:t>Point</w:t>
      </w:r>
      <w:r w:rsidR="0006578E">
        <w:t> </w:t>
      </w:r>
      <w:r>
        <w:t>9(c) de l’ordre du jour provisoire</w:t>
      </w:r>
      <w:r w:rsidRPr="00512BEF">
        <w:rPr>
          <w:rStyle w:val="Rimandonotaapidipagina"/>
        </w:rPr>
        <w:footnoteReference w:id="1"/>
      </w:r>
    </w:p>
    <w:p w14:paraId="0D1DCBA0" w14:textId="77777777" w:rsidR="00EA598B" w:rsidRDefault="00EA598B" w:rsidP="00857077">
      <w:pPr>
        <w:jc w:val="left"/>
      </w:pPr>
    </w:p>
    <w:p w14:paraId="4B197810" w14:textId="77777777" w:rsidR="00EA598B" w:rsidRDefault="00EA598B" w:rsidP="00857077">
      <w:pPr>
        <w:jc w:val="left"/>
      </w:pPr>
    </w:p>
    <w:p w14:paraId="02F3CD10" w14:textId="77777777" w:rsidR="00EA598B" w:rsidRDefault="00EA598B" w:rsidP="00EA598B"/>
    <w:p w14:paraId="5E0E99A1" w14:textId="77777777" w:rsidR="000C7DD8" w:rsidRPr="0034371D" w:rsidRDefault="000C7DD8" w:rsidP="00EA598B"/>
    <w:p w14:paraId="7128A5E1" w14:textId="23DC0431" w:rsidR="00EA598B" w:rsidRPr="0034371D" w:rsidRDefault="00ED3DD7" w:rsidP="00EA598B">
      <w:pPr>
        <w:jc w:val="center"/>
        <w:rPr>
          <w:b/>
        </w:rPr>
      </w:pPr>
      <w:r>
        <w:rPr>
          <w:b/>
        </w:rPr>
        <w:t>PROPOSITION DE PROJET : BAHREÏN</w:t>
      </w:r>
    </w:p>
    <w:p w14:paraId="3F70AB44" w14:textId="77777777" w:rsidR="00EA598B" w:rsidRPr="0034371D" w:rsidRDefault="00EA598B" w:rsidP="00EA598B"/>
    <w:p w14:paraId="6067135D" w14:textId="77777777" w:rsidR="00EA598B" w:rsidRPr="0034371D" w:rsidRDefault="00EA598B" w:rsidP="00EA598B"/>
    <w:p w14:paraId="6D5EB172" w14:textId="11AE1CBA" w:rsidR="00EA598B" w:rsidRPr="00E03BEB" w:rsidRDefault="00EA598B" w:rsidP="00EA598B">
      <w:pPr>
        <w:ind w:firstLine="720"/>
      </w:pPr>
      <w:r>
        <w:t>Le présent document contient les commentaires et la recommandation du Secrétariat du Fonds sur la proposition de projet suivante :</w:t>
      </w:r>
    </w:p>
    <w:p w14:paraId="64CA5A5F" w14:textId="77777777" w:rsidR="00EA598B" w:rsidRPr="00E03BEB" w:rsidRDefault="00EA598B" w:rsidP="00EA598B"/>
    <w:p w14:paraId="41F9E75F" w14:textId="77777777" w:rsidR="00EA598B" w:rsidRPr="00E03BEB" w:rsidRDefault="00EA598B" w:rsidP="00EA598B">
      <w:pPr>
        <w:rPr>
          <w:u w:val="single"/>
        </w:rPr>
      </w:pPr>
      <w:r>
        <w:rPr>
          <w:u w:val="single"/>
        </w:rPr>
        <w:t>Élimination</w:t>
      </w:r>
    </w:p>
    <w:p w14:paraId="2B2E00D4" w14:textId="77777777" w:rsidR="00EA598B" w:rsidRPr="00E03BEB" w:rsidRDefault="00EA598B" w:rsidP="00EA598B"/>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402"/>
        <w:gridCol w:w="1847"/>
      </w:tblGrid>
      <w:tr w:rsidR="00C62930" w:rsidRPr="0034371D" w14:paraId="5D3960F0" w14:textId="65479514" w:rsidTr="00767314">
        <w:tc>
          <w:tcPr>
            <w:tcW w:w="4111" w:type="dxa"/>
          </w:tcPr>
          <w:p w14:paraId="1EE28C46" w14:textId="49EC2D33" w:rsidR="00C62930" w:rsidRPr="00E03BEB" w:rsidRDefault="00C62930" w:rsidP="00470683">
            <w:pPr>
              <w:pStyle w:val="Paragrafoelenco"/>
              <w:numPr>
                <w:ilvl w:val="0"/>
                <w:numId w:val="22"/>
              </w:numPr>
              <w:ind w:hanging="830"/>
              <w:jc w:val="left"/>
            </w:pPr>
            <w:r>
              <w:t>Plan de gestion de l’élimination des HCFC (phase II, troisième tranche)</w:t>
            </w:r>
          </w:p>
        </w:tc>
        <w:tc>
          <w:tcPr>
            <w:tcW w:w="3402" w:type="dxa"/>
          </w:tcPr>
          <w:p w14:paraId="742C294D" w14:textId="5F90C7F6" w:rsidR="00C62930" w:rsidRPr="0034371D" w:rsidRDefault="00C62930" w:rsidP="0081227A">
            <w:pPr>
              <w:jc w:val="center"/>
            </w:pPr>
            <w:r>
              <w:t>PNUE et ONUDI</w:t>
            </w:r>
          </w:p>
        </w:tc>
        <w:tc>
          <w:tcPr>
            <w:tcW w:w="1847" w:type="dxa"/>
          </w:tcPr>
          <w:p w14:paraId="062F0B58" w14:textId="0763FB91" w:rsidR="00C62930" w:rsidRPr="00E03BEB" w:rsidRDefault="00C62930" w:rsidP="0081227A">
            <w:pPr>
              <w:jc w:val="center"/>
            </w:pPr>
            <w:r>
              <w:t>Pour approbation globale</w:t>
            </w:r>
          </w:p>
        </w:tc>
      </w:tr>
    </w:tbl>
    <w:p w14:paraId="7D48BBAA" w14:textId="77777777" w:rsidR="00EA598B" w:rsidRPr="0034371D" w:rsidRDefault="00EA598B" w:rsidP="00EA598B"/>
    <w:p w14:paraId="6A5458D9" w14:textId="77777777" w:rsidR="00EA598B" w:rsidRPr="0034371D" w:rsidRDefault="00EA598B" w:rsidP="00EA598B"/>
    <w:p w14:paraId="40E172D8" w14:textId="77777777" w:rsidR="00EA598B" w:rsidRPr="0034371D" w:rsidRDefault="00EA598B" w:rsidP="00EA598B"/>
    <w:p w14:paraId="23FFA588" w14:textId="77777777" w:rsidR="00EA598B" w:rsidRPr="0034371D" w:rsidRDefault="00EA598B" w:rsidP="00EA598B">
      <w:r>
        <w:br w:type="page"/>
      </w:r>
    </w:p>
    <w:p w14:paraId="217E1CD0" w14:textId="77777777" w:rsidR="00EA598B" w:rsidRPr="005B6801" w:rsidRDefault="00EA598B" w:rsidP="004D0152">
      <w:pPr>
        <w:spacing w:after="120"/>
        <w:jc w:val="center"/>
        <w:rPr>
          <w:b/>
        </w:rPr>
      </w:pPr>
      <w:r>
        <w:rPr>
          <w:b/>
        </w:rPr>
        <w:lastRenderedPageBreak/>
        <w:t>FICHE D’ÉVALUATION DU PROJET – PROJETS PLURIANNUELS</w:t>
      </w:r>
    </w:p>
    <w:p w14:paraId="7E241932" w14:textId="2C112B98" w:rsidR="00EA598B" w:rsidRDefault="00E03BEB" w:rsidP="004D0152">
      <w:pPr>
        <w:spacing w:after="200"/>
        <w:jc w:val="center"/>
      </w:pPr>
      <w:r>
        <w:rPr>
          <w:b/>
        </w:rPr>
        <w:t>Bahreïn</w:t>
      </w:r>
    </w:p>
    <w:tbl>
      <w:tblPr>
        <w:tblStyle w:val="Grigliatabella"/>
        <w:tblW w:w="11300" w:type="dxa"/>
        <w:jc w:val="center"/>
        <w:tblLook w:val="04A0" w:firstRow="1" w:lastRow="0" w:firstColumn="1" w:lastColumn="0" w:noHBand="0" w:noVBand="1"/>
      </w:tblPr>
      <w:tblGrid>
        <w:gridCol w:w="4264"/>
        <w:gridCol w:w="2693"/>
        <w:gridCol w:w="1560"/>
        <w:gridCol w:w="2783"/>
      </w:tblGrid>
      <w:tr w:rsidR="00EA598B" w:rsidRPr="005B6801" w14:paraId="1E6D3ADC" w14:textId="77777777" w:rsidTr="00964958">
        <w:trPr>
          <w:trHeight w:val="240"/>
          <w:jc w:val="center"/>
        </w:trPr>
        <w:tc>
          <w:tcPr>
            <w:tcW w:w="4264" w:type="dxa"/>
            <w:hideMark/>
          </w:tcPr>
          <w:p w14:paraId="49E797DD" w14:textId="77777777" w:rsidR="00EA598B" w:rsidRPr="005B6801" w:rsidRDefault="00EA598B" w:rsidP="00470683">
            <w:pPr>
              <w:jc w:val="left"/>
              <w:rPr>
                <w:b/>
                <w:sz w:val="20"/>
                <w:szCs w:val="20"/>
              </w:rPr>
            </w:pPr>
            <w:r>
              <w:rPr>
                <w:b/>
                <w:sz w:val="20"/>
                <w:szCs w:val="20"/>
              </w:rPr>
              <w:t>(I) TITRE DU PROJET</w:t>
            </w:r>
          </w:p>
        </w:tc>
        <w:tc>
          <w:tcPr>
            <w:tcW w:w="2693" w:type="dxa"/>
            <w:hideMark/>
          </w:tcPr>
          <w:p w14:paraId="54B9C722" w14:textId="77777777" w:rsidR="00EA598B" w:rsidRPr="005B6801" w:rsidRDefault="00EA598B" w:rsidP="00470683">
            <w:pPr>
              <w:jc w:val="center"/>
              <w:rPr>
                <w:b/>
                <w:sz w:val="20"/>
                <w:szCs w:val="20"/>
              </w:rPr>
            </w:pPr>
            <w:r>
              <w:rPr>
                <w:b/>
                <w:sz w:val="20"/>
                <w:szCs w:val="20"/>
              </w:rPr>
              <w:t>AGENCE</w:t>
            </w:r>
          </w:p>
        </w:tc>
        <w:tc>
          <w:tcPr>
            <w:tcW w:w="1560" w:type="dxa"/>
            <w:hideMark/>
          </w:tcPr>
          <w:p w14:paraId="761958FC" w14:textId="77777777" w:rsidR="00EA598B" w:rsidRPr="005B6801" w:rsidRDefault="00EA598B" w:rsidP="00470683">
            <w:pPr>
              <w:jc w:val="center"/>
              <w:rPr>
                <w:b/>
                <w:sz w:val="20"/>
                <w:szCs w:val="20"/>
              </w:rPr>
            </w:pPr>
            <w:r>
              <w:rPr>
                <w:b/>
                <w:sz w:val="20"/>
                <w:szCs w:val="20"/>
              </w:rPr>
              <w:t>RÉUNION APPROUVÉE</w:t>
            </w:r>
          </w:p>
        </w:tc>
        <w:tc>
          <w:tcPr>
            <w:tcW w:w="2783" w:type="dxa"/>
            <w:hideMark/>
          </w:tcPr>
          <w:p w14:paraId="4577C27E" w14:textId="77777777" w:rsidR="00EA598B" w:rsidRPr="005B6801" w:rsidRDefault="00EA598B" w:rsidP="00470683">
            <w:pPr>
              <w:jc w:val="center"/>
              <w:rPr>
                <w:b/>
                <w:sz w:val="20"/>
                <w:szCs w:val="20"/>
              </w:rPr>
            </w:pPr>
            <w:r>
              <w:rPr>
                <w:b/>
                <w:sz w:val="20"/>
                <w:szCs w:val="20"/>
              </w:rPr>
              <w:t>MESURE DE RÉGLEMENTATION</w:t>
            </w:r>
          </w:p>
        </w:tc>
      </w:tr>
      <w:tr w:rsidR="004169FB" w:rsidRPr="005B6801" w14:paraId="55822ECD" w14:textId="77777777" w:rsidTr="00964958">
        <w:trPr>
          <w:trHeight w:val="240"/>
          <w:jc w:val="center"/>
        </w:trPr>
        <w:tc>
          <w:tcPr>
            <w:tcW w:w="4264" w:type="dxa"/>
            <w:vAlign w:val="center"/>
            <w:hideMark/>
          </w:tcPr>
          <w:p w14:paraId="5F77D0A7" w14:textId="1313C85D" w:rsidR="004169FB" w:rsidRPr="005B6801" w:rsidRDefault="004169FB" w:rsidP="0099428A">
            <w:pPr>
              <w:jc w:val="center"/>
              <w:rPr>
                <w:sz w:val="20"/>
                <w:szCs w:val="20"/>
              </w:rPr>
            </w:pPr>
            <w:r>
              <w:rPr>
                <w:sz w:val="20"/>
                <w:szCs w:val="20"/>
              </w:rPr>
              <w:t>Plan de l’élimination des HCFC (phase II)</w:t>
            </w:r>
          </w:p>
        </w:tc>
        <w:tc>
          <w:tcPr>
            <w:tcW w:w="2693" w:type="dxa"/>
            <w:vAlign w:val="center"/>
          </w:tcPr>
          <w:p w14:paraId="128C827E" w14:textId="24BE0FCD" w:rsidR="004169FB" w:rsidRPr="005B6801" w:rsidRDefault="004169FB" w:rsidP="004169FB">
            <w:pPr>
              <w:rPr>
                <w:sz w:val="20"/>
                <w:szCs w:val="20"/>
              </w:rPr>
            </w:pPr>
            <w:r>
              <w:rPr>
                <w:color w:val="000000" w:themeColor="text1"/>
                <w:sz w:val="20"/>
                <w:szCs w:val="20"/>
              </w:rPr>
              <w:t>PNUE (principale), ONUDI</w:t>
            </w:r>
          </w:p>
        </w:tc>
        <w:tc>
          <w:tcPr>
            <w:tcW w:w="1560" w:type="dxa"/>
            <w:vAlign w:val="center"/>
          </w:tcPr>
          <w:p w14:paraId="3376DDDC" w14:textId="47651F1B" w:rsidR="004169FB" w:rsidRPr="005B6801" w:rsidRDefault="004169FB" w:rsidP="004169FB">
            <w:pPr>
              <w:jc w:val="center"/>
              <w:rPr>
                <w:sz w:val="20"/>
                <w:szCs w:val="20"/>
              </w:rPr>
            </w:pPr>
            <w:r>
              <w:rPr>
                <w:sz w:val="20"/>
                <w:szCs w:val="20"/>
              </w:rPr>
              <w:t>88</w:t>
            </w:r>
            <w:r>
              <w:rPr>
                <w:sz w:val="20"/>
                <w:szCs w:val="20"/>
                <w:vertAlign w:val="superscript"/>
              </w:rPr>
              <w:t>e</w:t>
            </w:r>
          </w:p>
        </w:tc>
        <w:tc>
          <w:tcPr>
            <w:tcW w:w="2783" w:type="dxa"/>
            <w:vAlign w:val="center"/>
          </w:tcPr>
          <w:p w14:paraId="722A22B3" w14:textId="40A6A022" w:rsidR="004169FB" w:rsidRPr="005B6801" w:rsidRDefault="004169FB" w:rsidP="004169FB">
            <w:pPr>
              <w:jc w:val="center"/>
              <w:rPr>
                <w:sz w:val="20"/>
                <w:szCs w:val="20"/>
              </w:rPr>
            </w:pPr>
            <w:bookmarkStart w:id="0" w:name="_Hlk179279448"/>
            <w:r>
              <w:rPr>
                <w:sz w:val="20"/>
                <w:szCs w:val="20"/>
              </w:rPr>
              <w:t>Élimination à 73,5</w:t>
            </w:r>
            <w:r w:rsidR="0006578E">
              <w:rPr>
                <w:sz w:val="20"/>
                <w:szCs w:val="20"/>
              </w:rPr>
              <w:t> </w:t>
            </w:r>
            <w:r>
              <w:rPr>
                <w:sz w:val="20"/>
                <w:szCs w:val="20"/>
              </w:rPr>
              <w:t>% d’ici 2025</w:t>
            </w:r>
            <w:bookmarkEnd w:id="0"/>
          </w:p>
        </w:tc>
      </w:tr>
    </w:tbl>
    <w:p w14:paraId="7E4A5F63" w14:textId="77777777" w:rsidR="00EA598B" w:rsidRPr="005B6801" w:rsidRDefault="00EA598B" w:rsidP="00EA598B">
      <w:pPr>
        <w:jc w:val="center"/>
        <w:rPr>
          <w:sz w:val="18"/>
          <w:szCs w:val="18"/>
        </w:rPr>
      </w:pPr>
    </w:p>
    <w:tbl>
      <w:tblPr>
        <w:tblStyle w:val="Grigliatabella"/>
        <w:tblW w:w="11297" w:type="dxa"/>
        <w:jc w:val="center"/>
        <w:tblLook w:val="04A0" w:firstRow="1" w:lastRow="0" w:firstColumn="1" w:lastColumn="0" w:noHBand="0" w:noVBand="1"/>
      </w:tblPr>
      <w:tblGrid>
        <w:gridCol w:w="6254"/>
        <w:gridCol w:w="2409"/>
        <w:gridCol w:w="2634"/>
      </w:tblGrid>
      <w:tr w:rsidR="00EA598B" w:rsidRPr="005B6801" w14:paraId="26217972" w14:textId="77777777" w:rsidTr="00964958">
        <w:trPr>
          <w:trHeight w:val="43"/>
          <w:jc w:val="center"/>
        </w:trPr>
        <w:tc>
          <w:tcPr>
            <w:tcW w:w="6254" w:type="dxa"/>
            <w:hideMark/>
          </w:tcPr>
          <w:p w14:paraId="063A4EE8" w14:textId="77777777" w:rsidR="00EA598B" w:rsidRPr="005B6801" w:rsidRDefault="00EA598B" w:rsidP="00470683">
            <w:pPr>
              <w:jc w:val="left"/>
              <w:rPr>
                <w:b/>
                <w:sz w:val="20"/>
                <w:szCs w:val="20"/>
              </w:rPr>
            </w:pPr>
            <w:r>
              <w:rPr>
                <w:b/>
                <w:sz w:val="20"/>
                <w:szCs w:val="20"/>
              </w:rPr>
              <w:t>(II) DERNIÈRES DONNÉES COMMUNIQUÉES EN VERTU DE L’ARTICLE 7 (Annexe C, Groupe l)</w:t>
            </w:r>
          </w:p>
        </w:tc>
        <w:tc>
          <w:tcPr>
            <w:tcW w:w="2409" w:type="dxa"/>
            <w:hideMark/>
          </w:tcPr>
          <w:p w14:paraId="05F1CA2A" w14:textId="408A6B23" w:rsidR="00EA598B" w:rsidRPr="005B6801" w:rsidRDefault="00EA598B" w:rsidP="00470683">
            <w:pPr>
              <w:jc w:val="center"/>
              <w:rPr>
                <w:sz w:val="20"/>
                <w:szCs w:val="20"/>
              </w:rPr>
            </w:pPr>
            <w:r>
              <w:rPr>
                <w:sz w:val="20"/>
                <w:szCs w:val="20"/>
              </w:rPr>
              <w:t>Année : 2023</w:t>
            </w:r>
          </w:p>
        </w:tc>
        <w:tc>
          <w:tcPr>
            <w:tcW w:w="2634" w:type="dxa"/>
            <w:hideMark/>
          </w:tcPr>
          <w:p w14:paraId="27E5635C" w14:textId="6FE619D7" w:rsidR="00EA598B" w:rsidRPr="005B6801" w:rsidRDefault="004169FB" w:rsidP="00470683">
            <w:pPr>
              <w:jc w:val="right"/>
              <w:rPr>
                <w:sz w:val="20"/>
                <w:szCs w:val="20"/>
              </w:rPr>
            </w:pPr>
            <w:r>
              <w:rPr>
                <w:sz w:val="20"/>
                <w:szCs w:val="20"/>
              </w:rPr>
              <w:t>29,60 tonne</w:t>
            </w:r>
            <w:r w:rsidR="00055CDB">
              <w:rPr>
                <w:sz w:val="20"/>
                <w:szCs w:val="20"/>
              </w:rPr>
              <w:t>s</w:t>
            </w:r>
            <w:r>
              <w:rPr>
                <w:sz w:val="20"/>
                <w:szCs w:val="20"/>
              </w:rPr>
              <w:t xml:space="preserve"> PAO</w:t>
            </w:r>
          </w:p>
        </w:tc>
      </w:tr>
    </w:tbl>
    <w:p w14:paraId="6D3CC6A7" w14:textId="77777777" w:rsidR="00EA598B" w:rsidRPr="005B6801" w:rsidRDefault="00EA598B" w:rsidP="00EA598B">
      <w:pPr>
        <w:jc w:val="center"/>
        <w:rPr>
          <w:sz w:val="18"/>
          <w:szCs w:val="18"/>
        </w:rPr>
      </w:pPr>
    </w:p>
    <w:tbl>
      <w:tblPr>
        <w:tblStyle w:val="Grigliatabella"/>
        <w:tblW w:w="11297" w:type="dxa"/>
        <w:jc w:val="center"/>
        <w:tblLayout w:type="fixed"/>
        <w:tblLook w:val="04A0" w:firstRow="1" w:lastRow="0" w:firstColumn="1" w:lastColumn="0" w:noHBand="0" w:noVBand="1"/>
      </w:tblPr>
      <w:tblGrid>
        <w:gridCol w:w="1271"/>
        <w:gridCol w:w="851"/>
        <w:gridCol w:w="992"/>
        <w:gridCol w:w="1134"/>
        <w:gridCol w:w="1134"/>
        <w:gridCol w:w="992"/>
        <w:gridCol w:w="1003"/>
        <w:gridCol w:w="1417"/>
        <w:gridCol w:w="1134"/>
        <w:gridCol w:w="10"/>
        <w:gridCol w:w="1359"/>
      </w:tblGrid>
      <w:tr w:rsidR="00EA598B" w:rsidRPr="005B6801" w14:paraId="218698A6" w14:textId="77777777" w:rsidTr="00964958">
        <w:trPr>
          <w:trHeight w:val="249"/>
          <w:jc w:val="center"/>
        </w:trPr>
        <w:tc>
          <w:tcPr>
            <w:tcW w:w="8794" w:type="dxa"/>
            <w:gridSpan w:val="8"/>
            <w:hideMark/>
          </w:tcPr>
          <w:p w14:paraId="4F9DF65E" w14:textId="77777777" w:rsidR="00EA598B" w:rsidRPr="005B6801" w:rsidRDefault="00EA598B" w:rsidP="00470683">
            <w:pPr>
              <w:jc w:val="left"/>
              <w:rPr>
                <w:b/>
                <w:sz w:val="20"/>
                <w:szCs w:val="20"/>
              </w:rPr>
            </w:pPr>
            <w:r>
              <w:rPr>
                <w:b/>
                <w:sz w:val="20"/>
                <w:szCs w:val="20"/>
              </w:rPr>
              <w:t>(III) DERNIÈRES DONNÉES SECTORIELLES DU PROGRAMME DU PAYS (tonnes PAO)</w:t>
            </w:r>
          </w:p>
        </w:tc>
        <w:tc>
          <w:tcPr>
            <w:tcW w:w="2503" w:type="dxa"/>
            <w:gridSpan w:val="3"/>
            <w:hideMark/>
          </w:tcPr>
          <w:p w14:paraId="7A015E2B" w14:textId="77777777" w:rsidR="00EA598B" w:rsidRPr="005B6801" w:rsidRDefault="00EA598B" w:rsidP="00470683">
            <w:pPr>
              <w:jc w:val="right"/>
              <w:rPr>
                <w:b/>
                <w:sz w:val="20"/>
                <w:szCs w:val="20"/>
              </w:rPr>
            </w:pPr>
            <w:r>
              <w:rPr>
                <w:b/>
                <w:sz w:val="20"/>
                <w:szCs w:val="20"/>
              </w:rPr>
              <w:t xml:space="preserve">Année : </w:t>
            </w:r>
            <w:r>
              <w:rPr>
                <w:b/>
                <w:bCs/>
                <w:sz w:val="20"/>
                <w:szCs w:val="20"/>
              </w:rPr>
              <w:t>2023</w:t>
            </w:r>
          </w:p>
        </w:tc>
      </w:tr>
      <w:tr w:rsidR="00964958" w:rsidRPr="00830019" w14:paraId="50294566" w14:textId="77777777" w:rsidTr="00964958">
        <w:trPr>
          <w:trHeight w:val="249"/>
          <w:jc w:val="center"/>
        </w:trPr>
        <w:tc>
          <w:tcPr>
            <w:tcW w:w="1271" w:type="dxa"/>
            <w:vAlign w:val="center"/>
            <w:hideMark/>
          </w:tcPr>
          <w:p w14:paraId="439AEA0D" w14:textId="77777777" w:rsidR="00EA598B" w:rsidRPr="005B6801" w:rsidRDefault="00EA598B" w:rsidP="00470683">
            <w:pPr>
              <w:jc w:val="center"/>
              <w:rPr>
                <w:sz w:val="20"/>
                <w:szCs w:val="20"/>
              </w:rPr>
            </w:pPr>
            <w:r>
              <w:rPr>
                <w:sz w:val="20"/>
                <w:szCs w:val="20"/>
              </w:rPr>
              <w:t>Substance chimique</w:t>
            </w:r>
          </w:p>
        </w:tc>
        <w:tc>
          <w:tcPr>
            <w:tcW w:w="851" w:type="dxa"/>
            <w:vAlign w:val="center"/>
            <w:hideMark/>
          </w:tcPr>
          <w:p w14:paraId="2911D515" w14:textId="77777777" w:rsidR="00EA598B" w:rsidRPr="005B6801" w:rsidRDefault="00EA598B" w:rsidP="00470683">
            <w:pPr>
              <w:jc w:val="center"/>
              <w:rPr>
                <w:sz w:val="20"/>
                <w:szCs w:val="20"/>
              </w:rPr>
            </w:pPr>
            <w:r>
              <w:rPr>
                <w:sz w:val="20"/>
                <w:szCs w:val="20"/>
              </w:rPr>
              <w:t>Aérosol</w:t>
            </w:r>
          </w:p>
        </w:tc>
        <w:tc>
          <w:tcPr>
            <w:tcW w:w="992" w:type="dxa"/>
            <w:vAlign w:val="center"/>
            <w:hideMark/>
          </w:tcPr>
          <w:p w14:paraId="2C2850BC" w14:textId="77777777" w:rsidR="00EA598B" w:rsidRPr="005B6801" w:rsidRDefault="00EA598B" w:rsidP="00470683">
            <w:pPr>
              <w:jc w:val="center"/>
              <w:rPr>
                <w:sz w:val="20"/>
                <w:szCs w:val="20"/>
              </w:rPr>
            </w:pPr>
            <w:r>
              <w:rPr>
                <w:sz w:val="20"/>
                <w:szCs w:val="20"/>
              </w:rPr>
              <w:t>Mousses</w:t>
            </w:r>
          </w:p>
        </w:tc>
        <w:tc>
          <w:tcPr>
            <w:tcW w:w="1134" w:type="dxa"/>
            <w:vAlign w:val="center"/>
            <w:hideMark/>
          </w:tcPr>
          <w:p w14:paraId="21AE086D" w14:textId="77777777" w:rsidR="00EA598B" w:rsidRPr="005B6801" w:rsidRDefault="00EA598B" w:rsidP="00470683">
            <w:pPr>
              <w:jc w:val="center"/>
              <w:rPr>
                <w:sz w:val="20"/>
                <w:szCs w:val="20"/>
              </w:rPr>
            </w:pPr>
            <w:r>
              <w:rPr>
                <w:sz w:val="20"/>
                <w:szCs w:val="20"/>
              </w:rPr>
              <w:t>Lutte contre l’incendie</w:t>
            </w:r>
          </w:p>
        </w:tc>
        <w:tc>
          <w:tcPr>
            <w:tcW w:w="2126" w:type="dxa"/>
            <w:gridSpan w:val="2"/>
            <w:vAlign w:val="center"/>
            <w:hideMark/>
          </w:tcPr>
          <w:p w14:paraId="2C86060E" w14:textId="77777777" w:rsidR="00EA598B" w:rsidRPr="005B6801" w:rsidRDefault="00EA598B" w:rsidP="00470683">
            <w:pPr>
              <w:jc w:val="center"/>
              <w:rPr>
                <w:sz w:val="20"/>
                <w:szCs w:val="20"/>
              </w:rPr>
            </w:pPr>
            <w:r>
              <w:rPr>
                <w:sz w:val="20"/>
                <w:szCs w:val="20"/>
              </w:rPr>
              <w:t>Réfrigération</w:t>
            </w:r>
          </w:p>
        </w:tc>
        <w:tc>
          <w:tcPr>
            <w:tcW w:w="1003" w:type="dxa"/>
            <w:vAlign w:val="center"/>
            <w:hideMark/>
          </w:tcPr>
          <w:p w14:paraId="2CA3135D" w14:textId="77777777" w:rsidR="00EA598B" w:rsidRPr="005B6801" w:rsidRDefault="00EA598B" w:rsidP="00470683">
            <w:pPr>
              <w:jc w:val="center"/>
              <w:rPr>
                <w:sz w:val="20"/>
                <w:szCs w:val="20"/>
              </w:rPr>
            </w:pPr>
            <w:r>
              <w:rPr>
                <w:sz w:val="20"/>
                <w:szCs w:val="20"/>
              </w:rPr>
              <w:t>Solvants</w:t>
            </w:r>
          </w:p>
        </w:tc>
        <w:tc>
          <w:tcPr>
            <w:tcW w:w="1417" w:type="dxa"/>
            <w:vAlign w:val="center"/>
            <w:hideMark/>
          </w:tcPr>
          <w:p w14:paraId="072AAD2E" w14:textId="77777777" w:rsidR="00EA598B" w:rsidRPr="005B6801" w:rsidRDefault="00EA598B" w:rsidP="00470683">
            <w:pPr>
              <w:jc w:val="center"/>
              <w:rPr>
                <w:sz w:val="20"/>
                <w:szCs w:val="20"/>
              </w:rPr>
            </w:pPr>
            <w:r>
              <w:rPr>
                <w:sz w:val="20"/>
                <w:szCs w:val="20"/>
              </w:rPr>
              <w:t>Agents de transformation</w:t>
            </w:r>
          </w:p>
        </w:tc>
        <w:tc>
          <w:tcPr>
            <w:tcW w:w="1134" w:type="dxa"/>
            <w:vAlign w:val="center"/>
            <w:hideMark/>
          </w:tcPr>
          <w:p w14:paraId="0B4281C0" w14:textId="77777777" w:rsidR="00EA598B" w:rsidRPr="005B6801" w:rsidRDefault="00EA598B" w:rsidP="00470683">
            <w:pPr>
              <w:jc w:val="center"/>
              <w:rPr>
                <w:sz w:val="20"/>
                <w:szCs w:val="20"/>
              </w:rPr>
            </w:pPr>
            <w:r>
              <w:rPr>
                <w:sz w:val="20"/>
                <w:szCs w:val="20"/>
              </w:rPr>
              <w:t>Utilisation en laboratoire</w:t>
            </w:r>
          </w:p>
        </w:tc>
        <w:tc>
          <w:tcPr>
            <w:tcW w:w="1369" w:type="dxa"/>
            <w:gridSpan w:val="2"/>
            <w:vAlign w:val="center"/>
            <w:hideMark/>
          </w:tcPr>
          <w:p w14:paraId="11785388" w14:textId="205BFD09" w:rsidR="00EA598B" w:rsidRPr="00830019" w:rsidRDefault="00EA598B" w:rsidP="00470683">
            <w:pPr>
              <w:jc w:val="center"/>
              <w:rPr>
                <w:sz w:val="20"/>
                <w:szCs w:val="20"/>
              </w:rPr>
            </w:pPr>
            <w:proofErr w:type="spellStart"/>
            <w:r>
              <w:rPr>
                <w:sz w:val="20"/>
                <w:szCs w:val="20"/>
              </w:rPr>
              <w:t>Consom</w:t>
            </w:r>
            <w:r w:rsidR="00964958">
              <w:rPr>
                <w:sz w:val="20"/>
                <w:szCs w:val="20"/>
              </w:rPr>
              <w:t>-</w:t>
            </w:r>
            <w:r>
              <w:rPr>
                <w:sz w:val="20"/>
                <w:szCs w:val="20"/>
              </w:rPr>
              <w:t>mation</w:t>
            </w:r>
            <w:proofErr w:type="spellEnd"/>
            <w:r>
              <w:rPr>
                <w:sz w:val="20"/>
                <w:szCs w:val="20"/>
              </w:rPr>
              <w:t xml:space="preserve"> totale pour le secteur</w:t>
            </w:r>
          </w:p>
        </w:tc>
      </w:tr>
      <w:tr w:rsidR="00EA598B" w:rsidRPr="00830019" w14:paraId="5BD98E59" w14:textId="77777777" w:rsidTr="00964958">
        <w:trPr>
          <w:trHeight w:val="249"/>
          <w:jc w:val="center"/>
        </w:trPr>
        <w:tc>
          <w:tcPr>
            <w:tcW w:w="4248" w:type="dxa"/>
            <w:gridSpan w:val="4"/>
            <w:hideMark/>
          </w:tcPr>
          <w:p w14:paraId="5A582E59" w14:textId="77777777" w:rsidR="00EA598B" w:rsidRPr="00055CDB" w:rsidRDefault="00EA598B" w:rsidP="00470683">
            <w:pPr>
              <w:jc w:val="center"/>
              <w:rPr>
                <w:sz w:val="20"/>
                <w:szCs w:val="20"/>
              </w:rPr>
            </w:pPr>
          </w:p>
        </w:tc>
        <w:tc>
          <w:tcPr>
            <w:tcW w:w="1134" w:type="dxa"/>
            <w:hideMark/>
          </w:tcPr>
          <w:p w14:paraId="03F6F370" w14:textId="77777777" w:rsidR="00EA598B" w:rsidRPr="00830019" w:rsidRDefault="00EA598B" w:rsidP="00470683">
            <w:pPr>
              <w:jc w:val="center"/>
              <w:rPr>
                <w:sz w:val="20"/>
                <w:szCs w:val="20"/>
              </w:rPr>
            </w:pPr>
            <w:r>
              <w:rPr>
                <w:sz w:val="20"/>
                <w:szCs w:val="20"/>
              </w:rPr>
              <w:t>Fabrication</w:t>
            </w:r>
          </w:p>
        </w:tc>
        <w:tc>
          <w:tcPr>
            <w:tcW w:w="992" w:type="dxa"/>
            <w:hideMark/>
          </w:tcPr>
          <w:p w14:paraId="33E5C0C4" w14:textId="77777777" w:rsidR="00EA598B" w:rsidRPr="00830019" w:rsidRDefault="00EA598B" w:rsidP="00470683">
            <w:pPr>
              <w:jc w:val="center"/>
              <w:rPr>
                <w:sz w:val="20"/>
                <w:szCs w:val="20"/>
              </w:rPr>
            </w:pPr>
            <w:r>
              <w:rPr>
                <w:sz w:val="20"/>
                <w:szCs w:val="20"/>
              </w:rPr>
              <w:t>Entretien</w:t>
            </w:r>
          </w:p>
        </w:tc>
        <w:tc>
          <w:tcPr>
            <w:tcW w:w="4923" w:type="dxa"/>
            <w:gridSpan w:val="5"/>
          </w:tcPr>
          <w:p w14:paraId="1020F812" w14:textId="77777777" w:rsidR="00EA598B" w:rsidRPr="00830019" w:rsidRDefault="00EA598B" w:rsidP="00470683">
            <w:pPr>
              <w:jc w:val="center"/>
              <w:rPr>
                <w:sz w:val="20"/>
                <w:szCs w:val="20"/>
                <w:lang w:val="en-US"/>
              </w:rPr>
            </w:pPr>
          </w:p>
        </w:tc>
      </w:tr>
      <w:tr w:rsidR="00964958" w:rsidRPr="00830019" w14:paraId="247AAC77" w14:textId="77777777" w:rsidTr="00964958">
        <w:trPr>
          <w:trHeight w:val="249"/>
          <w:jc w:val="center"/>
        </w:trPr>
        <w:tc>
          <w:tcPr>
            <w:tcW w:w="1271" w:type="dxa"/>
            <w:hideMark/>
          </w:tcPr>
          <w:p w14:paraId="4436D4EF" w14:textId="77777777" w:rsidR="00EA598B" w:rsidRPr="00830019" w:rsidRDefault="00EA598B" w:rsidP="00470683">
            <w:pPr>
              <w:ind w:left="32"/>
              <w:jc w:val="left"/>
              <w:rPr>
                <w:sz w:val="20"/>
                <w:szCs w:val="20"/>
              </w:rPr>
            </w:pPr>
            <w:r>
              <w:rPr>
                <w:sz w:val="20"/>
                <w:szCs w:val="20"/>
              </w:rPr>
              <w:t>HCFC-22</w:t>
            </w:r>
          </w:p>
        </w:tc>
        <w:tc>
          <w:tcPr>
            <w:tcW w:w="851" w:type="dxa"/>
          </w:tcPr>
          <w:p w14:paraId="06939E2F" w14:textId="77777777" w:rsidR="00EA598B" w:rsidRPr="00830019" w:rsidRDefault="00EA598B" w:rsidP="00470683">
            <w:pPr>
              <w:jc w:val="right"/>
              <w:rPr>
                <w:sz w:val="20"/>
                <w:szCs w:val="20"/>
                <w:lang w:val="en-US"/>
              </w:rPr>
            </w:pPr>
          </w:p>
        </w:tc>
        <w:tc>
          <w:tcPr>
            <w:tcW w:w="992" w:type="dxa"/>
          </w:tcPr>
          <w:p w14:paraId="68281DE1" w14:textId="77777777" w:rsidR="00EA598B" w:rsidRPr="00830019" w:rsidRDefault="00EA598B" w:rsidP="00470683">
            <w:pPr>
              <w:jc w:val="right"/>
              <w:rPr>
                <w:sz w:val="20"/>
                <w:szCs w:val="20"/>
                <w:lang w:val="en-US"/>
              </w:rPr>
            </w:pPr>
          </w:p>
        </w:tc>
        <w:tc>
          <w:tcPr>
            <w:tcW w:w="1134" w:type="dxa"/>
          </w:tcPr>
          <w:p w14:paraId="660F3267" w14:textId="77777777" w:rsidR="00EA598B" w:rsidRPr="00830019" w:rsidRDefault="00EA598B" w:rsidP="00470683">
            <w:pPr>
              <w:jc w:val="right"/>
              <w:rPr>
                <w:sz w:val="20"/>
                <w:szCs w:val="20"/>
                <w:lang w:val="en-US"/>
              </w:rPr>
            </w:pPr>
          </w:p>
        </w:tc>
        <w:tc>
          <w:tcPr>
            <w:tcW w:w="1134" w:type="dxa"/>
          </w:tcPr>
          <w:p w14:paraId="700D884F" w14:textId="215D535C" w:rsidR="00EA598B" w:rsidRPr="00830019" w:rsidRDefault="00EB3493" w:rsidP="00470683">
            <w:pPr>
              <w:jc w:val="right"/>
              <w:rPr>
                <w:sz w:val="20"/>
                <w:szCs w:val="20"/>
              </w:rPr>
            </w:pPr>
            <w:r>
              <w:rPr>
                <w:sz w:val="20"/>
                <w:szCs w:val="20"/>
              </w:rPr>
              <w:t>1,83</w:t>
            </w:r>
          </w:p>
        </w:tc>
        <w:tc>
          <w:tcPr>
            <w:tcW w:w="992" w:type="dxa"/>
          </w:tcPr>
          <w:p w14:paraId="5233384F" w14:textId="6F5E25E1" w:rsidR="00EA598B" w:rsidRPr="00830019" w:rsidRDefault="00EB3493" w:rsidP="00470683">
            <w:pPr>
              <w:jc w:val="right"/>
              <w:rPr>
                <w:sz w:val="20"/>
                <w:szCs w:val="20"/>
              </w:rPr>
            </w:pPr>
            <w:r>
              <w:rPr>
                <w:sz w:val="20"/>
                <w:szCs w:val="20"/>
              </w:rPr>
              <w:t>27,77</w:t>
            </w:r>
          </w:p>
        </w:tc>
        <w:tc>
          <w:tcPr>
            <w:tcW w:w="1003" w:type="dxa"/>
          </w:tcPr>
          <w:p w14:paraId="1204010C" w14:textId="77777777" w:rsidR="00EA598B" w:rsidRPr="00830019" w:rsidRDefault="00EA598B" w:rsidP="00470683">
            <w:pPr>
              <w:jc w:val="right"/>
              <w:rPr>
                <w:sz w:val="20"/>
                <w:szCs w:val="20"/>
                <w:lang w:val="en-US"/>
              </w:rPr>
            </w:pPr>
          </w:p>
        </w:tc>
        <w:tc>
          <w:tcPr>
            <w:tcW w:w="1417" w:type="dxa"/>
          </w:tcPr>
          <w:p w14:paraId="3EA8F4BD" w14:textId="77777777" w:rsidR="00EA598B" w:rsidRPr="00830019" w:rsidRDefault="00EA598B" w:rsidP="00470683">
            <w:pPr>
              <w:jc w:val="right"/>
              <w:rPr>
                <w:sz w:val="20"/>
                <w:szCs w:val="20"/>
                <w:lang w:val="en-US"/>
              </w:rPr>
            </w:pPr>
          </w:p>
        </w:tc>
        <w:tc>
          <w:tcPr>
            <w:tcW w:w="1144" w:type="dxa"/>
            <w:gridSpan w:val="2"/>
          </w:tcPr>
          <w:p w14:paraId="72C1C628" w14:textId="77777777" w:rsidR="00EA598B" w:rsidRPr="00830019" w:rsidRDefault="00EA598B" w:rsidP="00470683">
            <w:pPr>
              <w:jc w:val="right"/>
              <w:rPr>
                <w:sz w:val="20"/>
                <w:szCs w:val="20"/>
                <w:lang w:val="en-US"/>
              </w:rPr>
            </w:pPr>
          </w:p>
        </w:tc>
        <w:tc>
          <w:tcPr>
            <w:tcW w:w="1359" w:type="dxa"/>
          </w:tcPr>
          <w:p w14:paraId="0EDBE206" w14:textId="33459E78" w:rsidR="00EA598B" w:rsidRPr="00830019" w:rsidRDefault="00EB3493" w:rsidP="00470683">
            <w:pPr>
              <w:jc w:val="right"/>
              <w:rPr>
                <w:sz w:val="20"/>
                <w:szCs w:val="20"/>
              </w:rPr>
            </w:pPr>
            <w:r>
              <w:rPr>
                <w:sz w:val="20"/>
                <w:szCs w:val="20"/>
              </w:rPr>
              <w:t>29,60</w:t>
            </w:r>
          </w:p>
        </w:tc>
      </w:tr>
      <w:tr w:rsidR="00964958" w:rsidRPr="00830019" w14:paraId="3D0B442D" w14:textId="77777777" w:rsidTr="00964958">
        <w:trPr>
          <w:trHeight w:val="249"/>
          <w:jc w:val="center"/>
        </w:trPr>
        <w:tc>
          <w:tcPr>
            <w:tcW w:w="1271" w:type="dxa"/>
            <w:hideMark/>
          </w:tcPr>
          <w:p w14:paraId="1137121F" w14:textId="42107054" w:rsidR="00EA598B" w:rsidRPr="00830019" w:rsidRDefault="004169FB" w:rsidP="00470683">
            <w:pPr>
              <w:ind w:left="32"/>
              <w:jc w:val="left"/>
              <w:rPr>
                <w:sz w:val="20"/>
                <w:szCs w:val="20"/>
              </w:rPr>
            </w:pPr>
            <w:r>
              <w:rPr>
                <w:sz w:val="20"/>
                <w:szCs w:val="20"/>
              </w:rPr>
              <w:t xml:space="preserve">HCFC-141b dans les polyols </w:t>
            </w:r>
            <w:proofErr w:type="spellStart"/>
            <w:r>
              <w:rPr>
                <w:sz w:val="20"/>
                <w:szCs w:val="20"/>
              </w:rPr>
              <w:t>prémélangés</w:t>
            </w:r>
            <w:proofErr w:type="spellEnd"/>
            <w:r>
              <w:rPr>
                <w:sz w:val="20"/>
                <w:szCs w:val="20"/>
              </w:rPr>
              <w:t xml:space="preserve"> importés</w:t>
            </w:r>
          </w:p>
        </w:tc>
        <w:tc>
          <w:tcPr>
            <w:tcW w:w="851" w:type="dxa"/>
          </w:tcPr>
          <w:p w14:paraId="08BEEE48" w14:textId="77777777" w:rsidR="00EA598B" w:rsidRPr="00055CDB" w:rsidRDefault="00EA598B" w:rsidP="00470683">
            <w:pPr>
              <w:jc w:val="right"/>
              <w:rPr>
                <w:sz w:val="20"/>
                <w:szCs w:val="20"/>
              </w:rPr>
            </w:pPr>
          </w:p>
        </w:tc>
        <w:tc>
          <w:tcPr>
            <w:tcW w:w="992" w:type="dxa"/>
          </w:tcPr>
          <w:p w14:paraId="1FC7EA6B" w14:textId="77777777" w:rsidR="00EA598B" w:rsidRPr="00055CDB" w:rsidRDefault="00EA598B" w:rsidP="00470683">
            <w:pPr>
              <w:jc w:val="right"/>
              <w:rPr>
                <w:sz w:val="20"/>
                <w:szCs w:val="20"/>
              </w:rPr>
            </w:pPr>
          </w:p>
        </w:tc>
        <w:tc>
          <w:tcPr>
            <w:tcW w:w="1134" w:type="dxa"/>
          </w:tcPr>
          <w:p w14:paraId="5378CF6E" w14:textId="77777777" w:rsidR="00EA598B" w:rsidRPr="00055CDB" w:rsidRDefault="00EA598B" w:rsidP="00470683">
            <w:pPr>
              <w:jc w:val="right"/>
              <w:rPr>
                <w:sz w:val="20"/>
                <w:szCs w:val="20"/>
              </w:rPr>
            </w:pPr>
          </w:p>
        </w:tc>
        <w:tc>
          <w:tcPr>
            <w:tcW w:w="1134" w:type="dxa"/>
          </w:tcPr>
          <w:p w14:paraId="5CBA9084" w14:textId="77777777" w:rsidR="00EA598B" w:rsidRPr="00055CDB" w:rsidRDefault="00EA598B" w:rsidP="00470683">
            <w:pPr>
              <w:jc w:val="right"/>
              <w:rPr>
                <w:sz w:val="20"/>
                <w:szCs w:val="20"/>
              </w:rPr>
            </w:pPr>
          </w:p>
        </w:tc>
        <w:tc>
          <w:tcPr>
            <w:tcW w:w="992" w:type="dxa"/>
          </w:tcPr>
          <w:p w14:paraId="7C4704D2" w14:textId="77777777" w:rsidR="00EA598B" w:rsidRPr="00055CDB" w:rsidRDefault="00EA598B" w:rsidP="00470683">
            <w:pPr>
              <w:jc w:val="right"/>
              <w:rPr>
                <w:sz w:val="20"/>
                <w:szCs w:val="20"/>
              </w:rPr>
            </w:pPr>
          </w:p>
        </w:tc>
        <w:tc>
          <w:tcPr>
            <w:tcW w:w="1003" w:type="dxa"/>
          </w:tcPr>
          <w:p w14:paraId="4B90E992" w14:textId="77777777" w:rsidR="00EA598B" w:rsidRPr="00055CDB" w:rsidRDefault="00EA598B" w:rsidP="00470683">
            <w:pPr>
              <w:jc w:val="right"/>
              <w:rPr>
                <w:sz w:val="20"/>
                <w:szCs w:val="20"/>
              </w:rPr>
            </w:pPr>
          </w:p>
        </w:tc>
        <w:tc>
          <w:tcPr>
            <w:tcW w:w="1417" w:type="dxa"/>
          </w:tcPr>
          <w:p w14:paraId="115D547E" w14:textId="77777777" w:rsidR="00EA598B" w:rsidRPr="00055CDB" w:rsidRDefault="00EA598B" w:rsidP="00470683">
            <w:pPr>
              <w:jc w:val="right"/>
              <w:rPr>
                <w:sz w:val="20"/>
                <w:szCs w:val="20"/>
              </w:rPr>
            </w:pPr>
          </w:p>
        </w:tc>
        <w:tc>
          <w:tcPr>
            <w:tcW w:w="1144" w:type="dxa"/>
            <w:gridSpan w:val="2"/>
          </w:tcPr>
          <w:p w14:paraId="447F2011" w14:textId="77777777" w:rsidR="00EA598B" w:rsidRPr="00055CDB" w:rsidRDefault="00EA598B" w:rsidP="00470683">
            <w:pPr>
              <w:jc w:val="right"/>
              <w:rPr>
                <w:sz w:val="20"/>
                <w:szCs w:val="20"/>
              </w:rPr>
            </w:pPr>
          </w:p>
        </w:tc>
        <w:tc>
          <w:tcPr>
            <w:tcW w:w="1359" w:type="dxa"/>
          </w:tcPr>
          <w:p w14:paraId="5BFE1227" w14:textId="4FFFC0D2" w:rsidR="00EA598B" w:rsidRPr="00830019" w:rsidRDefault="004169FB" w:rsidP="00470683">
            <w:pPr>
              <w:jc w:val="right"/>
              <w:rPr>
                <w:sz w:val="20"/>
                <w:szCs w:val="20"/>
              </w:rPr>
            </w:pPr>
            <w:r>
              <w:rPr>
                <w:color w:val="000000"/>
                <w:sz w:val="20"/>
                <w:szCs w:val="20"/>
              </w:rPr>
              <w:t>16,45</w:t>
            </w:r>
          </w:p>
        </w:tc>
      </w:tr>
    </w:tbl>
    <w:p w14:paraId="0BCC4815" w14:textId="77777777" w:rsidR="00EA598B" w:rsidRPr="00862FA7" w:rsidRDefault="00EA598B" w:rsidP="00EA598B">
      <w:pPr>
        <w:jc w:val="center"/>
        <w:rPr>
          <w:sz w:val="18"/>
          <w:szCs w:val="18"/>
        </w:rPr>
      </w:pPr>
    </w:p>
    <w:tbl>
      <w:tblPr>
        <w:tblStyle w:val="Grigliatabella"/>
        <w:tblW w:w="11341" w:type="dxa"/>
        <w:tblInd w:w="-998" w:type="dxa"/>
        <w:tblLook w:val="04A0" w:firstRow="1" w:lastRow="0" w:firstColumn="1" w:lastColumn="0" w:noHBand="0" w:noVBand="1"/>
      </w:tblPr>
      <w:tblGrid>
        <w:gridCol w:w="3545"/>
        <w:gridCol w:w="1559"/>
        <w:gridCol w:w="4394"/>
        <w:gridCol w:w="1843"/>
      </w:tblGrid>
      <w:tr w:rsidR="00EA598B" w:rsidRPr="00830019" w14:paraId="16A679B5" w14:textId="77777777" w:rsidTr="00964958">
        <w:trPr>
          <w:trHeight w:val="276"/>
        </w:trPr>
        <w:tc>
          <w:tcPr>
            <w:tcW w:w="11341" w:type="dxa"/>
            <w:gridSpan w:val="4"/>
            <w:hideMark/>
          </w:tcPr>
          <w:p w14:paraId="36F6018E" w14:textId="77777777" w:rsidR="00EA598B" w:rsidRPr="00830019" w:rsidRDefault="00EA598B" w:rsidP="00470683">
            <w:pPr>
              <w:jc w:val="left"/>
              <w:rPr>
                <w:b/>
                <w:sz w:val="20"/>
                <w:szCs w:val="20"/>
              </w:rPr>
            </w:pPr>
            <w:r>
              <w:rPr>
                <w:b/>
                <w:sz w:val="20"/>
                <w:szCs w:val="20"/>
              </w:rPr>
              <w:t>(IV) DONNÉES SUR LA CONSOMMATION (tonnes PAO)</w:t>
            </w:r>
          </w:p>
        </w:tc>
      </w:tr>
      <w:tr w:rsidR="00EA598B" w:rsidRPr="00830019" w14:paraId="644294CF" w14:textId="77777777" w:rsidTr="00964958">
        <w:trPr>
          <w:trHeight w:val="276"/>
        </w:trPr>
        <w:tc>
          <w:tcPr>
            <w:tcW w:w="3545" w:type="dxa"/>
            <w:hideMark/>
          </w:tcPr>
          <w:p w14:paraId="5A3EBD93" w14:textId="77777777" w:rsidR="00E31DF1" w:rsidRDefault="00EA598B" w:rsidP="00470683">
            <w:pPr>
              <w:jc w:val="center"/>
              <w:rPr>
                <w:sz w:val="20"/>
                <w:szCs w:val="20"/>
              </w:rPr>
            </w:pPr>
            <w:r>
              <w:rPr>
                <w:sz w:val="20"/>
                <w:szCs w:val="20"/>
              </w:rPr>
              <w:t>Valeur de référence</w:t>
            </w:r>
          </w:p>
          <w:p w14:paraId="0B97D56C" w14:textId="33FB964E" w:rsidR="00EA598B" w:rsidRPr="00830019" w:rsidRDefault="00EA598B" w:rsidP="00470683">
            <w:pPr>
              <w:jc w:val="center"/>
              <w:rPr>
                <w:sz w:val="20"/>
                <w:szCs w:val="20"/>
              </w:rPr>
            </w:pPr>
            <w:r>
              <w:rPr>
                <w:sz w:val="20"/>
                <w:szCs w:val="20"/>
              </w:rPr>
              <w:t>2009-2010 :</w:t>
            </w:r>
          </w:p>
        </w:tc>
        <w:tc>
          <w:tcPr>
            <w:tcW w:w="1559" w:type="dxa"/>
            <w:hideMark/>
          </w:tcPr>
          <w:p w14:paraId="5AE33A58" w14:textId="6F893FE5" w:rsidR="00EA598B" w:rsidRPr="00830019" w:rsidRDefault="00E03BEB" w:rsidP="00470683">
            <w:pPr>
              <w:jc w:val="right"/>
              <w:rPr>
                <w:sz w:val="20"/>
                <w:szCs w:val="20"/>
              </w:rPr>
            </w:pPr>
            <w:r>
              <w:rPr>
                <w:color w:val="000000" w:themeColor="text1"/>
                <w:sz w:val="20"/>
                <w:szCs w:val="20"/>
              </w:rPr>
              <w:t>51,90</w:t>
            </w:r>
          </w:p>
        </w:tc>
        <w:tc>
          <w:tcPr>
            <w:tcW w:w="4394" w:type="dxa"/>
            <w:hideMark/>
          </w:tcPr>
          <w:p w14:paraId="5A421EF4" w14:textId="77777777" w:rsidR="00EA598B" w:rsidRPr="00830019" w:rsidRDefault="00EA598B" w:rsidP="00470683">
            <w:pPr>
              <w:jc w:val="center"/>
              <w:rPr>
                <w:sz w:val="20"/>
                <w:szCs w:val="20"/>
              </w:rPr>
            </w:pPr>
            <w:r>
              <w:rPr>
                <w:sz w:val="20"/>
                <w:szCs w:val="20"/>
              </w:rPr>
              <w:t>Point de départ des réductions globales durables :</w:t>
            </w:r>
          </w:p>
        </w:tc>
        <w:tc>
          <w:tcPr>
            <w:tcW w:w="1843" w:type="dxa"/>
            <w:hideMark/>
          </w:tcPr>
          <w:p w14:paraId="35AA6071" w14:textId="38F9618F" w:rsidR="00EA598B" w:rsidRPr="00830019" w:rsidRDefault="00E03BEB" w:rsidP="00470683">
            <w:pPr>
              <w:jc w:val="right"/>
              <w:rPr>
                <w:sz w:val="20"/>
                <w:szCs w:val="20"/>
              </w:rPr>
            </w:pPr>
            <w:r>
              <w:rPr>
                <w:color w:val="000000" w:themeColor="text1"/>
                <w:sz w:val="20"/>
                <w:szCs w:val="20"/>
              </w:rPr>
              <w:t>61,39</w:t>
            </w:r>
          </w:p>
        </w:tc>
      </w:tr>
      <w:tr w:rsidR="00EA598B" w:rsidRPr="00830019" w14:paraId="4940A131" w14:textId="77777777" w:rsidTr="00964958">
        <w:trPr>
          <w:trHeight w:val="276"/>
        </w:trPr>
        <w:tc>
          <w:tcPr>
            <w:tcW w:w="11341" w:type="dxa"/>
            <w:gridSpan w:val="4"/>
            <w:hideMark/>
          </w:tcPr>
          <w:p w14:paraId="6953A728" w14:textId="77777777" w:rsidR="00EA598B" w:rsidRPr="00830019" w:rsidRDefault="00EA598B" w:rsidP="00470683">
            <w:pPr>
              <w:ind w:left="316"/>
              <w:rPr>
                <w:b/>
                <w:sz w:val="20"/>
                <w:szCs w:val="20"/>
              </w:rPr>
            </w:pPr>
            <w:r>
              <w:rPr>
                <w:b/>
                <w:sz w:val="20"/>
                <w:szCs w:val="20"/>
              </w:rPr>
              <w:t>CONSOMMATION ADMISSIBLE AU FINANCEMENT</w:t>
            </w:r>
          </w:p>
        </w:tc>
      </w:tr>
      <w:tr w:rsidR="000E0504" w:rsidRPr="000E0504" w14:paraId="071D5CB9" w14:textId="77777777" w:rsidTr="00964958">
        <w:trPr>
          <w:trHeight w:val="276"/>
        </w:trPr>
        <w:tc>
          <w:tcPr>
            <w:tcW w:w="3545" w:type="dxa"/>
            <w:hideMark/>
          </w:tcPr>
          <w:p w14:paraId="4F74B1B6" w14:textId="77777777" w:rsidR="00EA598B" w:rsidRPr="000E0504" w:rsidRDefault="00EA598B" w:rsidP="00470683">
            <w:pPr>
              <w:jc w:val="center"/>
              <w:rPr>
                <w:sz w:val="20"/>
                <w:szCs w:val="20"/>
              </w:rPr>
            </w:pPr>
            <w:r>
              <w:rPr>
                <w:sz w:val="20"/>
                <w:szCs w:val="20"/>
              </w:rPr>
              <w:t>Déjà approuvée :</w:t>
            </w:r>
          </w:p>
        </w:tc>
        <w:tc>
          <w:tcPr>
            <w:tcW w:w="1559" w:type="dxa"/>
            <w:hideMark/>
          </w:tcPr>
          <w:p w14:paraId="4AD275F3" w14:textId="717AB536" w:rsidR="00EA598B" w:rsidRPr="000E0504" w:rsidRDefault="00E03BEB" w:rsidP="00470683">
            <w:pPr>
              <w:jc w:val="right"/>
              <w:rPr>
                <w:sz w:val="20"/>
                <w:szCs w:val="20"/>
              </w:rPr>
            </w:pPr>
            <w:r>
              <w:rPr>
                <w:sz w:val="20"/>
                <w:szCs w:val="20"/>
              </w:rPr>
              <w:t>58,64</w:t>
            </w:r>
          </w:p>
        </w:tc>
        <w:tc>
          <w:tcPr>
            <w:tcW w:w="4394" w:type="dxa"/>
            <w:hideMark/>
          </w:tcPr>
          <w:p w14:paraId="0703B529" w14:textId="77777777" w:rsidR="00EA598B" w:rsidRPr="000E0504" w:rsidRDefault="00EA598B" w:rsidP="00470683">
            <w:pPr>
              <w:jc w:val="center"/>
              <w:rPr>
                <w:i/>
                <w:sz w:val="20"/>
                <w:szCs w:val="20"/>
              </w:rPr>
            </w:pPr>
            <w:r>
              <w:rPr>
                <w:sz w:val="20"/>
                <w:szCs w:val="20"/>
              </w:rPr>
              <w:t>Restante :</w:t>
            </w:r>
          </w:p>
        </w:tc>
        <w:tc>
          <w:tcPr>
            <w:tcW w:w="1843" w:type="dxa"/>
            <w:hideMark/>
          </w:tcPr>
          <w:p w14:paraId="34499D1E" w14:textId="4826F64C" w:rsidR="00EA598B" w:rsidRPr="000E0504" w:rsidRDefault="00E03BEB" w:rsidP="00470683">
            <w:pPr>
              <w:jc w:val="right"/>
              <w:rPr>
                <w:sz w:val="20"/>
                <w:szCs w:val="20"/>
              </w:rPr>
            </w:pPr>
            <w:r>
              <w:rPr>
                <w:sz w:val="20"/>
                <w:szCs w:val="20"/>
              </w:rPr>
              <w:t>2,75</w:t>
            </w:r>
          </w:p>
        </w:tc>
      </w:tr>
    </w:tbl>
    <w:p w14:paraId="0C7ACA00" w14:textId="77777777" w:rsidR="00EA598B" w:rsidRPr="00862FA7" w:rsidRDefault="00EA598B" w:rsidP="00EA598B">
      <w:pPr>
        <w:jc w:val="center"/>
        <w:rPr>
          <w:sz w:val="18"/>
          <w:szCs w:val="18"/>
        </w:rPr>
      </w:pPr>
    </w:p>
    <w:tbl>
      <w:tblPr>
        <w:tblStyle w:val="Grigliatabella"/>
        <w:tblW w:w="6065" w:type="pct"/>
        <w:tblInd w:w="-998" w:type="dxa"/>
        <w:tblLook w:val="04A0" w:firstRow="1" w:lastRow="0" w:firstColumn="1" w:lastColumn="0" w:noHBand="0" w:noVBand="1"/>
      </w:tblPr>
      <w:tblGrid>
        <w:gridCol w:w="1844"/>
        <w:gridCol w:w="3223"/>
        <w:gridCol w:w="1461"/>
        <w:gridCol w:w="1461"/>
        <w:gridCol w:w="1461"/>
        <w:gridCol w:w="1892"/>
      </w:tblGrid>
      <w:tr w:rsidR="00EA598B" w:rsidRPr="00830019" w14:paraId="7EE8430F" w14:textId="77777777" w:rsidTr="002A7CD7">
        <w:trPr>
          <w:trHeight w:val="264"/>
        </w:trPr>
        <w:tc>
          <w:tcPr>
            <w:tcW w:w="2234" w:type="pct"/>
            <w:gridSpan w:val="2"/>
            <w:hideMark/>
          </w:tcPr>
          <w:p w14:paraId="5DA41C98" w14:textId="77777777" w:rsidR="00EA598B" w:rsidRPr="00830019" w:rsidRDefault="00EA598B" w:rsidP="00470683">
            <w:pPr>
              <w:jc w:val="left"/>
              <w:rPr>
                <w:b/>
                <w:sz w:val="20"/>
                <w:szCs w:val="20"/>
              </w:rPr>
            </w:pPr>
            <w:r>
              <w:rPr>
                <w:b/>
                <w:sz w:val="20"/>
                <w:szCs w:val="20"/>
              </w:rPr>
              <w:t>(V) PLAN D’ACTIVITÉS ENDOSSÉ</w:t>
            </w:r>
          </w:p>
        </w:tc>
        <w:tc>
          <w:tcPr>
            <w:tcW w:w="644" w:type="pct"/>
            <w:vAlign w:val="center"/>
            <w:hideMark/>
          </w:tcPr>
          <w:p w14:paraId="7BE9CEB4" w14:textId="77777777" w:rsidR="00EA598B" w:rsidRPr="00830019" w:rsidRDefault="00EA598B" w:rsidP="00470683">
            <w:pPr>
              <w:jc w:val="center"/>
              <w:rPr>
                <w:b/>
                <w:sz w:val="20"/>
                <w:szCs w:val="20"/>
              </w:rPr>
            </w:pPr>
            <w:r>
              <w:rPr>
                <w:b/>
                <w:sz w:val="20"/>
                <w:szCs w:val="20"/>
              </w:rPr>
              <w:t>2024</w:t>
            </w:r>
          </w:p>
        </w:tc>
        <w:tc>
          <w:tcPr>
            <w:tcW w:w="644" w:type="pct"/>
            <w:vAlign w:val="center"/>
            <w:hideMark/>
          </w:tcPr>
          <w:p w14:paraId="53ABC746" w14:textId="77777777" w:rsidR="00EA598B" w:rsidRPr="00830019" w:rsidRDefault="00EA598B" w:rsidP="00470683">
            <w:pPr>
              <w:jc w:val="center"/>
              <w:rPr>
                <w:b/>
                <w:sz w:val="20"/>
                <w:szCs w:val="20"/>
              </w:rPr>
            </w:pPr>
            <w:r>
              <w:rPr>
                <w:b/>
                <w:sz w:val="20"/>
                <w:szCs w:val="20"/>
              </w:rPr>
              <w:t>2025</w:t>
            </w:r>
          </w:p>
        </w:tc>
        <w:tc>
          <w:tcPr>
            <w:tcW w:w="644" w:type="pct"/>
            <w:vAlign w:val="center"/>
            <w:hideMark/>
          </w:tcPr>
          <w:p w14:paraId="0008BA40" w14:textId="77777777" w:rsidR="00EA598B" w:rsidRPr="00830019" w:rsidRDefault="00EA598B" w:rsidP="00470683">
            <w:pPr>
              <w:jc w:val="center"/>
              <w:rPr>
                <w:b/>
                <w:sz w:val="20"/>
                <w:szCs w:val="20"/>
              </w:rPr>
            </w:pPr>
            <w:r>
              <w:rPr>
                <w:b/>
                <w:sz w:val="20"/>
                <w:szCs w:val="20"/>
              </w:rPr>
              <w:t>2026</w:t>
            </w:r>
          </w:p>
        </w:tc>
        <w:tc>
          <w:tcPr>
            <w:tcW w:w="834" w:type="pct"/>
            <w:vAlign w:val="center"/>
            <w:hideMark/>
          </w:tcPr>
          <w:p w14:paraId="69DDD95A" w14:textId="77777777" w:rsidR="00EA598B" w:rsidRPr="00830019" w:rsidRDefault="00EA598B" w:rsidP="00470683">
            <w:pPr>
              <w:jc w:val="center"/>
              <w:rPr>
                <w:b/>
                <w:sz w:val="20"/>
                <w:szCs w:val="20"/>
              </w:rPr>
            </w:pPr>
            <w:r>
              <w:rPr>
                <w:b/>
                <w:sz w:val="20"/>
                <w:szCs w:val="20"/>
              </w:rPr>
              <w:t>Total</w:t>
            </w:r>
          </w:p>
        </w:tc>
      </w:tr>
      <w:tr w:rsidR="00F07A23" w:rsidRPr="00D40429" w14:paraId="2EF8AC51" w14:textId="77777777" w:rsidTr="002A7CD7">
        <w:trPr>
          <w:trHeight w:val="187"/>
        </w:trPr>
        <w:tc>
          <w:tcPr>
            <w:tcW w:w="813" w:type="pct"/>
            <w:vMerge w:val="restart"/>
            <w:vAlign w:val="center"/>
            <w:hideMark/>
          </w:tcPr>
          <w:p w14:paraId="2F619D79" w14:textId="661E01BD" w:rsidR="00F07A23" w:rsidRPr="00D40429" w:rsidRDefault="00F07A23" w:rsidP="00F07A23">
            <w:pPr>
              <w:jc w:val="center"/>
              <w:rPr>
                <w:sz w:val="20"/>
                <w:szCs w:val="20"/>
              </w:rPr>
            </w:pPr>
            <w:r>
              <w:rPr>
                <w:color w:val="000000" w:themeColor="text1"/>
                <w:sz w:val="20"/>
                <w:szCs w:val="20"/>
              </w:rPr>
              <w:t>PNUE</w:t>
            </w:r>
          </w:p>
        </w:tc>
        <w:tc>
          <w:tcPr>
            <w:tcW w:w="1421" w:type="pct"/>
            <w:hideMark/>
          </w:tcPr>
          <w:p w14:paraId="4EE2EAB8" w14:textId="77777777" w:rsidR="00F07A23" w:rsidRPr="00D40429" w:rsidRDefault="00F07A23" w:rsidP="00F07A23">
            <w:pPr>
              <w:jc w:val="left"/>
              <w:rPr>
                <w:sz w:val="20"/>
                <w:szCs w:val="20"/>
              </w:rPr>
            </w:pPr>
            <w:r>
              <w:rPr>
                <w:sz w:val="20"/>
                <w:szCs w:val="20"/>
              </w:rPr>
              <w:t>Élimination des SAO (tonnes PAO)</w:t>
            </w:r>
          </w:p>
        </w:tc>
        <w:tc>
          <w:tcPr>
            <w:tcW w:w="644" w:type="pct"/>
          </w:tcPr>
          <w:p w14:paraId="725384C9" w14:textId="7D1C8C16" w:rsidR="00F07A23" w:rsidRPr="00D40429" w:rsidRDefault="00F07A23" w:rsidP="00F07A23">
            <w:pPr>
              <w:jc w:val="right"/>
              <w:rPr>
                <w:sz w:val="20"/>
                <w:szCs w:val="20"/>
              </w:rPr>
            </w:pPr>
            <w:r>
              <w:rPr>
                <w:sz w:val="20"/>
                <w:szCs w:val="20"/>
              </w:rPr>
              <w:t>3,37</w:t>
            </w:r>
          </w:p>
        </w:tc>
        <w:tc>
          <w:tcPr>
            <w:tcW w:w="644" w:type="pct"/>
          </w:tcPr>
          <w:p w14:paraId="0919FB19" w14:textId="4B37280C" w:rsidR="00F07A23" w:rsidRPr="00D40429" w:rsidRDefault="00F07A23" w:rsidP="00F07A23">
            <w:pPr>
              <w:jc w:val="right"/>
              <w:rPr>
                <w:sz w:val="20"/>
                <w:szCs w:val="20"/>
              </w:rPr>
            </w:pPr>
            <w:r>
              <w:rPr>
                <w:sz w:val="20"/>
                <w:szCs w:val="20"/>
              </w:rPr>
              <w:t>0,00</w:t>
            </w:r>
          </w:p>
        </w:tc>
        <w:tc>
          <w:tcPr>
            <w:tcW w:w="644" w:type="pct"/>
          </w:tcPr>
          <w:p w14:paraId="44C2AD19" w14:textId="4E78BBB2" w:rsidR="00F07A23" w:rsidRPr="00D40429" w:rsidRDefault="00F07A23" w:rsidP="00F07A23">
            <w:pPr>
              <w:jc w:val="right"/>
              <w:rPr>
                <w:sz w:val="20"/>
                <w:szCs w:val="20"/>
              </w:rPr>
            </w:pPr>
            <w:r>
              <w:rPr>
                <w:sz w:val="20"/>
                <w:szCs w:val="20"/>
              </w:rPr>
              <w:t>0,00</w:t>
            </w:r>
          </w:p>
        </w:tc>
        <w:tc>
          <w:tcPr>
            <w:tcW w:w="834" w:type="pct"/>
          </w:tcPr>
          <w:p w14:paraId="7B7768B4" w14:textId="36C86BF0" w:rsidR="00F07A23" w:rsidRPr="00D40429" w:rsidRDefault="00F07A23" w:rsidP="00F07A23">
            <w:pPr>
              <w:jc w:val="right"/>
              <w:rPr>
                <w:sz w:val="20"/>
                <w:szCs w:val="20"/>
              </w:rPr>
            </w:pPr>
            <w:r>
              <w:rPr>
                <w:sz w:val="20"/>
                <w:szCs w:val="20"/>
              </w:rPr>
              <w:t>3,37</w:t>
            </w:r>
          </w:p>
        </w:tc>
      </w:tr>
      <w:tr w:rsidR="00F07A23" w:rsidRPr="00D40429" w14:paraId="55133112" w14:textId="77777777" w:rsidTr="002A7CD7">
        <w:trPr>
          <w:trHeight w:val="55"/>
        </w:trPr>
        <w:tc>
          <w:tcPr>
            <w:tcW w:w="813" w:type="pct"/>
            <w:vMerge/>
            <w:vAlign w:val="center"/>
            <w:hideMark/>
          </w:tcPr>
          <w:p w14:paraId="14F75AB2" w14:textId="77777777" w:rsidR="00F07A23" w:rsidRPr="00D40429" w:rsidRDefault="00F07A23" w:rsidP="00F07A23">
            <w:pPr>
              <w:rPr>
                <w:sz w:val="20"/>
                <w:szCs w:val="20"/>
                <w:lang w:val="en-US"/>
              </w:rPr>
            </w:pPr>
          </w:p>
        </w:tc>
        <w:tc>
          <w:tcPr>
            <w:tcW w:w="1421" w:type="pct"/>
            <w:hideMark/>
          </w:tcPr>
          <w:p w14:paraId="705F2C23" w14:textId="74B12D91" w:rsidR="00F07A23" w:rsidRPr="00D40429" w:rsidRDefault="00F07A23" w:rsidP="00F07A23">
            <w:pPr>
              <w:jc w:val="left"/>
              <w:rPr>
                <w:sz w:val="20"/>
                <w:szCs w:val="20"/>
              </w:rPr>
            </w:pPr>
            <w:r>
              <w:rPr>
                <w:sz w:val="20"/>
                <w:szCs w:val="20"/>
              </w:rPr>
              <w:t>Financement ($ US)</w:t>
            </w:r>
          </w:p>
        </w:tc>
        <w:tc>
          <w:tcPr>
            <w:tcW w:w="644" w:type="pct"/>
          </w:tcPr>
          <w:p w14:paraId="0E2D33E1" w14:textId="3B03AAA6" w:rsidR="00F07A23" w:rsidRPr="00D40429" w:rsidRDefault="00F07A23" w:rsidP="00F07A23">
            <w:pPr>
              <w:jc w:val="right"/>
              <w:rPr>
                <w:sz w:val="20"/>
                <w:szCs w:val="20"/>
              </w:rPr>
            </w:pPr>
            <w:r>
              <w:rPr>
                <w:sz w:val="20"/>
                <w:szCs w:val="20"/>
              </w:rPr>
              <w:t>62 150</w:t>
            </w:r>
          </w:p>
        </w:tc>
        <w:tc>
          <w:tcPr>
            <w:tcW w:w="644" w:type="pct"/>
          </w:tcPr>
          <w:p w14:paraId="772BE745" w14:textId="16B6709C" w:rsidR="00F07A23" w:rsidRPr="00D40429" w:rsidRDefault="00F07A23" w:rsidP="00F07A23">
            <w:pPr>
              <w:jc w:val="right"/>
              <w:rPr>
                <w:sz w:val="20"/>
                <w:szCs w:val="20"/>
              </w:rPr>
            </w:pPr>
            <w:r>
              <w:rPr>
                <w:sz w:val="20"/>
                <w:szCs w:val="20"/>
              </w:rPr>
              <w:t>0</w:t>
            </w:r>
          </w:p>
        </w:tc>
        <w:tc>
          <w:tcPr>
            <w:tcW w:w="644" w:type="pct"/>
          </w:tcPr>
          <w:p w14:paraId="6A544C88" w14:textId="08C58AF0" w:rsidR="00F07A23" w:rsidRPr="00D40429" w:rsidRDefault="00F07A23" w:rsidP="00F07A23">
            <w:pPr>
              <w:jc w:val="right"/>
              <w:rPr>
                <w:sz w:val="20"/>
                <w:szCs w:val="20"/>
              </w:rPr>
            </w:pPr>
            <w:r>
              <w:rPr>
                <w:sz w:val="20"/>
                <w:szCs w:val="20"/>
              </w:rPr>
              <w:t>0</w:t>
            </w:r>
          </w:p>
        </w:tc>
        <w:tc>
          <w:tcPr>
            <w:tcW w:w="834" w:type="pct"/>
          </w:tcPr>
          <w:p w14:paraId="3F08F105" w14:textId="41E198E0" w:rsidR="00F07A23" w:rsidRPr="00D40429" w:rsidRDefault="00F07A23" w:rsidP="00F07A23">
            <w:pPr>
              <w:jc w:val="right"/>
              <w:rPr>
                <w:sz w:val="20"/>
                <w:szCs w:val="20"/>
              </w:rPr>
            </w:pPr>
            <w:r>
              <w:rPr>
                <w:sz w:val="20"/>
                <w:szCs w:val="20"/>
              </w:rPr>
              <w:t>62 150</w:t>
            </w:r>
          </w:p>
        </w:tc>
      </w:tr>
      <w:tr w:rsidR="00F07A23" w:rsidRPr="00D40429" w14:paraId="177FE96F" w14:textId="77777777" w:rsidTr="002A7CD7">
        <w:trPr>
          <w:trHeight w:val="264"/>
        </w:trPr>
        <w:tc>
          <w:tcPr>
            <w:tcW w:w="813" w:type="pct"/>
            <w:vMerge w:val="restart"/>
            <w:vAlign w:val="center"/>
            <w:hideMark/>
          </w:tcPr>
          <w:p w14:paraId="5C4E5ABA" w14:textId="16B25557" w:rsidR="00F07A23" w:rsidRPr="00D40429" w:rsidRDefault="00D40429" w:rsidP="00F07A23">
            <w:pPr>
              <w:jc w:val="center"/>
              <w:rPr>
                <w:sz w:val="20"/>
                <w:szCs w:val="20"/>
              </w:rPr>
            </w:pPr>
            <w:r>
              <w:rPr>
                <w:sz w:val="20"/>
                <w:szCs w:val="20"/>
              </w:rPr>
              <w:t>ONUDI</w:t>
            </w:r>
          </w:p>
        </w:tc>
        <w:tc>
          <w:tcPr>
            <w:tcW w:w="1421" w:type="pct"/>
            <w:hideMark/>
          </w:tcPr>
          <w:p w14:paraId="44FB6D95" w14:textId="77777777" w:rsidR="00F07A23" w:rsidRPr="00D40429" w:rsidRDefault="00F07A23" w:rsidP="00F07A23">
            <w:pPr>
              <w:jc w:val="left"/>
              <w:rPr>
                <w:sz w:val="20"/>
                <w:szCs w:val="20"/>
              </w:rPr>
            </w:pPr>
            <w:r>
              <w:rPr>
                <w:sz w:val="20"/>
                <w:szCs w:val="20"/>
              </w:rPr>
              <w:t>Élimination des SAO (tonnes PAO)</w:t>
            </w:r>
          </w:p>
        </w:tc>
        <w:tc>
          <w:tcPr>
            <w:tcW w:w="644" w:type="pct"/>
          </w:tcPr>
          <w:p w14:paraId="7CA7C910" w14:textId="700ABD07" w:rsidR="00F07A23" w:rsidRPr="00D40429" w:rsidRDefault="00F07A23" w:rsidP="00F07A23">
            <w:pPr>
              <w:jc w:val="right"/>
              <w:rPr>
                <w:sz w:val="20"/>
                <w:szCs w:val="20"/>
              </w:rPr>
            </w:pPr>
            <w:r>
              <w:rPr>
                <w:sz w:val="20"/>
                <w:szCs w:val="20"/>
              </w:rPr>
              <w:t>1,29</w:t>
            </w:r>
          </w:p>
        </w:tc>
        <w:tc>
          <w:tcPr>
            <w:tcW w:w="644" w:type="pct"/>
          </w:tcPr>
          <w:p w14:paraId="4BD96625" w14:textId="6702A3C3" w:rsidR="00F07A23" w:rsidRPr="00D40429" w:rsidRDefault="00F07A23" w:rsidP="00F07A23">
            <w:pPr>
              <w:jc w:val="right"/>
              <w:rPr>
                <w:sz w:val="20"/>
                <w:szCs w:val="20"/>
              </w:rPr>
            </w:pPr>
            <w:r>
              <w:rPr>
                <w:sz w:val="20"/>
                <w:szCs w:val="20"/>
              </w:rPr>
              <w:t>0,00</w:t>
            </w:r>
          </w:p>
        </w:tc>
        <w:tc>
          <w:tcPr>
            <w:tcW w:w="644" w:type="pct"/>
          </w:tcPr>
          <w:p w14:paraId="6E3072AE" w14:textId="1D6FC28D" w:rsidR="00F07A23" w:rsidRPr="00D40429" w:rsidRDefault="00F07A23" w:rsidP="00F07A23">
            <w:pPr>
              <w:jc w:val="right"/>
              <w:rPr>
                <w:sz w:val="20"/>
                <w:szCs w:val="20"/>
              </w:rPr>
            </w:pPr>
            <w:r>
              <w:rPr>
                <w:sz w:val="20"/>
                <w:szCs w:val="20"/>
              </w:rPr>
              <w:t>0,00</w:t>
            </w:r>
          </w:p>
        </w:tc>
        <w:tc>
          <w:tcPr>
            <w:tcW w:w="834" w:type="pct"/>
          </w:tcPr>
          <w:p w14:paraId="53AC63DD" w14:textId="0FAA9575" w:rsidR="00F07A23" w:rsidRPr="00D40429" w:rsidRDefault="00F07A23" w:rsidP="00F07A23">
            <w:pPr>
              <w:jc w:val="right"/>
              <w:rPr>
                <w:sz w:val="20"/>
                <w:szCs w:val="20"/>
              </w:rPr>
            </w:pPr>
            <w:r>
              <w:rPr>
                <w:sz w:val="20"/>
                <w:szCs w:val="20"/>
              </w:rPr>
              <w:t>1,29</w:t>
            </w:r>
          </w:p>
        </w:tc>
      </w:tr>
      <w:tr w:rsidR="00F07A23" w:rsidRPr="00D40429" w14:paraId="299254E0" w14:textId="77777777" w:rsidTr="002A7CD7">
        <w:trPr>
          <w:trHeight w:val="264"/>
        </w:trPr>
        <w:tc>
          <w:tcPr>
            <w:tcW w:w="813" w:type="pct"/>
            <w:vMerge/>
            <w:vAlign w:val="center"/>
            <w:hideMark/>
          </w:tcPr>
          <w:p w14:paraId="212AFA21" w14:textId="77777777" w:rsidR="00F07A23" w:rsidRPr="00D40429" w:rsidRDefault="00F07A23" w:rsidP="00F07A23">
            <w:pPr>
              <w:rPr>
                <w:sz w:val="20"/>
                <w:szCs w:val="20"/>
                <w:lang w:val="en-US"/>
              </w:rPr>
            </w:pPr>
          </w:p>
        </w:tc>
        <w:tc>
          <w:tcPr>
            <w:tcW w:w="1421" w:type="pct"/>
            <w:hideMark/>
          </w:tcPr>
          <w:p w14:paraId="08CA7D50" w14:textId="1B05FB38" w:rsidR="00F07A23" w:rsidRPr="00D40429" w:rsidRDefault="00F07A23" w:rsidP="00F07A23">
            <w:pPr>
              <w:jc w:val="left"/>
              <w:rPr>
                <w:sz w:val="20"/>
                <w:szCs w:val="20"/>
              </w:rPr>
            </w:pPr>
            <w:r>
              <w:rPr>
                <w:sz w:val="20"/>
                <w:szCs w:val="20"/>
              </w:rPr>
              <w:t>Financement ($ US)</w:t>
            </w:r>
          </w:p>
        </w:tc>
        <w:tc>
          <w:tcPr>
            <w:tcW w:w="644" w:type="pct"/>
          </w:tcPr>
          <w:p w14:paraId="5B3617D0" w14:textId="29A3DCF4" w:rsidR="00F07A23" w:rsidRPr="00D40429" w:rsidRDefault="00F07A23" w:rsidP="00F07A23">
            <w:pPr>
              <w:jc w:val="right"/>
              <w:rPr>
                <w:sz w:val="20"/>
                <w:szCs w:val="20"/>
              </w:rPr>
            </w:pPr>
            <w:r>
              <w:rPr>
                <w:sz w:val="20"/>
                <w:szCs w:val="20"/>
              </w:rPr>
              <w:t>22 470</w:t>
            </w:r>
          </w:p>
        </w:tc>
        <w:tc>
          <w:tcPr>
            <w:tcW w:w="644" w:type="pct"/>
          </w:tcPr>
          <w:p w14:paraId="453C77C7" w14:textId="0E6039B6" w:rsidR="00F07A23" w:rsidRPr="00D40429" w:rsidRDefault="00F07A23" w:rsidP="00F07A23">
            <w:pPr>
              <w:jc w:val="right"/>
              <w:rPr>
                <w:sz w:val="20"/>
                <w:szCs w:val="20"/>
              </w:rPr>
            </w:pPr>
            <w:r>
              <w:rPr>
                <w:sz w:val="20"/>
                <w:szCs w:val="20"/>
              </w:rPr>
              <w:t>0</w:t>
            </w:r>
          </w:p>
        </w:tc>
        <w:tc>
          <w:tcPr>
            <w:tcW w:w="644" w:type="pct"/>
          </w:tcPr>
          <w:p w14:paraId="3BCBF8BE" w14:textId="638758E3" w:rsidR="00F07A23" w:rsidRPr="00D40429" w:rsidRDefault="00F07A23" w:rsidP="00F07A23">
            <w:pPr>
              <w:jc w:val="right"/>
              <w:rPr>
                <w:sz w:val="20"/>
                <w:szCs w:val="20"/>
              </w:rPr>
            </w:pPr>
            <w:r>
              <w:rPr>
                <w:sz w:val="20"/>
                <w:szCs w:val="20"/>
              </w:rPr>
              <w:t>0</w:t>
            </w:r>
          </w:p>
        </w:tc>
        <w:tc>
          <w:tcPr>
            <w:tcW w:w="834" w:type="pct"/>
          </w:tcPr>
          <w:p w14:paraId="1B1256A2" w14:textId="58280EA4" w:rsidR="00F07A23" w:rsidRPr="00D40429" w:rsidRDefault="00F07A23" w:rsidP="00F07A23">
            <w:pPr>
              <w:jc w:val="right"/>
              <w:rPr>
                <w:sz w:val="20"/>
                <w:szCs w:val="20"/>
              </w:rPr>
            </w:pPr>
            <w:r>
              <w:rPr>
                <w:sz w:val="20"/>
                <w:szCs w:val="20"/>
              </w:rPr>
              <w:t>22 470</w:t>
            </w:r>
          </w:p>
        </w:tc>
      </w:tr>
    </w:tbl>
    <w:p w14:paraId="36B0632C" w14:textId="77777777" w:rsidR="00EA598B" w:rsidRPr="00D40429" w:rsidRDefault="00EA598B" w:rsidP="00EA598B">
      <w:pPr>
        <w:jc w:val="left"/>
        <w:rPr>
          <w:sz w:val="18"/>
          <w:szCs w:val="18"/>
        </w:rPr>
      </w:pPr>
    </w:p>
    <w:tbl>
      <w:tblPr>
        <w:tblStyle w:val="Grigliatabella"/>
        <w:tblW w:w="11341" w:type="dxa"/>
        <w:tblInd w:w="-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267"/>
        <w:gridCol w:w="1136"/>
        <w:gridCol w:w="1460"/>
        <w:gridCol w:w="1022"/>
        <w:gridCol w:w="1022"/>
        <w:gridCol w:w="1022"/>
        <w:gridCol w:w="1022"/>
        <w:gridCol w:w="1022"/>
        <w:gridCol w:w="1368"/>
      </w:tblGrid>
      <w:tr w:rsidR="00931AE7" w:rsidRPr="00D40429" w14:paraId="55F41E4F" w14:textId="77777777" w:rsidTr="00964958">
        <w:trPr>
          <w:trHeight w:val="286"/>
        </w:trPr>
        <w:tc>
          <w:tcPr>
            <w:tcW w:w="4863" w:type="dxa"/>
            <w:gridSpan w:val="3"/>
            <w:tcBorders>
              <w:top w:val="single" w:sz="2" w:space="0" w:color="auto"/>
              <w:left w:val="single" w:sz="2" w:space="0" w:color="auto"/>
              <w:bottom w:val="single" w:sz="2" w:space="0" w:color="auto"/>
              <w:right w:val="single" w:sz="2" w:space="0" w:color="auto"/>
            </w:tcBorders>
            <w:hideMark/>
          </w:tcPr>
          <w:p w14:paraId="6422D1C8" w14:textId="77777777" w:rsidR="00931AE7" w:rsidRPr="00D40429" w:rsidRDefault="00931AE7" w:rsidP="00D6660B">
            <w:pPr>
              <w:jc w:val="left"/>
              <w:rPr>
                <w:b/>
                <w:sz w:val="20"/>
                <w:szCs w:val="20"/>
              </w:rPr>
            </w:pPr>
            <w:r>
              <w:rPr>
                <w:b/>
                <w:sz w:val="20"/>
                <w:szCs w:val="20"/>
              </w:rPr>
              <w:t>(VI) DONNÉES DU PROJET</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6D6D813" w14:textId="77777777" w:rsidR="00931AE7" w:rsidRPr="00D40429" w:rsidRDefault="00931AE7" w:rsidP="00D6660B">
            <w:pPr>
              <w:spacing w:after="4"/>
              <w:jc w:val="center"/>
              <w:rPr>
                <w:b/>
                <w:sz w:val="20"/>
                <w:szCs w:val="20"/>
              </w:rPr>
            </w:pPr>
            <w:r>
              <w:rPr>
                <w:b/>
                <w:sz w:val="20"/>
                <w:szCs w:val="20"/>
              </w:rPr>
              <w:t>2021</w:t>
            </w:r>
          </w:p>
        </w:tc>
        <w:tc>
          <w:tcPr>
            <w:tcW w:w="1022" w:type="dxa"/>
            <w:tcBorders>
              <w:top w:val="single" w:sz="2" w:space="0" w:color="auto"/>
              <w:left w:val="single" w:sz="2" w:space="0" w:color="auto"/>
              <w:bottom w:val="single" w:sz="2" w:space="0" w:color="auto"/>
              <w:right w:val="single" w:sz="2" w:space="0" w:color="auto"/>
            </w:tcBorders>
            <w:vAlign w:val="center"/>
            <w:hideMark/>
          </w:tcPr>
          <w:p w14:paraId="1B2C1264" w14:textId="77777777" w:rsidR="00931AE7" w:rsidRPr="00D40429" w:rsidRDefault="00931AE7" w:rsidP="00D6660B">
            <w:pPr>
              <w:spacing w:after="4"/>
              <w:jc w:val="center"/>
              <w:rPr>
                <w:b/>
                <w:sz w:val="20"/>
                <w:szCs w:val="20"/>
              </w:rPr>
            </w:pPr>
            <w:r>
              <w:rPr>
                <w:b/>
                <w:sz w:val="20"/>
                <w:szCs w:val="20"/>
              </w:rPr>
              <w:t>2022</w:t>
            </w:r>
          </w:p>
        </w:tc>
        <w:tc>
          <w:tcPr>
            <w:tcW w:w="1022" w:type="dxa"/>
            <w:tcBorders>
              <w:top w:val="single" w:sz="2" w:space="0" w:color="auto"/>
              <w:left w:val="single" w:sz="2" w:space="0" w:color="auto"/>
              <w:bottom w:val="single" w:sz="2" w:space="0" w:color="auto"/>
              <w:right w:val="single" w:sz="2" w:space="0" w:color="auto"/>
            </w:tcBorders>
            <w:vAlign w:val="center"/>
            <w:hideMark/>
          </w:tcPr>
          <w:p w14:paraId="04CA56BB" w14:textId="77777777" w:rsidR="00931AE7" w:rsidRPr="00D40429" w:rsidRDefault="00931AE7" w:rsidP="00D6660B">
            <w:pPr>
              <w:spacing w:after="4"/>
              <w:jc w:val="center"/>
              <w:rPr>
                <w:b/>
                <w:sz w:val="20"/>
                <w:szCs w:val="20"/>
              </w:rPr>
            </w:pPr>
            <w:r>
              <w:rPr>
                <w:b/>
                <w:sz w:val="20"/>
                <w:szCs w:val="20"/>
              </w:rPr>
              <w:t>2023</w:t>
            </w:r>
          </w:p>
        </w:tc>
        <w:tc>
          <w:tcPr>
            <w:tcW w:w="1022" w:type="dxa"/>
            <w:tcBorders>
              <w:top w:val="single" w:sz="2" w:space="0" w:color="auto"/>
              <w:left w:val="single" w:sz="2" w:space="0" w:color="auto"/>
              <w:bottom w:val="single" w:sz="2" w:space="0" w:color="auto"/>
              <w:right w:val="single" w:sz="2" w:space="0" w:color="auto"/>
            </w:tcBorders>
            <w:vAlign w:val="center"/>
            <w:hideMark/>
          </w:tcPr>
          <w:p w14:paraId="616DF396" w14:textId="77777777" w:rsidR="00931AE7" w:rsidRPr="00D40429" w:rsidRDefault="00931AE7" w:rsidP="00D6660B">
            <w:pPr>
              <w:spacing w:after="4"/>
              <w:jc w:val="center"/>
              <w:rPr>
                <w:b/>
                <w:sz w:val="20"/>
                <w:szCs w:val="20"/>
              </w:rPr>
            </w:pPr>
            <w:r>
              <w:rPr>
                <w:b/>
                <w:sz w:val="20"/>
                <w:szCs w:val="20"/>
              </w:rPr>
              <w:t>2024</w:t>
            </w:r>
          </w:p>
        </w:tc>
        <w:tc>
          <w:tcPr>
            <w:tcW w:w="1022" w:type="dxa"/>
            <w:tcBorders>
              <w:top w:val="single" w:sz="2" w:space="0" w:color="auto"/>
              <w:left w:val="single" w:sz="2" w:space="0" w:color="auto"/>
              <w:bottom w:val="single" w:sz="2" w:space="0" w:color="auto"/>
              <w:right w:val="single" w:sz="2" w:space="0" w:color="auto"/>
            </w:tcBorders>
            <w:vAlign w:val="center"/>
            <w:hideMark/>
          </w:tcPr>
          <w:p w14:paraId="5226AF69" w14:textId="77777777" w:rsidR="00931AE7" w:rsidRPr="00D40429" w:rsidRDefault="00931AE7" w:rsidP="00D6660B">
            <w:pPr>
              <w:spacing w:after="4"/>
              <w:jc w:val="center"/>
              <w:rPr>
                <w:b/>
                <w:sz w:val="20"/>
                <w:szCs w:val="20"/>
              </w:rPr>
            </w:pPr>
            <w:r>
              <w:rPr>
                <w:b/>
                <w:sz w:val="20"/>
                <w:szCs w:val="20"/>
              </w:rPr>
              <w:t>2025</w:t>
            </w:r>
          </w:p>
        </w:tc>
        <w:tc>
          <w:tcPr>
            <w:tcW w:w="1368" w:type="dxa"/>
            <w:tcBorders>
              <w:top w:val="single" w:sz="2" w:space="0" w:color="auto"/>
              <w:left w:val="single" w:sz="2" w:space="0" w:color="auto"/>
              <w:bottom w:val="single" w:sz="2" w:space="0" w:color="auto"/>
              <w:right w:val="single" w:sz="2" w:space="0" w:color="auto"/>
            </w:tcBorders>
            <w:vAlign w:val="center"/>
            <w:hideMark/>
          </w:tcPr>
          <w:p w14:paraId="31243AE5" w14:textId="77777777" w:rsidR="00931AE7" w:rsidRPr="00D40429" w:rsidRDefault="00931AE7" w:rsidP="00D6660B">
            <w:pPr>
              <w:spacing w:after="4"/>
              <w:jc w:val="center"/>
              <w:rPr>
                <w:b/>
                <w:sz w:val="20"/>
                <w:szCs w:val="20"/>
              </w:rPr>
            </w:pPr>
            <w:r>
              <w:rPr>
                <w:b/>
                <w:sz w:val="20"/>
                <w:szCs w:val="20"/>
              </w:rPr>
              <w:t>Total</w:t>
            </w:r>
          </w:p>
        </w:tc>
      </w:tr>
      <w:tr w:rsidR="00931AE7" w:rsidRPr="00D40429" w14:paraId="3B23DD7F" w14:textId="77777777" w:rsidTr="00964958">
        <w:trPr>
          <w:trHeight w:val="35"/>
        </w:trPr>
        <w:tc>
          <w:tcPr>
            <w:tcW w:w="4863" w:type="dxa"/>
            <w:gridSpan w:val="3"/>
            <w:tcBorders>
              <w:top w:val="single" w:sz="2" w:space="0" w:color="auto"/>
              <w:left w:val="single" w:sz="2" w:space="0" w:color="auto"/>
              <w:bottom w:val="single" w:sz="2" w:space="0" w:color="auto"/>
              <w:right w:val="single" w:sz="2" w:space="0" w:color="auto"/>
            </w:tcBorders>
            <w:hideMark/>
          </w:tcPr>
          <w:p w14:paraId="113BA29B" w14:textId="77777777" w:rsidR="00931AE7" w:rsidRPr="00D40429" w:rsidRDefault="00931AE7" w:rsidP="00D6660B">
            <w:pPr>
              <w:spacing w:afterLines="20" w:after="48"/>
              <w:jc w:val="left"/>
              <w:rPr>
                <w:sz w:val="20"/>
                <w:szCs w:val="20"/>
              </w:rPr>
            </w:pPr>
            <w:r>
              <w:rPr>
                <w:sz w:val="20"/>
                <w:szCs w:val="20"/>
              </w:rPr>
              <w:t>Limites de consommation du Protocole de Montréal (tonnes PAO)</w:t>
            </w:r>
          </w:p>
        </w:tc>
        <w:tc>
          <w:tcPr>
            <w:tcW w:w="1022" w:type="dxa"/>
            <w:tcBorders>
              <w:top w:val="single" w:sz="2" w:space="0" w:color="auto"/>
              <w:left w:val="single" w:sz="2" w:space="0" w:color="auto"/>
              <w:bottom w:val="single" w:sz="2" w:space="0" w:color="auto"/>
              <w:right w:val="single" w:sz="2" w:space="0" w:color="auto"/>
            </w:tcBorders>
          </w:tcPr>
          <w:p w14:paraId="37D9C8FC" w14:textId="77777777" w:rsidR="00931AE7" w:rsidRPr="00D40429" w:rsidRDefault="00931AE7" w:rsidP="00D6660B">
            <w:pPr>
              <w:spacing w:afterLines="20" w:after="48"/>
              <w:jc w:val="right"/>
              <w:rPr>
                <w:sz w:val="20"/>
                <w:szCs w:val="20"/>
              </w:rPr>
            </w:pPr>
            <w:r>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3900399F" w14:textId="77777777" w:rsidR="00931AE7" w:rsidRPr="00D40429" w:rsidRDefault="00931AE7" w:rsidP="00D6660B">
            <w:pPr>
              <w:spacing w:afterLines="20" w:after="48"/>
              <w:jc w:val="right"/>
              <w:rPr>
                <w:sz w:val="20"/>
                <w:szCs w:val="20"/>
              </w:rPr>
            </w:pPr>
            <w:r>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8AF6CF1" w14:textId="77777777" w:rsidR="00931AE7" w:rsidRPr="00D40429" w:rsidRDefault="00931AE7" w:rsidP="00D6660B">
            <w:pPr>
              <w:spacing w:afterLines="20" w:after="48"/>
              <w:jc w:val="right"/>
              <w:rPr>
                <w:sz w:val="20"/>
                <w:szCs w:val="20"/>
              </w:rPr>
            </w:pPr>
            <w:r>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CF32DC5" w14:textId="77777777" w:rsidR="00931AE7" w:rsidRPr="00D40429" w:rsidRDefault="00931AE7" w:rsidP="00D6660B">
            <w:pPr>
              <w:spacing w:afterLines="20" w:after="48"/>
              <w:jc w:val="right"/>
              <w:rPr>
                <w:sz w:val="20"/>
                <w:szCs w:val="20"/>
              </w:rPr>
            </w:pPr>
            <w:r>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82FBEB2" w14:textId="77777777" w:rsidR="00931AE7" w:rsidRPr="00D40429" w:rsidRDefault="00931AE7" w:rsidP="00D6660B">
            <w:pPr>
              <w:spacing w:afterLines="20" w:after="48"/>
              <w:jc w:val="right"/>
              <w:rPr>
                <w:sz w:val="20"/>
                <w:szCs w:val="20"/>
              </w:rPr>
            </w:pPr>
            <w:r>
              <w:rPr>
                <w:sz w:val="20"/>
                <w:szCs w:val="20"/>
              </w:rPr>
              <w:t>16,87</w:t>
            </w:r>
          </w:p>
        </w:tc>
        <w:tc>
          <w:tcPr>
            <w:tcW w:w="1368" w:type="dxa"/>
            <w:tcBorders>
              <w:top w:val="single" w:sz="2" w:space="0" w:color="auto"/>
              <w:left w:val="single" w:sz="2" w:space="0" w:color="auto"/>
              <w:bottom w:val="single" w:sz="2" w:space="0" w:color="auto"/>
              <w:right w:val="single" w:sz="2" w:space="0" w:color="auto"/>
            </w:tcBorders>
            <w:hideMark/>
          </w:tcPr>
          <w:p w14:paraId="5AB3B497" w14:textId="77777777" w:rsidR="00931AE7" w:rsidRPr="00D40429" w:rsidRDefault="00931AE7" w:rsidP="00D6660B">
            <w:pPr>
              <w:spacing w:afterLines="20" w:after="48"/>
              <w:jc w:val="right"/>
              <w:rPr>
                <w:sz w:val="20"/>
                <w:szCs w:val="20"/>
              </w:rPr>
            </w:pPr>
            <w:r>
              <w:rPr>
                <w:sz w:val="20"/>
                <w:szCs w:val="20"/>
              </w:rPr>
              <w:t>s. o.</w:t>
            </w:r>
          </w:p>
        </w:tc>
      </w:tr>
      <w:tr w:rsidR="00931AE7" w:rsidRPr="00D40429" w14:paraId="5796858D" w14:textId="77777777" w:rsidTr="00964958">
        <w:trPr>
          <w:trHeight w:val="201"/>
        </w:trPr>
        <w:tc>
          <w:tcPr>
            <w:tcW w:w="4863" w:type="dxa"/>
            <w:gridSpan w:val="3"/>
            <w:tcBorders>
              <w:top w:val="single" w:sz="2" w:space="0" w:color="auto"/>
              <w:left w:val="single" w:sz="2" w:space="0" w:color="auto"/>
              <w:bottom w:val="single" w:sz="2" w:space="0" w:color="auto"/>
              <w:right w:val="single" w:sz="2" w:space="0" w:color="auto"/>
            </w:tcBorders>
            <w:hideMark/>
          </w:tcPr>
          <w:p w14:paraId="69F52667" w14:textId="77777777" w:rsidR="00931AE7" w:rsidRPr="00D40429" w:rsidRDefault="00931AE7" w:rsidP="00D6660B">
            <w:pPr>
              <w:spacing w:afterLines="20" w:after="48"/>
              <w:jc w:val="left"/>
              <w:rPr>
                <w:sz w:val="20"/>
                <w:szCs w:val="20"/>
              </w:rPr>
            </w:pPr>
            <w:r>
              <w:rPr>
                <w:sz w:val="20"/>
                <w:szCs w:val="20"/>
              </w:rPr>
              <w:t>Consommation maximale autorisée (tonnes PAO)</w:t>
            </w:r>
          </w:p>
        </w:tc>
        <w:tc>
          <w:tcPr>
            <w:tcW w:w="1022" w:type="dxa"/>
            <w:tcBorders>
              <w:top w:val="single" w:sz="2" w:space="0" w:color="auto"/>
              <w:left w:val="single" w:sz="2" w:space="0" w:color="auto"/>
              <w:bottom w:val="single" w:sz="2" w:space="0" w:color="auto"/>
              <w:right w:val="single" w:sz="2" w:space="0" w:color="auto"/>
            </w:tcBorders>
          </w:tcPr>
          <w:p w14:paraId="7CCF3261" w14:textId="77777777" w:rsidR="00931AE7" w:rsidRPr="00D40429" w:rsidRDefault="00931AE7" w:rsidP="00D6660B">
            <w:pPr>
              <w:spacing w:afterLines="20" w:after="48"/>
              <w:jc w:val="right"/>
              <w:rPr>
                <w:sz w:val="20"/>
                <w:szCs w:val="20"/>
              </w:rPr>
            </w:pPr>
            <w:r>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33CCA1D5" w14:textId="77777777" w:rsidR="00931AE7" w:rsidRPr="00D40429" w:rsidRDefault="00931AE7" w:rsidP="00D6660B">
            <w:pPr>
              <w:spacing w:afterLines="20" w:after="48"/>
              <w:jc w:val="right"/>
              <w:rPr>
                <w:sz w:val="20"/>
                <w:szCs w:val="20"/>
              </w:rPr>
            </w:pPr>
            <w:r>
              <w:rPr>
                <w:sz w:val="20"/>
                <w:szCs w:val="20"/>
              </w:rPr>
              <w:t>30,45</w:t>
            </w:r>
          </w:p>
        </w:tc>
        <w:tc>
          <w:tcPr>
            <w:tcW w:w="1022" w:type="dxa"/>
            <w:tcBorders>
              <w:top w:val="single" w:sz="2" w:space="0" w:color="auto"/>
              <w:left w:val="single" w:sz="2" w:space="0" w:color="auto"/>
              <w:bottom w:val="single" w:sz="2" w:space="0" w:color="auto"/>
              <w:right w:val="single" w:sz="2" w:space="0" w:color="auto"/>
            </w:tcBorders>
          </w:tcPr>
          <w:p w14:paraId="4C69461D" w14:textId="77777777" w:rsidR="00931AE7" w:rsidRPr="00D40429" w:rsidRDefault="00931AE7" w:rsidP="00D6660B">
            <w:pPr>
              <w:spacing w:afterLines="20" w:after="48"/>
              <w:jc w:val="right"/>
              <w:rPr>
                <w:sz w:val="20"/>
                <w:szCs w:val="20"/>
              </w:rPr>
            </w:pPr>
            <w:r>
              <w:rPr>
                <w:sz w:val="20"/>
                <w:szCs w:val="20"/>
              </w:rPr>
              <w:t>30,00</w:t>
            </w:r>
          </w:p>
        </w:tc>
        <w:tc>
          <w:tcPr>
            <w:tcW w:w="1022" w:type="dxa"/>
            <w:tcBorders>
              <w:top w:val="single" w:sz="2" w:space="0" w:color="auto"/>
              <w:left w:val="single" w:sz="2" w:space="0" w:color="auto"/>
              <w:bottom w:val="single" w:sz="2" w:space="0" w:color="auto"/>
              <w:right w:val="single" w:sz="2" w:space="0" w:color="auto"/>
            </w:tcBorders>
          </w:tcPr>
          <w:p w14:paraId="7DB3A94A" w14:textId="77777777" w:rsidR="00931AE7" w:rsidRPr="00D40429" w:rsidRDefault="00931AE7" w:rsidP="00D6660B">
            <w:pPr>
              <w:spacing w:afterLines="20" w:after="48"/>
              <w:jc w:val="right"/>
              <w:rPr>
                <w:sz w:val="20"/>
                <w:szCs w:val="20"/>
              </w:rPr>
            </w:pPr>
            <w:r>
              <w:rPr>
                <w:sz w:val="20"/>
                <w:szCs w:val="20"/>
              </w:rPr>
              <w:t>29,50</w:t>
            </w:r>
          </w:p>
        </w:tc>
        <w:tc>
          <w:tcPr>
            <w:tcW w:w="1022" w:type="dxa"/>
            <w:tcBorders>
              <w:top w:val="single" w:sz="2" w:space="0" w:color="auto"/>
              <w:left w:val="single" w:sz="2" w:space="0" w:color="auto"/>
              <w:bottom w:val="single" w:sz="2" w:space="0" w:color="auto"/>
              <w:right w:val="single" w:sz="2" w:space="0" w:color="auto"/>
            </w:tcBorders>
          </w:tcPr>
          <w:p w14:paraId="70726528" w14:textId="77777777" w:rsidR="00931AE7" w:rsidRPr="00D40429" w:rsidRDefault="00931AE7" w:rsidP="00D6660B">
            <w:pPr>
              <w:spacing w:afterLines="20" w:after="48"/>
              <w:jc w:val="right"/>
              <w:rPr>
                <w:sz w:val="20"/>
                <w:szCs w:val="20"/>
              </w:rPr>
            </w:pPr>
            <w:r>
              <w:rPr>
                <w:sz w:val="20"/>
                <w:szCs w:val="20"/>
              </w:rPr>
              <w:t>13,75</w:t>
            </w:r>
          </w:p>
        </w:tc>
        <w:tc>
          <w:tcPr>
            <w:tcW w:w="1368" w:type="dxa"/>
            <w:tcBorders>
              <w:top w:val="single" w:sz="2" w:space="0" w:color="auto"/>
              <w:left w:val="single" w:sz="2" w:space="0" w:color="auto"/>
              <w:bottom w:val="single" w:sz="2" w:space="0" w:color="auto"/>
              <w:right w:val="single" w:sz="2" w:space="0" w:color="auto"/>
            </w:tcBorders>
            <w:hideMark/>
          </w:tcPr>
          <w:p w14:paraId="6F9F914F" w14:textId="77777777" w:rsidR="00931AE7" w:rsidRPr="00D40429" w:rsidRDefault="00931AE7" w:rsidP="00D6660B">
            <w:pPr>
              <w:spacing w:afterLines="20" w:after="48"/>
              <w:jc w:val="right"/>
              <w:rPr>
                <w:sz w:val="20"/>
                <w:szCs w:val="20"/>
              </w:rPr>
            </w:pPr>
            <w:r>
              <w:rPr>
                <w:sz w:val="20"/>
                <w:szCs w:val="20"/>
              </w:rPr>
              <w:t>s. o.</w:t>
            </w:r>
          </w:p>
        </w:tc>
      </w:tr>
      <w:tr w:rsidR="00931AE7" w:rsidRPr="00D40429" w14:paraId="0B478616" w14:textId="77777777" w:rsidTr="00964958">
        <w:trPr>
          <w:trHeight w:val="237"/>
        </w:trPr>
        <w:tc>
          <w:tcPr>
            <w:tcW w:w="2267" w:type="dxa"/>
            <w:vMerge w:val="restart"/>
            <w:tcBorders>
              <w:top w:val="single" w:sz="2" w:space="0" w:color="auto"/>
              <w:left w:val="single" w:sz="4" w:space="0" w:color="auto"/>
              <w:bottom w:val="single" w:sz="4" w:space="0" w:color="auto"/>
              <w:right w:val="single" w:sz="4" w:space="0" w:color="auto"/>
            </w:tcBorders>
            <w:vAlign w:val="center"/>
            <w:hideMark/>
          </w:tcPr>
          <w:p w14:paraId="448E43D2" w14:textId="0FEE75F4" w:rsidR="00931AE7" w:rsidRPr="00D40429" w:rsidRDefault="00931AE7" w:rsidP="00D6660B">
            <w:pPr>
              <w:spacing w:afterLines="20" w:after="48"/>
              <w:jc w:val="left"/>
              <w:rPr>
                <w:sz w:val="20"/>
                <w:szCs w:val="20"/>
              </w:rPr>
            </w:pPr>
            <w:r>
              <w:rPr>
                <w:sz w:val="20"/>
                <w:szCs w:val="20"/>
              </w:rPr>
              <w:t>Fonds approuvés en principe ($</w:t>
            </w:r>
            <w:r w:rsidR="00E31DF1">
              <w:rPr>
                <w:sz w:val="20"/>
                <w:szCs w:val="20"/>
              </w:rPr>
              <w:t> </w:t>
            </w:r>
            <w:r>
              <w:rPr>
                <w:sz w:val="20"/>
                <w:szCs w:val="20"/>
              </w:rPr>
              <w:t>US)</w:t>
            </w:r>
          </w:p>
        </w:tc>
        <w:tc>
          <w:tcPr>
            <w:tcW w:w="1136" w:type="dxa"/>
            <w:vMerge w:val="restart"/>
            <w:tcBorders>
              <w:top w:val="single" w:sz="2" w:space="0" w:color="auto"/>
              <w:left w:val="single" w:sz="4" w:space="0" w:color="auto"/>
              <w:bottom w:val="single" w:sz="4" w:space="0" w:color="auto"/>
              <w:right w:val="single" w:sz="4" w:space="0" w:color="auto"/>
            </w:tcBorders>
            <w:vAlign w:val="center"/>
            <w:hideMark/>
          </w:tcPr>
          <w:p w14:paraId="20CCA1B6" w14:textId="77777777" w:rsidR="00931AE7" w:rsidRPr="00D40429" w:rsidRDefault="00931AE7" w:rsidP="00D6660B">
            <w:pPr>
              <w:spacing w:afterLines="20" w:after="48"/>
              <w:ind w:left="-196" w:right="-224"/>
              <w:jc w:val="center"/>
              <w:rPr>
                <w:sz w:val="20"/>
                <w:szCs w:val="20"/>
              </w:rPr>
            </w:pPr>
            <w:r>
              <w:rPr>
                <w:color w:val="000000" w:themeColor="text1"/>
                <w:sz w:val="20"/>
                <w:szCs w:val="20"/>
              </w:rPr>
              <w:t>PNUE</w:t>
            </w:r>
          </w:p>
        </w:tc>
        <w:tc>
          <w:tcPr>
            <w:tcW w:w="1460" w:type="dxa"/>
            <w:tcBorders>
              <w:top w:val="single" w:sz="2" w:space="0" w:color="auto"/>
              <w:left w:val="single" w:sz="4" w:space="0" w:color="auto"/>
              <w:bottom w:val="single" w:sz="4" w:space="0" w:color="auto"/>
              <w:right w:val="single" w:sz="4" w:space="0" w:color="auto"/>
            </w:tcBorders>
            <w:hideMark/>
          </w:tcPr>
          <w:p w14:paraId="65649576" w14:textId="77777777" w:rsidR="00931AE7" w:rsidRPr="00D40429" w:rsidRDefault="00931AE7" w:rsidP="00D6660B">
            <w:pPr>
              <w:spacing w:afterLines="20" w:after="48"/>
              <w:jc w:val="left"/>
              <w:rPr>
                <w:sz w:val="20"/>
                <w:szCs w:val="20"/>
              </w:rPr>
            </w:pPr>
            <w:r>
              <w:rPr>
                <w:sz w:val="20"/>
                <w:szCs w:val="20"/>
              </w:rPr>
              <w:t>Coûts du projet</w:t>
            </w:r>
          </w:p>
        </w:tc>
        <w:tc>
          <w:tcPr>
            <w:tcW w:w="1022" w:type="dxa"/>
            <w:tcBorders>
              <w:top w:val="single" w:sz="2" w:space="0" w:color="auto"/>
              <w:left w:val="single" w:sz="4" w:space="0" w:color="auto"/>
              <w:bottom w:val="single" w:sz="4" w:space="0" w:color="auto"/>
              <w:right w:val="single" w:sz="4" w:space="0" w:color="auto"/>
            </w:tcBorders>
          </w:tcPr>
          <w:p w14:paraId="5EC6C19B" w14:textId="77777777" w:rsidR="00931AE7" w:rsidRPr="00D40429" w:rsidRDefault="00931AE7" w:rsidP="00D6660B">
            <w:pPr>
              <w:spacing w:afterLines="20" w:after="48"/>
              <w:jc w:val="right"/>
              <w:rPr>
                <w:sz w:val="20"/>
                <w:szCs w:val="20"/>
              </w:rPr>
            </w:pPr>
            <w:bookmarkStart w:id="1" w:name="_Hlk147243805"/>
            <w:r>
              <w:rPr>
                <w:sz w:val="20"/>
                <w:szCs w:val="20"/>
              </w:rPr>
              <w:t>249 500</w:t>
            </w:r>
            <w:bookmarkEnd w:id="1"/>
          </w:p>
        </w:tc>
        <w:tc>
          <w:tcPr>
            <w:tcW w:w="1022" w:type="dxa"/>
            <w:tcBorders>
              <w:top w:val="single" w:sz="2" w:space="0" w:color="auto"/>
              <w:left w:val="single" w:sz="4" w:space="0" w:color="auto"/>
              <w:bottom w:val="single" w:sz="4" w:space="0" w:color="auto"/>
              <w:right w:val="single" w:sz="4" w:space="0" w:color="auto"/>
            </w:tcBorders>
          </w:tcPr>
          <w:p w14:paraId="09FE4D2D" w14:textId="77777777" w:rsidR="00931AE7" w:rsidRPr="00D40429" w:rsidRDefault="00931AE7" w:rsidP="00D6660B">
            <w:pPr>
              <w:spacing w:afterLines="20" w:after="48"/>
              <w:jc w:val="right"/>
              <w:rPr>
                <w:sz w:val="20"/>
                <w:szCs w:val="20"/>
              </w:rPr>
            </w:pPr>
            <w:r>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7BE3601B" w14:textId="77777777" w:rsidR="00931AE7" w:rsidRPr="00D40429" w:rsidRDefault="00931AE7" w:rsidP="00D6660B">
            <w:pPr>
              <w:spacing w:afterLines="20" w:after="48"/>
              <w:jc w:val="right"/>
              <w:rPr>
                <w:sz w:val="20"/>
                <w:szCs w:val="20"/>
              </w:rPr>
            </w:pPr>
            <w:r>
              <w:rPr>
                <w:sz w:val="20"/>
                <w:szCs w:val="20"/>
              </w:rPr>
              <w:t>79 500</w:t>
            </w:r>
          </w:p>
        </w:tc>
        <w:tc>
          <w:tcPr>
            <w:tcW w:w="1022" w:type="dxa"/>
            <w:tcBorders>
              <w:top w:val="single" w:sz="2" w:space="0" w:color="auto"/>
              <w:left w:val="single" w:sz="4" w:space="0" w:color="auto"/>
              <w:bottom w:val="single" w:sz="4" w:space="0" w:color="auto"/>
              <w:right w:val="single" w:sz="4" w:space="0" w:color="auto"/>
            </w:tcBorders>
          </w:tcPr>
          <w:p w14:paraId="5CEAE4D1" w14:textId="77777777" w:rsidR="00931AE7" w:rsidRPr="00D40429" w:rsidRDefault="00931AE7" w:rsidP="00D6660B">
            <w:pPr>
              <w:spacing w:afterLines="20" w:after="48"/>
              <w:jc w:val="right"/>
              <w:rPr>
                <w:sz w:val="20"/>
                <w:szCs w:val="20"/>
              </w:rPr>
            </w:pPr>
            <w:r>
              <w:rPr>
                <w:sz w:val="20"/>
                <w:szCs w:val="20"/>
              </w:rPr>
              <w:t>55 000</w:t>
            </w:r>
          </w:p>
        </w:tc>
        <w:tc>
          <w:tcPr>
            <w:tcW w:w="1022" w:type="dxa"/>
            <w:tcBorders>
              <w:top w:val="single" w:sz="2" w:space="0" w:color="auto"/>
              <w:left w:val="single" w:sz="4" w:space="0" w:color="auto"/>
              <w:bottom w:val="single" w:sz="4" w:space="0" w:color="auto"/>
              <w:right w:val="single" w:sz="4" w:space="0" w:color="auto"/>
            </w:tcBorders>
          </w:tcPr>
          <w:p w14:paraId="3A590D41" w14:textId="77777777" w:rsidR="00931AE7" w:rsidRPr="00D40429" w:rsidRDefault="00931AE7" w:rsidP="00D6660B">
            <w:pPr>
              <w:spacing w:afterLines="20" w:after="48"/>
              <w:jc w:val="right"/>
              <w:rPr>
                <w:sz w:val="20"/>
                <w:szCs w:val="20"/>
              </w:rPr>
            </w:pPr>
            <w:r>
              <w:rPr>
                <w:sz w:val="20"/>
                <w:szCs w:val="20"/>
              </w:rPr>
              <w:t>0</w:t>
            </w:r>
          </w:p>
        </w:tc>
        <w:tc>
          <w:tcPr>
            <w:tcW w:w="1368" w:type="dxa"/>
            <w:tcBorders>
              <w:top w:val="single" w:sz="2" w:space="0" w:color="auto"/>
              <w:left w:val="single" w:sz="4" w:space="0" w:color="auto"/>
              <w:bottom w:val="single" w:sz="4" w:space="0" w:color="auto"/>
              <w:right w:val="single" w:sz="4" w:space="0" w:color="auto"/>
            </w:tcBorders>
          </w:tcPr>
          <w:p w14:paraId="055E3C9A" w14:textId="77777777" w:rsidR="00931AE7" w:rsidRPr="00D40429" w:rsidRDefault="00931AE7" w:rsidP="00D6660B">
            <w:pPr>
              <w:spacing w:afterLines="20" w:after="48"/>
              <w:jc w:val="right"/>
              <w:rPr>
                <w:sz w:val="20"/>
                <w:szCs w:val="20"/>
              </w:rPr>
            </w:pPr>
            <w:r>
              <w:rPr>
                <w:sz w:val="20"/>
                <w:szCs w:val="20"/>
              </w:rPr>
              <w:t>384 000</w:t>
            </w:r>
          </w:p>
        </w:tc>
      </w:tr>
      <w:tr w:rsidR="00931AE7" w:rsidRPr="00D40429" w14:paraId="5E83E359" w14:textId="77777777" w:rsidTr="00964958">
        <w:trPr>
          <w:trHeight w:val="170"/>
        </w:trPr>
        <w:tc>
          <w:tcPr>
            <w:tcW w:w="2267" w:type="dxa"/>
            <w:vMerge/>
            <w:tcBorders>
              <w:top w:val="single" w:sz="4" w:space="0" w:color="auto"/>
              <w:left w:val="single" w:sz="4" w:space="0" w:color="auto"/>
              <w:bottom w:val="single" w:sz="4" w:space="0" w:color="auto"/>
              <w:right w:val="single" w:sz="4" w:space="0" w:color="auto"/>
            </w:tcBorders>
            <w:vAlign w:val="center"/>
            <w:hideMark/>
          </w:tcPr>
          <w:p w14:paraId="51EFBEED" w14:textId="77777777" w:rsidR="00931AE7" w:rsidRPr="00D40429" w:rsidRDefault="00931AE7" w:rsidP="00D6660B">
            <w:pPr>
              <w:rPr>
                <w:sz w:val="20"/>
                <w:szCs w:val="20"/>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757C6821" w14:textId="77777777" w:rsidR="00931AE7" w:rsidRPr="00D40429" w:rsidRDefault="00931AE7" w:rsidP="00D6660B">
            <w:pPr>
              <w:jc w:val="center"/>
              <w:rPr>
                <w:sz w:val="20"/>
                <w:szCs w:val="20"/>
              </w:rPr>
            </w:pPr>
          </w:p>
        </w:tc>
        <w:tc>
          <w:tcPr>
            <w:tcW w:w="1460" w:type="dxa"/>
            <w:tcBorders>
              <w:top w:val="single" w:sz="4" w:space="0" w:color="auto"/>
              <w:left w:val="single" w:sz="4" w:space="0" w:color="auto"/>
              <w:bottom w:val="single" w:sz="4" w:space="0" w:color="auto"/>
              <w:right w:val="single" w:sz="4" w:space="0" w:color="auto"/>
            </w:tcBorders>
            <w:hideMark/>
          </w:tcPr>
          <w:p w14:paraId="40B3B89E" w14:textId="77777777" w:rsidR="00931AE7" w:rsidRPr="00D40429" w:rsidRDefault="00931AE7" w:rsidP="00D6660B">
            <w:pPr>
              <w:spacing w:afterLines="20" w:after="48"/>
              <w:jc w:val="left"/>
              <w:rPr>
                <w:sz w:val="20"/>
                <w:szCs w:val="20"/>
              </w:rPr>
            </w:pPr>
            <w:r>
              <w:rPr>
                <w:sz w:val="20"/>
                <w:szCs w:val="20"/>
              </w:rPr>
              <w:t>Coûts d’appui</w:t>
            </w:r>
          </w:p>
        </w:tc>
        <w:tc>
          <w:tcPr>
            <w:tcW w:w="1022" w:type="dxa"/>
            <w:tcBorders>
              <w:top w:val="single" w:sz="4" w:space="0" w:color="auto"/>
              <w:left w:val="single" w:sz="4" w:space="0" w:color="auto"/>
              <w:bottom w:val="single" w:sz="4" w:space="0" w:color="auto"/>
              <w:right w:val="single" w:sz="4" w:space="0" w:color="auto"/>
            </w:tcBorders>
          </w:tcPr>
          <w:p w14:paraId="49BE5E57" w14:textId="77777777" w:rsidR="00931AE7" w:rsidRPr="00D40429" w:rsidRDefault="00931AE7" w:rsidP="00D6660B">
            <w:pPr>
              <w:spacing w:afterLines="20" w:after="48"/>
              <w:jc w:val="right"/>
              <w:rPr>
                <w:sz w:val="20"/>
                <w:szCs w:val="20"/>
              </w:rPr>
            </w:pPr>
            <w:r>
              <w:rPr>
                <w:sz w:val="20"/>
                <w:szCs w:val="20"/>
              </w:rPr>
              <w:t>32 435</w:t>
            </w:r>
          </w:p>
        </w:tc>
        <w:tc>
          <w:tcPr>
            <w:tcW w:w="1022" w:type="dxa"/>
            <w:tcBorders>
              <w:top w:val="single" w:sz="4" w:space="0" w:color="auto"/>
              <w:left w:val="single" w:sz="4" w:space="0" w:color="auto"/>
              <w:bottom w:val="single" w:sz="4" w:space="0" w:color="auto"/>
              <w:right w:val="single" w:sz="4" w:space="0" w:color="auto"/>
            </w:tcBorders>
          </w:tcPr>
          <w:p w14:paraId="2735FA63" w14:textId="77777777" w:rsidR="00931AE7" w:rsidRPr="00D40429" w:rsidRDefault="00931AE7" w:rsidP="00D6660B">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CD36614" w14:textId="77777777" w:rsidR="00931AE7" w:rsidRPr="00D40429" w:rsidRDefault="00931AE7" w:rsidP="00D6660B">
            <w:pPr>
              <w:spacing w:afterLines="20" w:after="48"/>
              <w:jc w:val="right"/>
              <w:rPr>
                <w:sz w:val="20"/>
                <w:szCs w:val="20"/>
              </w:rPr>
            </w:pPr>
            <w:r>
              <w:rPr>
                <w:sz w:val="20"/>
                <w:szCs w:val="20"/>
              </w:rPr>
              <w:t>10 335</w:t>
            </w:r>
          </w:p>
        </w:tc>
        <w:tc>
          <w:tcPr>
            <w:tcW w:w="1022" w:type="dxa"/>
            <w:tcBorders>
              <w:top w:val="single" w:sz="4" w:space="0" w:color="auto"/>
              <w:left w:val="single" w:sz="4" w:space="0" w:color="auto"/>
              <w:bottom w:val="single" w:sz="4" w:space="0" w:color="auto"/>
              <w:right w:val="single" w:sz="4" w:space="0" w:color="auto"/>
            </w:tcBorders>
          </w:tcPr>
          <w:p w14:paraId="34FFFD5C" w14:textId="77777777" w:rsidR="00931AE7" w:rsidRPr="00D40429" w:rsidRDefault="00931AE7" w:rsidP="00D6660B">
            <w:pPr>
              <w:spacing w:afterLines="20" w:after="48"/>
              <w:jc w:val="right"/>
              <w:rPr>
                <w:sz w:val="20"/>
                <w:szCs w:val="20"/>
              </w:rPr>
            </w:pPr>
            <w:r>
              <w:rPr>
                <w:sz w:val="20"/>
                <w:szCs w:val="20"/>
              </w:rPr>
              <w:t>7 150</w:t>
            </w:r>
          </w:p>
        </w:tc>
        <w:tc>
          <w:tcPr>
            <w:tcW w:w="1022" w:type="dxa"/>
            <w:tcBorders>
              <w:top w:val="single" w:sz="4" w:space="0" w:color="auto"/>
              <w:left w:val="single" w:sz="4" w:space="0" w:color="auto"/>
              <w:bottom w:val="single" w:sz="4" w:space="0" w:color="auto"/>
              <w:right w:val="single" w:sz="4" w:space="0" w:color="auto"/>
            </w:tcBorders>
          </w:tcPr>
          <w:p w14:paraId="5BA78212" w14:textId="77777777" w:rsidR="00931AE7" w:rsidRPr="00D40429" w:rsidRDefault="00931AE7" w:rsidP="00D6660B">
            <w:pPr>
              <w:spacing w:afterLines="20" w:after="48"/>
              <w:jc w:val="right"/>
              <w:rPr>
                <w:sz w:val="20"/>
                <w:szCs w:val="20"/>
              </w:rPr>
            </w:pPr>
            <w:r>
              <w:rPr>
                <w:sz w:val="20"/>
                <w:szCs w:val="20"/>
              </w:rPr>
              <w:t>0</w:t>
            </w:r>
          </w:p>
        </w:tc>
        <w:tc>
          <w:tcPr>
            <w:tcW w:w="1368" w:type="dxa"/>
            <w:tcBorders>
              <w:top w:val="single" w:sz="4" w:space="0" w:color="auto"/>
              <w:left w:val="single" w:sz="4" w:space="0" w:color="auto"/>
              <w:bottom w:val="single" w:sz="4" w:space="0" w:color="auto"/>
              <w:right w:val="single" w:sz="4" w:space="0" w:color="auto"/>
            </w:tcBorders>
          </w:tcPr>
          <w:p w14:paraId="4435C99A" w14:textId="77777777" w:rsidR="00931AE7" w:rsidRPr="00D40429" w:rsidRDefault="00931AE7" w:rsidP="00D6660B">
            <w:pPr>
              <w:spacing w:afterLines="20" w:after="48"/>
              <w:jc w:val="right"/>
              <w:rPr>
                <w:sz w:val="20"/>
                <w:szCs w:val="20"/>
              </w:rPr>
            </w:pPr>
            <w:r>
              <w:rPr>
                <w:sz w:val="20"/>
                <w:szCs w:val="20"/>
              </w:rPr>
              <w:t>49 920</w:t>
            </w:r>
          </w:p>
        </w:tc>
      </w:tr>
      <w:tr w:rsidR="00931AE7" w:rsidRPr="00D40429" w14:paraId="2B3D167A" w14:textId="77777777" w:rsidTr="00964958">
        <w:trPr>
          <w:trHeight w:val="258"/>
        </w:trPr>
        <w:tc>
          <w:tcPr>
            <w:tcW w:w="2267" w:type="dxa"/>
            <w:vMerge/>
            <w:tcBorders>
              <w:top w:val="single" w:sz="4" w:space="0" w:color="auto"/>
              <w:left w:val="single" w:sz="4" w:space="0" w:color="auto"/>
              <w:bottom w:val="single" w:sz="4" w:space="0" w:color="auto"/>
              <w:right w:val="single" w:sz="4" w:space="0" w:color="auto"/>
            </w:tcBorders>
            <w:vAlign w:val="center"/>
            <w:hideMark/>
          </w:tcPr>
          <w:p w14:paraId="04B5B556" w14:textId="77777777" w:rsidR="00931AE7" w:rsidRPr="00D40429" w:rsidRDefault="00931AE7" w:rsidP="00D6660B">
            <w:pPr>
              <w:rPr>
                <w:sz w:val="20"/>
                <w:szCs w:val="20"/>
              </w:rPr>
            </w:pPr>
          </w:p>
        </w:tc>
        <w:tc>
          <w:tcPr>
            <w:tcW w:w="1136" w:type="dxa"/>
            <w:vMerge w:val="restart"/>
            <w:tcBorders>
              <w:top w:val="single" w:sz="4" w:space="0" w:color="auto"/>
              <w:left w:val="single" w:sz="4" w:space="0" w:color="auto"/>
              <w:bottom w:val="single" w:sz="4" w:space="0" w:color="auto"/>
              <w:right w:val="single" w:sz="4" w:space="0" w:color="auto"/>
            </w:tcBorders>
            <w:vAlign w:val="center"/>
            <w:hideMark/>
          </w:tcPr>
          <w:p w14:paraId="49FA5C37" w14:textId="77777777" w:rsidR="00931AE7" w:rsidRPr="00D40429" w:rsidRDefault="00931AE7" w:rsidP="00D6660B">
            <w:pPr>
              <w:spacing w:afterLines="20" w:after="48"/>
              <w:jc w:val="center"/>
              <w:rPr>
                <w:caps/>
                <w:sz w:val="20"/>
                <w:szCs w:val="20"/>
              </w:rPr>
            </w:pPr>
            <w:r>
              <w:rPr>
                <w:color w:val="000000" w:themeColor="text1"/>
                <w:sz w:val="20"/>
                <w:szCs w:val="20"/>
              </w:rPr>
              <w:t>ONUDI</w:t>
            </w:r>
          </w:p>
        </w:tc>
        <w:tc>
          <w:tcPr>
            <w:tcW w:w="1460" w:type="dxa"/>
            <w:tcBorders>
              <w:top w:val="single" w:sz="4" w:space="0" w:color="auto"/>
              <w:left w:val="single" w:sz="4" w:space="0" w:color="auto"/>
              <w:bottom w:val="single" w:sz="4" w:space="0" w:color="auto"/>
              <w:right w:val="single" w:sz="4" w:space="0" w:color="auto"/>
            </w:tcBorders>
            <w:hideMark/>
          </w:tcPr>
          <w:p w14:paraId="24B077C2" w14:textId="77777777" w:rsidR="00931AE7" w:rsidRPr="00D40429" w:rsidRDefault="00931AE7" w:rsidP="00D6660B">
            <w:pPr>
              <w:spacing w:afterLines="20" w:after="48"/>
              <w:jc w:val="left"/>
              <w:rPr>
                <w:sz w:val="20"/>
                <w:szCs w:val="20"/>
              </w:rPr>
            </w:pPr>
            <w:r>
              <w:rPr>
                <w:sz w:val="20"/>
                <w:szCs w:val="20"/>
              </w:rPr>
              <w:t>Coûts du projet</w:t>
            </w:r>
          </w:p>
        </w:tc>
        <w:tc>
          <w:tcPr>
            <w:tcW w:w="1022" w:type="dxa"/>
            <w:tcBorders>
              <w:top w:val="single" w:sz="4" w:space="0" w:color="auto"/>
              <w:left w:val="single" w:sz="4" w:space="0" w:color="auto"/>
              <w:bottom w:val="single" w:sz="4" w:space="0" w:color="auto"/>
              <w:right w:val="single" w:sz="4" w:space="0" w:color="auto"/>
            </w:tcBorders>
          </w:tcPr>
          <w:p w14:paraId="20EF15C9" w14:textId="77777777" w:rsidR="00931AE7" w:rsidRPr="00D40429" w:rsidRDefault="00931AE7" w:rsidP="00D6660B">
            <w:pPr>
              <w:spacing w:afterLines="20" w:after="48"/>
              <w:jc w:val="right"/>
              <w:rPr>
                <w:sz w:val="20"/>
                <w:szCs w:val="20"/>
              </w:rPr>
            </w:pPr>
            <w:r>
              <w:rPr>
                <w:sz w:val="20"/>
                <w:szCs w:val="20"/>
              </w:rPr>
              <w:t>203 999</w:t>
            </w:r>
          </w:p>
        </w:tc>
        <w:tc>
          <w:tcPr>
            <w:tcW w:w="1022" w:type="dxa"/>
            <w:tcBorders>
              <w:top w:val="single" w:sz="4" w:space="0" w:color="auto"/>
              <w:left w:val="single" w:sz="4" w:space="0" w:color="auto"/>
              <w:bottom w:val="single" w:sz="4" w:space="0" w:color="auto"/>
              <w:right w:val="single" w:sz="4" w:space="0" w:color="auto"/>
            </w:tcBorders>
          </w:tcPr>
          <w:p w14:paraId="0F237E5D" w14:textId="77777777" w:rsidR="00931AE7" w:rsidRPr="00D40429" w:rsidRDefault="00931AE7" w:rsidP="00D6660B">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FB36E0E" w14:textId="77777777" w:rsidR="00931AE7" w:rsidRPr="00D40429" w:rsidRDefault="00931AE7" w:rsidP="00D6660B">
            <w:pPr>
              <w:spacing w:afterLines="20" w:after="48"/>
              <w:jc w:val="right"/>
              <w:rPr>
                <w:sz w:val="20"/>
                <w:szCs w:val="20"/>
              </w:rPr>
            </w:pPr>
            <w:r>
              <w:rPr>
                <w:sz w:val="20"/>
                <w:szCs w:val="20"/>
              </w:rPr>
              <w:t>54 000</w:t>
            </w:r>
          </w:p>
        </w:tc>
        <w:tc>
          <w:tcPr>
            <w:tcW w:w="1022" w:type="dxa"/>
            <w:tcBorders>
              <w:top w:val="single" w:sz="4" w:space="0" w:color="auto"/>
              <w:left w:val="single" w:sz="4" w:space="0" w:color="auto"/>
              <w:bottom w:val="single" w:sz="4" w:space="0" w:color="auto"/>
              <w:right w:val="single" w:sz="4" w:space="0" w:color="auto"/>
            </w:tcBorders>
          </w:tcPr>
          <w:p w14:paraId="0191F8BD" w14:textId="77777777" w:rsidR="00931AE7" w:rsidRPr="00D40429" w:rsidRDefault="00931AE7" w:rsidP="00D6660B">
            <w:pPr>
              <w:spacing w:afterLines="20" w:after="48"/>
              <w:jc w:val="right"/>
              <w:rPr>
                <w:sz w:val="20"/>
                <w:szCs w:val="20"/>
              </w:rPr>
            </w:pPr>
            <w:r>
              <w:rPr>
                <w:sz w:val="20"/>
                <w:szCs w:val="20"/>
              </w:rPr>
              <w:t>21 000</w:t>
            </w:r>
          </w:p>
        </w:tc>
        <w:tc>
          <w:tcPr>
            <w:tcW w:w="1022" w:type="dxa"/>
            <w:tcBorders>
              <w:top w:val="single" w:sz="4" w:space="0" w:color="auto"/>
              <w:left w:val="single" w:sz="4" w:space="0" w:color="auto"/>
              <w:bottom w:val="single" w:sz="4" w:space="0" w:color="auto"/>
              <w:right w:val="single" w:sz="4" w:space="0" w:color="auto"/>
            </w:tcBorders>
          </w:tcPr>
          <w:p w14:paraId="5800227B" w14:textId="77777777" w:rsidR="00931AE7" w:rsidRPr="00D40429" w:rsidRDefault="00931AE7" w:rsidP="00D6660B">
            <w:pPr>
              <w:spacing w:afterLines="20" w:after="48"/>
              <w:jc w:val="right"/>
              <w:rPr>
                <w:sz w:val="20"/>
                <w:szCs w:val="20"/>
              </w:rPr>
            </w:pPr>
            <w:r>
              <w:rPr>
                <w:sz w:val="20"/>
                <w:szCs w:val="20"/>
              </w:rPr>
              <w:t>0</w:t>
            </w:r>
          </w:p>
        </w:tc>
        <w:tc>
          <w:tcPr>
            <w:tcW w:w="1368" w:type="dxa"/>
            <w:tcBorders>
              <w:top w:val="single" w:sz="4" w:space="0" w:color="auto"/>
              <w:left w:val="single" w:sz="4" w:space="0" w:color="auto"/>
              <w:bottom w:val="single" w:sz="4" w:space="0" w:color="auto"/>
              <w:right w:val="single" w:sz="4" w:space="0" w:color="auto"/>
            </w:tcBorders>
          </w:tcPr>
          <w:p w14:paraId="1837AEE4" w14:textId="77777777" w:rsidR="00931AE7" w:rsidRPr="00D40429" w:rsidRDefault="00931AE7" w:rsidP="00D6660B">
            <w:pPr>
              <w:spacing w:afterLines="20" w:after="48"/>
              <w:jc w:val="right"/>
              <w:rPr>
                <w:sz w:val="20"/>
                <w:szCs w:val="20"/>
              </w:rPr>
            </w:pPr>
            <w:r>
              <w:rPr>
                <w:sz w:val="20"/>
                <w:szCs w:val="20"/>
              </w:rPr>
              <w:t>278 999</w:t>
            </w:r>
          </w:p>
        </w:tc>
      </w:tr>
      <w:tr w:rsidR="00931AE7" w:rsidRPr="00D40429" w14:paraId="5417BE15" w14:textId="77777777" w:rsidTr="00964958">
        <w:trPr>
          <w:trHeight w:val="121"/>
        </w:trPr>
        <w:tc>
          <w:tcPr>
            <w:tcW w:w="2267" w:type="dxa"/>
            <w:vMerge/>
            <w:tcBorders>
              <w:top w:val="single" w:sz="4" w:space="0" w:color="auto"/>
              <w:left w:val="single" w:sz="4" w:space="0" w:color="auto"/>
              <w:bottom w:val="single" w:sz="4" w:space="0" w:color="auto"/>
              <w:right w:val="single" w:sz="4" w:space="0" w:color="auto"/>
            </w:tcBorders>
            <w:vAlign w:val="center"/>
            <w:hideMark/>
          </w:tcPr>
          <w:p w14:paraId="61942241" w14:textId="77777777" w:rsidR="00931AE7" w:rsidRPr="00D40429" w:rsidRDefault="00931AE7" w:rsidP="00D6660B">
            <w:pPr>
              <w:rPr>
                <w:sz w:val="20"/>
                <w:szCs w:val="20"/>
              </w:rPr>
            </w:pPr>
          </w:p>
        </w:tc>
        <w:tc>
          <w:tcPr>
            <w:tcW w:w="1136" w:type="dxa"/>
            <w:vMerge/>
            <w:tcBorders>
              <w:top w:val="single" w:sz="4" w:space="0" w:color="auto"/>
              <w:left w:val="single" w:sz="4" w:space="0" w:color="auto"/>
              <w:bottom w:val="single" w:sz="4" w:space="0" w:color="auto"/>
              <w:right w:val="single" w:sz="4" w:space="0" w:color="auto"/>
            </w:tcBorders>
            <w:hideMark/>
          </w:tcPr>
          <w:p w14:paraId="0AF312F3" w14:textId="77777777" w:rsidR="00931AE7" w:rsidRPr="00D40429" w:rsidRDefault="00931AE7" w:rsidP="00D6660B">
            <w:pPr>
              <w:rPr>
                <w:sz w:val="20"/>
                <w:szCs w:val="20"/>
              </w:rPr>
            </w:pPr>
          </w:p>
        </w:tc>
        <w:tc>
          <w:tcPr>
            <w:tcW w:w="1460" w:type="dxa"/>
            <w:tcBorders>
              <w:top w:val="single" w:sz="4" w:space="0" w:color="auto"/>
              <w:left w:val="single" w:sz="4" w:space="0" w:color="auto"/>
              <w:bottom w:val="single" w:sz="4" w:space="0" w:color="auto"/>
              <w:right w:val="single" w:sz="4" w:space="0" w:color="auto"/>
            </w:tcBorders>
            <w:hideMark/>
          </w:tcPr>
          <w:p w14:paraId="2A2AA701" w14:textId="77777777" w:rsidR="00931AE7" w:rsidRPr="00D40429" w:rsidRDefault="00931AE7" w:rsidP="00D6660B">
            <w:pPr>
              <w:spacing w:afterLines="20" w:after="48"/>
              <w:jc w:val="left"/>
              <w:rPr>
                <w:sz w:val="20"/>
                <w:szCs w:val="20"/>
              </w:rPr>
            </w:pPr>
            <w:r>
              <w:rPr>
                <w:sz w:val="20"/>
                <w:szCs w:val="20"/>
              </w:rPr>
              <w:t>Coûts d’appui</w:t>
            </w:r>
          </w:p>
        </w:tc>
        <w:tc>
          <w:tcPr>
            <w:tcW w:w="1022" w:type="dxa"/>
            <w:tcBorders>
              <w:top w:val="single" w:sz="4" w:space="0" w:color="auto"/>
              <w:left w:val="single" w:sz="4" w:space="0" w:color="auto"/>
              <w:bottom w:val="single" w:sz="4" w:space="0" w:color="auto"/>
              <w:right w:val="single" w:sz="4" w:space="0" w:color="auto"/>
            </w:tcBorders>
          </w:tcPr>
          <w:p w14:paraId="4155AA14" w14:textId="77777777" w:rsidR="00931AE7" w:rsidRPr="00D40429" w:rsidRDefault="00931AE7" w:rsidP="00D6660B">
            <w:pPr>
              <w:spacing w:afterLines="20" w:after="48"/>
              <w:jc w:val="right"/>
              <w:rPr>
                <w:sz w:val="20"/>
                <w:szCs w:val="20"/>
              </w:rPr>
            </w:pPr>
            <w:r>
              <w:rPr>
                <w:sz w:val="20"/>
                <w:szCs w:val="20"/>
              </w:rPr>
              <w:t>14 280</w:t>
            </w:r>
          </w:p>
        </w:tc>
        <w:tc>
          <w:tcPr>
            <w:tcW w:w="1022" w:type="dxa"/>
            <w:tcBorders>
              <w:top w:val="single" w:sz="4" w:space="0" w:color="auto"/>
              <w:left w:val="single" w:sz="4" w:space="0" w:color="auto"/>
              <w:bottom w:val="single" w:sz="4" w:space="0" w:color="auto"/>
              <w:right w:val="single" w:sz="4" w:space="0" w:color="auto"/>
            </w:tcBorders>
          </w:tcPr>
          <w:p w14:paraId="0E6A9D81" w14:textId="77777777" w:rsidR="00931AE7" w:rsidRPr="00D40429" w:rsidRDefault="00931AE7" w:rsidP="00D6660B">
            <w:pPr>
              <w:spacing w:afterLines="20" w:after="48"/>
              <w:jc w:val="right"/>
              <w:rPr>
                <w:sz w:val="20"/>
                <w:szCs w:val="20"/>
              </w:rPr>
            </w:pPr>
            <w:r>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2B292858" w14:textId="77777777" w:rsidR="00931AE7" w:rsidRPr="00D40429" w:rsidRDefault="00931AE7" w:rsidP="00D6660B">
            <w:pPr>
              <w:spacing w:afterLines="20" w:after="48"/>
              <w:jc w:val="right"/>
              <w:rPr>
                <w:sz w:val="20"/>
                <w:szCs w:val="20"/>
              </w:rPr>
            </w:pPr>
            <w:r>
              <w:rPr>
                <w:sz w:val="20"/>
                <w:szCs w:val="20"/>
              </w:rPr>
              <w:t>3 780</w:t>
            </w:r>
          </w:p>
        </w:tc>
        <w:tc>
          <w:tcPr>
            <w:tcW w:w="1022" w:type="dxa"/>
            <w:tcBorders>
              <w:top w:val="single" w:sz="4" w:space="0" w:color="auto"/>
              <w:left w:val="single" w:sz="4" w:space="0" w:color="auto"/>
              <w:bottom w:val="single" w:sz="4" w:space="0" w:color="auto"/>
              <w:right w:val="single" w:sz="4" w:space="0" w:color="auto"/>
            </w:tcBorders>
          </w:tcPr>
          <w:p w14:paraId="64FD8093" w14:textId="77777777" w:rsidR="00931AE7" w:rsidRPr="00D40429" w:rsidRDefault="00931AE7" w:rsidP="00D6660B">
            <w:pPr>
              <w:spacing w:afterLines="20" w:after="48"/>
              <w:jc w:val="right"/>
              <w:rPr>
                <w:sz w:val="20"/>
                <w:szCs w:val="20"/>
              </w:rPr>
            </w:pPr>
            <w:r>
              <w:rPr>
                <w:sz w:val="20"/>
                <w:szCs w:val="20"/>
              </w:rPr>
              <w:t>1 470</w:t>
            </w:r>
          </w:p>
        </w:tc>
        <w:tc>
          <w:tcPr>
            <w:tcW w:w="1022" w:type="dxa"/>
            <w:tcBorders>
              <w:top w:val="single" w:sz="4" w:space="0" w:color="auto"/>
              <w:left w:val="single" w:sz="4" w:space="0" w:color="auto"/>
              <w:bottom w:val="single" w:sz="4" w:space="0" w:color="auto"/>
              <w:right w:val="single" w:sz="4" w:space="0" w:color="auto"/>
            </w:tcBorders>
          </w:tcPr>
          <w:p w14:paraId="6C3A619D" w14:textId="77777777" w:rsidR="00931AE7" w:rsidRPr="00D40429" w:rsidRDefault="00931AE7" w:rsidP="00D6660B">
            <w:pPr>
              <w:spacing w:afterLines="20" w:after="48"/>
              <w:jc w:val="right"/>
              <w:rPr>
                <w:sz w:val="20"/>
                <w:szCs w:val="20"/>
              </w:rPr>
            </w:pPr>
            <w:r>
              <w:rPr>
                <w:sz w:val="20"/>
                <w:szCs w:val="20"/>
              </w:rPr>
              <w:t>0</w:t>
            </w:r>
          </w:p>
        </w:tc>
        <w:tc>
          <w:tcPr>
            <w:tcW w:w="1368" w:type="dxa"/>
            <w:tcBorders>
              <w:top w:val="single" w:sz="4" w:space="0" w:color="auto"/>
              <w:left w:val="single" w:sz="4" w:space="0" w:color="auto"/>
              <w:bottom w:val="single" w:sz="4" w:space="0" w:color="auto"/>
              <w:right w:val="single" w:sz="4" w:space="0" w:color="auto"/>
            </w:tcBorders>
          </w:tcPr>
          <w:p w14:paraId="16BFB88D" w14:textId="77777777" w:rsidR="00931AE7" w:rsidRPr="00D40429" w:rsidRDefault="00931AE7" w:rsidP="00D6660B">
            <w:pPr>
              <w:spacing w:afterLines="20" w:after="48"/>
              <w:jc w:val="right"/>
              <w:rPr>
                <w:sz w:val="20"/>
                <w:szCs w:val="20"/>
              </w:rPr>
            </w:pPr>
            <w:r>
              <w:rPr>
                <w:sz w:val="20"/>
                <w:szCs w:val="20"/>
              </w:rPr>
              <w:t>19 530</w:t>
            </w:r>
          </w:p>
        </w:tc>
      </w:tr>
      <w:tr w:rsidR="00931AE7" w:rsidRPr="00D40429" w14:paraId="185A3E60" w14:textId="77777777" w:rsidTr="00964958">
        <w:trPr>
          <w:trHeight w:val="242"/>
        </w:trPr>
        <w:tc>
          <w:tcPr>
            <w:tcW w:w="3403" w:type="dxa"/>
            <w:gridSpan w:val="2"/>
            <w:vMerge w:val="restart"/>
            <w:tcBorders>
              <w:top w:val="single" w:sz="4" w:space="0" w:color="auto"/>
              <w:left w:val="single" w:sz="4" w:space="0" w:color="auto"/>
              <w:bottom w:val="single" w:sz="4" w:space="0" w:color="auto"/>
              <w:right w:val="single" w:sz="4" w:space="0" w:color="auto"/>
            </w:tcBorders>
            <w:hideMark/>
          </w:tcPr>
          <w:p w14:paraId="2DE402B2" w14:textId="42531646" w:rsidR="00931AE7" w:rsidRPr="00D40429" w:rsidRDefault="00931AE7" w:rsidP="00931AE7">
            <w:pPr>
              <w:spacing w:afterLines="20" w:after="48"/>
              <w:jc w:val="left"/>
              <w:rPr>
                <w:sz w:val="20"/>
                <w:szCs w:val="20"/>
              </w:rPr>
            </w:pPr>
            <w:r>
              <w:rPr>
                <w:sz w:val="20"/>
                <w:szCs w:val="20"/>
              </w:rPr>
              <w:t xml:space="preserve">Fonds approuvés par </w:t>
            </w:r>
            <w:proofErr w:type="spellStart"/>
            <w:r>
              <w:rPr>
                <w:sz w:val="20"/>
                <w:szCs w:val="20"/>
              </w:rPr>
              <w:t>ExCom</w:t>
            </w:r>
            <w:proofErr w:type="spellEnd"/>
            <w:r>
              <w:rPr>
                <w:sz w:val="20"/>
                <w:szCs w:val="20"/>
              </w:rPr>
              <w:t xml:space="preserve"> ($ US)</w:t>
            </w:r>
          </w:p>
        </w:tc>
        <w:tc>
          <w:tcPr>
            <w:tcW w:w="1460" w:type="dxa"/>
            <w:tcBorders>
              <w:top w:val="single" w:sz="4" w:space="0" w:color="auto"/>
              <w:left w:val="single" w:sz="4" w:space="0" w:color="auto"/>
              <w:bottom w:val="single" w:sz="4" w:space="0" w:color="auto"/>
              <w:right w:val="single" w:sz="4" w:space="0" w:color="auto"/>
            </w:tcBorders>
            <w:hideMark/>
          </w:tcPr>
          <w:p w14:paraId="1F48430E" w14:textId="77777777" w:rsidR="00931AE7" w:rsidRPr="00D40429" w:rsidRDefault="00931AE7" w:rsidP="00931AE7">
            <w:pPr>
              <w:spacing w:afterLines="20" w:after="48"/>
              <w:jc w:val="left"/>
              <w:rPr>
                <w:sz w:val="20"/>
                <w:szCs w:val="20"/>
              </w:rPr>
            </w:pPr>
            <w:r>
              <w:rPr>
                <w:sz w:val="20"/>
                <w:szCs w:val="20"/>
              </w:rPr>
              <w:t>Coûts du projet</w:t>
            </w:r>
          </w:p>
        </w:tc>
        <w:tc>
          <w:tcPr>
            <w:tcW w:w="1022" w:type="dxa"/>
            <w:tcBorders>
              <w:top w:val="single" w:sz="4" w:space="0" w:color="auto"/>
              <w:left w:val="single" w:sz="4" w:space="0" w:color="auto"/>
              <w:bottom w:val="single" w:sz="4" w:space="0" w:color="auto"/>
              <w:right w:val="single" w:sz="4" w:space="0" w:color="auto"/>
            </w:tcBorders>
          </w:tcPr>
          <w:p w14:paraId="32412224" w14:textId="77777777" w:rsidR="00931AE7" w:rsidRPr="00D40429" w:rsidRDefault="00931AE7" w:rsidP="00931AE7">
            <w:pPr>
              <w:spacing w:afterLines="20" w:after="48"/>
              <w:jc w:val="right"/>
              <w:rPr>
                <w:sz w:val="20"/>
                <w:szCs w:val="20"/>
              </w:rPr>
            </w:pPr>
            <w:r>
              <w:rPr>
                <w:sz w:val="20"/>
                <w:szCs w:val="20"/>
              </w:rPr>
              <w:t>453 499</w:t>
            </w:r>
          </w:p>
        </w:tc>
        <w:tc>
          <w:tcPr>
            <w:tcW w:w="1022" w:type="dxa"/>
            <w:tcBorders>
              <w:top w:val="single" w:sz="4" w:space="0" w:color="auto"/>
              <w:left w:val="single" w:sz="4" w:space="0" w:color="auto"/>
              <w:bottom w:val="single" w:sz="4" w:space="0" w:color="auto"/>
              <w:right w:val="single" w:sz="4" w:space="0" w:color="auto"/>
            </w:tcBorders>
            <w:vAlign w:val="center"/>
          </w:tcPr>
          <w:p w14:paraId="07C77F72"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0B70ED04" w14:textId="05F7E331" w:rsidR="00931AE7" w:rsidRPr="00D40429" w:rsidRDefault="00931AE7" w:rsidP="00931AE7">
            <w:pPr>
              <w:spacing w:afterLines="20" w:after="48"/>
              <w:jc w:val="right"/>
              <w:rPr>
                <w:sz w:val="20"/>
                <w:szCs w:val="20"/>
              </w:rPr>
            </w:pPr>
            <w:r>
              <w:rPr>
                <w:sz w:val="20"/>
                <w:szCs w:val="20"/>
              </w:rPr>
              <w:t>133 500</w:t>
            </w:r>
          </w:p>
        </w:tc>
        <w:tc>
          <w:tcPr>
            <w:tcW w:w="1022" w:type="dxa"/>
            <w:tcBorders>
              <w:top w:val="single" w:sz="4" w:space="0" w:color="auto"/>
              <w:left w:val="single" w:sz="4" w:space="0" w:color="auto"/>
              <w:bottom w:val="single" w:sz="4" w:space="0" w:color="auto"/>
              <w:right w:val="single" w:sz="4" w:space="0" w:color="auto"/>
            </w:tcBorders>
            <w:vAlign w:val="center"/>
          </w:tcPr>
          <w:p w14:paraId="06417990"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8E14B41" w14:textId="77777777" w:rsidR="00931AE7" w:rsidRPr="00D40429" w:rsidRDefault="00931AE7" w:rsidP="00931AE7">
            <w:pPr>
              <w:spacing w:afterLines="20" w:after="48"/>
              <w:jc w:val="right"/>
              <w:rPr>
                <w:sz w:val="20"/>
                <w:szCs w:val="20"/>
              </w:rPr>
            </w:pPr>
          </w:p>
        </w:tc>
        <w:tc>
          <w:tcPr>
            <w:tcW w:w="1368" w:type="dxa"/>
            <w:tcBorders>
              <w:top w:val="single" w:sz="4" w:space="0" w:color="auto"/>
              <w:left w:val="single" w:sz="4" w:space="0" w:color="auto"/>
              <w:bottom w:val="single" w:sz="4" w:space="0" w:color="auto"/>
              <w:right w:val="single" w:sz="4" w:space="0" w:color="auto"/>
            </w:tcBorders>
          </w:tcPr>
          <w:p w14:paraId="1610AA19" w14:textId="614C4193" w:rsidR="00931AE7" w:rsidRPr="00D40429" w:rsidRDefault="00D8476D" w:rsidP="00931AE7">
            <w:pPr>
              <w:spacing w:afterLines="20" w:after="48"/>
              <w:jc w:val="right"/>
              <w:rPr>
                <w:sz w:val="20"/>
                <w:szCs w:val="20"/>
              </w:rPr>
            </w:pPr>
            <w:r>
              <w:rPr>
                <w:sz w:val="20"/>
                <w:szCs w:val="20"/>
              </w:rPr>
              <w:t>586 999</w:t>
            </w:r>
          </w:p>
        </w:tc>
      </w:tr>
      <w:tr w:rsidR="00931AE7" w:rsidRPr="00D40429" w14:paraId="5190F342" w14:textId="77777777" w:rsidTr="00964958">
        <w:trPr>
          <w:trHeight w:val="177"/>
        </w:trPr>
        <w:tc>
          <w:tcPr>
            <w:tcW w:w="3403" w:type="dxa"/>
            <w:gridSpan w:val="2"/>
            <w:vMerge/>
            <w:tcBorders>
              <w:top w:val="single" w:sz="4" w:space="0" w:color="auto"/>
              <w:left w:val="single" w:sz="4" w:space="0" w:color="auto"/>
              <w:bottom w:val="single" w:sz="4" w:space="0" w:color="auto"/>
              <w:right w:val="single" w:sz="4" w:space="0" w:color="auto"/>
            </w:tcBorders>
            <w:vAlign w:val="center"/>
            <w:hideMark/>
          </w:tcPr>
          <w:p w14:paraId="5917B2AE" w14:textId="77777777" w:rsidR="00931AE7" w:rsidRPr="00D40429" w:rsidRDefault="00931AE7" w:rsidP="00931AE7">
            <w:pPr>
              <w:rPr>
                <w:sz w:val="20"/>
                <w:szCs w:val="20"/>
              </w:rPr>
            </w:pPr>
          </w:p>
        </w:tc>
        <w:tc>
          <w:tcPr>
            <w:tcW w:w="1460" w:type="dxa"/>
            <w:tcBorders>
              <w:top w:val="single" w:sz="4" w:space="0" w:color="auto"/>
              <w:left w:val="single" w:sz="4" w:space="0" w:color="auto"/>
              <w:bottom w:val="single" w:sz="4" w:space="0" w:color="auto"/>
              <w:right w:val="single" w:sz="4" w:space="0" w:color="auto"/>
            </w:tcBorders>
            <w:hideMark/>
          </w:tcPr>
          <w:p w14:paraId="7D2E93D3" w14:textId="77777777" w:rsidR="00931AE7" w:rsidRPr="00D40429" w:rsidRDefault="00931AE7" w:rsidP="00931AE7">
            <w:pPr>
              <w:spacing w:afterLines="20" w:after="48"/>
              <w:jc w:val="left"/>
              <w:rPr>
                <w:sz w:val="20"/>
                <w:szCs w:val="20"/>
              </w:rPr>
            </w:pPr>
            <w:r>
              <w:rPr>
                <w:sz w:val="20"/>
                <w:szCs w:val="20"/>
              </w:rPr>
              <w:t>Coûts d’appui</w:t>
            </w:r>
          </w:p>
        </w:tc>
        <w:tc>
          <w:tcPr>
            <w:tcW w:w="1022" w:type="dxa"/>
            <w:tcBorders>
              <w:top w:val="single" w:sz="4" w:space="0" w:color="auto"/>
              <w:left w:val="single" w:sz="4" w:space="0" w:color="auto"/>
              <w:bottom w:val="single" w:sz="4" w:space="0" w:color="auto"/>
              <w:right w:val="single" w:sz="4" w:space="0" w:color="auto"/>
            </w:tcBorders>
          </w:tcPr>
          <w:p w14:paraId="7EEA04F4" w14:textId="77777777" w:rsidR="00931AE7" w:rsidRPr="00D40429" w:rsidRDefault="00931AE7" w:rsidP="00931AE7">
            <w:pPr>
              <w:spacing w:afterLines="20" w:after="48"/>
              <w:jc w:val="right"/>
              <w:rPr>
                <w:sz w:val="20"/>
                <w:szCs w:val="20"/>
              </w:rPr>
            </w:pPr>
            <w:r>
              <w:rPr>
                <w:sz w:val="20"/>
                <w:szCs w:val="20"/>
              </w:rPr>
              <w:t>46 715</w:t>
            </w:r>
          </w:p>
        </w:tc>
        <w:tc>
          <w:tcPr>
            <w:tcW w:w="1022" w:type="dxa"/>
            <w:tcBorders>
              <w:top w:val="single" w:sz="4" w:space="0" w:color="auto"/>
              <w:left w:val="single" w:sz="4" w:space="0" w:color="auto"/>
              <w:bottom w:val="single" w:sz="4" w:space="0" w:color="auto"/>
              <w:right w:val="single" w:sz="4" w:space="0" w:color="auto"/>
            </w:tcBorders>
            <w:vAlign w:val="center"/>
          </w:tcPr>
          <w:p w14:paraId="72CCF5DB"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3C00BE15" w14:textId="11D3893F" w:rsidR="00931AE7" w:rsidRPr="00D40429" w:rsidRDefault="00931AE7" w:rsidP="00931AE7">
            <w:pPr>
              <w:spacing w:afterLines="20" w:after="48"/>
              <w:jc w:val="right"/>
              <w:rPr>
                <w:sz w:val="20"/>
                <w:szCs w:val="20"/>
              </w:rPr>
            </w:pPr>
            <w:r>
              <w:rPr>
                <w:sz w:val="20"/>
                <w:szCs w:val="20"/>
              </w:rPr>
              <w:t>14 115</w:t>
            </w:r>
          </w:p>
        </w:tc>
        <w:tc>
          <w:tcPr>
            <w:tcW w:w="1022" w:type="dxa"/>
            <w:tcBorders>
              <w:top w:val="single" w:sz="4" w:space="0" w:color="auto"/>
              <w:left w:val="single" w:sz="4" w:space="0" w:color="auto"/>
              <w:bottom w:val="single" w:sz="4" w:space="0" w:color="auto"/>
              <w:right w:val="single" w:sz="4" w:space="0" w:color="auto"/>
            </w:tcBorders>
            <w:vAlign w:val="center"/>
          </w:tcPr>
          <w:p w14:paraId="0388F849" w14:textId="77777777" w:rsidR="00931AE7" w:rsidRPr="00D40429" w:rsidRDefault="00931AE7" w:rsidP="00931AE7">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8A9B507" w14:textId="77777777" w:rsidR="00931AE7" w:rsidRPr="00D40429" w:rsidRDefault="00931AE7" w:rsidP="00931AE7">
            <w:pPr>
              <w:spacing w:afterLines="20" w:after="48"/>
              <w:jc w:val="right"/>
              <w:rPr>
                <w:sz w:val="20"/>
                <w:szCs w:val="20"/>
              </w:rPr>
            </w:pPr>
          </w:p>
        </w:tc>
        <w:tc>
          <w:tcPr>
            <w:tcW w:w="1368" w:type="dxa"/>
            <w:tcBorders>
              <w:top w:val="single" w:sz="4" w:space="0" w:color="auto"/>
              <w:left w:val="single" w:sz="4" w:space="0" w:color="auto"/>
              <w:bottom w:val="single" w:sz="4" w:space="0" w:color="auto"/>
              <w:right w:val="single" w:sz="4" w:space="0" w:color="auto"/>
            </w:tcBorders>
          </w:tcPr>
          <w:p w14:paraId="6192A356" w14:textId="4B2E22A8" w:rsidR="00931AE7" w:rsidRPr="00D40429" w:rsidRDefault="00D8476D" w:rsidP="00931AE7">
            <w:pPr>
              <w:spacing w:afterLines="20" w:after="48"/>
              <w:jc w:val="right"/>
              <w:rPr>
                <w:sz w:val="20"/>
                <w:szCs w:val="20"/>
              </w:rPr>
            </w:pPr>
            <w:r>
              <w:rPr>
                <w:sz w:val="20"/>
                <w:szCs w:val="20"/>
              </w:rPr>
              <w:t>60 830</w:t>
            </w:r>
          </w:p>
        </w:tc>
      </w:tr>
      <w:tr w:rsidR="00F07A23" w:rsidRPr="00D40429" w14:paraId="1E9405A2" w14:textId="77777777" w:rsidTr="00964958">
        <w:trPr>
          <w:trHeight w:val="50"/>
        </w:trPr>
        <w:tc>
          <w:tcPr>
            <w:tcW w:w="3403" w:type="dxa"/>
            <w:gridSpan w:val="2"/>
            <w:vMerge w:val="restart"/>
            <w:tcBorders>
              <w:top w:val="single" w:sz="4" w:space="0" w:color="auto"/>
              <w:left w:val="single" w:sz="4" w:space="0" w:color="auto"/>
              <w:bottom w:val="single" w:sz="4" w:space="0" w:color="auto"/>
              <w:right w:val="single" w:sz="4" w:space="0" w:color="auto"/>
            </w:tcBorders>
            <w:hideMark/>
          </w:tcPr>
          <w:p w14:paraId="40D0FCB9" w14:textId="3E15A851" w:rsidR="00F07A23" w:rsidRPr="00D40429" w:rsidRDefault="00F07A23" w:rsidP="00F07A23">
            <w:pPr>
              <w:spacing w:afterLines="20" w:after="48"/>
              <w:ind w:right="-85"/>
              <w:jc w:val="left"/>
              <w:rPr>
                <w:sz w:val="20"/>
                <w:szCs w:val="20"/>
              </w:rPr>
            </w:pPr>
            <w:r>
              <w:rPr>
                <w:sz w:val="19"/>
                <w:szCs w:val="19"/>
              </w:rPr>
              <w:t xml:space="preserve">Total des fonds recommandés pour approbation à cette réunion </w:t>
            </w:r>
            <w:r>
              <w:rPr>
                <w:sz w:val="20"/>
                <w:szCs w:val="20"/>
              </w:rPr>
              <w:t>($ US)</w:t>
            </w:r>
          </w:p>
        </w:tc>
        <w:tc>
          <w:tcPr>
            <w:tcW w:w="1460" w:type="dxa"/>
            <w:tcBorders>
              <w:top w:val="single" w:sz="4" w:space="0" w:color="auto"/>
              <w:left w:val="single" w:sz="4" w:space="0" w:color="auto"/>
              <w:bottom w:val="single" w:sz="4" w:space="0" w:color="auto"/>
              <w:right w:val="single" w:sz="4" w:space="0" w:color="auto"/>
            </w:tcBorders>
            <w:vAlign w:val="center"/>
            <w:hideMark/>
          </w:tcPr>
          <w:p w14:paraId="2C7C2591" w14:textId="77777777" w:rsidR="00F07A23" w:rsidRPr="00D40429" w:rsidRDefault="00F07A23" w:rsidP="00F07A23">
            <w:pPr>
              <w:spacing w:afterLines="20" w:after="48"/>
              <w:jc w:val="left"/>
              <w:rPr>
                <w:sz w:val="20"/>
                <w:szCs w:val="20"/>
              </w:rPr>
            </w:pPr>
            <w:r>
              <w:rPr>
                <w:sz w:val="20"/>
                <w:szCs w:val="20"/>
              </w:rPr>
              <w:t>Coûts du projet</w:t>
            </w:r>
          </w:p>
        </w:tc>
        <w:tc>
          <w:tcPr>
            <w:tcW w:w="1022" w:type="dxa"/>
            <w:tcBorders>
              <w:top w:val="single" w:sz="4" w:space="0" w:color="auto"/>
              <w:left w:val="single" w:sz="4" w:space="0" w:color="auto"/>
              <w:bottom w:val="single" w:sz="4" w:space="0" w:color="auto"/>
              <w:right w:val="single" w:sz="4" w:space="0" w:color="auto"/>
            </w:tcBorders>
            <w:vAlign w:val="center"/>
          </w:tcPr>
          <w:p w14:paraId="31B9F5C8"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16C5C9"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72AE7879" w14:textId="7B45036F"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A50AC99" w14:textId="510EE9C3" w:rsidR="00F07A23" w:rsidRPr="00D40429" w:rsidRDefault="00F07A23" w:rsidP="00F07A23">
            <w:pPr>
              <w:spacing w:afterLines="20" w:after="48"/>
              <w:jc w:val="right"/>
              <w:rPr>
                <w:sz w:val="20"/>
                <w:szCs w:val="20"/>
              </w:rPr>
            </w:pPr>
            <w:r>
              <w:rPr>
                <w:sz w:val="20"/>
                <w:szCs w:val="20"/>
              </w:rPr>
              <w:t>76 000</w:t>
            </w:r>
          </w:p>
        </w:tc>
        <w:tc>
          <w:tcPr>
            <w:tcW w:w="1022" w:type="dxa"/>
            <w:tcBorders>
              <w:top w:val="single" w:sz="4" w:space="0" w:color="auto"/>
              <w:left w:val="single" w:sz="4" w:space="0" w:color="auto"/>
              <w:bottom w:val="single" w:sz="4" w:space="0" w:color="auto"/>
              <w:right w:val="single" w:sz="4" w:space="0" w:color="auto"/>
            </w:tcBorders>
            <w:vAlign w:val="center"/>
          </w:tcPr>
          <w:p w14:paraId="73FA401F" w14:textId="77777777" w:rsidR="00F07A23" w:rsidRPr="00D40429" w:rsidRDefault="00F07A23" w:rsidP="00F07A23">
            <w:pPr>
              <w:spacing w:afterLines="20" w:after="48"/>
              <w:jc w:val="right"/>
              <w:rPr>
                <w:sz w:val="20"/>
                <w:szCs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627ADD98" w14:textId="7F61954D" w:rsidR="00F07A23" w:rsidRPr="00D40429" w:rsidRDefault="00F07A23" w:rsidP="00F07A23">
            <w:pPr>
              <w:spacing w:afterLines="20" w:after="48"/>
              <w:jc w:val="right"/>
              <w:rPr>
                <w:sz w:val="20"/>
                <w:szCs w:val="20"/>
              </w:rPr>
            </w:pPr>
            <w:r>
              <w:rPr>
                <w:sz w:val="20"/>
                <w:szCs w:val="20"/>
              </w:rPr>
              <w:t>76 000</w:t>
            </w:r>
          </w:p>
        </w:tc>
      </w:tr>
      <w:tr w:rsidR="00F07A23" w:rsidRPr="00767EE6" w14:paraId="6C2B74F3" w14:textId="77777777" w:rsidTr="00964958">
        <w:trPr>
          <w:trHeight w:val="243"/>
        </w:trPr>
        <w:tc>
          <w:tcPr>
            <w:tcW w:w="3403" w:type="dxa"/>
            <w:gridSpan w:val="2"/>
            <w:vMerge/>
            <w:tcBorders>
              <w:top w:val="single" w:sz="4" w:space="0" w:color="auto"/>
              <w:left w:val="single" w:sz="4" w:space="0" w:color="auto"/>
              <w:bottom w:val="single" w:sz="4" w:space="0" w:color="auto"/>
              <w:right w:val="single" w:sz="4" w:space="0" w:color="auto"/>
            </w:tcBorders>
            <w:vAlign w:val="center"/>
            <w:hideMark/>
          </w:tcPr>
          <w:p w14:paraId="2FA8E388" w14:textId="77777777" w:rsidR="00F07A23" w:rsidRPr="00D40429" w:rsidRDefault="00F07A23" w:rsidP="00F07A23">
            <w:pPr>
              <w:rPr>
                <w:sz w:val="20"/>
                <w:szCs w:val="20"/>
              </w:rPr>
            </w:pPr>
          </w:p>
        </w:tc>
        <w:tc>
          <w:tcPr>
            <w:tcW w:w="1460" w:type="dxa"/>
            <w:tcBorders>
              <w:top w:val="single" w:sz="4" w:space="0" w:color="auto"/>
              <w:left w:val="single" w:sz="4" w:space="0" w:color="auto"/>
              <w:bottom w:val="single" w:sz="4" w:space="0" w:color="auto"/>
              <w:right w:val="single" w:sz="4" w:space="0" w:color="auto"/>
            </w:tcBorders>
            <w:vAlign w:val="center"/>
            <w:hideMark/>
          </w:tcPr>
          <w:p w14:paraId="7D2D9D69" w14:textId="77777777" w:rsidR="00F07A23" w:rsidRPr="00D40429" w:rsidRDefault="00F07A23" w:rsidP="00F07A23">
            <w:pPr>
              <w:spacing w:afterLines="20" w:after="48"/>
              <w:jc w:val="left"/>
              <w:rPr>
                <w:sz w:val="20"/>
                <w:szCs w:val="20"/>
              </w:rPr>
            </w:pPr>
            <w:r>
              <w:rPr>
                <w:sz w:val="20"/>
                <w:szCs w:val="20"/>
              </w:rPr>
              <w:t>Coûts d’appui</w:t>
            </w:r>
          </w:p>
        </w:tc>
        <w:tc>
          <w:tcPr>
            <w:tcW w:w="1022" w:type="dxa"/>
            <w:tcBorders>
              <w:top w:val="single" w:sz="4" w:space="0" w:color="auto"/>
              <w:left w:val="single" w:sz="4" w:space="0" w:color="auto"/>
              <w:bottom w:val="single" w:sz="4" w:space="0" w:color="auto"/>
              <w:right w:val="single" w:sz="4" w:space="0" w:color="auto"/>
            </w:tcBorders>
            <w:vAlign w:val="center"/>
          </w:tcPr>
          <w:p w14:paraId="59FCD083"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2D805BC" w14:textId="77777777"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4460D676" w14:textId="21A1B974" w:rsidR="00F07A23" w:rsidRPr="00D40429" w:rsidRDefault="00F07A23" w:rsidP="00F07A2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2104C8D" w14:textId="458E46F0" w:rsidR="00F07A23" w:rsidRPr="00D40429" w:rsidRDefault="00F07A23" w:rsidP="00F07A23">
            <w:pPr>
              <w:spacing w:afterLines="20" w:after="48"/>
              <w:jc w:val="right"/>
              <w:rPr>
                <w:sz w:val="20"/>
                <w:szCs w:val="20"/>
              </w:rPr>
            </w:pPr>
            <w:r>
              <w:rPr>
                <w:sz w:val="20"/>
                <w:szCs w:val="20"/>
              </w:rPr>
              <w:t>8 620</w:t>
            </w:r>
          </w:p>
        </w:tc>
        <w:tc>
          <w:tcPr>
            <w:tcW w:w="1022" w:type="dxa"/>
            <w:tcBorders>
              <w:top w:val="single" w:sz="4" w:space="0" w:color="auto"/>
              <w:left w:val="single" w:sz="4" w:space="0" w:color="auto"/>
              <w:bottom w:val="single" w:sz="4" w:space="0" w:color="auto"/>
              <w:right w:val="single" w:sz="4" w:space="0" w:color="auto"/>
            </w:tcBorders>
            <w:vAlign w:val="center"/>
          </w:tcPr>
          <w:p w14:paraId="56559556" w14:textId="77777777" w:rsidR="00F07A23" w:rsidRPr="00D40429" w:rsidRDefault="00F07A23" w:rsidP="00F07A23">
            <w:pPr>
              <w:spacing w:afterLines="20" w:after="48"/>
              <w:jc w:val="right"/>
              <w:rPr>
                <w:sz w:val="20"/>
                <w:szCs w:val="20"/>
              </w:rPr>
            </w:pPr>
          </w:p>
        </w:tc>
        <w:tc>
          <w:tcPr>
            <w:tcW w:w="1368" w:type="dxa"/>
            <w:tcBorders>
              <w:top w:val="single" w:sz="4" w:space="0" w:color="auto"/>
              <w:left w:val="single" w:sz="4" w:space="0" w:color="auto"/>
              <w:bottom w:val="single" w:sz="4" w:space="0" w:color="auto"/>
              <w:right w:val="single" w:sz="4" w:space="0" w:color="auto"/>
            </w:tcBorders>
            <w:vAlign w:val="center"/>
          </w:tcPr>
          <w:p w14:paraId="2C4EF576" w14:textId="5DA9A062" w:rsidR="00F07A23" w:rsidRPr="00767EE6" w:rsidRDefault="00F07A23" w:rsidP="00F07A23">
            <w:pPr>
              <w:spacing w:afterLines="20" w:after="48"/>
              <w:jc w:val="right"/>
              <w:rPr>
                <w:sz w:val="20"/>
                <w:szCs w:val="20"/>
              </w:rPr>
            </w:pPr>
            <w:r>
              <w:rPr>
                <w:sz w:val="20"/>
                <w:szCs w:val="20"/>
              </w:rPr>
              <w:t>8 620</w:t>
            </w:r>
          </w:p>
        </w:tc>
      </w:tr>
    </w:tbl>
    <w:p w14:paraId="466CC3DA" w14:textId="77777777" w:rsidR="00EA598B" w:rsidRPr="00862FA7" w:rsidRDefault="00EA598B" w:rsidP="00EA598B">
      <w:pPr>
        <w:jc w:val="left"/>
        <w:rPr>
          <w:sz w:val="18"/>
          <w:szCs w:val="18"/>
        </w:rPr>
      </w:pPr>
    </w:p>
    <w:tbl>
      <w:tblPr>
        <w:tblStyle w:val="Grigliatabella"/>
        <w:tblW w:w="11341" w:type="dxa"/>
        <w:tblInd w:w="-9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21"/>
        <w:gridCol w:w="6520"/>
      </w:tblGrid>
      <w:tr w:rsidR="00EA598B" w:rsidRPr="00830019" w14:paraId="3E56E384" w14:textId="77777777" w:rsidTr="00964958">
        <w:trPr>
          <w:trHeight w:val="42"/>
        </w:trPr>
        <w:tc>
          <w:tcPr>
            <w:tcW w:w="4821" w:type="dxa"/>
            <w:hideMark/>
          </w:tcPr>
          <w:p w14:paraId="55A2536B" w14:textId="77777777" w:rsidR="00EA598B" w:rsidRPr="00830019" w:rsidRDefault="00EA598B" w:rsidP="00470683">
            <w:pPr>
              <w:spacing w:after="60"/>
              <w:jc w:val="left"/>
              <w:rPr>
                <w:b/>
                <w:sz w:val="20"/>
                <w:szCs w:val="20"/>
              </w:rPr>
            </w:pPr>
            <w:r>
              <w:rPr>
                <w:b/>
                <w:sz w:val="20"/>
                <w:szCs w:val="20"/>
              </w:rPr>
              <w:t>Recommandation du Secrétariat :</w:t>
            </w:r>
          </w:p>
        </w:tc>
        <w:tc>
          <w:tcPr>
            <w:tcW w:w="6520" w:type="dxa"/>
            <w:hideMark/>
          </w:tcPr>
          <w:p w14:paraId="4F6705D0" w14:textId="33667BD2" w:rsidR="00EA598B" w:rsidRPr="00830019" w:rsidRDefault="00EA598B" w:rsidP="00470683">
            <w:pPr>
              <w:spacing w:after="60"/>
              <w:jc w:val="center"/>
              <w:rPr>
                <w:sz w:val="20"/>
                <w:szCs w:val="20"/>
              </w:rPr>
            </w:pPr>
            <w:r>
              <w:rPr>
                <w:sz w:val="20"/>
                <w:szCs w:val="20"/>
              </w:rPr>
              <w:t>Approbation globale</w:t>
            </w:r>
          </w:p>
        </w:tc>
      </w:tr>
    </w:tbl>
    <w:p w14:paraId="26630876" w14:textId="77777777" w:rsidR="00EA598B" w:rsidRPr="0034371D" w:rsidRDefault="00EA598B" w:rsidP="00EA598B">
      <w:r>
        <w:br w:type="page"/>
      </w:r>
    </w:p>
    <w:p w14:paraId="4048519C" w14:textId="77777777" w:rsidR="00EA598B" w:rsidRPr="007873BC" w:rsidRDefault="00EA598B" w:rsidP="0028245E">
      <w:pPr>
        <w:keepNext/>
        <w:spacing w:after="240"/>
        <w:jc w:val="center"/>
        <w:rPr>
          <w:b/>
          <w:color w:val="000000" w:themeColor="text1"/>
        </w:rPr>
      </w:pPr>
      <w:r>
        <w:rPr>
          <w:b/>
          <w:color w:val="000000" w:themeColor="text1"/>
        </w:rPr>
        <w:lastRenderedPageBreak/>
        <w:t>DESCRIPTION DU PROJET</w:t>
      </w:r>
    </w:p>
    <w:p w14:paraId="63EDFC14" w14:textId="23448405" w:rsidR="00E941BC" w:rsidRPr="007873BC" w:rsidRDefault="00E941BC" w:rsidP="00E941BC">
      <w:pPr>
        <w:pStyle w:val="Titolo1"/>
        <w:rPr>
          <w:color w:val="000000" w:themeColor="text1"/>
        </w:rPr>
      </w:pPr>
      <w:r>
        <w:rPr>
          <w:color w:val="000000" w:themeColor="text1"/>
        </w:rPr>
        <w:t>Au nom du gouvernement de Bahreïn, le PNUE, en tant qu’agence d’exécution principale, a soumis une demande de financement pour la troisième et dernière tranche de la phase II du plan de gestion de l’élimination des HCFC (PGEH), pour un coût total de 84 620 $ US, soit 55 000 $ US, plus des coûts d’appui d’agence de 7 150 $ US pour le PNUE, et 21 000 $ US, plus des coûts d’appui d’agence de 1 470 $ US pour l’ONUDI</w:t>
      </w:r>
      <w:r w:rsidRPr="007873BC">
        <w:rPr>
          <w:rStyle w:val="Rimandonotaapidipagina"/>
          <w:color w:val="000000" w:themeColor="text1"/>
        </w:rPr>
        <w:footnoteReference w:id="2"/>
      </w:r>
      <w:r>
        <w:rPr>
          <w:color w:val="000000" w:themeColor="text1"/>
        </w:rPr>
        <w:t>. La présentation comprend un rapport périodique sur la mise en œuvre de la deuxième tranche, le rapport de vérification sur la consommation des HCFC pour 2023, ainsi que le plan de mise en œuvre de la tranche pour 2025 à 2026.</w:t>
      </w:r>
    </w:p>
    <w:p w14:paraId="25D0035D" w14:textId="77777777" w:rsidR="00EA598B" w:rsidRPr="007873BC" w:rsidRDefault="00EA598B" w:rsidP="0028245E">
      <w:pPr>
        <w:keepNext/>
        <w:spacing w:after="240"/>
        <w:rPr>
          <w:u w:val="single"/>
        </w:rPr>
      </w:pPr>
      <w:r>
        <w:rPr>
          <w:u w:val="single"/>
        </w:rPr>
        <w:t>Rapport sur la consommation des HCFC</w:t>
      </w:r>
    </w:p>
    <w:p w14:paraId="499BC471" w14:textId="4541CBEA" w:rsidR="00B44D40" w:rsidRPr="007873BC" w:rsidRDefault="00B44D40" w:rsidP="00B44D40">
      <w:pPr>
        <w:pStyle w:val="Titolo1"/>
      </w:pPr>
      <w:r>
        <w:t>Le gouvernement de Bahreïn a déclaré une consommation de 29,6 tonnes PAO de HCFC en 2023, ce qui est 43 pour cent inférieur à la valeur de référence pour la conformité. La consommation de HCFC pour 2019 à 2023 est indiquée au tableau 1.</w:t>
      </w:r>
    </w:p>
    <w:p w14:paraId="10EB80D2" w14:textId="3FF164F9" w:rsidR="00EE6C9C" w:rsidRDefault="00EE6C9C" w:rsidP="00EE6C9C">
      <w:pPr>
        <w:rPr>
          <w:b/>
        </w:rPr>
      </w:pPr>
      <w:bookmarkStart w:id="2" w:name="_Hlk179276506"/>
      <w:r>
        <w:rPr>
          <w:b/>
        </w:rPr>
        <w:t>Tableau</w:t>
      </w:r>
      <w:r w:rsidR="00437B3A">
        <w:rPr>
          <w:b/>
        </w:rPr>
        <w:t> </w:t>
      </w:r>
      <w:r>
        <w:rPr>
          <w:b/>
        </w:rPr>
        <w:t>1. Consommation de HCFC à Bahreïn (2019-2023, données de l’Article</w:t>
      </w:r>
      <w:r w:rsidR="00437B3A">
        <w:rPr>
          <w:b/>
        </w:rPr>
        <w:t> </w:t>
      </w:r>
      <w:r>
        <w:rPr>
          <w:b/>
        </w:rPr>
        <w:t>7)</w:t>
      </w:r>
    </w:p>
    <w:tbl>
      <w:tblPr>
        <w:tblW w:w="5000" w:type="pct"/>
        <w:tblLayout w:type="fixed"/>
        <w:tblLook w:val="04A0" w:firstRow="1" w:lastRow="0" w:firstColumn="1" w:lastColumn="0" w:noHBand="0" w:noVBand="1"/>
      </w:tblPr>
      <w:tblGrid>
        <w:gridCol w:w="3964"/>
        <w:gridCol w:w="851"/>
        <w:gridCol w:w="849"/>
        <w:gridCol w:w="851"/>
        <w:gridCol w:w="851"/>
        <w:gridCol w:w="853"/>
        <w:gridCol w:w="1131"/>
      </w:tblGrid>
      <w:tr w:rsidR="008E5B7B" w14:paraId="626111B7" w14:textId="77777777" w:rsidTr="00AD2DDF">
        <w:trPr>
          <w:tblHeader/>
        </w:trPr>
        <w:tc>
          <w:tcPr>
            <w:tcW w:w="212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5B9AE77" w14:textId="77777777" w:rsidR="008E5B7B" w:rsidRDefault="008E5B7B" w:rsidP="008E5B7B">
            <w:pPr>
              <w:widowControl w:val="0"/>
              <w:jc w:val="center"/>
              <w:rPr>
                <w:b/>
                <w:bCs/>
                <w:color w:val="000000"/>
                <w:sz w:val="20"/>
                <w:szCs w:val="20"/>
              </w:rPr>
            </w:pPr>
            <w:r>
              <w:rPr>
                <w:b/>
                <w:bCs/>
                <w:color w:val="000000"/>
                <w:sz w:val="20"/>
                <w:szCs w:val="20"/>
              </w:rPr>
              <w:t>HCFC</w:t>
            </w:r>
          </w:p>
        </w:tc>
        <w:tc>
          <w:tcPr>
            <w:tcW w:w="455" w:type="pct"/>
            <w:tcBorders>
              <w:top w:val="single" w:sz="4" w:space="0" w:color="auto"/>
              <w:left w:val="nil"/>
              <w:bottom w:val="single" w:sz="4" w:space="0" w:color="auto"/>
              <w:right w:val="single" w:sz="4" w:space="0" w:color="auto"/>
            </w:tcBorders>
            <w:noWrap/>
            <w:vAlign w:val="center"/>
            <w:hideMark/>
          </w:tcPr>
          <w:p w14:paraId="2F66CB38" w14:textId="2B5E04ED" w:rsidR="008E5B7B" w:rsidRDefault="008E5B7B" w:rsidP="008E5B7B">
            <w:pPr>
              <w:widowControl w:val="0"/>
              <w:jc w:val="center"/>
              <w:rPr>
                <w:b/>
                <w:bCs/>
                <w:color w:val="000000"/>
                <w:sz w:val="20"/>
                <w:szCs w:val="20"/>
              </w:rPr>
            </w:pPr>
            <w:r>
              <w:rPr>
                <w:b/>
                <w:bCs/>
                <w:color w:val="000000"/>
                <w:sz w:val="20"/>
                <w:szCs w:val="20"/>
              </w:rPr>
              <w:t>2019</w:t>
            </w:r>
          </w:p>
        </w:tc>
        <w:tc>
          <w:tcPr>
            <w:tcW w:w="454" w:type="pct"/>
            <w:tcBorders>
              <w:top w:val="single" w:sz="4" w:space="0" w:color="auto"/>
              <w:left w:val="nil"/>
              <w:bottom w:val="single" w:sz="4" w:space="0" w:color="auto"/>
              <w:right w:val="single" w:sz="4" w:space="0" w:color="auto"/>
            </w:tcBorders>
            <w:noWrap/>
            <w:vAlign w:val="center"/>
            <w:hideMark/>
          </w:tcPr>
          <w:p w14:paraId="158F01D5" w14:textId="17CC3E9A" w:rsidR="008E5B7B" w:rsidRDefault="008E5B7B" w:rsidP="008E5B7B">
            <w:pPr>
              <w:widowControl w:val="0"/>
              <w:jc w:val="center"/>
              <w:rPr>
                <w:b/>
                <w:bCs/>
                <w:color w:val="000000"/>
                <w:sz w:val="20"/>
                <w:szCs w:val="20"/>
              </w:rPr>
            </w:pPr>
            <w:r>
              <w:rPr>
                <w:b/>
                <w:bCs/>
                <w:color w:val="000000"/>
                <w:sz w:val="20"/>
                <w:szCs w:val="20"/>
              </w:rPr>
              <w:t>2020</w:t>
            </w:r>
          </w:p>
        </w:tc>
        <w:tc>
          <w:tcPr>
            <w:tcW w:w="455" w:type="pct"/>
            <w:tcBorders>
              <w:top w:val="single" w:sz="4" w:space="0" w:color="auto"/>
              <w:left w:val="nil"/>
              <w:bottom w:val="single" w:sz="4" w:space="0" w:color="auto"/>
              <w:right w:val="single" w:sz="4" w:space="0" w:color="auto"/>
            </w:tcBorders>
            <w:noWrap/>
            <w:vAlign w:val="center"/>
            <w:hideMark/>
          </w:tcPr>
          <w:p w14:paraId="2A45FDBB" w14:textId="00C9256C" w:rsidR="008E5B7B" w:rsidRDefault="008E5B7B" w:rsidP="008E5B7B">
            <w:pPr>
              <w:widowControl w:val="0"/>
              <w:jc w:val="center"/>
              <w:rPr>
                <w:b/>
                <w:bCs/>
                <w:color w:val="000000"/>
                <w:sz w:val="20"/>
                <w:szCs w:val="20"/>
              </w:rPr>
            </w:pPr>
            <w:r>
              <w:rPr>
                <w:b/>
                <w:bCs/>
                <w:color w:val="000000"/>
                <w:sz w:val="20"/>
                <w:szCs w:val="20"/>
              </w:rPr>
              <w:t>2021</w:t>
            </w:r>
          </w:p>
        </w:tc>
        <w:tc>
          <w:tcPr>
            <w:tcW w:w="455" w:type="pct"/>
            <w:tcBorders>
              <w:top w:val="single" w:sz="4" w:space="0" w:color="auto"/>
              <w:left w:val="nil"/>
              <w:bottom w:val="single" w:sz="4" w:space="0" w:color="auto"/>
              <w:right w:val="single" w:sz="4" w:space="0" w:color="auto"/>
            </w:tcBorders>
            <w:vAlign w:val="center"/>
            <w:hideMark/>
          </w:tcPr>
          <w:p w14:paraId="5A23AEFF" w14:textId="74D93CA9" w:rsidR="008E5B7B" w:rsidRDefault="008E5B7B" w:rsidP="008E5B7B">
            <w:pPr>
              <w:widowControl w:val="0"/>
              <w:jc w:val="center"/>
              <w:rPr>
                <w:b/>
                <w:bCs/>
                <w:color w:val="000000"/>
                <w:sz w:val="20"/>
                <w:szCs w:val="20"/>
              </w:rPr>
            </w:pPr>
            <w:r>
              <w:rPr>
                <w:b/>
                <w:bCs/>
                <w:color w:val="000000"/>
                <w:sz w:val="20"/>
                <w:szCs w:val="20"/>
              </w:rPr>
              <w:t>2022</w:t>
            </w:r>
          </w:p>
        </w:tc>
        <w:tc>
          <w:tcPr>
            <w:tcW w:w="456" w:type="pct"/>
            <w:tcBorders>
              <w:top w:val="single" w:sz="4" w:space="0" w:color="auto"/>
              <w:left w:val="single" w:sz="4" w:space="0" w:color="auto"/>
              <w:bottom w:val="single" w:sz="4" w:space="0" w:color="auto"/>
              <w:right w:val="single" w:sz="4" w:space="0" w:color="auto"/>
            </w:tcBorders>
            <w:vAlign w:val="center"/>
            <w:hideMark/>
          </w:tcPr>
          <w:p w14:paraId="25FD5217" w14:textId="0CD37B9B" w:rsidR="008E5B7B" w:rsidRDefault="008E5B7B" w:rsidP="008E5B7B">
            <w:pPr>
              <w:widowControl w:val="0"/>
              <w:jc w:val="center"/>
              <w:rPr>
                <w:b/>
                <w:bCs/>
                <w:color w:val="000000"/>
                <w:sz w:val="20"/>
                <w:szCs w:val="20"/>
              </w:rPr>
            </w:pPr>
            <w:r>
              <w:rPr>
                <w:b/>
                <w:bCs/>
                <w:color w:val="000000"/>
                <w:sz w:val="20"/>
                <w:szCs w:val="20"/>
              </w:rPr>
              <w:t>2023</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024313F3" w14:textId="77777777" w:rsidR="008E5B7B" w:rsidRDefault="008E5B7B" w:rsidP="008E5B7B">
            <w:pPr>
              <w:widowControl w:val="0"/>
              <w:jc w:val="center"/>
              <w:rPr>
                <w:b/>
                <w:bCs/>
                <w:color w:val="000000"/>
                <w:sz w:val="20"/>
                <w:szCs w:val="20"/>
              </w:rPr>
            </w:pPr>
            <w:r>
              <w:rPr>
                <w:b/>
                <w:bCs/>
                <w:color w:val="000000"/>
                <w:sz w:val="20"/>
                <w:szCs w:val="20"/>
              </w:rPr>
              <w:t>Valeur de référence</w:t>
            </w:r>
          </w:p>
        </w:tc>
      </w:tr>
      <w:tr w:rsidR="00EE6C9C" w14:paraId="0B186B80" w14:textId="77777777" w:rsidTr="00AD2DDF">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0F17B6A" w14:textId="77777777" w:rsidR="00EE6C9C" w:rsidRDefault="00EE6C9C">
            <w:pPr>
              <w:widowControl w:val="0"/>
              <w:ind w:left="98"/>
              <w:jc w:val="left"/>
              <w:rPr>
                <w:b/>
                <w:bCs/>
                <w:color w:val="000000"/>
                <w:sz w:val="20"/>
                <w:szCs w:val="20"/>
              </w:rPr>
            </w:pPr>
            <w:r>
              <w:rPr>
                <w:b/>
                <w:bCs/>
                <w:color w:val="000000"/>
                <w:sz w:val="20"/>
                <w:szCs w:val="20"/>
              </w:rPr>
              <w:t>Tonnes métriques (</w:t>
            </w:r>
            <w:proofErr w:type="spellStart"/>
            <w:r>
              <w:rPr>
                <w:b/>
                <w:bCs/>
                <w:color w:val="000000"/>
                <w:sz w:val="20"/>
                <w:szCs w:val="20"/>
              </w:rPr>
              <w:t>tm</w:t>
            </w:r>
            <w:proofErr w:type="spellEnd"/>
            <w:r>
              <w:rPr>
                <w:b/>
                <w:bCs/>
                <w:color w:val="000000"/>
                <w:sz w:val="20"/>
                <w:szCs w:val="20"/>
              </w:rPr>
              <w:t>)</w:t>
            </w:r>
          </w:p>
        </w:tc>
      </w:tr>
      <w:tr w:rsidR="008E5B7B" w14:paraId="4CA42AFE" w14:textId="77777777" w:rsidTr="00AD2DDF">
        <w:tc>
          <w:tcPr>
            <w:tcW w:w="212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E0C6BF" w14:textId="77777777" w:rsidR="008E5B7B" w:rsidRDefault="008E5B7B" w:rsidP="008E5B7B">
            <w:pPr>
              <w:widowControl w:val="0"/>
              <w:ind w:left="98"/>
              <w:jc w:val="left"/>
              <w:rPr>
                <w:color w:val="000000"/>
                <w:sz w:val="20"/>
                <w:szCs w:val="20"/>
              </w:rPr>
            </w:pPr>
            <w:r>
              <w:rPr>
                <w:color w:val="000000"/>
                <w:sz w:val="20"/>
                <w:szCs w:val="20"/>
              </w:rPr>
              <w:t>HCFC-22</w:t>
            </w:r>
          </w:p>
        </w:tc>
        <w:tc>
          <w:tcPr>
            <w:tcW w:w="455" w:type="pct"/>
            <w:tcBorders>
              <w:top w:val="nil"/>
              <w:left w:val="nil"/>
              <w:bottom w:val="single" w:sz="4" w:space="0" w:color="auto"/>
              <w:right w:val="single" w:sz="4" w:space="0" w:color="auto"/>
            </w:tcBorders>
            <w:noWrap/>
          </w:tcPr>
          <w:p w14:paraId="44355E89" w14:textId="52AFAB51" w:rsidR="008E5B7B" w:rsidRDefault="008E5B7B" w:rsidP="008E5B7B">
            <w:pPr>
              <w:widowControl w:val="0"/>
              <w:tabs>
                <w:tab w:val="left" w:pos="430"/>
              </w:tabs>
              <w:ind w:left="-137" w:right="63"/>
              <w:jc w:val="right"/>
              <w:rPr>
                <w:sz w:val="20"/>
                <w:szCs w:val="20"/>
              </w:rPr>
            </w:pPr>
            <w:r>
              <w:rPr>
                <w:color w:val="000000"/>
                <w:sz w:val="20"/>
                <w:szCs w:val="20"/>
              </w:rPr>
              <w:t>669,44</w:t>
            </w:r>
          </w:p>
        </w:tc>
        <w:tc>
          <w:tcPr>
            <w:tcW w:w="454" w:type="pct"/>
            <w:tcBorders>
              <w:top w:val="nil"/>
              <w:left w:val="nil"/>
              <w:bottom w:val="single" w:sz="4" w:space="0" w:color="auto"/>
              <w:right w:val="single" w:sz="4" w:space="0" w:color="auto"/>
            </w:tcBorders>
            <w:noWrap/>
            <w:hideMark/>
          </w:tcPr>
          <w:p w14:paraId="4E787CBE" w14:textId="5C4F5E14" w:rsidR="008E5B7B" w:rsidRDefault="008E5B7B" w:rsidP="008E5B7B">
            <w:pPr>
              <w:widowControl w:val="0"/>
              <w:tabs>
                <w:tab w:val="left" w:pos="430"/>
              </w:tabs>
              <w:ind w:left="-137" w:right="63"/>
              <w:jc w:val="right"/>
              <w:rPr>
                <w:sz w:val="20"/>
                <w:szCs w:val="20"/>
              </w:rPr>
            </w:pPr>
            <w:r>
              <w:rPr>
                <w:color w:val="000000"/>
                <w:sz w:val="20"/>
                <w:szCs w:val="20"/>
              </w:rPr>
              <w:t>595,55</w:t>
            </w:r>
          </w:p>
        </w:tc>
        <w:tc>
          <w:tcPr>
            <w:tcW w:w="455" w:type="pct"/>
            <w:tcBorders>
              <w:top w:val="nil"/>
              <w:left w:val="nil"/>
              <w:bottom w:val="single" w:sz="4" w:space="0" w:color="auto"/>
              <w:right w:val="single" w:sz="4" w:space="0" w:color="auto"/>
            </w:tcBorders>
            <w:noWrap/>
            <w:hideMark/>
          </w:tcPr>
          <w:p w14:paraId="7F567018" w14:textId="015A627B" w:rsidR="008E5B7B" w:rsidRDefault="008E5B7B" w:rsidP="008E5B7B">
            <w:pPr>
              <w:widowControl w:val="0"/>
              <w:tabs>
                <w:tab w:val="left" w:pos="430"/>
              </w:tabs>
              <w:ind w:left="-137" w:right="63"/>
              <w:jc w:val="right"/>
              <w:rPr>
                <w:color w:val="000000"/>
                <w:sz w:val="20"/>
                <w:szCs w:val="20"/>
              </w:rPr>
            </w:pPr>
            <w:r>
              <w:rPr>
                <w:color w:val="000000"/>
                <w:sz w:val="20"/>
                <w:szCs w:val="20"/>
              </w:rPr>
              <w:t>447,38</w:t>
            </w:r>
          </w:p>
        </w:tc>
        <w:tc>
          <w:tcPr>
            <w:tcW w:w="455" w:type="pct"/>
            <w:tcBorders>
              <w:top w:val="single" w:sz="4" w:space="0" w:color="auto"/>
              <w:left w:val="nil"/>
              <w:bottom w:val="single" w:sz="4" w:space="0" w:color="auto"/>
              <w:right w:val="single" w:sz="2" w:space="0" w:color="auto"/>
            </w:tcBorders>
            <w:hideMark/>
          </w:tcPr>
          <w:p w14:paraId="32173837" w14:textId="7D26BDE9" w:rsidR="008E5B7B" w:rsidRDefault="008E5B7B" w:rsidP="008E5B7B">
            <w:pPr>
              <w:widowControl w:val="0"/>
              <w:tabs>
                <w:tab w:val="left" w:pos="430"/>
              </w:tabs>
              <w:ind w:left="-137" w:right="63"/>
              <w:jc w:val="right"/>
              <w:rPr>
                <w:color w:val="000000"/>
                <w:sz w:val="20"/>
                <w:szCs w:val="20"/>
              </w:rPr>
            </w:pPr>
            <w:r>
              <w:rPr>
                <w:color w:val="000000" w:themeColor="text1"/>
                <w:sz w:val="20"/>
                <w:szCs w:val="20"/>
              </w:rPr>
              <w:t>463,90</w:t>
            </w:r>
          </w:p>
        </w:tc>
        <w:tc>
          <w:tcPr>
            <w:tcW w:w="456" w:type="pct"/>
            <w:tcBorders>
              <w:top w:val="single" w:sz="2" w:space="0" w:color="auto"/>
              <w:left w:val="single" w:sz="2" w:space="0" w:color="auto"/>
              <w:bottom w:val="single" w:sz="2" w:space="0" w:color="auto"/>
              <w:right w:val="single" w:sz="2" w:space="0" w:color="auto"/>
            </w:tcBorders>
          </w:tcPr>
          <w:p w14:paraId="3FD4543F" w14:textId="6A2A1139" w:rsidR="008E5B7B" w:rsidRDefault="00BC2901" w:rsidP="008E5B7B">
            <w:pPr>
              <w:widowControl w:val="0"/>
              <w:tabs>
                <w:tab w:val="left" w:pos="430"/>
              </w:tabs>
              <w:ind w:left="-137" w:right="63"/>
              <w:jc w:val="right"/>
              <w:rPr>
                <w:color w:val="000000"/>
                <w:sz w:val="20"/>
                <w:szCs w:val="20"/>
              </w:rPr>
            </w:pPr>
            <w:r>
              <w:rPr>
                <w:color w:val="000000"/>
                <w:sz w:val="20"/>
                <w:szCs w:val="20"/>
              </w:rPr>
              <w:t>538,13</w:t>
            </w:r>
          </w:p>
        </w:tc>
        <w:tc>
          <w:tcPr>
            <w:tcW w:w="605" w:type="pct"/>
            <w:tcBorders>
              <w:top w:val="nil"/>
              <w:left w:val="single" w:sz="2" w:space="0" w:color="auto"/>
              <w:bottom w:val="single" w:sz="4" w:space="0" w:color="auto"/>
              <w:right w:val="single" w:sz="4" w:space="0" w:color="auto"/>
            </w:tcBorders>
            <w:noWrap/>
            <w:hideMark/>
          </w:tcPr>
          <w:p w14:paraId="4FB0CC8D" w14:textId="77777777" w:rsidR="008E5B7B" w:rsidRDefault="008E5B7B" w:rsidP="008E5B7B">
            <w:pPr>
              <w:widowControl w:val="0"/>
              <w:ind w:left="-279" w:right="112"/>
              <w:jc w:val="right"/>
              <w:rPr>
                <w:color w:val="000000"/>
                <w:sz w:val="20"/>
                <w:szCs w:val="20"/>
              </w:rPr>
            </w:pPr>
            <w:r>
              <w:rPr>
                <w:color w:val="000000"/>
                <w:sz w:val="20"/>
                <w:szCs w:val="20"/>
              </w:rPr>
              <w:t>935,80</w:t>
            </w:r>
          </w:p>
        </w:tc>
      </w:tr>
      <w:tr w:rsidR="008E5B7B" w14:paraId="59C98BB5" w14:textId="77777777" w:rsidTr="00AD2DDF">
        <w:tc>
          <w:tcPr>
            <w:tcW w:w="212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1123015" w14:textId="77777777" w:rsidR="008E5B7B" w:rsidRDefault="008E5B7B" w:rsidP="008E5B7B">
            <w:pPr>
              <w:widowControl w:val="0"/>
              <w:ind w:left="98"/>
              <w:jc w:val="left"/>
              <w:rPr>
                <w:color w:val="000000"/>
                <w:sz w:val="20"/>
                <w:szCs w:val="20"/>
              </w:rPr>
            </w:pPr>
            <w:r>
              <w:rPr>
                <w:color w:val="000000"/>
                <w:sz w:val="20"/>
                <w:szCs w:val="20"/>
              </w:rPr>
              <w:t>HCFC-141b</w:t>
            </w:r>
          </w:p>
        </w:tc>
        <w:tc>
          <w:tcPr>
            <w:tcW w:w="455" w:type="pct"/>
            <w:tcBorders>
              <w:top w:val="nil"/>
              <w:left w:val="nil"/>
              <w:bottom w:val="single" w:sz="4" w:space="0" w:color="auto"/>
              <w:right w:val="single" w:sz="4" w:space="0" w:color="auto"/>
            </w:tcBorders>
            <w:noWrap/>
          </w:tcPr>
          <w:p w14:paraId="41CB7F5A" w14:textId="52507DA0" w:rsidR="008E5B7B" w:rsidRDefault="008E5B7B" w:rsidP="008E5B7B">
            <w:pPr>
              <w:widowControl w:val="0"/>
              <w:tabs>
                <w:tab w:val="left" w:pos="430"/>
              </w:tabs>
              <w:ind w:left="-137" w:right="63"/>
              <w:jc w:val="right"/>
              <w:rPr>
                <w:sz w:val="20"/>
                <w:szCs w:val="20"/>
              </w:rPr>
            </w:pPr>
            <w:r>
              <w:rPr>
                <w:color w:val="000000"/>
                <w:sz w:val="20"/>
                <w:szCs w:val="20"/>
              </w:rPr>
              <w:t>2,01</w:t>
            </w:r>
          </w:p>
        </w:tc>
        <w:tc>
          <w:tcPr>
            <w:tcW w:w="454" w:type="pct"/>
            <w:tcBorders>
              <w:top w:val="nil"/>
              <w:left w:val="nil"/>
              <w:bottom w:val="single" w:sz="4" w:space="0" w:color="auto"/>
              <w:right w:val="single" w:sz="4" w:space="0" w:color="auto"/>
            </w:tcBorders>
            <w:noWrap/>
            <w:hideMark/>
          </w:tcPr>
          <w:p w14:paraId="36E184D9" w14:textId="40B891E2" w:rsidR="008E5B7B" w:rsidRDefault="008E5B7B" w:rsidP="008E5B7B">
            <w:pPr>
              <w:widowControl w:val="0"/>
              <w:tabs>
                <w:tab w:val="left" w:pos="430"/>
              </w:tabs>
              <w:ind w:left="-137" w:right="63"/>
              <w:jc w:val="right"/>
              <w:rPr>
                <w:sz w:val="20"/>
                <w:szCs w:val="20"/>
              </w:rPr>
            </w:pPr>
            <w:r>
              <w:rPr>
                <w:color w:val="000000"/>
                <w:sz w:val="20"/>
                <w:szCs w:val="20"/>
              </w:rPr>
              <w:t>0,00</w:t>
            </w:r>
          </w:p>
        </w:tc>
        <w:tc>
          <w:tcPr>
            <w:tcW w:w="455" w:type="pct"/>
            <w:tcBorders>
              <w:top w:val="nil"/>
              <w:left w:val="nil"/>
              <w:bottom w:val="single" w:sz="4" w:space="0" w:color="auto"/>
              <w:right w:val="single" w:sz="4" w:space="0" w:color="auto"/>
            </w:tcBorders>
            <w:noWrap/>
            <w:hideMark/>
          </w:tcPr>
          <w:p w14:paraId="04B25AEB" w14:textId="2DDFBC80" w:rsidR="008E5B7B" w:rsidRDefault="008E5B7B" w:rsidP="008E5B7B">
            <w:pPr>
              <w:widowControl w:val="0"/>
              <w:tabs>
                <w:tab w:val="left" w:pos="430"/>
              </w:tabs>
              <w:ind w:left="-137" w:right="63"/>
              <w:jc w:val="right"/>
              <w:rPr>
                <w:color w:val="000000"/>
                <w:sz w:val="20"/>
                <w:szCs w:val="20"/>
              </w:rPr>
            </w:pPr>
            <w:r>
              <w:rPr>
                <w:color w:val="000000"/>
                <w:sz w:val="20"/>
                <w:szCs w:val="20"/>
              </w:rPr>
              <w:t>0,00</w:t>
            </w:r>
          </w:p>
        </w:tc>
        <w:tc>
          <w:tcPr>
            <w:tcW w:w="455" w:type="pct"/>
            <w:tcBorders>
              <w:top w:val="single" w:sz="4" w:space="0" w:color="auto"/>
              <w:left w:val="nil"/>
              <w:bottom w:val="single" w:sz="4" w:space="0" w:color="auto"/>
              <w:right w:val="single" w:sz="4" w:space="0" w:color="auto"/>
            </w:tcBorders>
            <w:hideMark/>
          </w:tcPr>
          <w:p w14:paraId="495693EE" w14:textId="29F3C6DA" w:rsidR="008E5B7B" w:rsidRDefault="008E5B7B" w:rsidP="008E5B7B">
            <w:pPr>
              <w:widowControl w:val="0"/>
              <w:tabs>
                <w:tab w:val="left" w:pos="430"/>
              </w:tabs>
              <w:ind w:left="-137" w:right="63"/>
              <w:jc w:val="right"/>
              <w:rPr>
                <w:color w:val="000000"/>
                <w:sz w:val="20"/>
                <w:szCs w:val="20"/>
              </w:rPr>
            </w:pPr>
            <w:r>
              <w:rPr>
                <w:color w:val="000000"/>
                <w:sz w:val="20"/>
                <w:szCs w:val="20"/>
              </w:rPr>
              <w:t>0,00</w:t>
            </w:r>
          </w:p>
        </w:tc>
        <w:tc>
          <w:tcPr>
            <w:tcW w:w="456" w:type="pct"/>
            <w:tcBorders>
              <w:top w:val="nil"/>
              <w:left w:val="single" w:sz="4" w:space="0" w:color="auto"/>
              <w:bottom w:val="single" w:sz="4" w:space="0" w:color="auto"/>
              <w:right w:val="single" w:sz="4" w:space="0" w:color="auto"/>
            </w:tcBorders>
          </w:tcPr>
          <w:p w14:paraId="1975F1E5" w14:textId="77278733" w:rsidR="008E5B7B" w:rsidRDefault="00BC2901" w:rsidP="008E5B7B">
            <w:pPr>
              <w:widowControl w:val="0"/>
              <w:tabs>
                <w:tab w:val="left" w:pos="430"/>
              </w:tabs>
              <w:ind w:left="-137" w:right="63"/>
              <w:jc w:val="right"/>
              <w:rPr>
                <w:color w:val="000000"/>
                <w:sz w:val="20"/>
                <w:szCs w:val="20"/>
              </w:rPr>
            </w:pPr>
            <w:r>
              <w:rPr>
                <w:color w:val="000000"/>
                <w:sz w:val="20"/>
                <w:szCs w:val="20"/>
              </w:rPr>
              <w:t>0,00</w:t>
            </w:r>
          </w:p>
        </w:tc>
        <w:tc>
          <w:tcPr>
            <w:tcW w:w="605" w:type="pct"/>
            <w:tcBorders>
              <w:top w:val="nil"/>
              <w:left w:val="single" w:sz="4" w:space="0" w:color="auto"/>
              <w:bottom w:val="single" w:sz="4" w:space="0" w:color="auto"/>
              <w:right w:val="single" w:sz="4" w:space="0" w:color="auto"/>
            </w:tcBorders>
            <w:noWrap/>
            <w:hideMark/>
          </w:tcPr>
          <w:p w14:paraId="5CCDAF43" w14:textId="77777777" w:rsidR="008E5B7B" w:rsidRDefault="008E5B7B" w:rsidP="008E5B7B">
            <w:pPr>
              <w:widowControl w:val="0"/>
              <w:ind w:left="-279" w:right="112"/>
              <w:jc w:val="right"/>
              <w:rPr>
                <w:color w:val="000000"/>
                <w:sz w:val="20"/>
                <w:szCs w:val="20"/>
              </w:rPr>
            </w:pPr>
            <w:r>
              <w:rPr>
                <w:color w:val="000000"/>
                <w:sz w:val="20"/>
                <w:szCs w:val="20"/>
              </w:rPr>
              <w:t>4,00</w:t>
            </w:r>
          </w:p>
        </w:tc>
      </w:tr>
      <w:tr w:rsidR="00BC2901" w14:paraId="76B97D1B" w14:textId="77777777" w:rsidTr="00AD2DDF">
        <w:tc>
          <w:tcPr>
            <w:tcW w:w="212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4018DF3" w14:textId="77777777" w:rsidR="00BC2901" w:rsidRDefault="00BC2901" w:rsidP="00BC2901">
            <w:pPr>
              <w:ind w:left="98"/>
              <w:jc w:val="left"/>
              <w:rPr>
                <w:rFonts w:eastAsia="Calibr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455" w:type="pct"/>
            <w:tcBorders>
              <w:top w:val="nil"/>
              <w:left w:val="nil"/>
              <w:bottom w:val="single" w:sz="4" w:space="0" w:color="auto"/>
              <w:right w:val="single" w:sz="4" w:space="0" w:color="auto"/>
            </w:tcBorders>
            <w:noWrap/>
          </w:tcPr>
          <w:p w14:paraId="6AAF6C08" w14:textId="08206DA5" w:rsidR="00BC2901" w:rsidRDefault="00BC2901" w:rsidP="00BC2901">
            <w:pPr>
              <w:widowControl w:val="0"/>
              <w:tabs>
                <w:tab w:val="left" w:pos="430"/>
              </w:tabs>
              <w:ind w:left="-137" w:right="63"/>
              <w:jc w:val="right"/>
              <w:rPr>
                <w:b/>
                <w:color w:val="000000"/>
                <w:sz w:val="20"/>
                <w:szCs w:val="20"/>
              </w:rPr>
            </w:pPr>
            <w:r>
              <w:rPr>
                <w:b/>
                <w:bCs/>
                <w:color w:val="000000"/>
                <w:sz w:val="20"/>
                <w:szCs w:val="20"/>
              </w:rPr>
              <w:t>671,45</w:t>
            </w:r>
          </w:p>
        </w:tc>
        <w:tc>
          <w:tcPr>
            <w:tcW w:w="454" w:type="pct"/>
            <w:tcBorders>
              <w:top w:val="nil"/>
              <w:left w:val="nil"/>
              <w:bottom w:val="single" w:sz="4" w:space="0" w:color="auto"/>
              <w:right w:val="single" w:sz="4" w:space="0" w:color="auto"/>
            </w:tcBorders>
            <w:noWrap/>
            <w:hideMark/>
          </w:tcPr>
          <w:p w14:paraId="66D0570E" w14:textId="2925BBD0" w:rsidR="00BC2901" w:rsidRDefault="00BC2901" w:rsidP="00BC2901">
            <w:pPr>
              <w:widowControl w:val="0"/>
              <w:tabs>
                <w:tab w:val="left" w:pos="430"/>
              </w:tabs>
              <w:ind w:left="-137" w:right="63"/>
              <w:jc w:val="right"/>
              <w:rPr>
                <w:b/>
                <w:color w:val="000000"/>
                <w:sz w:val="20"/>
                <w:szCs w:val="20"/>
              </w:rPr>
            </w:pPr>
            <w:r>
              <w:rPr>
                <w:b/>
                <w:bCs/>
                <w:color w:val="000000"/>
                <w:sz w:val="20"/>
                <w:szCs w:val="20"/>
              </w:rPr>
              <w:t>595,55</w:t>
            </w:r>
          </w:p>
        </w:tc>
        <w:tc>
          <w:tcPr>
            <w:tcW w:w="455" w:type="pct"/>
            <w:tcBorders>
              <w:top w:val="nil"/>
              <w:left w:val="nil"/>
              <w:bottom w:val="single" w:sz="4" w:space="0" w:color="auto"/>
              <w:right w:val="single" w:sz="4" w:space="0" w:color="auto"/>
            </w:tcBorders>
            <w:noWrap/>
            <w:hideMark/>
          </w:tcPr>
          <w:p w14:paraId="61A8A05B" w14:textId="317E457B" w:rsidR="00BC2901" w:rsidRDefault="00BC2901" w:rsidP="00BC2901">
            <w:pPr>
              <w:widowControl w:val="0"/>
              <w:tabs>
                <w:tab w:val="left" w:pos="430"/>
              </w:tabs>
              <w:ind w:left="-137" w:right="63"/>
              <w:jc w:val="right"/>
              <w:rPr>
                <w:b/>
                <w:color w:val="000000"/>
                <w:sz w:val="20"/>
                <w:szCs w:val="20"/>
              </w:rPr>
            </w:pPr>
            <w:r>
              <w:rPr>
                <w:b/>
                <w:color w:val="000000"/>
                <w:sz w:val="20"/>
                <w:szCs w:val="20"/>
              </w:rPr>
              <w:t>447,38</w:t>
            </w:r>
          </w:p>
        </w:tc>
        <w:tc>
          <w:tcPr>
            <w:tcW w:w="455" w:type="pct"/>
            <w:tcBorders>
              <w:top w:val="single" w:sz="4" w:space="0" w:color="auto"/>
              <w:left w:val="nil"/>
              <w:bottom w:val="single" w:sz="4" w:space="0" w:color="auto"/>
              <w:right w:val="single" w:sz="4" w:space="0" w:color="auto"/>
            </w:tcBorders>
            <w:hideMark/>
          </w:tcPr>
          <w:p w14:paraId="1D1CAEF5" w14:textId="264C8901" w:rsidR="00BC2901" w:rsidRDefault="00BC2901" w:rsidP="00BC2901">
            <w:pPr>
              <w:widowControl w:val="0"/>
              <w:tabs>
                <w:tab w:val="left" w:pos="430"/>
              </w:tabs>
              <w:ind w:left="-137" w:right="63"/>
              <w:jc w:val="right"/>
              <w:rPr>
                <w:b/>
                <w:color w:val="000000"/>
                <w:sz w:val="20"/>
                <w:szCs w:val="20"/>
              </w:rPr>
            </w:pPr>
            <w:r>
              <w:rPr>
                <w:b/>
                <w:color w:val="000000"/>
                <w:sz w:val="20"/>
                <w:szCs w:val="20"/>
              </w:rPr>
              <w:t>463,90</w:t>
            </w:r>
          </w:p>
        </w:tc>
        <w:tc>
          <w:tcPr>
            <w:tcW w:w="456" w:type="pct"/>
            <w:tcBorders>
              <w:top w:val="nil"/>
              <w:left w:val="single" w:sz="4" w:space="0" w:color="auto"/>
              <w:bottom w:val="single" w:sz="4" w:space="0" w:color="auto"/>
              <w:right w:val="single" w:sz="4" w:space="0" w:color="auto"/>
            </w:tcBorders>
          </w:tcPr>
          <w:p w14:paraId="7070B60E" w14:textId="3ACF494A" w:rsidR="00BC2901" w:rsidRPr="00BC2901" w:rsidRDefault="00BC2901" w:rsidP="00BC2901">
            <w:pPr>
              <w:widowControl w:val="0"/>
              <w:tabs>
                <w:tab w:val="left" w:pos="430"/>
              </w:tabs>
              <w:ind w:left="-137" w:right="63"/>
              <w:jc w:val="right"/>
              <w:rPr>
                <w:b/>
                <w:bCs/>
                <w:color w:val="000000"/>
                <w:sz w:val="20"/>
                <w:szCs w:val="20"/>
              </w:rPr>
            </w:pPr>
            <w:r>
              <w:rPr>
                <w:b/>
                <w:bCs/>
                <w:color w:val="000000"/>
                <w:sz w:val="20"/>
                <w:szCs w:val="20"/>
              </w:rPr>
              <w:t>538,13</w:t>
            </w:r>
          </w:p>
        </w:tc>
        <w:tc>
          <w:tcPr>
            <w:tcW w:w="605" w:type="pct"/>
            <w:tcBorders>
              <w:top w:val="nil"/>
              <w:left w:val="single" w:sz="4" w:space="0" w:color="auto"/>
              <w:bottom w:val="single" w:sz="4" w:space="0" w:color="auto"/>
              <w:right w:val="single" w:sz="4" w:space="0" w:color="auto"/>
            </w:tcBorders>
            <w:noWrap/>
            <w:hideMark/>
          </w:tcPr>
          <w:p w14:paraId="2F053B1C" w14:textId="77777777" w:rsidR="00BC2901" w:rsidRDefault="00BC2901" w:rsidP="00BC2901">
            <w:pPr>
              <w:widowControl w:val="0"/>
              <w:tabs>
                <w:tab w:val="left" w:pos="430"/>
              </w:tabs>
              <w:ind w:left="-137" w:right="112"/>
              <w:jc w:val="right"/>
              <w:rPr>
                <w:b/>
                <w:color w:val="000000"/>
                <w:sz w:val="20"/>
                <w:szCs w:val="20"/>
              </w:rPr>
            </w:pPr>
            <w:r>
              <w:rPr>
                <w:b/>
                <w:color w:val="000000"/>
                <w:sz w:val="20"/>
                <w:szCs w:val="20"/>
              </w:rPr>
              <w:t>939,70</w:t>
            </w:r>
          </w:p>
        </w:tc>
      </w:tr>
      <w:tr w:rsidR="00BC2901" w14:paraId="4B6C060D" w14:textId="77777777" w:rsidTr="00AD2DDF">
        <w:tc>
          <w:tcPr>
            <w:tcW w:w="212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5017024" w14:textId="77777777" w:rsidR="00BC2901" w:rsidRDefault="00BC2901" w:rsidP="00BC2901">
            <w:pPr>
              <w:ind w:left="98"/>
              <w:jc w:val="left"/>
              <w:rPr>
                <w:b/>
                <w:bCs/>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455" w:type="pct"/>
            <w:tcBorders>
              <w:top w:val="nil"/>
              <w:left w:val="nil"/>
              <w:bottom w:val="single" w:sz="4" w:space="0" w:color="auto"/>
              <w:right w:val="single" w:sz="4" w:space="0" w:color="auto"/>
            </w:tcBorders>
            <w:noWrap/>
          </w:tcPr>
          <w:p w14:paraId="6337EE51" w14:textId="6130C1AE" w:rsidR="00BC2901" w:rsidRDefault="00BC2901" w:rsidP="00BC2901">
            <w:pPr>
              <w:tabs>
                <w:tab w:val="left" w:pos="430"/>
              </w:tabs>
              <w:ind w:left="-137" w:right="63"/>
              <w:jc w:val="right"/>
              <w:rPr>
                <w:sz w:val="20"/>
                <w:szCs w:val="20"/>
              </w:rPr>
            </w:pPr>
            <w:r>
              <w:rPr>
                <w:color w:val="000000"/>
                <w:sz w:val="20"/>
                <w:szCs w:val="20"/>
              </w:rPr>
              <w:t>125,54</w:t>
            </w:r>
          </w:p>
        </w:tc>
        <w:tc>
          <w:tcPr>
            <w:tcW w:w="454" w:type="pct"/>
            <w:tcBorders>
              <w:top w:val="nil"/>
              <w:left w:val="nil"/>
              <w:bottom w:val="single" w:sz="4" w:space="0" w:color="auto"/>
              <w:right w:val="single" w:sz="4" w:space="0" w:color="auto"/>
            </w:tcBorders>
            <w:noWrap/>
            <w:hideMark/>
          </w:tcPr>
          <w:p w14:paraId="73BE8013" w14:textId="0D9555D8" w:rsidR="00BC2901" w:rsidRDefault="00BC2901" w:rsidP="00BC2901">
            <w:pPr>
              <w:tabs>
                <w:tab w:val="left" w:pos="430"/>
              </w:tabs>
              <w:ind w:left="-137" w:right="63"/>
              <w:jc w:val="right"/>
              <w:rPr>
                <w:sz w:val="20"/>
                <w:szCs w:val="20"/>
              </w:rPr>
            </w:pPr>
            <w:r>
              <w:rPr>
                <w:color w:val="000000"/>
                <w:sz w:val="20"/>
                <w:szCs w:val="20"/>
              </w:rPr>
              <w:t>89,82</w:t>
            </w:r>
          </w:p>
        </w:tc>
        <w:tc>
          <w:tcPr>
            <w:tcW w:w="455" w:type="pct"/>
            <w:tcBorders>
              <w:top w:val="nil"/>
              <w:left w:val="nil"/>
              <w:bottom w:val="single" w:sz="4" w:space="0" w:color="auto"/>
              <w:right w:val="single" w:sz="4" w:space="0" w:color="auto"/>
            </w:tcBorders>
            <w:noWrap/>
            <w:hideMark/>
          </w:tcPr>
          <w:p w14:paraId="6E445342" w14:textId="0175AFD0" w:rsidR="00BC2901" w:rsidRDefault="00BC2901" w:rsidP="00BC2901">
            <w:pPr>
              <w:tabs>
                <w:tab w:val="left" w:pos="430"/>
              </w:tabs>
              <w:ind w:left="-137" w:right="63"/>
              <w:jc w:val="right"/>
              <w:rPr>
                <w:color w:val="000000"/>
                <w:sz w:val="20"/>
                <w:szCs w:val="20"/>
              </w:rPr>
            </w:pPr>
            <w:r>
              <w:rPr>
                <w:color w:val="000000"/>
                <w:sz w:val="20"/>
                <w:szCs w:val="20"/>
              </w:rPr>
              <w:t>115,18</w:t>
            </w:r>
          </w:p>
        </w:tc>
        <w:tc>
          <w:tcPr>
            <w:tcW w:w="455" w:type="pct"/>
            <w:tcBorders>
              <w:top w:val="single" w:sz="4" w:space="0" w:color="auto"/>
              <w:left w:val="nil"/>
              <w:bottom w:val="single" w:sz="4" w:space="0" w:color="auto"/>
              <w:right w:val="single" w:sz="4" w:space="0" w:color="auto"/>
            </w:tcBorders>
            <w:hideMark/>
          </w:tcPr>
          <w:p w14:paraId="4E3AFCA4" w14:textId="15054311" w:rsidR="00BC2901" w:rsidRDefault="00BC2901" w:rsidP="00BC2901">
            <w:pPr>
              <w:tabs>
                <w:tab w:val="left" w:pos="430"/>
              </w:tabs>
              <w:ind w:left="-137" w:right="63"/>
              <w:jc w:val="right"/>
              <w:rPr>
                <w:color w:val="000000"/>
                <w:sz w:val="20"/>
                <w:szCs w:val="20"/>
              </w:rPr>
            </w:pPr>
            <w:r>
              <w:rPr>
                <w:color w:val="000000"/>
                <w:sz w:val="20"/>
                <w:szCs w:val="20"/>
              </w:rPr>
              <w:t>155,90</w:t>
            </w:r>
          </w:p>
        </w:tc>
        <w:tc>
          <w:tcPr>
            <w:tcW w:w="456" w:type="pct"/>
            <w:tcBorders>
              <w:top w:val="nil"/>
              <w:left w:val="single" w:sz="4" w:space="0" w:color="auto"/>
              <w:bottom w:val="single" w:sz="4" w:space="0" w:color="auto"/>
              <w:right w:val="single" w:sz="4" w:space="0" w:color="auto"/>
            </w:tcBorders>
          </w:tcPr>
          <w:p w14:paraId="47FB0E8C" w14:textId="7753BD32" w:rsidR="00BC2901" w:rsidRDefault="00FB58F0" w:rsidP="00BC2901">
            <w:pPr>
              <w:tabs>
                <w:tab w:val="left" w:pos="430"/>
              </w:tabs>
              <w:ind w:left="-137" w:right="63"/>
              <w:jc w:val="right"/>
              <w:rPr>
                <w:sz w:val="20"/>
                <w:szCs w:val="20"/>
              </w:rPr>
            </w:pPr>
            <w:r>
              <w:rPr>
                <w:sz w:val="20"/>
                <w:szCs w:val="20"/>
              </w:rPr>
              <w:t>149,55</w:t>
            </w:r>
          </w:p>
        </w:tc>
        <w:tc>
          <w:tcPr>
            <w:tcW w:w="605" w:type="pct"/>
            <w:tcBorders>
              <w:top w:val="nil"/>
              <w:left w:val="single" w:sz="4" w:space="0" w:color="auto"/>
              <w:bottom w:val="single" w:sz="4" w:space="0" w:color="auto"/>
              <w:right w:val="single" w:sz="4" w:space="0" w:color="auto"/>
            </w:tcBorders>
            <w:noWrap/>
            <w:hideMark/>
          </w:tcPr>
          <w:p w14:paraId="0569EB14" w14:textId="77777777" w:rsidR="00BC2901" w:rsidRDefault="00BC2901" w:rsidP="00BC2901">
            <w:pPr>
              <w:tabs>
                <w:tab w:val="left" w:pos="430"/>
              </w:tabs>
              <w:ind w:left="-137" w:right="-18"/>
              <w:jc w:val="right"/>
              <w:rPr>
                <w:sz w:val="20"/>
                <w:szCs w:val="20"/>
              </w:rPr>
            </w:pPr>
            <w:r>
              <w:rPr>
                <w:sz w:val="20"/>
                <w:szCs w:val="20"/>
              </w:rPr>
              <w:t>91,87</w:t>
            </w:r>
            <w:r>
              <w:rPr>
                <w:sz w:val="20"/>
                <w:szCs w:val="20"/>
                <w:vertAlign w:val="superscript"/>
              </w:rPr>
              <w:t>**</w:t>
            </w:r>
          </w:p>
        </w:tc>
      </w:tr>
      <w:tr w:rsidR="00BC2901" w14:paraId="16A13A1D" w14:textId="77777777" w:rsidTr="00AD2DDF">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A310BE0" w14:textId="77777777" w:rsidR="00BC2901" w:rsidRDefault="00BC2901" w:rsidP="00BC2901">
            <w:pPr>
              <w:widowControl w:val="0"/>
              <w:ind w:left="98"/>
              <w:jc w:val="left"/>
              <w:rPr>
                <w:color w:val="000000"/>
                <w:sz w:val="20"/>
                <w:szCs w:val="20"/>
              </w:rPr>
            </w:pPr>
            <w:r>
              <w:rPr>
                <w:b/>
                <w:bCs/>
                <w:color w:val="000000"/>
                <w:sz w:val="20"/>
                <w:szCs w:val="20"/>
              </w:rPr>
              <w:t>Tonnes PAO</w:t>
            </w:r>
          </w:p>
        </w:tc>
      </w:tr>
      <w:tr w:rsidR="00BC2901" w14:paraId="58568EAD" w14:textId="77777777" w:rsidTr="00AD2DDF">
        <w:tc>
          <w:tcPr>
            <w:tcW w:w="212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3F24AE" w14:textId="77777777" w:rsidR="00BC2901" w:rsidRDefault="00BC2901" w:rsidP="00BC2901">
            <w:pPr>
              <w:widowControl w:val="0"/>
              <w:ind w:left="98"/>
              <w:jc w:val="left"/>
              <w:rPr>
                <w:color w:val="000000"/>
                <w:sz w:val="20"/>
                <w:szCs w:val="20"/>
              </w:rPr>
            </w:pPr>
            <w:r>
              <w:rPr>
                <w:color w:val="000000"/>
                <w:sz w:val="20"/>
                <w:szCs w:val="20"/>
              </w:rPr>
              <w:t>HCFC-22</w:t>
            </w:r>
          </w:p>
        </w:tc>
        <w:tc>
          <w:tcPr>
            <w:tcW w:w="455" w:type="pct"/>
            <w:tcBorders>
              <w:top w:val="single" w:sz="4" w:space="0" w:color="auto"/>
              <w:left w:val="single" w:sz="4" w:space="0" w:color="auto"/>
              <w:bottom w:val="single" w:sz="4" w:space="0" w:color="auto"/>
              <w:right w:val="single" w:sz="4" w:space="0" w:color="auto"/>
            </w:tcBorders>
            <w:noWrap/>
          </w:tcPr>
          <w:p w14:paraId="0B6EFF41" w14:textId="7BDC8401" w:rsidR="00BC2901" w:rsidRDefault="00BC2901" w:rsidP="00BC2901">
            <w:pPr>
              <w:widowControl w:val="0"/>
              <w:ind w:left="-279" w:right="63"/>
              <w:jc w:val="right"/>
              <w:rPr>
                <w:color w:val="000000"/>
                <w:sz w:val="20"/>
                <w:szCs w:val="20"/>
              </w:rPr>
            </w:pPr>
            <w:r>
              <w:rPr>
                <w:color w:val="000000"/>
                <w:sz w:val="20"/>
                <w:szCs w:val="20"/>
              </w:rPr>
              <w:t>36,82</w:t>
            </w:r>
          </w:p>
        </w:tc>
        <w:tc>
          <w:tcPr>
            <w:tcW w:w="454" w:type="pct"/>
            <w:tcBorders>
              <w:top w:val="single" w:sz="4" w:space="0" w:color="auto"/>
              <w:left w:val="single" w:sz="4" w:space="0" w:color="auto"/>
              <w:bottom w:val="single" w:sz="4" w:space="0" w:color="auto"/>
              <w:right w:val="single" w:sz="4" w:space="0" w:color="auto"/>
            </w:tcBorders>
            <w:noWrap/>
            <w:hideMark/>
          </w:tcPr>
          <w:p w14:paraId="3C432480" w14:textId="6A9B3036" w:rsidR="00BC2901" w:rsidRDefault="00BC2901" w:rsidP="00BC2901">
            <w:pPr>
              <w:widowControl w:val="0"/>
              <w:ind w:left="-279" w:right="63"/>
              <w:jc w:val="right"/>
              <w:rPr>
                <w:color w:val="000000"/>
                <w:sz w:val="20"/>
                <w:szCs w:val="20"/>
              </w:rPr>
            </w:pPr>
            <w:r>
              <w:rPr>
                <w:color w:val="000000"/>
                <w:sz w:val="20"/>
                <w:szCs w:val="20"/>
              </w:rPr>
              <w:t>32,76</w:t>
            </w:r>
          </w:p>
        </w:tc>
        <w:tc>
          <w:tcPr>
            <w:tcW w:w="455" w:type="pct"/>
            <w:tcBorders>
              <w:top w:val="single" w:sz="4" w:space="0" w:color="auto"/>
              <w:left w:val="single" w:sz="4" w:space="0" w:color="auto"/>
              <w:bottom w:val="single" w:sz="4" w:space="0" w:color="auto"/>
              <w:right w:val="single" w:sz="4" w:space="0" w:color="auto"/>
            </w:tcBorders>
            <w:noWrap/>
            <w:hideMark/>
          </w:tcPr>
          <w:p w14:paraId="76DC0BB4" w14:textId="29ECF070" w:rsidR="00BC2901" w:rsidRDefault="00BC2901" w:rsidP="00BC2901">
            <w:pPr>
              <w:widowControl w:val="0"/>
              <w:ind w:left="-279" w:right="63"/>
              <w:jc w:val="right"/>
              <w:rPr>
                <w:color w:val="000000"/>
                <w:sz w:val="20"/>
                <w:szCs w:val="20"/>
              </w:rPr>
            </w:pPr>
            <w:r>
              <w:rPr>
                <w:color w:val="000000"/>
                <w:sz w:val="20"/>
                <w:szCs w:val="20"/>
              </w:rPr>
              <w:t>24,61</w:t>
            </w:r>
          </w:p>
        </w:tc>
        <w:tc>
          <w:tcPr>
            <w:tcW w:w="455" w:type="pct"/>
            <w:tcBorders>
              <w:top w:val="single" w:sz="4" w:space="0" w:color="auto"/>
              <w:left w:val="single" w:sz="4" w:space="0" w:color="auto"/>
              <w:bottom w:val="single" w:sz="4" w:space="0" w:color="auto"/>
              <w:right w:val="single" w:sz="4" w:space="0" w:color="auto"/>
            </w:tcBorders>
            <w:hideMark/>
          </w:tcPr>
          <w:p w14:paraId="72B9E3FC" w14:textId="3EB9E9CD" w:rsidR="00BC2901" w:rsidRDefault="00BC2901" w:rsidP="00BC2901">
            <w:pPr>
              <w:widowControl w:val="0"/>
              <w:ind w:left="-279" w:right="63"/>
              <w:jc w:val="right"/>
              <w:rPr>
                <w:color w:val="000000"/>
                <w:sz w:val="20"/>
                <w:szCs w:val="20"/>
              </w:rPr>
            </w:pPr>
            <w:r>
              <w:rPr>
                <w:color w:val="000000"/>
                <w:sz w:val="20"/>
                <w:szCs w:val="20"/>
              </w:rPr>
              <w:t>25,51</w:t>
            </w:r>
          </w:p>
        </w:tc>
        <w:tc>
          <w:tcPr>
            <w:tcW w:w="456" w:type="pct"/>
            <w:tcBorders>
              <w:top w:val="single" w:sz="4" w:space="0" w:color="auto"/>
              <w:left w:val="single" w:sz="4" w:space="0" w:color="auto"/>
              <w:bottom w:val="single" w:sz="4" w:space="0" w:color="auto"/>
              <w:right w:val="single" w:sz="4" w:space="0" w:color="auto"/>
            </w:tcBorders>
          </w:tcPr>
          <w:p w14:paraId="606C3474" w14:textId="376CFA98" w:rsidR="00BC2901" w:rsidRDefault="000E6E1D" w:rsidP="00BC2901">
            <w:pPr>
              <w:widowControl w:val="0"/>
              <w:ind w:left="-279" w:right="63"/>
              <w:jc w:val="right"/>
              <w:rPr>
                <w:color w:val="000000"/>
                <w:sz w:val="20"/>
                <w:szCs w:val="20"/>
              </w:rPr>
            </w:pPr>
            <w:r>
              <w:rPr>
                <w:color w:val="000000"/>
                <w:sz w:val="20"/>
                <w:szCs w:val="20"/>
              </w:rPr>
              <w:t>29,60</w:t>
            </w:r>
          </w:p>
        </w:tc>
        <w:tc>
          <w:tcPr>
            <w:tcW w:w="605" w:type="pct"/>
            <w:tcBorders>
              <w:top w:val="single" w:sz="4" w:space="0" w:color="auto"/>
              <w:left w:val="single" w:sz="4" w:space="0" w:color="auto"/>
              <w:bottom w:val="single" w:sz="4" w:space="0" w:color="auto"/>
              <w:right w:val="single" w:sz="4" w:space="0" w:color="auto"/>
            </w:tcBorders>
            <w:noWrap/>
            <w:hideMark/>
          </w:tcPr>
          <w:p w14:paraId="3225345C" w14:textId="77777777" w:rsidR="00BC2901" w:rsidRDefault="00BC2901" w:rsidP="00BC2901">
            <w:pPr>
              <w:widowControl w:val="0"/>
              <w:ind w:left="-279" w:right="112"/>
              <w:jc w:val="right"/>
              <w:rPr>
                <w:color w:val="000000"/>
                <w:sz w:val="20"/>
                <w:szCs w:val="20"/>
              </w:rPr>
            </w:pPr>
            <w:r>
              <w:rPr>
                <w:color w:val="000000"/>
                <w:sz w:val="20"/>
                <w:szCs w:val="20"/>
              </w:rPr>
              <w:t>51,50</w:t>
            </w:r>
          </w:p>
        </w:tc>
      </w:tr>
      <w:tr w:rsidR="00BC2901" w14:paraId="70FBE6B2" w14:textId="77777777" w:rsidTr="00AD2DDF">
        <w:tc>
          <w:tcPr>
            <w:tcW w:w="212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BAC7A36" w14:textId="77777777" w:rsidR="00BC2901" w:rsidRDefault="00BC2901" w:rsidP="00BC2901">
            <w:pPr>
              <w:widowControl w:val="0"/>
              <w:ind w:left="98"/>
              <w:jc w:val="left"/>
              <w:rPr>
                <w:color w:val="000000"/>
                <w:sz w:val="20"/>
                <w:szCs w:val="20"/>
              </w:rPr>
            </w:pPr>
            <w:r>
              <w:rPr>
                <w:color w:val="000000"/>
                <w:sz w:val="20"/>
                <w:szCs w:val="20"/>
              </w:rPr>
              <w:t>HCFC-141b</w:t>
            </w:r>
          </w:p>
        </w:tc>
        <w:tc>
          <w:tcPr>
            <w:tcW w:w="455" w:type="pct"/>
            <w:tcBorders>
              <w:top w:val="single" w:sz="4" w:space="0" w:color="auto"/>
              <w:left w:val="single" w:sz="4" w:space="0" w:color="auto"/>
              <w:bottom w:val="single" w:sz="4" w:space="0" w:color="auto"/>
              <w:right w:val="single" w:sz="4" w:space="0" w:color="auto"/>
            </w:tcBorders>
            <w:noWrap/>
          </w:tcPr>
          <w:p w14:paraId="72D92AA7" w14:textId="7D4B210F" w:rsidR="00BC2901" w:rsidRDefault="00BC2901" w:rsidP="00BC2901">
            <w:pPr>
              <w:widowControl w:val="0"/>
              <w:ind w:left="-279" w:right="63"/>
              <w:jc w:val="right"/>
              <w:rPr>
                <w:color w:val="000000"/>
                <w:sz w:val="20"/>
                <w:szCs w:val="20"/>
              </w:rPr>
            </w:pPr>
            <w:r>
              <w:rPr>
                <w:color w:val="000000"/>
                <w:sz w:val="20"/>
                <w:szCs w:val="20"/>
              </w:rPr>
              <w:t>0,22</w:t>
            </w:r>
          </w:p>
        </w:tc>
        <w:tc>
          <w:tcPr>
            <w:tcW w:w="454" w:type="pct"/>
            <w:tcBorders>
              <w:top w:val="single" w:sz="4" w:space="0" w:color="auto"/>
              <w:left w:val="single" w:sz="4" w:space="0" w:color="auto"/>
              <w:bottom w:val="single" w:sz="4" w:space="0" w:color="auto"/>
              <w:right w:val="single" w:sz="4" w:space="0" w:color="auto"/>
            </w:tcBorders>
            <w:noWrap/>
            <w:hideMark/>
          </w:tcPr>
          <w:p w14:paraId="10463BFC" w14:textId="262AA975" w:rsidR="00BC2901" w:rsidRDefault="00BC2901" w:rsidP="00BC2901">
            <w:pPr>
              <w:widowControl w:val="0"/>
              <w:ind w:left="-279" w:right="63"/>
              <w:jc w:val="right"/>
              <w:rPr>
                <w:color w:val="000000"/>
                <w:sz w:val="20"/>
                <w:szCs w:val="20"/>
              </w:rPr>
            </w:pPr>
            <w:r>
              <w:rPr>
                <w:color w:val="000000"/>
                <w:sz w:val="20"/>
                <w:szCs w:val="20"/>
              </w:rPr>
              <w:t>0,00</w:t>
            </w:r>
          </w:p>
        </w:tc>
        <w:tc>
          <w:tcPr>
            <w:tcW w:w="455" w:type="pct"/>
            <w:tcBorders>
              <w:top w:val="single" w:sz="4" w:space="0" w:color="auto"/>
              <w:left w:val="single" w:sz="4" w:space="0" w:color="auto"/>
              <w:bottom w:val="single" w:sz="4" w:space="0" w:color="auto"/>
              <w:right w:val="single" w:sz="4" w:space="0" w:color="auto"/>
            </w:tcBorders>
            <w:noWrap/>
            <w:hideMark/>
          </w:tcPr>
          <w:p w14:paraId="7177FB00" w14:textId="03E7F8AC" w:rsidR="00BC2901" w:rsidRDefault="00BC2901" w:rsidP="00BC2901">
            <w:pPr>
              <w:widowControl w:val="0"/>
              <w:ind w:left="-279" w:right="63"/>
              <w:jc w:val="right"/>
              <w:rPr>
                <w:color w:val="000000"/>
                <w:sz w:val="20"/>
                <w:szCs w:val="20"/>
              </w:rPr>
            </w:pPr>
            <w:r>
              <w:rPr>
                <w:color w:val="000000"/>
                <w:sz w:val="20"/>
                <w:szCs w:val="20"/>
              </w:rPr>
              <w:t>0,00</w:t>
            </w:r>
          </w:p>
        </w:tc>
        <w:tc>
          <w:tcPr>
            <w:tcW w:w="455" w:type="pct"/>
            <w:tcBorders>
              <w:top w:val="single" w:sz="4" w:space="0" w:color="auto"/>
              <w:left w:val="single" w:sz="4" w:space="0" w:color="auto"/>
              <w:bottom w:val="single" w:sz="4" w:space="0" w:color="auto"/>
              <w:right w:val="single" w:sz="4" w:space="0" w:color="auto"/>
            </w:tcBorders>
            <w:hideMark/>
          </w:tcPr>
          <w:p w14:paraId="22E521A4" w14:textId="093BBD77" w:rsidR="00BC2901" w:rsidRDefault="00BC2901" w:rsidP="00BC2901">
            <w:pPr>
              <w:widowControl w:val="0"/>
              <w:ind w:left="-279" w:right="63"/>
              <w:jc w:val="right"/>
              <w:rPr>
                <w:color w:val="000000"/>
                <w:sz w:val="20"/>
                <w:szCs w:val="20"/>
              </w:rPr>
            </w:pPr>
            <w:r>
              <w:rPr>
                <w:color w:val="000000"/>
                <w:sz w:val="20"/>
                <w:szCs w:val="20"/>
              </w:rPr>
              <w:t>0,00</w:t>
            </w:r>
          </w:p>
        </w:tc>
        <w:tc>
          <w:tcPr>
            <w:tcW w:w="456" w:type="pct"/>
            <w:tcBorders>
              <w:top w:val="single" w:sz="4" w:space="0" w:color="auto"/>
              <w:left w:val="single" w:sz="4" w:space="0" w:color="auto"/>
              <w:bottom w:val="single" w:sz="4" w:space="0" w:color="auto"/>
              <w:right w:val="single" w:sz="4" w:space="0" w:color="auto"/>
            </w:tcBorders>
          </w:tcPr>
          <w:p w14:paraId="4B48671F" w14:textId="2CA7AB8D" w:rsidR="00BC2901" w:rsidRDefault="000E6E1D" w:rsidP="00BC2901">
            <w:pPr>
              <w:widowControl w:val="0"/>
              <w:ind w:left="-279" w:right="63"/>
              <w:jc w:val="right"/>
              <w:rPr>
                <w:color w:val="000000"/>
                <w:sz w:val="20"/>
                <w:szCs w:val="20"/>
              </w:rPr>
            </w:pPr>
            <w:r>
              <w:rPr>
                <w:color w:val="000000"/>
                <w:sz w:val="20"/>
                <w:szCs w:val="20"/>
              </w:rPr>
              <w:t>0,00</w:t>
            </w:r>
          </w:p>
        </w:tc>
        <w:tc>
          <w:tcPr>
            <w:tcW w:w="605" w:type="pct"/>
            <w:tcBorders>
              <w:top w:val="single" w:sz="4" w:space="0" w:color="auto"/>
              <w:left w:val="single" w:sz="4" w:space="0" w:color="auto"/>
              <w:bottom w:val="single" w:sz="4" w:space="0" w:color="auto"/>
              <w:right w:val="single" w:sz="4" w:space="0" w:color="auto"/>
            </w:tcBorders>
            <w:noWrap/>
            <w:hideMark/>
          </w:tcPr>
          <w:p w14:paraId="33A8E23C" w14:textId="77777777" w:rsidR="00BC2901" w:rsidRDefault="00BC2901" w:rsidP="00BC2901">
            <w:pPr>
              <w:widowControl w:val="0"/>
              <w:ind w:left="-279" w:right="112"/>
              <w:jc w:val="right"/>
              <w:rPr>
                <w:color w:val="000000"/>
                <w:sz w:val="20"/>
                <w:szCs w:val="20"/>
              </w:rPr>
            </w:pPr>
            <w:r>
              <w:rPr>
                <w:color w:val="000000"/>
                <w:sz w:val="20"/>
                <w:szCs w:val="20"/>
              </w:rPr>
              <w:t>0,40</w:t>
            </w:r>
          </w:p>
        </w:tc>
      </w:tr>
      <w:tr w:rsidR="00BC2901" w14:paraId="6A0F3573" w14:textId="77777777" w:rsidTr="00AD2DDF">
        <w:tc>
          <w:tcPr>
            <w:tcW w:w="212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ACE1EC6" w14:textId="77777777" w:rsidR="00BC2901" w:rsidRDefault="00BC2901" w:rsidP="00BC2901">
            <w:pPr>
              <w:ind w:left="98"/>
              <w:jc w:val="left"/>
              <w:rPr>
                <w:rFonts w:eastAsia="Calibri"/>
                <w:b/>
                <w:sz w:val="20"/>
                <w:szCs w:val="20"/>
              </w:rPr>
            </w:pPr>
            <w:r>
              <w:rPr>
                <w:b/>
                <w:sz w:val="20"/>
                <w:szCs w:val="20"/>
              </w:rPr>
              <w:t>Total (tonnes PAO)</w:t>
            </w:r>
          </w:p>
        </w:tc>
        <w:tc>
          <w:tcPr>
            <w:tcW w:w="455" w:type="pct"/>
            <w:tcBorders>
              <w:top w:val="single" w:sz="4" w:space="0" w:color="auto"/>
              <w:left w:val="single" w:sz="4" w:space="0" w:color="auto"/>
              <w:bottom w:val="single" w:sz="4" w:space="0" w:color="auto"/>
              <w:right w:val="single" w:sz="4" w:space="0" w:color="auto"/>
            </w:tcBorders>
            <w:noWrap/>
          </w:tcPr>
          <w:p w14:paraId="207F38D2" w14:textId="53E0384D" w:rsidR="00BC2901" w:rsidRDefault="00BC2901" w:rsidP="00BC2901">
            <w:pPr>
              <w:widowControl w:val="0"/>
              <w:ind w:left="-279" w:right="63"/>
              <w:jc w:val="right"/>
              <w:rPr>
                <w:b/>
                <w:color w:val="000000"/>
                <w:sz w:val="20"/>
                <w:szCs w:val="20"/>
              </w:rPr>
            </w:pPr>
            <w:r>
              <w:rPr>
                <w:b/>
                <w:bCs/>
                <w:color w:val="000000"/>
                <w:sz w:val="20"/>
                <w:szCs w:val="20"/>
              </w:rPr>
              <w:t>37,04</w:t>
            </w:r>
          </w:p>
        </w:tc>
        <w:tc>
          <w:tcPr>
            <w:tcW w:w="454" w:type="pct"/>
            <w:tcBorders>
              <w:top w:val="single" w:sz="4" w:space="0" w:color="auto"/>
              <w:left w:val="single" w:sz="4" w:space="0" w:color="auto"/>
              <w:bottom w:val="single" w:sz="4" w:space="0" w:color="auto"/>
              <w:right w:val="single" w:sz="4" w:space="0" w:color="auto"/>
            </w:tcBorders>
            <w:noWrap/>
            <w:hideMark/>
          </w:tcPr>
          <w:p w14:paraId="4BB38E2E" w14:textId="3CCD9B5E" w:rsidR="00BC2901" w:rsidRDefault="00BC2901" w:rsidP="00BC2901">
            <w:pPr>
              <w:widowControl w:val="0"/>
              <w:ind w:left="-279" w:right="63"/>
              <w:jc w:val="right"/>
              <w:rPr>
                <w:b/>
                <w:color w:val="000000"/>
                <w:sz w:val="20"/>
                <w:szCs w:val="20"/>
              </w:rPr>
            </w:pPr>
            <w:r>
              <w:rPr>
                <w:b/>
                <w:bCs/>
                <w:color w:val="000000"/>
                <w:sz w:val="20"/>
                <w:szCs w:val="20"/>
              </w:rPr>
              <w:t>32,76</w:t>
            </w:r>
          </w:p>
        </w:tc>
        <w:tc>
          <w:tcPr>
            <w:tcW w:w="455" w:type="pct"/>
            <w:tcBorders>
              <w:top w:val="single" w:sz="4" w:space="0" w:color="auto"/>
              <w:left w:val="single" w:sz="4" w:space="0" w:color="auto"/>
              <w:bottom w:val="single" w:sz="4" w:space="0" w:color="auto"/>
              <w:right w:val="single" w:sz="4" w:space="0" w:color="auto"/>
            </w:tcBorders>
            <w:noWrap/>
            <w:hideMark/>
          </w:tcPr>
          <w:p w14:paraId="426255E6" w14:textId="1EC6BEF1" w:rsidR="00BC2901" w:rsidRDefault="00BC2901" w:rsidP="00BC2901">
            <w:pPr>
              <w:widowControl w:val="0"/>
              <w:ind w:left="-279" w:right="63"/>
              <w:jc w:val="right"/>
              <w:rPr>
                <w:b/>
                <w:color w:val="000000"/>
                <w:sz w:val="20"/>
                <w:szCs w:val="20"/>
              </w:rPr>
            </w:pPr>
            <w:r>
              <w:rPr>
                <w:b/>
                <w:color w:val="000000"/>
                <w:sz w:val="20"/>
                <w:szCs w:val="20"/>
              </w:rPr>
              <w:t>24,61</w:t>
            </w:r>
          </w:p>
        </w:tc>
        <w:tc>
          <w:tcPr>
            <w:tcW w:w="455" w:type="pct"/>
            <w:tcBorders>
              <w:top w:val="single" w:sz="4" w:space="0" w:color="auto"/>
              <w:left w:val="single" w:sz="4" w:space="0" w:color="auto"/>
              <w:bottom w:val="single" w:sz="4" w:space="0" w:color="auto"/>
              <w:right w:val="single" w:sz="4" w:space="0" w:color="auto"/>
            </w:tcBorders>
            <w:hideMark/>
          </w:tcPr>
          <w:p w14:paraId="51863491" w14:textId="63460083" w:rsidR="00BC2901" w:rsidRDefault="00BC2901" w:rsidP="00BC2901">
            <w:pPr>
              <w:ind w:left="-279" w:right="63"/>
              <w:jc w:val="right"/>
              <w:rPr>
                <w:b/>
                <w:color w:val="000000"/>
                <w:sz w:val="20"/>
                <w:szCs w:val="20"/>
              </w:rPr>
            </w:pPr>
            <w:r>
              <w:rPr>
                <w:b/>
                <w:color w:val="000000"/>
                <w:sz w:val="20"/>
                <w:szCs w:val="20"/>
              </w:rPr>
              <w:t>25,51</w:t>
            </w:r>
          </w:p>
        </w:tc>
        <w:tc>
          <w:tcPr>
            <w:tcW w:w="456" w:type="pct"/>
            <w:tcBorders>
              <w:top w:val="single" w:sz="4" w:space="0" w:color="auto"/>
              <w:left w:val="single" w:sz="4" w:space="0" w:color="auto"/>
              <w:bottom w:val="single" w:sz="4" w:space="0" w:color="auto"/>
              <w:right w:val="single" w:sz="4" w:space="0" w:color="auto"/>
            </w:tcBorders>
          </w:tcPr>
          <w:p w14:paraId="249B7A9D" w14:textId="0397C6B5" w:rsidR="00BC2901" w:rsidRDefault="00BC2901" w:rsidP="00BC2901">
            <w:pPr>
              <w:ind w:left="-279" w:right="63"/>
              <w:jc w:val="right"/>
              <w:rPr>
                <w:b/>
                <w:color w:val="000000"/>
                <w:sz w:val="20"/>
                <w:szCs w:val="20"/>
              </w:rPr>
            </w:pPr>
            <w:r>
              <w:rPr>
                <w:b/>
                <w:color w:val="000000"/>
                <w:sz w:val="20"/>
                <w:szCs w:val="20"/>
              </w:rPr>
              <w:t>29,60</w:t>
            </w:r>
          </w:p>
        </w:tc>
        <w:tc>
          <w:tcPr>
            <w:tcW w:w="605" w:type="pct"/>
            <w:tcBorders>
              <w:top w:val="single" w:sz="4" w:space="0" w:color="auto"/>
              <w:left w:val="single" w:sz="4" w:space="0" w:color="auto"/>
              <w:bottom w:val="single" w:sz="4" w:space="0" w:color="auto"/>
              <w:right w:val="single" w:sz="4" w:space="0" w:color="auto"/>
            </w:tcBorders>
            <w:noWrap/>
            <w:hideMark/>
          </w:tcPr>
          <w:p w14:paraId="7BBBAE00" w14:textId="77777777" w:rsidR="00BC2901" w:rsidRDefault="00BC2901" w:rsidP="00BC2901">
            <w:pPr>
              <w:ind w:left="-279" w:right="112"/>
              <w:jc w:val="right"/>
              <w:rPr>
                <w:rFonts w:eastAsia="Calibri"/>
                <w:b/>
                <w:color w:val="000000"/>
                <w:sz w:val="20"/>
                <w:szCs w:val="20"/>
              </w:rPr>
            </w:pPr>
            <w:r>
              <w:rPr>
                <w:b/>
                <w:color w:val="000000"/>
                <w:sz w:val="20"/>
                <w:szCs w:val="20"/>
              </w:rPr>
              <w:t>51,90</w:t>
            </w:r>
          </w:p>
        </w:tc>
      </w:tr>
      <w:tr w:rsidR="00BC2901" w:rsidRPr="00AE1D87" w14:paraId="797E254F" w14:textId="77777777" w:rsidTr="00AD2DDF">
        <w:tc>
          <w:tcPr>
            <w:tcW w:w="212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4827BEE" w14:textId="77777777" w:rsidR="00BC2901" w:rsidRPr="00AE1D87" w:rsidRDefault="00BC2901" w:rsidP="00BC2901">
            <w:pPr>
              <w:ind w:left="98"/>
              <w:jc w:val="left"/>
              <w:rPr>
                <w:color w:val="000000"/>
                <w:sz w:val="20"/>
                <w:szCs w:val="20"/>
              </w:rPr>
            </w:pPr>
            <w:r>
              <w:rPr>
                <w:color w:val="000000"/>
                <w:sz w:val="20"/>
                <w:szCs w:val="20"/>
              </w:rPr>
              <w:t xml:space="preserve">HCFC-141b dans les polyols </w:t>
            </w:r>
            <w:proofErr w:type="spellStart"/>
            <w:r>
              <w:rPr>
                <w:color w:val="000000"/>
                <w:sz w:val="20"/>
                <w:szCs w:val="20"/>
              </w:rPr>
              <w:t>prémélangés</w:t>
            </w:r>
            <w:proofErr w:type="spellEnd"/>
            <w:r>
              <w:rPr>
                <w:color w:val="000000"/>
                <w:sz w:val="20"/>
                <w:szCs w:val="20"/>
              </w:rPr>
              <w:t xml:space="preserve"> importés*</w:t>
            </w:r>
          </w:p>
        </w:tc>
        <w:tc>
          <w:tcPr>
            <w:tcW w:w="455" w:type="pct"/>
            <w:tcBorders>
              <w:top w:val="single" w:sz="4" w:space="0" w:color="auto"/>
              <w:left w:val="single" w:sz="4" w:space="0" w:color="auto"/>
              <w:bottom w:val="single" w:sz="4" w:space="0" w:color="auto"/>
              <w:right w:val="single" w:sz="4" w:space="0" w:color="auto"/>
            </w:tcBorders>
            <w:noWrap/>
          </w:tcPr>
          <w:p w14:paraId="7CD93CAA" w14:textId="0F8E8D7D" w:rsidR="00BC2901" w:rsidRPr="00AE1D87" w:rsidRDefault="00BC2901" w:rsidP="00BC2901">
            <w:pPr>
              <w:ind w:left="-279" w:right="63"/>
              <w:jc w:val="right"/>
              <w:rPr>
                <w:rFonts w:eastAsia="Calibri"/>
                <w:color w:val="000000"/>
                <w:sz w:val="20"/>
                <w:szCs w:val="20"/>
              </w:rPr>
            </w:pPr>
            <w:r>
              <w:rPr>
                <w:color w:val="000000"/>
                <w:sz w:val="20"/>
                <w:szCs w:val="20"/>
              </w:rPr>
              <w:t>13,81</w:t>
            </w:r>
          </w:p>
        </w:tc>
        <w:tc>
          <w:tcPr>
            <w:tcW w:w="454" w:type="pct"/>
            <w:tcBorders>
              <w:top w:val="single" w:sz="4" w:space="0" w:color="auto"/>
              <w:left w:val="single" w:sz="4" w:space="0" w:color="auto"/>
              <w:bottom w:val="single" w:sz="4" w:space="0" w:color="auto"/>
              <w:right w:val="single" w:sz="4" w:space="0" w:color="auto"/>
            </w:tcBorders>
            <w:noWrap/>
            <w:hideMark/>
          </w:tcPr>
          <w:p w14:paraId="34F9327B" w14:textId="4B2F5BE4" w:rsidR="00BC2901" w:rsidRPr="00AE1D87" w:rsidRDefault="00BC2901" w:rsidP="00BC2901">
            <w:pPr>
              <w:ind w:left="-279" w:right="63"/>
              <w:jc w:val="right"/>
              <w:rPr>
                <w:rFonts w:eastAsia="Calibri"/>
                <w:color w:val="000000"/>
                <w:sz w:val="20"/>
                <w:szCs w:val="20"/>
              </w:rPr>
            </w:pPr>
            <w:r>
              <w:rPr>
                <w:color w:val="000000"/>
                <w:sz w:val="20"/>
                <w:szCs w:val="20"/>
              </w:rPr>
              <w:t>9,88</w:t>
            </w:r>
          </w:p>
        </w:tc>
        <w:tc>
          <w:tcPr>
            <w:tcW w:w="455" w:type="pct"/>
            <w:tcBorders>
              <w:top w:val="single" w:sz="4" w:space="0" w:color="auto"/>
              <w:left w:val="single" w:sz="4" w:space="0" w:color="auto"/>
              <w:bottom w:val="single" w:sz="4" w:space="0" w:color="auto"/>
              <w:right w:val="single" w:sz="4" w:space="0" w:color="auto"/>
            </w:tcBorders>
            <w:noWrap/>
            <w:hideMark/>
          </w:tcPr>
          <w:p w14:paraId="571261BD" w14:textId="5980D52C" w:rsidR="00BC2901" w:rsidRPr="00AE1D87" w:rsidRDefault="00BC2901" w:rsidP="00BC2901">
            <w:pPr>
              <w:ind w:left="-279" w:right="63"/>
              <w:jc w:val="right"/>
              <w:rPr>
                <w:rFonts w:eastAsia="Calibri"/>
                <w:color w:val="000000"/>
                <w:sz w:val="20"/>
                <w:szCs w:val="20"/>
              </w:rPr>
            </w:pPr>
            <w:r>
              <w:rPr>
                <w:color w:val="000000"/>
                <w:sz w:val="20"/>
                <w:szCs w:val="20"/>
              </w:rPr>
              <w:t>12,67</w:t>
            </w:r>
          </w:p>
        </w:tc>
        <w:tc>
          <w:tcPr>
            <w:tcW w:w="455" w:type="pct"/>
            <w:tcBorders>
              <w:top w:val="single" w:sz="4" w:space="0" w:color="auto"/>
              <w:left w:val="single" w:sz="4" w:space="0" w:color="auto"/>
              <w:bottom w:val="single" w:sz="4" w:space="0" w:color="auto"/>
              <w:right w:val="single" w:sz="4" w:space="0" w:color="auto"/>
            </w:tcBorders>
            <w:hideMark/>
          </w:tcPr>
          <w:p w14:paraId="773C6D51" w14:textId="2253BB5C" w:rsidR="00BC2901" w:rsidRPr="00AE1D87" w:rsidRDefault="00BC2901" w:rsidP="00BC2901">
            <w:pPr>
              <w:ind w:left="-279" w:right="63"/>
              <w:jc w:val="right"/>
              <w:rPr>
                <w:color w:val="000000"/>
                <w:sz w:val="20"/>
                <w:szCs w:val="20"/>
              </w:rPr>
            </w:pPr>
            <w:r>
              <w:rPr>
                <w:color w:val="000000"/>
                <w:sz w:val="20"/>
                <w:szCs w:val="20"/>
              </w:rPr>
              <w:t>17,15</w:t>
            </w:r>
          </w:p>
        </w:tc>
        <w:tc>
          <w:tcPr>
            <w:tcW w:w="456" w:type="pct"/>
            <w:tcBorders>
              <w:top w:val="single" w:sz="4" w:space="0" w:color="auto"/>
              <w:left w:val="single" w:sz="4" w:space="0" w:color="auto"/>
              <w:bottom w:val="single" w:sz="4" w:space="0" w:color="auto"/>
              <w:right w:val="single" w:sz="4" w:space="0" w:color="auto"/>
            </w:tcBorders>
          </w:tcPr>
          <w:p w14:paraId="643ABE93" w14:textId="337902E0" w:rsidR="00BC2901" w:rsidRPr="00AE1D87" w:rsidRDefault="00E33BC3" w:rsidP="00BC2901">
            <w:pPr>
              <w:ind w:left="-279" w:right="63"/>
              <w:jc w:val="right"/>
              <w:rPr>
                <w:rFonts w:eastAsia="Calibri"/>
                <w:color w:val="000000"/>
                <w:sz w:val="20"/>
                <w:szCs w:val="20"/>
              </w:rPr>
            </w:pPr>
            <w:r>
              <w:rPr>
                <w:color w:val="000000"/>
                <w:sz w:val="20"/>
                <w:szCs w:val="20"/>
              </w:rPr>
              <w:t>16,45</w:t>
            </w:r>
          </w:p>
        </w:tc>
        <w:tc>
          <w:tcPr>
            <w:tcW w:w="605" w:type="pct"/>
            <w:tcBorders>
              <w:top w:val="single" w:sz="4" w:space="0" w:color="auto"/>
              <w:left w:val="single" w:sz="4" w:space="0" w:color="auto"/>
              <w:bottom w:val="single" w:sz="4" w:space="0" w:color="auto"/>
              <w:right w:val="single" w:sz="4" w:space="0" w:color="auto"/>
            </w:tcBorders>
            <w:noWrap/>
            <w:hideMark/>
          </w:tcPr>
          <w:p w14:paraId="3CADFAE0" w14:textId="77777777" w:rsidR="00BC2901" w:rsidRPr="00AE1D87" w:rsidRDefault="00BC2901" w:rsidP="00BC2901">
            <w:pPr>
              <w:ind w:left="-279" w:right="-18"/>
              <w:jc w:val="right"/>
              <w:rPr>
                <w:rFonts w:eastAsia="Calibri"/>
                <w:color w:val="000000"/>
                <w:sz w:val="20"/>
                <w:szCs w:val="20"/>
              </w:rPr>
            </w:pPr>
            <w:r>
              <w:rPr>
                <w:color w:val="000000"/>
                <w:sz w:val="20"/>
                <w:szCs w:val="20"/>
              </w:rPr>
              <w:t>10,11</w:t>
            </w:r>
            <w:r>
              <w:rPr>
                <w:color w:val="000000"/>
                <w:sz w:val="20"/>
                <w:szCs w:val="20"/>
                <w:vertAlign w:val="superscript"/>
              </w:rPr>
              <w:t>**</w:t>
            </w:r>
          </w:p>
        </w:tc>
      </w:tr>
    </w:tbl>
    <w:p w14:paraId="776A41E7" w14:textId="77777777" w:rsidR="00EE6C9C" w:rsidRPr="00AE1D87" w:rsidRDefault="00EE6C9C" w:rsidP="00EE6C9C">
      <w:pPr>
        <w:rPr>
          <w:sz w:val="18"/>
          <w:szCs w:val="18"/>
        </w:rPr>
      </w:pPr>
      <w:r>
        <w:rPr>
          <w:sz w:val="18"/>
          <w:szCs w:val="18"/>
          <w:vertAlign w:val="superscript"/>
        </w:rPr>
        <w:t>*</w:t>
      </w:r>
      <w:r>
        <w:rPr>
          <w:sz w:val="18"/>
          <w:szCs w:val="18"/>
        </w:rPr>
        <w:t xml:space="preserve"> Données du programme du pays</w:t>
      </w:r>
    </w:p>
    <w:p w14:paraId="426F4503" w14:textId="77777777" w:rsidR="00EE6C9C" w:rsidRPr="00AE1D87" w:rsidRDefault="00EE6C9C" w:rsidP="00EE6C9C">
      <w:pPr>
        <w:rPr>
          <w:color w:val="000000" w:themeColor="text1"/>
          <w:sz w:val="18"/>
          <w:szCs w:val="18"/>
        </w:rPr>
      </w:pPr>
      <w:r>
        <w:rPr>
          <w:sz w:val="18"/>
          <w:szCs w:val="18"/>
          <w:vertAlign w:val="superscript"/>
        </w:rPr>
        <w:t>**</w:t>
      </w:r>
      <w:r>
        <w:rPr>
          <w:sz w:val="18"/>
          <w:szCs w:val="18"/>
        </w:rPr>
        <w:t xml:space="preserve"> Consommation </w:t>
      </w:r>
      <w:r>
        <w:rPr>
          <w:color w:val="000000" w:themeColor="text1"/>
          <w:sz w:val="18"/>
          <w:szCs w:val="18"/>
        </w:rPr>
        <w:t>moyenne entre 2007 et 2009</w:t>
      </w:r>
    </w:p>
    <w:bookmarkEnd w:id="2"/>
    <w:p w14:paraId="19836E5B" w14:textId="3BBF467F" w:rsidR="00FE743A" w:rsidRPr="00AE1D87" w:rsidRDefault="007873BC" w:rsidP="007A3A35">
      <w:pPr>
        <w:pStyle w:val="Titolo1"/>
        <w:spacing w:before="240"/>
        <w:rPr>
          <w:color w:val="000000" w:themeColor="text1"/>
        </w:rPr>
      </w:pPr>
      <w:r>
        <w:rPr>
          <w:color w:val="000000" w:themeColor="text1"/>
        </w:rPr>
        <w:t xml:space="preserve">La consommation de HCFC à Bahreïn a diminué entre 2019 et 2022 en raison de l’application du système d’octroi de permis et de quotas, de la conversion du secteur de la fabrication des appareils de climatisation fonctionnant au HCFC-22 vers des substituts sans HCFC, de l’introduction d’appareils de réfrigération et de climatisation fonctionnant avec des frigorigènes de remplacement, et de la mise en œuvre des activités d’élimination relatives au secteur de l’entretien en réfrigération dans le cadre de la phase I du PGEH. La faible consommation en 2021 et 2022 a été attribuée à la pandémie de COVID-19. La consommation a augmenté de 25,51 tonnes PAO en 2022 à 29,6 tonnes PAO en 2023 en raison de la demande continue provenant du secteur de l’entretien. L’importation de HCFC-141b contenu dans les polyols </w:t>
      </w:r>
      <w:proofErr w:type="spellStart"/>
      <w:r>
        <w:rPr>
          <w:color w:val="000000" w:themeColor="text1"/>
        </w:rPr>
        <w:t>prémélangés</w:t>
      </w:r>
      <w:proofErr w:type="spellEnd"/>
      <w:r>
        <w:rPr>
          <w:color w:val="000000" w:themeColor="text1"/>
        </w:rPr>
        <w:t xml:space="preserve"> a augmenté chaque année depuis 2020, un fait principalement attribué à l’essor dans le secteur immobilier après la pandémie.</w:t>
      </w:r>
    </w:p>
    <w:p w14:paraId="58CF2268" w14:textId="77777777" w:rsidR="00EA598B" w:rsidRPr="005F7692" w:rsidRDefault="00EA598B" w:rsidP="00A52FAD">
      <w:pPr>
        <w:keepNext/>
        <w:spacing w:after="240"/>
        <w:rPr>
          <w:i/>
        </w:rPr>
      </w:pPr>
      <w:r>
        <w:rPr>
          <w:i/>
        </w:rPr>
        <w:t>Rapport sur la mise en œuvre du programme du pays</w:t>
      </w:r>
    </w:p>
    <w:p w14:paraId="1D67DCF4" w14:textId="56587A28" w:rsidR="00EA598B" w:rsidRPr="005F7692" w:rsidRDefault="003A5F3F" w:rsidP="00A52FAD">
      <w:pPr>
        <w:pStyle w:val="Titolo1"/>
      </w:pPr>
      <w:r>
        <w:t xml:space="preserve">Le gouvernement de Bahreïn a communiqué des données du secteur de la consommation des HCFC dans le cadre du rapport de mise en œuvre du programme du pays de 2023, et ces données correspondent aux données déclarées en vertu de l’Article 7 du Protocole de Montréal. </w:t>
      </w:r>
    </w:p>
    <w:p w14:paraId="34944912" w14:textId="6056B2A4" w:rsidR="00EA598B" w:rsidRPr="0034371D" w:rsidRDefault="00EA598B" w:rsidP="00A52FAD">
      <w:pPr>
        <w:keepNext/>
        <w:spacing w:after="240"/>
        <w:rPr>
          <w:i/>
        </w:rPr>
      </w:pPr>
      <w:r>
        <w:rPr>
          <w:i/>
        </w:rPr>
        <w:lastRenderedPageBreak/>
        <w:t xml:space="preserve">Rapport de vérification </w:t>
      </w:r>
    </w:p>
    <w:p w14:paraId="092FAE7B" w14:textId="710775AC" w:rsidR="009F5BBE" w:rsidRPr="009F5BBE" w:rsidRDefault="009F5BBE" w:rsidP="009F5BBE">
      <w:pPr>
        <w:pStyle w:val="Titolo1"/>
      </w:pPr>
      <w:r>
        <w:t>Le rapport de vérification a confirmé que le gouvernement de Bahreïn a mis en place un système d’octroi de permis et de quotas d’importation et d’exportation des HCFC, et que la consommation totale de HCFC en vertu de l’Article 7 du Protocole de Montréal pour 2023 était correcte (comme indiqué dans le tableau 1 ci-dessus). La vérification a conclu que Bahreïn était conforme à la consommation autorisée établie dans l’Accord avec le Comité exécutif.</w:t>
      </w:r>
    </w:p>
    <w:p w14:paraId="2EA3CF24" w14:textId="04D65F85" w:rsidR="00EA598B" w:rsidRPr="0034371D" w:rsidRDefault="00EA598B" w:rsidP="00A52FAD">
      <w:pPr>
        <w:keepNext/>
        <w:spacing w:after="240"/>
        <w:rPr>
          <w:u w:val="single"/>
        </w:rPr>
      </w:pPr>
      <w:r>
        <w:rPr>
          <w:u w:val="single"/>
        </w:rPr>
        <w:t>Rapport périodique sur la mise en œuvre de la deuxième tranche de la phase II du plan de gestion de l’élimination des HCFC</w:t>
      </w:r>
    </w:p>
    <w:p w14:paraId="5D4E7091" w14:textId="77777777" w:rsidR="00EA598B" w:rsidRDefault="00EA598B" w:rsidP="00A52FAD">
      <w:pPr>
        <w:keepNext/>
        <w:spacing w:after="240"/>
        <w:rPr>
          <w:i/>
        </w:rPr>
      </w:pPr>
      <w:r>
        <w:rPr>
          <w:i/>
        </w:rPr>
        <w:t>Cadre juridique</w:t>
      </w:r>
    </w:p>
    <w:p w14:paraId="33511E6E" w14:textId="5C1991C3" w:rsidR="002D2905" w:rsidRPr="00352EB1" w:rsidRDefault="005C6C9F" w:rsidP="00B8076E">
      <w:pPr>
        <w:pStyle w:val="Titolo1"/>
      </w:pPr>
      <w:r>
        <w:t>Le gouvernement de Bahreïn a ratifié l’Amendement de Kigali le 1</w:t>
      </w:r>
      <w:r>
        <w:rPr>
          <w:vertAlign w:val="superscript"/>
        </w:rPr>
        <w:t>er</w:t>
      </w:r>
      <w:r>
        <w:t xml:space="preserve"> juillet 2024. </w:t>
      </w:r>
      <w:bookmarkStart w:id="3" w:name="_Hlk180145135"/>
      <w:r>
        <w:t xml:space="preserve">Le gouvernement mettra en application l’interdiction sur l’importation et l’utilisation du HCFC-141b contenu dans les polyols </w:t>
      </w:r>
      <w:proofErr w:type="spellStart"/>
      <w:r>
        <w:t>prémélangés</w:t>
      </w:r>
      <w:proofErr w:type="spellEnd"/>
      <w:r>
        <w:t>, ainsi que l’importation et la fabrication d’appareils de climatisation fonctionnant au HCFC</w:t>
      </w:r>
      <w:r w:rsidR="00CE4358">
        <w:noBreakHyphen/>
      </w:r>
      <w:r>
        <w:t>22 à partir du 1</w:t>
      </w:r>
      <w:r>
        <w:rPr>
          <w:vertAlign w:val="superscript"/>
        </w:rPr>
        <w:t>er</w:t>
      </w:r>
      <w:r>
        <w:t xml:space="preserve"> janvier 2025. Bahreïn a également obtenu un engagement écrit provenant des industries concernées afin de cesser l’utilisation du HCFC-22. </w:t>
      </w:r>
    </w:p>
    <w:bookmarkEnd w:id="3"/>
    <w:p w14:paraId="1F08698B" w14:textId="1FE5587F" w:rsidR="00EA598B" w:rsidRPr="00E4520C" w:rsidRDefault="00EA598B" w:rsidP="00A52FAD">
      <w:pPr>
        <w:keepNext/>
        <w:spacing w:after="240"/>
        <w:rPr>
          <w:iCs/>
        </w:rPr>
      </w:pPr>
      <w:r>
        <w:rPr>
          <w:i/>
        </w:rPr>
        <w:t xml:space="preserve">Secteur de fabrication </w:t>
      </w:r>
    </w:p>
    <w:p w14:paraId="65935790" w14:textId="60F1A411" w:rsidR="00281997" w:rsidRPr="00E4520C" w:rsidRDefault="005E395F" w:rsidP="008D2E4F">
      <w:pPr>
        <w:pStyle w:val="Titolo1"/>
      </w:pPr>
      <w:r>
        <w:t>Le projet-cadre pour éliminer 135,93 </w:t>
      </w:r>
      <w:proofErr w:type="spellStart"/>
      <w:r>
        <w:t>tm</w:t>
      </w:r>
      <w:proofErr w:type="spellEnd"/>
      <w:r>
        <w:t xml:space="preserve"> de HCFC-141b contenu dans les polyols </w:t>
      </w:r>
      <w:proofErr w:type="spellStart"/>
      <w:r>
        <w:t>prémélangés</w:t>
      </w:r>
      <w:proofErr w:type="spellEnd"/>
      <w:r>
        <w:t xml:space="preserve"> importés dans le secteur des mousses se trouve à un stade de mise en œuvre avancé. Les entreprises incluses dans le projet</w:t>
      </w:r>
      <w:r w:rsidR="00780E1B">
        <w:rPr>
          <w:rStyle w:val="Rimandonotaapidipagina"/>
        </w:rPr>
        <w:footnoteReference w:id="3"/>
      </w:r>
      <w:r>
        <w:t xml:space="preserve"> ont reçu une assistance technique pour passer aux technologies à faible PRG, le formiate de méthyle étant la technologie préférentielle à adopter à partir du 1</w:t>
      </w:r>
      <w:r>
        <w:rPr>
          <w:vertAlign w:val="superscript"/>
        </w:rPr>
        <w:t>er</w:t>
      </w:r>
      <w:r>
        <w:t xml:space="preserve"> janvier 2025, lorsque l’interdiction sur l’importation et l’utilisation du HCFC-141b contenu dans les polyols </w:t>
      </w:r>
      <w:proofErr w:type="spellStart"/>
      <w:r>
        <w:t>prémélangés</w:t>
      </w:r>
      <w:proofErr w:type="spellEnd"/>
      <w:r>
        <w:t xml:space="preserve"> entrera en vigueur. Les activités mise</w:t>
      </w:r>
      <w:r w:rsidR="007D595F">
        <w:t>s</w:t>
      </w:r>
      <w:r>
        <w:t xml:space="preserve"> en œuvre dans le cadre de la deuxième tranche comprenaient un séminaire d’assistance technique pour les parties prenantes du secteur des mousses sur les substituts aux technologies de mousse à base de polyol de HCFC-141b (63 participants, dont 22 pour cent étaient des femmes); et du soutien technique pour quatre entreprises bénéficiaires qui entreprennent des conversions, y compris la formation en personne spécialisée pour deux entreprises de fabrication de mousses de PU et cinq ateliers de formation pour deux entreprises de fabrication de mousses pulvérisées. </w:t>
      </w:r>
    </w:p>
    <w:p w14:paraId="5C2D4B3F" w14:textId="77777777" w:rsidR="00EA598B" w:rsidRPr="0028192D" w:rsidRDefault="00EA598B" w:rsidP="00A52FAD">
      <w:pPr>
        <w:keepNext/>
        <w:spacing w:after="240"/>
        <w:rPr>
          <w:i/>
        </w:rPr>
      </w:pPr>
      <w:r>
        <w:rPr>
          <w:i/>
        </w:rPr>
        <w:t>Secteur de l’entretien des appareils de réfrigération</w:t>
      </w:r>
    </w:p>
    <w:p w14:paraId="50AC956A" w14:textId="421021D2" w:rsidR="008F1BBA" w:rsidRPr="0028192D" w:rsidRDefault="00A1744A" w:rsidP="008F1BBA">
      <w:pPr>
        <w:pStyle w:val="Titolo1"/>
      </w:pPr>
      <w:r>
        <w:t>Les activités suivantes ont été mises en œuvre :</w:t>
      </w:r>
    </w:p>
    <w:p w14:paraId="2B8D1130" w14:textId="355B590D" w:rsidR="00A1744A" w:rsidRPr="0028192D" w:rsidRDefault="002D2905" w:rsidP="005A3E82">
      <w:pPr>
        <w:pStyle w:val="Titolo2"/>
      </w:pPr>
      <w:r>
        <w:t>Organiser un atelier de sensibilisation pour 67 participants des autorités du gouvernement sur les nouveaux règlements du Conseil de coopération du Golfe (CCG) relatifs au Protocole de Montréal et à l’Amendement de Kigali; mettre à jour le système d’octroi de permis électroniques et de surveillance avec un service en ligne pour demander une analyse de frigorigènes;</w:t>
      </w:r>
    </w:p>
    <w:p w14:paraId="5378914F" w14:textId="476D67A7" w:rsidR="002D2905" w:rsidRPr="0028192D" w:rsidRDefault="002D2905" w:rsidP="002D2905">
      <w:pPr>
        <w:pStyle w:val="Titolo2"/>
      </w:pPr>
      <w:r>
        <w:t xml:space="preserve">Fournir une formation à 40 agents des douanes supplémentaires nouvellement recrutés (six femmes) sur le Protocole de Montréal et les mesures de contrôle pour l’importation des HCFC, y compris le profilage de risque et l’exploitation du système de permis électronique; </w:t>
      </w:r>
    </w:p>
    <w:p w14:paraId="7299CA3A" w14:textId="1CB74FED" w:rsidR="0087227A" w:rsidRPr="0028192D" w:rsidRDefault="00A1744A" w:rsidP="0087227A">
      <w:pPr>
        <w:pStyle w:val="Titolo2"/>
      </w:pPr>
      <w:r>
        <w:t xml:space="preserve">Former 40 techniciens en réfrigération et climatisation (une femme) en quatre ateliers de formation sur les bonnes pratiques d’entretien en réfrigération et climatisation, sur la récupération et le recyclage des frigorigènes, et sur la manipulation sûre des frigorigènes </w:t>
      </w:r>
      <w:r>
        <w:lastRenderedPageBreak/>
        <w:t xml:space="preserve">inflammables; 40 techniciens certifiés; </w:t>
      </w:r>
    </w:p>
    <w:p w14:paraId="6449B4E0" w14:textId="13EAA4FD" w:rsidR="0091753D" w:rsidRDefault="0091753D" w:rsidP="00CA475A">
      <w:pPr>
        <w:pStyle w:val="Titolo2"/>
      </w:pPr>
      <w:r>
        <w:rPr>
          <w:color w:val="000000" w:themeColor="text1"/>
        </w:rPr>
        <w:t>Lancer</w:t>
      </w:r>
      <w:r>
        <w:t xml:space="preserve"> un nouveau service pour inscrire les grands systèmes de réfrigération et de climatisation et maintenir un registre des travaux réalisés sur ces unités; mener un atelier technique avec 83 participants sur la réduction des fuites dans les grands systèmes de réfrigération et de climatisation, sur les technologies de remplacement sans SAO et à faible PRG; </w:t>
      </w:r>
    </w:p>
    <w:p w14:paraId="535DA09D" w14:textId="5061A9B4" w:rsidR="00C551ED" w:rsidRPr="0028192D" w:rsidRDefault="00C551ED" w:rsidP="00ED3DD7">
      <w:pPr>
        <w:pStyle w:val="Titolo2"/>
        <w:widowControl/>
      </w:pPr>
      <w:r>
        <w:t>Fournir des outils et de l’équipement de formation à quatre établissements de formation, ainsi que des outils d’entretien à 40 techniciens certifiés</w:t>
      </w:r>
      <w:r w:rsidR="005C0550" w:rsidRPr="0028192D">
        <w:rPr>
          <w:rStyle w:val="Rimandonotaapidipagina"/>
        </w:rPr>
        <w:footnoteReference w:id="4"/>
      </w:r>
      <w:r>
        <w:t>;</w:t>
      </w:r>
    </w:p>
    <w:p w14:paraId="1F8F7CB1" w14:textId="48621A94" w:rsidR="001A3730" w:rsidRPr="00A1744A" w:rsidRDefault="001A0444" w:rsidP="001A3730">
      <w:pPr>
        <w:pStyle w:val="Titolo2"/>
      </w:pPr>
      <w:r>
        <w:t>Réaliser des activités de diffusion de l’information, y compris la préparation d’une brochure sur la phase II du PGEH afin de promouvoir l’élimination des HCFC et l’utilisation des solutions de remplacement à faible PRG.</w:t>
      </w:r>
    </w:p>
    <w:p w14:paraId="25A988DC" w14:textId="77777777" w:rsidR="00EA598B" w:rsidRPr="00512189" w:rsidRDefault="00EA598B" w:rsidP="00A52FAD">
      <w:pPr>
        <w:keepNext/>
        <w:spacing w:after="240"/>
        <w:rPr>
          <w:i/>
        </w:rPr>
      </w:pPr>
      <w:r>
        <w:rPr>
          <w:i/>
        </w:rPr>
        <w:t>Mise en œuvre et suivi du projet</w:t>
      </w:r>
    </w:p>
    <w:p w14:paraId="73F41BDD" w14:textId="3FBC702A" w:rsidR="00EA598B" w:rsidRPr="00512189" w:rsidRDefault="0087227A" w:rsidP="00A73E7E">
      <w:pPr>
        <w:pStyle w:val="Titolo1"/>
      </w:pPr>
      <w:r>
        <w:t xml:space="preserve">L’unité de gestion de projet (PMU) met en œuvre les activités, suit les progrès et rend compte des réalisations. Sur les 24 500 $ US approuvés pour la PMU dans la deuxième tranche, le niveau des fonds décaissés est de 10 000 $ US, comprenant le personnel et les consultants (7 000 $ US) ainsi que les réunions et les ateliers (3 000 $ US). Le solde de 14 500 $ US, initialement alloué à la PMU, a été réattribué à des activités supplémentaires du secteur de l’entretien, notamment 1 500 $ US supplémentaires pour la formation </w:t>
      </w:r>
      <w:r w:rsidR="002066FD">
        <w:t>aux</w:t>
      </w:r>
      <w:r>
        <w:t xml:space="preserve"> douanes, 1 500 $ US pour la formation des techniciens en réfrigération et climatisation, et 8 500 $ US pour l’assistance technique pour les grands utilisateurs finaux.</w:t>
      </w:r>
    </w:p>
    <w:p w14:paraId="6E1A2E37" w14:textId="5B71B0DD" w:rsidR="00DC5F4A" w:rsidRPr="00C05C5B" w:rsidRDefault="00DC5F4A" w:rsidP="00DC5F4A">
      <w:pPr>
        <w:pStyle w:val="Titolo1"/>
      </w:pPr>
      <w:r>
        <w:t xml:space="preserve">Les dépenses totales de la PMU pour </w:t>
      </w:r>
      <w:proofErr w:type="gramStart"/>
      <w:r>
        <w:t>les première</w:t>
      </w:r>
      <w:proofErr w:type="gramEnd"/>
      <w:r>
        <w:t xml:space="preserve"> et deuxième tranches s’élèvent à 38 000 $ US, selon la répartition suivante : personnel et consultants (27</w:t>
      </w:r>
      <w:r w:rsidR="00AE0423">
        <w:t> </w:t>
      </w:r>
      <w:r>
        <w:t>000</w:t>
      </w:r>
      <w:r w:rsidR="00AE0423">
        <w:t> </w:t>
      </w:r>
      <w:r>
        <w:t>$</w:t>
      </w:r>
      <w:r w:rsidR="00AE0423">
        <w:t> </w:t>
      </w:r>
      <w:r>
        <w:t>US); réunions et ateliers (11 000 $ US).</w:t>
      </w:r>
    </w:p>
    <w:p w14:paraId="083C161E" w14:textId="77777777" w:rsidR="00411101" w:rsidRPr="00B908A6" w:rsidRDefault="00EA598B" w:rsidP="00411101">
      <w:pPr>
        <w:keepNext/>
        <w:spacing w:after="240"/>
        <w:rPr>
          <w:color w:val="000000" w:themeColor="text1"/>
        </w:rPr>
      </w:pPr>
      <w:r>
        <w:rPr>
          <w:color w:val="000000" w:themeColor="text1"/>
          <w:u w:val="single"/>
        </w:rPr>
        <w:t>Taux de décaissement des fonds</w:t>
      </w:r>
    </w:p>
    <w:p w14:paraId="167545E4" w14:textId="7D190F76" w:rsidR="003F5C18" w:rsidRPr="00B908A6" w:rsidRDefault="00FE6371" w:rsidP="00411101">
      <w:pPr>
        <w:pStyle w:val="Titolo1"/>
        <w:rPr>
          <w:color w:val="000000" w:themeColor="text1"/>
        </w:rPr>
      </w:pPr>
      <w:r>
        <w:rPr>
          <w:color w:val="000000" w:themeColor="text1"/>
        </w:rPr>
        <w:t>En date du 21 octobre 2024, sur le montant de 586 999 $ US approuvé jusqu’ici, 572 929 $ US ont été décaissés (326 000 $ US pour le PNUE et 246 929 $ US pour l’ONUDI), comme l’indique le tableau</w:t>
      </w:r>
      <w:r w:rsidR="00393F28">
        <w:rPr>
          <w:color w:val="000000" w:themeColor="text1"/>
        </w:rPr>
        <w:t> </w:t>
      </w:r>
      <w:r>
        <w:rPr>
          <w:color w:val="000000" w:themeColor="text1"/>
        </w:rPr>
        <w:t>2. Le solde de 14 070 $ US sera décaissé en 2025.</w:t>
      </w:r>
    </w:p>
    <w:p w14:paraId="6C2C0D2E" w14:textId="6D5C195E" w:rsidR="00EA598B" w:rsidRPr="00602F20" w:rsidRDefault="00EA598B" w:rsidP="00A52FAD">
      <w:pPr>
        <w:keepNext/>
        <w:rPr>
          <w:b/>
          <w:color w:val="000000" w:themeColor="text1"/>
        </w:rPr>
      </w:pPr>
      <w:r>
        <w:rPr>
          <w:b/>
          <w:color w:val="000000" w:themeColor="text1"/>
        </w:rPr>
        <w:t>Tableau</w:t>
      </w:r>
      <w:r w:rsidR="00393F28">
        <w:rPr>
          <w:b/>
          <w:color w:val="000000" w:themeColor="text1"/>
        </w:rPr>
        <w:t> </w:t>
      </w:r>
      <w:r>
        <w:rPr>
          <w:b/>
          <w:color w:val="000000" w:themeColor="text1"/>
        </w:rPr>
        <w:t>2. Rapport financier de la phase II</w:t>
      </w:r>
      <w:r>
        <w:rPr>
          <w:color w:val="000000" w:themeColor="text1"/>
        </w:rPr>
        <w:t xml:space="preserve"> </w:t>
      </w:r>
      <w:r>
        <w:rPr>
          <w:b/>
          <w:color w:val="000000" w:themeColor="text1"/>
        </w:rPr>
        <w:t>du PGEH pour Bahreïn ($ US)</w:t>
      </w:r>
    </w:p>
    <w:tbl>
      <w:tblPr>
        <w:tblStyle w:val="Grigliatabella"/>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602F20" w:rsidRPr="00602F20" w14:paraId="23768049" w14:textId="77777777" w:rsidTr="00470683">
        <w:trPr>
          <w:tblHeader/>
        </w:trPr>
        <w:tc>
          <w:tcPr>
            <w:tcW w:w="833" w:type="pct"/>
            <w:vMerge w:val="restart"/>
            <w:vAlign w:val="center"/>
          </w:tcPr>
          <w:p w14:paraId="71029B5D" w14:textId="77777777" w:rsidR="00EA598B" w:rsidRPr="00602F20" w:rsidRDefault="00EA598B" w:rsidP="00470683">
            <w:pPr>
              <w:keepNext/>
              <w:jc w:val="center"/>
              <w:rPr>
                <w:b/>
                <w:color w:val="000000" w:themeColor="text1"/>
                <w:sz w:val="20"/>
                <w:szCs w:val="20"/>
              </w:rPr>
            </w:pPr>
            <w:r>
              <w:rPr>
                <w:b/>
                <w:color w:val="000000" w:themeColor="text1"/>
                <w:sz w:val="20"/>
                <w:szCs w:val="20"/>
              </w:rPr>
              <w:t>Agence</w:t>
            </w:r>
          </w:p>
        </w:tc>
        <w:tc>
          <w:tcPr>
            <w:tcW w:w="1212" w:type="pct"/>
            <w:gridSpan w:val="2"/>
            <w:vAlign w:val="center"/>
          </w:tcPr>
          <w:p w14:paraId="0C0F3028" w14:textId="77777777" w:rsidR="00EA598B" w:rsidRPr="00602F20" w:rsidRDefault="00EA598B" w:rsidP="00470683">
            <w:pPr>
              <w:keepNext/>
              <w:jc w:val="center"/>
              <w:rPr>
                <w:b/>
                <w:color w:val="000000" w:themeColor="text1"/>
                <w:sz w:val="20"/>
                <w:szCs w:val="20"/>
              </w:rPr>
            </w:pPr>
            <w:r>
              <w:rPr>
                <w:b/>
                <w:color w:val="000000" w:themeColor="text1"/>
                <w:sz w:val="20"/>
                <w:szCs w:val="20"/>
              </w:rPr>
              <w:t>Première tranche</w:t>
            </w:r>
          </w:p>
        </w:tc>
        <w:tc>
          <w:tcPr>
            <w:tcW w:w="1212" w:type="pct"/>
            <w:gridSpan w:val="2"/>
            <w:vAlign w:val="center"/>
          </w:tcPr>
          <w:p w14:paraId="3DB71B44" w14:textId="77777777" w:rsidR="00EA598B" w:rsidRPr="00602F20" w:rsidRDefault="00EA598B" w:rsidP="00470683">
            <w:pPr>
              <w:keepNext/>
              <w:jc w:val="center"/>
              <w:rPr>
                <w:b/>
                <w:color w:val="000000" w:themeColor="text1"/>
                <w:sz w:val="20"/>
                <w:szCs w:val="20"/>
              </w:rPr>
            </w:pPr>
            <w:r>
              <w:rPr>
                <w:b/>
                <w:color w:val="000000" w:themeColor="text1"/>
                <w:sz w:val="20"/>
                <w:szCs w:val="20"/>
              </w:rPr>
              <w:t>Deuxième tranche</w:t>
            </w:r>
          </w:p>
        </w:tc>
        <w:tc>
          <w:tcPr>
            <w:tcW w:w="1743" w:type="pct"/>
            <w:gridSpan w:val="3"/>
            <w:vAlign w:val="center"/>
          </w:tcPr>
          <w:p w14:paraId="349DC40A" w14:textId="77777777" w:rsidR="00EA598B" w:rsidRPr="00602F20" w:rsidRDefault="00EA598B" w:rsidP="00470683">
            <w:pPr>
              <w:keepNext/>
              <w:jc w:val="center"/>
              <w:rPr>
                <w:b/>
                <w:color w:val="000000" w:themeColor="text1"/>
                <w:sz w:val="20"/>
                <w:szCs w:val="20"/>
              </w:rPr>
            </w:pPr>
            <w:r>
              <w:rPr>
                <w:b/>
                <w:color w:val="000000" w:themeColor="text1"/>
                <w:sz w:val="20"/>
                <w:szCs w:val="20"/>
              </w:rPr>
              <w:t>Total</w:t>
            </w:r>
          </w:p>
        </w:tc>
      </w:tr>
      <w:tr w:rsidR="00602F20" w:rsidRPr="00602F20" w14:paraId="62704D7D" w14:textId="77777777" w:rsidTr="00470683">
        <w:trPr>
          <w:tblHeader/>
        </w:trPr>
        <w:tc>
          <w:tcPr>
            <w:tcW w:w="833" w:type="pct"/>
            <w:vMerge/>
            <w:vAlign w:val="center"/>
          </w:tcPr>
          <w:p w14:paraId="14244365" w14:textId="77777777" w:rsidR="00EA598B" w:rsidRPr="00602F20" w:rsidRDefault="00EA598B" w:rsidP="00470683">
            <w:pPr>
              <w:keepNext/>
              <w:jc w:val="center"/>
              <w:rPr>
                <w:b/>
                <w:color w:val="000000" w:themeColor="text1"/>
                <w:sz w:val="20"/>
                <w:szCs w:val="20"/>
              </w:rPr>
            </w:pPr>
          </w:p>
        </w:tc>
        <w:tc>
          <w:tcPr>
            <w:tcW w:w="610" w:type="pct"/>
            <w:vAlign w:val="center"/>
          </w:tcPr>
          <w:p w14:paraId="4E3A291F" w14:textId="77777777" w:rsidR="00EA598B" w:rsidRPr="00602F20" w:rsidRDefault="00EA598B" w:rsidP="00470683">
            <w:pPr>
              <w:keepNext/>
              <w:jc w:val="center"/>
              <w:rPr>
                <w:b/>
                <w:color w:val="000000" w:themeColor="text1"/>
                <w:sz w:val="20"/>
                <w:szCs w:val="20"/>
              </w:rPr>
            </w:pPr>
            <w:r>
              <w:rPr>
                <w:b/>
                <w:color w:val="000000" w:themeColor="text1"/>
                <w:sz w:val="20"/>
                <w:szCs w:val="20"/>
              </w:rPr>
              <w:t>Approuvé</w:t>
            </w:r>
          </w:p>
        </w:tc>
        <w:tc>
          <w:tcPr>
            <w:tcW w:w="602" w:type="pct"/>
            <w:vAlign w:val="center"/>
          </w:tcPr>
          <w:p w14:paraId="28486347" w14:textId="77777777" w:rsidR="00EA598B" w:rsidRPr="00602F20" w:rsidRDefault="00EA598B" w:rsidP="00470683">
            <w:pPr>
              <w:keepNext/>
              <w:jc w:val="center"/>
              <w:rPr>
                <w:b/>
                <w:color w:val="000000" w:themeColor="text1"/>
                <w:sz w:val="20"/>
                <w:szCs w:val="20"/>
              </w:rPr>
            </w:pPr>
            <w:r>
              <w:rPr>
                <w:b/>
                <w:color w:val="000000" w:themeColor="text1"/>
                <w:sz w:val="20"/>
                <w:szCs w:val="20"/>
              </w:rPr>
              <w:t>Décaissé</w:t>
            </w:r>
          </w:p>
        </w:tc>
        <w:tc>
          <w:tcPr>
            <w:tcW w:w="605" w:type="pct"/>
            <w:vAlign w:val="center"/>
          </w:tcPr>
          <w:p w14:paraId="7C156C89" w14:textId="77777777" w:rsidR="00EA598B" w:rsidRPr="00602F20" w:rsidRDefault="00EA598B" w:rsidP="00470683">
            <w:pPr>
              <w:keepNext/>
              <w:jc w:val="center"/>
              <w:rPr>
                <w:b/>
                <w:color w:val="000000" w:themeColor="text1"/>
                <w:sz w:val="20"/>
                <w:szCs w:val="20"/>
              </w:rPr>
            </w:pPr>
            <w:r>
              <w:rPr>
                <w:b/>
                <w:color w:val="000000" w:themeColor="text1"/>
                <w:sz w:val="20"/>
                <w:szCs w:val="20"/>
              </w:rPr>
              <w:t>Approuvé</w:t>
            </w:r>
          </w:p>
        </w:tc>
        <w:tc>
          <w:tcPr>
            <w:tcW w:w="607" w:type="pct"/>
            <w:vAlign w:val="center"/>
          </w:tcPr>
          <w:p w14:paraId="5CF1CA7D" w14:textId="77777777" w:rsidR="00EA598B" w:rsidRPr="00602F20" w:rsidRDefault="00EA598B" w:rsidP="00470683">
            <w:pPr>
              <w:keepNext/>
              <w:jc w:val="center"/>
              <w:rPr>
                <w:b/>
                <w:color w:val="000000" w:themeColor="text1"/>
                <w:sz w:val="20"/>
                <w:szCs w:val="20"/>
              </w:rPr>
            </w:pPr>
            <w:r>
              <w:rPr>
                <w:b/>
                <w:color w:val="000000" w:themeColor="text1"/>
                <w:sz w:val="20"/>
                <w:szCs w:val="20"/>
              </w:rPr>
              <w:t>Décaissé</w:t>
            </w:r>
          </w:p>
        </w:tc>
        <w:tc>
          <w:tcPr>
            <w:tcW w:w="606" w:type="pct"/>
            <w:vAlign w:val="center"/>
          </w:tcPr>
          <w:p w14:paraId="42F20E07" w14:textId="77777777" w:rsidR="00EA598B" w:rsidRPr="00602F20" w:rsidRDefault="00EA598B" w:rsidP="00470683">
            <w:pPr>
              <w:keepNext/>
              <w:jc w:val="center"/>
              <w:rPr>
                <w:b/>
                <w:color w:val="000000" w:themeColor="text1"/>
                <w:sz w:val="20"/>
                <w:szCs w:val="20"/>
              </w:rPr>
            </w:pPr>
            <w:r>
              <w:rPr>
                <w:b/>
                <w:color w:val="000000" w:themeColor="text1"/>
                <w:sz w:val="20"/>
                <w:szCs w:val="20"/>
              </w:rPr>
              <w:t>Approuvé</w:t>
            </w:r>
          </w:p>
        </w:tc>
        <w:tc>
          <w:tcPr>
            <w:tcW w:w="607" w:type="pct"/>
            <w:vAlign w:val="center"/>
          </w:tcPr>
          <w:p w14:paraId="5B10FC9B" w14:textId="77777777" w:rsidR="00EA598B" w:rsidRPr="00602F20" w:rsidRDefault="00EA598B" w:rsidP="00470683">
            <w:pPr>
              <w:keepNext/>
              <w:jc w:val="center"/>
              <w:rPr>
                <w:b/>
                <w:color w:val="000000" w:themeColor="text1"/>
                <w:sz w:val="20"/>
                <w:szCs w:val="20"/>
              </w:rPr>
            </w:pPr>
            <w:r>
              <w:rPr>
                <w:b/>
                <w:color w:val="000000" w:themeColor="text1"/>
                <w:sz w:val="20"/>
                <w:szCs w:val="20"/>
              </w:rPr>
              <w:t>Décaissé</w:t>
            </w:r>
          </w:p>
        </w:tc>
        <w:tc>
          <w:tcPr>
            <w:tcW w:w="530" w:type="pct"/>
          </w:tcPr>
          <w:p w14:paraId="35B7ACE3" w14:textId="77777777" w:rsidR="00EA598B" w:rsidRPr="00602F20" w:rsidRDefault="00EA598B" w:rsidP="00470683">
            <w:pPr>
              <w:keepNext/>
              <w:jc w:val="center"/>
              <w:rPr>
                <w:b/>
                <w:color w:val="000000" w:themeColor="text1"/>
                <w:sz w:val="20"/>
                <w:szCs w:val="20"/>
              </w:rPr>
            </w:pPr>
            <w:r>
              <w:rPr>
                <w:b/>
                <w:color w:val="000000" w:themeColor="text1"/>
                <w:sz w:val="20"/>
                <w:szCs w:val="20"/>
              </w:rPr>
              <w:t>Solde</w:t>
            </w:r>
          </w:p>
        </w:tc>
      </w:tr>
      <w:tr w:rsidR="00602F20" w:rsidRPr="00602F20" w14:paraId="7AA40755" w14:textId="77777777" w:rsidTr="00470683">
        <w:tc>
          <w:tcPr>
            <w:tcW w:w="833" w:type="pct"/>
          </w:tcPr>
          <w:p w14:paraId="0959AA20" w14:textId="67FEE7C2" w:rsidR="0098191E" w:rsidRPr="00602F20" w:rsidRDefault="0098191E" w:rsidP="0098191E">
            <w:pPr>
              <w:rPr>
                <w:color w:val="000000" w:themeColor="text1"/>
                <w:sz w:val="20"/>
                <w:szCs w:val="20"/>
              </w:rPr>
            </w:pPr>
            <w:r>
              <w:rPr>
                <w:color w:val="000000" w:themeColor="text1"/>
                <w:sz w:val="20"/>
                <w:szCs w:val="20"/>
              </w:rPr>
              <w:t>PNUE</w:t>
            </w:r>
          </w:p>
        </w:tc>
        <w:tc>
          <w:tcPr>
            <w:tcW w:w="610" w:type="pct"/>
          </w:tcPr>
          <w:p w14:paraId="4FE04ED0" w14:textId="73853BBB" w:rsidR="0098191E" w:rsidRPr="00602F20" w:rsidRDefault="0098191E" w:rsidP="0054205B">
            <w:pPr>
              <w:spacing w:afterLines="20" w:after="48"/>
              <w:jc w:val="right"/>
              <w:rPr>
                <w:color w:val="000000" w:themeColor="text1"/>
                <w:sz w:val="20"/>
                <w:szCs w:val="20"/>
              </w:rPr>
            </w:pPr>
            <w:r>
              <w:rPr>
                <w:color w:val="000000" w:themeColor="text1"/>
                <w:sz w:val="20"/>
                <w:szCs w:val="20"/>
              </w:rPr>
              <w:t>249 500</w:t>
            </w:r>
          </w:p>
        </w:tc>
        <w:tc>
          <w:tcPr>
            <w:tcW w:w="602" w:type="pct"/>
          </w:tcPr>
          <w:p w14:paraId="6B3C5C73" w14:textId="595167A6" w:rsidR="0098191E" w:rsidRPr="00602F20" w:rsidRDefault="0098191E" w:rsidP="0054205B">
            <w:pPr>
              <w:spacing w:afterLines="20" w:after="48"/>
              <w:jc w:val="right"/>
              <w:rPr>
                <w:color w:val="000000" w:themeColor="text1"/>
                <w:sz w:val="20"/>
                <w:szCs w:val="20"/>
              </w:rPr>
            </w:pPr>
            <w:r>
              <w:rPr>
                <w:color w:val="000000" w:themeColor="text1"/>
                <w:sz w:val="20"/>
                <w:szCs w:val="20"/>
              </w:rPr>
              <w:t>249 500</w:t>
            </w:r>
          </w:p>
        </w:tc>
        <w:tc>
          <w:tcPr>
            <w:tcW w:w="605" w:type="pct"/>
          </w:tcPr>
          <w:p w14:paraId="05B38E48" w14:textId="741CA210" w:rsidR="0098191E" w:rsidRPr="00602F20" w:rsidRDefault="0098191E" w:rsidP="0098191E">
            <w:pPr>
              <w:jc w:val="right"/>
              <w:rPr>
                <w:color w:val="000000" w:themeColor="text1"/>
                <w:sz w:val="20"/>
                <w:szCs w:val="20"/>
              </w:rPr>
            </w:pPr>
            <w:r>
              <w:rPr>
                <w:color w:val="000000" w:themeColor="text1"/>
                <w:sz w:val="20"/>
                <w:szCs w:val="20"/>
              </w:rPr>
              <w:t>79 500</w:t>
            </w:r>
          </w:p>
        </w:tc>
        <w:tc>
          <w:tcPr>
            <w:tcW w:w="607" w:type="pct"/>
          </w:tcPr>
          <w:p w14:paraId="54662637" w14:textId="5230EF01" w:rsidR="0098191E" w:rsidRPr="00602F20" w:rsidRDefault="0098191E" w:rsidP="0098191E">
            <w:pPr>
              <w:jc w:val="right"/>
              <w:rPr>
                <w:color w:val="000000" w:themeColor="text1"/>
                <w:sz w:val="20"/>
                <w:szCs w:val="20"/>
              </w:rPr>
            </w:pPr>
            <w:r>
              <w:rPr>
                <w:color w:val="000000" w:themeColor="text1"/>
                <w:sz w:val="20"/>
                <w:szCs w:val="20"/>
              </w:rPr>
              <w:t>76 500</w:t>
            </w:r>
          </w:p>
        </w:tc>
        <w:tc>
          <w:tcPr>
            <w:tcW w:w="606" w:type="pct"/>
          </w:tcPr>
          <w:p w14:paraId="6DD4DF73" w14:textId="27772E56" w:rsidR="0098191E" w:rsidRPr="00602F20" w:rsidRDefault="00AC470D" w:rsidP="0098191E">
            <w:pPr>
              <w:jc w:val="right"/>
              <w:rPr>
                <w:color w:val="000000" w:themeColor="text1"/>
                <w:sz w:val="20"/>
                <w:szCs w:val="20"/>
              </w:rPr>
            </w:pPr>
            <w:r>
              <w:rPr>
                <w:color w:val="000000" w:themeColor="text1"/>
                <w:sz w:val="20"/>
                <w:szCs w:val="20"/>
              </w:rPr>
              <w:t>329 000</w:t>
            </w:r>
          </w:p>
        </w:tc>
        <w:tc>
          <w:tcPr>
            <w:tcW w:w="607" w:type="pct"/>
          </w:tcPr>
          <w:p w14:paraId="1A8D25F5" w14:textId="1DF8C9DD" w:rsidR="0098191E" w:rsidRPr="00602F20" w:rsidRDefault="00AC470D" w:rsidP="0098191E">
            <w:pPr>
              <w:jc w:val="right"/>
              <w:rPr>
                <w:color w:val="000000" w:themeColor="text1"/>
                <w:sz w:val="20"/>
                <w:szCs w:val="20"/>
              </w:rPr>
            </w:pPr>
            <w:r>
              <w:rPr>
                <w:color w:val="000000" w:themeColor="text1"/>
                <w:sz w:val="20"/>
                <w:szCs w:val="20"/>
              </w:rPr>
              <w:t>326 000</w:t>
            </w:r>
          </w:p>
        </w:tc>
        <w:tc>
          <w:tcPr>
            <w:tcW w:w="530" w:type="pct"/>
          </w:tcPr>
          <w:p w14:paraId="33F5E020" w14:textId="166BD2DC" w:rsidR="0098191E" w:rsidRPr="00602F20" w:rsidRDefault="00405F50" w:rsidP="0098191E">
            <w:pPr>
              <w:jc w:val="right"/>
              <w:rPr>
                <w:color w:val="000000" w:themeColor="text1"/>
                <w:sz w:val="20"/>
                <w:szCs w:val="20"/>
              </w:rPr>
            </w:pPr>
            <w:r>
              <w:rPr>
                <w:color w:val="000000" w:themeColor="text1"/>
                <w:sz w:val="20"/>
                <w:szCs w:val="20"/>
              </w:rPr>
              <w:t>3 000</w:t>
            </w:r>
          </w:p>
        </w:tc>
      </w:tr>
      <w:tr w:rsidR="0098191E" w:rsidRPr="003F5C18" w14:paraId="65F988DD" w14:textId="77777777" w:rsidTr="00470683">
        <w:tc>
          <w:tcPr>
            <w:tcW w:w="833" w:type="pct"/>
          </w:tcPr>
          <w:p w14:paraId="01BA54AC" w14:textId="6B8C0C67" w:rsidR="0098191E" w:rsidRPr="003F5C18" w:rsidRDefault="0098191E" w:rsidP="0098191E">
            <w:pPr>
              <w:rPr>
                <w:sz w:val="20"/>
                <w:szCs w:val="20"/>
              </w:rPr>
            </w:pPr>
            <w:r>
              <w:rPr>
                <w:sz w:val="20"/>
                <w:szCs w:val="20"/>
              </w:rPr>
              <w:t>ONUDI</w:t>
            </w:r>
          </w:p>
        </w:tc>
        <w:tc>
          <w:tcPr>
            <w:tcW w:w="610" w:type="pct"/>
          </w:tcPr>
          <w:p w14:paraId="644F09A6" w14:textId="6C3CAE8D" w:rsidR="0098191E" w:rsidRPr="003F5C18" w:rsidRDefault="0098191E" w:rsidP="0098191E">
            <w:pPr>
              <w:jc w:val="right"/>
              <w:rPr>
                <w:sz w:val="20"/>
                <w:szCs w:val="20"/>
              </w:rPr>
            </w:pPr>
            <w:r>
              <w:rPr>
                <w:sz w:val="20"/>
                <w:szCs w:val="20"/>
              </w:rPr>
              <w:t>203 999</w:t>
            </w:r>
          </w:p>
        </w:tc>
        <w:tc>
          <w:tcPr>
            <w:tcW w:w="602" w:type="pct"/>
          </w:tcPr>
          <w:p w14:paraId="473203DE" w14:textId="2F3C2BD9" w:rsidR="0098191E" w:rsidRPr="003F5C18" w:rsidRDefault="0098191E" w:rsidP="0098191E">
            <w:pPr>
              <w:jc w:val="right"/>
              <w:rPr>
                <w:sz w:val="20"/>
                <w:szCs w:val="20"/>
              </w:rPr>
            </w:pPr>
            <w:r>
              <w:rPr>
                <w:sz w:val="20"/>
                <w:szCs w:val="20"/>
              </w:rPr>
              <w:t>203 999</w:t>
            </w:r>
          </w:p>
        </w:tc>
        <w:tc>
          <w:tcPr>
            <w:tcW w:w="605" w:type="pct"/>
          </w:tcPr>
          <w:p w14:paraId="64CB2EF7" w14:textId="228044D6" w:rsidR="0098191E" w:rsidRPr="003F5C18" w:rsidRDefault="0098191E" w:rsidP="0098191E">
            <w:pPr>
              <w:jc w:val="right"/>
              <w:rPr>
                <w:sz w:val="20"/>
                <w:szCs w:val="20"/>
              </w:rPr>
            </w:pPr>
            <w:r>
              <w:rPr>
                <w:sz w:val="20"/>
                <w:szCs w:val="20"/>
              </w:rPr>
              <w:t>54 000</w:t>
            </w:r>
          </w:p>
        </w:tc>
        <w:tc>
          <w:tcPr>
            <w:tcW w:w="607" w:type="pct"/>
          </w:tcPr>
          <w:p w14:paraId="61D5B955" w14:textId="1EDD248C" w:rsidR="0098191E" w:rsidRPr="003F5C18" w:rsidRDefault="0098191E" w:rsidP="0098191E">
            <w:pPr>
              <w:jc w:val="right"/>
              <w:rPr>
                <w:sz w:val="20"/>
                <w:szCs w:val="20"/>
              </w:rPr>
            </w:pPr>
            <w:r>
              <w:rPr>
                <w:sz w:val="20"/>
                <w:szCs w:val="20"/>
              </w:rPr>
              <w:t>42 930</w:t>
            </w:r>
          </w:p>
        </w:tc>
        <w:tc>
          <w:tcPr>
            <w:tcW w:w="606" w:type="pct"/>
          </w:tcPr>
          <w:p w14:paraId="5F33D887" w14:textId="73F8B689" w:rsidR="0098191E" w:rsidRPr="003F5C18" w:rsidRDefault="00AC470D" w:rsidP="0098191E">
            <w:pPr>
              <w:jc w:val="right"/>
              <w:rPr>
                <w:sz w:val="20"/>
                <w:szCs w:val="20"/>
              </w:rPr>
            </w:pPr>
            <w:r>
              <w:rPr>
                <w:sz w:val="20"/>
                <w:szCs w:val="20"/>
              </w:rPr>
              <w:t>257 999</w:t>
            </w:r>
          </w:p>
        </w:tc>
        <w:tc>
          <w:tcPr>
            <w:tcW w:w="607" w:type="pct"/>
          </w:tcPr>
          <w:p w14:paraId="6306AD66" w14:textId="1A7833AC" w:rsidR="0098191E" w:rsidRPr="003F5C18" w:rsidRDefault="00AC470D" w:rsidP="0098191E">
            <w:pPr>
              <w:jc w:val="right"/>
              <w:rPr>
                <w:sz w:val="20"/>
                <w:szCs w:val="20"/>
              </w:rPr>
            </w:pPr>
            <w:r>
              <w:rPr>
                <w:sz w:val="20"/>
                <w:szCs w:val="20"/>
              </w:rPr>
              <w:t>246 929</w:t>
            </w:r>
          </w:p>
        </w:tc>
        <w:tc>
          <w:tcPr>
            <w:tcW w:w="530" w:type="pct"/>
          </w:tcPr>
          <w:p w14:paraId="123713A6" w14:textId="31A47185" w:rsidR="0098191E" w:rsidRPr="003F5C18" w:rsidRDefault="00405F50" w:rsidP="0098191E">
            <w:pPr>
              <w:jc w:val="right"/>
              <w:rPr>
                <w:sz w:val="20"/>
                <w:szCs w:val="20"/>
              </w:rPr>
            </w:pPr>
            <w:r>
              <w:rPr>
                <w:sz w:val="20"/>
                <w:szCs w:val="20"/>
              </w:rPr>
              <w:t>11 070</w:t>
            </w:r>
          </w:p>
        </w:tc>
      </w:tr>
      <w:tr w:rsidR="0098191E" w:rsidRPr="003F5C18" w14:paraId="585152EF" w14:textId="77777777" w:rsidTr="00470683">
        <w:tc>
          <w:tcPr>
            <w:tcW w:w="833" w:type="pct"/>
          </w:tcPr>
          <w:p w14:paraId="27F7DC06" w14:textId="77777777" w:rsidR="0098191E" w:rsidRPr="003F5C18" w:rsidRDefault="0098191E" w:rsidP="0098191E">
            <w:pPr>
              <w:rPr>
                <w:b/>
                <w:sz w:val="20"/>
                <w:szCs w:val="20"/>
              </w:rPr>
            </w:pPr>
            <w:r>
              <w:rPr>
                <w:b/>
                <w:sz w:val="20"/>
                <w:szCs w:val="20"/>
              </w:rPr>
              <w:t>Total</w:t>
            </w:r>
          </w:p>
        </w:tc>
        <w:tc>
          <w:tcPr>
            <w:tcW w:w="610" w:type="pct"/>
          </w:tcPr>
          <w:p w14:paraId="6AC0A1E7" w14:textId="2F80277C" w:rsidR="0098191E" w:rsidRPr="003F5C18" w:rsidRDefault="0098191E" w:rsidP="0098191E">
            <w:pPr>
              <w:jc w:val="right"/>
              <w:rPr>
                <w:b/>
                <w:bCs/>
                <w:sz w:val="20"/>
                <w:szCs w:val="20"/>
              </w:rPr>
            </w:pPr>
            <w:r>
              <w:rPr>
                <w:b/>
                <w:bCs/>
                <w:sz w:val="20"/>
                <w:szCs w:val="20"/>
              </w:rPr>
              <w:t>453 499</w:t>
            </w:r>
          </w:p>
        </w:tc>
        <w:tc>
          <w:tcPr>
            <w:tcW w:w="602" w:type="pct"/>
          </w:tcPr>
          <w:p w14:paraId="7B0FFEF2" w14:textId="326AE7CB" w:rsidR="0098191E" w:rsidRPr="003F5C18" w:rsidRDefault="0098191E" w:rsidP="0098191E">
            <w:pPr>
              <w:jc w:val="right"/>
              <w:rPr>
                <w:b/>
                <w:bCs/>
                <w:sz w:val="20"/>
                <w:szCs w:val="20"/>
              </w:rPr>
            </w:pPr>
            <w:r>
              <w:rPr>
                <w:b/>
                <w:bCs/>
                <w:sz w:val="20"/>
                <w:szCs w:val="20"/>
              </w:rPr>
              <w:t>453 499</w:t>
            </w:r>
          </w:p>
        </w:tc>
        <w:tc>
          <w:tcPr>
            <w:tcW w:w="605" w:type="pct"/>
          </w:tcPr>
          <w:p w14:paraId="2FB47690" w14:textId="2AEC0545" w:rsidR="0098191E" w:rsidRPr="003F5C18" w:rsidRDefault="0098191E" w:rsidP="0098191E">
            <w:pPr>
              <w:jc w:val="right"/>
              <w:rPr>
                <w:b/>
                <w:bCs/>
                <w:sz w:val="20"/>
                <w:szCs w:val="20"/>
              </w:rPr>
            </w:pPr>
            <w:r>
              <w:rPr>
                <w:b/>
                <w:bCs/>
                <w:sz w:val="20"/>
                <w:szCs w:val="20"/>
              </w:rPr>
              <w:t>133 500</w:t>
            </w:r>
          </w:p>
        </w:tc>
        <w:tc>
          <w:tcPr>
            <w:tcW w:w="607" w:type="pct"/>
          </w:tcPr>
          <w:p w14:paraId="3935347A" w14:textId="425F6FEE" w:rsidR="0098191E" w:rsidRPr="003F5C18" w:rsidRDefault="0098191E" w:rsidP="0098191E">
            <w:pPr>
              <w:jc w:val="right"/>
              <w:rPr>
                <w:b/>
                <w:bCs/>
                <w:sz w:val="20"/>
                <w:szCs w:val="20"/>
              </w:rPr>
            </w:pPr>
            <w:r>
              <w:rPr>
                <w:b/>
                <w:bCs/>
                <w:sz w:val="20"/>
                <w:szCs w:val="20"/>
              </w:rPr>
              <w:t>119 430</w:t>
            </w:r>
          </w:p>
        </w:tc>
        <w:tc>
          <w:tcPr>
            <w:tcW w:w="606" w:type="pct"/>
          </w:tcPr>
          <w:p w14:paraId="492AEEB5" w14:textId="5DAA3EDC" w:rsidR="0098191E" w:rsidRPr="003F5C18" w:rsidRDefault="00AC470D" w:rsidP="0098191E">
            <w:pPr>
              <w:jc w:val="right"/>
              <w:rPr>
                <w:b/>
                <w:bCs/>
                <w:sz w:val="20"/>
                <w:szCs w:val="20"/>
              </w:rPr>
            </w:pPr>
            <w:r>
              <w:rPr>
                <w:b/>
                <w:bCs/>
                <w:sz w:val="20"/>
                <w:szCs w:val="20"/>
              </w:rPr>
              <w:t>586 999</w:t>
            </w:r>
          </w:p>
        </w:tc>
        <w:tc>
          <w:tcPr>
            <w:tcW w:w="607" w:type="pct"/>
          </w:tcPr>
          <w:p w14:paraId="0F146D0C" w14:textId="55DFFCB1" w:rsidR="0098191E" w:rsidRPr="003F5C18" w:rsidRDefault="00AC470D" w:rsidP="0098191E">
            <w:pPr>
              <w:jc w:val="right"/>
              <w:rPr>
                <w:b/>
                <w:bCs/>
                <w:sz w:val="20"/>
                <w:szCs w:val="20"/>
              </w:rPr>
            </w:pPr>
            <w:r>
              <w:rPr>
                <w:b/>
                <w:bCs/>
                <w:sz w:val="20"/>
                <w:szCs w:val="20"/>
              </w:rPr>
              <w:t>572 929</w:t>
            </w:r>
          </w:p>
        </w:tc>
        <w:tc>
          <w:tcPr>
            <w:tcW w:w="530" w:type="pct"/>
          </w:tcPr>
          <w:p w14:paraId="1DA8304A" w14:textId="328C8A65" w:rsidR="0098191E" w:rsidRPr="003F5C18" w:rsidRDefault="00405F50" w:rsidP="0098191E">
            <w:pPr>
              <w:jc w:val="right"/>
              <w:rPr>
                <w:b/>
                <w:bCs/>
                <w:sz w:val="20"/>
                <w:szCs w:val="20"/>
              </w:rPr>
            </w:pPr>
            <w:r>
              <w:rPr>
                <w:b/>
                <w:bCs/>
                <w:sz w:val="20"/>
                <w:szCs w:val="20"/>
              </w:rPr>
              <w:t>14 070</w:t>
            </w:r>
          </w:p>
        </w:tc>
      </w:tr>
      <w:tr w:rsidR="00EA598B" w:rsidRPr="003F5C18" w14:paraId="10F8457E" w14:textId="77777777" w:rsidTr="00470683">
        <w:tc>
          <w:tcPr>
            <w:tcW w:w="833" w:type="pct"/>
          </w:tcPr>
          <w:p w14:paraId="42E782AD" w14:textId="77777777" w:rsidR="00EA598B" w:rsidRPr="003F5C18" w:rsidRDefault="00EA598B" w:rsidP="00470683">
            <w:pPr>
              <w:jc w:val="left"/>
              <w:rPr>
                <w:b/>
                <w:sz w:val="20"/>
                <w:szCs w:val="20"/>
              </w:rPr>
            </w:pPr>
            <w:r>
              <w:rPr>
                <w:b/>
                <w:sz w:val="20"/>
                <w:szCs w:val="20"/>
              </w:rPr>
              <w:t>Taux de décaissement (en %)</w:t>
            </w:r>
          </w:p>
        </w:tc>
        <w:tc>
          <w:tcPr>
            <w:tcW w:w="1212" w:type="pct"/>
            <w:gridSpan w:val="2"/>
            <w:vAlign w:val="center"/>
          </w:tcPr>
          <w:p w14:paraId="468CF73F" w14:textId="7FD0AB1B" w:rsidR="00EA598B" w:rsidRPr="003F5C18" w:rsidRDefault="0098191E" w:rsidP="00BE4F30">
            <w:pPr>
              <w:jc w:val="center"/>
              <w:rPr>
                <w:b/>
                <w:bCs/>
                <w:sz w:val="20"/>
                <w:szCs w:val="20"/>
              </w:rPr>
            </w:pPr>
            <w:r>
              <w:rPr>
                <w:b/>
                <w:bCs/>
                <w:sz w:val="20"/>
                <w:szCs w:val="20"/>
              </w:rPr>
              <w:t xml:space="preserve">100 </w:t>
            </w:r>
          </w:p>
        </w:tc>
        <w:tc>
          <w:tcPr>
            <w:tcW w:w="1212" w:type="pct"/>
            <w:gridSpan w:val="2"/>
            <w:vAlign w:val="center"/>
          </w:tcPr>
          <w:p w14:paraId="28F601E8" w14:textId="4CF803A1" w:rsidR="0098191E" w:rsidRPr="003F5C18" w:rsidRDefault="00BE4F30" w:rsidP="00213D6D">
            <w:pPr>
              <w:jc w:val="center"/>
              <w:rPr>
                <w:b/>
                <w:bCs/>
                <w:sz w:val="20"/>
                <w:szCs w:val="20"/>
              </w:rPr>
            </w:pPr>
            <w:r>
              <w:rPr>
                <w:b/>
                <w:bCs/>
                <w:sz w:val="20"/>
                <w:szCs w:val="20"/>
              </w:rPr>
              <w:t>89,5</w:t>
            </w:r>
          </w:p>
        </w:tc>
        <w:tc>
          <w:tcPr>
            <w:tcW w:w="1743" w:type="pct"/>
            <w:gridSpan w:val="3"/>
            <w:vAlign w:val="center"/>
          </w:tcPr>
          <w:p w14:paraId="00B3E8D8" w14:textId="4757D5D4" w:rsidR="00EA598B" w:rsidRPr="003F5C18" w:rsidRDefault="00405F50" w:rsidP="00470683">
            <w:pPr>
              <w:jc w:val="center"/>
              <w:rPr>
                <w:b/>
                <w:bCs/>
                <w:sz w:val="20"/>
                <w:szCs w:val="20"/>
              </w:rPr>
            </w:pPr>
            <w:r>
              <w:rPr>
                <w:b/>
                <w:bCs/>
                <w:sz w:val="20"/>
                <w:szCs w:val="20"/>
              </w:rPr>
              <w:t>97,6</w:t>
            </w:r>
          </w:p>
        </w:tc>
      </w:tr>
    </w:tbl>
    <w:p w14:paraId="1F8EADE5" w14:textId="77777777" w:rsidR="00EA598B" w:rsidRPr="003F5C18" w:rsidRDefault="00EA598B" w:rsidP="00EA598B">
      <w:pPr>
        <w:rPr>
          <w:sz w:val="20"/>
          <w:szCs w:val="20"/>
        </w:rPr>
      </w:pPr>
    </w:p>
    <w:p w14:paraId="625B9842" w14:textId="758C3A13" w:rsidR="00EA598B" w:rsidRPr="008D443F" w:rsidRDefault="00EA598B" w:rsidP="00285888">
      <w:pPr>
        <w:keepNext/>
        <w:spacing w:before="240" w:after="240"/>
        <w:rPr>
          <w:u w:val="single"/>
        </w:rPr>
      </w:pPr>
      <w:r>
        <w:rPr>
          <w:u w:val="single"/>
        </w:rPr>
        <w:lastRenderedPageBreak/>
        <w:t>Plan de mise en œuvre pour la troisième et dernière tranche de la phase II du plan de gestion de l’élimination des HCFC</w:t>
      </w:r>
    </w:p>
    <w:p w14:paraId="6EED06E6" w14:textId="48F76FD2" w:rsidR="00EA598B" w:rsidRPr="008D443F" w:rsidRDefault="00EA598B" w:rsidP="00285888">
      <w:pPr>
        <w:pStyle w:val="Titolo1"/>
      </w:pPr>
      <w:bookmarkStart w:id="4" w:name="_Hlk126934425"/>
      <w:bookmarkStart w:id="5" w:name="_Hlk126663552"/>
      <w:r>
        <w:t>Les activités suivantes seront mises en œuvre entre janvier</w:t>
      </w:r>
      <w:r w:rsidR="00393F28">
        <w:t> </w:t>
      </w:r>
      <w:r>
        <w:t>2025 et décembre</w:t>
      </w:r>
      <w:r w:rsidR="000E4CB2">
        <w:t> </w:t>
      </w:r>
      <w:r>
        <w:t>2026</w:t>
      </w:r>
      <w:r w:rsidR="000E4CB2">
        <w:t> </w:t>
      </w:r>
      <w:r>
        <w:t>:</w:t>
      </w:r>
    </w:p>
    <w:p w14:paraId="12022A32" w14:textId="31D602EB" w:rsidR="00EA598B" w:rsidRPr="008D443F" w:rsidRDefault="000E63E6" w:rsidP="00CF608C">
      <w:pPr>
        <w:pStyle w:val="Titolo2"/>
        <w:widowControl/>
      </w:pPr>
      <w:r>
        <w:t>Poursuivre la campagne de sensibilisation ciblée visant les autorités du gouvernement et les parties prenantes pertinentes au sujet de l’introduction et de la mise en application des derniers règlement</w:t>
      </w:r>
      <w:r w:rsidR="00AF2867">
        <w:t>s</w:t>
      </w:r>
      <w:r>
        <w:t xml:space="preserve"> du CCG (PNUE) (5 000 $ US);</w:t>
      </w:r>
    </w:p>
    <w:p w14:paraId="78197EA7" w14:textId="75745F58" w:rsidR="00EA598B" w:rsidRPr="008D443F" w:rsidRDefault="00CB744F" w:rsidP="00285888">
      <w:pPr>
        <w:pStyle w:val="Titolo2"/>
        <w:widowControl/>
      </w:pPr>
      <w:r>
        <w:t>Former les agents des douanes nouvellement recrutés sur le Protocole de Montréal et le contrôle des HCFC, y compris le profilage de risques (40 agents, y compris des femmes) (PNUE) (6 000 $ US);</w:t>
      </w:r>
    </w:p>
    <w:p w14:paraId="051CB93E" w14:textId="1F446DF3" w:rsidR="00EA598B" w:rsidRPr="008D443F" w:rsidRDefault="00CB744F" w:rsidP="00285888">
      <w:pPr>
        <w:pStyle w:val="Titolo2"/>
        <w:widowControl/>
      </w:pPr>
      <w:r>
        <w:t xml:space="preserve">Poursuivre la mise en œuvre du programme de formation sur les bonnes pratiques d’entretien en réfrigération et climatisation pour les techniciens, en collaboration avec les établissements locaux, avec la certification d’au moins 40 techniciens (PNUE) (34 000 $ US); </w:t>
      </w:r>
    </w:p>
    <w:p w14:paraId="39FB3AA4" w14:textId="40B1355A" w:rsidR="00EA598B" w:rsidRPr="00792142" w:rsidRDefault="00792142" w:rsidP="00CB744F">
      <w:pPr>
        <w:pStyle w:val="Titolo2"/>
        <w:widowControl/>
      </w:pPr>
      <w:r>
        <w:t>Fournir des ensembles supplémentaires d’outils et d’équipements aux techniciens certifiés</w:t>
      </w:r>
      <w:r w:rsidR="00CE1579" w:rsidRPr="00792142">
        <w:rPr>
          <w:rStyle w:val="Rimandonotaapidipagina"/>
        </w:rPr>
        <w:footnoteReference w:id="5"/>
      </w:r>
      <w:r>
        <w:t xml:space="preserve"> (ONUDI) (21 000 $ US, plus le solde de la tranche précédente);</w:t>
      </w:r>
    </w:p>
    <w:p w14:paraId="76058B7A" w14:textId="5228FFF6" w:rsidR="00EA598B" w:rsidRPr="00792142" w:rsidRDefault="00EA598B" w:rsidP="00285888">
      <w:pPr>
        <w:pStyle w:val="Titolo2"/>
        <w:widowControl/>
      </w:pPr>
      <w:r>
        <w:t>Surveillance de projet (PNUE) (10 000 $ US), y compris pour le personnel et les consultants (7 000 $ US), ainsi que des réunions et des ateliers (3 000</w:t>
      </w:r>
      <w:r w:rsidR="00942616">
        <w:t> </w:t>
      </w:r>
      <w:r>
        <w:t>$ US).</w:t>
      </w:r>
    </w:p>
    <w:bookmarkEnd w:id="4"/>
    <w:bookmarkEnd w:id="5"/>
    <w:p w14:paraId="5760D5DE" w14:textId="77777777" w:rsidR="00EA598B" w:rsidRPr="0034371D" w:rsidRDefault="00EA598B" w:rsidP="00EA598B">
      <w:pPr>
        <w:keepNext/>
        <w:keepLines/>
        <w:spacing w:before="360" w:after="240"/>
        <w:jc w:val="center"/>
        <w:rPr>
          <w:b/>
        </w:rPr>
      </w:pPr>
      <w:r>
        <w:rPr>
          <w:b/>
        </w:rPr>
        <w:t>OBSERVATIONS ET RECOMMANDATION DU SECRÉTARIAT</w:t>
      </w:r>
    </w:p>
    <w:p w14:paraId="38F984A9" w14:textId="77777777" w:rsidR="00EA598B" w:rsidRPr="0034371D" w:rsidRDefault="00EA598B" w:rsidP="00EA598B">
      <w:pPr>
        <w:keepNext/>
        <w:keepLines/>
        <w:rPr>
          <w:b/>
        </w:rPr>
      </w:pPr>
      <w:r>
        <w:rPr>
          <w:b/>
        </w:rPr>
        <w:t>OBSERVATIONS</w:t>
      </w:r>
    </w:p>
    <w:p w14:paraId="57630728" w14:textId="7AAB2671" w:rsidR="00EA598B" w:rsidRDefault="00EA598B" w:rsidP="00EA598B">
      <w:pPr>
        <w:keepNext/>
        <w:keepLines/>
        <w:spacing w:before="240" w:after="240"/>
      </w:pPr>
      <w:r>
        <w:rPr>
          <w:u w:val="single"/>
        </w:rPr>
        <w:t>Tendances de consommation des HCFC et perspectives de conformité</w:t>
      </w:r>
    </w:p>
    <w:p w14:paraId="184A0070" w14:textId="4ADD26EC" w:rsidR="00DC1C69" w:rsidRDefault="00497F6F" w:rsidP="00E726A0">
      <w:pPr>
        <w:pStyle w:val="Titolo1"/>
      </w:pPr>
      <w:r>
        <w:t>En prenant note de la tendance croissante dans la consommation de HCFC-22 des deux dernières années, le Secrétariat a demandé une évaluation des futures tendances prévues dans la consommation pour la fabrication et l’entretien en réfrigération et climatisation, ainsi que la stratégie suivie pour s’assurer que la réduction requise de HCFC est réalisée en 2025 de manière durable. Le PNUE a indiqué que Bahreïn avait atteint de manière constante les cibles de consommation des années précédentes, qu’il allait continuer de mettre en œuvre des règlements et des lignes directrices pour gérer les frigorigènes, soutenir le système de récupération, de recyclage et de régénération (RRR) des frigorigènes, et interdire l’importation et la fabrication de systèmes fonctionnant au HCFC-22 à partir du 1</w:t>
      </w:r>
      <w:r>
        <w:rPr>
          <w:vertAlign w:val="superscript"/>
        </w:rPr>
        <w:t>er</w:t>
      </w:r>
      <w:r>
        <w:t> janvier 2025, comme noté dans la décision 88/45(d)(ii)</w:t>
      </w:r>
      <w:r w:rsidR="00EE68E5">
        <w:rPr>
          <w:rStyle w:val="Rimandonotaapidipagina"/>
        </w:rPr>
        <w:footnoteReference w:id="6"/>
      </w:r>
      <w:r>
        <w:t>. Le PNUE a relevé que lors de la phase initiale de mise en œuvre du PGEH à Bahreïn, 80 pour cent de la consommation des HCFC avait lieu dans le secteur de la fabrication. Grâce aux activités complétées pour éliminer la consommation dans le secteur de la fabrication, l’exploitation du centre de régénération des frigorigènes affectera positivement les demandes à venir pour les HCFC dans le secteur de l’entretien des appareils de réfrigération et de climatisation. Le gouvernement de Bahreïn a réaffirmé son engagement à atteindre la pleine conformité avec ses cibles de réduction progressive des HCFC.</w:t>
      </w:r>
    </w:p>
    <w:p w14:paraId="526591AA" w14:textId="54A5BB20" w:rsidR="001D1CD2" w:rsidRPr="001D1CD2" w:rsidRDefault="006F5C81" w:rsidP="00DB6C0D">
      <w:pPr>
        <w:pStyle w:val="Titolo1"/>
        <w:spacing w:before="240"/>
        <w:rPr>
          <w:u w:val="single"/>
        </w:rPr>
      </w:pPr>
      <w:r>
        <w:t xml:space="preserve">Le PNUE a également confirmé que les importations accrues de HCFC-141b contenu dans les polyols </w:t>
      </w:r>
      <w:proofErr w:type="spellStart"/>
      <w:r>
        <w:t>prémélangés</w:t>
      </w:r>
      <w:proofErr w:type="spellEnd"/>
      <w:r>
        <w:t xml:space="preserve"> importés depuis 2021 provenaient de l’essor dans le secteur immobilier après la pandémie de COVID-19 et a indiqué qu’en raison des activités mises en œuvre par l’ONUDI dans le cadre de la phase II du PGEH, les négociants et les utilisateurs finaux ont commencé à importer des substituts au </w:t>
      </w:r>
      <w:r>
        <w:lastRenderedPageBreak/>
        <w:t xml:space="preserve">HCFC-141b contenu dans les polyols </w:t>
      </w:r>
      <w:proofErr w:type="spellStart"/>
      <w:r>
        <w:t>prémélangés</w:t>
      </w:r>
      <w:proofErr w:type="spellEnd"/>
      <w:r>
        <w:t xml:space="preserve"> importés. Le PNUE a également confirmé qu’à partir du 1</w:t>
      </w:r>
      <w:r>
        <w:rPr>
          <w:vertAlign w:val="superscript"/>
        </w:rPr>
        <w:t>er</w:t>
      </w:r>
      <w:r>
        <w:t xml:space="preserve"> janvier 2025, l’importation du HCFC-141b dans les polyols </w:t>
      </w:r>
      <w:proofErr w:type="spellStart"/>
      <w:r>
        <w:t>prémélangés</w:t>
      </w:r>
      <w:proofErr w:type="spellEnd"/>
      <w:r>
        <w:t xml:space="preserve"> ne sera plus autorisée. </w:t>
      </w:r>
    </w:p>
    <w:p w14:paraId="323EFF09" w14:textId="55DA49B3" w:rsidR="00EA598B" w:rsidRPr="001D1CD2" w:rsidRDefault="00EA598B" w:rsidP="00875F7E">
      <w:pPr>
        <w:pStyle w:val="Titolo1"/>
        <w:widowControl w:val="0"/>
        <w:numPr>
          <w:ilvl w:val="0"/>
          <w:numId w:val="0"/>
        </w:numPr>
        <w:spacing w:before="240"/>
        <w:rPr>
          <w:u w:val="single"/>
        </w:rPr>
      </w:pPr>
      <w:r>
        <w:rPr>
          <w:u w:val="single"/>
        </w:rPr>
        <w:t>Rapport périodique sur la mise en œuvre de la deuxième tranche de la phase II du plan de gestion de l’élimination des HCFC</w:t>
      </w:r>
    </w:p>
    <w:p w14:paraId="35CABB36" w14:textId="77777777" w:rsidR="00EA598B" w:rsidRPr="003D1668" w:rsidRDefault="00EA598B" w:rsidP="00875F7E">
      <w:pPr>
        <w:widowControl w:val="0"/>
        <w:spacing w:before="240" w:after="240"/>
        <w:rPr>
          <w:i/>
        </w:rPr>
      </w:pPr>
      <w:r>
        <w:rPr>
          <w:i/>
        </w:rPr>
        <w:t>Cadre juridique</w:t>
      </w:r>
    </w:p>
    <w:p w14:paraId="3D7CD046" w14:textId="584FEB85" w:rsidR="00EA598B" w:rsidRDefault="003A5F3F" w:rsidP="00875F7E">
      <w:pPr>
        <w:pStyle w:val="Titolo1"/>
        <w:widowControl w:val="0"/>
      </w:pPr>
      <w:r>
        <w:t>Le gouvernement de Bahreïn a déjà émis des quotas d’importation de HCFC pour 2024, 2025 et 2026, à hauteur de 29,50 tonnes PAO, 13,75 tonnes PAO et 13,75 tonnes PAO, respectivement, ce qui est inférieur aux cibles de contrôle du Protocole de Montréal et en accord avec les cibles établies dans son Accord avec le Comité exécutif.</w:t>
      </w:r>
    </w:p>
    <w:p w14:paraId="784ED61B" w14:textId="767E6260" w:rsidR="00EA598B" w:rsidRPr="00170A94" w:rsidRDefault="00EA598B" w:rsidP="00DB6C0D">
      <w:pPr>
        <w:keepNext/>
        <w:keepLines/>
        <w:spacing w:after="240"/>
        <w:rPr>
          <w:i/>
        </w:rPr>
      </w:pPr>
      <w:r>
        <w:rPr>
          <w:i/>
        </w:rPr>
        <w:t xml:space="preserve">Secteur de fabrication </w:t>
      </w:r>
    </w:p>
    <w:p w14:paraId="4DC7F651" w14:textId="7CB07D72" w:rsidR="000E1E82" w:rsidRPr="00170A94" w:rsidRDefault="009342C9" w:rsidP="00447A7C">
      <w:pPr>
        <w:pStyle w:val="Titolo1"/>
      </w:pPr>
      <w:r>
        <w:t>En ce qui concerne la situation pour l’adoption des technologies à faible PRG dans le secteur des mousses de PU à Bahreïn, le PNUE a expliqué que le projet offrait plusieurs options, y compris le cyclopentane, les HFO et le formiate de méthyle. Le cyclopentane a été l’option privilégiée pour plusieurs entreprises, mais son utilisation est limitée à certaines conditions en raison de son inflammabilité; et les prix des HFO demeurent élevés à Bahreïn, comparativement à ceux du HCFC-141b. Compte tenu de son coût et de sa performance technique, le formiate de méthyle a émergé comme étant l’option la plus privilégiée à tester pour les quatre entreprises admissibles. Les résultats des tests étaient positifs, démontrant des propriétés d’expansion efficaces, un faible niveau de toxicité, des produits de grande qualité, ainsi que des paramètres acceptables sur le plan de l’environnement, tout cela à un coût similaire à celui du HCFC-141b.</w:t>
      </w:r>
    </w:p>
    <w:p w14:paraId="4D045A2A" w14:textId="77777777" w:rsidR="00EA598B" w:rsidRPr="0034371D" w:rsidRDefault="00EA598B" w:rsidP="00285888">
      <w:pPr>
        <w:keepNext/>
        <w:widowControl w:val="0"/>
        <w:spacing w:after="240"/>
        <w:rPr>
          <w:i/>
        </w:rPr>
      </w:pPr>
      <w:r>
        <w:rPr>
          <w:i/>
        </w:rPr>
        <w:t>Secteur de l’entretien des appareils de réfrigération</w:t>
      </w:r>
    </w:p>
    <w:p w14:paraId="32E9D4FE" w14:textId="7530413C" w:rsidR="000A10B6" w:rsidRPr="00A35AEB" w:rsidRDefault="00DB4155" w:rsidP="00D21118">
      <w:pPr>
        <w:pStyle w:val="Titolo1"/>
        <w:rPr>
          <w:color w:val="000000" w:themeColor="text1"/>
        </w:rPr>
      </w:pPr>
      <w:r>
        <w:rPr>
          <w:color w:val="000000" w:themeColor="text1"/>
        </w:rPr>
        <w:t xml:space="preserve">Le Secrétariat a noté que le secteur de l’entretien des appareils de réfrigération continue de mettre des activités en œuvre </w:t>
      </w:r>
      <w:r w:rsidR="00F4091D">
        <w:rPr>
          <w:color w:val="000000" w:themeColor="text1"/>
        </w:rPr>
        <w:t>comm</w:t>
      </w:r>
      <w:r>
        <w:rPr>
          <w:color w:val="000000" w:themeColor="text1"/>
        </w:rPr>
        <w:t>e prévu. Au cours des tranches précédentes, le programme national de RRR a été renforcé par l’approvisionnement d’outils et d’équipements de base. En prenant note de la pertinence du RRR pour contribuer à la réduction de la demande de nouveaux frigorigènes à Bahreïn, le PNUE, en réponse aux requêtes du Secrétariat, a indiqué que le HCFC-22 est le frigorigène le plus récupéré et que les quantités de frigorigènes récupérées ont considérablement augmenté à environ 17 à 21 </w:t>
      </w:r>
      <w:proofErr w:type="spellStart"/>
      <w:r>
        <w:rPr>
          <w:color w:val="000000" w:themeColor="text1"/>
        </w:rPr>
        <w:t>tm</w:t>
      </w:r>
      <w:proofErr w:type="spellEnd"/>
      <w:r>
        <w:rPr>
          <w:color w:val="000000" w:themeColor="text1"/>
        </w:rPr>
        <w:t xml:space="preserve"> depuis 2022. Le PNUE s’attend à ce que la prochaine réduction du quota d’importation de HCFC en 2025 à près de 50 pour cent du niveau de 2024 engendre une augmentation de la régénération des frigorigènes, atteignant potentiellement 30 </w:t>
      </w:r>
      <w:proofErr w:type="spellStart"/>
      <w:r>
        <w:rPr>
          <w:color w:val="000000" w:themeColor="text1"/>
        </w:rPr>
        <w:t>tm</w:t>
      </w:r>
      <w:proofErr w:type="spellEnd"/>
      <w:r>
        <w:rPr>
          <w:color w:val="000000" w:themeColor="text1"/>
        </w:rPr>
        <w:t xml:space="preserve"> de HCFC-22 pour la période de 2025-2026.</w:t>
      </w:r>
    </w:p>
    <w:p w14:paraId="663E9609" w14:textId="45FD4051" w:rsidR="00073B5A" w:rsidRPr="00073B5A" w:rsidRDefault="008E2D10" w:rsidP="00E37E1F">
      <w:pPr>
        <w:pStyle w:val="Titolo1"/>
        <w:keepNext/>
        <w:rPr>
          <w:u w:val="single"/>
        </w:rPr>
      </w:pPr>
      <w:r>
        <w:t xml:space="preserve">Le PNUE a également fourni des détails supplémentaires sur le fonctionnement de la certification des techniciens à Bahreïn, indiquant que pour recevoir la certification, les techniciens doivent satisfaire les critères de certification, qui comprennent d’obtenir un score minimal de 50 pour cent à l’examen théorique, de 70 pour cent à l’examen pratique, et de 85 pour cent en brasage. La majorité des techniciens qui participent aux programmes de formation répondent à ces exigences et reçoivent la certification. Le Secrétariat </w:t>
      </w:r>
      <w:r w:rsidR="006535DC">
        <w:t>a</w:t>
      </w:r>
      <w:r>
        <w:t xml:space="preserve"> relevé avec satisfaction que, lors des discussions sur le plan d’action pour la troisième tranche, la cible de techniciens supplémentaires à former et à certifier a été augmentée de 40 à 50, ce qui conduit à un total de 130, soit 30 de plus que les 100 initialement prévus pour cette phase. Le Secrétariat considère que le processus de certification devrait se poursuivre et s’élargir au cours des prochaines phase</w:t>
      </w:r>
      <w:r w:rsidR="009C1185">
        <w:t>s</w:t>
      </w:r>
      <w:r>
        <w:t xml:space="preserve"> du PGEH</w:t>
      </w:r>
      <w:r w:rsidR="00AB4A49">
        <w:t xml:space="preserve"> </w:t>
      </w:r>
      <w:r>
        <w:lastRenderedPageBreak/>
        <w:t>et du plan de mise en œuvre de l’Amendement de Kigali, afin de mieux préparer les techniciens à l’adoption des substituts à faible PRG pour les HCFC et les HFC.</w:t>
      </w:r>
    </w:p>
    <w:p w14:paraId="466908E2" w14:textId="7C97CA73" w:rsidR="00EA598B" w:rsidRPr="00073B5A" w:rsidRDefault="00EA598B" w:rsidP="00073B5A">
      <w:pPr>
        <w:pStyle w:val="Titolo1"/>
        <w:keepNext/>
        <w:numPr>
          <w:ilvl w:val="0"/>
          <w:numId w:val="0"/>
        </w:numPr>
        <w:rPr>
          <w:u w:val="single"/>
        </w:rPr>
      </w:pPr>
      <w:r>
        <w:rPr>
          <w:u w:val="single"/>
        </w:rPr>
        <w:t>Mise en œuvre de la politique sur les questions de genre</w:t>
      </w:r>
    </w:p>
    <w:p w14:paraId="3A313684" w14:textId="5D98625E" w:rsidR="008E75CC" w:rsidRPr="00CF3275" w:rsidRDefault="008E75CC" w:rsidP="008E75CC">
      <w:pPr>
        <w:pStyle w:val="Titolo1"/>
      </w:pPr>
      <w:r>
        <w:t xml:space="preserve">Le Secrétariat a noté que Bahreïn continue de </w:t>
      </w:r>
      <w:proofErr w:type="gramStart"/>
      <w:r>
        <w:t>faire</w:t>
      </w:r>
      <w:proofErr w:type="gramEnd"/>
      <w:r>
        <w:t xml:space="preserve"> des efforts pour inclure les femmes dans toutes ses activités et tous ses projets en envoyant des invitations aux ingénieures concernant les événements de sensibilisation, aspirant à inclure toutes les agentes des douanes dans les cours de formation, et en encourageant les parties prenantes à </w:t>
      </w:r>
      <w:r w:rsidR="009C1185">
        <w:t>sélection</w:t>
      </w:r>
      <w:r>
        <w:t xml:space="preserve">ner des techniciennes pour les événements de formation. Bien que la composition finale de chaque groupe de formation </w:t>
      </w:r>
      <w:proofErr w:type="gramStart"/>
      <w:r>
        <w:t>peut</w:t>
      </w:r>
      <w:proofErr w:type="gramEnd"/>
      <w:r>
        <w:t xml:space="preserve"> dépendre de circonstances précises relatives à l’événement, le service national de l’ozone (UNO) demeure engagé à faire la promotion de la diversité de genre dans tous les programmes de formation.</w:t>
      </w:r>
    </w:p>
    <w:p w14:paraId="45595B3F" w14:textId="5C1F9E63" w:rsidR="002C55AE" w:rsidRPr="00CF3275" w:rsidRDefault="008E75CC" w:rsidP="00112EDD">
      <w:pPr>
        <w:pStyle w:val="Titolo1"/>
        <w:rPr>
          <w:color w:val="000000" w:themeColor="text1"/>
        </w:rPr>
      </w:pPr>
      <w:r>
        <w:rPr>
          <w:color w:val="000000" w:themeColor="text1"/>
        </w:rPr>
        <w:t xml:space="preserve">Cinquante-cinq pour cent des membres du personnel de l’UNO sont des femmes et elles participent activement à tous les événements associés au Protocole de Montréal. Des exemples de la participation féminine comprennent : 22 pour cent de taux de participation féminine dans le séminaire sur les technologies de remplacement pour les polyols </w:t>
      </w:r>
      <w:proofErr w:type="spellStart"/>
      <w:r>
        <w:rPr>
          <w:color w:val="000000" w:themeColor="text1"/>
        </w:rPr>
        <w:t>prémélangés</w:t>
      </w:r>
      <w:proofErr w:type="spellEnd"/>
      <w:r>
        <w:rPr>
          <w:color w:val="000000" w:themeColor="text1"/>
        </w:rPr>
        <w:t xml:space="preserve"> destiné aux parties prenantes dans le secteur des mousses; six agentes des douanes formées; une femme a participé à la formation des techniciens en réfrigération et climatisation; deux participantes (sur huit personnes) dans les réunions consultatives avec les parties prenantes du secteur des mousses; environ 30 pour cent de représentation féminine dans les réunions du Conseil suprême de l’environnement avec l’Autorité de l’électricité et de l’eau concernant l’efficacité énergétique; et la participation d’environ 40 étudiantes en ingénierie aux séminaires sur la protection de la couche d’ozone à la </w:t>
      </w:r>
      <w:proofErr w:type="spellStart"/>
      <w:r>
        <w:rPr>
          <w:color w:val="000000" w:themeColor="text1"/>
        </w:rPr>
        <w:t>Bahrain</w:t>
      </w:r>
      <w:proofErr w:type="spellEnd"/>
      <w:r>
        <w:rPr>
          <w:color w:val="000000" w:themeColor="text1"/>
        </w:rPr>
        <w:t xml:space="preserve"> </w:t>
      </w:r>
      <w:proofErr w:type="spellStart"/>
      <w:r>
        <w:rPr>
          <w:color w:val="000000" w:themeColor="text1"/>
        </w:rPr>
        <w:t>Polytechnic</w:t>
      </w:r>
      <w:proofErr w:type="spellEnd"/>
      <w:r>
        <w:rPr>
          <w:color w:val="000000" w:themeColor="text1"/>
        </w:rPr>
        <w:t>.</w:t>
      </w:r>
    </w:p>
    <w:p w14:paraId="5513B4C6" w14:textId="77777777" w:rsidR="00EA598B" w:rsidRPr="00244DC0" w:rsidRDefault="00EA598B" w:rsidP="00AD7A91">
      <w:pPr>
        <w:keepNext/>
        <w:spacing w:after="240"/>
        <w:rPr>
          <w:u w:val="single"/>
        </w:rPr>
      </w:pPr>
      <w:r>
        <w:rPr>
          <w:u w:val="single"/>
        </w:rPr>
        <w:t>Durabilité de l’élimination des HCFC et évaluation des risques</w:t>
      </w:r>
    </w:p>
    <w:p w14:paraId="125C192C" w14:textId="39EF27A6" w:rsidR="005C5153" w:rsidRDefault="005C5153" w:rsidP="00047D42">
      <w:pPr>
        <w:pStyle w:val="Titolo1"/>
        <w:keepNext/>
        <w:rPr>
          <w:color w:val="000000" w:themeColor="text1"/>
        </w:rPr>
      </w:pPr>
      <w:r>
        <w:rPr>
          <w:color w:val="000000" w:themeColor="text1"/>
        </w:rPr>
        <w:t>Pour appuyer la durabilité des HCFC éliminés grâce aux activités du PGEH, le gouvernement de Bahreïn possède un système d’octroi de permis et de quotas applicable, a interdit l’importation d’unités de réfrigération à refroidissement central fonctionnant aux HCFC, a interdit l’importation du HCFC‑141b pur depuis le 1</w:t>
      </w:r>
      <w:r>
        <w:rPr>
          <w:color w:val="000000" w:themeColor="text1"/>
          <w:vertAlign w:val="superscript"/>
        </w:rPr>
        <w:t>er</w:t>
      </w:r>
      <w:r>
        <w:rPr>
          <w:color w:val="000000" w:themeColor="text1"/>
        </w:rPr>
        <w:t xml:space="preserve"> janvier 2021, et interdira l’importation du HCFC-141b contenu dans les polyols </w:t>
      </w:r>
      <w:proofErr w:type="spellStart"/>
      <w:r>
        <w:rPr>
          <w:color w:val="000000" w:themeColor="text1"/>
        </w:rPr>
        <w:t>prémélangés</w:t>
      </w:r>
      <w:proofErr w:type="spellEnd"/>
      <w:r>
        <w:rPr>
          <w:color w:val="000000" w:themeColor="text1"/>
        </w:rPr>
        <w:t>, ainsi que l’importation et la fabrication d’appareils de climatisation fonctionnant au HCFC-22 à compter du 1</w:t>
      </w:r>
      <w:r>
        <w:rPr>
          <w:color w:val="000000" w:themeColor="text1"/>
          <w:vertAlign w:val="superscript"/>
        </w:rPr>
        <w:t>er</w:t>
      </w:r>
      <w:r>
        <w:rPr>
          <w:color w:val="000000" w:themeColor="text1"/>
        </w:rPr>
        <w:t xml:space="preserve"> janvier 2025. </w:t>
      </w:r>
    </w:p>
    <w:p w14:paraId="07C35E87" w14:textId="77777777" w:rsidR="005C5153" w:rsidRDefault="005C5153" w:rsidP="00047D42">
      <w:pPr>
        <w:pStyle w:val="Titolo1"/>
        <w:keepNext/>
        <w:rPr>
          <w:color w:val="000000" w:themeColor="text1"/>
        </w:rPr>
      </w:pPr>
      <w:r>
        <w:rPr>
          <w:color w:val="000000" w:themeColor="text1"/>
        </w:rPr>
        <w:t xml:space="preserve">Le Secrétariat et le PNUE ont discuté du possible risque associé à la conformité aux cibles du PGEH, compte tenu des exigences du secteur de l’entretien des appareils de réfrigération et de climatisation pour le HCFC-22, qui sont demeurées élevées malgré les efforts continus pour éliminer les HCFC. Tandis que le pays met en œuvre d’importantes réductions dans le quota annuel de HCFC-22, la lente adoption des pratiques de récupération des frigorigènes pourrait constituer un défi. Pour y remédier, l’UNO collabore activement avec les principaux entrepreneurs pour élargir la récupération des frigorigènes et les efforts de régénération. En outre, en augmentant le nombre de techniciens formés, l’UNO vise à augmenter la quantité de frigorigènes régénérés. </w:t>
      </w:r>
    </w:p>
    <w:p w14:paraId="39F5955C" w14:textId="4FE6C016" w:rsidR="008326A1" w:rsidRPr="00A33698" w:rsidRDefault="00F34838" w:rsidP="00047D42">
      <w:pPr>
        <w:pStyle w:val="Titolo1"/>
        <w:keepNext/>
        <w:rPr>
          <w:color w:val="000000" w:themeColor="text1"/>
        </w:rPr>
      </w:pPr>
      <w:r>
        <w:rPr>
          <w:color w:val="000000" w:themeColor="text1"/>
        </w:rPr>
        <w:t xml:space="preserve">La disponibilité des technologies à faible PRG a également été classée comme un risque moyen. Le PNUE a relevé que la disponibilité des HFC devrait être gérée avec soin afin de minimiser leur futur impact sur l’environnement. La recherche de substituts à faible PRG pour les HCFC et les HFC demeure un domaine continu de recherche et de développement, particulièrement pour les pays à température ambiante élevée. Malgré les risques, aucun retard important n’est prévu et les activités devraient bien se </w:t>
      </w:r>
      <w:r>
        <w:rPr>
          <w:color w:val="000000" w:themeColor="text1"/>
        </w:rPr>
        <w:lastRenderedPageBreak/>
        <w:t>dérouler. Un facteur clé qui contribue à la réussite de Bahreïn est le solide partenariat entre l’UNO et ses parties prenantes, ce qui assure une mise en œuvre opportune et efficace.</w:t>
      </w:r>
    </w:p>
    <w:p w14:paraId="6CBA079E" w14:textId="77777777" w:rsidR="00EA598B" w:rsidRPr="0034371D" w:rsidRDefault="00EA598B" w:rsidP="007A02C8">
      <w:pPr>
        <w:keepNext/>
        <w:spacing w:before="240" w:after="240"/>
        <w:rPr>
          <w:u w:val="single"/>
        </w:rPr>
      </w:pPr>
      <w:r>
        <w:rPr>
          <w:u w:val="single"/>
        </w:rPr>
        <w:t>Conclusion</w:t>
      </w:r>
    </w:p>
    <w:p w14:paraId="17650EA8" w14:textId="5CA2B569" w:rsidR="00D919CE" w:rsidRPr="00765E26" w:rsidRDefault="00D919CE" w:rsidP="00D919CE">
      <w:pPr>
        <w:pStyle w:val="Titolo1"/>
        <w:keepNext/>
        <w:rPr>
          <w:color w:val="000000" w:themeColor="text1"/>
        </w:rPr>
      </w:pPr>
      <w:r>
        <w:rPr>
          <w:color w:val="000000" w:themeColor="text1"/>
        </w:rPr>
        <w:t>Bahreïn a atteint les cibles de contrôle de son Accord avec le Comité exécutif et dans le cadre du Protocole de Montréal. Le pays met efficacement en application un système d’octroi de permis et de quotas pour contrôler l’importation des HCFC et des appareils. Le projet pour l’élimination des polyols de HCFC-141b en est à une étape avancée de mise en œuvre, avec des plans pour cesser leur utilisation avant le 1</w:t>
      </w:r>
      <w:r>
        <w:rPr>
          <w:color w:val="000000" w:themeColor="text1"/>
          <w:vertAlign w:val="superscript"/>
        </w:rPr>
        <w:t>er</w:t>
      </w:r>
      <w:r>
        <w:rPr>
          <w:color w:val="000000" w:themeColor="text1"/>
        </w:rPr>
        <w:t xml:space="preserve"> janvier 2025. De l’équipement et des outils ont été fournis pour appuyer la formation et la certification obligatoire des techniciens. L’élimination de la consommation des HCFC dans le secteur de la fabrication a été achevée et les quantités croissantes de frigorigènes récupérés aideront à compenser la demande dans le secteur de l’entretien des appareils de réfrigération et de climatisation. Ainsi, avec la réduction progressive des quotas annuels de HCFC, Bahreïn est en voie de réduire davantage sa consommation de HCFC-22. Le gouvernement de Bahreïn s’est efforcé d’inclure l’intégration du genre dans le PGEH et les femmes sont de plus en plus impliquées dans les activités relatives au PGEH. Le taux de décaissement de la deuxième tranche est presque de 90 pour cent. </w:t>
      </w:r>
    </w:p>
    <w:p w14:paraId="542EE26B" w14:textId="77777777" w:rsidR="00EA598B" w:rsidRDefault="00EA598B" w:rsidP="007A02C8">
      <w:pPr>
        <w:keepNext/>
        <w:spacing w:before="360" w:after="240"/>
        <w:rPr>
          <w:b/>
        </w:rPr>
      </w:pPr>
      <w:r>
        <w:rPr>
          <w:b/>
        </w:rPr>
        <w:t>RECOMMANDATION</w:t>
      </w:r>
    </w:p>
    <w:p w14:paraId="359D8695" w14:textId="1C07D135" w:rsidR="00F956CB" w:rsidRDefault="001B1E79" w:rsidP="001B1E79">
      <w:pPr>
        <w:pStyle w:val="Titolo1"/>
      </w:pPr>
      <w:r>
        <w:t>Le Secrétariat du Fonds recommande au Comité exécutif</w:t>
      </w:r>
      <w:r w:rsidR="00203702">
        <w:t> </w:t>
      </w:r>
      <w:r>
        <w:t>:</w:t>
      </w:r>
    </w:p>
    <w:p w14:paraId="38EEB586" w14:textId="395C001D" w:rsidR="00F956CB" w:rsidRDefault="00F956CB" w:rsidP="00F956CB">
      <w:pPr>
        <w:pStyle w:val="Titolo2"/>
      </w:pPr>
      <w:r>
        <w:t>De prendre note du rapport périodique sur la mise en œuvre de la deuxième tranche de la phase II du plan de gestion de l’élimination des HCFC (PGEH) de Bahreïn;</w:t>
      </w:r>
    </w:p>
    <w:p w14:paraId="2FA524AA" w14:textId="74C0A447" w:rsidR="00CB41E7" w:rsidRDefault="00CB41E7" w:rsidP="00CB41E7">
      <w:pPr>
        <w:pStyle w:val="Titolo2"/>
        <w:widowControl/>
      </w:pPr>
      <w:r>
        <w:t>De demander au gouvernement de Bahreïn, au PNUE et à l’ONUDI de présenter un rapport périodique annuel concernant la mise en œuvre du programme de travail associé à la tranche finale jusqu’à l’achèvement du projet, des rapports de vérification jusqu’à l’approbation de la phase III et le rapport d’achèvement de projet à la deuxième réunion du Comité exécutif en 2027.</w:t>
      </w:r>
    </w:p>
    <w:p w14:paraId="1C944868" w14:textId="7B6FAF4D" w:rsidR="001B1E79" w:rsidRPr="00767EE6" w:rsidRDefault="00F956CB" w:rsidP="00F956CB">
      <w:pPr>
        <w:pStyle w:val="Titolo1"/>
      </w:pPr>
      <w:r>
        <w:t>Le Secrétariat du Fonds recommande en outre l’approbation globale de la troisième et dernière tranche de la phase II du PGEH et le plan correspondant de mise en œuvre de la tranche pour 2025-2026 pour Bahreïn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1E79" w:rsidRPr="00767EE6" w14:paraId="2320FE88" w14:textId="77777777" w:rsidTr="003A541C">
        <w:trPr>
          <w:tblHeader/>
        </w:trPr>
        <w:tc>
          <w:tcPr>
            <w:tcW w:w="293" w:type="pct"/>
          </w:tcPr>
          <w:p w14:paraId="7FAA7872" w14:textId="77777777" w:rsidR="001B1E79" w:rsidRPr="00767EE6" w:rsidRDefault="001B1E79" w:rsidP="003A541C">
            <w:pPr>
              <w:jc w:val="center"/>
              <w:rPr>
                <w:b/>
                <w:bCs/>
                <w:sz w:val="20"/>
                <w:szCs w:val="20"/>
              </w:rPr>
            </w:pPr>
          </w:p>
        </w:tc>
        <w:tc>
          <w:tcPr>
            <w:tcW w:w="2337" w:type="pct"/>
          </w:tcPr>
          <w:p w14:paraId="49DBB63C" w14:textId="77777777" w:rsidR="001B1E79" w:rsidRPr="00767EE6" w:rsidRDefault="001B1E79" w:rsidP="003A541C">
            <w:pPr>
              <w:jc w:val="center"/>
              <w:rPr>
                <w:b/>
                <w:bCs/>
                <w:sz w:val="20"/>
                <w:szCs w:val="20"/>
              </w:rPr>
            </w:pPr>
            <w:r>
              <w:rPr>
                <w:b/>
                <w:bCs/>
                <w:sz w:val="20"/>
                <w:szCs w:val="20"/>
              </w:rPr>
              <w:t>Titre du projet</w:t>
            </w:r>
          </w:p>
        </w:tc>
        <w:tc>
          <w:tcPr>
            <w:tcW w:w="790" w:type="pct"/>
            <w:tcMar>
              <w:left w:w="29" w:type="dxa"/>
              <w:right w:w="29" w:type="dxa"/>
            </w:tcMar>
          </w:tcPr>
          <w:p w14:paraId="0CEAE95A" w14:textId="7F745498" w:rsidR="001B1E79" w:rsidRPr="00767EE6" w:rsidRDefault="001B1E79" w:rsidP="003A541C">
            <w:pPr>
              <w:jc w:val="center"/>
              <w:rPr>
                <w:b/>
                <w:bCs/>
                <w:sz w:val="20"/>
                <w:szCs w:val="20"/>
              </w:rPr>
            </w:pPr>
            <w:r>
              <w:rPr>
                <w:b/>
                <w:bCs/>
                <w:sz w:val="20"/>
                <w:szCs w:val="20"/>
              </w:rPr>
              <w:t>Financement du projet ($ US)</w:t>
            </w:r>
          </w:p>
        </w:tc>
        <w:tc>
          <w:tcPr>
            <w:tcW w:w="747" w:type="pct"/>
            <w:tcMar>
              <w:left w:w="29" w:type="dxa"/>
              <w:right w:w="29" w:type="dxa"/>
            </w:tcMar>
          </w:tcPr>
          <w:p w14:paraId="2B06D519" w14:textId="660ECAD8" w:rsidR="001B1E79" w:rsidRPr="00767EE6" w:rsidRDefault="001B1E79" w:rsidP="003A541C">
            <w:pPr>
              <w:jc w:val="center"/>
              <w:rPr>
                <w:b/>
                <w:bCs/>
                <w:sz w:val="20"/>
                <w:szCs w:val="20"/>
              </w:rPr>
            </w:pPr>
            <w:r>
              <w:rPr>
                <w:b/>
                <w:bCs/>
                <w:sz w:val="20"/>
                <w:szCs w:val="20"/>
              </w:rPr>
              <w:t>Coûts d’appui ($ US)</w:t>
            </w:r>
          </w:p>
        </w:tc>
        <w:tc>
          <w:tcPr>
            <w:tcW w:w="833" w:type="pct"/>
            <w:tcBorders>
              <w:bottom w:val="single" w:sz="4" w:space="0" w:color="auto"/>
            </w:tcBorders>
            <w:tcMar>
              <w:left w:w="29" w:type="dxa"/>
              <w:right w:w="29" w:type="dxa"/>
            </w:tcMar>
          </w:tcPr>
          <w:p w14:paraId="4029EAC9" w14:textId="77777777" w:rsidR="001B1E79" w:rsidRPr="00767EE6" w:rsidRDefault="001B1E79" w:rsidP="003A541C">
            <w:pPr>
              <w:jc w:val="center"/>
              <w:rPr>
                <w:b/>
                <w:bCs/>
                <w:sz w:val="20"/>
                <w:szCs w:val="20"/>
              </w:rPr>
            </w:pPr>
            <w:r>
              <w:rPr>
                <w:b/>
                <w:bCs/>
                <w:sz w:val="20"/>
                <w:szCs w:val="20"/>
              </w:rPr>
              <w:t>Agence d’exécution</w:t>
            </w:r>
          </w:p>
        </w:tc>
      </w:tr>
      <w:tr w:rsidR="001B1E79" w:rsidRPr="00767EE6" w14:paraId="19230F4D" w14:textId="77777777" w:rsidTr="003A541C">
        <w:tc>
          <w:tcPr>
            <w:tcW w:w="293" w:type="pct"/>
          </w:tcPr>
          <w:p w14:paraId="43D17542" w14:textId="77777777" w:rsidR="001B1E79" w:rsidRPr="00767EE6" w:rsidRDefault="001B1E79" w:rsidP="003A541C">
            <w:pPr>
              <w:rPr>
                <w:sz w:val="20"/>
                <w:szCs w:val="20"/>
              </w:rPr>
            </w:pPr>
            <w:r>
              <w:rPr>
                <w:sz w:val="20"/>
                <w:szCs w:val="20"/>
              </w:rPr>
              <w:t>(</w:t>
            </w:r>
            <w:proofErr w:type="gramStart"/>
            <w:r>
              <w:rPr>
                <w:sz w:val="20"/>
                <w:szCs w:val="20"/>
              </w:rPr>
              <w:t>a</w:t>
            </w:r>
            <w:proofErr w:type="gramEnd"/>
            <w:r>
              <w:rPr>
                <w:sz w:val="20"/>
                <w:szCs w:val="20"/>
              </w:rPr>
              <w:t>)</w:t>
            </w:r>
          </w:p>
        </w:tc>
        <w:tc>
          <w:tcPr>
            <w:tcW w:w="2337" w:type="pct"/>
          </w:tcPr>
          <w:p w14:paraId="558C3440" w14:textId="263BDEC1" w:rsidR="001B1E79" w:rsidRPr="00767EE6" w:rsidRDefault="001B1E79" w:rsidP="003A541C">
            <w:pPr>
              <w:jc w:val="left"/>
              <w:rPr>
                <w:sz w:val="20"/>
                <w:szCs w:val="20"/>
              </w:rPr>
            </w:pPr>
            <w:r>
              <w:rPr>
                <w:sz w:val="20"/>
                <w:szCs w:val="20"/>
              </w:rPr>
              <w:t>Plan de gestion de l’élimination des HCFC (phase II, troisième tranche)</w:t>
            </w:r>
          </w:p>
        </w:tc>
        <w:tc>
          <w:tcPr>
            <w:tcW w:w="790" w:type="pct"/>
          </w:tcPr>
          <w:p w14:paraId="7EBD5BD4" w14:textId="3DB4ECFA" w:rsidR="001B1E79" w:rsidRPr="00767EE6" w:rsidRDefault="001B1E79" w:rsidP="003A541C">
            <w:pPr>
              <w:jc w:val="right"/>
              <w:rPr>
                <w:sz w:val="20"/>
                <w:szCs w:val="20"/>
              </w:rPr>
            </w:pPr>
            <w:r>
              <w:rPr>
                <w:sz w:val="20"/>
                <w:szCs w:val="20"/>
              </w:rPr>
              <w:t>55 000</w:t>
            </w:r>
          </w:p>
        </w:tc>
        <w:tc>
          <w:tcPr>
            <w:tcW w:w="747" w:type="pct"/>
          </w:tcPr>
          <w:p w14:paraId="4178D963" w14:textId="73660476" w:rsidR="001B1E79" w:rsidRPr="00767EE6" w:rsidRDefault="001B1E79" w:rsidP="003A541C">
            <w:pPr>
              <w:jc w:val="right"/>
            </w:pPr>
            <w:r>
              <w:rPr>
                <w:sz w:val="20"/>
                <w:szCs w:val="20"/>
              </w:rPr>
              <w:t>7 150</w:t>
            </w:r>
          </w:p>
        </w:tc>
        <w:tc>
          <w:tcPr>
            <w:tcW w:w="833" w:type="pct"/>
            <w:tcBorders>
              <w:top w:val="single" w:sz="4" w:space="0" w:color="auto"/>
            </w:tcBorders>
          </w:tcPr>
          <w:p w14:paraId="54389117" w14:textId="77777777" w:rsidR="001B1E79" w:rsidRPr="00767EE6" w:rsidRDefault="001B1E79" w:rsidP="003A541C">
            <w:pPr>
              <w:jc w:val="center"/>
              <w:rPr>
                <w:sz w:val="20"/>
                <w:szCs w:val="20"/>
              </w:rPr>
            </w:pPr>
            <w:r>
              <w:rPr>
                <w:sz w:val="20"/>
                <w:szCs w:val="20"/>
              </w:rPr>
              <w:t>PNUE</w:t>
            </w:r>
          </w:p>
        </w:tc>
      </w:tr>
      <w:tr w:rsidR="001B1E79" w:rsidRPr="00767EE6" w14:paraId="2E996BB2" w14:textId="77777777" w:rsidTr="003A541C">
        <w:tc>
          <w:tcPr>
            <w:tcW w:w="293" w:type="pct"/>
          </w:tcPr>
          <w:p w14:paraId="710EBEAF" w14:textId="77777777" w:rsidR="001B1E79" w:rsidRPr="00767EE6" w:rsidRDefault="001B1E79" w:rsidP="003A541C">
            <w:pPr>
              <w:rPr>
                <w:sz w:val="20"/>
                <w:szCs w:val="20"/>
              </w:rPr>
            </w:pPr>
            <w:r>
              <w:rPr>
                <w:sz w:val="20"/>
                <w:szCs w:val="20"/>
              </w:rPr>
              <w:t>(</w:t>
            </w:r>
            <w:proofErr w:type="gramStart"/>
            <w:r>
              <w:rPr>
                <w:sz w:val="20"/>
                <w:szCs w:val="20"/>
              </w:rPr>
              <w:t>b</w:t>
            </w:r>
            <w:proofErr w:type="gramEnd"/>
            <w:r>
              <w:rPr>
                <w:sz w:val="20"/>
                <w:szCs w:val="20"/>
              </w:rPr>
              <w:t>)</w:t>
            </w:r>
          </w:p>
        </w:tc>
        <w:tc>
          <w:tcPr>
            <w:tcW w:w="2337" w:type="pct"/>
          </w:tcPr>
          <w:p w14:paraId="5DB624E0" w14:textId="00EBC1B9" w:rsidR="001B1E79" w:rsidRPr="00767EE6" w:rsidRDefault="001B1E79" w:rsidP="003A541C">
            <w:pPr>
              <w:jc w:val="left"/>
              <w:rPr>
                <w:sz w:val="20"/>
                <w:szCs w:val="20"/>
              </w:rPr>
            </w:pPr>
            <w:r>
              <w:rPr>
                <w:sz w:val="20"/>
                <w:szCs w:val="20"/>
              </w:rPr>
              <w:t>Plan de gestion de l’élimination des HCFC (phase II, troisième tranche)</w:t>
            </w:r>
          </w:p>
        </w:tc>
        <w:tc>
          <w:tcPr>
            <w:tcW w:w="790" w:type="pct"/>
          </w:tcPr>
          <w:p w14:paraId="2FB19565" w14:textId="2A0C8776" w:rsidR="001B1E79" w:rsidRPr="008070E1" w:rsidRDefault="001B1E79" w:rsidP="003A541C">
            <w:pPr>
              <w:jc w:val="right"/>
              <w:rPr>
                <w:sz w:val="20"/>
                <w:szCs w:val="20"/>
              </w:rPr>
            </w:pPr>
            <w:r>
              <w:rPr>
                <w:sz w:val="20"/>
                <w:szCs w:val="20"/>
              </w:rPr>
              <w:t>21 000</w:t>
            </w:r>
          </w:p>
        </w:tc>
        <w:tc>
          <w:tcPr>
            <w:tcW w:w="747" w:type="pct"/>
          </w:tcPr>
          <w:p w14:paraId="4ABD0C5F" w14:textId="5904B1DF" w:rsidR="001B1E79" w:rsidRPr="008070E1" w:rsidRDefault="001B1E79" w:rsidP="003A541C">
            <w:pPr>
              <w:jc w:val="right"/>
              <w:rPr>
                <w:sz w:val="20"/>
                <w:szCs w:val="20"/>
              </w:rPr>
            </w:pPr>
            <w:r>
              <w:rPr>
                <w:sz w:val="20"/>
                <w:szCs w:val="20"/>
              </w:rPr>
              <w:t>1 470</w:t>
            </w:r>
          </w:p>
        </w:tc>
        <w:tc>
          <w:tcPr>
            <w:tcW w:w="833" w:type="pct"/>
          </w:tcPr>
          <w:p w14:paraId="519079B1" w14:textId="77777777" w:rsidR="001B1E79" w:rsidRPr="008070E1" w:rsidRDefault="001B1E79" w:rsidP="003A541C">
            <w:pPr>
              <w:jc w:val="center"/>
              <w:rPr>
                <w:sz w:val="20"/>
                <w:szCs w:val="20"/>
              </w:rPr>
            </w:pPr>
            <w:r>
              <w:rPr>
                <w:sz w:val="20"/>
                <w:szCs w:val="20"/>
              </w:rPr>
              <w:t>ONUDI</w:t>
            </w:r>
          </w:p>
        </w:tc>
      </w:tr>
    </w:tbl>
    <w:p w14:paraId="4EC550D3" w14:textId="77777777" w:rsidR="001B1E79" w:rsidRPr="00767EE6" w:rsidRDefault="001B1E79" w:rsidP="001B1E79"/>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36E8F4AE" w14:textId="77777777" w:rsidTr="00470683">
        <w:tc>
          <w:tcPr>
            <w:tcW w:w="1871" w:type="dxa"/>
          </w:tcPr>
          <w:p w14:paraId="4C423E36" w14:textId="77777777" w:rsidR="00EA598B" w:rsidRPr="009B0D30" w:rsidRDefault="00EA598B" w:rsidP="00470683"/>
        </w:tc>
        <w:tc>
          <w:tcPr>
            <w:tcW w:w="1872" w:type="dxa"/>
          </w:tcPr>
          <w:p w14:paraId="24597CA1" w14:textId="77777777" w:rsidR="00EA598B" w:rsidRPr="009B0D30" w:rsidRDefault="00EA598B" w:rsidP="00470683"/>
        </w:tc>
        <w:tc>
          <w:tcPr>
            <w:tcW w:w="1872" w:type="dxa"/>
            <w:tcBorders>
              <w:bottom w:val="single" w:sz="4" w:space="0" w:color="auto"/>
            </w:tcBorders>
          </w:tcPr>
          <w:p w14:paraId="180EEC41" w14:textId="77777777" w:rsidR="00EA598B" w:rsidRPr="009B0D30" w:rsidRDefault="00EA598B" w:rsidP="00470683"/>
        </w:tc>
        <w:tc>
          <w:tcPr>
            <w:tcW w:w="1872" w:type="dxa"/>
          </w:tcPr>
          <w:p w14:paraId="0F8A4332" w14:textId="77777777" w:rsidR="00EA598B" w:rsidRPr="009B0D30" w:rsidRDefault="00EA598B" w:rsidP="00470683"/>
        </w:tc>
        <w:tc>
          <w:tcPr>
            <w:tcW w:w="1873" w:type="dxa"/>
          </w:tcPr>
          <w:p w14:paraId="464096E0" w14:textId="77777777" w:rsidR="00EA598B" w:rsidRPr="009B0D30" w:rsidRDefault="00EA598B" w:rsidP="00470683"/>
        </w:tc>
      </w:tr>
    </w:tbl>
    <w:p w14:paraId="21FF80DE" w14:textId="77777777" w:rsidR="00EA598B" w:rsidRPr="009B0D30" w:rsidRDefault="00EA598B" w:rsidP="00EA598B">
      <w:pPr>
        <w:jc w:val="left"/>
      </w:pPr>
    </w:p>
    <w:sectPr w:rsidR="00EA598B" w:rsidRPr="009B0D30"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2C00D" w14:textId="77777777" w:rsidR="00EB2288" w:rsidRDefault="00EB2288" w:rsidP="004A504B">
      <w:r>
        <w:separator/>
      </w:r>
    </w:p>
  </w:endnote>
  <w:endnote w:type="continuationSeparator" w:id="0">
    <w:p w14:paraId="148AE8D7" w14:textId="77777777" w:rsidR="00EB2288" w:rsidRDefault="00EB22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9A5B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619B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7B0EA" w14:textId="77777777" w:rsidR="00754866"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77B1B0AD" w14:textId="2A997704"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76D3C4F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20729" w14:textId="77777777" w:rsidR="00EB2288" w:rsidRDefault="00EB2288" w:rsidP="004A504B">
      <w:r>
        <w:separator/>
      </w:r>
    </w:p>
  </w:footnote>
  <w:footnote w:type="continuationSeparator" w:id="0">
    <w:p w14:paraId="4AB00961" w14:textId="77777777" w:rsidR="00EB2288" w:rsidRDefault="00EB2288" w:rsidP="004A504B">
      <w:r>
        <w:continuationSeparator/>
      </w:r>
    </w:p>
  </w:footnote>
  <w:footnote w:id="1">
    <w:p w14:paraId="3498D76B" w14:textId="77777777" w:rsidR="005C49AC" w:rsidRPr="001E1147" w:rsidRDefault="005C49AC" w:rsidP="003365C6">
      <w:pPr>
        <w:pStyle w:val="Testonotaapidipagina"/>
        <w:spacing w:after="40"/>
      </w:pPr>
      <w:r>
        <w:rPr>
          <w:rStyle w:val="Rimandonotaapidipagina"/>
        </w:rPr>
        <w:footnoteRef/>
      </w:r>
      <w:r>
        <w:t xml:space="preserve"> UNEP/</w:t>
      </w:r>
      <w:proofErr w:type="spellStart"/>
      <w:r>
        <w:t>OzL.Pro</w:t>
      </w:r>
      <w:proofErr w:type="spellEnd"/>
      <w:r>
        <w:t>/</w:t>
      </w:r>
      <w:proofErr w:type="spellStart"/>
      <w:r>
        <w:t>ExCom</w:t>
      </w:r>
      <w:proofErr w:type="spellEnd"/>
      <w:r>
        <w:t>/95/1</w:t>
      </w:r>
    </w:p>
  </w:footnote>
  <w:footnote w:id="2">
    <w:p w14:paraId="3BEC7032" w14:textId="6A657E49" w:rsidR="00E941BC" w:rsidRPr="00FE3307" w:rsidRDefault="00E941BC" w:rsidP="00E941BC">
      <w:pPr>
        <w:pStyle w:val="Testonotaapidipagina"/>
      </w:pPr>
      <w:r>
        <w:rPr>
          <w:rStyle w:val="Rimandonotaapidipagina"/>
        </w:rPr>
        <w:footnoteRef/>
      </w:r>
      <w:r>
        <w:t xml:space="preserve"> Conformément à la lettre du 13 août 2024 adressée au PNUE par le Conseil suprême de l’environnement de Bahreïn.</w:t>
      </w:r>
    </w:p>
  </w:footnote>
  <w:footnote w:id="3">
    <w:p w14:paraId="65D66E8D" w14:textId="2E154774" w:rsidR="00780E1B" w:rsidRPr="00780E1B" w:rsidRDefault="00780E1B">
      <w:pPr>
        <w:pStyle w:val="Testonotaapidipagina"/>
      </w:pPr>
      <w:r>
        <w:rPr>
          <w:rStyle w:val="Rimandonotaapidipagina"/>
        </w:rPr>
        <w:footnoteRef/>
      </w:r>
      <w:r>
        <w:t xml:space="preserve"> Deux entreprises de mousse isolante (</w:t>
      </w:r>
      <w:proofErr w:type="spellStart"/>
      <w:r>
        <w:t>Awal</w:t>
      </w:r>
      <w:proofErr w:type="spellEnd"/>
      <w:r>
        <w:t xml:space="preserve"> Gulf </w:t>
      </w:r>
      <w:proofErr w:type="spellStart"/>
      <w:r>
        <w:t>Manufacturing</w:t>
      </w:r>
      <w:proofErr w:type="spellEnd"/>
      <w:r>
        <w:t xml:space="preserve"> </w:t>
      </w:r>
      <w:r w:rsidR="008F2B4F">
        <w:t>[</w:t>
      </w:r>
      <w:r>
        <w:t>AGM</w:t>
      </w:r>
      <w:r w:rsidR="008F2B4F">
        <w:t>]</w:t>
      </w:r>
      <w:r>
        <w:t xml:space="preserve"> et </w:t>
      </w:r>
      <w:proofErr w:type="spellStart"/>
      <w:r>
        <w:t>Awal</w:t>
      </w:r>
      <w:proofErr w:type="spellEnd"/>
      <w:r>
        <w:t xml:space="preserve"> </w:t>
      </w:r>
      <w:proofErr w:type="spellStart"/>
      <w:r>
        <w:t>Refrigeration</w:t>
      </w:r>
      <w:proofErr w:type="spellEnd"/>
      <w:r>
        <w:t xml:space="preserve"> and Air-</w:t>
      </w:r>
      <w:proofErr w:type="spellStart"/>
      <w:r>
        <w:t>Conditioning</w:t>
      </w:r>
      <w:proofErr w:type="spellEnd"/>
      <w:r>
        <w:t xml:space="preserve">), deux entreprises de mousse pulvérisée (Al </w:t>
      </w:r>
      <w:proofErr w:type="spellStart"/>
      <w:r>
        <w:t>Khonaizi</w:t>
      </w:r>
      <w:proofErr w:type="spellEnd"/>
      <w:r>
        <w:t xml:space="preserve"> et Al </w:t>
      </w:r>
      <w:proofErr w:type="spellStart"/>
      <w:r>
        <w:t>Manai</w:t>
      </w:r>
      <w:proofErr w:type="spellEnd"/>
      <w:r>
        <w:t>) ainsi que 35 entreprises supplémentaires de mousse pulvérisée.</w:t>
      </w:r>
    </w:p>
  </w:footnote>
  <w:footnote w:id="4">
    <w:p w14:paraId="30004A36" w14:textId="46F19409" w:rsidR="005C0550" w:rsidRPr="00CE1579" w:rsidRDefault="005C0550" w:rsidP="005C0550">
      <w:pPr>
        <w:pStyle w:val="Testonotaapidipagina"/>
      </w:pPr>
      <w:r>
        <w:rPr>
          <w:rStyle w:val="Rimandonotaapidipagina"/>
        </w:rPr>
        <w:footnoteRef/>
      </w:r>
      <w:r>
        <w:t xml:space="preserve"> Les ensembles d’outils et d’équipements achetés comprenaient notamment un détecteur de fuite électronique; un compteur à pinces, un thermomètre numérique; une scie à métaux; des tuyaux de récupération; une clé à molette ajustable; des tuyaux de chargement; des outils de torchage et de rétrei</w:t>
      </w:r>
      <w:r w:rsidR="004207B5">
        <w:t>n</w:t>
      </w:r>
      <w:r>
        <w:t xml:space="preserve">te; une unité de climatisation bibloc pour la formation; des chalumeaux de soudage oxyacétylénique avec des tuyaux; un </w:t>
      </w:r>
      <w:proofErr w:type="spellStart"/>
      <w:r>
        <w:t>microvacuomètre</w:t>
      </w:r>
      <w:proofErr w:type="spellEnd"/>
      <w:r>
        <w:t>; et un outil de retrait d’obus de valve.</w:t>
      </w:r>
    </w:p>
    <w:p w14:paraId="74585005" w14:textId="162BC659" w:rsidR="005C0550" w:rsidRPr="00055CDB" w:rsidRDefault="005C0550">
      <w:pPr>
        <w:pStyle w:val="Testonotaapidipagina"/>
      </w:pPr>
    </w:p>
  </w:footnote>
  <w:footnote w:id="5">
    <w:p w14:paraId="068B1337" w14:textId="214B14FA" w:rsidR="00CE1579" w:rsidRPr="00CE1579" w:rsidRDefault="00CE1579">
      <w:pPr>
        <w:pStyle w:val="Testonotaapidipagina"/>
      </w:pPr>
      <w:r>
        <w:rPr>
          <w:rStyle w:val="Rimandonotaapidipagina"/>
        </w:rPr>
        <w:footnoteRef/>
      </w:r>
      <w:r>
        <w:t xml:space="preserve"> Ibid.</w:t>
      </w:r>
    </w:p>
  </w:footnote>
  <w:footnote w:id="6">
    <w:p w14:paraId="078F7802" w14:textId="3F792877" w:rsidR="00EE68E5" w:rsidRPr="00EE68E5" w:rsidRDefault="00EE68E5">
      <w:pPr>
        <w:pStyle w:val="Testonotaapidipagina"/>
      </w:pPr>
      <w:r>
        <w:rPr>
          <w:rStyle w:val="Rimandonotaapidipagina"/>
        </w:rPr>
        <w:footnoteRef/>
      </w:r>
      <w:r>
        <w:t xml:space="preserve"> L’entreprise AGM effectuera également son élimination volontaire de 16,50 tonnes PAO de HCFC-22 dans la fabrication des climatiseurs résidentiels avant le 1</w:t>
      </w:r>
      <w:r>
        <w:rPr>
          <w:vertAlign w:val="superscript"/>
        </w:rPr>
        <w:t>er</w:t>
      </w:r>
      <w:r>
        <w:t xml:space="preserve"> janvier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CE353" w14:textId="7B9B3A40" w:rsidR="00DC6A10" w:rsidRPr="0033525D" w:rsidRDefault="00ED3DD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/95/41</w:t>
    </w:r>
    <w:r>
      <w:fldChar w:fldCharType="end"/>
    </w:r>
  </w:p>
  <w:p w14:paraId="60999FB9" w14:textId="77777777" w:rsidR="00DC6A10" w:rsidRPr="0033525D" w:rsidRDefault="00DC6A10"/>
  <w:p w14:paraId="00915B5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5CED5" w14:textId="469904B8" w:rsidR="00DC6A10" w:rsidRPr="0033525D" w:rsidRDefault="00ED3D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/95/41</w:t>
    </w:r>
    <w:r>
      <w:fldChar w:fldCharType="end"/>
    </w:r>
  </w:p>
  <w:p w14:paraId="08BC9022" w14:textId="77777777" w:rsidR="00DC6A10" w:rsidRPr="0033525D" w:rsidRDefault="00DC6A10" w:rsidP="008A0CA7">
    <w:pPr>
      <w:jc w:val="right"/>
    </w:pPr>
  </w:p>
  <w:p w14:paraId="44F21828" w14:textId="77777777" w:rsidR="00DC6A10" w:rsidRPr="0033525D" w:rsidRDefault="00DC6A10" w:rsidP="008A0CA7">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Titolo1"/>
      <w:lvlText w:val="%1."/>
      <w:lvlJc w:val="left"/>
      <w:pPr>
        <w:tabs>
          <w:tab w:val="num" w:pos="0"/>
        </w:tabs>
        <w:ind w:left="0" w:firstLine="0"/>
      </w:pPr>
      <w:rPr>
        <w:i w:val="0"/>
        <w:iCs/>
      </w:r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A627D4"/>
    <w:multiLevelType w:val="hybridMultilevel"/>
    <w:tmpl w:val="A5C2A632"/>
    <w:lvl w:ilvl="0" w:tplc="BD9EF990">
      <w:numFmt w:val="bullet"/>
      <w:lvlText w:val="-"/>
      <w:lvlJc w:val="left"/>
      <w:pPr>
        <w:ind w:left="720" w:hanging="360"/>
      </w:pPr>
      <w:rPr>
        <w:rFonts w:ascii="Aptos" w:eastAsia="Times New Roman"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9721AA"/>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361769"/>
    <w:multiLevelType w:val="multilevel"/>
    <w:tmpl w:val="B10EF0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1"/>
  </w:num>
  <w:num w:numId="20" w16cid:durableId="444007775">
    <w:abstractNumId w:val="12"/>
  </w:num>
  <w:num w:numId="21" w16cid:durableId="1397825505">
    <w:abstractNumId w:val="15"/>
  </w:num>
  <w:num w:numId="22" w16cid:durableId="1051735893">
    <w:abstractNumId w:val="19"/>
  </w:num>
  <w:num w:numId="23" w16cid:durableId="1791509857">
    <w:abstractNumId w:val="14"/>
  </w:num>
  <w:num w:numId="24" w16cid:durableId="1599099598">
    <w:abstractNumId w:val="10"/>
  </w:num>
  <w:num w:numId="25" w16cid:durableId="935595877">
    <w:abstractNumId w:val="10"/>
  </w:num>
  <w:num w:numId="26" w16cid:durableId="1155949193">
    <w:abstractNumId w:val="10"/>
  </w:num>
  <w:num w:numId="27" w16cid:durableId="1662850607">
    <w:abstractNumId w:val="10"/>
  </w:num>
  <w:num w:numId="28" w16cid:durableId="183640042">
    <w:abstractNumId w:val="10"/>
  </w:num>
  <w:num w:numId="29" w16cid:durableId="706876449">
    <w:abstractNumId w:val="10"/>
  </w:num>
  <w:num w:numId="30" w16cid:durableId="522090187">
    <w:abstractNumId w:val="13"/>
  </w:num>
  <w:num w:numId="31" w16cid:durableId="566576851">
    <w:abstractNumId w:val="10"/>
  </w:num>
  <w:num w:numId="32" w16cid:durableId="676814333">
    <w:abstractNumId w:val="18"/>
  </w:num>
  <w:num w:numId="33" w16cid:durableId="1476797245">
    <w:abstractNumId w:val="10"/>
  </w:num>
  <w:num w:numId="34" w16cid:durableId="924611566">
    <w:abstractNumId w:val="10"/>
  </w:num>
  <w:num w:numId="35" w16cid:durableId="876165734">
    <w:abstractNumId w:val="10"/>
  </w:num>
  <w:num w:numId="36" w16cid:durableId="1985809608">
    <w:abstractNumId w:val="10"/>
  </w:num>
  <w:num w:numId="37" w16cid:durableId="1990210922">
    <w:abstractNumId w:val="10"/>
  </w:num>
  <w:num w:numId="38" w16cid:durableId="1715157337">
    <w:abstractNumId w:val="10"/>
  </w:num>
  <w:num w:numId="39" w16cid:durableId="235214341">
    <w:abstractNumId w:val="10"/>
  </w:num>
  <w:num w:numId="40" w16cid:durableId="958872882">
    <w:abstractNumId w:val="10"/>
  </w:num>
  <w:num w:numId="41" w16cid:durableId="2004116828">
    <w:abstractNumId w:val="10"/>
  </w:num>
  <w:num w:numId="42" w16cid:durableId="442312526">
    <w:abstractNumId w:val="10"/>
  </w:num>
  <w:num w:numId="43" w16cid:durableId="1094131337">
    <w:abstractNumId w:val="10"/>
  </w:num>
  <w:num w:numId="44" w16cid:durableId="633558645">
    <w:abstractNumId w:val="10"/>
  </w:num>
  <w:num w:numId="45" w16cid:durableId="1359358559">
    <w:abstractNumId w:val="10"/>
  </w:num>
  <w:num w:numId="46" w16cid:durableId="1475218680">
    <w:abstractNumId w:val="10"/>
  </w:num>
  <w:num w:numId="47" w16cid:durableId="157407568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01DDC"/>
    <w:rsid w:val="00000FED"/>
    <w:rsid w:val="0000434E"/>
    <w:rsid w:val="00004B58"/>
    <w:rsid w:val="00012CFA"/>
    <w:rsid w:val="0001571C"/>
    <w:rsid w:val="00017D98"/>
    <w:rsid w:val="000211A9"/>
    <w:rsid w:val="00021238"/>
    <w:rsid w:val="00022071"/>
    <w:rsid w:val="00023A6E"/>
    <w:rsid w:val="0002417C"/>
    <w:rsid w:val="000279BE"/>
    <w:rsid w:val="00031260"/>
    <w:rsid w:val="000313D9"/>
    <w:rsid w:val="0003563A"/>
    <w:rsid w:val="00035C27"/>
    <w:rsid w:val="0003681A"/>
    <w:rsid w:val="000372B7"/>
    <w:rsid w:val="00046336"/>
    <w:rsid w:val="00050F6E"/>
    <w:rsid w:val="00055CDB"/>
    <w:rsid w:val="00061EC2"/>
    <w:rsid w:val="00062133"/>
    <w:rsid w:val="00063666"/>
    <w:rsid w:val="0006578E"/>
    <w:rsid w:val="00066CE8"/>
    <w:rsid w:val="0007222A"/>
    <w:rsid w:val="00072A6B"/>
    <w:rsid w:val="00073B5A"/>
    <w:rsid w:val="00074497"/>
    <w:rsid w:val="0007519C"/>
    <w:rsid w:val="0007610B"/>
    <w:rsid w:val="00076843"/>
    <w:rsid w:val="00080ED0"/>
    <w:rsid w:val="00085B8F"/>
    <w:rsid w:val="00090481"/>
    <w:rsid w:val="000960F1"/>
    <w:rsid w:val="0009733F"/>
    <w:rsid w:val="000A10B6"/>
    <w:rsid w:val="000A3826"/>
    <w:rsid w:val="000A5C62"/>
    <w:rsid w:val="000A6C26"/>
    <w:rsid w:val="000A7063"/>
    <w:rsid w:val="000B2FA6"/>
    <w:rsid w:val="000B36C8"/>
    <w:rsid w:val="000C5BC5"/>
    <w:rsid w:val="000C6873"/>
    <w:rsid w:val="000C7DD8"/>
    <w:rsid w:val="000D1D43"/>
    <w:rsid w:val="000D52A4"/>
    <w:rsid w:val="000E0504"/>
    <w:rsid w:val="000E07BC"/>
    <w:rsid w:val="000E1E82"/>
    <w:rsid w:val="000E2E21"/>
    <w:rsid w:val="000E4CB2"/>
    <w:rsid w:val="000E59D7"/>
    <w:rsid w:val="000E63E6"/>
    <w:rsid w:val="000E6E1D"/>
    <w:rsid w:val="000F1CD4"/>
    <w:rsid w:val="000F3570"/>
    <w:rsid w:val="000F4103"/>
    <w:rsid w:val="000F41DC"/>
    <w:rsid w:val="000F6DA3"/>
    <w:rsid w:val="000F70A7"/>
    <w:rsid w:val="00112EDD"/>
    <w:rsid w:val="00113CCA"/>
    <w:rsid w:val="0011607E"/>
    <w:rsid w:val="00116A81"/>
    <w:rsid w:val="00117496"/>
    <w:rsid w:val="00120C1A"/>
    <w:rsid w:val="00122D86"/>
    <w:rsid w:val="00122F25"/>
    <w:rsid w:val="00131168"/>
    <w:rsid w:val="00135980"/>
    <w:rsid w:val="0013786F"/>
    <w:rsid w:val="001400B1"/>
    <w:rsid w:val="001471DC"/>
    <w:rsid w:val="00151CB2"/>
    <w:rsid w:val="00154536"/>
    <w:rsid w:val="00155661"/>
    <w:rsid w:val="00156329"/>
    <w:rsid w:val="001566FF"/>
    <w:rsid w:val="00162EB8"/>
    <w:rsid w:val="00164719"/>
    <w:rsid w:val="00166FC4"/>
    <w:rsid w:val="001677AC"/>
    <w:rsid w:val="00170A94"/>
    <w:rsid w:val="001804EA"/>
    <w:rsid w:val="00180973"/>
    <w:rsid w:val="0018206A"/>
    <w:rsid w:val="0018228B"/>
    <w:rsid w:val="00182D54"/>
    <w:rsid w:val="00182E93"/>
    <w:rsid w:val="00186741"/>
    <w:rsid w:val="00190A61"/>
    <w:rsid w:val="00193064"/>
    <w:rsid w:val="0019314D"/>
    <w:rsid w:val="001955DB"/>
    <w:rsid w:val="0019576D"/>
    <w:rsid w:val="00197179"/>
    <w:rsid w:val="001A0444"/>
    <w:rsid w:val="001A1BAD"/>
    <w:rsid w:val="001A2215"/>
    <w:rsid w:val="001A3342"/>
    <w:rsid w:val="001A3730"/>
    <w:rsid w:val="001A3E3D"/>
    <w:rsid w:val="001A58DF"/>
    <w:rsid w:val="001A7049"/>
    <w:rsid w:val="001B1E40"/>
    <w:rsid w:val="001B1E79"/>
    <w:rsid w:val="001B23CD"/>
    <w:rsid w:val="001C48C2"/>
    <w:rsid w:val="001C735E"/>
    <w:rsid w:val="001C764E"/>
    <w:rsid w:val="001D1CD2"/>
    <w:rsid w:val="001E1052"/>
    <w:rsid w:val="001E21B1"/>
    <w:rsid w:val="001E2F93"/>
    <w:rsid w:val="001E3FDB"/>
    <w:rsid w:val="001E4554"/>
    <w:rsid w:val="001E61E5"/>
    <w:rsid w:val="001E6B89"/>
    <w:rsid w:val="001F03A0"/>
    <w:rsid w:val="001F1C05"/>
    <w:rsid w:val="001F2159"/>
    <w:rsid w:val="001F23C2"/>
    <w:rsid w:val="001F3B40"/>
    <w:rsid w:val="001F53FD"/>
    <w:rsid w:val="00203702"/>
    <w:rsid w:val="002066FD"/>
    <w:rsid w:val="00210B8B"/>
    <w:rsid w:val="00212B71"/>
    <w:rsid w:val="00213787"/>
    <w:rsid w:val="00213D6D"/>
    <w:rsid w:val="00214863"/>
    <w:rsid w:val="002156B4"/>
    <w:rsid w:val="00223E08"/>
    <w:rsid w:val="00223E21"/>
    <w:rsid w:val="00224FCD"/>
    <w:rsid w:val="00225628"/>
    <w:rsid w:val="00226F4D"/>
    <w:rsid w:val="00232038"/>
    <w:rsid w:val="00235732"/>
    <w:rsid w:val="00245F55"/>
    <w:rsid w:val="00247EAE"/>
    <w:rsid w:val="00253222"/>
    <w:rsid w:val="0025538F"/>
    <w:rsid w:val="002554E4"/>
    <w:rsid w:val="00261C13"/>
    <w:rsid w:val="002622AF"/>
    <w:rsid w:val="00262847"/>
    <w:rsid w:val="00264765"/>
    <w:rsid w:val="00265303"/>
    <w:rsid w:val="0026754E"/>
    <w:rsid w:val="00270B22"/>
    <w:rsid w:val="00271CCC"/>
    <w:rsid w:val="00273DA7"/>
    <w:rsid w:val="00274A24"/>
    <w:rsid w:val="00275DC4"/>
    <w:rsid w:val="00281059"/>
    <w:rsid w:val="0028192D"/>
    <w:rsid w:val="00281997"/>
    <w:rsid w:val="00281BB2"/>
    <w:rsid w:val="0028245E"/>
    <w:rsid w:val="00282EC2"/>
    <w:rsid w:val="00285888"/>
    <w:rsid w:val="0028712C"/>
    <w:rsid w:val="002932F4"/>
    <w:rsid w:val="002A03C3"/>
    <w:rsid w:val="002A5081"/>
    <w:rsid w:val="002A7CD7"/>
    <w:rsid w:val="002B023D"/>
    <w:rsid w:val="002B254E"/>
    <w:rsid w:val="002B2A38"/>
    <w:rsid w:val="002B4CE8"/>
    <w:rsid w:val="002B637C"/>
    <w:rsid w:val="002B72E9"/>
    <w:rsid w:val="002C4DF8"/>
    <w:rsid w:val="002C4E33"/>
    <w:rsid w:val="002C5274"/>
    <w:rsid w:val="002C55AE"/>
    <w:rsid w:val="002C7998"/>
    <w:rsid w:val="002D0826"/>
    <w:rsid w:val="002D2905"/>
    <w:rsid w:val="002E4890"/>
    <w:rsid w:val="002E6C18"/>
    <w:rsid w:val="002F008E"/>
    <w:rsid w:val="002F1E53"/>
    <w:rsid w:val="002F2CAA"/>
    <w:rsid w:val="002F2E2F"/>
    <w:rsid w:val="002F587A"/>
    <w:rsid w:val="002F69E0"/>
    <w:rsid w:val="0030052C"/>
    <w:rsid w:val="0030078C"/>
    <w:rsid w:val="00313247"/>
    <w:rsid w:val="003175D4"/>
    <w:rsid w:val="00321C1D"/>
    <w:rsid w:val="003221D3"/>
    <w:rsid w:val="003306E1"/>
    <w:rsid w:val="00331CAA"/>
    <w:rsid w:val="003320E4"/>
    <w:rsid w:val="003332BE"/>
    <w:rsid w:val="0033525D"/>
    <w:rsid w:val="003365C6"/>
    <w:rsid w:val="00340501"/>
    <w:rsid w:val="00340985"/>
    <w:rsid w:val="003414F3"/>
    <w:rsid w:val="00345376"/>
    <w:rsid w:val="003471BB"/>
    <w:rsid w:val="00352DA7"/>
    <w:rsid w:val="00352EB1"/>
    <w:rsid w:val="0035613E"/>
    <w:rsid w:val="00360036"/>
    <w:rsid w:val="00361396"/>
    <w:rsid w:val="00361630"/>
    <w:rsid w:val="00363EE9"/>
    <w:rsid w:val="00364023"/>
    <w:rsid w:val="00366518"/>
    <w:rsid w:val="00366D3E"/>
    <w:rsid w:val="0037085C"/>
    <w:rsid w:val="003719B2"/>
    <w:rsid w:val="00376128"/>
    <w:rsid w:val="0037742E"/>
    <w:rsid w:val="00377D56"/>
    <w:rsid w:val="003821D7"/>
    <w:rsid w:val="0038245A"/>
    <w:rsid w:val="003840E6"/>
    <w:rsid w:val="00385CFC"/>
    <w:rsid w:val="00391005"/>
    <w:rsid w:val="0039245B"/>
    <w:rsid w:val="0039337A"/>
    <w:rsid w:val="003933A2"/>
    <w:rsid w:val="00393F28"/>
    <w:rsid w:val="003953EC"/>
    <w:rsid w:val="003A3189"/>
    <w:rsid w:val="003A3CA7"/>
    <w:rsid w:val="003A5F3F"/>
    <w:rsid w:val="003B33BD"/>
    <w:rsid w:val="003B569D"/>
    <w:rsid w:val="003C152E"/>
    <w:rsid w:val="003C3C0E"/>
    <w:rsid w:val="003C4436"/>
    <w:rsid w:val="003D1275"/>
    <w:rsid w:val="003D32BE"/>
    <w:rsid w:val="003D4262"/>
    <w:rsid w:val="003D42A6"/>
    <w:rsid w:val="003D4F21"/>
    <w:rsid w:val="003D4FAC"/>
    <w:rsid w:val="003E02D6"/>
    <w:rsid w:val="003E1885"/>
    <w:rsid w:val="003E656E"/>
    <w:rsid w:val="003E69C2"/>
    <w:rsid w:val="003E7906"/>
    <w:rsid w:val="003E7F54"/>
    <w:rsid w:val="003F000F"/>
    <w:rsid w:val="003F3C50"/>
    <w:rsid w:val="003F4B43"/>
    <w:rsid w:val="003F5C18"/>
    <w:rsid w:val="003F7913"/>
    <w:rsid w:val="00400744"/>
    <w:rsid w:val="00400BAA"/>
    <w:rsid w:val="0040189D"/>
    <w:rsid w:val="00401DDC"/>
    <w:rsid w:val="00404AB3"/>
    <w:rsid w:val="00405687"/>
    <w:rsid w:val="00405F50"/>
    <w:rsid w:val="00406202"/>
    <w:rsid w:val="00406A6A"/>
    <w:rsid w:val="00406B22"/>
    <w:rsid w:val="00407147"/>
    <w:rsid w:val="004078FA"/>
    <w:rsid w:val="00411101"/>
    <w:rsid w:val="004169FB"/>
    <w:rsid w:val="004171FD"/>
    <w:rsid w:val="004207B5"/>
    <w:rsid w:val="0042205A"/>
    <w:rsid w:val="004230C8"/>
    <w:rsid w:val="00424DCA"/>
    <w:rsid w:val="00431E08"/>
    <w:rsid w:val="004328A7"/>
    <w:rsid w:val="004348ED"/>
    <w:rsid w:val="00434C74"/>
    <w:rsid w:val="004356B7"/>
    <w:rsid w:val="004362D0"/>
    <w:rsid w:val="00437B3A"/>
    <w:rsid w:val="00447257"/>
    <w:rsid w:val="00450C1E"/>
    <w:rsid w:val="00454ED7"/>
    <w:rsid w:val="00456EB4"/>
    <w:rsid w:val="00457827"/>
    <w:rsid w:val="00470DD4"/>
    <w:rsid w:val="004718F3"/>
    <w:rsid w:val="0047336B"/>
    <w:rsid w:val="00475040"/>
    <w:rsid w:val="00480690"/>
    <w:rsid w:val="004902B8"/>
    <w:rsid w:val="00490C06"/>
    <w:rsid w:val="0049182F"/>
    <w:rsid w:val="00493D40"/>
    <w:rsid w:val="00493EE3"/>
    <w:rsid w:val="00495BD6"/>
    <w:rsid w:val="004967B6"/>
    <w:rsid w:val="00497F6F"/>
    <w:rsid w:val="004A2BD3"/>
    <w:rsid w:val="004A504B"/>
    <w:rsid w:val="004A6911"/>
    <w:rsid w:val="004B039B"/>
    <w:rsid w:val="004B2D4A"/>
    <w:rsid w:val="004B3652"/>
    <w:rsid w:val="004B40D3"/>
    <w:rsid w:val="004B4797"/>
    <w:rsid w:val="004B54E0"/>
    <w:rsid w:val="004B7384"/>
    <w:rsid w:val="004C4269"/>
    <w:rsid w:val="004C524A"/>
    <w:rsid w:val="004D0152"/>
    <w:rsid w:val="004D0D69"/>
    <w:rsid w:val="004D6236"/>
    <w:rsid w:val="004D6A28"/>
    <w:rsid w:val="004D7F90"/>
    <w:rsid w:val="004E2C1A"/>
    <w:rsid w:val="004E3781"/>
    <w:rsid w:val="004E432F"/>
    <w:rsid w:val="004E4DBB"/>
    <w:rsid w:val="004E4E41"/>
    <w:rsid w:val="004E73DB"/>
    <w:rsid w:val="004E77FF"/>
    <w:rsid w:val="004E7F9C"/>
    <w:rsid w:val="004F1588"/>
    <w:rsid w:val="004F3493"/>
    <w:rsid w:val="004F5143"/>
    <w:rsid w:val="004F7D90"/>
    <w:rsid w:val="00501627"/>
    <w:rsid w:val="005053DE"/>
    <w:rsid w:val="005060F9"/>
    <w:rsid w:val="00507037"/>
    <w:rsid w:val="00512189"/>
    <w:rsid w:val="00512B09"/>
    <w:rsid w:val="00512EF6"/>
    <w:rsid w:val="0052139F"/>
    <w:rsid w:val="005216F4"/>
    <w:rsid w:val="005220ED"/>
    <w:rsid w:val="00522DD9"/>
    <w:rsid w:val="00526E90"/>
    <w:rsid w:val="00533796"/>
    <w:rsid w:val="00534855"/>
    <w:rsid w:val="00537187"/>
    <w:rsid w:val="00537343"/>
    <w:rsid w:val="0054205B"/>
    <w:rsid w:val="00542FAF"/>
    <w:rsid w:val="005463F7"/>
    <w:rsid w:val="005516F3"/>
    <w:rsid w:val="00555307"/>
    <w:rsid w:val="00555D75"/>
    <w:rsid w:val="005564E2"/>
    <w:rsid w:val="00557CE0"/>
    <w:rsid w:val="00560DF0"/>
    <w:rsid w:val="00563F14"/>
    <w:rsid w:val="0056759C"/>
    <w:rsid w:val="00567E2F"/>
    <w:rsid w:val="00576245"/>
    <w:rsid w:val="0057696C"/>
    <w:rsid w:val="0058186D"/>
    <w:rsid w:val="0059075C"/>
    <w:rsid w:val="0059513E"/>
    <w:rsid w:val="005969CC"/>
    <w:rsid w:val="005973A8"/>
    <w:rsid w:val="005A278C"/>
    <w:rsid w:val="005A2E1B"/>
    <w:rsid w:val="005A6AA4"/>
    <w:rsid w:val="005A6D9F"/>
    <w:rsid w:val="005B18A5"/>
    <w:rsid w:val="005B2672"/>
    <w:rsid w:val="005B3916"/>
    <w:rsid w:val="005B39C3"/>
    <w:rsid w:val="005B4377"/>
    <w:rsid w:val="005B48FF"/>
    <w:rsid w:val="005B6801"/>
    <w:rsid w:val="005C0550"/>
    <w:rsid w:val="005C1E32"/>
    <w:rsid w:val="005C31B7"/>
    <w:rsid w:val="005C49AC"/>
    <w:rsid w:val="005C5153"/>
    <w:rsid w:val="005C670D"/>
    <w:rsid w:val="005C6C9F"/>
    <w:rsid w:val="005D0287"/>
    <w:rsid w:val="005D363F"/>
    <w:rsid w:val="005D5C55"/>
    <w:rsid w:val="005D7B36"/>
    <w:rsid w:val="005E395F"/>
    <w:rsid w:val="005F35AB"/>
    <w:rsid w:val="005F5EFA"/>
    <w:rsid w:val="005F7692"/>
    <w:rsid w:val="006005A7"/>
    <w:rsid w:val="00602F20"/>
    <w:rsid w:val="00604C15"/>
    <w:rsid w:val="006158D5"/>
    <w:rsid w:val="00625D83"/>
    <w:rsid w:val="00627840"/>
    <w:rsid w:val="006308CB"/>
    <w:rsid w:val="00630B89"/>
    <w:rsid w:val="00636707"/>
    <w:rsid w:val="0063744E"/>
    <w:rsid w:val="00643064"/>
    <w:rsid w:val="006517FA"/>
    <w:rsid w:val="00651984"/>
    <w:rsid w:val="006535DC"/>
    <w:rsid w:val="006547A9"/>
    <w:rsid w:val="00654E4D"/>
    <w:rsid w:val="006623E7"/>
    <w:rsid w:val="00662B80"/>
    <w:rsid w:val="0066512E"/>
    <w:rsid w:val="0066768F"/>
    <w:rsid w:val="00670F6C"/>
    <w:rsid w:val="00676E58"/>
    <w:rsid w:val="006821E9"/>
    <w:rsid w:val="006843BB"/>
    <w:rsid w:val="0068521B"/>
    <w:rsid w:val="006852C7"/>
    <w:rsid w:val="006852CE"/>
    <w:rsid w:val="0068564A"/>
    <w:rsid w:val="00692D14"/>
    <w:rsid w:val="00697B97"/>
    <w:rsid w:val="006A300C"/>
    <w:rsid w:val="006A3ED9"/>
    <w:rsid w:val="006A7A3B"/>
    <w:rsid w:val="006A7FDC"/>
    <w:rsid w:val="006B2C55"/>
    <w:rsid w:val="006B4BC0"/>
    <w:rsid w:val="006B65C7"/>
    <w:rsid w:val="006C1727"/>
    <w:rsid w:val="006C32FD"/>
    <w:rsid w:val="006C39CE"/>
    <w:rsid w:val="006C3A64"/>
    <w:rsid w:val="006C6F65"/>
    <w:rsid w:val="006D07BF"/>
    <w:rsid w:val="006D0FCC"/>
    <w:rsid w:val="006D21F5"/>
    <w:rsid w:val="006D3089"/>
    <w:rsid w:val="006D657C"/>
    <w:rsid w:val="006E126D"/>
    <w:rsid w:val="006E1FC3"/>
    <w:rsid w:val="006E36D9"/>
    <w:rsid w:val="006E3707"/>
    <w:rsid w:val="006E4106"/>
    <w:rsid w:val="006E4B01"/>
    <w:rsid w:val="006E574F"/>
    <w:rsid w:val="006F052B"/>
    <w:rsid w:val="006F1CA6"/>
    <w:rsid w:val="006F5C81"/>
    <w:rsid w:val="00704CE9"/>
    <w:rsid w:val="0070616B"/>
    <w:rsid w:val="00706295"/>
    <w:rsid w:val="00706C5E"/>
    <w:rsid w:val="00706FDA"/>
    <w:rsid w:val="007070EA"/>
    <w:rsid w:val="00711F9A"/>
    <w:rsid w:val="00713810"/>
    <w:rsid w:val="00726B05"/>
    <w:rsid w:val="007303A5"/>
    <w:rsid w:val="00730B3E"/>
    <w:rsid w:val="0073420B"/>
    <w:rsid w:val="00736367"/>
    <w:rsid w:val="0074041C"/>
    <w:rsid w:val="007429D6"/>
    <w:rsid w:val="00746020"/>
    <w:rsid w:val="0074760E"/>
    <w:rsid w:val="00753FEE"/>
    <w:rsid w:val="00754866"/>
    <w:rsid w:val="00754A39"/>
    <w:rsid w:val="00754ABA"/>
    <w:rsid w:val="00755805"/>
    <w:rsid w:val="007601B8"/>
    <w:rsid w:val="00765E26"/>
    <w:rsid w:val="00767314"/>
    <w:rsid w:val="00773F2D"/>
    <w:rsid w:val="007774BD"/>
    <w:rsid w:val="00780E1B"/>
    <w:rsid w:val="00782B0D"/>
    <w:rsid w:val="00782EBB"/>
    <w:rsid w:val="00784E4F"/>
    <w:rsid w:val="007854B0"/>
    <w:rsid w:val="00786C9E"/>
    <w:rsid w:val="007873BC"/>
    <w:rsid w:val="00792142"/>
    <w:rsid w:val="0079781A"/>
    <w:rsid w:val="007A02C8"/>
    <w:rsid w:val="007A1546"/>
    <w:rsid w:val="007A228C"/>
    <w:rsid w:val="007A2803"/>
    <w:rsid w:val="007A368E"/>
    <w:rsid w:val="007A5868"/>
    <w:rsid w:val="007B04CE"/>
    <w:rsid w:val="007B6871"/>
    <w:rsid w:val="007B7A2F"/>
    <w:rsid w:val="007C0937"/>
    <w:rsid w:val="007C32EE"/>
    <w:rsid w:val="007C39D3"/>
    <w:rsid w:val="007C3D33"/>
    <w:rsid w:val="007C433B"/>
    <w:rsid w:val="007D294A"/>
    <w:rsid w:val="007D47D2"/>
    <w:rsid w:val="007D595F"/>
    <w:rsid w:val="007D6EC0"/>
    <w:rsid w:val="007D7AB7"/>
    <w:rsid w:val="007D7E1D"/>
    <w:rsid w:val="007E31A9"/>
    <w:rsid w:val="007E503C"/>
    <w:rsid w:val="007E7459"/>
    <w:rsid w:val="007E77BD"/>
    <w:rsid w:val="007F0F64"/>
    <w:rsid w:val="007F7D3F"/>
    <w:rsid w:val="0080345C"/>
    <w:rsid w:val="008070E1"/>
    <w:rsid w:val="00810377"/>
    <w:rsid w:val="0081227A"/>
    <w:rsid w:val="00813EB5"/>
    <w:rsid w:val="008159B1"/>
    <w:rsid w:val="0082499A"/>
    <w:rsid w:val="0082522F"/>
    <w:rsid w:val="00831979"/>
    <w:rsid w:val="008326A1"/>
    <w:rsid w:val="00835D63"/>
    <w:rsid w:val="008502E9"/>
    <w:rsid w:val="00851352"/>
    <w:rsid w:val="00854D1D"/>
    <w:rsid w:val="00857077"/>
    <w:rsid w:val="00857A0F"/>
    <w:rsid w:val="008605D6"/>
    <w:rsid w:val="00860D57"/>
    <w:rsid w:val="00862FA7"/>
    <w:rsid w:val="00863230"/>
    <w:rsid w:val="00863E48"/>
    <w:rsid w:val="00865BD0"/>
    <w:rsid w:val="008717D8"/>
    <w:rsid w:val="0087215C"/>
    <w:rsid w:val="0087227A"/>
    <w:rsid w:val="008736A4"/>
    <w:rsid w:val="00875D25"/>
    <w:rsid w:val="00875F7E"/>
    <w:rsid w:val="00876EDE"/>
    <w:rsid w:val="008803DF"/>
    <w:rsid w:val="00880E35"/>
    <w:rsid w:val="0088503A"/>
    <w:rsid w:val="00886C7B"/>
    <w:rsid w:val="008875FE"/>
    <w:rsid w:val="00887F8E"/>
    <w:rsid w:val="00896234"/>
    <w:rsid w:val="00897E43"/>
    <w:rsid w:val="008A0CA7"/>
    <w:rsid w:val="008B0FF0"/>
    <w:rsid w:val="008C222B"/>
    <w:rsid w:val="008C5738"/>
    <w:rsid w:val="008C7EAD"/>
    <w:rsid w:val="008D0CFE"/>
    <w:rsid w:val="008D443F"/>
    <w:rsid w:val="008D4DBA"/>
    <w:rsid w:val="008D56D1"/>
    <w:rsid w:val="008D6152"/>
    <w:rsid w:val="008D7B5F"/>
    <w:rsid w:val="008E2D10"/>
    <w:rsid w:val="008E3E5A"/>
    <w:rsid w:val="008E4599"/>
    <w:rsid w:val="008E5B7B"/>
    <w:rsid w:val="008E75CC"/>
    <w:rsid w:val="008E7BA9"/>
    <w:rsid w:val="008F0F81"/>
    <w:rsid w:val="008F167D"/>
    <w:rsid w:val="008F1BBA"/>
    <w:rsid w:val="008F27BF"/>
    <w:rsid w:val="008F2B4F"/>
    <w:rsid w:val="008F2E64"/>
    <w:rsid w:val="00901A7B"/>
    <w:rsid w:val="00901EF0"/>
    <w:rsid w:val="00910E0C"/>
    <w:rsid w:val="00911F7D"/>
    <w:rsid w:val="009142EC"/>
    <w:rsid w:val="009145E4"/>
    <w:rsid w:val="00914B68"/>
    <w:rsid w:val="009154C3"/>
    <w:rsid w:val="0091753D"/>
    <w:rsid w:val="0092160C"/>
    <w:rsid w:val="00923540"/>
    <w:rsid w:val="0092670E"/>
    <w:rsid w:val="00926767"/>
    <w:rsid w:val="00926F85"/>
    <w:rsid w:val="009302AE"/>
    <w:rsid w:val="00931AE7"/>
    <w:rsid w:val="009342C9"/>
    <w:rsid w:val="009361D5"/>
    <w:rsid w:val="00941B96"/>
    <w:rsid w:val="00942616"/>
    <w:rsid w:val="009428A4"/>
    <w:rsid w:val="00944899"/>
    <w:rsid w:val="00945453"/>
    <w:rsid w:val="0095076C"/>
    <w:rsid w:val="0095130D"/>
    <w:rsid w:val="009552ED"/>
    <w:rsid w:val="0096427A"/>
    <w:rsid w:val="00964958"/>
    <w:rsid w:val="009659F4"/>
    <w:rsid w:val="0096608B"/>
    <w:rsid w:val="00966285"/>
    <w:rsid w:val="00970D60"/>
    <w:rsid w:val="00971D12"/>
    <w:rsid w:val="00971D97"/>
    <w:rsid w:val="0098191E"/>
    <w:rsid w:val="00990E4A"/>
    <w:rsid w:val="00991109"/>
    <w:rsid w:val="0099390E"/>
    <w:rsid w:val="0099428A"/>
    <w:rsid w:val="009960E5"/>
    <w:rsid w:val="009A1A5E"/>
    <w:rsid w:val="009A3705"/>
    <w:rsid w:val="009A4F78"/>
    <w:rsid w:val="009A7ADC"/>
    <w:rsid w:val="009B04F7"/>
    <w:rsid w:val="009B0D30"/>
    <w:rsid w:val="009B2D69"/>
    <w:rsid w:val="009B5908"/>
    <w:rsid w:val="009C1185"/>
    <w:rsid w:val="009C1457"/>
    <w:rsid w:val="009C19B7"/>
    <w:rsid w:val="009C1FAD"/>
    <w:rsid w:val="009C3010"/>
    <w:rsid w:val="009C3C73"/>
    <w:rsid w:val="009C4578"/>
    <w:rsid w:val="009C5ABB"/>
    <w:rsid w:val="009C76D7"/>
    <w:rsid w:val="009D7096"/>
    <w:rsid w:val="009D7C51"/>
    <w:rsid w:val="009E196C"/>
    <w:rsid w:val="009E34D2"/>
    <w:rsid w:val="009E679C"/>
    <w:rsid w:val="009E6A0A"/>
    <w:rsid w:val="009F03A5"/>
    <w:rsid w:val="009F36BF"/>
    <w:rsid w:val="009F478F"/>
    <w:rsid w:val="009F5BBE"/>
    <w:rsid w:val="009F5C32"/>
    <w:rsid w:val="00A02376"/>
    <w:rsid w:val="00A111B6"/>
    <w:rsid w:val="00A1744A"/>
    <w:rsid w:val="00A25021"/>
    <w:rsid w:val="00A2668B"/>
    <w:rsid w:val="00A26D27"/>
    <w:rsid w:val="00A3088B"/>
    <w:rsid w:val="00A31B5D"/>
    <w:rsid w:val="00A335B8"/>
    <w:rsid w:val="00A33698"/>
    <w:rsid w:val="00A3546D"/>
    <w:rsid w:val="00A35AEB"/>
    <w:rsid w:val="00A35C76"/>
    <w:rsid w:val="00A376EE"/>
    <w:rsid w:val="00A42A99"/>
    <w:rsid w:val="00A439B7"/>
    <w:rsid w:val="00A5151A"/>
    <w:rsid w:val="00A51534"/>
    <w:rsid w:val="00A51C36"/>
    <w:rsid w:val="00A52FAD"/>
    <w:rsid w:val="00A531C3"/>
    <w:rsid w:val="00A54AA2"/>
    <w:rsid w:val="00A57E0A"/>
    <w:rsid w:val="00A633F1"/>
    <w:rsid w:val="00A64302"/>
    <w:rsid w:val="00A66571"/>
    <w:rsid w:val="00A70E90"/>
    <w:rsid w:val="00A74635"/>
    <w:rsid w:val="00A759C5"/>
    <w:rsid w:val="00A77919"/>
    <w:rsid w:val="00A77A16"/>
    <w:rsid w:val="00A823F6"/>
    <w:rsid w:val="00A843DA"/>
    <w:rsid w:val="00A8459D"/>
    <w:rsid w:val="00A8719E"/>
    <w:rsid w:val="00A919EF"/>
    <w:rsid w:val="00A95D71"/>
    <w:rsid w:val="00AA0A89"/>
    <w:rsid w:val="00AA5368"/>
    <w:rsid w:val="00AA551A"/>
    <w:rsid w:val="00AA6429"/>
    <w:rsid w:val="00AA7240"/>
    <w:rsid w:val="00AB4A49"/>
    <w:rsid w:val="00AB61DF"/>
    <w:rsid w:val="00AB63A1"/>
    <w:rsid w:val="00AC01AA"/>
    <w:rsid w:val="00AC2DB5"/>
    <w:rsid w:val="00AC470D"/>
    <w:rsid w:val="00AC4789"/>
    <w:rsid w:val="00AC4F72"/>
    <w:rsid w:val="00AC5041"/>
    <w:rsid w:val="00AC6309"/>
    <w:rsid w:val="00AD0A04"/>
    <w:rsid w:val="00AD2DDF"/>
    <w:rsid w:val="00AD7A91"/>
    <w:rsid w:val="00AE0423"/>
    <w:rsid w:val="00AE1D87"/>
    <w:rsid w:val="00AE28B6"/>
    <w:rsid w:val="00AE482E"/>
    <w:rsid w:val="00AE4E3E"/>
    <w:rsid w:val="00AF0247"/>
    <w:rsid w:val="00AF2867"/>
    <w:rsid w:val="00AF3C6C"/>
    <w:rsid w:val="00AF4C3B"/>
    <w:rsid w:val="00AF741A"/>
    <w:rsid w:val="00B01ADB"/>
    <w:rsid w:val="00B024BD"/>
    <w:rsid w:val="00B04161"/>
    <w:rsid w:val="00B056F9"/>
    <w:rsid w:val="00B112E3"/>
    <w:rsid w:val="00B11E3D"/>
    <w:rsid w:val="00B130DF"/>
    <w:rsid w:val="00B13A9D"/>
    <w:rsid w:val="00B14218"/>
    <w:rsid w:val="00B14D2C"/>
    <w:rsid w:val="00B14FBB"/>
    <w:rsid w:val="00B17E82"/>
    <w:rsid w:val="00B23332"/>
    <w:rsid w:val="00B346D1"/>
    <w:rsid w:val="00B44D40"/>
    <w:rsid w:val="00B45691"/>
    <w:rsid w:val="00B4575A"/>
    <w:rsid w:val="00B501A1"/>
    <w:rsid w:val="00B575BA"/>
    <w:rsid w:val="00B63602"/>
    <w:rsid w:val="00B63754"/>
    <w:rsid w:val="00B653D0"/>
    <w:rsid w:val="00B71608"/>
    <w:rsid w:val="00B74393"/>
    <w:rsid w:val="00B75564"/>
    <w:rsid w:val="00B76429"/>
    <w:rsid w:val="00B7782E"/>
    <w:rsid w:val="00B8076E"/>
    <w:rsid w:val="00B81C09"/>
    <w:rsid w:val="00B83CB7"/>
    <w:rsid w:val="00B86471"/>
    <w:rsid w:val="00B908A6"/>
    <w:rsid w:val="00B93402"/>
    <w:rsid w:val="00B956D4"/>
    <w:rsid w:val="00B9719B"/>
    <w:rsid w:val="00B97446"/>
    <w:rsid w:val="00BA505A"/>
    <w:rsid w:val="00BA7432"/>
    <w:rsid w:val="00BB2764"/>
    <w:rsid w:val="00BB4052"/>
    <w:rsid w:val="00BB6BC4"/>
    <w:rsid w:val="00BC1AA0"/>
    <w:rsid w:val="00BC2495"/>
    <w:rsid w:val="00BC2901"/>
    <w:rsid w:val="00BC314A"/>
    <w:rsid w:val="00BC3774"/>
    <w:rsid w:val="00BC574F"/>
    <w:rsid w:val="00BC7EB9"/>
    <w:rsid w:val="00BC7F85"/>
    <w:rsid w:val="00BD1407"/>
    <w:rsid w:val="00BD2643"/>
    <w:rsid w:val="00BD5468"/>
    <w:rsid w:val="00BD56B1"/>
    <w:rsid w:val="00BD6558"/>
    <w:rsid w:val="00BE4027"/>
    <w:rsid w:val="00BE4619"/>
    <w:rsid w:val="00BE4F30"/>
    <w:rsid w:val="00BF2044"/>
    <w:rsid w:val="00BF270A"/>
    <w:rsid w:val="00BF2AD7"/>
    <w:rsid w:val="00BF2F76"/>
    <w:rsid w:val="00BF3022"/>
    <w:rsid w:val="00BF3214"/>
    <w:rsid w:val="00BF4511"/>
    <w:rsid w:val="00BF5573"/>
    <w:rsid w:val="00BF60E7"/>
    <w:rsid w:val="00BF65CA"/>
    <w:rsid w:val="00C0393D"/>
    <w:rsid w:val="00C056FD"/>
    <w:rsid w:val="00C05C5B"/>
    <w:rsid w:val="00C1099C"/>
    <w:rsid w:val="00C15867"/>
    <w:rsid w:val="00C22398"/>
    <w:rsid w:val="00C2296D"/>
    <w:rsid w:val="00C23155"/>
    <w:rsid w:val="00C269EC"/>
    <w:rsid w:val="00C32F7B"/>
    <w:rsid w:val="00C34E84"/>
    <w:rsid w:val="00C40C41"/>
    <w:rsid w:val="00C45885"/>
    <w:rsid w:val="00C47088"/>
    <w:rsid w:val="00C47C95"/>
    <w:rsid w:val="00C50F22"/>
    <w:rsid w:val="00C551ED"/>
    <w:rsid w:val="00C55999"/>
    <w:rsid w:val="00C57971"/>
    <w:rsid w:val="00C6133E"/>
    <w:rsid w:val="00C62930"/>
    <w:rsid w:val="00C634A7"/>
    <w:rsid w:val="00C64153"/>
    <w:rsid w:val="00C65BD7"/>
    <w:rsid w:val="00C66E6D"/>
    <w:rsid w:val="00C67240"/>
    <w:rsid w:val="00C7460D"/>
    <w:rsid w:val="00C76853"/>
    <w:rsid w:val="00C76BA4"/>
    <w:rsid w:val="00C76EDE"/>
    <w:rsid w:val="00C83A48"/>
    <w:rsid w:val="00C85865"/>
    <w:rsid w:val="00C85E85"/>
    <w:rsid w:val="00CA2EAE"/>
    <w:rsid w:val="00CA3FE7"/>
    <w:rsid w:val="00CA475A"/>
    <w:rsid w:val="00CA4AC1"/>
    <w:rsid w:val="00CA59FB"/>
    <w:rsid w:val="00CA5C76"/>
    <w:rsid w:val="00CB0316"/>
    <w:rsid w:val="00CB0B11"/>
    <w:rsid w:val="00CB1DBA"/>
    <w:rsid w:val="00CB1F29"/>
    <w:rsid w:val="00CB41E7"/>
    <w:rsid w:val="00CB426A"/>
    <w:rsid w:val="00CB5354"/>
    <w:rsid w:val="00CB744F"/>
    <w:rsid w:val="00CC2E84"/>
    <w:rsid w:val="00CC3C9E"/>
    <w:rsid w:val="00CC6A14"/>
    <w:rsid w:val="00CC6BA4"/>
    <w:rsid w:val="00CC70A3"/>
    <w:rsid w:val="00CD3EBC"/>
    <w:rsid w:val="00CD4442"/>
    <w:rsid w:val="00CD53C3"/>
    <w:rsid w:val="00CD574E"/>
    <w:rsid w:val="00CD72E5"/>
    <w:rsid w:val="00CE0866"/>
    <w:rsid w:val="00CE1579"/>
    <w:rsid w:val="00CE17A7"/>
    <w:rsid w:val="00CE20A9"/>
    <w:rsid w:val="00CE4358"/>
    <w:rsid w:val="00CE4C22"/>
    <w:rsid w:val="00CE76E5"/>
    <w:rsid w:val="00CF228D"/>
    <w:rsid w:val="00CF3275"/>
    <w:rsid w:val="00CF41EC"/>
    <w:rsid w:val="00CF5D04"/>
    <w:rsid w:val="00CF6651"/>
    <w:rsid w:val="00D02F43"/>
    <w:rsid w:val="00D04DE4"/>
    <w:rsid w:val="00D063F1"/>
    <w:rsid w:val="00D14426"/>
    <w:rsid w:val="00D14F22"/>
    <w:rsid w:val="00D20F0F"/>
    <w:rsid w:val="00D22441"/>
    <w:rsid w:val="00D25D68"/>
    <w:rsid w:val="00D354ED"/>
    <w:rsid w:val="00D36D94"/>
    <w:rsid w:val="00D37391"/>
    <w:rsid w:val="00D40429"/>
    <w:rsid w:val="00D4741C"/>
    <w:rsid w:val="00D505AB"/>
    <w:rsid w:val="00D56D97"/>
    <w:rsid w:val="00D572DC"/>
    <w:rsid w:val="00D57918"/>
    <w:rsid w:val="00D61E16"/>
    <w:rsid w:val="00D658C2"/>
    <w:rsid w:val="00D70930"/>
    <w:rsid w:val="00D70AAA"/>
    <w:rsid w:val="00D73DC6"/>
    <w:rsid w:val="00D74C1A"/>
    <w:rsid w:val="00D754C1"/>
    <w:rsid w:val="00D77393"/>
    <w:rsid w:val="00D77A35"/>
    <w:rsid w:val="00D814A3"/>
    <w:rsid w:val="00D814C5"/>
    <w:rsid w:val="00D81B3E"/>
    <w:rsid w:val="00D8476D"/>
    <w:rsid w:val="00D87DF7"/>
    <w:rsid w:val="00D90C70"/>
    <w:rsid w:val="00D90E49"/>
    <w:rsid w:val="00D919CE"/>
    <w:rsid w:val="00D95EE3"/>
    <w:rsid w:val="00D96ADE"/>
    <w:rsid w:val="00D96C8E"/>
    <w:rsid w:val="00DA0CE2"/>
    <w:rsid w:val="00DA2387"/>
    <w:rsid w:val="00DA31C6"/>
    <w:rsid w:val="00DA3987"/>
    <w:rsid w:val="00DB1EE3"/>
    <w:rsid w:val="00DB265C"/>
    <w:rsid w:val="00DB4155"/>
    <w:rsid w:val="00DB4A51"/>
    <w:rsid w:val="00DB6C0D"/>
    <w:rsid w:val="00DC16BC"/>
    <w:rsid w:val="00DC1C69"/>
    <w:rsid w:val="00DC2E03"/>
    <w:rsid w:val="00DC5F4A"/>
    <w:rsid w:val="00DC6A10"/>
    <w:rsid w:val="00DC720A"/>
    <w:rsid w:val="00DD320C"/>
    <w:rsid w:val="00DD5670"/>
    <w:rsid w:val="00DD787C"/>
    <w:rsid w:val="00DE3993"/>
    <w:rsid w:val="00DE657E"/>
    <w:rsid w:val="00DF3671"/>
    <w:rsid w:val="00DF4704"/>
    <w:rsid w:val="00E024AA"/>
    <w:rsid w:val="00E02729"/>
    <w:rsid w:val="00E028DE"/>
    <w:rsid w:val="00E03BEB"/>
    <w:rsid w:val="00E04F67"/>
    <w:rsid w:val="00E15C77"/>
    <w:rsid w:val="00E2091A"/>
    <w:rsid w:val="00E250F1"/>
    <w:rsid w:val="00E31DF1"/>
    <w:rsid w:val="00E331FF"/>
    <w:rsid w:val="00E33BC3"/>
    <w:rsid w:val="00E3550D"/>
    <w:rsid w:val="00E37BB2"/>
    <w:rsid w:val="00E37D98"/>
    <w:rsid w:val="00E44823"/>
    <w:rsid w:val="00E4520C"/>
    <w:rsid w:val="00E52838"/>
    <w:rsid w:val="00E614E0"/>
    <w:rsid w:val="00E641C0"/>
    <w:rsid w:val="00E70122"/>
    <w:rsid w:val="00E72FDC"/>
    <w:rsid w:val="00E73F7F"/>
    <w:rsid w:val="00E744E3"/>
    <w:rsid w:val="00E753E8"/>
    <w:rsid w:val="00E76C0B"/>
    <w:rsid w:val="00E81908"/>
    <w:rsid w:val="00E84DE2"/>
    <w:rsid w:val="00E85409"/>
    <w:rsid w:val="00E8578C"/>
    <w:rsid w:val="00E941BC"/>
    <w:rsid w:val="00EA429F"/>
    <w:rsid w:val="00EA4F2C"/>
    <w:rsid w:val="00EA4F9E"/>
    <w:rsid w:val="00EA598B"/>
    <w:rsid w:val="00EA63CA"/>
    <w:rsid w:val="00EA6D3B"/>
    <w:rsid w:val="00EB00AD"/>
    <w:rsid w:val="00EB136C"/>
    <w:rsid w:val="00EB2288"/>
    <w:rsid w:val="00EB2FB0"/>
    <w:rsid w:val="00EB3493"/>
    <w:rsid w:val="00EB3BFD"/>
    <w:rsid w:val="00EB480E"/>
    <w:rsid w:val="00EB5EC6"/>
    <w:rsid w:val="00EB7FC9"/>
    <w:rsid w:val="00EC2C3C"/>
    <w:rsid w:val="00ED07FB"/>
    <w:rsid w:val="00ED102A"/>
    <w:rsid w:val="00ED27E8"/>
    <w:rsid w:val="00ED3DD7"/>
    <w:rsid w:val="00ED7137"/>
    <w:rsid w:val="00EE1111"/>
    <w:rsid w:val="00EE2B39"/>
    <w:rsid w:val="00EE2FA2"/>
    <w:rsid w:val="00EE68E5"/>
    <w:rsid w:val="00EE6BCB"/>
    <w:rsid w:val="00EE6C9C"/>
    <w:rsid w:val="00EE7672"/>
    <w:rsid w:val="00EF06EA"/>
    <w:rsid w:val="00EF33DE"/>
    <w:rsid w:val="00EF556F"/>
    <w:rsid w:val="00F07604"/>
    <w:rsid w:val="00F07A23"/>
    <w:rsid w:val="00F167A7"/>
    <w:rsid w:val="00F16968"/>
    <w:rsid w:val="00F21088"/>
    <w:rsid w:val="00F22C5B"/>
    <w:rsid w:val="00F24C24"/>
    <w:rsid w:val="00F326BF"/>
    <w:rsid w:val="00F327E7"/>
    <w:rsid w:val="00F338A1"/>
    <w:rsid w:val="00F34838"/>
    <w:rsid w:val="00F35746"/>
    <w:rsid w:val="00F4091D"/>
    <w:rsid w:val="00F41C0A"/>
    <w:rsid w:val="00F435CD"/>
    <w:rsid w:val="00F447C7"/>
    <w:rsid w:val="00F459B4"/>
    <w:rsid w:val="00F5211B"/>
    <w:rsid w:val="00F554A9"/>
    <w:rsid w:val="00F641C8"/>
    <w:rsid w:val="00F6497D"/>
    <w:rsid w:val="00F64AFB"/>
    <w:rsid w:val="00F65025"/>
    <w:rsid w:val="00F67667"/>
    <w:rsid w:val="00F716FD"/>
    <w:rsid w:val="00F747D0"/>
    <w:rsid w:val="00F74948"/>
    <w:rsid w:val="00F74C91"/>
    <w:rsid w:val="00F7665E"/>
    <w:rsid w:val="00F80355"/>
    <w:rsid w:val="00F82203"/>
    <w:rsid w:val="00F87C43"/>
    <w:rsid w:val="00F92CEA"/>
    <w:rsid w:val="00F956CB"/>
    <w:rsid w:val="00F960DE"/>
    <w:rsid w:val="00FA271F"/>
    <w:rsid w:val="00FA2EB1"/>
    <w:rsid w:val="00FA5722"/>
    <w:rsid w:val="00FA77EE"/>
    <w:rsid w:val="00FB0C81"/>
    <w:rsid w:val="00FB1E1B"/>
    <w:rsid w:val="00FB261C"/>
    <w:rsid w:val="00FB2D69"/>
    <w:rsid w:val="00FB4CD2"/>
    <w:rsid w:val="00FB58F0"/>
    <w:rsid w:val="00FB5DFD"/>
    <w:rsid w:val="00FB6A39"/>
    <w:rsid w:val="00FB7D1D"/>
    <w:rsid w:val="00FC2200"/>
    <w:rsid w:val="00FC2540"/>
    <w:rsid w:val="00FC2B76"/>
    <w:rsid w:val="00FD0DCF"/>
    <w:rsid w:val="00FE5101"/>
    <w:rsid w:val="00FE6371"/>
    <w:rsid w:val="00FE743A"/>
    <w:rsid w:val="00FF0204"/>
    <w:rsid w:val="00FF3AE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A653C"/>
  <w15:docId w15:val="{C97B30B9-13E8-4DCF-8E54-C360F625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1"/>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1"/>
      </w:numPr>
      <w:spacing w:after="240"/>
      <w:outlineLvl w:val="2"/>
    </w:pPr>
  </w:style>
  <w:style w:type="paragraph" w:styleId="Titolo4">
    <w:name w:val="heading 4"/>
    <w:aliases w:val="Heading 11,para 4,Título 41,heading 4,Heading 41,标题 41,He=ding 41"/>
    <w:basedOn w:val="Normale"/>
    <w:next w:val="Titolo9"/>
    <w:qFormat/>
    <w:rsid w:val="007B6871"/>
    <w:pPr>
      <w:keepNext/>
      <w:numPr>
        <w:ilvl w:val="3"/>
        <w:numId w:val="1"/>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rPr>
  </w:style>
  <w:style w:type="paragraph" w:styleId="Pidipagina">
    <w:name w:val="footer"/>
    <w:basedOn w:val="Normale"/>
    <w:semiHidden/>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fr-CA"/>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fr-CA"/>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fr-CA"/>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fr-CA"/>
    </w:rPr>
  </w:style>
  <w:style w:type="character" w:styleId="Rimandonotaapidipagina">
    <w:name w:val="footnote reference"/>
    <w:aliases w:val="Footnote text,Footnote Text1,Footnote Text2,ftref,16 Point,Superscript 6 Point,Superscript 6 Point + 11 pt,BVI fnr,BVI fnr Car Car,BVI fnr Car,BVI fnr Car Car Car Car"/>
    <w:basedOn w:val="Carpredefinitoparagrafo"/>
    <w:uiPriority w:val="99"/>
    <w:unhideWhenUsed/>
    <w:rsid w:val="006E126D"/>
    <w:rPr>
      <w:vertAlign w:val="superscript"/>
    </w:rPr>
  </w:style>
  <w:style w:type="paragraph" w:customStyle="1" w:styleId="Newheader4">
    <w:name w:val="New header 4"/>
    <w:basedOn w:val="Titolo4"/>
    <w:next w:val="Normale"/>
    <w:qFormat/>
    <w:rsid w:val="00AC5041"/>
  </w:style>
  <w:style w:type="paragraph" w:styleId="Paragrafoelenco">
    <w:name w:val="List Paragraph"/>
    <w:aliases w:val="Lista viñetas,Viñetas (Inicio Parrafo),3 Txt tabla,Zerrenda-paragrafoa,1st level - Bullet List Paragraph,Lettre d'introduction,Task Body,figures,Bullet List,Bullets_normal,Bullet WP tables,Bullet OSM,Bullets,CORE-1.1.1"/>
    <w:basedOn w:val="Normale"/>
    <w:link w:val="ParagrafoelencoCarattere"/>
    <w:uiPriority w:val="34"/>
    <w:qFormat/>
    <w:rsid w:val="00EA598B"/>
    <w:pPr>
      <w:ind w:left="720"/>
      <w:contextualSpacing/>
    </w:pPr>
  </w:style>
  <w:style w:type="paragraph" w:styleId="Revisione">
    <w:name w:val="Revision"/>
    <w:hidden/>
    <w:uiPriority w:val="99"/>
    <w:semiHidden/>
    <w:rsid w:val="00EA598B"/>
    <w:rPr>
      <w:sz w:val="22"/>
      <w:szCs w:val="22"/>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EA598B"/>
    <w:rPr>
      <w:sz w:val="22"/>
      <w:szCs w:val="22"/>
      <w:lang w:val="fr-CA"/>
    </w:rPr>
  </w:style>
  <w:style w:type="paragraph" w:styleId="NormaleWeb">
    <w:name w:val="Normal (Web)"/>
    <w:basedOn w:val="Normale"/>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Carpredefinitoparagrafo"/>
    <w:rsid w:val="00EA598B"/>
  </w:style>
  <w:style w:type="character" w:customStyle="1" w:styleId="highlight">
    <w:name w:val="highlight"/>
    <w:basedOn w:val="Carpredefinitoparagrafo"/>
    <w:rsid w:val="00EA598B"/>
  </w:style>
  <w:style w:type="character" w:customStyle="1" w:styleId="ParagrafoelencoCarattere">
    <w:name w:val="Paragrafo elenco Carattere"/>
    <w:aliases w:val="Lista viñetas Carattere,Viñetas (Inicio Parrafo) Carattere,3 Txt tabla Carattere,Zerrenda-paragrafoa Carattere,1st level - Bullet List Paragraph Carattere,Lettre d'introduction Carattere,Task Body Carattere,figures Carattere"/>
    <w:link w:val="Paragrafoelenco"/>
    <w:uiPriority w:val="34"/>
    <w:qFormat/>
    <w:locked/>
    <w:rsid w:val="004356B7"/>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7510">
      <w:bodyDiv w:val="1"/>
      <w:marLeft w:val="0"/>
      <w:marRight w:val="0"/>
      <w:marTop w:val="0"/>
      <w:marBottom w:val="0"/>
      <w:divBdr>
        <w:top w:val="none" w:sz="0" w:space="0" w:color="auto"/>
        <w:left w:val="none" w:sz="0" w:space="0" w:color="auto"/>
        <w:bottom w:val="none" w:sz="0" w:space="0" w:color="auto"/>
        <w:right w:val="none" w:sz="0" w:space="0" w:color="auto"/>
      </w:divBdr>
    </w:div>
    <w:div w:id="53479506">
      <w:bodyDiv w:val="1"/>
      <w:marLeft w:val="0"/>
      <w:marRight w:val="0"/>
      <w:marTop w:val="0"/>
      <w:marBottom w:val="0"/>
      <w:divBdr>
        <w:top w:val="none" w:sz="0" w:space="0" w:color="auto"/>
        <w:left w:val="none" w:sz="0" w:space="0" w:color="auto"/>
        <w:bottom w:val="none" w:sz="0" w:space="0" w:color="auto"/>
        <w:right w:val="none" w:sz="0" w:space="0" w:color="auto"/>
      </w:divBdr>
    </w:div>
    <w:div w:id="162405273">
      <w:bodyDiv w:val="1"/>
      <w:marLeft w:val="0"/>
      <w:marRight w:val="0"/>
      <w:marTop w:val="0"/>
      <w:marBottom w:val="0"/>
      <w:divBdr>
        <w:top w:val="none" w:sz="0" w:space="0" w:color="auto"/>
        <w:left w:val="none" w:sz="0" w:space="0" w:color="auto"/>
        <w:bottom w:val="none" w:sz="0" w:space="0" w:color="auto"/>
        <w:right w:val="none" w:sz="0" w:space="0" w:color="auto"/>
      </w:divBdr>
    </w:div>
    <w:div w:id="1844900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3928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72482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2474662">
      <w:bodyDiv w:val="1"/>
      <w:marLeft w:val="0"/>
      <w:marRight w:val="0"/>
      <w:marTop w:val="0"/>
      <w:marBottom w:val="0"/>
      <w:divBdr>
        <w:top w:val="none" w:sz="0" w:space="0" w:color="auto"/>
        <w:left w:val="none" w:sz="0" w:space="0" w:color="auto"/>
        <w:bottom w:val="none" w:sz="0" w:space="0" w:color="auto"/>
        <w:right w:val="none" w:sz="0" w:space="0" w:color="auto"/>
      </w:divBdr>
    </w:div>
    <w:div w:id="872578666">
      <w:bodyDiv w:val="1"/>
      <w:marLeft w:val="0"/>
      <w:marRight w:val="0"/>
      <w:marTop w:val="0"/>
      <w:marBottom w:val="0"/>
      <w:divBdr>
        <w:top w:val="none" w:sz="0" w:space="0" w:color="auto"/>
        <w:left w:val="none" w:sz="0" w:space="0" w:color="auto"/>
        <w:bottom w:val="none" w:sz="0" w:space="0" w:color="auto"/>
        <w:right w:val="none" w:sz="0" w:space="0" w:color="auto"/>
      </w:divBdr>
    </w:div>
    <w:div w:id="1386373013">
      <w:bodyDiv w:val="1"/>
      <w:marLeft w:val="0"/>
      <w:marRight w:val="0"/>
      <w:marTop w:val="0"/>
      <w:marBottom w:val="0"/>
      <w:divBdr>
        <w:top w:val="none" w:sz="0" w:space="0" w:color="auto"/>
        <w:left w:val="none" w:sz="0" w:space="0" w:color="auto"/>
        <w:bottom w:val="none" w:sz="0" w:space="0" w:color="auto"/>
        <w:right w:val="none" w:sz="0" w:space="0" w:color="auto"/>
      </w:divBdr>
    </w:div>
    <w:div w:id="1457868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348200">
      <w:bodyDiv w:val="1"/>
      <w:marLeft w:val="0"/>
      <w:marRight w:val="0"/>
      <w:marTop w:val="0"/>
      <w:marBottom w:val="0"/>
      <w:divBdr>
        <w:top w:val="none" w:sz="0" w:space="0" w:color="auto"/>
        <w:left w:val="none" w:sz="0" w:space="0" w:color="auto"/>
        <w:bottom w:val="none" w:sz="0" w:space="0" w:color="auto"/>
        <w:right w:val="none" w:sz="0" w:space="0" w:color="auto"/>
      </w:divBdr>
    </w:div>
    <w:div w:id="209400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Tranches\BahrainS2T3\95thMeeting_HPMP-tranche%20%20DRAFT%20EXCOM%20BAHRAI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C:\Users\rcflo\Desktop\00000-MLF\Excom 95 prelim\Tranches\BahrainS2T3\95thMeeting_HPMP-tranche  DRAFT EXCOM BAHRAIN.dotm</Template>
  <TotalTime>112</TotalTime>
  <Pages>9</Pages>
  <Words>3933</Words>
  <Characters>20300</Characters>
  <Application>Microsoft Office Word</Application>
  <DocSecurity>0</DocSecurity>
  <Lines>634</Lines>
  <Paragraphs>410</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Bahreïn</vt:lpstr>
      <vt:lpstr>Project proposal: Bahrain</vt:lpstr>
      <vt:lpstr>Project proposal: Bahrain</vt:lpstr>
    </vt:vector>
  </TitlesOfParts>
  <Manager/>
  <Company>UNMFS</Company>
  <LinksUpToDate>false</LinksUpToDate>
  <CharactersWithSpaces>23823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Bahreïn</dc:title>
  <dc:subject/>
  <dc:creator>RC Flood</dc:creator>
  <cp:keywords>95th ExCom</cp:keywords>
  <dc:description/>
  <cp:lastModifiedBy>Renato Delcò</cp:lastModifiedBy>
  <cp:revision>264</cp:revision>
  <cp:lastPrinted>2001-05-26T16:40:00Z</cp:lastPrinted>
  <dcterms:created xsi:type="dcterms:W3CDTF">2024-11-13T12:53:00Z</dcterms:created>
  <dcterms:modified xsi:type="dcterms:W3CDTF">2024-11-13T17:10:00Z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UNEP/OzL.Pro/ExCom/95/41</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