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783CF5" w:rsidRPr="00C02B5D" w14:paraId="653E4CFD" w14:textId="77777777" w:rsidTr="00877DBE">
        <w:trPr>
          <w:trHeight w:val="720"/>
        </w:trPr>
        <w:tc>
          <w:tcPr>
            <w:tcW w:w="4410" w:type="dxa"/>
            <w:gridSpan w:val="2"/>
            <w:tcBorders>
              <w:top w:val="nil"/>
              <w:left w:val="nil"/>
              <w:bottom w:val="single" w:sz="18" w:space="0" w:color="auto"/>
              <w:right w:val="nil"/>
            </w:tcBorders>
            <w:hideMark/>
          </w:tcPr>
          <w:p w14:paraId="345C0923" w14:textId="77777777" w:rsidR="00783CF5" w:rsidRPr="00C02B5D" w:rsidRDefault="00783CF5" w:rsidP="00877DBE">
            <w:pPr>
              <w:jc w:val="left"/>
              <w:rPr>
                <w:rFonts w:asciiTheme="minorBidi" w:hAnsiTheme="minorBidi" w:cstheme="minorBidi"/>
                <w:b/>
                <w:bCs/>
                <w:sz w:val="24"/>
                <w:lang w:val="en-US" w:bidi="ar-DZ"/>
              </w:rPr>
            </w:pPr>
            <w:r w:rsidRPr="00C02B5D">
              <w:rPr>
                <w:rFonts w:asciiTheme="minorBidi" w:hAnsiTheme="minorBidi" w:cstheme="minorBidi"/>
                <w:b/>
                <w:bCs/>
                <w:sz w:val="72"/>
                <w:szCs w:val="72"/>
                <w:lang w:val="en-US"/>
              </w:rPr>
              <w:t>EP</w:t>
            </w:r>
            <w:r w:rsidRPr="00C02B5D">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49D75756" w14:textId="77777777" w:rsidR="00783CF5" w:rsidRPr="00C02B5D" w:rsidRDefault="00783CF5" w:rsidP="00877DBE">
            <w:pPr>
              <w:pStyle w:val="Heading3"/>
              <w:numPr>
                <w:ilvl w:val="0"/>
                <w:numId w:val="0"/>
              </w:numPr>
              <w:tabs>
                <w:tab w:val="left" w:pos="720"/>
              </w:tabs>
              <w:bidi/>
              <w:ind w:left="270" w:right="1384"/>
              <w:rPr>
                <w:b/>
                <w:bCs/>
                <w:sz w:val="48"/>
                <w:szCs w:val="48"/>
                <w:lang w:val="en-GB" w:bidi="ar-EG"/>
              </w:rPr>
            </w:pPr>
            <w:r w:rsidRPr="00C02B5D">
              <w:rPr>
                <w:rFonts w:hint="cs"/>
                <w:b/>
                <w:bCs/>
                <w:sz w:val="48"/>
                <w:szCs w:val="48"/>
                <w:rtl/>
              </w:rPr>
              <w:t>الأمم المتحدة</w:t>
            </w:r>
          </w:p>
        </w:tc>
      </w:tr>
      <w:tr w:rsidR="00783CF5" w:rsidRPr="00C02B5D" w14:paraId="5DB35D54" w14:textId="77777777" w:rsidTr="00877DBE">
        <w:trPr>
          <w:trHeight w:val="2776"/>
        </w:trPr>
        <w:tc>
          <w:tcPr>
            <w:tcW w:w="4059" w:type="dxa"/>
            <w:tcBorders>
              <w:top w:val="nil"/>
              <w:left w:val="nil"/>
              <w:bottom w:val="single" w:sz="36" w:space="0" w:color="auto"/>
              <w:right w:val="nil"/>
            </w:tcBorders>
          </w:tcPr>
          <w:p w14:paraId="221C8271" w14:textId="77777777" w:rsidR="00783CF5" w:rsidRPr="00C02B5D" w:rsidRDefault="00783CF5" w:rsidP="00877DBE">
            <w:pPr>
              <w:spacing w:before="120"/>
              <w:jc w:val="left"/>
              <w:rPr>
                <w:sz w:val="24"/>
                <w:lang w:val="en-US" w:bidi="ar-DZ"/>
              </w:rPr>
            </w:pPr>
            <w:r w:rsidRPr="00C02B5D">
              <w:rPr>
                <w:noProof/>
                <w:sz w:val="24"/>
                <w:lang w:val="en-US"/>
              </w:rPr>
              <w:drawing>
                <wp:anchor distT="0" distB="0" distL="114300" distR="114300" simplePos="0" relativeHeight="251664384" behindDoc="0" locked="0" layoutInCell="0" allowOverlap="1" wp14:anchorId="531F1A90" wp14:editId="6B4ADF1A">
                  <wp:simplePos x="0" y="0"/>
                  <wp:positionH relativeFrom="column">
                    <wp:posOffset>5010785</wp:posOffset>
                  </wp:positionH>
                  <wp:positionV relativeFrom="paragraph">
                    <wp:posOffset>643890</wp:posOffset>
                  </wp:positionV>
                  <wp:extent cx="658495" cy="555625"/>
                  <wp:effectExtent l="0" t="0" r="8255" b="0"/>
                  <wp:wrapNone/>
                  <wp:docPr id="8" name="Picture 8"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14:sizeRelH relativeFrom="page">
                    <wp14:pctWidth>0</wp14:pctWidth>
                  </wp14:sizeRelH>
                  <wp14:sizeRelV relativeFrom="page">
                    <wp14:pctHeight>0</wp14:pctHeight>
                  </wp14:sizeRelV>
                </wp:anchor>
              </w:drawing>
            </w:r>
            <w:r w:rsidRPr="00C02B5D">
              <w:rPr>
                <w:noProof/>
                <w:sz w:val="24"/>
                <w:lang w:val="en-US"/>
              </w:rPr>
              <w:drawing>
                <wp:anchor distT="0" distB="0" distL="114300" distR="114300" simplePos="0" relativeHeight="251665408" behindDoc="1" locked="0" layoutInCell="0" allowOverlap="1" wp14:anchorId="325DCBA7" wp14:editId="535A8C06">
                  <wp:simplePos x="0" y="0"/>
                  <wp:positionH relativeFrom="column">
                    <wp:posOffset>5029200</wp:posOffset>
                  </wp:positionH>
                  <wp:positionV relativeFrom="paragraph">
                    <wp:posOffset>93345</wp:posOffset>
                  </wp:positionV>
                  <wp:extent cx="579755" cy="5156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14:sizeRelH relativeFrom="page">
                    <wp14:pctWidth>0</wp14:pctWidth>
                  </wp14:sizeRelH>
                  <wp14:sizeRelV relativeFrom="page">
                    <wp14:pctHeight>0</wp14:pctHeight>
                  </wp14:sizeRelV>
                </wp:anchor>
              </w:drawing>
            </w:r>
            <w:r w:rsidRPr="00C02B5D">
              <w:rPr>
                <w:lang w:val="en-US"/>
              </w:rPr>
              <w:t>Distr.</w:t>
            </w:r>
          </w:p>
          <w:p w14:paraId="3AC4FE8B" w14:textId="77777777" w:rsidR="00783CF5" w:rsidRPr="00C02B5D" w:rsidRDefault="00783CF5" w:rsidP="00877DBE">
            <w:pPr>
              <w:spacing w:before="120"/>
              <w:jc w:val="left"/>
              <w:rPr>
                <w:lang w:val="en-US"/>
              </w:rPr>
            </w:pPr>
            <w:r w:rsidRPr="00C02B5D">
              <w:rPr>
                <w:lang w:val="en-US"/>
              </w:rPr>
              <w:t>GENERAL</w:t>
            </w:r>
          </w:p>
          <w:p w14:paraId="623F958E" w14:textId="77777777" w:rsidR="00345836" w:rsidRPr="00C02B5D" w:rsidRDefault="00345836" w:rsidP="00345836"/>
          <w:p w14:paraId="3C5944AC" w14:textId="77777777" w:rsidR="00345836" w:rsidRPr="00C02B5D" w:rsidRDefault="00844963" w:rsidP="00345836">
            <w:r w:rsidRPr="00C02B5D">
              <w:fldChar w:fldCharType="begin"/>
            </w:r>
            <w:r w:rsidRPr="00C02B5D">
              <w:instrText xml:space="preserve"> DOCPROPERTY "Document number"  \* MERGEFORMAT </w:instrText>
            </w:r>
            <w:r w:rsidRPr="00C02B5D">
              <w:fldChar w:fldCharType="separate"/>
            </w:r>
            <w:r w:rsidR="00345836" w:rsidRPr="00C02B5D">
              <w:t>UNEP/</w:t>
            </w:r>
            <w:proofErr w:type="spellStart"/>
            <w:r w:rsidR="00345836" w:rsidRPr="00C02B5D">
              <w:t>OzL.Pro</w:t>
            </w:r>
            <w:proofErr w:type="spellEnd"/>
            <w:r w:rsidR="00345836" w:rsidRPr="00C02B5D">
              <w:t>/ExCom/92/47</w:t>
            </w:r>
            <w:r w:rsidRPr="00C02B5D">
              <w:fldChar w:fldCharType="end"/>
            </w:r>
          </w:p>
          <w:p w14:paraId="47AC5D64" w14:textId="77777777" w:rsidR="00345836" w:rsidRPr="00C02B5D" w:rsidRDefault="00345836" w:rsidP="00345836">
            <w:r w:rsidRPr="00C02B5D">
              <w:fldChar w:fldCharType="begin"/>
            </w:r>
            <w:r w:rsidRPr="00C02B5D">
              <w:instrText xml:space="preserve"> DOCPROPERTY "Revision date" \@ "d MMMM YYYY"  \* MERGEFORMAT </w:instrText>
            </w:r>
            <w:r w:rsidRPr="00C02B5D">
              <w:fldChar w:fldCharType="separate"/>
            </w:r>
            <w:r w:rsidRPr="00C02B5D">
              <w:t>20 April 2023</w:t>
            </w:r>
            <w:r w:rsidRPr="00C02B5D">
              <w:fldChar w:fldCharType="end"/>
            </w:r>
          </w:p>
          <w:p w14:paraId="3A87962D" w14:textId="77777777" w:rsidR="00345836" w:rsidRPr="00C02B5D" w:rsidRDefault="00345836" w:rsidP="00345836">
            <w:pPr>
              <w:rPr>
                <w:caps/>
              </w:rPr>
            </w:pPr>
          </w:p>
          <w:p w14:paraId="67ABE982" w14:textId="77777777" w:rsidR="00783CF5" w:rsidRPr="00C02B5D" w:rsidRDefault="00783CF5" w:rsidP="00877DBE">
            <w:pPr>
              <w:spacing w:before="120"/>
              <w:jc w:val="left"/>
              <w:rPr>
                <w:rtl/>
                <w:lang w:val="en-US" w:bidi="ar-DZ"/>
              </w:rPr>
            </w:pPr>
            <w:r w:rsidRPr="00C02B5D">
              <w:rPr>
                <w:lang w:val="en-US"/>
              </w:rPr>
              <w:t>ARABIC</w:t>
            </w:r>
          </w:p>
          <w:p w14:paraId="492A078D" w14:textId="77777777" w:rsidR="00783CF5" w:rsidRPr="00C02B5D" w:rsidRDefault="00783CF5" w:rsidP="00877DBE">
            <w:pPr>
              <w:spacing w:before="120"/>
              <w:jc w:val="left"/>
              <w:rPr>
                <w:sz w:val="24"/>
                <w:lang w:val="en-US" w:bidi="ar-DZ"/>
              </w:rPr>
            </w:pPr>
            <w:r w:rsidRPr="00C02B5D">
              <w:rPr>
                <w:lang w:val="en-US"/>
              </w:rPr>
              <w:t>ORIGINAL: ENGLISH</w:t>
            </w:r>
          </w:p>
        </w:tc>
        <w:tc>
          <w:tcPr>
            <w:tcW w:w="3402" w:type="dxa"/>
            <w:gridSpan w:val="2"/>
            <w:tcBorders>
              <w:top w:val="nil"/>
              <w:left w:val="nil"/>
              <w:bottom w:val="single" w:sz="36" w:space="0" w:color="auto"/>
              <w:right w:val="nil"/>
            </w:tcBorders>
            <w:hideMark/>
          </w:tcPr>
          <w:p w14:paraId="6C709891" w14:textId="77777777" w:rsidR="00783CF5" w:rsidRPr="00C02B5D" w:rsidRDefault="00783CF5" w:rsidP="00877DBE">
            <w:pPr>
              <w:pStyle w:val="Heading4"/>
              <w:numPr>
                <w:ilvl w:val="0"/>
                <w:numId w:val="0"/>
              </w:numPr>
              <w:tabs>
                <w:tab w:val="left" w:pos="720"/>
              </w:tabs>
              <w:spacing w:before="0" w:after="0"/>
              <w:ind w:right="459"/>
              <w:jc w:val="right"/>
              <w:rPr>
                <w:rFonts w:cs="Arabic Transparent"/>
                <w:bCs/>
                <w:sz w:val="52"/>
                <w:szCs w:val="52"/>
                <w:lang w:val="en-GB" w:bidi="ar-DZ"/>
              </w:rPr>
            </w:pPr>
            <w:r w:rsidRPr="00C02B5D">
              <w:rPr>
                <w:rFonts w:cs="Arabic Transparent"/>
                <w:bCs/>
                <w:sz w:val="52"/>
                <w:szCs w:val="52"/>
                <w:rtl/>
              </w:rPr>
              <w:t>برنامج</w:t>
            </w:r>
          </w:p>
          <w:p w14:paraId="3699E58B" w14:textId="77777777" w:rsidR="00783CF5" w:rsidRPr="00C02B5D" w:rsidRDefault="00783CF5" w:rsidP="00877DBE">
            <w:pPr>
              <w:pStyle w:val="Heading4"/>
              <w:numPr>
                <w:ilvl w:val="0"/>
                <w:numId w:val="0"/>
              </w:numPr>
              <w:tabs>
                <w:tab w:val="left" w:pos="720"/>
              </w:tabs>
              <w:spacing w:before="0" w:after="0"/>
              <w:ind w:right="459"/>
              <w:jc w:val="right"/>
              <w:rPr>
                <w:rFonts w:cs="Arabic Transparent"/>
                <w:bCs/>
                <w:sz w:val="52"/>
                <w:szCs w:val="52"/>
                <w:rtl/>
                <w:lang w:bidi="ar-EG"/>
              </w:rPr>
            </w:pPr>
            <w:r w:rsidRPr="00C02B5D">
              <w:rPr>
                <w:rFonts w:cs="Arabic Transparent"/>
                <w:bCs/>
                <w:sz w:val="52"/>
                <w:szCs w:val="52"/>
                <w:rtl/>
              </w:rPr>
              <w:t>الأمم المتحدة</w:t>
            </w:r>
          </w:p>
          <w:p w14:paraId="4907CA81" w14:textId="77777777" w:rsidR="00783CF5" w:rsidRPr="00C02B5D" w:rsidRDefault="00783CF5" w:rsidP="00877DBE">
            <w:pPr>
              <w:pStyle w:val="Heading4"/>
              <w:numPr>
                <w:ilvl w:val="0"/>
                <w:numId w:val="0"/>
              </w:numPr>
              <w:tabs>
                <w:tab w:val="left" w:pos="720"/>
              </w:tabs>
              <w:spacing w:before="0" w:after="0"/>
              <w:ind w:right="459"/>
              <w:jc w:val="right"/>
              <w:rPr>
                <w:rFonts w:cs="Arabic Transparent"/>
                <w:bCs/>
                <w:sz w:val="52"/>
                <w:szCs w:val="52"/>
                <w:rtl/>
              </w:rPr>
            </w:pPr>
            <w:r w:rsidRPr="00C02B5D">
              <w:rPr>
                <w:rFonts w:cs="Arabic Transparent"/>
                <w:bCs/>
                <w:sz w:val="52"/>
                <w:szCs w:val="52"/>
                <w:rtl/>
              </w:rPr>
              <w:t>للبيئة</w:t>
            </w:r>
          </w:p>
          <w:p w14:paraId="4AF09BDE" w14:textId="77777777" w:rsidR="00783CF5" w:rsidRPr="00C02B5D" w:rsidRDefault="00783CF5" w:rsidP="00783CF5">
            <w:pPr>
              <w:pStyle w:val="Heading7"/>
              <w:numPr>
                <w:ilvl w:val="6"/>
                <w:numId w:val="21"/>
              </w:numPr>
              <w:spacing w:before="0" w:after="0"/>
              <w:ind w:right="4997"/>
              <w:rPr>
                <w:rFonts w:cs="Akhbar MT"/>
                <w:b/>
                <w:bCs/>
                <w:sz w:val="52"/>
                <w:szCs w:val="52"/>
                <w:lang w:val="en-US" w:bidi="ar-DZ"/>
              </w:rPr>
            </w:pPr>
            <w:r w:rsidRPr="00C02B5D">
              <w:rPr>
                <w:rFonts w:cs="Arabic Transparent"/>
                <w:b/>
                <w:bCs/>
                <w:sz w:val="52"/>
                <w:szCs w:val="52"/>
                <w:rtl/>
              </w:rPr>
              <w:t>ل</w:t>
            </w:r>
          </w:p>
        </w:tc>
        <w:tc>
          <w:tcPr>
            <w:tcW w:w="2079" w:type="dxa"/>
            <w:tcBorders>
              <w:top w:val="nil"/>
              <w:left w:val="nil"/>
              <w:bottom w:val="single" w:sz="36" w:space="0" w:color="auto"/>
              <w:right w:val="nil"/>
            </w:tcBorders>
          </w:tcPr>
          <w:p w14:paraId="0B9867CC" w14:textId="77777777" w:rsidR="00783CF5" w:rsidRPr="00C02B5D" w:rsidRDefault="00783CF5" w:rsidP="00877DBE">
            <w:pPr>
              <w:rPr>
                <w:caps/>
                <w:sz w:val="24"/>
                <w:lang w:val="en-US" w:bidi="ar-DZ"/>
              </w:rPr>
            </w:pPr>
          </w:p>
          <w:p w14:paraId="70D2AFE8" w14:textId="77777777" w:rsidR="00783CF5" w:rsidRPr="00C02B5D" w:rsidRDefault="00783CF5" w:rsidP="00877DBE">
            <w:pPr>
              <w:rPr>
                <w:sz w:val="24"/>
                <w:lang w:val="en-US" w:bidi="ar-DZ"/>
              </w:rPr>
            </w:pPr>
          </w:p>
        </w:tc>
      </w:tr>
    </w:tbl>
    <w:p w14:paraId="451037B5" w14:textId="77777777" w:rsidR="00783CF5" w:rsidRPr="00C02B5D" w:rsidRDefault="00783CF5" w:rsidP="00783CF5">
      <w:pPr>
        <w:pStyle w:val="Caption"/>
        <w:spacing w:line="200" w:lineRule="exact"/>
        <w:ind w:left="187" w:right="187" w:hanging="187"/>
        <w:jc w:val="both"/>
        <w:rPr>
          <w:rFonts w:cs="Akhbar MT"/>
          <w:b/>
          <w:bCs/>
          <w:sz w:val="28"/>
          <w:szCs w:val="28"/>
        </w:rPr>
      </w:pPr>
    </w:p>
    <w:p w14:paraId="1A35EC94" w14:textId="77777777" w:rsidR="00783CF5" w:rsidRPr="00C02B5D" w:rsidRDefault="00783CF5" w:rsidP="00783CF5">
      <w:pPr>
        <w:pStyle w:val="Caption"/>
        <w:ind w:left="0" w:right="180"/>
        <w:jc w:val="both"/>
        <w:rPr>
          <w:rFonts w:cs="Arabic Transparent"/>
          <w:b/>
          <w:bCs/>
          <w:sz w:val="28"/>
          <w:szCs w:val="28"/>
          <w:rtl/>
        </w:rPr>
      </w:pPr>
      <w:r w:rsidRPr="00C02B5D">
        <w:rPr>
          <w:rFonts w:cs="Arabic Transparent"/>
          <w:b/>
          <w:bCs/>
          <w:sz w:val="28"/>
          <w:szCs w:val="28"/>
          <w:rtl/>
        </w:rPr>
        <w:t>اللجنــة التنفيـذيــــة للصنــدوق المــتعــدد الأطـــراف</w:t>
      </w:r>
    </w:p>
    <w:p w14:paraId="21C1AABB" w14:textId="77777777" w:rsidR="00783CF5" w:rsidRPr="00C02B5D" w:rsidRDefault="00783CF5" w:rsidP="00783CF5">
      <w:pPr>
        <w:bidi/>
        <w:ind w:left="180" w:hanging="180"/>
        <w:jc w:val="lowKashida"/>
        <w:rPr>
          <w:rFonts w:cs="Arabic Transparent"/>
          <w:b/>
          <w:bCs/>
          <w:sz w:val="28"/>
          <w:szCs w:val="28"/>
          <w:rtl/>
          <w:lang w:val="en-US" w:eastAsia="en-CA"/>
        </w:rPr>
      </w:pPr>
      <w:r w:rsidRPr="00C02B5D">
        <w:rPr>
          <w:rFonts w:cs="Arabic Transparent"/>
          <w:b/>
          <w:bCs/>
          <w:sz w:val="28"/>
          <w:szCs w:val="28"/>
          <w:rtl/>
          <w:lang w:val="en-US" w:eastAsia="en-CA"/>
        </w:rPr>
        <w:t xml:space="preserve">لتنفيـــذ بروتوكـول مونتريــال </w:t>
      </w:r>
    </w:p>
    <w:p w14:paraId="1DBF8DEB" w14:textId="66C5BCF2" w:rsidR="00783CF5" w:rsidRPr="00C02B5D" w:rsidRDefault="00783CF5" w:rsidP="007F7AB0">
      <w:pPr>
        <w:bidi/>
        <w:ind w:left="4"/>
        <w:jc w:val="lowKashida"/>
        <w:rPr>
          <w:sz w:val="28"/>
          <w:szCs w:val="28"/>
          <w:rtl/>
          <w:lang w:val="en-US" w:eastAsia="en-CA"/>
        </w:rPr>
      </w:pPr>
      <w:r w:rsidRPr="00C02B5D">
        <w:rPr>
          <w:rFonts w:hint="cs"/>
          <w:sz w:val="28"/>
          <w:szCs w:val="28"/>
          <w:rtl/>
          <w:lang w:val="en-US" w:eastAsia="en-CA"/>
        </w:rPr>
        <w:t xml:space="preserve">الاجتمــــــاع </w:t>
      </w:r>
      <w:r w:rsidR="007F7AB0" w:rsidRPr="00C02B5D">
        <w:rPr>
          <w:rFonts w:hint="cs"/>
          <w:sz w:val="28"/>
          <w:szCs w:val="28"/>
          <w:rtl/>
          <w:lang w:val="en-US" w:eastAsia="en-CA"/>
        </w:rPr>
        <w:t>الثاني</w:t>
      </w:r>
      <w:r w:rsidRPr="00C02B5D">
        <w:rPr>
          <w:rFonts w:hint="cs"/>
          <w:sz w:val="28"/>
          <w:szCs w:val="28"/>
          <w:rtl/>
          <w:lang w:val="en-US" w:eastAsia="en-CA"/>
        </w:rPr>
        <w:t xml:space="preserve"> و</w:t>
      </w:r>
      <w:r w:rsidRPr="00C02B5D">
        <w:rPr>
          <w:rFonts w:hint="cs"/>
          <w:sz w:val="28"/>
          <w:szCs w:val="28"/>
          <w:rtl/>
          <w:lang w:val="en-US" w:eastAsia="en-CA" w:bidi="ar-EG"/>
        </w:rPr>
        <w:t xml:space="preserve">التسعــــون </w:t>
      </w:r>
    </w:p>
    <w:p w14:paraId="58B43CDF" w14:textId="4D085E04" w:rsidR="00783CF5" w:rsidRPr="00C02B5D" w:rsidRDefault="007F7AB0" w:rsidP="007F7AB0">
      <w:pPr>
        <w:pStyle w:val="0Heading0"/>
        <w:bidi/>
        <w:ind w:left="4"/>
        <w:rPr>
          <w:sz w:val="28"/>
          <w:szCs w:val="28"/>
          <w:rtl/>
          <w:lang w:bidi="ar-EG"/>
        </w:rPr>
      </w:pPr>
      <w:r w:rsidRPr="00C02B5D">
        <w:rPr>
          <w:rFonts w:hint="cs"/>
          <w:sz w:val="28"/>
          <w:szCs w:val="28"/>
          <w:rtl/>
        </w:rPr>
        <w:t xml:space="preserve">مونتريال، </w:t>
      </w:r>
      <w:r w:rsidR="00783CF5" w:rsidRPr="00C02B5D">
        <w:rPr>
          <w:rFonts w:hint="cs"/>
          <w:sz w:val="28"/>
          <w:szCs w:val="28"/>
          <w:rtl/>
        </w:rPr>
        <w:t xml:space="preserve">من </w:t>
      </w:r>
      <w:r w:rsidRPr="00C02B5D">
        <w:rPr>
          <w:rFonts w:hint="cs"/>
          <w:sz w:val="28"/>
          <w:szCs w:val="28"/>
          <w:rtl/>
        </w:rPr>
        <w:t>29 مايو/ آيار</w:t>
      </w:r>
      <w:r w:rsidR="00783CF5" w:rsidRPr="00C02B5D">
        <w:rPr>
          <w:rFonts w:hint="cs"/>
          <w:sz w:val="28"/>
          <w:szCs w:val="28"/>
          <w:rtl/>
        </w:rPr>
        <w:t xml:space="preserve"> إلى </w:t>
      </w:r>
      <w:r w:rsidRPr="00C02B5D">
        <w:rPr>
          <w:rFonts w:hint="cs"/>
          <w:sz w:val="28"/>
          <w:szCs w:val="28"/>
          <w:rtl/>
        </w:rPr>
        <w:t>2</w:t>
      </w:r>
      <w:r w:rsidR="00783CF5" w:rsidRPr="00C02B5D">
        <w:rPr>
          <w:rFonts w:hint="cs"/>
          <w:sz w:val="28"/>
          <w:szCs w:val="28"/>
          <w:rtl/>
        </w:rPr>
        <w:t xml:space="preserve"> </w:t>
      </w:r>
      <w:r w:rsidRPr="00C02B5D">
        <w:rPr>
          <w:rFonts w:hint="cs"/>
          <w:sz w:val="28"/>
          <w:szCs w:val="28"/>
          <w:rtl/>
        </w:rPr>
        <w:t>يونيو</w:t>
      </w:r>
      <w:r w:rsidR="00783CF5" w:rsidRPr="00C02B5D">
        <w:rPr>
          <w:sz w:val="28"/>
          <w:szCs w:val="28"/>
        </w:rPr>
        <w:t>/</w:t>
      </w:r>
      <w:r w:rsidR="00783CF5" w:rsidRPr="00C02B5D">
        <w:rPr>
          <w:sz w:val="28"/>
          <w:szCs w:val="28"/>
          <w:rtl/>
        </w:rPr>
        <w:t xml:space="preserve"> </w:t>
      </w:r>
      <w:r w:rsidRPr="00C02B5D">
        <w:rPr>
          <w:rFonts w:hint="cs"/>
          <w:sz w:val="28"/>
          <w:szCs w:val="28"/>
          <w:rtl/>
        </w:rPr>
        <w:t>حزيران</w:t>
      </w:r>
      <w:r w:rsidR="00783CF5" w:rsidRPr="00C02B5D">
        <w:rPr>
          <w:rFonts w:hint="cs"/>
          <w:sz w:val="28"/>
          <w:szCs w:val="28"/>
          <w:rtl/>
        </w:rPr>
        <w:t xml:space="preserve"> </w:t>
      </w:r>
      <w:r w:rsidR="00783CF5" w:rsidRPr="00C02B5D">
        <w:rPr>
          <w:rFonts w:hint="cs"/>
          <w:sz w:val="26"/>
          <w:szCs w:val="26"/>
          <w:rtl/>
        </w:rPr>
        <w:t>202</w:t>
      </w:r>
      <w:r w:rsidRPr="00C02B5D">
        <w:rPr>
          <w:rFonts w:hint="cs"/>
          <w:sz w:val="26"/>
          <w:szCs w:val="26"/>
          <w:rtl/>
        </w:rPr>
        <w:t>3</w:t>
      </w:r>
    </w:p>
    <w:p w14:paraId="15902250" w14:textId="26C1F13E" w:rsidR="00783CF5" w:rsidRPr="00C02B5D" w:rsidRDefault="00783CF5" w:rsidP="007F7AB0">
      <w:pPr>
        <w:pStyle w:val="0Heading0"/>
        <w:bidi/>
        <w:ind w:left="4"/>
        <w:rPr>
          <w:sz w:val="28"/>
          <w:szCs w:val="28"/>
          <w:rtl/>
          <w:lang w:bidi="ar-EG"/>
        </w:rPr>
      </w:pPr>
      <w:r w:rsidRPr="00C02B5D">
        <w:rPr>
          <w:rFonts w:hint="cs"/>
          <w:sz w:val="28"/>
          <w:szCs w:val="28"/>
          <w:rtl/>
          <w:lang w:bidi="ar-EG"/>
        </w:rPr>
        <w:t xml:space="preserve">البند </w:t>
      </w:r>
      <w:r w:rsidR="007F7AB0" w:rsidRPr="00C02B5D">
        <w:rPr>
          <w:rFonts w:hint="cs"/>
          <w:sz w:val="28"/>
          <w:szCs w:val="28"/>
          <w:rtl/>
          <w:lang w:bidi="ar-EG"/>
        </w:rPr>
        <w:t>11</w:t>
      </w:r>
      <w:r w:rsidRPr="00C02B5D">
        <w:rPr>
          <w:rFonts w:hint="cs"/>
          <w:sz w:val="28"/>
          <w:szCs w:val="28"/>
          <w:rtl/>
          <w:lang w:bidi="ar-EG"/>
        </w:rPr>
        <w:t xml:space="preserve"> (</w:t>
      </w:r>
      <w:r w:rsidR="007F7AB0" w:rsidRPr="00C02B5D">
        <w:rPr>
          <w:rFonts w:hint="cs"/>
          <w:sz w:val="28"/>
          <w:szCs w:val="28"/>
          <w:rtl/>
          <w:lang w:bidi="ar-EG"/>
        </w:rPr>
        <w:t>ب</w:t>
      </w:r>
      <w:r w:rsidRPr="00C02B5D">
        <w:rPr>
          <w:rFonts w:hint="cs"/>
          <w:sz w:val="28"/>
          <w:szCs w:val="28"/>
          <w:rtl/>
          <w:lang w:bidi="ar-EG"/>
        </w:rPr>
        <w:t>)(1) من جدول الأعمال المؤقت</w:t>
      </w:r>
      <w:r w:rsidRPr="00C02B5D">
        <w:rPr>
          <w:vertAlign w:val="superscript"/>
        </w:rPr>
        <w:footnoteReference w:id="1"/>
      </w:r>
    </w:p>
    <w:p w14:paraId="55810EBC" w14:textId="77777777" w:rsidR="00783CF5" w:rsidRPr="00C02B5D" w:rsidRDefault="00783CF5" w:rsidP="00783CF5">
      <w:pPr>
        <w:bidi/>
        <w:jc w:val="left"/>
        <w:rPr>
          <w:lang w:bidi="ar-EG"/>
        </w:rPr>
      </w:pPr>
    </w:p>
    <w:p w14:paraId="1F75BA7F" w14:textId="77777777" w:rsidR="00066CE8" w:rsidRPr="006D29CD" w:rsidRDefault="00261C13" w:rsidP="007F7AB0">
      <w:pPr>
        <w:pStyle w:val="Heading5"/>
        <w:numPr>
          <w:ilvl w:val="0"/>
          <w:numId w:val="0"/>
        </w:numPr>
        <w:bidi/>
        <w:ind w:left="3600"/>
        <w:rPr>
          <w:sz w:val="28"/>
          <w:szCs w:val="28"/>
        </w:rPr>
      </w:pPr>
      <w:r w:rsidRPr="006D29CD">
        <w:rPr>
          <w:sz w:val="28"/>
          <w:szCs w:val="28"/>
        </w:rPr>
        <w:tab/>
      </w:r>
    </w:p>
    <w:p w14:paraId="7CE54DF6" w14:textId="07E59653" w:rsidR="00FA1DA7" w:rsidRPr="006D29CD" w:rsidRDefault="00FA1DA7" w:rsidP="00A17DEC">
      <w:pPr>
        <w:pStyle w:val="Title1"/>
        <w:bidi/>
        <w:rPr>
          <w:b w:val="0"/>
          <w:bCs/>
          <w:sz w:val="28"/>
          <w:szCs w:val="28"/>
          <w:rtl/>
          <w:lang w:val="en-CA" w:bidi="ar-EG"/>
        </w:rPr>
      </w:pPr>
      <w:r w:rsidRPr="006D29CD">
        <w:rPr>
          <w:rFonts w:hint="cs"/>
          <w:b w:val="0"/>
          <w:bCs/>
          <w:sz w:val="28"/>
          <w:szCs w:val="28"/>
          <w:rtl/>
          <w:lang w:val="en-CA" w:bidi="ar-EG"/>
        </w:rPr>
        <w:t xml:space="preserve">الإطار </w:t>
      </w:r>
      <w:r w:rsidR="00A17DEC" w:rsidRPr="006D29CD">
        <w:rPr>
          <w:rFonts w:hint="cs"/>
          <w:b w:val="0"/>
          <w:bCs/>
          <w:sz w:val="28"/>
          <w:szCs w:val="28"/>
          <w:rtl/>
          <w:lang w:val="en-CA" w:bidi="ar-EG"/>
        </w:rPr>
        <w:t>العملى</w:t>
      </w:r>
      <w:r w:rsidRPr="006D29CD">
        <w:rPr>
          <w:rFonts w:hint="cs"/>
          <w:b w:val="0"/>
          <w:bCs/>
          <w:sz w:val="28"/>
          <w:szCs w:val="28"/>
          <w:rtl/>
          <w:lang w:val="en-CA" w:bidi="ar-EG"/>
        </w:rPr>
        <w:t xml:space="preserve"> لتعزيز </w:t>
      </w:r>
      <w:r w:rsidR="00A17DEC" w:rsidRPr="006D29CD">
        <w:rPr>
          <w:rFonts w:hint="cs"/>
          <w:b w:val="0"/>
          <w:bCs/>
          <w:sz w:val="28"/>
          <w:szCs w:val="28"/>
          <w:rtl/>
          <w:lang w:val="en-CA" w:bidi="ar-EG"/>
        </w:rPr>
        <w:t>وضع</w:t>
      </w:r>
      <w:r w:rsidRPr="006D29CD">
        <w:rPr>
          <w:rFonts w:hint="cs"/>
          <w:b w:val="0"/>
          <w:bCs/>
          <w:sz w:val="28"/>
          <w:szCs w:val="28"/>
          <w:rtl/>
          <w:lang w:val="en-CA" w:bidi="ar-EG"/>
        </w:rPr>
        <w:t xml:space="preserve"> الجوانب المؤسسية والمشروعات والأنشطة</w:t>
      </w:r>
      <w:r w:rsidR="00711AA3" w:rsidRPr="006D29CD">
        <w:rPr>
          <w:b w:val="0"/>
          <w:bCs/>
          <w:sz w:val="28"/>
          <w:szCs w:val="28"/>
          <w:rtl/>
          <w:lang w:val="en-CA" w:bidi="ar-EG"/>
        </w:rPr>
        <w:br/>
      </w:r>
      <w:r w:rsidRPr="006D29CD">
        <w:rPr>
          <w:rFonts w:hint="cs"/>
          <w:b w:val="0"/>
          <w:bCs/>
          <w:sz w:val="28"/>
          <w:szCs w:val="28"/>
          <w:rtl/>
          <w:lang w:val="en-CA" w:bidi="ar-EG"/>
        </w:rPr>
        <w:t xml:space="preserve"> التي يمكن أن يضطلع بها الصندوق المتعدد الأطراف </w:t>
      </w:r>
      <w:r w:rsidR="00711AA3" w:rsidRPr="006D29CD">
        <w:rPr>
          <w:b w:val="0"/>
          <w:bCs/>
          <w:sz w:val="28"/>
          <w:szCs w:val="28"/>
          <w:rtl/>
          <w:lang w:val="en-CA" w:bidi="ar-EG"/>
        </w:rPr>
        <w:br/>
      </w:r>
      <w:r w:rsidR="00A17DEC" w:rsidRPr="006D29CD">
        <w:rPr>
          <w:rFonts w:hint="cs"/>
          <w:b w:val="0"/>
          <w:bCs/>
          <w:sz w:val="28"/>
          <w:szCs w:val="28"/>
          <w:rtl/>
          <w:lang w:val="en-CA" w:bidi="ar-EG"/>
        </w:rPr>
        <w:t>لحفظ</w:t>
      </w:r>
      <w:r w:rsidRPr="006D29CD">
        <w:rPr>
          <w:rFonts w:hint="cs"/>
          <w:b w:val="0"/>
          <w:bCs/>
          <w:sz w:val="28"/>
          <w:szCs w:val="28"/>
          <w:rtl/>
          <w:lang w:val="en-CA" w:bidi="ar-EG"/>
        </w:rPr>
        <w:t xml:space="preserve"> أو تعزيز كفاءة استخدام الطاقة الخاصة بالتكنولوجيات والمعدات البديلة </w:t>
      </w:r>
      <w:r w:rsidR="00711AA3" w:rsidRPr="006D29CD">
        <w:rPr>
          <w:b w:val="0"/>
          <w:bCs/>
          <w:sz w:val="28"/>
          <w:szCs w:val="28"/>
          <w:rtl/>
          <w:lang w:val="en-CA" w:bidi="ar-EG"/>
        </w:rPr>
        <w:br/>
      </w:r>
      <w:r w:rsidRPr="006D29CD">
        <w:rPr>
          <w:rFonts w:hint="cs"/>
          <w:b w:val="0"/>
          <w:bCs/>
          <w:sz w:val="28"/>
          <w:szCs w:val="28"/>
          <w:rtl/>
          <w:lang w:val="en-CA" w:bidi="ar-EG"/>
        </w:rPr>
        <w:t>في قطاعات التصنيع والخدمة في سياق خفض المواد الهيدروفلوروكربونية</w:t>
      </w:r>
    </w:p>
    <w:p w14:paraId="6908614B" w14:textId="77777777" w:rsidR="00A3533D" w:rsidRPr="006D29CD" w:rsidRDefault="00A3533D" w:rsidP="007F7AB0">
      <w:pPr>
        <w:widowControl w:val="0"/>
        <w:tabs>
          <w:tab w:val="num" w:pos="0"/>
        </w:tabs>
        <w:bidi/>
        <w:spacing w:after="240"/>
        <w:jc w:val="center"/>
        <w:outlineLvl w:val="0"/>
        <w:rPr>
          <w:b/>
          <w:bCs/>
          <w:sz w:val="28"/>
          <w:szCs w:val="28"/>
          <w:rtl/>
          <w:lang w:bidi="ar-EG"/>
        </w:rPr>
      </w:pPr>
    </w:p>
    <w:p w14:paraId="4B593DEB" w14:textId="5909F9F7" w:rsidR="006D4A7F" w:rsidRPr="006D29CD" w:rsidRDefault="00711AA3" w:rsidP="007F7AB0">
      <w:pPr>
        <w:pStyle w:val="Heading1"/>
        <w:numPr>
          <w:ilvl w:val="0"/>
          <w:numId w:val="0"/>
        </w:numPr>
        <w:tabs>
          <w:tab w:val="left" w:pos="720"/>
          <w:tab w:val="center" w:pos="4680"/>
          <w:tab w:val="left" w:pos="5084"/>
        </w:tabs>
        <w:bidi/>
        <w:rPr>
          <w:sz w:val="26"/>
          <w:szCs w:val="26"/>
        </w:rPr>
      </w:pPr>
      <w:r w:rsidRPr="006D29CD">
        <w:rPr>
          <w:rFonts w:hint="cs"/>
          <w:sz w:val="26"/>
          <w:szCs w:val="26"/>
          <w:rtl/>
        </w:rPr>
        <w:t>تتألف الوثيقة من:</w:t>
      </w:r>
    </w:p>
    <w:p w14:paraId="6EC769A5" w14:textId="0711873F" w:rsidR="00711AA3" w:rsidRPr="006D29CD" w:rsidRDefault="00711AA3" w:rsidP="007F7AB0">
      <w:pPr>
        <w:pStyle w:val="ListParagraph"/>
        <w:numPr>
          <w:ilvl w:val="0"/>
          <w:numId w:val="23"/>
        </w:numPr>
        <w:bidi/>
        <w:spacing w:after="0" w:line="240" w:lineRule="auto"/>
        <w:ind w:hanging="720"/>
        <w:jc w:val="both"/>
        <w:rPr>
          <w:rFonts w:ascii="Times New Roman" w:hAnsi="Times New Roman" w:cs="Times New Roman"/>
          <w:sz w:val="26"/>
          <w:szCs w:val="26"/>
        </w:rPr>
      </w:pPr>
      <w:r w:rsidRPr="006D29CD">
        <w:rPr>
          <w:rFonts w:ascii="Times New Roman" w:hAnsi="Times New Roman" w:cs="Times New Roman" w:hint="cs"/>
          <w:sz w:val="26"/>
          <w:szCs w:val="26"/>
          <w:rtl/>
        </w:rPr>
        <w:t>مذكرة من الأمانة تشير الى المناقشات التي جرت خلال الاجتماع الحادي والتسعين للجنة التنفيذية.</w:t>
      </w:r>
    </w:p>
    <w:p w14:paraId="2CF4323D" w14:textId="77777777" w:rsidR="006D4A7F" w:rsidRPr="006D29CD" w:rsidRDefault="006D4A7F" w:rsidP="007F7AB0">
      <w:pPr>
        <w:pStyle w:val="ListParagraph"/>
        <w:bidi/>
        <w:ind w:hanging="720"/>
        <w:rPr>
          <w:rFonts w:ascii="Times New Roman" w:hAnsi="Times New Roman" w:cs="Times New Roman"/>
          <w:sz w:val="26"/>
          <w:szCs w:val="26"/>
          <w:rtl/>
          <w:lang w:bidi="ar-EG"/>
        </w:rPr>
      </w:pPr>
    </w:p>
    <w:p w14:paraId="467E3847" w14:textId="7AA413F8" w:rsidR="00711AA3" w:rsidRPr="006D29CD" w:rsidRDefault="00711AA3" w:rsidP="00A17DEC">
      <w:pPr>
        <w:pStyle w:val="ListParagraph"/>
        <w:numPr>
          <w:ilvl w:val="0"/>
          <w:numId w:val="23"/>
        </w:numPr>
        <w:bidi/>
        <w:spacing w:after="0" w:line="240" w:lineRule="auto"/>
        <w:ind w:hanging="720"/>
        <w:jc w:val="both"/>
        <w:rPr>
          <w:rFonts w:ascii="Times New Roman" w:hAnsi="Times New Roman" w:cs="Times New Roman"/>
          <w:sz w:val="26"/>
          <w:szCs w:val="26"/>
        </w:rPr>
      </w:pPr>
      <w:r w:rsidRPr="006D29CD">
        <w:rPr>
          <w:rFonts w:ascii="Times New Roman" w:hAnsi="Times New Roman" w:cs="Times New Roman" w:hint="cs"/>
          <w:sz w:val="26"/>
          <w:szCs w:val="26"/>
          <w:rtl/>
          <w:lang w:bidi="ar-EG"/>
        </w:rPr>
        <w:t xml:space="preserve">مرفق بشأن النص العملي الذي </w:t>
      </w:r>
      <w:r w:rsidR="00A17DEC" w:rsidRPr="006D29CD">
        <w:rPr>
          <w:rFonts w:ascii="Times New Roman" w:hAnsi="Times New Roman" w:cs="Times New Roman" w:hint="cs"/>
          <w:sz w:val="26"/>
          <w:szCs w:val="26"/>
          <w:rtl/>
          <w:lang w:bidi="ar-EG"/>
        </w:rPr>
        <w:t>قدمته</w:t>
      </w:r>
      <w:r w:rsidRPr="006D29CD">
        <w:rPr>
          <w:rFonts w:ascii="Times New Roman" w:hAnsi="Times New Roman" w:cs="Times New Roman" w:hint="cs"/>
          <w:sz w:val="26"/>
          <w:szCs w:val="26"/>
          <w:rtl/>
          <w:lang w:bidi="ar-EG"/>
        </w:rPr>
        <w:t xml:space="preserve"> خلال الاجتماع الحادي والتسعين </w:t>
      </w:r>
      <w:r w:rsidR="00A17DEC" w:rsidRPr="006D29CD">
        <w:rPr>
          <w:rFonts w:ascii="Times New Roman" w:hAnsi="Times New Roman" w:cs="Times New Roman" w:hint="cs"/>
          <w:sz w:val="26"/>
          <w:szCs w:val="26"/>
          <w:rtl/>
          <w:lang w:bidi="ar-EG"/>
        </w:rPr>
        <w:t>ح</w:t>
      </w:r>
      <w:r w:rsidRPr="006D29CD">
        <w:rPr>
          <w:rFonts w:ascii="Times New Roman" w:hAnsi="Times New Roman" w:cs="Times New Roman" w:hint="cs"/>
          <w:sz w:val="26"/>
          <w:szCs w:val="26"/>
          <w:rtl/>
          <w:lang w:bidi="ar-EG"/>
        </w:rPr>
        <w:t>كومت</w:t>
      </w:r>
      <w:r w:rsidR="00A17DEC" w:rsidRPr="006D29CD">
        <w:rPr>
          <w:rFonts w:ascii="Times New Roman" w:hAnsi="Times New Roman" w:cs="Times New Roman" w:hint="cs"/>
          <w:sz w:val="26"/>
          <w:szCs w:val="26"/>
          <w:rtl/>
          <w:lang w:bidi="ar-EG"/>
        </w:rPr>
        <w:t>ا</w:t>
      </w:r>
      <w:r w:rsidRPr="006D29CD">
        <w:rPr>
          <w:rFonts w:ascii="Times New Roman" w:hAnsi="Times New Roman" w:cs="Times New Roman" w:hint="cs"/>
          <w:sz w:val="26"/>
          <w:szCs w:val="26"/>
          <w:rtl/>
          <w:lang w:bidi="ar-EG"/>
        </w:rPr>
        <w:t xml:space="preserve"> البرازيل والهند.</w:t>
      </w:r>
      <w:r w:rsidRPr="006D29CD">
        <w:rPr>
          <w:rStyle w:val="FootnoteReference"/>
          <w:rFonts w:ascii="Times New Roman" w:hAnsi="Times New Roman" w:cs="Times New Roman"/>
          <w:sz w:val="26"/>
          <w:szCs w:val="26"/>
        </w:rPr>
        <w:t xml:space="preserve"> </w:t>
      </w:r>
      <w:r w:rsidRPr="006D29CD">
        <w:rPr>
          <w:rStyle w:val="FootnoteReference"/>
          <w:rFonts w:ascii="Times New Roman" w:hAnsi="Times New Roman" w:cs="Times New Roman"/>
          <w:sz w:val="26"/>
          <w:szCs w:val="26"/>
        </w:rPr>
        <w:footnoteReference w:id="2"/>
      </w:r>
    </w:p>
    <w:p w14:paraId="6FA6E086" w14:textId="77777777" w:rsidR="004121AE" w:rsidRPr="006D29CD" w:rsidRDefault="004121AE" w:rsidP="007F7AB0">
      <w:pPr>
        <w:pStyle w:val="ListParagraph"/>
        <w:bidi/>
        <w:rPr>
          <w:rFonts w:ascii="Times New Roman" w:hAnsi="Times New Roman" w:cs="Times New Roman"/>
          <w:sz w:val="26"/>
          <w:szCs w:val="26"/>
          <w:rtl/>
          <w:lang w:bidi="ar-EG"/>
        </w:rPr>
      </w:pPr>
    </w:p>
    <w:p w14:paraId="2C63A43A" w14:textId="78871DBC" w:rsidR="00711AA3" w:rsidRPr="006D29CD" w:rsidRDefault="00711AA3" w:rsidP="00A17DEC">
      <w:pPr>
        <w:pStyle w:val="ListParagraph"/>
        <w:numPr>
          <w:ilvl w:val="0"/>
          <w:numId w:val="23"/>
        </w:numPr>
        <w:bidi/>
        <w:spacing w:after="0" w:line="240" w:lineRule="auto"/>
        <w:ind w:hanging="720"/>
        <w:jc w:val="both"/>
        <w:rPr>
          <w:rFonts w:ascii="Times New Roman" w:hAnsi="Times New Roman" w:cs="Times New Roman"/>
          <w:sz w:val="26"/>
          <w:szCs w:val="26"/>
        </w:rPr>
      </w:pPr>
      <w:r w:rsidRPr="006D29CD">
        <w:rPr>
          <w:rFonts w:ascii="Times New Roman" w:hAnsi="Times New Roman" w:cs="Times New Roman" w:hint="cs"/>
          <w:sz w:val="26"/>
          <w:szCs w:val="26"/>
          <w:rtl/>
          <w:lang w:bidi="ar-EG"/>
        </w:rPr>
        <w:t xml:space="preserve">الوثيقة المتعلقة بالإطار </w:t>
      </w:r>
      <w:r w:rsidR="00A17DEC" w:rsidRPr="006D29CD">
        <w:rPr>
          <w:rFonts w:ascii="Times New Roman" w:hAnsi="Times New Roman" w:cs="Times New Roman" w:hint="cs"/>
          <w:sz w:val="26"/>
          <w:szCs w:val="26"/>
          <w:rtl/>
          <w:lang w:bidi="ar-EG"/>
        </w:rPr>
        <w:t>العملى</w:t>
      </w:r>
      <w:r w:rsidRPr="006D29CD">
        <w:rPr>
          <w:rFonts w:ascii="Times New Roman" w:hAnsi="Times New Roman" w:cs="Times New Roman" w:hint="cs"/>
          <w:sz w:val="26"/>
          <w:szCs w:val="26"/>
          <w:rtl/>
          <w:lang w:bidi="ar-EG"/>
        </w:rPr>
        <w:t xml:space="preserve"> لتعزيز </w:t>
      </w:r>
      <w:r w:rsidR="00A17DEC" w:rsidRPr="006D29CD">
        <w:rPr>
          <w:rFonts w:ascii="Times New Roman" w:hAnsi="Times New Roman" w:cs="Times New Roman" w:hint="cs"/>
          <w:sz w:val="26"/>
          <w:szCs w:val="26"/>
          <w:rtl/>
          <w:lang w:bidi="ar-EG"/>
        </w:rPr>
        <w:t>وضع</w:t>
      </w:r>
      <w:r w:rsidRPr="006D29CD">
        <w:rPr>
          <w:rFonts w:ascii="Times New Roman" w:hAnsi="Times New Roman" w:cs="Times New Roman" w:hint="cs"/>
          <w:sz w:val="26"/>
          <w:szCs w:val="26"/>
          <w:rtl/>
          <w:lang w:bidi="ar-EG"/>
        </w:rPr>
        <w:t xml:space="preserve"> الجوانب المؤ</w:t>
      </w:r>
      <w:r w:rsidR="009C7C7E" w:rsidRPr="006D29CD">
        <w:rPr>
          <w:rFonts w:ascii="Times New Roman" w:hAnsi="Times New Roman" w:cs="Times New Roman" w:hint="cs"/>
          <w:sz w:val="26"/>
          <w:szCs w:val="26"/>
          <w:rtl/>
          <w:lang w:bidi="ar-EG"/>
        </w:rPr>
        <w:t xml:space="preserve">سسية والمشروعات والأنشطة التي يضطلع بها الصندوق المتعدد الأطراف </w:t>
      </w:r>
      <w:r w:rsidR="00A17DEC" w:rsidRPr="006D29CD">
        <w:rPr>
          <w:rFonts w:ascii="Times New Roman" w:hAnsi="Times New Roman" w:cs="Times New Roman" w:hint="cs"/>
          <w:sz w:val="26"/>
          <w:szCs w:val="26"/>
          <w:rtl/>
          <w:lang w:bidi="ar-EG"/>
        </w:rPr>
        <w:t>لحفظ</w:t>
      </w:r>
      <w:r w:rsidR="009C7C7E" w:rsidRPr="006D29CD">
        <w:rPr>
          <w:rFonts w:ascii="Times New Roman" w:hAnsi="Times New Roman" w:cs="Times New Roman" w:hint="cs"/>
          <w:sz w:val="26"/>
          <w:szCs w:val="26"/>
          <w:rtl/>
          <w:lang w:bidi="ar-EG"/>
        </w:rPr>
        <w:t xml:space="preserve"> أو تعزيز</w:t>
      </w:r>
      <w:r w:rsidR="00A17DEC" w:rsidRPr="006D29CD">
        <w:rPr>
          <w:rFonts w:ascii="Times New Roman" w:hAnsi="Times New Roman" w:cs="Times New Roman" w:hint="cs"/>
          <w:sz w:val="26"/>
          <w:szCs w:val="26"/>
          <w:rtl/>
          <w:lang w:bidi="ar-EG"/>
        </w:rPr>
        <w:t xml:space="preserve"> كفاءة إستخدام الطاقة</w:t>
      </w:r>
      <w:r w:rsidR="009C7C7E" w:rsidRPr="006D29CD">
        <w:rPr>
          <w:rFonts w:ascii="Times New Roman" w:hAnsi="Times New Roman" w:cs="Times New Roman" w:hint="cs"/>
          <w:sz w:val="26"/>
          <w:szCs w:val="26"/>
          <w:rtl/>
          <w:lang w:bidi="ar-EG"/>
        </w:rPr>
        <w:t xml:space="preserve"> </w:t>
      </w:r>
      <w:r w:rsidR="00A17DEC" w:rsidRPr="006D29CD">
        <w:rPr>
          <w:rFonts w:ascii="Times New Roman" w:hAnsi="Times New Roman" w:cs="Times New Roman" w:hint="cs"/>
          <w:sz w:val="26"/>
          <w:szCs w:val="26"/>
          <w:rtl/>
          <w:lang w:bidi="ar-EG"/>
        </w:rPr>
        <w:t xml:space="preserve"> فى </w:t>
      </w:r>
      <w:r w:rsidR="009C7C7E" w:rsidRPr="006D29CD">
        <w:rPr>
          <w:rFonts w:ascii="Times New Roman" w:hAnsi="Times New Roman" w:cs="Times New Roman" w:hint="cs"/>
          <w:sz w:val="26"/>
          <w:szCs w:val="26"/>
          <w:rtl/>
          <w:lang w:bidi="ar-EG"/>
        </w:rPr>
        <w:t>التكنولوجيات والمعدات البديلة في قطاعات التصنيع والخدمة في سياق خفض المواد الهيدروفلوروكربونية</w:t>
      </w:r>
      <w:r w:rsidR="009C7C7E" w:rsidRPr="006D29CD">
        <w:rPr>
          <w:rFonts w:ascii="Times New Roman" w:hAnsi="Times New Roman" w:cs="Times New Roman" w:hint="cs"/>
          <w:sz w:val="26"/>
          <w:szCs w:val="26"/>
          <w:rtl/>
        </w:rPr>
        <w:t xml:space="preserve"> في الفئات الواردة في الوثيقة </w:t>
      </w:r>
      <w:r w:rsidR="009C7C7E" w:rsidRPr="006D29CD">
        <w:rPr>
          <w:rFonts w:ascii="Times New Roman" w:hAnsi="Times New Roman" w:cs="Times New Roman"/>
          <w:sz w:val="26"/>
          <w:szCs w:val="26"/>
          <w:lang w:val="en-GB"/>
        </w:rPr>
        <w:t>UNEP/</w:t>
      </w:r>
      <w:proofErr w:type="spellStart"/>
      <w:r w:rsidR="009C7C7E" w:rsidRPr="006D29CD">
        <w:rPr>
          <w:rFonts w:ascii="Times New Roman" w:hAnsi="Times New Roman" w:cs="Times New Roman"/>
          <w:sz w:val="26"/>
          <w:szCs w:val="26"/>
          <w:lang w:val="en-GB"/>
        </w:rPr>
        <w:t>OzL.Pro</w:t>
      </w:r>
      <w:proofErr w:type="spellEnd"/>
      <w:r w:rsidR="009C7C7E" w:rsidRPr="006D29CD">
        <w:rPr>
          <w:rFonts w:ascii="Times New Roman" w:hAnsi="Times New Roman" w:cs="Times New Roman"/>
          <w:sz w:val="26"/>
          <w:szCs w:val="26"/>
          <w:lang w:val="en-GB"/>
        </w:rPr>
        <w:t>/ExCom/89/12</w:t>
      </w:r>
      <w:r w:rsidR="009C7C7E" w:rsidRPr="006D29CD">
        <w:rPr>
          <w:rFonts w:ascii="Times New Roman" w:hAnsi="Times New Roman" w:cs="Times New Roman" w:hint="cs"/>
          <w:sz w:val="26"/>
          <w:szCs w:val="26"/>
          <w:rtl/>
        </w:rPr>
        <w:t xml:space="preserve"> في سياق تنفيذ </w:t>
      </w:r>
      <w:r w:rsidR="00A17DEC" w:rsidRPr="006D29CD">
        <w:rPr>
          <w:rFonts w:ascii="Times New Roman" w:hAnsi="Times New Roman" w:cs="Times New Roman" w:hint="cs"/>
          <w:sz w:val="26"/>
          <w:szCs w:val="26"/>
          <w:rtl/>
        </w:rPr>
        <w:t>الخيارين</w:t>
      </w:r>
      <w:r w:rsidR="009C7C7E" w:rsidRPr="006D29CD">
        <w:rPr>
          <w:rFonts w:ascii="Times New Roman" w:hAnsi="Times New Roman" w:cs="Times New Roman" w:hint="cs"/>
          <w:sz w:val="26"/>
          <w:szCs w:val="26"/>
          <w:rtl/>
        </w:rPr>
        <w:t xml:space="preserve"> 1 و2 في الجدول 3 من الوثيقة (</w:t>
      </w:r>
      <w:r w:rsidR="009C7C7E" w:rsidRPr="006D29CD">
        <w:rPr>
          <w:rFonts w:ascii="Times New Roman" w:hAnsi="Times New Roman" w:cs="Times New Roman"/>
          <w:sz w:val="26"/>
          <w:szCs w:val="26"/>
        </w:rPr>
        <w:t>UNEP/</w:t>
      </w:r>
      <w:proofErr w:type="spellStart"/>
      <w:r w:rsidR="009C7C7E" w:rsidRPr="006D29CD">
        <w:rPr>
          <w:rFonts w:ascii="Times New Roman" w:hAnsi="Times New Roman" w:cs="Times New Roman"/>
          <w:sz w:val="26"/>
          <w:szCs w:val="26"/>
        </w:rPr>
        <w:t>OzL.Pro</w:t>
      </w:r>
      <w:proofErr w:type="spellEnd"/>
      <w:r w:rsidR="009C7C7E" w:rsidRPr="006D29CD">
        <w:rPr>
          <w:rFonts w:ascii="Times New Roman" w:hAnsi="Times New Roman" w:cs="Times New Roman"/>
          <w:sz w:val="26"/>
          <w:szCs w:val="26"/>
        </w:rPr>
        <w:t>/ExCom/91/64</w:t>
      </w:r>
      <w:r w:rsidR="009C7C7E" w:rsidRPr="006D29CD">
        <w:rPr>
          <w:rFonts w:ascii="Times New Roman" w:hAnsi="Times New Roman" w:cs="Times New Roman" w:hint="cs"/>
          <w:sz w:val="26"/>
          <w:szCs w:val="26"/>
          <w:rtl/>
        </w:rPr>
        <w:t>).</w:t>
      </w:r>
    </w:p>
    <w:p w14:paraId="5ABC31D5" w14:textId="77777777" w:rsidR="006D4A7F" w:rsidRPr="006D29CD" w:rsidRDefault="006D4A7F" w:rsidP="007F7AB0">
      <w:pPr>
        <w:widowControl w:val="0"/>
        <w:tabs>
          <w:tab w:val="num" w:pos="0"/>
        </w:tabs>
        <w:bidi/>
        <w:spacing w:after="240"/>
        <w:jc w:val="center"/>
        <w:outlineLvl w:val="0"/>
        <w:rPr>
          <w:b/>
          <w:bCs/>
          <w:sz w:val="26"/>
          <w:szCs w:val="26"/>
          <w:rtl/>
        </w:rPr>
      </w:pPr>
    </w:p>
    <w:p w14:paraId="0189749C" w14:textId="018E167A" w:rsidR="00A3533D" w:rsidRPr="006D29CD" w:rsidRDefault="009C7C7E" w:rsidP="007F7AB0">
      <w:pPr>
        <w:widowControl w:val="0"/>
        <w:tabs>
          <w:tab w:val="num" w:pos="0"/>
        </w:tabs>
        <w:bidi/>
        <w:spacing w:after="240"/>
        <w:jc w:val="center"/>
        <w:outlineLvl w:val="0"/>
        <w:rPr>
          <w:b/>
          <w:bCs/>
          <w:sz w:val="26"/>
          <w:szCs w:val="26"/>
        </w:rPr>
      </w:pPr>
      <w:r w:rsidRPr="006D29CD">
        <w:rPr>
          <w:rFonts w:hint="cs"/>
          <w:b/>
          <w:bCs/>
          <w:sz w:val="26"/>
          <w:szCs w:val="26"/>
          <w:rtl/>
        </w:rPr>
        <w:lastRenderedPageBreak/>
        <w:t>مذكرة من الأمانة</w:t>
      </w:r>
    </w:p>
    <w:p w14:paraId="54C8A36B" w14:textId="3CFF2E7E" w:rsidR="007145EA" w:rsidRPr="006D29CD" w:rsidRDefault="00E30743" w:rsidP="007F7AB0">
      <w:pPr>
        <w:widowControl w:val="0"/>
        <w:tabs>
          <w:tab w:val="num" w:pos="0"/>
        </w:tabs>
        <w:bidi/>
        <w:spacing w:after="240"/>
        <w:outlineLvl w:val="0"/>
        <w:rPr>
          <w:b/>
          <w:bCs/>
          <w:sz w:val="26"/>
          <w:szCs w:val="26"/>
          <w:rtl/>
          <w:lang w:bidi="ar-EG"/>
        </w:rPr>
      </w:pPr>
      <w:r w:rsidRPr="006D29CD">
        <w:rPr>
          <w:rFonts w:hint="cs"/>
          <w:b/>
          <w:bCs/>
          <w:sz w:val="26"/>
          <w:szCs w:val="26"/>
          <w:rtl/>
        </w:rPr>
        <w:t>مقدمة</w:t>
      </w:r>
    </w:p>
    <w:p w14:paraId="43010184" w14:textId="564B271F" w:rsidR="009C7C7E" w:rsidRPr="006D29CD" w:rsidRDefault="009C7C7E" w:rsidP="00985609">
      <w:pPr>
        <w:pStyle w:val="Heading1"/>
        <w:numPr>
          <w:ilvl w:val="0"/>
          <w:numId w:val="24"/>
        </w:numPr>
        <w:bidi/>
        <w:rPr>
          <w:sz w:val="26"/>
          <w:szCs w:val="26"/>
          <w:lang w:val="en-GB"/>
        </w:rPr>
      </w:pPr>
      <w:r w:rsidRPr="006D29CD">
        <w:rPr>
          <w:rFonts w:hint="cs"/>
          <w:sz w:val="26"/>
          <w:szCs w:val="26"/>
          <w:rtl/>
          <w:lang w:val="en-GB"/>
        </w:rPr>
        <w:t xml:space="preserve">طلبت اللجنة التنفيذية خلال الاجتماع التسعين، </w:t>
      </w:r>
      <w:r w:rsidRPr="006D29CD">
        <w:rPr>
          <w:rFonts w:hint="cs"/>
          <w:i/>
          <w:iCs/>
          <w:sz w:val="26"/>
          <w:szCs w:val="26"/>
          <w:rtl/>
          <w:lang w:val="en-GB"/>
        </w:rPr>
        <w:t>ضمن جملة أمور</w:t>
      </w:r>
      <w:r w:rsidRPr="006D29CD">
        <w:rPr>
          <w:rFonts w:hint="cs"/>
          <w:sz w:val="26"/>
          <w:szCs w:val="26"/>
          <w:rtl/>
          <w:lang w:val="en-GB"/>
        </w:rPr>
        <w:t xml:space="preserve"> من الأمانة أن تعد للنظر من جانبها خلال الاجتماع الحادي والتسعين، إطارا </w:t>
      </w:r>
      <w:r w:rsidR="00985609" w:rsidRPr="006D29CD">
        <w:rPr>
          <w:rFonts w:hint="cs"/>
          <w:sz w:val="26"/>
          <w:szCs w:val="26"/>
          <w:rtl/>
          <w:lang w:val="en-GB"/>
        </w:rPr>
        <w:t>عمليا</w:t>
      </w:r>
      <w:r w:rsidRPr="006D29CD">
        <w:rPr>
          <w:rFonts w:hint="cs"/>
          <w:sz w:val="26"/>
          <w:szCs w:val="26"/>
          <w:rtl/>
          <w:lang w:val="en-GB"/>
        </w:rPr>
        <w:t xml:space="preserve"> لتعزيز التفاصيل الخاصة بالجوانب المؤسسية والمشروعات والأنشطة التي يمكن أن يضطلع بها الصندوق المتعدد الأطراف </w:t>
      </w:r>
      <w:r w:rsidR="00985609" w:rsidRPr="006D29CD">
        <w:rPr>
          <w:rFonts w:hint="cs"/>
          <w:sz w:val="26"/>
          <w:szCs w:val="26"/>
          <w:rtl/>
          <w:lang w:val="en-GB"/>
        </w:rPr>
        <w:t>لحفظ</w:t>
      </w:r>
      <w:r w:rsidRPr="006D29CD">
        <w:rPr>
          <w:rFonts w:hint="cs"/>
          <w:sz w:val="26"/>
          <w:szCs w:val="26"/>
          <w:rtl/>
          <w:lang w:val="en-GB"/>
        </w:rPr>
        <w:t xml:space="preserve"> أو تعزيز كفاءة استخدام الطاقة في التكنولوجيات والمعدات البديلة في قطاعات التصنيع والخدمة في سياق خفض المواد الهيدروفلوروكربونية في الفئات الواردة في الوثيقة</w:t>
      </w:r>
      <w:r w:rsidR="00F33A60" w:rsidRPr="006D29CD">
        <w:rPr>
          <w:rFonts w:hint="cs"/>
          <w:sz w:val="26"/>
          <w:szCs w:val="26"/>
          <w:rtl/>
          <w:lang w:val="en-GB"/>
        </w:rPr>
        <w:t xml:space="preserve"> </w:t>
      </w:r>
      <w:r w:rsidR="00F33A60" w:rsidRPr="006D29CD">
        <w:rPr>
          <w:sz w:val="26"/>
          <w:szCs w:val="26"/>
          <w:lang w:val="en-GB"/>
        </w:rPr>
        <w:t>UNEP/</w:t>
      </w:r>
      <w:proofErr w:type="spellStart"/>
      <w:r w:rsidR="00F33A60" w:rsidRPr="006D29CD">
        <w:rPr>
          <w:sz w:val="26"/>
          <w:szCs w:val="26"/>
          <w:lang w:val="en-GB"/>
        </w:rPr>
        <w:t>OzL.Pro</w:t>
      </w:r>
      <w:proofErr w:type="spellEnd"/>
      <w:r w:rsidR="00F33A60" w:rsidRPr="006D29CD">
        <w:rPr>
          <w:sz w:val="26"/>
          <w:szCs w:val="26"/>
          <w:lang w:val="en-GB"/>
        </w:rPr>
        <w:t>/ExCom/89/12</w:t>
      </w:r>
      <w:r w:rsidRPr="006D29CD">
        <w:rPr>
          <w:rFonts w:hint="cs"/>
          <w:sz w:val="26"/>
          <w:szCs w:val="26"/>
          <w:rtl/>
          <w:lang w:val="en-GB"/>
        </w:rPr>
        <w:t xml:space="preserve"> </w:t>
      </w:r>
      <w:r w:rsidR="00F33A60" w:rsidRPr="006D29CD">
        <w:rPr>
          <w:rFonts w:hint="cs"/>
          <w:sz w:val="26"/>
          <w:szCs w:val="26"/>
          <w:rtl/>
          <w:lang w:val="en-GB"/>
        </w:rPr>
        <w:t>خلال تنفيذ الخيارين 1 و2 من الجدول 3 من الوثيقة مع مراعاة التعليقات التي أبدتها اللجنة التنفيذية خلال الاجتماعين التاسع والثمانين والتسعين (المقرر 90/50(ب)(2)).</w:t>
      </w:r>
    </w:p>
    <w:p w14:paraId="6B2A7DB8" w14:textId="0FD0B1E2" w:rsidR="00DB70AA" w:rsidRPr="006D29CD" w:rsidRDefault="00DB70AA" w:rsidP="007F7AB0">
      <w:pPr>
        <w:pStyle w:val="Heading1"/>
        <w:bidi/>
        <w:rPr>
          <w:sz w:val="26"/>
          <w:szCs w:val="26"/>
          <w:lang w:val="en-GB"/>
        </w:rPr>
      </w:pPr>
      <w:r w:rsidRPr="006D29CD">
        <w:rPr>
          <w:rFonts w:hint="cs"/>
          <w:sz w:val="26"/>
          <w:szCs w:val="26"/>
          <w:rtl/>
          <w:lang w:val="en-GB"/>
        </w:rPr>
        <w:t xml:space="preserve">وإعمالا للمقرر 90/50(ب)(2)، قدمت الأمانة الوثيقة </w:t>
      </w:r>
      <w:r w:rsidRPr="006D29CD">
        <w:rPr>
          <w:sz w:val="26"/>
          <w:szCs w:val="26"/>
          <w:lang w:val="en-GB"/>
        </w:rPr>
        <w:t>UNEP/</w:t>
      </w:r>
      <w:proofErr w:type="spellStart"/>
      <w:r w:rsidRPr="006D29CD">
        <w:rPr>
          <w:sz w:val="26"/>
          <w:szCs w:val="26"/>
          <w:lang w:val="en-GB"/>
        </w:rPr>
        <w:t>OzL.Pro</w:t>
      </w:r>
      <w:proofErr w:type="spellEnd"/>
      <w:r w:rsidRPr="006D29CD">
        <w:rPr>
          <w:sz w:val="26"/>
          <w:szCs w:val="26"/>
          <w:lang w:val="en-GB"/>
        </w:rPr>
        <w:t>/ExCom/91/64</w:t>
      </w:r>
      <w:r w:rsidRPr="006D29CD">
        <w:rPr>
          <w:rFonts w:hint="cs"/>
          <w:sz w:val="26"/>
          <w:szCs w:val="26"/>
          <w:rtl/>
          <w:lang w:val="en-GB"/>
        </w:rPr>
        <w:t xml:space="preserve"> للاجتماع الحادي والتسعين وسعيا لتبسيط المراجعة، ترفق الوثيقة بهذه الوثيقة.</w:t>
      </w:r>
    </w:p>
    <w:p w14:paraId="150F1389" w14:textId="7C563B1C" w:rsidR="00A3533D" w:rsidRPr="006D29CD" w:rsidRDefault="00DB70AA" w:rsidP="007F7AB0">
      <w:pPr>
        <w:bidi/>
        <w:rPr>
          <w:b/>
          <w:bCs/>
          <w:sz w:val="26"/>
          <w:szCs w:val="26"/>
        </w:rPr>
      </w:pPr>
      <w:r w:rsidRPr="006D29CD">
        <w:rPr>
          <w:rFonts w:hint="cs"/>
          <w:b/>
          <w:bCs/>
          <w:sz w:val="26"/>
          <w:szCs w:val="26"/>
          <w:rtl/>
        </w:rPr>
        <w:t>المناقشات خلال الاجتماع الحادي والتسعين</w:t>
      </w:r>
      <w:r w:rsidR="00A3533D" w:rsidRPr="006D29CD">
        <w:rPr>
          <w:b/>
          <w:bCs/>
          <w:sz w:val="26"/>
          <w:szCs w:val="26"/>
          <w:vertAlign w:val="superscript"/>
        </w:rPr>
        <w:footnoteReference w:id="3"/>
      </w:r>
    </w:p>
    <w:p w14:paraId="7E6D28F3" w14:textId="77777777" w:rsidR="00A3533D" w:rsidRPr="006D29CD" w:rsidRDefault="00A3533D" w:rsidP="007F7AB0">
      <w:pPr>
        <w:bidi/>
        <w:rPr>
          <w:sz w:val="26"/>
          <w:szCs w:val="26"/>
        </w:rPr>
      </w:pPr>
    </w:p>
    <w:p w14:paraId="13268B6C" w14:textId="52487207" w:rsidR="00DB70AA" w:rsidRPr="006D29CD" w:rsidRDefault="00DB70AA" w:rsidP="007F7AB0">
      <w:pPr>
        <w:pStyle w:val="Heading1"/>
        <w:bidi/>
        <w:rPr>
          <w:sz w:val="26"/>
          <w:szCs w:val="26"/>
          <w:lang w:val="en-GB"/>
        </w:rPr>
      </w:pPr>
      <w:r w:rsidRPr="006D29CD">
        <w:rPr>
          <w:rFonts w:hint="cs"/>
          <w:sz w:val="26"/>
          <w:szCs w:val="26"/>
          <w:rtl/>
          <w:lang w:val="en-GB"/>
        </w:rPr>
        <w:t>وناقشت اللجنة التنفيذية مختلف الجوانب المتعلقة بالوثيقة</w:t>
      </w:r>
      <w:r w:rsidR="00F828EE" w:rsidRPr="006D29CD">
        <w:rPr>
          <w:rFonts w:hint="cs"/>
          <w:sz w:val="26"/>
          <w:szCs w:val="26"/>
          <w:rtl/>
          <w:lang w:val="en-GB"/>
        </w:rPr>
        <w:t>، وفيمايلي النقاط الرئيسية التي  نوقشت خلال الاجتماع:</w:t>
      </w:r>
    </w:p>
    <w:p w14:paraId="404B47D7" w14:textId="792F8C65" w:rsidR="00F828EE" w:rsidRPr="006D29CD" w:rsidRDefault="00F828EE" w:rsidP="00345836">
      <w:pPr>
        <w:pStyle w:val="Heading2"/>
        <w:numPr>
          <w:ilvl w:val="0"/>
          <w:numId w:val="25"/>
        </w:numPr>
        <w:bidi/>
        <w:ind w:hanging="720"/>
        <w:rPr>
          <w:sz w:val="26"/>
          <w:szCs w:val="26"/>
          <w:lang w:val="en-GB"/>
        </w:rPr>
      </w:pPr>
      <w:r w:rsidRPr="006D29CD">
        <w:rPr>
          <w:rFonts w:hint="cs"/>
          <w:sz w:val="26"/>
          <w:szCs w:val="26"/>
          <w:rtl/>
          <w:lang w:val="en-GB"/>
        </w:rPr>
        <w:t>قال العديد من الأعضاء أن الأمر يحتاج الى مزيد من النقاش بشأن نماذج التمويل لمشروعات كفاءة استخدام الطاقة بالنظر الى أن التكاليف الإضافية الواردة في المادة 10 من البروتوكول لا تنطبق.</w:t>
      </w:r>
    </w:p>
    <w:p w14:paraId="3029F036" w14:textId="410F8BC3" w:rsidR="00F828EE" w:rsidRPr="006D29CD" w:rsidRDefault="00F828EE" w:rsidP="00985609">
      <w:pPr>
        <w:pStyle w:val="Heading2"/>
        <w:numPr>
          <w:ilvl w:val="0"/>
          <w:numId w:val="25"/>
        </w:numPr>
        <w:bidi/>
        <w:ind w:hanging="720"/>
        <w:rPr>
          <w:sz w:val="26"/>
          <w:szCs w:val="26"/>
          <w:lang w:val="en-GB"/>
        </w:rPr>
      </w:pPr>
      <w:r w:rsidRPr="006D29CD">
        <w:rPr>
          <w:rFonts w:hint="cs"/>
          <w:sz w:val="26"/>
          <w:szCs w:val="26"/>
          <w:rtl/>
          <w:lang w:val="en-GB"/>
        </w:rPr>
        <w:t xml:space="preserve">وأشار أحد الأعضاء الى أن هناك العديد من المزايا لمعالجة مسألة التمويل لمشروعات كفاءة استخدام الطاقة في إطار الصندوق المتعدد الأطراف. فعلى سبيل المثال فإن ذلك يتيح الاعتماد على العمليات </w:t>
      </w:r>
      <w:r w:rsidR="0026639A" w:rsidRPr="006D29CD">
        <w:rPr>
          <w:rFonts w:hint="cs"/>
          <w:sz w:val="26"/>
          <w:szCs w:val="26"/>
          <w:rtl/>
          <w:lang w:val="en-GB"/>
        </w:rPr>
        <w:t>القائمة حيث ترشيد تدخلات الكفاءة خلال خفض المواد الهيد</w:t>
      </w:r>
      <w:r w:rsidR="009553EE" w:rsidRPr="006D29CD">
        <w:rPr>
          <w:rFonts w:hint="cs"/>
          <w:sz w:val="26"/>
          <w:szCs w:val="26"/>
          <w:rtl/>
          <w:lang w:val="en-GB"/>
        </w:rPr>
        <w:t>ر</w:t>
      </w:r>
      <w:r w:rsidR="0026639A" w:rsidRPr="006D29CD">
        <w:rPr>
          <w:rFonts w:hint="cs"/>
          <w:sz w:val="26"/>
          <w:szCs w:val="26"/>
          <w:rtl/>
          <w:lang w:val="en-GB"/>
        </w:rPr>
        <w:t xml:space="preserve">وفلوروكربونية وخفض الأعباء التي تتحملها الأمانة واللجنة التنفيذية وأي بلد من بلدان المادة 5 يرغب في </w:t>
      </w:r>
      <w:r w:rsidR="00985609" w:rsidRPr="006D29CD">
        <w:rPr>
          <w:rFonts w:hint="cs"/>
          <w:sz w:val="26"/>
          <w:szCs w:val="26"/>
          <w:rtl/>
          <w:lang w:val="en-GB"/>
        </w:rPr>
        <w:t>التمكن</w:t>
      </w:r>
      <w:r w:rsidR="0026639A" w:rsidRPr="006D29CD">
        <w:rPr>
          <w:rFonts w:hint="cs"/>
          <w:sz w:val="26"/>
          <w:szCs w:val="26"/>
          <w:rtl/>
          <w:lang w:val="en-GB"/>
        </w:rPr>
        <w:t xml:space="preserve"> من </w:t>
      </w:r>
      <w:r w:rsidR="00985609" w:rsidRPr="006D29CD">
        <w:rPr>
          <w:rFonts w:hint="cs"/>
          <w:sz w:val="26"/>
          <w:szCs w:val="26"/>
          <w:rtl/>
          <w:lang w:val="en-GB"/>
        </w:rPr>
        <w:t>تمويل</w:t>
      </w:r>
      <w:r w:rsidR="0026639A" w:rsidRPr="006D29CD">
        <w:rPr>
          <w:rFonts w:hint="cs"/>
          <w:sz w:val="26"/>
          <w:szCs w:val="26"/>
          <w:rtl/>
          <w:lang w:val="en-GB"/>
        </w:rPr>
        <w:t xml:space="preserve"> </w:t>
      </w:r>
      <w:r w:rsidR="00985609" w:rsidRPr="006D29CD">
        <w:rPr>
          <w:rFonts w:hint="cs"/>
          <w:sz w:val="26"/>
          <w:szCs w:val="26"/>
          <w:rtl/>
          <w:lang w:val="en-GB"/>
        </w:rPr>
        <w:t>الأنشطة</w:t>
      </w:r>
      <w:r w:rsidR="0026639A" w:rsidRPr="006D29CD">
        <w:rPr>
          <w:rFonts w:hint="cs"/>
          <w:sz w:val="26"/>
          <w:szCs w:val="26"/>
          <w:rtl/>
          <w:lang w:val="en-GB"/>
        </w:rPr>
        <w:t xml:space="preserve"> المتعلقة بكفاءة استخدام الطاقة. ويمكن تجنب الازدواجية إذا اتفق على أن البلدان التي تختار استخدام الموارد المالية من مؤسسات غير الصندوق المتعدد الأطراف لهذه المشروعات </w:t>
      </w:r>
      <w:r w:rsidR="00985609" w:rsidRPr="006D29CD">
        <w:rPr>
          <w:rFonts w:hint="cs"/>
          <w:sz w:val="26"/>
          <w:szCs w:val="26"/>
          <w:rtl/>
          <w:lang w:val="en-GB"/>
        </w:rPr>
        <w:t>لن</w:t>
      </w:r>
      <w:r w:rsidR="003E2118" w:rsidRPr="006D29CD">
        <w:rPr>
          <w:rFonts w:hint="cs"/>
          <w:sz w:val="26"/>
          <w:szCs w:val="26"/>
          <w:rtl/>
          <w:lang w:val="en-GB"/>
        </w:rPr>
        <w:t xml:space="preserve"> </w:t>
      </w:r>
      <w:r w:rsidR="0026639A" w:rsidRPr="006D29CD">
        <w:rPr>
          <w:rFonts w:hint="cs"/>
          <w:sz w:val="26"/>
          <w:szCs w:val="26"/>
          <w:rtl/>
          <w:lang w:val="en-GB"/>
        </w:rPr>
        <w:t>تطلب التمويل من الصندوق ذاته.</w:t>
      </w:r>
    </w:p>
    <w:p w14:paraId="69C49328" w14:textId="354EE05D" w:rsidR="0026639A" w:rsidRPr="006D29CD" w:rsidRDefault="0026639A" w:rsidP="00A81429">
      <w:pPr>
        <w:pStyle w:val="Heading2"/>
        <w:numPr>
          <w:ilvl w:val="0"/>
          <w:numId w:val="25"/>
        </w:numPr>
        <w:bidi/>
        <w:ind w:hanging="720"/>
        <w:rPr>
          <w:sz w:val="26"/>
          <w:szCs w:val="26"/>
          <w:lang w:val="en-GB"/>
        </w:rPr>
      </w:pPr>
      <w:r w:rsidRPr="006D29CD">
        <w:rPr>
          <w:rFonts w:hint="cs"/>
          <w:sz w:val="26"/>
          <w:szCs w:val="26"/>
          <w:rtl/>
          <w:lang w:val="en-GB"/>
        </w:rPr>
        <w:t>أن الخيار الثاني من الخيارين الواردين</w:t>
      </w:r>
      <w:r w:rsidR="00A81429" w:rsidRPr="006D29CD">
        <w:rPr>
          <w:sz w:val="26"/>
          <w:szCs w:val="26"/>
          <w:vertAlign w:val="superscript"/>
        </w:rPr>
        <w:footnoteReference w:id="4"/>
      </w:r>
      <w:r w:rsidRPr="006D29CD">
        <w:rPr>
          <w:rFonts w:hint="cs"/>
          <w:sz w:val="26"/>
          <w:szCs w:val="26"/>
          <w:rtl/>
          <w:lang w:val="en-GB"/>
        </w:rPr>
        <w:t xml:space="preserve"> في الوثيقتين </w:t>
      </w:r>
      <w:r w:rsidRPr="006D29CD">
        <w:rPr>
          <w:sz w:val="26"/>
          <w:szCs w:val="26"/>
          <w:lang w:val="en-GB"/>
        </w:rPr>
        <w:t>UNEP/</w:t>
      </w:r>
      <w:proofErr w:type="spellStart"/>
      <w:r w:rsidRPr="006D29CD">
        <w:rPr>
          <w:sz w:val="26"/>
          <w:szCs w:val="26"/>
          <w:lang w:val="en-GB"/>
        </w:rPr>
        <w:t>OzL.Pro</w:t>
      </w:r>
      <w:proofErr w:type="spellEnd"/>
      <w:r w:rsidRPr="006D29CD">
        <w:rPr>
          <w:sz w:val="26"/>
          <w:szCs w:val="26"/>
          <w:lang w:val="en-GB"/>
        </w:rPr>
        <w:t xml:space="preserve">/ExCom/89/12 </w:t>
      </w:r>
      <w:r w:rsidRPr="006D29CD">
        <w:rPr>
          <w:rFonts w:hint="cs"/>
          <w:sz w:val="26"/>
          <w:szCs w:val="26"/>
          <w:rtl/>
          <w:lang w:val="en-GB"/>
        </w:rPr>
        <w:t xml:space="preserve"> و</w:t>
      </w:r>
      <w:r w:rsidR="00A81429" w:rsidRPr="006D29CD">
        <w:rPr>
          <w:sz w:val="26"/>
          <w:szCs w:val="26"/>
          <w:lang w:val="en-GB"/>
        </w:rPr>
        <w:t>UNEP/</w:t>
      </w:r>
      <w:proofErr w:type="spellStart"/>
      <w:r w:rsidR="00A81429" w:rsidRPr="006D29CD">
        <w:rPr>
          <w:sz w:val="26"/>
          <w:szCs w:val="26"/>
          <w:lang w:val="en-GB"/>
        </w:rPr>
        <w:t>OzL.Pro</w:t>
      </w:r>
      <w:proofErr w:type="spellEnd"/>
      <w:r w:rsidR="00A81429" w:rsidRPr="006D29CD">
        <w:rPr>
          <w:sz w:val="26"/>
          <w:szCs w:val="26"/>
          <w:lang w:val="en-GB"/>
        </w:rPr>
        <w:t>/ExCom/91/64</w:t>
      </w:r>
      <w:r w:rsidRPr="006D29CD">
        <w:rPr>
          <w:rFonts w:hint="cs"/>
          <w:sz w:val="26"/>
          <w:szCs w:val="26"/>
          <w:rtl/>
          <w:lang w:val="en-GB"/>
        </w:rPr>
        <w:t xml:space="preserve"> يتسم</w:t>
      </w:r>
      <w:r w:rsidR="00A81429" w:rsidRPr="006D29CD">
        <w:rPr>
          <w:rFonts w:hint="cs"/>
          <w:sz w:val="26"/>
          <w:szCs w:val="26"/>
          <w:rtl/>
          <w:lang w:val="en-GB" w:bidi="ar-EG"/>
        </w:rPr>
        <w:t xml:space="preserve"> بالتعقيد وقد يؤدي الى شكوك كبيرة وتأخيرات في حين يتم الحصول على الأموال الخارجية. ولذا يبدو أن الخيار الأول أكثر واقعية. وفيما يتعلق بنماذج التمويل لمشروعات كفاءة استخدام الطاقة، أشير الى أنه يحتاج الى مزيد من النقاش بالنظر الى أن نموذج التكاليف الإضافية الوارد في المادة 10 من البروتوكول لا تنطبق.</w:t>
      </w:r>
    </w:p>
    <w:p w14:paraId="2E023251" w14:textId="113E2B9D" w:rsidR="00A81429" w:rsidRPr="006D29CD" w:rsidRDefault="00A81429" w:rsidP="003E2118">
      <w:pPr>
        <w:pStyle w:val="Heading2"/>
        <w:numPr>
          <w:ilvl w:val="0"/>
          <w:numId w:val="25"/>
        </w:numPr>
        <w:bidi/>
        <w:ind w:hanging="720"/>
        <w:rPr>
          <w:sz w:val="26"/>
          <w:szCs w:val="26"/>
          <w:lang w:val="en-GB"/>
        </w:rPr>
      </w:pPr>
      <w:r w:rsidRPr="006D29CD">
        <w:rPr>
          <w:rFonts w:hint="cs"/>
          <w:sz w:val="26"/>
          <w:szCs w:val="26"/>
          <w:rtl/>
          <w:lang w:val="en-GB"/>
        </w:rPr>
        <w:t>وق</w:t>
      </w:r>
      <w:r w:rsidR="003F0460" w:rsidRPr="006D29CD">
        <w:rPr>
          <w:rFonts w:hint="cs"/>
          <w:sz w:val="26"/>
          <w:szCs w:val="26"/>
          <w:rtl/>
          <w:lang w:val="en-GB"/>
        </w:rPr>
        <w:t xml:space="preserve">ال أحد الأعضاء أن الخيارين الواردين في وثيقة الأمانة ينطبقان معا بالنظر الى أن البلدان المانحة قد ترغب في تقديم مساهمات إضافية مع تقديم التمويل من خلال المساهمات العادية. وفي حين يتعين النظر في مسألة الازدواجية، فإن تمويل المشروعات الرائدة جزئيا من خلال الصندوق المتعدد الأطراف وجزئيا من خلال مؤسسات الأخرى يمكن أن يكون </w:t>
      </w:r>
      <w:r w:rsidR="003F0460" w:rsidRPr="006D29CD">
        <w:rPr>
          <w:rFonts w:hint="cs"/>
          <w:sz w:val="26"/>
          <w:szCs w:val="26"/>
          <w:rtl/>
          <w:lang w:val="en-GB" w:bidi="ar-EG"/>
        </w:rPr>
        <w:t xml:space="preserve">ممكنا أيضا، وكانت اللجنة التنفيذية في حاجة الى النظر في أي شروط أو قيود ترتبط بالتمويل الإضافي </w:t>
      </w:r>
      <w:r w:rsidR="003E2118" w:rsidRPr="006D29CD">
        <w:rPr>
          <w:rFonts w:hint="cs"/>
          <w:sz w:val="26"/>
          <w:szCs w:val="26"/>
          <w:rtl/>
          <w:lang w:val="en-GB" w:bidi="ar-EG"/>
        </w:rPr>
        <w:t>من</w:t>
      </w:r>
      <w:r w:rsidR="003F0460" w:rsidRPr="006D29CD">
        <w:rPr>
          <w:rFonts w:hint="cs"/>
          <w:sz w:val="26"/>
          <w:szCs w:val="26"/>
          <w:rtl/>
          <w:lang w:val="en-GB" w:bidi="ar-EG"/>
        </w:rPr>
        <w:t xml:space="preserve"> مصادر أخرى.</w:t>
      </w:r>
    </w:p>
    <w:p w14:paraId="1DFD9C5E" w14:textId="07B8E74D" w:rsidR="003F0460" w:rsidRPr="006D29CD" w:rsidRDefault="003F0460" w:rsidP="00345836">
      <w:pPr>
        <w:pStyle w:val="Heading2"/>
        <w:numPr>
          <w:ilvl w:val="0"/>
          <w:numId w:val="25"/>
        </w:numPr>
        <w:bidi/>
        <w:ind w:hanging="720"/>
        <w:rPr>
          <w:sz w:val="26"/>
          <w:szCs w:val="26"/>
          <w:lang w:val="en-GB"/>
        </w:rPr>
      </w:pPr>
      <w:r w:rsidRPr="006D29CD">
        <w:rPr>
          <w:rFonts w:hint="cs"/>
          <w:sz w:val="26"/>
          <w:szCs w:val="26"/>
          <w:rtl/>
          <w:lang w:val="en-GB"/>
        </w:rPr>
        <w:lastRenderedPageBreak/>
        <w:t>وأشير كذلك الى أنه قيد النظر في خيارات التمويل غير تالك التي توجه من خلال الصندوق المتعدد الأطراف وفيما يتعلق بالمساهمات الطوعية، يحتاج الأمر الى مزيد من التوضيح بشأن التكاليف الإدارية سواء بالنسبة لأمانة الصندوق المتعدد الأطراف أو الوكالات المنفذة.</w:t>
      </w:r>
    </w:p>
    <w:p w14:paraId="5B8E352F" w14:textId="4CDC5C1D" w:rsidR="003F0460" w:rsidRPr="006D29CD" w:rsidRDefault="003F0460" w:rsidP="003E2118">
      <w:pPr>
        <w:pStyle w:val="Heading1"/>
        <w:bidi/>
        <w:rPr>
          <w:sz w:val="26"/>
          <w:szCs w:val="26"/>
          <w:lang w:val="en-GB"/>
        </w:rPr>
      </w:pPr>
      <w:r w:rsidRPr="006D29CD">
        <w:rPr>
          <w:rFonts w:hint="cs"/>
          <w:sz w:val="26"/>
          <w:szCs w:val="26"/>
          <w:rtl/>
          <w:lang w:val="en-GB"/>
        </w:rPr>
        <w:t xml:space="preserve">وخلال الاجتماع الحادي والتسعين، نظرت اللجنة التنفيذية كذلك في المعايير الخاصة بالمشروعات الرائدة </w:t>
      </w:r>
      <w:r w:rsidR="003E2118" w:rsidRPr="006D29CD">
        <w:rPr>
          <w:rFonts w:hint="cs"/>
          <w:sz w:val="26"/>
          <w:szCs w:val="26"/>
          <w:rtl/>
          <w:lang w:val="en-GB"/>
        </w:rPr>
        <w:t>لحفظ</w:t>
      </w:r>
      <w:r w:rsidRPr="006D29CD">
        <w:rPr>
          <w:rFonts w:hint="cs"/>
          <w:sz w:val="26"/>
          <w:szCs w:val="26"/>
          <w:rtl/>
          <w:lang w:val="en-GB"/>
        </w:rPr>
        <w:t xml:space="preserve"> أو تعزيز كفاءة استخدام الطاقة في التكنولوجيات والمعدات البديلة في سياق خفض المواد الهيدروفلوروكربونية. واتفق </w:t>
      </w:r>
      <w:r w:rsidRPr="006D29CD">
        <w:rPr>
          <w:rFonts w:hint="cs"/>
          <w:i/>
          <w:iCs/>
          <w:sz w:val="26"/>
          <w:szCs w:val="26"/>
          <w:rtl/>
          <w:lang w:val="en-GB"/>
        </w:rPr>
        <w:t>ضمن جملة أمور</w:t>
      </w:r>
      <w:r w:rsidRPr="006D29CD">
        <w:rPr>
          <w:rFonts w:hint="cs"/>
          <w:sz w:val="26"/>
          <w:szCs w:val="26"/>
          <w:rtl/>
          <w:lang w:val="en-GB"/>
        </w:rPr>
        <w:t xml:space="preserve"> على</w:t>
      </w:r>
      <w:r w:rsidR="00513314" w:rsidRPr="006D29CD">
        <w:rPr>
          <w:rFonts w:hint="cs"/>
          <w:sz w:val="26"/>
          <w:szCs w:val="26"/>
          <w:rtl/>
          <w:lang w:val="en-GB" w:bidi="ar-EG"/>
        </w:rPr>
        <w:t xml:space="preserve"> إزالة الإشارة الى بعض المعايير المقترحة من قائمة الأنشطة التي يمكن تمويلها بما في ذلك مراكز الاختبار والتمويل المشترك على أساس الفهم أن هذه البنود ستظل قيد المناقشة خلال البند من جدول الأعمال المتعلق بالإطار </w:t>
      </w:r>
      <w:r w:rsidR="003E2118" w:rsidRPr="006D29CD">
        <w:rPr>
          <w:rFonts w:hint="cs"/>
          <w:sz w:val="26"/>
          <w:szCs w:val="26"/>
          <w:rtl/>
          <w:lang w:val="en-GB" w:bidi="ar-EG"/>
        </w:rPr>
        <w:t>العملى</w:t>
      </w:r>
      <w:r w:rsidR="00513314" w:rsidRPr="006D29CD">
        <w:rPr>
          <w:rFonts w:hint="cs"/>
          <w:sz w:val="26"/>
          <w:szCs w:val="26"/>
          <w:rtl/>
          <w:lang w:val="en-GB" w:bidi="ar-EG"/>
        </w:rPr>
        <w:t xml:space="preserve">، وإعادة الفقرة المتعلقة بالتشاور مع أصحاب المصلحة المعنيين دون أي إضرار بالمناقشات الخاصة بالبنود الأخرى التي يجري </w:t>
      </w:r>
      <w:r w:rsidR="003E2118" w:rsidRPr="006D29CD">
        <w:rPr>
          <w:rFonts w:hint="cs"/>
          <w:sz w:val="26"/>
          <w:szCs w:val="26"/>
          <w:rtl/>
          <w:lang w:val="en-GB" w:bidi="ar-EG"/>
        </w:rPr>
        <w:t>طرحها</w:t>
      </w:r>
      <w:r w:rsidR="00513314" w:rsidRPr="006D29CD">
        <w:rPr>
          <w:rFonts w:hint="cs"/>
          <w:sz w:val="26"/>
          <w:szCs w:val="26"/>
          <w:rtl/>
          <w:lang w:val="en-GB" w:bidi="ar-EG"/>
        </w:rPr>
        <w:t xml:space="preserve"> في سياق الإطار </w:t>
      </w:r>
      <w:r w:rsidR="003E2118" w:rsidRPr="006D29CD">
        <w:rPr>
          <w:rFonts w:hint="cs"/>
          <w:sz w:val="26"/>
          <w:szCs w:val="26"/>
          <w:rtl/>
          <w:lang w:val="en-GB" w:bidi="ar-EG"/>
        </w:rPr>
        <w:t>العملى</w:t>
      </w:r>
      <w:r w:rsidR="00513314" w:rsidRPr="006D29CD">
        <w:rPr>
          <w:rFonts w:hint="cs"/>
          <w:sz w:val="26"/>
          <w:szCs w:val="26"/>
          <w:rtl/>
          <w:lang w:val="en-GB" w:bidi="ar-EG"/>
        </w:rPr>
        <w:t>.</w:t>
      </w:r>
      <w:r w:rsidR="00B477BB" w:rsidRPr="006D29CD">
        <w:rPr>
          <w:rStyle w:val="FootnoteReference"/>
          <w:sz w:val="26"/>
          <w:szCs w:val="26"/>
          <w:lang w:val="en-GB"/>
        </w:rPr>
        <w:t xml:space="preserve"> </w:t>
      </w:r>
      <w:r w:rsidR="00B477BB" w:rsidRPr="006D29CD">
        <w:rPr>
          <w:rStyle w:val="FootnoteReference"/>
          <w:sz w:val="26"/>
          <w:szCs w:val="26"/>
          <w:lang w:val="en-GB"/>
        </w:rPr>
        <w:footnoteReference w:id="5"/>
      </w:r>
    </w:p>
    <w:p w14:paraId="40342B0C" w14:textId="11C7445F" w:rsidR="00513314" w:rsidRPr="006D29CD" w:rsidRDefault="00513314" w:rsidP="003E2118">
      <w:pPr>
        <w:pStyle w:val="Heading1"/>
        <w:bidi/>
        <w:rPr>
          <w:sz w:val="26"/>
          <w:szCs w:val="26"/>
          <w:lang w:val="en-GB"/>
        </w:rPr>
      </w:pPr>
      <w:r w:rsidRPr="006D29CD">
        <w:rPr>
          <w:rFonts w:hint="cs"/>
          <w:sz w:val="26"/>
          <w:szCs w:val="26"/>
          <w:rtl/>
          <w:lang w:val="en-GB"/>
        </w:rPr>
        <w:t>وعقب تقرير فريق الاتصال الذي أنشئ للنظر في الموضوع، وافقت اللجنة التنفيذية على أن تتابع خلال الاجتماع الثاني والتسعين</w:t>
      </w:r>
      <w:r w:rsidR="00351E50" w:rsidRPr="006D29CD">
        <w:rPr>
          <w:rFonts w:hint="cs"/>
          <w:sz w:val="26"/>
          <w:szCs w:val="26"/>
          <w:rtl/>
          <w:lang w:val="en-GB"/>
        </w:rPr>
        <w:t xml:space="preserve"> نظر الإطار </w:t>
      </w:r>
      <w:r w:rsidR="003E2118" w:rsidRPr="006D29CD">
        <w:rPr>
          <w:rFonts w:hint="cs"/>
          <w:sz w:val="26"/>
          <w:szCs w:val="26"/>
          <w:rtl/>
          <w:lang w:val="en-GB"/>
        </w:rPr>
        <w:t>العملى</w:t>
      </w:r>
      <w:r w:rsidR="00351E50" w:rsidRPr="006D29CD">
        <w:rPr>
          <w:rFonts w:hint="cs"/>
          <w:sz w:val="26"/>
          <w:szCs w:val="26"/>
          <w:rtl/>
          <w:lang w:val="en-GB"/>
        </w:rPr>
        <w:t xml:space="preserve"> لتعزيز </w:t>
      </w:r>
      <w:r w:rsidR="003E2118" w:rsidRPr="006D29CD">
        <w:rPr>
          <w:rFonts w:hint="cs"/>
          <w:sz w:val="26"/>
          <w:szCs w:val="26"/>
          <w:rtl/>
          <w:lang w:val="en-GB"/>
        </w:rPr>
        <w:t>وضع الجوانب</w:t>
      </w:r>
      <w:r w:rsidR="00351E50" w:rsidRPr="006D29CD">
        <w:rPr>
          <w:rFonts w:hint="cs"/>
          <w:sz w:val="26"/>
          <w:szCs w:val="26"/>
          <w:rtl/>
          <w:lang w:val="en-GB"/>
        </w:rPr>
        <w:t xml:space="preserve"> المؤسسية والمشروعات والأنشطة التي يمكن أن يضطلع بها الصندوق المتعدد الأطراف في التكنولوجيات والمعدات البديلة في قطاعات التصنيع </w:t>
      </w:r>
      <w:r w:rsidR="00A620DB" w:rsidRPr="006D29CD">
        <w:rPr>
          <w:rFonts w:hint="cs"/>
          <w:sz w:val="26"/>
          <w:szCs w:val="26"/>
          <w:rtl/>
          <w:lang w:val="en-GB" w:bidi="ar-EG"/>
        </w:rPr>
        <w:t xml:space="preserve">والخدمة في سياق خفض المواد الهيدروفلوروكربونية في الفئات الواردة في الوثيقة </w:t>
      </w:r>
      <w:r w:rsidR="00A620DB" w:rsidRPr="006D29CD">
        <w:rPr>
          <w:sz w:val="26"/>
          <w:szCs w:val="26"/>
          <w:lang w:val="en-GB"/>
        </w:rPr>
        <w:t>UNEP/</w:t>
      </w:r>
      <w:proofErr w:type="spellStart"/>
      <w:r w:rsidR="00A620DB" w:rsidRPr="006D29CD">
        <w:rPr>
          <w:sz w:val="26"/>
          <w:szCs w:val="26"/>
          <w:lang w:val="en-GB"/>
        </w:rPr>
        <w:t>OzL.Pro</w:t>
      </w:r>
      <w:proofErr w:type="spellEnd"/>
      <w:r w:rsidR="00A620DB" w:rsidRPr="006D29CD">
        <w:rPr>
          <w:sz w:val="26"/>
          <w:szCs w:val="26"/>
          <w:lang w:val="en-GB"/>
        </w:rPr>
        <w:t>/ExCom/89/12</w:t>
      </w:r>
      <w:r w:rsidR="00A620DB" w:rsidRPr="006D29CD">
        <w:rPr>
          <w:rFonts w:hint="cs"/>
          <w:sz w:val="26"/>
          <w:szCs w:val="26"/>
          <w:rtl/>
          <w:lang w:val="en-GB" w:bidi="ar-EG"/>
        </w:rPr>
        <w:t xml:space="preserve"> خلال تنفيذ الخيارين</w:t>
      </w:r>
      <w:r w:rsidR="00A620DB" w:rsidRPr="006D29CD">
        <w:rPr>
          <w:rFonts w:hint="cs"/>
          <w:sz w:val="26"/>
          <w:szCs w:val="26"/>
          <w:rtl/>
          <w:lang w:val="en-GB"/>
        </w:rPr>
        <w:t xml:space="preserve">1 و2 في الجدول 3 من الوثيقة وأن تراعي البنود ذات الصلة المشار إليها في الفقرة </w:t>
      </w:r>
      <w:r w:rsidR="00A620DB" w:rsidRPr="006D29CD">
        <w:rPr>
          <w:sz w:val="26"/>
          <w:szCs w:val="26"/>
          <w:lang w:val="en-GB"/>
        </w:rPr>
        <w:t>243</w:t>
      </w:r>
      <w:r w:rsidR="00A620DB" w:rsidRPr="006D29CD">
        <w:rPr>
          <w:rFonts w:hint="cs"/>
          <w:sz w:val="26"/>
          <w:szCs w:val="26"/>
          <w:rtl/>
          <w:lang w:val="en-GB"/>
        </w:rPr>
        <w:t xml:space="preserve">، وأن تستخدم </w:t>
      </w:r>
      <w:r w:rsidR="00A620DB" w:rsidRPr="006D29CD">
        <w:rPr>
          <w:rFonts w:hint="cs"/>
          <w:i/>
          <w:iCs/>
          <w:sz w:val="26"/>
          <w:szCs w:val="26"/>
          <w:rtl/>
          <w:lang w:val="en-GB"/>
        </w:rPr>
        <w:t>ضمن جملة أمور</w:t>
      </w:r>
      <w:r w:rsidR="00A620DB" w:rsidRPr="006D29CD">
        <w:rPr>
          <w:rFonts w:hint="cs"/>
          <w:sz w:val="26"/>
          <w:szCs w:val="26"/>
          <w:rtl/>
          <w:lang w:val="en-GB"/>
        </w:rPr>
        <w:t xml:space="preserve"> النص العملي الذي </w:t>
      </w:r>
      <w:r w:rsidR="009570CD" w:rsidRPr="006D29CD">
        <w:rPr>
          <w:rFonts w:hint="cs"/>
          <w:sz w:val="26"/>
          <w:szCs w:val="26"/>
          <w:rtl/>
          <w:lang w:val="en-GB" w:bidi="ar-EG"/>
        </w:rPr>
        <w:t>قدمته حكومتا البرازيل والهند خلال الاجتماع الحادي والتسعين الوارد في المرفق بهذه الوثيقة</w:t>
      </w:r>
      <w:r w:rsidR="009570CD" w:rsidRPr="006D29CD">
        <w:rPr>
          <w:rStyle w:val="FootnoteReference"/>
          <w:sz w:val="26"/>
          <w:szCs w:val="26"/>
          <w:lang w:val="en-GB"/>
        </w:rPr>
        <w:footnoteReference w:id="6"/>
      </w:r>
      <w:r w:rsidR="009570CD" w:rsidRPr="006D29CD">
        <w:rPr>
          <w:rFonts w:hint="cs"/>
          <w:sz w:val="26"/>
          <w:szCs w:val="26"/>
          <w:rtl/>
          <w:lang w:val="en-GB" w:bidi="ar-EG"/>
        </w:rPr>
        <w:t xml:space="preserve"> لإجراء</w:t>
      </w:r>
      <w:r w:rsidR="00B477BB" w:rsidRPr="006D29CD">
        <w:rPr>
          <w:rFonts w:hint="cs"/>
          <w:sz w:val="26"/>
          <w:szCs w:val="26"/>
          <w:rtl/>
          <w:lang w:val="en-GB" w:bidi="ar-EG"/>
        </w:rPr>
        <w:t xml:space="preserve"> المناقشات اللاحقة.</w:t>
      </w:r>
    </w:p>
    <w:p w14:paraId="7E5BC59B" w14:textId="3373B842" w:rsidR="00B477BB" w:rsidRPr="006D29CD" w:rsidRDefault="00B477BB" w:rsidP="004355DD">
      <w:pPr>
        <w:pStyle w:val="Heading1"/>
        <w:bidi/>
        <w:rPr>
          <w:sz w:val="26"/>
          <w:szCs w:val="26"/>
        </w:rPr>
      </w:pPr>
      <w:r w:rsidRPr="006D29CD">
        <w:rPr>
          <w:rFonts w:hint="cs"/>
          <w:sz w:val="26"/>
          <w:szCs w:val="26"/>
          <w:rtl/>
        </w:rPr>
        <w:t xml:space="preserve">وتجدر الملاحظة بأن اللجنة التنفيذية سوف تنظر في التقرير المتعلق بالمشاورات مع أمانات مرفق البيئة العالمي وصندوق المناخ الأخضر وغيرها من مؤسسات التمويل بشأن إمكانيات تبادل المعلومات بشأن السياسات والمشروعات وطرائق التمويل ذات الصلة المتعلقة </w:t>
      </w:r>
      <w:r w:rsidR="004355DD" w:rsidRPr="006D29CD">
        <w:rPr>
          <w:rFonts w:hint="cs"/>
          <w:sz w:val="26"/>
          <w:szCs w:val="26"/>
          <w:rtl/>
        </w:rPr>
        <w:t>بحفظ</w:t>
      </w:r>
      <w:r w:rsidRPr="006D29CD">
        <w:rPr>
          <w:rFonts w:hint="cs"/>
          <w:sz w:val="26"/>
          <w:szCs w:val="26"/>
          <w:rtl/>
        </w:rPr>
        <w:t xml:space="preserve"> أو تعزيز كفاءة استخدام الطاقة خلال خفض المواد الهيدروفلوروكربونية (المقرر 90/50</w:t>
      </w:r>
      <w:r w:rsidR="00877DBE" w:rsidRPr="006D29CD">
        <w:rPr>
          <w:rFonts w:hint="cs"/>
          <w:sz w:val="26"/>
          <w:szCs w:val="26"/>
          <w:rtl/>
        </w:rPr>
        <w:t xml:space="preserve">(ب)(3)) والوثيقة </w:t>
      </w:r>
      <w:r w:rsidR="00877DBE" w:rsidRPr="006D29CD">
        <w:rPr>
          <w:sz w:val="26"/>
          <w:szCs w:val="26"/>
        </w:rPr>
        <w:t>UNEP/</w:t>
      </w:r>
      <w:proofErr w:type="spellStart"/>
      <w:r w:rsidR="00877DBE" w:rsidRPr="006D29CD">
        <w:rPr>
          <w:sz w:val="26"/>
          <w:szCs w:val="26"/>
        </w:rPr>
        <w:t>OzL.Pro</w:t>
      </w:r>
      <w:proofErr w:type="spellEnd"/>
      <w:r w:rsidR="00877DBE" w:rsidRPr="006D29CD">
        <w:rPr>
          <w:sz w:val="26"/>
          <w:szCs w:val="26"/>
        </w:rPr>
        <w:t>/ExCom/92/48</w:t>
      </w:r>
      <w:r w:rsidR="00877DBE" w:rsidRPr="006D29CD">
        <w:rPr>
          <w:rFonts w:hint="cs"/>
          <w:sz w:val="26"/>
          <w:szCs w:val="26"/>
          <w:rtl/>
        </w:rPr>
        <w:t xml:space="preserve"> خلال</w:t>
      </w:r>
      <w:r w:rsidR="00877DBE" w:rsidRPr="006D29CD">
        <w:rPr>
          <w:rFonts w:hint="cs"/>
          <w:sz w:val="26"/>
          <w:szCs w:val="26"/>
          <w:rtl/>
          <w:lang w:bidi="ar-EG"/>
        </w:rPr>
        <w:t xml:space="preserve"> الاجتماع الثاني والتسعين والمعلومات الواردة خلالها بشأن المقرر الذي سوف تتخذه اللجنة التنفيذية في سياق هذه الوثيقة.</w:t>
      </w:r>
    </w:p>
    <w:p w14:paraId="14D5CE01" w14:textId="290B7A91" w:rsidR="00A90FCE" w:rsidRPr="006D29CD" w:rsidRDefault="00A90FCE" w:rsidP="00877DBE">
      <w:pPr>
        <w:pStyle w:val="Heading1"/>
        <w:numPr>
          <w:ilvl w:val="0"/>
          <w:numId w:val="0"/>
        </w:numPr>
        <w:bidi/>
        <w:rPr>
          <w:sz w:val="26"/>
          <w:szCs w:val="26"/>
          <w:rtl/>
        </w:rPr>
      </w:pPr>
    </w:p>
    <w:p w14:paraId="3869C9BF" w14:textId="77777777" w:rsidR="00877DBE" w:rsidRPr="00C02B5D" w:rsidRDefault="00877DBE" w:rsidP="00877DBE">
      <w:pPr>
        <w:bidi/>
        <w:sectPr w:rsidR="00877DBE" w:rsidRPr="00C02B5D"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C8FDCCF" w14:textId="4678C06E" w:rsidR="004E7F9C" w:rsidRPr="006D29CD" w:rsidRDefault="004E7F9C" w:rsidP="005951CC">
      <w:pPr>
        <w:pStyle w:val="Heading1"/>
        <w:numPr>
          <w:ilvl w:val="0"/>
          <w:numId w:val="0"/>
        </w:numPr>
        <w:bidi/>
        <w:rPr>
          <w:sz w:val="26"/>
          <w:szCs w:val="26"/>
        </w:rPr>
      </w:pPr>
    </w:p>
    <w:p w14:paraId="2925557A" w14:textId="3DDF6E5C" w:rsidR="005951CC" w:rsidRPr="006D29CD" w:rsidRDefault="005951CC" w:rsidP="001C3D29">
      <w:pPr>
        <w:autoSpaceDE w:val="0"/>
        <w:autoSpaceDN w:val="0"/>
        <w:bidi/>
        <w:adjustRightInd w:val="0"/>
        <w:spacing w:after="240"/>
        <w:jc w:val="center"/>
        <w:rPr>
          <w:rFonts w:asciiTheme="minorHAnsi" w:hAnsiTheme="minorHAnsi" w:cs="TimesNewRomanPS-BoldMT"/>
          <w:b/>
          <w:bCs/>
          <w:sz w:val="26"/>
          <w:szCs w:val="26"/>
          <w:lang w:val="en-US"/>
        </w:rPr>
      </w:pPr>
      <w:r w:rsidRPr="006D29CD">
        <w:rPr>
          <w:rFonts w:ascii="TimesNewRomanPS-BoldMT" w:cs="TimesNewRomanPS-BoldMT" w:hint="cs"/>
          <w:b/>
          <w:bCs/>
          <w:sz w:val="26"/>
          <w:szCs w:val="26"/>
          <w:rtl/>
        </w:rPr>
        <w:t>المرفق</w:t>
      </w:r>
    </w:p>
    <w:p w14:paraId="184CE9FC" w14:textId="77777777" w:rsidR="005951CC" w:rsidRPr="006D29CD" w:rsidRDefault="005951CC" w:rsidP="005951CC">
      <w:pPr>
        <w:autoSpaceDE w:val="0"/>
        <w:autoSpaceDN w:val="0"/>
        <w:bidi/>
        <w:adjustRightInd w:val="0"/>
        <w:jc w:val="center"/>
        <w:rPr>
          <w:rFonts w:ascii="TimesNewRomanPS-BoldMT" w:cs="TimesNewRomanPS-BoldMT"/>
          <w:b/>
          <w:bCs/>
          <w:sz w:val="26"/>
          <w:szCs w:val="26"/>
        </w:rPr>
      </w:pPr>
      <w:r w:rsidRPr="006D29CD">
        <w:rPr>
          <w:rFonts w:ascii="TimesNewRomanPS-BoldMT" w:cs="TimesNewRomanPS-BoldMT" w:hint="cs"/>
          <w:b/>
          <w:bCs/>
          <w:sz w:val="26"/>
          <w:szCs w:val="26"/>
          <w:rtl/>
        </w:rPr>
        <w:t>نص</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عمل</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بشأن</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الإطار</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التشغيلي</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لمواصلة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توضيح</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الجوانب</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المؤسسية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والمشروعات</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والأنشطة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التي</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يمكن أن</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ينفذها</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الصندوق</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المتعدد</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الأطراف</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للحفاظ</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على</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و</w:t>
      </w:r>
      <w:r w:rsidRPr="006D29CD">
        <w:rPr>
          <w:rFonts w:ascii="TimesNewRomanPS-BoldMT" w:cs="TimesNewRomanPS-BoldMT"/>
          <w:b/>
          <w:bCs/>
          <w:sz w:val="26"/>
          <w:szCs w:val="26"/>
        </w:rPr>
        <w:t>/</w:t>
      </w:r>
      <w:r w:rsidRPr="006D29CD">
        <w:rPr>
          <w:rFonts w:ascii="TimesNewRomanPS-BoldMT" w:cs="TimesNewRomanPS-BoldMT" w:hint="cs"/>
          <w:b/>
          <w:bCs/>
          <w:sz w:val="26"/>
          <w:szCs w:val="26"/>
          <w:rtl/>
        </w:rPr>
        <w:t>أو</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تعزيز</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كفاءة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استخدام</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الطاقة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لتكنولوجيات</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الإحلال والمعدات</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في</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قطاعي</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التصنيع</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والخدمة</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عند</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التخفيض</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التدريجي</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للمواد</w:t>
      </w:r>
      <w:r w:rsidRPr="006D29CD">
        <w:rPr>
          <w:rFonts w:ascii="TimesNewRomanPS-BoldMT" w:cs="TimesNewRomanPS-BoldMT"/>
          <w:b/>
          <w:bCs/>
          <w:sz w:val="26"/>
          <w:szCs w:val="26"/>
        </w:rPr>
        <w:t xml:space="preserve"> </w:t>
      </w:r>
      <w:r w:rsidRPr="006D29CD">
        <w:rPr>
          <w:rFonts w:ascii="TimesNewRomanPS-BoldMT" w:cs="TimesNewRomanPS-BoldMT" w:hint="cs"/>
          <w:b/>
          <w:bCs/>
          <w:sz w:val="26"/>
          <w:szCs w:val="26"/>
          <w:rtl/>
        </w:rPr>
        <w:t>الهيدروفلوروكربونية</w:t>
      </w:r>
    </w:p>
    <w:p w14:paraId="59B93905" w14:textId="77777777" w:rsidR="005951CC" w:rsidRPr="006D29CD" w:rsidRDefault="005951CC" w:rsidP="005951CC">
      <w:pPr>
        <w:autoSpaceDE w:val="0"/>
        <w:autoSpaceDN w:val="0"/>
        <w:adjustRightInd w:val="0"/>
        <w:rPr>
          <w:rFonts w:ascii="TimesNewRomanPSMT" w:cs="TimesNewRomanPSMT"/>
          <w:sz w:val="26"/>
          <w:szCs w:val="26"/>
          <w:rtl/>
        </w:rPr>
      </w:pPr>
    </w:p>
    <w:p w14:paraId="31CD51CE" w14:textId="77777777" w:rsidR="005951CC" w:rsidRPr="006D29CD" w:rsidRDefault="005951CC" w:rsidP="005951CC">
      <w:pPr>
        <w:autoSpaceDE w:val="0"/>
        <w:autoSpaceDN w:val="0"/>
        <w:bidi/>
        <w:adjustRightInd w:val="0"/>
        <w:spacing w:after="120"/>
        <w:rPr>
          <w:rFonts w:ascii="TimesNewRomanPSMT" w:cs="TimesNewRomanPSMT"/>
          <w:sz w:val="26"/>
          <w:szCs w:val="26"/>
          <w:rtl/>
          <w:lang w:bidi="ar-EG"/>
        </w:rPr>
      </w:pPr>
      <w:r w:rsidRPr="006D29CD">
        <w:rPr>
          <w:rFonts w:ascii="TimesNewRomanPSMT" w:cs="TimesNewRomanPSMT" w:hint="cs"/>
          <w:sz w:val="26"/>
          <w:szCs w:val="26"/>
          <w:u w:val="single"/>
          <w:rtl/>
        </w:rPr>
        <w:t>قررت</w:t>
      </w:r>
      <w:r w:rsidRPr="006D29CD">
        <w:rPr>
          <w:rFonts w:ascii="TimesNewRomanPSMT" w:cs="TimesNewRomanPSMT"/>
          <w:sz w:val="26"/>
          <w:szCs w:val="26"/>
        </w:rPr>
        <w:t xml:space="preserve"> </w:t>
      </w:r>
      <w:r w:rsidRPr="006D29CD">
        <w:rPr>
          <w:rFonts w:ascii="TimesNewRomanPSMT" w:cs="TimesNewRomanPSMT" w:hint="cs"/>
          <w:sz w:val="26"/>
          <w:szCs w:val="26"/>
          <w:rtl/>
        </w:rPr>
        <w:t>اللجنة</w:t>
      </w:r>
      <w:r w:rsidRPr="006D29CD">
        <w:rPr>
          <w:rFonts w:ascii="TimesNewRomanPSMT" w:cs="TimesNewRomanPSMT"/>
          <w:sz w:val="26"/>
          <w:szCs w:val="26"/>
        </w:rPr>
        <w:t xml:space="preserve"> </w:t>
      </w:r>
      <w:r w:rsidRPr="006D29CD">
        <w:rPr>
          <w:rFonts w:ascii="TimesNewRomanPSMT" w:cs="TimesNewRomanPSMT" w:hint="cs"/>
          <w:sz w:val="26"/>
          <w:szCs w:val="26"/>
          <w:rtl/>
        </w:rPr>
        <w:t>التنفيذية</w:t>
      </w:r>
      <w:r w:rsidRPr="006D29CD">
        <w:rPr>
          <w:rFonts w:ascii="TimesNewRomanPSMT" w:cs="TimesNewRomanPSMT"/>
          <w:sz w:val="26"/>
          <w:szCs w:val="26"/>
        </w:rPr>
        <w:t>:</w:t>
      </w:r>
    </w:p>
    <w:p w14:paraId="2CC80F46" w14:textId="5AD9DABE" w:rsidR="005951CC" w:rsidRPr="006D29CD" w:rsidRDefault="005951CC" w:rsidP="005951CC">
      <w:pPr>
        <w:pStyle w:val="ListParagraph"/>
        <w:numPr>
          <w:ilvl w:val="0"/>
          <w:numId w:val="32"/>
        </w:numPr>
        <w:tabs>
          <w:tab w:val="left" w:pos="746"/>
        </w:tabs>
        <w:autoSpaceDE w:val="0"/>
        <w:autoSpaceDN w:val="0"/>
        <w:bidi/>
        <w:adjustRightInd w:val="0"/>
        <w:spacing w:after="120" w:line="240" w:lineRule="auto"/>
        <w:ind w:hanging="691"/>
        <w:contextualSpacing w:val="0"/>
        <w:jc w:val="both"/>
        <w:rPr>
          <w:rFonts w:ascii="TimesNewRomanPSMT" w:cs="TimesNewRomanPSMT"/>
          <w:sz w:val="26"/>
          <w:szCs w:val="26"/>
        </w:rPr>
      </w:pPr>
      <w:r w:rsidRPr="006D29CD">
        <w:rPr>
          <w:rFonts w:ascii="TimesNewRomanPSMT" w:cs="TimesNewRomanPSMT" w:hint="cs"/>
          <w:sz w:val="26"/>
          <w:szCs w:val="26"/>
          <w:rtl/>
        </w:rPr>
        <w:t>أن</w:t>
      </w:r>
      <w:r w:rsidRPr="006D29CD">
        <w:rPr>
          <w:rFonts w:ascii="TimesNewRomanPSMT" w:cs="TimesNewRomanPSMT"/>
          <w:sz w:val="26"/>
          <w:szCs w:val="26"/>
        </w:rPr>
        <w:t xml:space="preserve"> </w:t>
      </w:r>
      <w:r w:rsidRPr="006D29CD">
        <w:rPr>
          <w:rFonts w:ascii="TimesNewRomanPSMT" w:cs="TimesNewRomanPSMT" w:hint="cs"/>
          <w:sz w:val="26"/>
          <w:szCs w:val="26"/>
          <w:rtl/>
        </w:rPr>
        <w:t>تحيط</w:t>
      </w:r>
      <w:r w:rsidRPr="006D29CD">
        <w:rPr>
          <w:rFonts w:ascii="TimesNewRomanPSMT" w:cs="TimesNewRomanPSMT"/>
          <w:sz w:val="26"/>
          <w:szCs w:val="26"/>
        </w:rPr>
        <w:t xml:space="preserve"> </w:t>
      </w:r>
      <w:r w:rsidRPr="006D29CD">
        <w:rPr>
          <w:rFonts w:ascii="TimesNewRomanPSMT" w:cs="TimesNewRomanPSMT" w:hint="cs"/>
          <w:sz w:val="26"/>
          <w:szCs w:val="26"/>
          <w:rtl/>
        </w:rPr>
        <w:t>علما</w:t>
      </w:r>
      <w:r w:rsidRPr="006D29CD">
        <w:rPr>
          <w:rFonts w:ascii="TimesNewRomanPSMT" w:cs="TimesNewRomanPSMT"/>
          <w:sz w:val="26"/>
          <w:szCs w:val="26"/>
        </w:rPr>
        <w:t xml:space="preserve"> </w:t>
      </w:r>
      <w:r w:rsidRPr="006D29CD">
        <w:rPr>
          <w:rFonts w:ascii="TimesNewRomanPSMT" w:cs="TimesNewRomanPSMT" w:hint="cs"/>
          <w:sz w:val="26"/>
          <w:szCs w:val="26"/>
          <w:rtl/>
        </w:rPr>
        <w:t>بالوثيقة</w:t>
      </w:r>
      <w:r w:rsidRPr="006D29CD">
        <w:rPr>
          <w:rFonts w:ascii="TimesNewRomanPSMT" w:cs="TimesNewRomanPSMT"/>
          <w:sz w:val="26"/>
          <w:szCs w:val="26"/>
        </w:rPr>
        <w:t xml:space="preserve"> </w:t>
      </w:r>
      <w:r w:rsidRPr="006D29CD">
        <w:rPr>
          <w:rFonts w:ascii="TimesNewRomanPSMT" w:cs="TimesNewRomanPSMT" w:hint="cs"/>
          <w:sz w:val="26"/>
          <w:szCs w:val="26"/>
          <w:rtl/>
        </w:rPr>
        <w:t>المتعلقة</w:t>
      </w:r>
      <w:r w:rsidRPr="006D29CD">
        <w:rPr>
          <w:rFonts w:ascii="TimesNewRomanPSMT" w:cs="TimesNewRomanPSMT"/>
          <w:sz w:val="26"/>
          <w:szCs w:val="26"/>
        </w:rPr>
        <w:t xml:space="preserve"> </w:t>
      </w:r>
      <w:r w:rsidRPr="006D29CD">
        <w:rPr>
          <w:rFonts w:ascii="TimesNewRomanPSMT" w:cs="TimesNewRomanPSMT" w:hint="cs"/>
          <w:sz w:val="26"/>
          <w:szCs w:val="26"/>
          <w:rtl/>
        </w:rPr>
        <w:t>بالإطار</w:t>
      </w:r>
      <w:r w:rsidRPr="006D29CD">
        <w:rPr>
          <w:rFonts w:ascii="TimesNewRomanPSMT" w:cs="TimesNewRomanPSMT"/>
          <w:sz w:val="26"/>
          <w:szCs w:val="26"/>
        </w:rPr>
        <w:t xml:space="preserve"> </w:t>
      </w:r>
      <w:r w:rsidRPr="006D29CD">
        <w:rPr>
          <w:rFonts w:ascii="TimesNewRomanPSMT" w:cs="TimesNewRomanPSMT" w:hint="cs"/>
          <w:sz w:val="26"/>
          <w:szCs w:val="26"/>
          <w:rtl/>
        </w:rPr>
        <w:t>التشغيلي</w:t>
      </w:r>
      <w:r w:rsidRPr="006D29CD">
        <w:rPr>
          <w:rFonts w:ascii="TimesNewRomanPSMT" w:cs="TimesNewRomanPSMT"/>
          <w:sz w:val="26"/>
          <w:szCs w:val="26"/>
        </w:rPr>
        <w:t xml:space="preserve"> </w:t>
      </w:r>
      <w:r w:rsidRPr="006D29CD">
        <w:rPr>
          <w:rFonts w:ascii="TimesNewRomanPSMT" w:cs="TimesNewRomanPSMT" w:hint="cs"/>
          <w:sz w:val="26"/>
          <w:szCs w:val="26"/>
          <w:rtl/>
        </w:rPr>
        <w:t>لمواصلة</w:t>
      </w:r>
      <w:r w:rsidRPr="006D29CD">
        <w:rPr>
          <w:rFonts w:ascii="TimesNewRomanPSMT" w:cs="TimesNewRomanPSMT"/>
          <w:sz w:val="26"/>
          <w:szCs w:val="26"/>
        </w:rPr>
        <w:t xml:space="preserve"> </w:t>
      </w:r>
      <w:r w:rsidRPr="006D29CD">
        <w:rPr>
          <w:rFonts w:ascii="TimesNewRomanPSMT" w:cs="TimesNewRomanPSMT" w:hint="cs"/>
          <w:sz w:val="26"/>
          <w:szCs w:val="26"/>
          <w:rtl/>
        </w:rPr>
        <w:t>توضيح</w:t>
      </w:r>
      <w:r w:rsidRPr="006D29CD">
        <w:rPr>
          <w:rFonts w:ascii="TimesNewRomanPSMT" w:cs="TimesNewRomanPSMT"/>
          <w:sz w:val="26"/>
          <w:szCs w:val="26"/>
        </w:rPr>
        <w:t xml:space="preserve"> </w:t>
      </w:r>
      <w:r w:rsidRPr="006D29CD">
        <w:rPr>
          <w:rFonts w:ascii="TimesNewRomanPSMT" w:cs="TimesNewRomanPSMT" w:hint="cs"/>
          <w:sz w:val="26"/>
          <w:szCs w:val="26"/>
          <w:rtl/>
        </w:rPr>
        <w:t>الجوانب</w:t>
      </w:r>
      <w:r w:rsidRPr="006D29CD">
        <w:rPr>
          <w:rFonts w:ascii="TimesNewRomanPSMT" w:cs="TimesNewRomanPSMT"/>
          <w:sz w:val="26"/>
          <w:szCs w:val="26"/>
        </w:rPr>
        <w:t xml:space="preserve"> </w:t>
      </w:r>
      <w:r w:rsidRPr="006D29CD">
        <w:rPr>
          <w:rFonts w:ascii="TimesNewRomanPSMT" w:cs="TimesNewRomanPSMT" w:hint="cs"/>
          <w:sz w:val="26"/>
          <w:szCs w:val="26"/>
          <w:rtl/>
        </w:rPr>
        <w:t>المؤسسية</w:t>
      </w:r>
      <w:r w:rsidRPr="006D29CD">
        <w:rPr>
          <w:rFonts w:ascii="TimesNewRomanPSMT" w:cs="TimesNewRomanPSMT"/>
          <w:sz w:val="26"/>
          <w:szCs w:val="26"/>
        </w:rPr>
        <w:t xml:space="preserve"> </w:t>
      </w:r>
      <w:r w:rsidRPr="006D29CD">
        <w:rPr>
          <w:rFonts w:ascii="TimesNewRomanPSMT" w:cs="TimesNewRomanPSMT" w:hint="cs"/>
          <w:sz w:val="26"/>
          <w:szCs w:val="26"/>
          <w:rtl/>
        </w:rPr>
        <w:t>والمشاريع والأنشطة</w:t>
      </w:r>
      <w:r w:rsidRPr="006D29CD">
        <w:rPr>
          <w:rFonts w:ascii="TimesNewRomanPSMT" w:cs="TimesNewRomanPSMT"/>
          <w:sz w:val="26"/>
          <w:szCs w:val="26"/>
        </w:rPr>
        <w:t xml:space="preserve"> </w:t>
      </w:r>
      <w:r w:rsidRPr="006D29CD">
        <w:rPr>
          <w:rFonts w:ascii="TimesNewRomanPSMT" w:cs="TimesNewRomanPSMT" w:hint="cs"/>
          <w:sz w:val="26"/>
          <w:szCs w:val="26"/>
          <w:rtl/>
        </w:rPr>
        <w:t>التي</w:t>
      </w:r>
      <w:r w:rsidRPr="006D29CD">
        <w:rPr>
          <w:rFonts w:ascii="TimesNewRomanPSMT" w:cs="TimesNewRomanPSMT"/>
          <w:sz w:val="26"/>
          <w:szCs w:val="26"/>
        </w:rPr>
        <w:t xml:space="preserve"> </w:t>
      </w:r>
      <w:r w:rsidRPr="006D29CD">
        <w:rPr>
          <w:rFonts w:ascii="TimesNewRomanPSMT" w:cs="TimesNewRomanPSMT" w:hint="cs"/>
          <w:sz w:val="26"/>
          <w:szCs w:val="26"/>
          <w:rtl/>
        </w:rPr>
        <w:t>يمكن</w:t>
      </w:r>
      <w:r w:rsidRPr="006D29CD">
        <w:rPr>
          <w:rFonts w:ascii="TimesNewRomanPSMT" w:cs="TimesNewRomanPSMT"/>
          <w:sz w:val="26"/>
          <w:szCs w:val="26"/>
        </w:rPr>
        <w:t xml:space="preserve"> </w:t>
      </w:r>
      <w:r w:rsidRPr="006D29CD">
        <w:rPr>
          <w:rFonts w:ascii="TimesNewRomanPSMT" w:cs="TimesNewRomanPSMT" w:hint="cs"/>
          <w:sz w:val="26"/>
          <w:szCs w:val="26"/>
          <w:rtl/>
        </w:rPr>
        <w:t>أن</w:t>
      </w:r>
      <w:r w:rsidRPr="006D29CD">
        <w:rPr>
          <w:rFonts w:ascii="TimesNewRomanPSMT" w:cs="TimesNewRomanPSMT"/>
          <w:sz w:val="26"/>
          <w:szCs w:val="26"/>
        </w:rPr>
        <w:t xml:space="preserve"> </w:t>
      </w:r>
      <w:r w:rsidRPr="006D29CD">
        <w:rPr>
          <w:rFonts w:ascii="TimesNewRomanPSMT" w:cs="TimesNewRomanPSMT" w:hint="cs"/>
          <w:sz w:val="26"/>
          <w:szCs w:val="26"/>
          <w:rtl/>
        </w:rPr>
        <w:t>ينفذها</w:t>
      </w:r>
      <w:r w:rsidRPr="006D29CD">
        <w:rPr>
          <w:rFonts w:ascii="TimesNewRomanPSMT" w:cs="TimesNewRomanPSMT"/>
          <w:sz w:val="26"/>
          <w:szCs w:val="26"/>
        </w:rPr>
        <w:t xml:space="preserve"> </w:t>
      </w:r>
      <w:r w:rsidRPr="006D29CD">
        <w:rPr>
          <w:rFonts w:ascii="TimesNewRomanPSMT" w:cs="TimesNewRomanPSMT" w:hint="cs"/>
          <w:sz w:val="26"/>
          <w:szCs w:val="26"/>
          <w:rtl/>
        </w:rPr>
        <w:t>الصندوق</w:t>
      </w:r>
      <w:r w:rsidRPr="006D29CD">
        <w:rPr>
          <w:rFonts w:ascii="TimesNewRomanPSMT" w:cs="TimesNewRomanPSMT"/>
          <w:sz w:val="26"/>
          <w:szCs w:val="26"/>
        </w:rPr>
        <w:t xml:space="preserve"> </w:t>
      </w:r>
      <w:r w:rsidRPr="006D29CD">
        <w:rPr>
          <w:rFonts w:ascii="TimesNewRomanPSMT" w:cs="TimesNewRomanPSMT" w:hint="cs"/>
          <w:sz w:val="26"/>
          <w:szCs w:val="26"/>
          <w:rtl/>
        </w:rPr>
        <w:t>المتعدد</w:t>
      </w:r>
      <w:r w:rsidRPr="006D29CD">
        <w:rPr>
          <w:rFonts w:ascii="TimesNewRomanPSMT" w:cs="TimesNewRomanPSMT"/>
          <w:sz w:val="26"/>
          <w:szCs w:val="26"/>
        </w:rPr>
        <w:t xml:space="preserve"> </w:t>
      </w:r>
      <w:r w:rsidRPr="006D29CD">
        <w:rPr>
          <w:rFonts w:ascii="TimesNewRomanPSMT" w:cs="TimesNewRomanPSMT" w:hint="cs"/>
          <w:sz w:val="26"/>
          <w:szCs w:val="26"/>
          <w:rtl/>
        </w:rPr>
        <w:t>الأطراف</w:t>
      </w:r>
      <w:r w:rsidRPr="006D29CD">
        <w:rPr>
          <w:rFonts w:ascii="TimesNewRomanPSMT" w:cs="TimesNewRomanPSMT"/>
          <w:sz w:val="26"/>
          <w:szCs w:val="26"/>
        </w:rPr>
        <w:t xml:space="preserve"> </w:t>
      </w:r>
      <w:r w:rsidRPr="006D29CD">
        <w:rPr>
          <w:rFonts w:ascii="TimesNewRomanPSMT" w:cs="TimesNewRomanPSMT" w:hint="cs"/>
          <w:sz w:val="26"/>
          <w:szCs w:val="26"/>
          <w:rtl/>
        </w:rPr>
        <w:t>للحفاظ</w:t>
      </w:r>
      <w:r w:rsidRPr="006D29CD">
        <w:rPr>
          <w:rFonts w:ascii="TimesNewRomanPSMT" w:cs="TimesNewRomanPSMT"/>
          <w:sz w:val="26"/>
          <w:szCs w:val="26"/>
        </w:rPr>
        <w:t xml:space="preserve"> </w:t>
      </w:r>
      <w:r w:rsidRPr="006D29CD">
        <w:rPr>
          <w:rFonts w:ascii="TimesNewRomanPSMT" w:cs="TimesNewRomanPSMT" w:hint="cs"/>
          <w:sz w:val="26"/>
          <w:szCs w:val="26"/>
          <w:rtl/>
        </w:rPr>
        <w:t>على</w:t>
      </w:r>
      <w:r w:rsidRPr="006D29CD">
        <w:rPr>
          <w:rFonts w:ascii="TimesNewRomanPSMT" w:cs="TimesNewRomanPSMT"/>
          <w:sz w:val="26"/>
          <w:szCs w:val="26"/>
        </w:rPr>
        <w:t xml:space="preserve"> </w:t>
      </w:r>
      <w:r w:rsidRPr="006D29CD">
        <w:rPr>
          <w:rFonts w:ascii="TimesNewRomanPSMT" w:cs="TimesNewRomanPSMT" w:hint="cs"/>
          <w:sz w:val="26"/>
          <w:szCs w:val="26"/>
          <w:rtl/>
        </w:rPr>
        <w:t>و</w:t>
      </w:r>
      <w:r w:rsidRPr="006D29CD">
        <w:rPr>
          <w:rFonts w:ascii="TimesNewRomanPSMT" w:cs="TimesNewRomanPSMT"/>
          <w:sz w:val="26"/>
          <w:szCs w:val="26"/>
        </w:rPr>
        <w:t>/</w:t>
      </w:r>
      <w:r w:rsidRPr="006D29CD">
        <w:rPr>
          <w:rFonts w:ascii="TimesNewRomanPSMT" w:cs="TimesNewRomanPSMT" w:hint="cs"/>
          <w:sz w:val="26"/>
          <w:szCs w:val="26"/>
          <w:rtl/>
        </w:rPr>
        <w:t>أو</w:t>
      </w:r>
      <w:r w:rsidRPr="006D29CD">
        <w:rPr>
          <w:rFonts w:ascii="TimesNewRomanPSMT" w:cs="TimesNewRomanPSMT"/>
          <w:sz w:val="26"/>
          <w:szCs w:val="26"/>
        </w:rPr>
        <w:t xml:space="preserve"> </w:t>
      </w:r>
      <w:r w:rsidRPr="006D29CD">
        <w:rPr>
          <w:rFonts w:ascii="TimesNewRomanPSMT" w:cs="TimesNewRomanPSMT" w:hint="cs"/>
          <w:sz w:val="26"/>
          <w:szCs w:val="26"/>
          <w:rtl/>
        </w:rPr>
        <w:t>تعزيز</w:t>
      </w:r>
      <w:r w:rsidRPr="006D29CD">
        <w:rPr>
          <w:rFonts w:ascii="TimesNewRomanPSMT" w:cs="TimesNewRomanPSMT"/>
          <w:sz w:val="26"/>
          <w:szCs w:val="26"/>
        </w:rPr>
        <w:t xml:space="preserve"> </w:t>
      </w:r>
      <w:r w:rsidRPr="006D29CD">
        <w:rPr>
          <w:rFonts w:ascii="TimesNewRomanPSMT" w:cs="TimesNewRomanPSMT" w:hint="cs"/>
          <w:sz w:val="26"/>
          <w:szCs w:val="26"/>
          <w:rtl/>
        </w:rPr>
        <w:t>كفاءة</w:t>
      </w:r>
      <w:r w:rsidRPr="006D29CD">
        <w:rPr>
          <w:rFonts w:ascii="TimesNewRomanPSMT" w:cs="TimesNewRomanPSMT"/>
          <w:sz w:val="26"/>
          <w:szCs w:val="26"/>
        </w:rPr>
        <w:t xml:space="preserve"> </w:t>
      </w:r>
      <w:r w:rsidRPr="006D29CD">
        <w:rPr>
          <w:rFonts w:ascii="TimesNewRomanPSMT" w:cs="TimesNewRomanPSMT" w:hint="cs"/>
          <w:sz w:val="26"/>
          <w:szCs w:val="26"/>
          <w:rtl/>
        </w:rPr>
        <w:t>استخدام الطاقة</w:t>
      </w:r>
      <w:r w:rsidRPr="006D29CD">
        <w:rPr>
          <w:rFonts w:ascii="TimesNewRomanPSMT" w:cs="TimesNewRomanPSMT"/>
          <w:sz w:val="26"/>
          <w:szCs w:val="26"/>
        </w:rPr>
        <w:t xml:space="preserve"> </w:t>
      </w:r>
      <w:r w:rsidRPr="006D29CD">
        <w:rPr>
          <w:rFonts w:ascii="TimesNewRomanPSMT" w:cs="TimesNewRomanPSMT" w:hint="cs"/>
          <w:sz w:val="26"/>
          <w:szCs w:val="26"/>
          <w:rtl/>
        </w:rPr>
        <w:t>لتكنولوجيات</w:t>
      </w:r>
      <w:r w:rsidRPr="006D29CD">
        <w:rPr>
          <w:rFonts w:ascii="TimesNewRomanPSMT" w:cs="TimesNewRomanPSMT"/>
          <w:sz w:val="26"/>
          <w:szCs w:val="26"/>
        </w:rPr>
        <w:t xml:space="preserve"> </w:t>
      </w:r>
      <w:r w:rsidRPr="006D29CD">
        <w:rPr>
          <w:rFonts w:ascii="TimesNewRomanPSMT" w:cs="TimesNewRomanPSMT" w:hint="cs"/>
          <w:sz w:val="26"/>
          <w:szCs w:val="26"/>
          <w:rtl/>
        </w:rPr>
        <w:t>الإحلال</w:t>
      </w:r>
      <w:r w:rsidRPr="006D29CD">
        <w:rPr>
          <w:rFonts w:ascii="TimesNewRomanPSMT" w:cs="TimesNewRomanPSMT"/>
          <w:sz w:val="26"/>
          <w:szCs w:val="26"/>
        </w:rPr>
        <w:t xml:space="preserve"> </w:t>
      </w:r>
      <w:r w:rsidRPr="006D29CD">
        <w:rPr>
          <w:rFonts w:ascii="TimesNewRomanPSMT" w:cs="TimesNewRomanPSMT" w:hint="cs"/>
          <w:sz w:val="26"/>
          <w:szCs w:val="26"/>
          <w:rtl/>
        </w:rPr>
        <w:t>والمعدات</w:t>
      </w:r>
      <w:r w:rsidRPr="006D29CD">
        <w:rPr>
          <w:rFonts w:ascii="TimesNewRomanPSMT" w:cs="TimesNewRomanPSMT"/>
          <w:sz w:val="26"/>
          <w:szCs w:val="26"/>
        </w:rPr>
        <w:t xml:space="preserve"> </w:t>
      </w:r>
      <w:r w:rsidRPr="006D29CD">
        <w:rPr>
          <w:rFonts w:ascii="TimesNewRomanPSMT" w:cs="TimesNewRomanPSMT" w:hint="cs"/>
          <w:sz w:val="26"/>
          <w:szCs w:val="26"/>
          <w:rtl/>
        </w:rPr>
        <w:t>في</w:t>
      </w:r>
      <w:r w:rsidRPr="006D29CD">
        <w:rPr>
          <w:rFonts w:ascii="TimesNewRomanPSMT" w:cs="TimesNewRomanPSMT"/>
          <w:sz w:val="26"/>
          <w:szCs w:val="26"/>
        </w:rPr>
        <w:t xml:space="preserve"> </w:t>
      </w:r>
      <w:r w:rsidRPr="006D29CD">
        <w:rPr>
          <w:rFonts w:ascii="TimesNewRomanPSMT" w:cs="TimesNewRomanPSMT" w:hint="cs"/>
          <w:sz w:val="26"/>
          <w:szCs w:val="26"/>
          <w:rtl/>
        </w:rPr>
        <w:t>قطاعي</w:t>
      </w:r>
      <w:r w:rsidRPr="006D29CD">
        <w:rPr>
          <w:rFonts w:ascii="TimesNewRomanPSMT" w:cs="TimesNewRomanPSMT"/>
          <w:sz w:val="26"/>
          <w:szCs w:val="26"/>
        </w:rPr>
        <w:t xml:space="preserve"> </w:t>
      </w:r>
      <w:r w:rsidRPr="006D29CD">
        <w:rPr>
          <w:rFonts w:ascii="TimesNewRomanPSMT" w:cs="TimesNewRomanPSMT" w:hint="cs"/>
          <w:sz w:val="26"/>
          <w:szCs w:val="26"/>
          <w:rtl/>
        </w:rPr>
        <w:t>التصنيع</w:t>
      </w:r>
      <w:r w:rsidRPr="006D29CD">
        <w:rPr>
          <w:rFonts w:ascii="TimesNewRomanPSMT" w:cs="TimesNewRomanPSMT"/>
          <w:sz w:val="26"/>
          <w:szCs w:val="26"/>
        </w:rPr>
        <w:t xml:space="preserve"> </w:t>
      </w:r>
      <w:r w:rsidRPr="006D29CD">
        <w:rPr>
          <w:rFonts w:ascii="TimesNewRomanPSMT" w:cs="TimesNewRomanPSMT" w:hint="cs"/>
          <w:sz w:val="26"/>
          <w:szCs w:val="26"/>
          <w:rtl/>
        </w:rPr>
        <w:t>والخدمة</w:t>
      </w:r>
      <w:r w:rsidRPr="006D29CD">
        <w:rPr>
          <w:rFonts w:ascii="TimesNewRomanPSMT" w:cs="TimesNewRomanPSMT"/>
          <w:sz w:val="26"/>
          <w:szCs w:val="26"/>
        </w:rPr>
        <w:t xml:space="preserve"> </w:t>
      </w:r>
      <w:r w:rsidRPr="006D29CD">
        <w:rPr>
          <w:rFonts w:ascii="TimesNewRomanPSMT" w:cs="TimesNewRomanPSMT" w:hint="cs"/>
          <w:sz w:val="26"/>
          <w:szCs w:val="26"/>
          <w:rtl/>
        </w:rPr>
        <w:t>عند</w:t>
      </w:r>
      <w:r w:rsidRPr="006D29CD">
        <w:rPr>
          <w:rFonts w:ascii="TimesNewRomanPSMT" w:cs="TimesNewRomanPSMT"/>
          <w:sz w:val="26"/>
          <w:szCs w:val="26"/>
        </w:rPr>
        <w:t xml:space="preserve"> </w:t>
      </w:r>
      <w:r w:rsidRPr="006D29CD">
        <w:rPr>
          <w:rFonts w:ascii="TimesNewRomanPSMT" w:cs="TimesNewRomanPSMT" w:hint="cs"/>
          <w:sz w:val="26"/>
          <w:szCs w:val="26"/>
          <w:rtl/>
        </w:rPr>
        <w:t>التخفيض</w:t>
      </w:r>
      <w:r w:rsidRPr="006D29CD">
        <w:rPr>
          <w:rFonts w:ascii="TimesNewRomanPSMT" w:cs="TimesNewRomanPSMT"/>
          <w:sz w:val="26"/>
          <w:szCs w:val="26"/>
        </w:rPr>
        <w:t xml:space="preserve"> </w:t>
      </w:r>
      <w:r w:rsidRPr="006D29CD">
        <w:rPr>
          <w:rFonts w:ascii="TimesNewRomanPSMT" w:cs="TimesNewRomanPSMT" w:hint="cs"/>
          <w:sz w:val="26"/>
          <w:szCs w:val="26"/>
          <w:rtl/>
        </w:rPr>
        <w:t>التدريجي</w:t>
      </w:r>
      <w:r w:rsidRPr="006D29CD">
        <w:rPr>
          <w:rFonts w:ascii="TimesNewRomanPSMT" w:cs="TimesNewRomanPSMT"/>
          <w:sz w:val="26"/>
          <w:szCs w:val="26"/>
        </w:rPr>
        <w:t xml:space="preserve"> </w:t>
      </w:r>
      <w:r w:rsidRPr="006D29CD">
        <w:rPr>
          <w:rFonts w:ascii="TimesNewRomanPSMT" w:cs="TimesNewRomanPSMT" w:hint="cs"/>
          <w:sz w:val="26"/>
          <w:szCs w:val="26"/>
          <w:rtl/>
        </w:rPr>
        <w:t>للمواد الهيدروفلوروكربونية،</w:t>
      </w:r>
      <w:r w:rsidRPr="006D29CD">
        <w:rPr>
          <w:rFonts w:ascii="TimesNewRomanPSMT" w:cs="TimesNewRomanPSMT"/>
          <w:sz w:val="26"/>
          <w:szCs w:val="26"/>
        </w:rPr>
        <w:t xml:space="preserve"> </w:t>
      </w:r>
      <w:r w:rsidRPr="006D29CD">
        <w:rPr>
          <w:rFonts w:ascii="TimesNewRomanPSMT" w:cs="TimesNewRomanPSMT" w:hint="cs"/>
          <w:sz w:val="26"/>
          <w:szCs w:val="26"/>
          <w:rtl/>
        </w:rPr>
        <w:t>الواردة</w:t>
      </w:r>
      <w:r w:rsidRPr="006D29CD">
        <w:rPr>
          <w:rFonts w:ascii="TimesNewRomanPSMT" w:cs="TimesNewRomanPSMT"/>
          <w:sz w:val="26"/>
          <w:szCs w:val="26"/>
        </w:rPr>
        <w:t xml:space="preserve"> </w:t>
      </w:r>
      <w:r w:rsidRPr="006D29CD">
        <w:rPr>
          <w:rFonts w:ascii="TimesNewRomanPSMT" w:cs="TimesNewRomanPSMT" w:hint="cs"/>
          <w:sz w:val="26"/>
          <w:szCs w:val="26"/>
          <w:rtl/>
        </w:rPr>
        <w:t>في</w:t>
      </w:r>
      <w:r w:rsidRPr="006D29CD">
        <w:rPr>
          <w:rFonts w:ascii="TimesNewRomanPSMT" w:cs="TimesNewRomanPSMT"/>
          <w:sz w:val="26"/>
          <w:szCs w:val="26"/>
        </w:rPr>
        <w:t xml:space="preserve"> </w:t>
      </w:r>
      <w:r w:rsidRPr="006D29CD">
        <w:rPr>
          <w:rFonts w:ascii="TimesNewRomanPSMT" w:cs="TimesNewRomanPSMT" w:hint="cs"/>
          <w:sz w:val="26"/>
          <w:szCs w:val="26"/>
          <w:rtl/>
        </w:rPr>
        <w:t>الوثيقة</w:t>
      </w:r>
      <w:r w:rsidRPr="006D29CD">
        <w:rPr>
          <w:rFonts w:ascii="TimesNewRomanPSMT" w:cs="TimesNewRomanPSMT"/>
          <w:sz w:val="26"/>
          <w:szCs w:val="26"/>
        </w:rPr>
        <w:t>UNEP/</w:t>
      </w:r>
      <w:proofErr w:type="spellStart"/>
      <w:r w:rsidRPr="006D29CD">
        <w:rPr>
          <w:rFonts w:ascii="TimesNewRomanPSMT" w:cs="TimesNewRomanPSMT"/>
          <w:sz w:val="26"/>
          <w:szCs w:val="26"/>
        </w:rPr>
        <w:t>OzL.Pro</w:t>
      </w:r>
      <w:proofErr w:type="spellEnd"/>
      <w:r w:rsidRPr="006D29CD">
        <w:rPr>
          <w:rFonts w:ascii="TimesNewRomanPSMT" w:cs="TimesNewRomanPSMT"/>
          <w:sz w:val="26"/>
          <w:szCs w:val="26"/>
        </w:rPr>
        <w:t>/ExCom/91/64</w:t>
      </w:r>
      <w:r w:rsidR="00AA70F3">
        <w:rPr>
          <w:rFonts w:ascii="TimesNewRomanPSMT" w:cs="TimesNewRomanPSMT" w:hint="cs"/>
          <w:sz w:val="26"/>
          <w:szCs w:val="26"/>
          <w:rtl/>
        </w:rPr>
        <w:t xml:space="preserve"> </w:t>
      </w:r>
      <w:r w:rsidRPr="006D29CD">
        <w:rPr>
          <w:rFonts w:ascii="TimesNewRomanPSMT" w:cs="TimesNewRomanPSMT" w:hint="cs"/>
          <w:sz w:val="26"/>
          <w:szCs w:val="26"/>
          <w:rtl/>
        </w:rPr>
        <w:t>؛</w:t>
      </w:r>
    </w:p>
    <w:p w14:paraId="11FEB631" w14:textId="77777777" w:rsidR="005951CC" w:rsidRPr="006D29CD" w:rsidRDefault="005951CC" w:rsidP="005951CC">
      <w:pPr>
        <w:pStyle w:val="ListParagraph"/>
        <w:numPr>
          <w:ilvl w:val="0"/>
          <w:numId w:val="32"/>
        </w:numPr>
        <w:tabs>
          <w:tab w:val="left" w:pos="746"/>
        </w:tabs>
        <w:autoSpaceDE w:val="0"/>
        <w:autoSpaceDN w:val="0"/>
        <w:bidi/>
        <w:adjustRightInd w:val="0"/>
        <w:spacing w:after="120" w:line="240" w:lineRule="auto"/>
        <w:ind w:hanging="691"/>
        <w:contextualSpacing w:val="0"/>
        <w:jc w:val="both"/>
        <w:rPr>
          <w:rFonts w:ascii="TimesNewRomanPSMT" w:cs="TimesNewRomanPSMT"/>
          <w:sz w:val="26"/>
          <w:szCs w:val="26"/>
        </w:rPr>
      </w:pPr>
      <w:r w:rsidRPr="006D29CD">
        <w:rPr>
          <w:rFonts w:ascii="TimesNewRomanPSMT" w:cs="TimesNewRomanPSMT" w:hint="cs"/>
          <w:sz w:val="26"/>
          <w:szCs w:val="26"/>
          <w:rtl/>
        </w:rPr>
        <w:t>أن</w:t>
      </w:r>
      <w:r w:rsidRPr="006D29CD">
        <w:rPr>
          <w:rFonts w:ascii="TimesNewRomanPSMT" w:cs="TimesNewRomanPSMT"/>
          <w:sz w:val="26"/>
          <w:szCs w:val="26"/>
        </w:rPr>
        <w:t xml:space="preserve"> </w:t>
      </w:r>
      <w:r w:rsidRPr="006D29CD">
        <w:rPr>
          <w:rFonts w:ascii="TimesNewRomanPSMT" w:cs="TimesNewRomanPSMT" w:hint="cs"/>
          <w:sz w:val="26"/>
          <w:szCs w:val="26"/>
          <w:rtl/>
        </w:rPr>
        <w:t>تطلب</w:t>
      </w:r>
      <w:r w:rsidRPr="006D29CD">
        <w:rPr>
          <w:rFonts w:ascii="TimesNewRomanPSMT" w:cs="TimesNewRomanPSMT"/>
          <w:sz w:val="26"/>
          <w:szCs w:val="26"/>
        </w:rPr>
        <w:t xml:space="preserve"> </w:t>
      </w:r>
      <w:r w:rsidRPr="006D29CD">
        <w:rPr>
          <w:rFonts w:ascii="TimesNewRomanPSMT" w:cs="TimesNewRomanPSMT" w:hint="cs"/>
          <w:sz w:val="26"/>
          <w:szCs w:val="26"/>
          <w:rtl/>
        </w:rPr>
        <w:t>من</w:t>
      </w:r>
      <w:r w:rsidRPr="006D29CD">
        <w:rPr>
          <w:rFonts w:ascii="TimesNewRomanPSMT" w:cs="TimesNewRomanPSMT"/>
          <w:sz w:val="26"/>
          <w:szCs w:val="26"/>
        </w:rPr>
        <w:t xml:space="preserve"> </w:t>
      </w:r>
      <w:r w:rsidRPr="006D29CD">
        <w:rPr>
          <w:rFonts w:ascii="TimesNewRomanPSMT" w:cs="TimesNewRomanPSMT" w:hint="cs"/>
          <w:sz w:val="26"/>
          <w:szCs w:val="26"/>
          <w:rtl/>
        </w:rPr>
        <w:t>الأمانة</w:t>
      </w:r>
      <w:r w:rsidRPr="006D29CD">
        <w:rPr>
          <w:rFonts w:ascii="TimesNewRomanPSMT" w:cs="TimesNewRomanPSMT"/>
          <w:sz w:val="26"/>
          <w:szCs w:val="26"/>
        </w:rPr>
        <w:t xml:space="preserve"> </w:t>
      </w:r>
      <w:r w:rsidRPr="006D29CD">
        <w:rPr>
          <w:rFonts w:ascii="TimesNewRomanPSMT" w:cs="TimesNewRomanPSMT" w:hint="cs"/>
          <w:sz w:val="26"/>
          <w:szCs w:val="26"/>
          <w:rtl/>
        </w:rPr>
        <w:t>بالتشاور</w:t>
      </w:r>
      <w:r w:rsidRPr="006D29CD">
        <w:rPr>
          <w:rFonts w:ascii="TimesNewRomanPSMT" w:cs="TimesNewRomanPSMT"/>
          <w:sz w:val="26"/>
          <w:szCs w:val="26"/>
        </w:rPr>
        <w:t xml:space="preserve"> </w:t>
      </w:r>
      <w:r w:rsidRPr="006D29CD">
        <w:rPr>
          <w:rFonts w:ascii="TimesNewRomanPSMT" w:cs="TimesNewRomanPSMT" w:hint="cs"/>
          <w:sz w:val="26"/>
          <w:szCs w:val="26"/>
          <w:rtl/>
        </w:rPr>
        <w:t>مع</w:t>
      </w:r>
      <w:r w:rsidRPr="006D29CD">
        <w:rPr>
          <w:rFonts w:ascii="TimesNewRomanPSMT" w:cs="TimesNewRomanPSMT"/>
          <w:sz w:val="26"/>
          <w:szCs w:val="26"/>
        </w:rPr>
        <w:t xml:space="preserve"> </w:t>
      </w:r>
      <w:r w:rsidRPr="006D29CD">
        <w:rPr>
          <w:rFonts w:ascii="TimesNewRomanPSMT" w:cs="TimesNewRomanPSMT" w:hint="cs"/>
          <w:sz w:val="26"/>
          <w:szCs w:val="26"/>
          <w:rtl/>
        </w:rPr>
        <w:t>الوكالات</w:t>
      </w:r>
      <w:r w:rsidRPr="006D29CD">
        <w:rPr>
          <w:rFonts w:ascii="TimesNewRomanPSMT" w:cs="TimesNewRomanPSMT"/>
          <w:sz w:val="26"/>
          <w:szCs w:val="26"/>
        </w:rPr>
        <w:t xml:space="preserve"> </w:t>
      </w:r>
      <w:r w:rsidRPr="006D29CD">
        <w:rPr>
          <w:rFonts w:ascii="TimesNewRomanPSMT" w:cs="TimesNewRomanPSMT" w:hint="cs"/>
          <w:sz w:val="26"/>
          <w:szCs w:val="26"/>
          <w:rtl/>
        </w:rPr>
        <w:t>الثنائية</w:t>
      </w:r>
      <w:r w:rsidRPr="006D29CD">
        <w:rPr>
          <w:rFonts w:ascii="TimesNewRomanPSMT" w:cs="TimesNewRomanPSMT"/>
          <w:sz w:val="26"/>
          <w:szCs w:val="26"/>
        </w:rPr>
        <w:t xml:space="preserve"> </w:t>
      </w:r>
      <w:r w:rsidRPr="006D29CD">
        <w:rPr>
          <w:rFonts w:ascii="TimesNewRomanPSMT" w:cs="TimesNewRomanPSMT" w:hint="cs"/>
          <w:sz w:val="26"/>
          <w:szCs w:val="26"/>
          <w:rtl/>
        </w:rPr>
        <w:t>والمنفذة</w:t>
      </w:r>
      <w:r w:rsidRPr="006D29CD">
        <w:rPr>
          <w:rFonts w:ascii="TimesNewRomanPSMT" w:cs="TimesNewRomanPSMT"/>
          <w:sz w:val="26"/>
          <w:szCs w:val="26"/>
        </w:rPr>
        <w:t xml:space="preserve"> </w:t>
      </w:r>
      <w:r w:rsidRPr="006D29CD">
        <w:rPr>
          <w:rFonts w:ascii="TimesNewRomanPSMT" w:cs="TimesNewRomanPSMT" w:hint="cs"/>
          <w:sz w:val="26"/>
          <w:szCs w:val="26"/>
          <w:rtl/>
        </w:rPr>
        <w:t>إعداد</w:t>
      </w:r>
      <w:r w:rsidRPr="006D29CD">
        <w:rPr>
          <w:rFonts w:ascii="TimesNewRomanPSMT" w:cs="TimesNewRomanPSMT"/>
          <w:sz w:val="26"/>
          <w:szCs w:val="26"/>
        </w:rPr>
        <w:t xml:space="preserve"> </w:t>
      </w:r>
      <w:r w:rsidRPr="006D29CD">
        <w:rPr>
          <w:rFonts w:ascii="TimesNewRomanPSMT" w:cs="TimesNewRomanPSMT" w:hint="cs"/>
          <w:sz w:val="26"/>
          <w:szCs w:val="26"/>
          <w:rtl/>
        </w:rPr>
        <w:t>وثيقة</w:t>
      </w:r>
      <w:r w:rsidRPr="006D29CD">
        <w:rPr>
          <w:rFonts w:ascii="TimesNewRomanPSMT" w:cs="TimesNewRomanPSMT"/>
          <w:sz w:val="26"/>
          <w:szCs w:val="26"/>
        </w:rPr>
        <w:t xml:space="preserve"> </w:t>
      </w:r>
      <w:r w:rsidRPr="006D29CD">
        <w:rPr>
          <w:rFonts w:ascii="TimesNewRomanPSMT" w:cs="TimesNewRomanPSMT" w:hint="cs"/>
          <w:sz w:val="26"/>
          <w:szCs w:val="26"/>
          <w:rtl/>
        </w:rPr>
        <w:t>لتنظر</w:t>
      </w:r>
      <w:r w:rsidRPr="006D29CD">
        <w:rPr>
          <w:rFonts w:ascii="TimesNewRomanPSMT" w:cs="TimesNewRomanPSMT"/>
          <w:sz w:val="26"/>
          <w:szCs w:val="26"/>
        </w:rPr>
        <w:t xml:space="preserve"> </w:t>
      </w:r>
      <w:r w:rsidRPr="006D29CD">
        <w:rPr>
          <w:rFonts w:ascii="TimesNewRomanPSMT" w:cs="TimesNewRomanPSMT" w:hint="cs"/>
          <w:sz w:val="26"/>
          <w:szCs w:val="26"/>
          <w:rtl/>
        </w:rPr>
        <w:t>فيها</w:t>
      </w:r>
      <w:r w:rsidRPr="006D29CD">
        <w:rPr>
          <w:rFonts w:ascii="TimesNewRomanPSMT" w:cs="TimesNewRomanPSMT"/>
          <w:sz w:val="26"/>
          <w:szCs w:val="26"/>
        </w:rPr>
        <w:t xml:space="preserve"> </w:t>
      </w:r>
      <w:r w:rsidRPr="006D29CD">
        <w:rPr>
          <w:rFonts w:ascii="TimesNewRomanPSMT" w:cs="TimesNewRomanPSMT" w:hint="cs"/>
          <w:sz w:val="26"/>
          <w:szCs w:val="26"/>
          <w:rtl/>
        </w:rPr>
        <w:t>اللجنة</w:t>
      </w:r>
      <w:r w:rsidRPr="006D29CD">
        <w:rPr>
          <w:rFonts w:ascii="TimesNewRomanPSMT" w:cs="TimesNewRomanPSMT"/>
          <w:sz w:val="26"/>
          <w:szCs w:val="26"/>
        </w:rPr>
        <w:t xml:space="preserve"> </w:t>
      </w:r>
      <w:r w:rsidRPr="006D29CD">
        <w:rPr>
          <w:rFonts w:ascii="TimesNewRomanPSMT" w:cs="TimesNewRomanPSMT" w:hint="cs"/>
          <w:sz w:val="26"/>
          <w:szCs w:val="26"/>
          <w:rtl/>
        </w:rPr>
        <w:t>التنفيذية</w:t>
      </w:r>
      <w:r w:rsidRPr="006D29CD">
        <w:rPr>
          <w:rFonts w:ascii="TimesNewRomanPSMT" w:cs="TimesNewRomanPSMT"/>
          <w:sz w:val="26"/>
          <w:szCs w:val="26"/>
        </w:rPr>
        <w:t xml:space="preserve"> </w:t>
      </w:r>
      <w:r w:rsidRPr="006D29CD">
        <w:rPr>
          <w:rFonts w:ascii="TimesNewRomanPSMT" w:cs="TimesNewRomanPSMT" w:hint="cs"/>
          <w:sz w:val="26"/>
          <w:szCs w:val="26"/>
          <w:rtl/>
        </w:rPr>
        <w:t>في الاجتماع</w:t>
      </w:r>
      <w:r w:rsidRPr="006D29CD">
        <w:rPr>
          <w:rFonts w:ascii="TimesNewRomanPSMT" w:cs="TimesNewRomanPSMT"/>
          <w:sz w:val="26"/>
          <w:szCs w:val="26"/>
        </w:rPr>
        <w:t xml:space="preserve"> </w:t>
      </w:r>
      <w:r w:rsidRPr="006D29CD">
        <w:rPr>
          <w:rFonts w:ascii="TimesNewRomanPSMT" w:cs="TimesNewRomanPSMT" w:hint="cs"/>
          <w:sz w:val="26"/>
          <w:szCs w:val="26"/>
          <w:rtl/>
        </w:rPr>
        <w:t>الثاني</w:t>
      </w:r>
      <w:r w:rsidRPr="006D29CD">
        <w:rPr>
          <w:rFonts w:ascii="TimesNewRomanPSMT" w:cs="TimesNewRomanPSMT"/>
          <w:sz w:val="26"/>
          <w:szCs w:val="26"/>
        </w:rPr>
        <w:t xml:space="preserve"> </w:t>
      </w:r>
      <w:r w:rsidRPr="006D29CD">
        <w:rPr>
          <w:rFonts w:ascii="TimesNewRomanPSMT" w:cs="TimesNewRomanPSMT" w:hint="cs"/>
          <w:sz w:val="26"/>
          <w:szCs w:val="26"/>
          <w:rtl/>
        </w:rPr>
        <w:t>والتسعين</w:t>
      </w:r>
      <w:r w:rsidRPr="006D29CD">
        <w:rPr>
          <w:rFonts w:ascii="TimesNewRomanPSMT" w:cs="TimesNewRomanPSMT"/>
          <w:sz w:val="26"/>
          <w:szCs w:val="26"/>
        </w:rPr>
        <w:t xml:space="preserve"> </w:t>
      </w:r>
      <w:r w:rsidRPr="006D29CD">
        <w:rPr>
          <w:rFonts w:ascii="TimesNewRomanPSMT" w:cs="TimesNewRomanPSMT" w:hint="cs"/>
          <w:sz w:val="26"/>
          <w:szCs w:val="26"/>
          <w:rtl/>
        </w:rPr>
        <w:t>وتتضمن</w:t>
      </w:r>
      <w:r w:rsidRPr="006D29CD">
        <w:rPr>
          <w:rFonts w:ascii="TimesNewRomanPSMT" w:cs="TimesNewRomanPSMT"/>
          <w:sz w:val="26"/>
          <w:szCs w:val="26"/>
        </w:rPr>
        <w:t>:</w:t>
      </w:r>
    </w:p>
    <w:p w14:paraId="73A02D65" w14:textId="77777777" w:rsidR="005951CC" w:rsidRPr="006D29CD" w:rsidRDefault="005951CC" w:rsidP="005951CC">
      <w:pPr>
        <w:pStyle w:val="ListParagraph"/>
        <w:numPr>
          <w:ilvl w:val="0"/>
          <w:numId w:val="33"/>
        </w:numPr>
        <w:autoSpaceDE w:val="0"/>
        <w:autoSpaceDN w:val="0"/>
        <w:bidi/>
        <w:adjustRightInd w:val="0"/>
        <w:spacing w:after="120" w:line="240" w:lineRule="auto"/>
        <w:ind w:left="1282" w:hanging="562"/>
        <w:contextualSpacing w:val="0"/>
        <w:jc w:val="both"/>
        <w:rPr>
          <w:rFonts w:ascii="Times New Roman" w:hAnsi="Times New Roman" w:cs="Times New Roman"/>
          <w:sz w:val="26"/>
          <w:szCs w:val="26"/>
        </w:rPr>
      </w:pPr>
      <w:r w:rsidRPr="006D29CD">
        <w:rPr>
          <w:rFonts w:ascii="Times New Roman" w:hAnsi="Times New Roman" w:cs="Times New Roman" w:hint="cs"/>
          <w:sz w:val="26"/>
          <w:szCs w:val="26"/>
          <w:rtl/>
        </w:rPr>
        <w:t>إجراءات</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تقييم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لمقترحات</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المشاريع</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الواردة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في</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ضوءِ</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معايير</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المشاريع</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التجريبية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للحفاظ</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على و</w:t>
      </w:r>
      <w:r w:rsidRPr="006D29CD">
        <w:rPr>
          <w:rFonts w:ascii="Times New Roman" w:hAnsi="Times New Roman" w:cs="Times New Roman"/>
          <w:sz w:val="26"/>
          <w:szCs w:val="26"/>
        </w:rPr>
        <w:t>/</w:t>
      </w:r>
      <w:r w:rsidRPr="006D29CD">
        <w:rPr>
          <w:rFonts w:ascii="Times New Roman" w:hAnsi="Times New Roman" w:cs="Times New Roman" w:hint="cs"/>
          <w:sz w:val="26"/>
          <w:szCs w:val="26"/>
          <w:rtl/>
        </w:rPr>
        <w:t>أو</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تعزيز</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كفاءة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استخدام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الطاقة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لتكنولوجيات</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الإحلال</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والمعدات</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في</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سياق</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التخفيض التدريجي</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للمواد</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الهيدروفلوروكربونية؛</w:t>
      </w:r>
    </w:p>
    <w:p w14:paraId="62FA735A" w14:textId="77777777" w:rsidR="005951CC" w:rsidRPr="006D29CD" w:rsidRDefault="005951CC" w:rsidP="005951CC">
      <w:pPr>
        <w:pStyle w:val="ListParagraph"/>
        <w:numPr>
          <w:ilvl w:val="0"/>
          <w:numId w:val="33"/>
        </w:numPr>
        <w:autoSpaceDE w:val="0"/>
        <w:autoSpaceDN w:val="0"/>
        <w:bidi/>
        <w:adjustRightInd w:val="0"/>
        <w:spacing w:after="120" w:line="240" w:lineRule="auto"/>
        <w:ind w:left="1282" w:hanging="562"/>
        <w:contextualSpacing w:val="0"/>
        <w:jc w:val="both"/>
        <w:rPr>
          <w:rFonts w:ascii="Times New Roman" w:hAnsi="Times New Roman" w:cs="Times New Roman"/>
          <w:sz w:val="26"/>
          <w:szCs w:val="26"/>
        </w:rPr>
      </w:pPr>
      <w:r w:rsidRPr="006D29CD">
        <w:rPr>
          <w:rFonts w:ascii="Times New Roman" w:hAnsi="Times New Roman" w:cs="Times New Roman" w:hint="cs"/>
          <w:sz w:val="26"/>
          <w:szCs w:val="26"/>
          <w:rtl/>
        </w:rPr>
        <w:t>منهجية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لرصد</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التقدم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المحرز</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في</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المشاريع</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المتعلقة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بالفقرة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الفرعية</w:t>
      </w:r>
      <w:r w:rsidRPr="006D29CD">
        <w:rPr>
          <w:rFonts w:ascii="Times New Roman" w:hAnsi="Times New Roman" w:cs="Times New Roman"/>
          <w:sz w:val="26"/>
          <w:szCs w:val="26"/>
        </w:rPr>
        <w:t>)</w:t>
      </w:r>
      <w:r w:rsidRPr="006D29CD">
        <w:rPr>
          <w:rFonts w:ascii="Times New Roman" w:hAnsi="Times New Roman" w:cs="Times New Roman" w:hint="cs"/>
          <w:sz w:val="26"/>
          <w:szCs w:val="26"/>
          <w:rtl/>
        </w:rPr>
        <w:t>ب</w:t>
      </w:r>
      <w:r w:rsidRPr="006D29CD">
        <w:rPr>
          <w:rFonts w:ascii="Times New Roman" w:hAnsi="Times New Roman" w:cs="Times New Roman"/>
          <w:sz w:val="26"/>
          <w:szCs w:val="26"/>
        </w:rPr>
        <w:t>(1) (</w:t>
      </w:r>
      <w:r w:rsidRPr="006D29CD">
        <w:rPr>
          <w:rFonts w:ascii="Times New Roman" w:hAnsi="Times New Roman" w:cs="Times New Roman" w:hint="cs"/>
          <w:sz w:val="26"/>
          <w:szCs w:val="26"/>
          <w:rtl/>
          <w:lang w:bidi="ar-EG"/>
        </w:rPr>
        <w:t xml:space="preserve"> </w:t>
      </w:r>
      <w:r w:rsidRPr="006D29CD">
        <w:rPr>
          <w:rFonts w:ascii="Times New Roman" w:hAnsi="Times New Roman" w:cs="Times New Roman" w:hint="cs"/>
          <w:sz w:val="26"/>
          <w:szCs w:val="26"/>
          <w:rtl/>
        </w:rPr>
        <w:t>أعلاه</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والإبلاغ</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عنه؛</w:t>
      </w:r>
    </w:p>
    <w:p w14:paraId="3D2820AF" w14:textId="17B0F9C4" w:rsidR="005951CC" w:rsidRPr="006D29CD" w:rsidRDefault="005951CC" w:rsidP="005951CC">
      <w:pPr>
        <w:pStyle w:val="ListParagraph"/>
        <w:numPr>
          <w:ilvl w:val="0"/>
          <w:numId w:val="33"/>
        </w:numPr>
        <w:autoSpaceDE w:val="0"/>
        <w:autoSpaceDN w:val="0"/>
        <w:bidi/>
        <w:adjustRightInd w:val="0"/>
        <w:spacing w:after="120" w:line="240" w:lineRule="auto"/>
        <w:ind w:left="1282" w:hanging="562"/>
        <w:contextualSpacing w:val="0"/>
        <w:jc w:val="both"/>
        <w:rPr>
          <w:rFonts w:ascii="Times New Roman" w:hAnsi="Times New Roman" w:cs="Times New Roman"/>
          <w:sz w:val="26"/>
          <w:szCs w:val="26"/>
        </w:rPr>
      </w:pPr>
      <w:r w:rsidRPr="006D29CD">
        <w:rPr>
          <w:rFonts w:ascii="Times New Roman" w:hAnsi="Times New Roman" w:cs="Times New Roman" w:hint="cs"/>
          <w:sz w:val="26"/>
          <w:szCs w:val="26"/>
          <w:rtl/>
        </w:rPr>
        <w:t>منهجية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لتقييم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النتائج</w:t>
      </w:r>
      <w:r w:rsidRPr="006D29CD">
        <w:rPr>
          <w:rFonts w:ascii="Times New Roman" w:hAnsi="Times New Roman" w:cs="Times New Roman"/>
          <w:sz w:val="26"/>
          <w:szCs w:val="26"/>
        </w:rPr>
        <w:t>/</w:t>
      </w:r>
      <w:r w:rsidRPr="006D29CD">
        <w:rPr>
          <w:rFonts w:ascii="Times New Roman" w:hAnsi="Times New Roman" w:cs="Times New Roman" w:hint="cs"/>
          <w:sz w:val="26"/>
          <w:szCs w:val="26"/>
          <w:rtl/>
        </w:rPr>
        <w:t>الفوائد</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لتقييم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المكاسب</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في</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كفاءة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استخدام</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الطاقة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نتيجة</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تنفيذ</w:t>
      </w:r>
      <w:r w:rsidRPr="006D29CD">
        <w:rPr>
          <w:rFonts w:ascii="Times New Roman" w:hAnsi="Times New Roman" w:cs="Times New Roman"/>
          <w:sz w:val="26"/>
          <w:szCs w:val="26"/>
        </w:rPr>
        <w:t xml:space="preserve"> </w:t>
      </w:r>
      <w:r w:rsidRPr="006D29CD">
        <w:rPr>
          <w:rFonts w:ascii="Times New Roman" w:hAnsi="Times New Roman" w:cs="Times New Roman" w:hint="cs"/>
          <w:sz w:val="26"/>
          <w:szCs w:val="26"/>
          <w:rtl/>
        </w:rPr>
        <w:t>المشاريع التجريبية؛</w:t>
      </w:r>
      <w:r w:rsidRPr="006D29CD">
        <w:rPr>
          <w:rFonts w:ascii="Times New Roman" w:hAnsi="Times New Roman" w:cs="Times New Roman"/>
          <w:sz w:val="26"/>
          <w:szCs w:val="26"/>
        </w:rPr>
        <w:t xml:space="preserve"> </w:t>
      </w:r>
    </w:p>
    <w:p w14:paraId="477A9D02" w14:textId="77777777" w:rsidR="005951CC" w:rsidRPr="006D29CD" w:rsidRDefault="005951CC" w:rsidP="005951CC">
      <w:pPr>
        <w:pStyle w:val="ListParagraph"/>
        <w:numPr>
          <w:ilvl w:val="0"/>
          <w:numId w:val="32"/>
        </w:numPr>
        <w:tabs>
          <w:tab w:val="left" w:pos="746"/>
        </w:tabs>
        <w:autoSpaceDE w:val="0"/>
        <w:autoSpaceDN w:val="0"/>
        <w:bidi/>
        <w:adjustRightInd w:val="0"/>
        <w:spacing w:after="120" w:line="240" w:lineRule="auto"/>
        <w:ind w:hanging="691"/>
        <w:contextualSpacing w:val="0"/>
        <w:jc w:val="both"/>
        <w:rPr>
          <w:rFonts w:ascii="TimesNewRomanPSMT" w:cs="TimesNewRomanPSMT"/>
          <w:sz w:val="26"/>
          <w:szCs w:val="26"/>
        </w:rPr>
      </w:pPr>
      <w:r w:rsidRPr="006D29CD">
        <w:rPr>
          <w:rFonts w:ascii="TimesNewRomanPSMT" w:cs="TimesNewRomanPSMT" w:hint="cs"/>
          <w:sz w:val="26"/>
          <w:szCs w:val="26"/>
          <w:rtl/>
        </w:rPr>
        <w:t>أن</w:t>
      </w:r>
      <w:r w:rsidRPr="006D29CD">
        <w:rPr>
          <w:rFonts w:ascii="TimesNewRomanPSMT" w:cs="TimesNewRomanPSMT"/>
          <w:sz w:val="26"/>
          <w:szCs w:val="26"/>
        </w:rPr>
        <w:t xml:space="preserve"> </w:t>
      </w:r>
      <w:r w:rsidRPr="006D29CD">
        <w:rPr>
          <w:rFonts w:ascii="TimesNewRomanPSMT" w:cs="TimesNewRomanPSMT" w:hint="cs"/>
          <w:sz w:val="26"/>
          <w:szCs w:val="26"/>
          <w:rtl/>
        </w:rPr>
        <w:t>تحيط</w:t>
      </w:r>
      <w:r w:rsidRPr="006D29CD">
        <w:rPr>
          <w:rFonts w:ascii="TimesNewRomanPSMT" w:cs="TimesNewRomanPSMT"/>
          <w:sz w:val="26"/>
          <w:szCs w:val="26"/>
        </w:rPr>
        <w:t xml:space="preserve"> </w:t>
      </w:r>
      <w:r w:rsidRPr="006D29CD">
        <w:rPr>
          <w:rFonts w:ascii="TimesNewRomanPSMT" w:cs="TimesNewRomanPSMT" w:hint="cs"/>
          <w:sz w:val="26"/>
          <w:szCs w:val="26"/>
          <w:rtl/>
        </w:rPr>
        <w:t>علما</w:t>
      </w:r>
      <w:r w:rsidRPr="006D29CD">
        <w:rPr>
          <w:rFonts w:ascii="TimesNewRomanPSMT" w:cs="TimesNewRomanPSMT"/>
          <w:sz w:val="26"/>
          <w:szCs w:val="26"/>
        </w:rPr>
        <w:t xml:space="preserve"> </w:t>
      </w:r>
      <w:r w:rsidRPr="006D29CD">
        <w:rPr>
          <w:rFonts w:ascii="TimesNewRomanPSMT" w:cs="TimesNewRomanPSMT" w:hint="cs"/>
          <w:sz w:val="26"/>
          <w:szCs w:val="26"/>
          <w:rtl/>
        </w:rPr>
        <w:t>بجميع</w:t>
      </w:r>
      <w:r w:rsidRPr="006D29CD">
        <w:rPr>
          <w:rFonts w:ascii="TimesNewRomanPSMT" w:cs="TimesNewRomanPSMT"/>
          <w:sz w:val="26"/>
          <w:szCs w:val="26"/>
        </w:rPr>
        <w:t xml:space="preserve"> </w:t>
      </w:r>
      <w:r w:rsidRPr="006D29CD">
        <w:rPr>
          <w:rFonts w:ascii="TimesNewRomanPSMT" w:cs="TimesNewRomanPSMT" w:hint="cs"/>
          <w:sz w:val="26"/>
          <w:szCs w:val="26"/>
          <w:rtl/>
        </w:rPr>
        <w:t>المعلومات</w:t>
      </w:r>
      <w:r w:rsidRPr="006D29CD">
        <w:rPr>
          <w:rFonts w:ascii="TimesNewRomanPSMT" w:cs="TimesNewRomanPSMT"/>
          <w:sz w:val="26"/>
          <w:szCs w:val="26"/>
        </w:rPr>
        <w:t xml:space="preserve"> </w:t>
      </w:r>
      <w:r w:rsidRPr="006D29CD">
        <w:rPr>
          <w:rFonts w:ascii="TimesNewRomanPSMT" w:cs="TimesNewRomanPSMT" w:hint="cs"/>
          <w:sz w:val="26"/>
          <w:szCs w:val="26"/>
          <w:rtl/>
        </w:rPr>
        <w:t>التي</w:t>
      </w:r>
      <w:r w:rsidRPr="006D29CD">
        <w:rPr>
          <w:rFonts w:ascii="TimesNewRomanPSMT" w:cs="TimesNewRomanPSMT"/>
          <w:sz w:val="26"/>
          <w:szCs w:val="26"/>
        </w:rPr>
        <w:t xml:space="preserve"> </w:t>
      </w:r>
      <w:r w:rsidRPr="006D29CD">
        <w:rPr>
          <w:rFonts w:ascii="TimesNewRomanPSMT" w:cs="TimesNewRomanPSMT" w:hint="cs"/>
          <w:sz w:val="26"/>
          <w:szCs w:val="26"/>
          <w:rtl/>
        </w:rPr>
        <w:t>تم</w:t>
      </w:r>
      <w:r w:rsidRPr="006D29CD">
        <w:rPr>
          <w:rFonts w:ascii="TimesNewRomanPSMT" w:cs="TimesNewRomanPSMT"/>
          <w:sz w:val="26"/>
          <w:szCs w:val="26"/>
        </w:rPr>
        <w:t xml:space="preserve"> </w:t>
      </w:r>
      <w:r w:rsidRPr="006D29CD">
        <w:rPr>
          <w:rFonts w:ascii="TimesNewRomanPSMT" w:cs="TimesNewRomanPSMT" w:hint="cs"/>
          <w:sz w:val="26"/>
          <w:szCs w:val="26"/>
          <w:rtl/>
        </w:rPr>
        <w:t>جمعها</w:t>
      </w:r>
      <w:r w:rsidRPr="006D29CD">
        <w:rPr>
          <w:rFonts w:ascii="TimesNewRomanPSMT" w:cs="TimesNewRomanPSMT"/>
          <w:sz w:val="26"/>
          <w:szCs w:val="26"/>
        </w:rPr>
        <w:t xml:space="preserve"> </w:t>
      </w:r>
      <w:r w:rsidRPr="006D29CD">
        <w:rPr>
          <w:rFonts w:ascii="TimesNewRomanPSMT" w:cs="TimesNewRomanPSMT" w:hint="cs"/>
          <w:sz w:val="26"/>
          <w:szCs w:val="26"/>
          <w:rtl/>
        </w:rPr>
        <w:t>والوثائق</w:t>
      </w:r>
      <w:r w:rsidRPr="006D29CD">
        <w:rPr>
          <w:rFonts w:ascii="TimesNewRomanPSMT" w:cs="TimesNewRomanPSMT"/>
          <w:sz w:val="26"/>
          <w:szCs w:val="26"/>
        </w:rPr>
        <w:t xml:space="preserve"> </w:t>
      </w:r>
      <w:r w:rsidRPr="006D29CD">
        <w:rPr>
          <w:rFonts w:ascii="TimesNewRomanPSMT" w:cs="TimesNewRomanPSMT" w:hint="cs"/>
          <w:sz w:val="26"/>
          <w:szCs w:val="26"/>
          <w:rtl/>
        </w:rPr>
        <w:t>التي</w:t>
      </w:r>
      <w:r w:rsidRPr="006D29CD">
        <w:rPr>
          <w:rFonts w:ascii="TimesNewRomanPSMT" w:cs="TimesNewRomanPSMT"/>
          <w:sz w:val="26"/>
          <w:szCs w:val="26"/>
        </w:rPr>
        <w:t xml:space="preserve"> </w:t>
      </w:r>
      <w:r w:rsidRPr="006D29CD">
        <w:rPr>
          <w:rFonts w:ascii="TimesNewRomanPSMT" w:cs="TimesNewRomanPSMT" w:hint="cs"/>
          <w:sz w:val="26"/>
          <w:szCs w:val="26"/>
          <w:rtl/>
        </w:rPr>
        <w:t>أعدتها</w:t>
      </w:r>
      <w:r w:rsidRPr="006D29CD">
        <w:rPr>
          <w:rFonts w:ascii="TimesNewRomanPSMT" w:cs="TimesNewRomanPSMT"/>
          <w:sz w:val="26"/>
          <w:szCs w:val="26"/>
        </w:rPr>
        <w:t xml:space="preserve"> </w:t>
      </w:r>
      <w:r w:rsidRPr="006D29CD">
        <w:rPr>
          <w:rFonts w:ascii="TimesNewRomanPSMT" w:cs="TimesNewRomanPSMT" w:hint="cs"/>
          <w:sz w:val="26"/>
          <w:szCs w:val="26"/>
          <w:rtl/>
        </w:rPr>
        <w:t>الأمانة</w:t>
      </w:r>
      <w:r w:rsidRPr="006D29CD">
        <w:rPr>
          <w:rFonts w:ascii="TimesNewRomanPSMT" w:cs="TimesNewRomanPSMT"/>
          <w:sz w:val="26"/>
          <w:szCs w:val="26"/>
        </w:rPr>
        <w:t xml:space="preserve"> </w:t>
      </w:r>
      <w:r w:rsidRPr="006D29CD">
        <w:rPr>
          <w:rFonts w:ascii="TimesNewRomanPSMT" w:cs="TimesNewRomanPSMT" w:hint="cs"/>
          <w:sz w:val="26"/>
          <w:szCs w:val="26"/>
          <w:rtl/>
        </w:rPr>
        <w:t>وفرقة</w:t>
      </w:r>
      <w:r w:rsidRPr="006D29CD">
        <w:rPr>
          <w:rFonts w:ascii="TimesNewRomanPSMT" w:cs="TimesNewRomanPSMT"/>
          <w:sz w:val="26"/>
          <w:szCs w:val="26"/>
        </w:rPr>
        <w:t xml:space="preserve"> </w:t>
      </w:r>
      <w:r w:rsidRPr="006D29CD">
        <w:rPr>
          <w:rFonts w:ascii="TimesNewRomanPSMT" w:cs="TimesNewRomanPSMT" w:hint="cs"/>
          <w:sz w:val="26"/>
          <w:szCs w:val="26"/>
          <w:rtl/>
        </w:rPr>
        <w:t>العمل</w:t>
      </w:r>
      <w:r w:rsidRPr="006D29CD">
        <w:rPr>
          <w:rFonts w:ascii="TimesNewRomanPSMT" w:cs="TimesNewRomanPSMT"/>
          <w:sz w:val="26"/>
          <w:szCs w:val="26"/>
        </w:rPr>
        <w:t xml:space="preserve"> </w:t>
      </w:r>
      <w:r w:rsidRPr="006D29CD">
        <w:rPr>
          <w:rFonts w:ascii="TimesNewRomanPSMT" w:cs="TimesNewRomanPSMT" w:hint="cs"/>
          <w:sz w:val="26"/>
          <w:szCs w:val="26"/>
          <w:rtl/>
        </w:rPr>
        <w:t>المعنية بكفاءة</w:t>
      </w:r>
      <w:r w:rsidRPr="006D29CD">
        <w:rPr>
          <w:rFonts w:ascii="TimesNewRomanPSMT" w:cs="TimesNewRomanPSMT"/>
          <w:sz w:val="26"/>
          <w:szCs w:val="26"/>
        </w:rPr>
        <w:t xml:space="preserve"> </w:t>
      </w:r>
      <w:r w:rsidRPr="006D29CD">
        <w:rPr>
          <w:rFonts w:ascii="TimesNewRomanPSMT" w:cs="TimesNewRomanPSMT" w:hint="cs"/>
          <w:sz w:val="26"/>
          <w:szCs w:val="26"/>
          <w:rtl/>
        </w:rPr>
        <w:t>استخدام</w:t>
      </w:r>
      <w:r w:rsidRPr="006D29CD">
        <w:rPr>
          <w:rFonts w:ascii="TimesNewRomanPSMT" w:cs="TimesNewRomanPSMT"/>
          <w:sz w:val="26"/>
          <w:szCs w:val="26"/>
        </w:rPr>
        <w:t xml:space="preserve"> </w:t>
      </w:r>
      <w:r w:rsidRPr="006D29CD">
        <w:rPr>
          <w:rFonts w:ascii="TimesNewRomanPSMT" w:cs="TimesNewRomanPSMT" w:hint="cs"/>
          <w:sz w:val="26"/>
          <w:szCs w:val="26"/>
          <w:rtl/>
        </w:rPr>
        <w:t>الطاقة</w:t>
      </w:r>
      <w:r w:rsidRPr="006D29CD">
        <w:rPr>
          <w:rFonts w:ascii="TimesNewRomanPSMT" w:cs="TimesNewRomanPSMT"/>
          <w:sz w:val="26"/>
          <w:szCs w:val="26"/>
        </w:rPr>
        <w:t xml:space="preserve"> </w:t>
      </w:r>
      <w:r w:rsidRPr="006D29CD">
        <w:rPr>
          <w:rFonts w:ascii="TimesNewRomanPSMT" w:cs="TimesNewRomanPSMT" w:hint="cs"/>
          <w:sz w:val="26"/>
          <w:szCs w:val="26"/>
          <w:rtl/>
        </w:rPr>
        <w:t>التابعة</w:t>
      </w:r>
      <w:r w:rsidRPr="006D29CD">
        <w:rPr>
          <w:rFonts w:ascii="TimesNewRomanPSMT" w:cs="TimesNewRomanPSMT"/>
          <w:sz w:val="26"/>
          <w:szCs w:val="26"/>
        </w:rPr>
        <w:t xml:space="preserve"> </w:t>
      </w:r>
      <w:r w:rsidRPr="006D29CD">
        <w:rPr>
          <w:rFonts w:ascii="TimesNewRomanPSMT" w:cs="TimesNewRomanPSMT" w:hint="cs"/>
          <w:sz w:val="26"/>
          <w:szCs w:val="26"/>
          <w:rtl/>
        </w:rPr>
        <w:t>لفريق</w:t>
      </w:r>
      <w:r w:rsidRPr="006D29CD">
        <w:rPr>
          <w:rFonts w:ascii="TimesNewRomanPSMT" w:cs="TimesNewRomanPSMT"/>
          <w:sz w:val="26"/>
          <w:szCs w:val="26"/>
        </w:rPr>
        <w:t xml:space="preserve"> </w:t>
      </w:r>
      <w:r w:rsidRPr="006D29CD">
        <w:rPr>
          <w:rFonts w:ascii="TimesNewRomanPSMT" w:cs="TimesNewRomanPSMT" w:hint="cs"/>
          <w:sz w:val="26"/>
          <w:szCs w:val="26"/>
          <w:rtl/>
        </w:rPr>
        <w:t>التكنولوجيا</w:t>
      </w:r>
      <w:r w:rsidRPr="006D29CD">
        <w:rPr>
          <w:rFonts w:ascii="TimesNewRomanPSMT" w:cs="TimesNewRomanPSMT"/>
          <w:sz w:val="26"/>
          <w:szCs w:val="26"/>
        </w:rPr>
        <w:t xml:space="preserve"> </w:t>
      </w:r>
      <w:r w:rsidRPr="006D29CD">
        <w:rPr>
          <w:rFonts w:ascii="TimesNewRomanPSMT" w:cs="TimesNewRomanPSMT" w:hint="cs"/>
          <w:sz w:val="26"/>
          <w:szCs w:val="26"/>
          <w:rtl/>
        </w:rPr>
        <w:t>والتقييم</w:t>
      </w:r>
      <w:r w:rsidRPr="006D29CD">
        <w:rPr>
          <w:rFonts w:ascii="TimesNewRomanPSMT" w:cs="TimesNewRomanPSMT"/>
          <w:sz w:val="26"/>
          <w:szCs w:val="26"/>
        </w:rPr>
        <w:t xml:space="preserve"> </w:t>
      </w:r>
      <w:r w:rsidRPr="006D29CD">
        <w:rPr>
          <w:rFonts w:ascii="TimesNewRomanPSMT" w:cs="TimesNewRomanPSMT" w:hint="cs"/>
          <w:sz w:val="26"/>
          <w:szCs w:val="26"/>
          <w:rtl/>
        </w:rPr>
        <w:t>الاقتصادي</w:t>
      </w:r>
      <w:r w:rsidRPr="006D29CD">
        <w:rPr>
          <w:rFonts w:ascii="TimesNewRomanPSMT" w:cs="TimesNewRomanPSMT"/>
          <w:sz w:val="26"/>
          <w:szCs w:val="26"/>
        </w:rPr>
        <w:t xml:space="preserve"> </w:t>
      </w:r>
      <w:r w:rsidRPr="006D29CD">
        <w:rPr>
          <w:rFonts w:ascii="TimesNewRomanPSMT" w:cs="TimesNewRomanPSMT" w:hint="cs"/>
          <w:sz w:val="26"/>
          <w:szCs w:val="26"/>
          <w:rtl/>
        </w:rPr>
        <w:t>والمتعلقة</w:t>
      </w:r>
      <w:r w:rsidRPr="006D29CD">
        <w:rPr>
          <w:rFonts w:ascii="TimesNewRomanPSMT" w:cs="TimesNewRomanPSMT"/>
          <w:sz w:val="26"/>
          <w:szCs w:val="26"/>
        </w:rPr>
        <w:t xml:space="preserve"> </w:t>
      </w:r>
      <w:r w:rsidRPr="006D29CD">
        <w:rPr>
          <w:rFonts w:ascii="TimesNewRomanPSMT" w:cs="TimesNewRomanPSMT" w:hint="cs"/>
          <w:sz w:val="26"/>
          <w:szCs w:val="26"/>
          <w:rtl/>
        </w:rPr>
        <w:t>بالمقرر</w:t>
      </w:r>
      <w:r w:rsidRPr="006D29CD">
        <w:rPr>
          <w:rFonts w:ascii="TimesNewRomanPSMT" w:cs="TimesNewRomanPSMT"/>
          <w:sz w:val="26"/>
          <w:szCs w:val="26"/>
        </w:rPr>
        <w:t xml:space="preserve"> </w:t>
      </w:r>
      <w:r w:rsidRPr="006D29CD">
        <w:rPr>
          <w:rFonts w:ascii="TimesNewRomanPSMT" w:cs="TimesNewRomanPSMT" w:hint="cs"/>
          <w:sz w:val="26"/>
          <w:szCs w:val="26"/>
          <w:rtl/>
        </w:rPr>
        <w:t xml:space="preserve">28/2 </w:t>
      </w:r>
      <w:r w:rsidRPr="006D29CD">
        <w:rPr>
          <w:rFonts w:ascii="TimesNewRomanPSMT" w:cs="TimesNewRomanPSMT" w:hint="cs"/>
          <w:sz w:val="26"/>
          <w:szCs w:val="26"/>
          <w:rtl/>
          <w:lang w:bidi="ar-EG"/>
        </w:rPr>
        <w:t xml:space="preserve">وأن </w:t>
      </w:r>
      <w:r w:rsidRPr="006D29CD">
        <w:rPr>
          <w:rFonts w:ascii="TimesNewRomanPSMT" w:cs="TimesNewRomanPSMT" w:hint="cs"/>
          <w:sz w:val="26"/>
          <w:szCs w:val="26"/>
          <w:rtl/>
        </w:rPr>
        <w:t>تطلب</w:t>
      </w:r>
      <w:r w:rsidRPr="006D29CD">
        <w:rPr>
          <w:rFonts w:ascii="TimesNewRomanPSMT" w:cs="TimesNewRomanPSMT"/>
          <w:sz w:val="26"/>
          <w:szCs w:val="26"/>
        </w:rPr>
        <w:t xml:space="preserve"> </w:t>
      </w:r>
      <w:r w:rsidRPr="006D29CD">
        <w:rPr>
          <w:rFonts w:ascii="TimesNewRomanPSMT" w:cs="TimesNewRomanPSMT" w:hint="cs"/>
          <w:sz w:val="26"/>
          <w:szCs w:val="26"/>
          <w:rtl/>
        </w:rPr>
        <w:t>من</w:t>
      </w:r>
      <w:r w:rsidRPr="006D29CD">
        <w:rPr>
          <w:rFonts w:ascii="TimesNewRomanPSMT" w:cs="TimesNewRomanPSMT"/>
          <w:sz w:val="26"/>
          <w:szCs w:val="26"/>
        </w:rPr>
        <w:t xml:space="preserve"> </w:t>
      </w:r>
      <w:r w:rsidRPr="006D29CD">
        <w:rPr>
          <w:rFonts w:ascii="TimesNewRomanPSMT" w:cs="TimesNewRomanPSMT" w:hint="cs"/>
          <w:sz w:val="26"/>
          <w:szCs w:val="26"/>
          <w:rtl/>
        </w:rPr>
        <w:t>الأمانة</w:t>
      </w:r>
      <w:r w:rsidRPr="006D29CD">
        <w:rPr>
          <w:rFonts w:ascii="TimesNewRomanPSMT" w:cs="TimesNewRomanPSMT"/>
          <w:sz w:val="26"/>
          <w:szCs w:val="26"/>
        </w:rPr>
        <w:t xml:space="preserve"> </w:t>
      </w:r>
      <w:r w:rsidRPr="006D29CD">
        <w:rPr>
          <w:rFonts w:ascii="TimesNewRomanPSMT" w:cs="TimesNewRomanPSMT" w:hint="cs"/>
          <w:sz w:val="26"/>
          <w:szCs w:val="26"/>
          <w:rtl/>
        </w:rPr>
        <w:t>دعوة</w:t>
      </w:r>
      <w:r w:rsidRPr="006D29CD">
        <w:rPr>
          <w:rFonts w:ascii="TimesNewRomanPSMT" w:cs="TimesNewRomanPSMT"/>
          <w:sz w:val="26"/>
          <w:szCs w:val="26"/>
        </w:rPr>
        <w:t xml:space="preserve"> </w:t>
      </w:r>
      <w:r w:rsidRPr="006D29CD">
        <w:rPr>
          <w:rFonts w:ascii="TimesNewRomanPSMT" w:cs="TimesNewRomanPSMT" w:hint="cs"/>
          <w:sz w:val="26"/>
          <w:szCs w:val="26"/>
          <w:rtl/>
        </w:rPr>
        <w:t>مرفق</w:t>
      </w:r>
      <w:r w:rsidRPr="006D29CD">
        <w:rPr>
          <w:rFonts w:ascii="TimesNewRomanPSMT" w:cs="TimesNewRomanPSMT"/>
          <w:sz w:val="26"/>
          <w:szCs w:val="26"/>
        </w:rPr>
        <w:t xml:space="preserve"> </w:t>
      </w:r>
      <w:r w:rsidRPr="006D29CD">
        <w:rPr>
          <w:rFonts w:ascii="TimesNewRomanPSMT" w:cs="TimesNewRomanPSMT" w:hint="cs"/>
          <w:sz w:val="26"/>
          <w:szCs w:val="26"/>
          <w:rtl/>
        </w:rPr>
        <w:t>البيئة</w:t>
      </w:r>
      <w:r w:rsidRPr="006D29CD">
        <w:rPr>
          <w:rFonts w:ascii="TimesNewRomanPSMT" w:cs="TimesNewRomanPSMT"/>
          <w:sz w:val="26"/>
          <w:szCs w:val="26"/>
        </w:rPr>
        <w:t xml:space="preserve"> </w:t>
      </w:r>
      <w:r w:rsidRPr="006D29CD">
        <w:rPr>
          <w:rFonts w:ascii="TimesNewRomanPSMT" w:cs="TimesNewRomanPSMT" w:hint="cs"/>
          <w:sz w:val="26"/>
          <w:szCs w:val="26"/>
          <w:rtl/>
        </w:rPr>
        <w:t>العالمية</w:t>
      </w:r>
      <w:r w:rsidRPr="006D29CD">
        <w:rPr>
          <w:rFonts w:ascii="TimesNewRomanPSMT" w:cs="TimesNewRomanPSMT"/>
          <w:sz w:val="26"/>
          <w:szCs w:val="26"/>
        </w:rPr>
        <w:t xml:space="preserve"> </w:t>
      </w:r>
      <w:r w:rsidRPr="006D29CD">
        <w:rPr>
          <w:rFonts w:ascii="TimesNewRomanPSMT" w:cs="TimesNewRomanPSMT" w:hint="cs"/>
          <w:sz w:val="26"/>
          <w:szCs w:val="26"/>
          <w:rtl/>
        </w:rPr>
        <w:t>والصندوق</w:t>
      </w:r>
      <w:r w:rsidRPr="006D29CD">
        <w:rPr>
          <w:rFonts w:ascii="TimesNewRomanPSMT" w:cs="TimesNewRomanPSMT"/>
          <w:sz w:val="26"/>
          <w:szCs w:val="26"/>
        </w:rPr>
        <w:t xml:space="preserve"> </w:t>
      </w:r>
      <w:r w:rsidRPr="006D29CD">
        <w:rPr>
          <w:rFonts w:ascii="TimesNewRomanPSMT" w:cs="TimesNewRomanPSMT" w:hint="cs"/>
          <w:sz w:val="26"/>
          <w:szCs w:val="26"/>
          <w:rtl/>
        </w:rPr>
        <w:t>الأخضر</w:t>
      </w:r>
      <w:r w:rsidRPr="006D29CD">
        <w:rPr>
          <w:rFonts w:ascii="TimesNewRomanPSMT" w:cs="TimesNewRomanPSMT"/>
          <w:sz w:val="26"/>
          <w:szCs w:val="26"/>
        </w:rPr>
        <w:t xml:space="preserve"> </w:t>
      </w:r>
      <w:r w:rsidRPr="006D29CD">
        <w:rPr>
          <w:rFonts w:ascii="TimesNewRomanPSMT" w:cs="TimesNewRomanPSMT" w:hint="cs"/>
          <w:sz w:val="26"/>
          <w:szCs w:val="26"/>
          <w:rtl/>
        </w:rPr>
        <w:t>للمناخ</w:t>
      </w:r>
      <w:r w:rsidRPr="006D29CD">
        <w:rPr>
          <w:rFonts w:ascii="TimesNewRomanPSMT" w:cs="TimesNewRomanPSMT"/>
          <w:sz w:val="26"/>
          <w:szCs w:val="26"/>
        </w:rPr>
        <w:t xml:space="preserve"> </w:t>
      </w:r>
      <w:r w:rsidRPr="006D29CD">
        <w:rPr>
          <w:rFonts w:ascii="TimesNewRomanPSMT" w:cs="TimesNewRomanPSMT" w:hint="cs"/>
          <w:sz w:val="26"/>
          <w:szCs w:val="26"/>
          <w:rtl/>
        </w:rPr>
        <w:t>إلى</w:t>
      </w:r>
      <w:r w:rsidRPr="006D29CD">
        <w:rPr>
          <w:rFonts w:ascii="TimesNewRomanPSMT" w:cs="TimesNewRomanPSMT"/>
          <w:sz w:val="26"/>
          <w:szCs w:val="26"/>
        </w:rPr>
        <w:t xml:space="preserve"> </w:t>
      </w:r>
      <w:r w:rsidRPr="006D29CD">
        <w:rPr>
          <w:rFonts w:ascii="TimesNewRomanPSMT" w:cs="TimesNewRomanPSMT" w:hint="cs"/>
          <w:sz w:val="26"/>
          <w:szCs w:val="26"/>
          <w:rtl/>
        </w:rPr>
        <w:t>الاجتماع</w:t>
      </w:r>
      <w:r w:rsidRPr="006D29CD">
        <w:rPr>
          <w:rFonts w:ascii="TimesNewRomanPSMT" w:cs="TimesNewRomanPSMT"/>
          <w:sz w:val="26"/>
          <w:szCs w:val="26"/>
        </w:rPr>
        <w:t xml:space="preserve"> </w:t>
      </w:r>
      <w:r w:rsidRPr="006D29CD">
        <w:rPr>
          <w:rFonts w:ascii="TimesNewRomanPSMT" w:cs="TimesNewRomanPSMT" w:hint="cs"/>
          <w:sz w:val="26"/>
          <w:szCs w:val="26"/>
          <w:rtl/>
        </w:rPr>
        <w:t>الثاني</w:t>
      </w:r>
      <w:r w:rsidRPr="006D29CD">
        <w:rPr>
          <w:rFonts w:ascii="TimesNewRomanPSMT" w:cs="TimesNewRomanPSMT"/>
          <w:sz w:val="26"/>
          <w:szCs w:val="26"/>
        </w:rPr>
        <w:t xml:space="preserve"> </w:t>
      </w:r>
      <w:r w:rsidRPr="006D29CD">
        <w:rPr>
          <w:rFonts w:ascii="TimesNewRomanPSMT" w:cs="TimesNewRomanPSMT" w:hint="cs"/>
          <w:sz w:val="26"/>
          <w:szCs w:val="26"/>
          <w:rtl/>
        </w:rPr>
        <w:t>والتسعين للجنة</w:t>
      </w:r>
      <w:r w:rsidRPr="006D29CD">
        <w:rPr>
          <w:rFonts w:ascii="TimesNewRomanPSMT" w:cs="TimesNewRomanPSMT"/>
          <w:sz w:val="26"/>
          <w:szCs w:val="26"/>
        </w:rPr>
        <w:t xml:space="preserve"> </w:t>
      </w:r>
      <w:r w:rsidRPr="006D29CD">
        <w:rPr>
          <w:rFonts w:ascii="TimesNewRomanPSMT" w:cs="TimesNewRomanPSMT" w:hint="cs"/>
          <w:sz w:val="26"/>
          <w:szCs w:val="26"/>
          <w:rtl/>
        </w:rPr>
        <w:t>التنفيذية</w:t>
      </w:r>
      <w:r w:rsidRPr="006D29CD">
        <w:rPr>
          <w:rFonts w:ascii="TimesNewRomanPSMT" w:cs="TimesNewRomanPSMT"/>
          <w:sz w:val="26"/>
          <w:szCs w:val="26"/>
        </w:rPr>
        <w:t xml:space="preserve"> </w:t>
      </w:r>
      <w:r w:rsidRPr="006D29CD">
        <w:rPr>
          <w:rFonts w:ascii="TimesNewRomanPSMT" w:cs="TimesNewRomanPSMT" w:hint="cs"/>
          <w:sz w:val="26"/>
          <w:szCs w:val="26"/>
          <w:rtl/>
        </w:rPr>
        <w:t>لتعزيز</w:t>
      </w:r>
      <w:r w:rsidRPr="006D29CD">
        <w:rPr>
          <w:rFonts w:ascii="TimesNewRomanPSMT" w:cs="TimesNewRomanPSMT"/>
          <w:sz w:val="26"/>
          <w:szCs w:val="26"/>
        </w:rPr>
        <w:t xml:space="preserve"> </w:t>
      </w:r>
      <w:r w:rsidRPr="006D29CD">
        <w:rPr>
          <w:rFonts w:ascii="TimesNewRomanPSMT" w:cs="TimesNewRomanPSMT" w:hint="cs"/>
          <w:sz w:val="26"/>
          <w:szCs w:val="26"/>
          <w:rtl/>
        </w:rPr>
        <w:t>فهم</w:t>
      </w:r>
      <w:r w:rsidRPr="006D29CD">
        <w:rPr>
          <w:rFonts w:ascii="TimesNewRomanPSMT" w:cs="TimesNewRomanPSMT"/>
          <w:sz w:val="26"/>
          <w:szCs w:val="26"/>
        </w:rPr>
        <w:t xml:space="preserve"> </w:t>
      </w:r>
      <w:r w:rsidRPr="006D29CD">
        <w:rPr>
          <w:rFonts w:ascii="TimesNewRomanPSMT" w:cs="TimesNewRomanPSMT" w:hint="cs"/>
          <w:sz w:val="26"/>
          <w:szCs w:val="26"/>
          <w:rtl/>
        </w:rPr>
        <w:t>خيارات</w:t>
      </w:r>
      <w:r w:rsidRPr="006D29CD">
        <w:rPr>
          <w:rFonts w:ascii="TimesNewRomanPSMT" w:cs="TimesNewRomanPSMT"/>
          <w:sz w:val="26"/>
          <w:szCs w:val="26"/>
        </w:rPr>
        <w:t xml:space="preserve"> </w:t>
      </w:r>
      <w:r w:rsidRPr="006D29CD">
        <w:rPr>
          <w:rFonts w:ascii="TimesNewRomanPSMT" w:cs="TimesNewRomanPSMT" w:hint="cs"/>
          <w:sz w:val="26"/>
          <w:szCs w:val="26"/>
          <w:rtl/>
        </w:rPr>
        <w:t>التعاون</w:t>
      </w:r>
      <w:r w:rsidRPr="006D29CD">
        <w:rPr>
          <w:rFonts w:ascii="TimesNewRomanPSMT" w:cs="TimesNewRomanPSMT"/>
          <w:sz w:val="26"/>
          <w:szCs w:val="26"/>
        </w:rPr>
        <w:t xml:space="preserve"> </w:t>
      </w:r>
      <w:r w:rsidRPr="006D29CD">
        <w:rPr>
          <w:rFonts w:ascii="TimesNewRomanPSMT" w:cs="TimesNewRomanPSMT" w:hint="cs"/>
          <w:sz w:val="26"/>
          <w:szCs w:val="26"/>
          <w:rtl/>
        </w:rPr>
        <w:t>في</w:t>
      </w:r>
      <w:r w:rsidRPr="006D29CD">
        <w:rPr>
          <w:rFonts w:ascii="TimesNewRomanPSMT" w:cs="TimesNewRomanPSMT"/>
          <w:sz w:val="26"/>
          <w:szCs w:val="26"/>
        </w:rPr>
        <w:t xml:space="preserve"> </w:t>
      </w:r>
      <w:r w:rsidRPr="006D29CD">
        <w:rPr>
          <w:rFonts w:ascii="TimesNewRomanPSMT" w:cs="TimesNewRomanPSMT" w:hint="cs"/>
          <w:sz w:val="26"/>
          <w:szCs w:val="26"/>
          <w:rtl/>
        </w:rPr>
        <w:t>دعم</w:t>
      </w:r>
      <w:r w:rsidRPr="006D29CD">
        <w:rPr>
          <w:rFonts w:ascii="TimesNewRomanPSMT" w:cs="TimesNewRomanPSMT"/>
          <w:sz w:val="26"/>
          <w:szCs w:val="26"/>
        </w:rPr>
        <w:t xml:space="preserve"> </w:t>
      </w:r>
      <w:r w:rsidRPr="006D29CD">
        <w:rPr>
          <w:rFonts w:ascii="TimesNewRomanPSMT" w:cs="TimesNewRomanPSMT" w:hint="cs"/>
          <w:sz w:val="26"/>
          <w:szCs w:val="26"/>
          <w:rtl/>
        </w:rPr>
        <w:t>المشاريع</w:t>
      </w:r>
      <w:r w:rsidRPr="006D29CD">
        <w:rPr>
          <w:rFonts w:ascii="TimesNewRomanPSMT" w:cs="TimesNewRomanPSMT"/>
          <w:sz w:val="26"/>
          <w:szCs w:val="26"/>
        </w:rPr>
        <w:t xml:space="preserve"> </w:t>
      </w:r>
      <w:r w:rsidRPr="006D29CD">
        <w:rPr>
          <w:rFonts w:ascii="TimesNewRomanPSMT" w:cs="TimesNewRomanPSMT" w:hint="cs"/>
          <w:sz w:val="26"/>
          <w:szCs w:val="26"/>
          <w:rtl/>
        </w:rPr>
        <w:t>للحفاظ</w:t>
      </w:r>
      <w:r w:rsidRPr="006D29CD">
        <w:rPr>
          <w:rFonts w:ascii="TimesNewRomanPSMT" w:cs="TimesNewRomanPSMT"/>
          <w:sz w:val="26"/>
          <w:szCs w:val="26"/>
        </w:rPr>
        <w:t xml:space="preserve"> </w:t>
      </w:r>
      <w:r w:rsidRPr="006D29CD">
        <w:rPr>
          <w:rFonts w:ascii="TimesNewRomanPSMT" w:cs="TimesNewRomanPSMT" w:hint="cs"/>
          <w:sz w:val="26"/>
          <w:szCs w:val="26"/>
          <w:rtl/>
        </w:rPr>
        <w:t>على</w:t>
      </w:r>
      <w:r w:rsidRPr="006D29CD">
        <w:rPr>
          <w:rFonts w:ascii="TimesNewRomanPSMT" w:cs="TimesNewRomanPSMT"/>
          <w:sz w:val="26"/>
          <w:szCs w:val="26"/>
        </w:rPr>
        <w:t xml:space="preserve"> </w:t>
      </w:r>
      <w:r w:rsidRPr="006D29CD">
        <w:rPr>
          <w:rFonts w:ascii="TimesNewRomanPSMT" w:cs="TimesNewRomanPSMT" w:hint="cs"/>
          <w:sz w:val="26"/>
          <w:szCs w:val="26"/>
          <w:rtl/>
        </w:rPr>
        <w:t>و</w:t>
      </w:r>
      <w:r w:rsidRPr="006D29CD">
        <w:rPr>
          <w:rFonts w:ascii="TimesNewRomanPSMT" w:cs="TimesNewRomanPSMT"/>
          <w:sz w:val="26"/>
          <w:szCs w:val="26"/>
        </w:rPr>
        <w:t>/</w:t>
      </w:r>
      <w:r w:rsidRPr="006D29CD">
        <w:rPr>
          <w:rFonts w:ascii="TimesNewRomanPSMT" w:cs="TimesNewRomanPSMT" w:hint="cs"/>
          <w:sz w:val="26"/>
          <w:szCs w:val="26"/>
          <w:rtl/>
        </w:rPr>
        <w:t>أو</w:t>
      </w:r>
      <w:r w:rsidRPr="006D29CD">
        <w:rPr>
          <w:rFonts w:ascii="TimesNewRomanPSMT" w:cs="TimesNewRomanPSMT"/>
          <w:sz w:val="26"/>
          <w:szCs w:val="26"/>
        </w:rPr>
        <w:t xml:space="preserve"> </w:t>
      </w:r>
      <w:r w:rsidRPr="006D29CD">
        <w:rPr>
          <w:rFonts w:ascii="TimesNewRomanPSMT" w:cs="TimesNewRomanPSMT" w:hint="cs"/>
          <w:sz w:val="26"/>
          <w:szCs w:val="26"/>
          <w:rtl/>
        </w:rPr>
        <w:t>تعزيز</w:t>
      </w:r>
      <w:r w:rsidRPr="006D29CD">
        <w:rPr>
          <w:rFonts w:ascii="TimesNewRomanPSMT" w:cs="TimesNewRomanPSMT"/>
          <w:sz w:val="26"/>
          <w:szCs w:val="26"/>
        </w:rPr>
        <w:t xml:space="preserve"> </w:t>
      </w:r>
      <w:r w:rsidRPr="006D29CD">
        <w:rPr>
          <w:rFonts w:ascii="TimesNewRomanPSMT" w:cs="TimesNewRomanPSMT" w:hint="cs"/>
          <w:sz w:val="26"/>
          <w:szCs w:val="26"/>
          <w:rtl/>
        </w:rPr>
        <w:t>كفاءة</w:t>
      </w:r>
      <w:r w:rsidRPr="006D29CD">
        <w:rPr>
          <w:rFonts w:ascii="TimesNewRomanPSMT" w:cs="TimesNewRomanPSMT"/>
          <w:sz w:val="26"/>
          <w:szCs w:val="26"/>
        </w:rPr>
        <w:t xml:space="preserve"> </w:t>
      </w:r>
      <w:r w:rsidRPr="006D29CD">
        <w:rPr>
          <w:rFonts w:ascii="TimesNewRomanPSMT" w:cs="TimesNewRomanPSMT" w:hint="cs"/>
          <w:sz w:val="26"/>
          <w:szCs w:val="26"/>
          <w:rtl/>
        </w:rPr>
        <w:t>استخدام الطاقة</w:t>
      </w:r>
      <w:r w:rsidRPr="006D29CD">
        <w:rPr>
          <w:rFonts w:ascii="TimesNewRomanPSMT" w:cs="TimesNewRomanPSMT"/>
          <w:sz w:val="26"/>
          <w:szCs w:val="26"/>
        </w:rPr>
        <w:t xml:space="preserve"> </w:t>
      </w:r>
      <w:r w:rsidRPr="006D29CD">
        <w:rPr>
          <w:rFonts w:ascii="TimesNewRomanPSMT" w:cs="TimesNewRomanPSMT" w:hint="cs"/>
          <w:sz w:val="26"/>
          <w:szCs w:val="26"/>
          <w:rtl/>
        </w:rPr>
        <w:t>لتكنولوجيات</w:t>
      </w:r>
      <w:r w:rsidRPr="006D29CD">
        <w:rPr>
          <w:rFonts w:ascii="TimesNewRomanPSMT" w:cs="TimesNewRomanPSMT"/>
          <w:sz w:val="26"/>
          <w:szCs w:val="26"/>
        </w:rPr>
        <w:t xml:space="preserve"> </w:t>
      </w:r>
      <w:r w:rsidRPr="006D29CD">
        <w:rPr>
          <w:rFonts w:ascii="TimesNewRomanPSMT" w:cs="TimesNewRomanPSMT" w:hint="cs"/>
          <w:sz w:val="26"/>
          <w:szCs w:val="26"/>
          <w:rtl/>
        </w:rPr>
        <w:t>الإحلال</w:t>
      </w:r>
      <w:r w:rsidRPr="006D29CD">
        <w:rPr>
          <w:rFonts w:ascii="TimesNewRomanPSMT" w:cs="TimesNewRomanPSMT"/>
          <w:sz w:val="26"/>
          <w:szCs w:val="26"/>
        </w:rPr>
        <w:t xml:space="preserve"> </w:t>
      </w:r>
      <w:r w:rsidRPr="006D29CD">
        <w:rPr>
          <w:rFonts w:ascii="TimesNewRomanPSMT" w:cs="TimesNewRomanPSMT" w:hint="cs"/>
          <w:sz w:val="26"/>
          <w:szCs w:val="26"/>
          <w:rtl/>
        </w:rPr>
        <w:t>والمعدات</w:t>
      </w:r>
      <w:r w:rsidRPr="006D29CD">
        <w:rPr>
          <w:rFonts w:ascii="TimesNewRomanPSMT" w:cs="TimesNewRomanPSMT"/>
          <w:sz w:val="26"/>
          <w:szCs w:val="26"/>
        </w:rPr>
        <w:t xml:space="preserve"> </w:t>
      </w:r>
      <w:r w:rsidRPr="006D29CD">
        <w:rPr>
          <w:rFonts w:ascii="TimesNewRomanPSMT" w:cs="TimesNewRomanPSMT" w:hint="cs"/>
          <w:sz w:val="26"/>
          <w:szCs w:val="26"/>
          <w:rtl/>
        </w:rPr>
        <w:t>في</w:t>
      </w:r>
      <w:r w:rsidRPr="006D29CD">
        <w:rPr>
          <w:rFonts w:ascii="TimesNewRomanPSMT" w:cs="TimesNewRomanPSMT"/>
          <w:sz w:val="26"/>
          <w:szCs w:val="26"/>
        </w:rPr>
        <w:t xml:space="preserve"> </w:t>
      </w:r>
      <w:r w:rsidRPr="006D29CD">
        <w:rPr>
          <w:rFonts w:ascii="TimesNewRomanPSMT" w:cs="TimesNewRomanPSMT" w:hint="cs"/>
          <w:sz w:val="26"/>
          <w:szCs w:val="26"/>
          <w:rtl/>
        </w:rPr>
        <w:t>سياق</w:t>
      </w:r>
      <w:r w:rsidRPr="006D29CD">
        <w:rPr>
          <w:rFonts w:ascii="TimesNewRomanPSMT" w:cs="TimesNewRomanPSMT"/>
          <w:sz w:val="26"/>
          <w:szCs w:val="26"/>
        </w:rPr>
        <w:t xml:space="preserve"> </w:t>
      </w:r>
      <w:r w:rsidRPr="006D29CD">
        <w:rPr>
          <w:rFonts w:ascii="TimesNewRomanPSMT" w:cs="TimesNewRomanPSMT" w:hint="cs"/>
          <w:sz w:val="26"/>
          <w:szCs w:val="26"/>
          <w:rtl/>
        </w:rPr>
        <w:t>التخفيض</w:t>
      </w:r>
      <w:r w:rsidRPr="006D29CD">
        <w:rPr>
          <w:rFonts w:ascii="TimesNewRomanPSMT" w:cs="TimesNewRomanPSMT"/>
          <w:sz w:val="26"/>
          <w:szCs w:val="26"/>
        </w:rPr>
        <w:t xml:space="preserve"> </w:t>
      </w:r>
      <w:r w:rsidRPr="006D29CD">
        <w:rPr>
          <w:rFonts w:ascii="TimesNewRomanPSMT" w:cs="TimesNewRomanPSMT" w:hint="cs"/>
          <w:sz w:val="26"/>
          <w:szCs w:val="26"/>
          <w:rtl/>
        </w:rPr>
        <w:t>التدريجي</w:t>
      </w:r>
      <w:r w:rsidRPr="006D29CD">
        <w:rPr>
          <w:rFonts w:ascii="TimesNewRomanPSMT" w:cs="TimesNewRomanPSMT"/>
          <w:sz w:val="26"/>
          <w:szCs w:val="26"/>
        </w:rPr>
        <w:t xml:space="preserve"> </w:t>
      </w:r>
      <w:r w:rsidRPr="006D29CD">
        <w:rPr>
          <w:rFonts w:ascii="TimesNewRomanPSMT" w:cs="TimesNewRomanPSMT" w:hint="cs"/>
          <w:sz w:val="26"/>
          <w:szCs w:val="26"/>
          <w:rtl/>
        </w:rPr>
        <w:t>للهيدروفلوروكربون</w:t>
      </w:r>
      <w:r w:rsidRPr="006D29CD">
        <w:rPr>
          <w:rFonts w:ascii="TimesNewRomanPSMT" w:cs="TimesNewRomanPSMT"/>
          <w:sz w:val="26"/>
          <w:szCs w:val="26"/>
        </w:rPr>
        <w:t>.</w:t>
      </w:r>
    </w:p>
    <w:p w14:paraId="24E13CF1" w14:textId="77777777" w:rsidR="00E85409" w:rsidRPr="006D29CD" w:rsidRDefault="00E85409" w:rsidP="005951CC">
      <w:pPr>
        <w:bidi/>
        <w:rPr>
          <w:sz w:val="26"/>
          <w:szCs w:val="26"/>
        </w:rPr>
      </w:pPr>
    </w:p>
    <w:p w14:paraId="308589CC" w14:textId="77777777" w:rsidR="008044FC" w:rsidRDefault="008044FC" w:rsidP="005951CC">
      <w:pPr>
        <w:bidi/>
        <w:rPr>
          <w:sz w:val="26"/>
          <w:szCs w:val="26"/>
          <w:rtl/>
          <w:lang w:bidi="ar-EG"/>
        </w:rPr>
        <w:sectPr w:rsidR="008044FC" w:rsidSect="0087328C">
          <w:headerReference w:type="even"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tbl>
      <w:tblPr>
        <w:tblW w:w="9540" w:type="dxa"/>
        <w:tblInd w:w="18" w:type="dxa"/>
        <w:tblLayout w:type="fixed"/>
        <w:tblLook w:val="04A0" w:firstRow="1" w:lastRow="0" w:firstColumn="1" w:lastColumn="0" w:noHBand="0" w:noVBand="1"/>
      </w:tblPr>
      <w:tblGrid>
        <w:gridCol w:w="4059"/>
        <w:gridCol w:w="351"/>
        <w:gridCol w:w="3051"/>
        <w:gridCol w:w="2079"/>
      </w:tblGrid>
      <w:tr w:rsidR="00C018C0" w14:paraId="21BE355B" w14:textId="77777777" w:rsidTr="007038BE">
        <w:trPr>
          <w:trHeight w:val="720"/>
        </w:trPr>
        <w:tc>
          <w:tcPr>
            <w:tcW w:w="4410" w:type="dxa"/>
            <w:gridSpan w:val="2"/>
            <w:tcBorders>
              <w:top w:val="nil"/>
              <w:left w:val="nil"/>
              <w:bottom w:val="single" w:sz="18" w:space="0" w:color="auto"/>
              <w:right w:val="nil"/>
            </w:tcBorders>
            <w:hideMark/>
          </w:tcPr>
          <w:p w14:paraId="68DCD87A" w14:textId="77777777" w:rsidR="00C018C0" w:rsidRDefault="00C018C0" w:rsidP="00A17DF9">
            <w:pPr>
              <w:jc w:val="left"/>
              <w:rPr>
                <w:rFonts w:asciiTheme="minorBidi" w:hAnsiTheme="minorBidi" w:cstheme="minorBidi"/>
                <w:b/>
                <w:bCs/>
                <w:sz w:val="24"/>
                <w:lang w:val="en-US" w:bidi="ar-DZ"/>
              </w:rPr>
            </w:pPr>
            <w:r>
              <w:rPr>
                <w:rFonts w:asciiTheme="minorBidi" w:hAnsiTheme="minorBidi" w:cstheme="minorBidi"/>
                <w:b/>
                <w:bCs/>
                <w:sz w:val="72"/>
                <w:szCs w:val="72"/>
                <w:lang w:val="en-US"/>
              </w:rPr>
              <w:lastRenderedPageBreak/>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7B69B7D4" w14:textId="77777777" w:rsidR="00C018C0" w:rsidRDefault="00C018C0" w:rsidP="00A17DF9">
            <w:pPr>
              <w:pStyle w:val="Heading3"/>
              <w:numPr>
                <w:ilvl w:val="0"/>
                <w:numId w:val="0"/>
              </w:numPr>
              <w:tabs>
                <w:tab w:val="left" w:pos="720"/>
              </w:tabs>
              <w:bidi/>
              <w:ind w:left="270" w:right="1384"/>
              <w:rPr>
                <w:b/>
                <w:bCs/>
                <w:sz w:val="48"/>
                <w:szCs w:val="48"/>
                <w:rtl/>
                <w:lang w:val="en-GB" w:bidi="ar-EG"/>
              </w:rPr>
            </w:pPr>
            <w:r>
              <w:rPr>
                <w:rFonts w:hint="cs"/>
                <w:b/>
                <w:bCs/>
                <w:sz w:val="48"/>
                <w:szCs w:val="48"/>
                <w:rtl/>
              </w:rPr>
              <w:t>الأمم المتحدة</w:t>
            </w:r>
          </w:p>
        </w:tc>
      </w:tr>
      <w:tr w:rsidR="00C018C0" w14:paraId="4D4DECA7" w14:textId="77777777" w:rsidTr="007038BE">
        <w:trPr>
          <w:trHeight w:val="2776"/>
        </w:trPr>
        <w:tc>
          <w:tcPr>
            <w:tcW w:w="4059" w:type="dxa"/>
            <w:tcBorders>
              <w:top w:val="nil"/>
              <w:left w:val="nil"/>
              <w:bottom w:val="single" w:sz="36" w:space="0" w:color="auto"/>
              <w:right w:val="nil"/>
            </w:tcBorders>
          </w:tcPr>
          <w:p w14:paraId="1911A8EC" w14:textId="77777777" w:rsidR="00C018C0" w:rsidRDefault="00C018C0" w:rsidP="00A17DF9">
            <w:pPr>
              <w:spacing w:before="120"/>
              <w:jc w:val="left"/>
              <w:rPr>
                <w:sz w:val="24"/>
                <w:lang w:val="en-US" w:bidi="ar-DZ"/>
              </w:rPr>
            </w:pPr>
            <w:r>
              <w:rPr>
                <w:noProof/>
                <w:sz w:val="24"/>
                <w:lang w:val="it-IT" w:eastAsia="it-IT"/>
              </w:rPr>
              <w:drawing>
                <wp:anchor distT="0" distB="0" distL="114300" distR="114300" simplePos="0" relativeHeight="251667456" behindDoc="0" locked="0" layoutInCell="0" allowOverlap="1" wp14:anchorId="3A5CD677" wp14:editId="169C5BC4">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8480" behindDoc="1" locked="0" layoutInCell="0" allowOverlap="1" wp14:anchorId="07791B17" wp14:editId="4C10ED43">
                  <wp:simplePos x="0" y="0"/>
                  <wp:positionH relativeFrom="column">
                    <wp:posOffset>5029200</wp:posOffset>
                  </wp:positionH>
                  <wp:positionV relativeFrom="paragraph">
                    <wp:posOffset>93345</wp:posOffset>
                  </wp:positionV>
                  <wp:extent cx="579755" cy="515620"/>
                  <wp:effectExtent l="0" t="0" r="0" b="0"/>
                  <wp:wrapNone/>
                  <wp:docPr id="6" name="Picture 6" descr="A picture containing text, device,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device, clip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558A1670" w14:textId="77777777" w:rsidR="00C018C0" w:rsidRDefault="00C018C0" w:rsidP="00A17DF9">
            <w:pPr>
              <w:spacing w:before="120"/>
              <w:jc w:val="left"/>
              <w:rPr>
                <w:lang w:val="en-US"/>
              </w:rPr>
            </w:pPr>
            <w:r>
              <w:rPr>
                <w:lang w:val="en-US"/>
              </w:rPr>
              <w:t>GENERAL</w:t>
            </w:r>
          </w:p>
          <w:p w14:paraId="2D8BA313" w14:textId="77777777" w:rsidR="00C018C0" w:rsidRPr="009B0D30" w:rsidRDefault="00C018C0" w:rsidP="00A17DF9"/>
          <w:p w14:paraId="60FBE851" w14:textId="77777777" w:rsidR="00C018C0" w:rsidRPr="009B0D30" w:rsidRDefault="00C018C0" w:rsidP="00A17DF9">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3B0C5227" w14:textId="77777777" w:rsidR="00C018C0" w:rsidRPr="009B0D30" w:rsidRDefault="00C018C0" w:rsidP="00A17DF9">
            <w:r w:rsidRPr="009B0D30">
              <w:fldChar w:fldCharType="begin"/>
            </w:r>
            <w:r w:rsidRPr="009B0D30">
              <w:instrText xml:space="preserve"> DOCPROPERTY "Revision date" \@ "d MMMM YYYY"  \* MERGEFORMAT </w:instrText>
            </w:r>
            <w:r w:rsidRPr="009B0D30">
              <w:fldChar w:fldCharType="separate"/>
            </w:r>
            <w:r>
              <w:t>7 November 2022</w:t>
            </w:r>
            <w:r w:rsidRPr="009B0D30">
              <w:fldChar w:fldCharType="end"/>
            </w:r>
          </w:p>
          <w:p w14:paraId="62B87D21" w14:textId="77777777" w:rsidR="00C018C0" w:rsidRPr="009B0D30" w:rsidRDefault="00C018C0" w:rsidP="00A17DF9">
            <w:pPr>
              <w:rPr>
                <w:caps/>
              </w:rPr>
            </w:pPr>
          </w:p>
          <w:p w14:paraId="5AA54875" w14:textId="77777777" w:rsidR="00C018C0" w:rsidRDefault="00C018C0" w:rsidP="00A17DF9">
            <w:pPr>
              <w:spacing w:before="120"/>
              <w:jc w:val="left"/>
              <w:rPr>
                <w:rtl/>
                <w:lang w:val="en-US" w:bidi="ar-DZ"/>
              </w:rPr>
            </w:pPr>
            <w:r>
              <w:rPr>
                <w:lang w:val="en-US"/>
              </w:rPr>
              <w:t>ARABIC</w:t>
            </w:r>
          </w:p>
          <w:p w14:paraId="11D998CF" w14:textId="77777777" w:rsidR="00C018C0" w:rsidRDefault="00C018C0" w:rsidP="00A17DF9">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63C7EAAE" w14:textId="77777777" w:rsidR="00C018C0" w:rsidRDefault="00C018C0" w:rsidP="00A17DF9">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0782F8DF" w14:textId="77777777" w:rsidR="00C018C0" w:rsidRDefault="00C018C0" w:rsidP="00A17DF9">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الأمم المتحدة</w:t>
            </w:r>
          </w:p>
          <w:p w14:paraId="46922674" w14:textId="77777777" w:rsidR="00C018C0" w:rsidRDefault="00C018C0" w:rsidP="00A17DF9">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6FDA06C1" w14:textId="3886EE86" w:rsidR="00C018C0" w:rsidRDefault="00C018C0" w:rsidP="00F71693">
            <w:pPr>
              <w:pStyle w:val="Heading7"/>
              <w:numPr>
                <w:ilvl w:val="0"/>
                <w:numId w:val="0"/>
              </w:numPr>
              <w:spacing w:before="0" w:after="0"/>
              <w:ind w:left="720" w:right="4997"/>
              <w:rPr>
                <w:rFonts w:cs="Akhbar MT"/>
                <w:b/>
                <w:bCs/>
                <w:sz w:val="52"/>
                <w:szCs w:val="52"/>
                <w:lang w:val="en-US" w:bidi="ar-DZ"/>
              </w:rPr>
            </w:pPr>
          </w:p>
        </w:tc>
        <w:tc>
          <w:tcPr>
            <w:tcW w:w="2079" w:type="dxa"/>
            <w:tcBorders>
              <w:top w:val="nil"/>
              <w:left w:val="nil"/>
              <w:bottom w:val="single" w:sz="36" w:space="0" w:color="auto"/>
              <w:right w:val="nil"/>
            </w:tcBorders>
          </w:tcPr>
          <w:p w14:paraId="1A42196B" w14:textId="77777777" w:rsidR="00C018C0" w:rsidRDefault="00C018C0" w:rsidP="00A17DF9">
            <w:pPr>
              <w:rPr>
                <w:caps/>
                <w:sz w:val="24"/>
                <w:lang w:val="en-US" w:bidi="ar-DZ"/>
              </w:rPr>
            </w:pPr>
          </w:p>
          <w:p w14:paraId="74D5E8B9" w14:textId="77777777" w:rsidR="00C018C0" w:rsidRDefault="00C018C0" w:rsidP="00A17DF9">
            <w:pPr>
              <w:rPr>
                <w:sz w:val="24"/>
                <w:lang w:val="en-US" w:bidi="ar-DZ"/>
              </w:rPr>
            </w:pPr>
          </w:p>
        </w:tc>
      </w:tr>
    </w:tbl>
    <w:p w14:paraId="417CAECA" w14:textId="77777777" w:rsidR="00C018C0" w:rsidRDefault="00C018C0" w:rsidP="00C018C0">
      <w:pPr>
        <w:pStyle w:val="Caption"/>
        <w:spacing w:line="200" w:lineRule="exact"/>
        <w:ind w:left="187" w:right="187" w:hanging="187"/>
        <w:jc w:val="both"/>
        <w:rPr>
          <w:rFonts w:cs="Akhbar MT"/>
          <w:b/>
          <w:bCs/>
          <w:sz w:val="28"/>
          <w:szCs w:val="28"/>
        </w:rPr>
      </w:pPr>
    </w:p>
    <w:p w14:paraId="674A5957" w14:textId="77777777" w:rsidR="00C018C0" w:rsidRDefault="00C018C0" w:rsidP="00C018C0">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2A525645" w14:textId="77777777" w:rsidR="00C018C0" w:rsidRDefault="00C018C0" w:rsidP="00C018C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33C44B9E" w14:textId="77777777" w:rsidR="00C018C0" w:rsidRDefault="00C018C0" w:rsidP="00C018C0">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0C95A8DE" w14:textId="77777777" w:rsidR="00C018C0" w:rsidRDefault="00C018C0" w:rsidP="00C018C0">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647C1687" w14:textId="77777777" w:rsidR="00C018C0" w:rsidRPr="00841D85" w:rsidRDefault="00C018C0" w:rsidP="00C018C0">
      <w:pPr>
        <w:pStyle w:val="0Heading0"/>
        <w:bidi/>
        <w:ind w:left="4"/>
        <w:rPr>
          <w:sz w:val="28"/>
          <w:szCs w:val="28"/>
          <w:rtl/>
          <w:lang w:bidi="ar-EG"/>
        </w:rPr>
      </w:pPr>
      <w:r>
        <w:rPr>
          <w:rFonts w:hint="cs"/>
          <w:sz w:val="28"/>
          <w:szCs w:val="28"/>
          <w:rtl/>
          <w:lang w:bidi="ar-EG"/>
        </w:rPr>
        <w:t>البند 11(ب)(2) من جدول الأعمال المؤقت</w:t>
      </w:r>
      <w:r w:rsidRPr="00EC57AE">
        <w:rPr>
          <w:vertAlign w:val="superscript"/>
        </w:rPr>
        <w:footnoteReference w:id="7"/>
      </w:r>
    </w:p>
    <w:p w14:paraId="077916A2" w14:textId="77777777" w:rsidR="00C018C0" w:rsidRPr="003D7F25" w:rsidRDefault="00C018C0" w:rsidP="00C018C0">
      <w:pPr>
        <w:pStyle w:val="Title1"/>
        <w:rPr>
          <w:lang w:val="en-CA"/>
        </w:rPr>
      </w:pPr>
    </w:p>
    <w:p w14:paraId="4B65F34F" w14:textId="77777777" w:rsidR="00C018C0" w:rsidRDefault="00C018C0" w:rsidP="00C018C0">
      <w:pPr>
        <w:pStyle w:val="Title1"/>
        <w:bidi/>
        <w:rPr>
          <w:lang w:val="en-CA"/>
        </w:rPr>
      </w:pPr>
    </w:p>
    <w:p w14:paraId="2133E8DB" w14:textId="77777777" w:rsidR="00C018C0" w:rsidRDefault="00C018C0" w:rsidP="00C018C0">
      <w:pPr>
        <w:pStyle w:val="Title1"/>
        <w:bidi/>
        <w:rPr>
          <w:lang w:val="en-CA"/>
        </w:rPr>
      </w:pPr>
      <w:r w:rsidRPr="00F13B91">
        <w:rPr>
          <w:rFonts w:hint="cs"/>
          <w:b w:val="0"/>
          <w:bCs/>
          <w:sz w:val="32"/>
          <w:szCs w:val="32"/>
          <w:rtl/>
          <w:lang w:val="en-CA" w:bidi="ar-EG"/>
        </w:rPr>
        <w:t>الإطار التشغيلي لمواصلة توضيح الجوانب المؤسسية والمشروعات والأنشطة التي يمكن أن ينفذها الصندوق المتعدد الأطراف للحافظ على و/أو تعزيز كفاءة استخدام الطاقة لتكنولوجيات الإحلال والمعدات في قطاعي التصنيع والخدمة عند التخفيض التدريجي للمواد الهيدروفلوروكربونية في الفئات المختلفة في سياق خيارات السنتين من الجدول 3 من الوثيق</w:t>
      </w:r>
      <w:r>
        <w:rPr>
          <w:rFonts w:hint="cs"/>
          <w:b w:val="0"/>
          <w:bCs/>
          <w:sz w:val="32"/>
          <w:szCs w:val="32"/>
          <w:rtl/>
          <w:lang w:val="en-CA" w:bidi="ar-EG"/>
        </w:rPr>
        <w:t xml:space="preserve">ة (المقرر </w:t>
      </w:r>
      <w:r w:rsidRPr="001C64FA">
        <w:rPr>
          <w:rFonts w:hint="cs"/>
          <w:b w:val="0"/>
          <w:bCs/>
          <w:sz w:val="28"/>
          <w:szCs w:val="28"/>
          <w:rtl/>
          <w:lang w:val="en-CA" w:bidi="ar-EG"/>
        </w:rPr>
        <w:t>90</w:t>
      </w:r>
      <w:r w:rsidRPr="001C64FA">
        <w:rPr>
          <w:b w:val="0"/>
          <w:bCs/>
          <w:sz w:val="28"/>
          <w:szCs w:val="28"/>
          <w:lang w:val="en-CA" w:bidi="ar-EG"/>
        </w:rPr>
        <w:t>/</w:t>
      </w:r>
      <w:r w:rsidRPr="001C64FA">
        <w:rPr>
          <w:rFonts w:hint="cs"/>
          <w:b w:val="0"/>
          <w:bCs/>
          <w:sz w:val="28"/>
          <w:szCs w:val="28"/>
          <w:rtl/>
          <w:lang w:val="en-CA" w:bidi="ar-AE"/>
        </w:rPr>
        <w:t xml:space="preserve">50 </w:t>
      </w:r>
      <w:r>
        <w:rPr>
          <w:rFonts w:hint="cs"/>
          <w:b w:val="0"/>
          <w:bCs/>
          <w:sz w:val="32"/>
          <w:szCs w:val="32"/>
          <w:rtl/>
          <w:lang w:val="en-CA" w:bidi="ar-AE"/>
        </w:rPr>
        <w:t>ب) 2))</w:t>
      </w:r>
      <w:r w:rsidRPr="00F13B91">
        <w:rPr>
          <w:rFonts w:hint="cs"/>
          <w:b w:val="0"/>
          <w:bCs/>
          <w:sz w:val="32"/>
          <w:szCs w:val="32"/>
          <w:rtl/>
          <w:lang w:val="en-CA" w:bidi="ar-EG"/>
        </w:rPr>
        <w:t xml:space="preserve"> </w:t>
      </w:r>
      <w:r w:rsidRPr="00321592">
        <w:rPr>
          <w:lang w:val="en-CA"/>
        </w:rPr>
        <w:t xml:space="preserve"> </w:t>
      </w:r>
    </w:p>
    <w:p w14:paraId="5F78D427" w14:textId="77777777" w:rsidR="00C018C0" w:rsidRDefault="00C018C0" w:rsidP="00C018C0">
      <w:pPr>
        <w:pStyle w:val="Title1"/>
        <w:bidi/>
        <w:rPr>
          <w:lang w:val="en-CA"/>
        </w:rPr>
      </w:pPr>
    </w:p>
    <w:p w14:paraId="396FB7A8" w14:textId="77777777" w:rsidR="00C018C0" w:rsidRPr="00F13B91" w:rsidRDefault="00C018C0" w:rsidP="00C018C0">
      <w:pPr>
        <w:pStyle w:val="ListParagraph"/>
        <w:bidi/>
        <w:spacing w:after="0" w:line="240" w:lineRule="auto"/>
        <w:ind w:left="0"/>
        <w:contextualSpacing w:val="0"/>
        <w:jc w:val="both"/>
        <w:outlineLvl w:val="0"/>
        <w:rPr>
          <w:rFonts w:ascii="Times New Roman" w:hAnsi="Times New Roman" w:cs="Times New Roman"/>
          <w:b/>
          <w:bCs/>
          <w:sz w:val="26"/>
          <w:szCs w:val="26"/>
        </w:rPr>
      </w:pPr>
      <w:r w:rsidRPr="00F13B91">
        <w:rPr>
          <w:rFonts w:ascii="Times New Roman" w:hAnsi="Times New Roman" w:cs="Times New Roman" w:hint="cs"/>
          <w:b/>
          <w:bCs/>
          <w:sz w:val="26"/>
          <w:szCs w:val="26"/>
          <w:rtl/>
        </w:rPr>
        <w:t>مقدمة</w:t>
      </w:r>
    </w:p>
    <w:p w14:paraId="0DE5798E" w14:textId="77777777" w:rsidR="00C018C0" w:rsidRPr="00F13B91" w:rsidRDefault="00C018C0" w:rsidP="00C018C0">
      <w:pPr>
        <w:bidi/>
        <w:outlineLvl w:val="0"/>
        <w:rPr>
          <w:sz w:val="26"/>
          <w:szCs w:val="26"/>
        </w:rPr>
      </w:pPr>
    </w:p>
    <w:p w14:paraId="3775080A" w14:textId="77777777" w:rsidR="00C018C0" w:rsidRPr="00F13B91" w:rsidRDefault="00C018C0" w:rsidP="00C018C0">
      <w:pPr>
        <w:pStyle w:val="Heading1"/>
        <w:numPr>
          <w:ilvl w:val="0"/>
          <w:numId w:val="21"/>
        </w:numPr>
        <w:tabs>
          <w:tab w:val="clear" w:pos="0"/>
          <w:tab w:val="num" w:pos="1440"/>
        </w:tabs>
        <w:bidi/>
        <w:ind w:left="1440" w:hanging="360"/>
        <w:rPr>
          <w:sz w:val="26"/>
          <w:szCs w:val="26"/>
          <w:rtl/>
          <w:lang w:bidi="ar-EG"/>
        </w:rPr>
      </w:pPr>
      <w:r w:rsidRPr="00F13B91">
        <w:rPr>
          <w:rFonts w:hint="cs"/>
          <w:sz w:val="26"/>
          <w:szCs w:val="26"/>
          <w:rtl/>
        </w:rPr>
        <w:t xml:space="preserve">طلبت اللجنة التنفيذية من الأمانة أن تعد للنظر من جانب الاجتماع الحادي والتسعين إطارا تشغيليا لمواصلة التوضيح بشأن الجوانب المؤسسية والمشروعات والأنشطة التي يمكن أن يتخذها الصندوق المتعدد الأطراف </w:t>
      </w:r>
      <w:r w:rsidRPr="00F13B91">
        <w:rPr>
          <w:rFonts w:hint="cs"/>
          <w:sz w:val="26"/>
          <w:szCs w:val="26"/>
          <w:rtl/>
          <w:lang w:bidi="ar-EG"/>
        </w:rPr>
        <w:t xml:space="preserve">للحفاظ و/أو تعزيز كفاءة استخدام الطاقة في إحلال التكنولوجيات والمعدات في قطاعي التصنيع والخدمة لدى تخفيض المواد الهيدروفلوروكربونية في </w:t>
      </w:r>
      <w:r w:rsidRPr="00F13B91">
        <w:rPr>
          <w:sz w:val="26"/>
          <w:szCs w:val="26"/>
          <w:rtl/>
          <w:lang w:bidi="ar-EG"/>
        </w:rPr>
        <w:t xml:space="preserve">الفئات المبينة في الوثيقة </w:t>
      </w:r>
      <w:r w:rsidRPr="00F13B91">
        <w:rPr>
          <w:sz w:val="26"/>
          <w:szCs w:val="26"/>
          <w:lang w:bidi="ar-EG"/>
        </w:rPr>
        <w:t xml:space="preserve">UNEP / </w:t>
      </w:r>
      <w:proofErr w:type="spellStart"/>
      <w:r w:rsidRPr="00F13B91">
        <w:rPr>
          <w:sz w:val="26"/>
          <w:szCs w:val="26"/>
          <w:lang w:bidi="ar-EG"/>
        </w:rPr>
        <w:t>OzL.Pro</w:t>
      </w:r>
      <w:proofErr w:type="spellEnd"/>
      <w:r w:rsidRPr="00F13B91">
        <w:rPr>
          <w:sz w:val="26"/>
          <w:szCs w:val="26"/>
          <w:lang w:bidi="ar-EG"/>
        </w:rPr>
        <w:t xml:space="preserve"> / ExCom / 89/12</w:t>
      </w:r>
      <w:r w:rsidRPr="00F13B91">
        <w:rPr>
          <w:sz w:val="26"/>
          <w:szCs w:val="26"/>
          <w:rtl/>
          <w:lang w:bidi="ar-EG"/>
        </w:rPr>
        <w:t xml:space="preserve"> في سياق تنفيذ الخيارين 1 و 2 في الجدول 3 من الوثيقة، مع مراعاة تعليقات اللجنة التنفيذية خلال </w:t>
      </w:r>
      <w:r w:rsidRPr="00F13B91">
        <w:rPr>
          <w:rFonts w:hint="cs"/>
          <w:sz w:val="26"/>
          <w:szCs w:val="26"/>
          <w:rtl/>
          <w:lang w:bidi="ar-EG"/>
        </w:rPr>
        <w:t>الاجتماعين</w:t>
      </w:r>
      <w:r w:rsidRPr="00F13B91">
        <w:rPr>
          <w:sz w:val="26"/>
          <w:szCs w:val="26"/>
          <w:rtl/>
          <w:lang w:bidi="ar-EG"/>
        </w:rPr>
        <w:t xml:space="preserve"> </w:t>
      </w:r>
      <w:r w:rsidRPr="00F13B91">
        <w:rPr>
          <w:rFonts w:hint="cs"/>
          <w:sz w:val="26"/>
          <w:szCs w:val="26"/>
          <w:rtl/>
          <w:lang w:bidi="ar-EG"/>
        </w:rPr>
        <w:t>التاسع والثمانين والتسعين</w:t>
      </w:r>
      <w:r w:rsidRPr="00F13B91">
        <w:rPr>
          <w:sz w:val="26"/>
          <w:szCs w:val="26"/>
          <w:rtl/>
          <w:lang w:bidi="ar-EG"/>
        </w:rPr>
        <w:t xml:space="preserve"> (المقرر 90/50 (ب) (2)).</w:t>
      </w:r>
    </w:p>
    <w:p w14:paraId="1FC23E1A" w14:textId="77777777" w:rsidR="00C018C0" w:rsidRPr="00F13B91" w:rsidRDefault="00C018C0" w:rsidP="00C018C0">
      <w:pPr>
        <w:pStyle w:val="Heading1"/>
        <w:bidi/>
        <w:rPr>
          <w:sz w:val="26"/>
          <w:szCs w:val="26"/>
          <w:rtl/>
        </w:rPr>
      </w:pPr>
      <w:r w:rsidRPr="00F13B91">
        <w:rPr>
          <w:rFonts w:hint="cs"/>
          <w:sz w:val="26"/>
          <w:szCs w:val="26"/>
          <w:rtl/>
        </w:rPr>
        <w:t xml:space="preserve">وتتضمن الفقرتان 33 و34 من الوثيقة </w:t>
      </w:r>
      <w:r w:rsidRPr="00F13B91">
        <w:rPr>
          <w:sz w:val="26"/>
          <w:szCs w:val="26"/>
        </w:rPr>
        <w:t>UNEP/</w:t>
      </w:r>
      <w:proofErr w:type="spellStart"/>
      <w:r w:rsidRPr="00F13B91">
        <w:rPr>
          <w:sz w:val="26"/>
          <w:szCs w:val="26"/>
        </w:rPr>
        <w:t>OzL.Pro</w:t>
      </w:r>
      <w:proofErr w:type="spellEnd"/>
      <w:r w:rsidRPr="00F13B91">
        <w:rPr>
          <w:sz w:val="26"/>
          <w:szCs w:val="26"/>
        </w:rPr>
        <w:t>/ExCom/89/12</w:t>
      </w:r>
      <w:r w:rsidRPr="00F13B91">
        <w:rPr>
          <w:rFonts w:hint="cs"/>
          <w:sz w:val="26"/>
          <w:szCs w:val="26"/>
          <w:rtl/>
        </w:rPr>
        <w:t>.</w:t>
      </w:r>
      <w:r w:rsidRPr="00F13B91">
        <w:rPr>
          <w:rStyle w:val="FootnoteReference"/>
          <w:sz w:val="26"/>
          <w:szCs w:val="26"/>
        </w:rPr>
        <w:t xml:space="preserve"> </w:t>
      </w:r>
      <w:r w:rsidRPr="00F13B91">
        <w:rPr>
          <w:rStyle w:val="FootnoteReference"/>
          <w:sz w:val="26"/>
          <w:szCs w:val="26"/>
        </w:rPr>
        <w:footnoteReference w:id="8"/>
      </w:r>
      <w:r w:rsidRPr="00F13B91">
        <w:rPr>
          <w:rFonts w:hint="cs"/>
          <w:sz w:val="26"/>
          <w:szCs w:val="26"/>
          <w:rtl/>
        </w:rPr>
        <w:t xml:space="preserve"> خيار 1 الذي يتعلق باستخدام الأموال بموجب المساهمات العادية للمشروعات الخاصة بكفاءة استخدام الطاقة، والخيار 2 الذي يتعلق بالمساهمات الإضافية للبلدان المانحة خارج الأموال العادية لاستخدام المشروعات ذات الصلة بكفاءة استخدام الطاقة.</w:t>
      </w:r>
    </w:p>
    <w:p w14:paraId="79D53672" w14:textId="77777777" w:rsidR="00C018C0" w:rsidRPr="00F13B91" w:rsidRDefault="00C018C0" w:rsidP="00C018C0">
      <w:pPr>
        <w:pStyle w:val="Heading1"/>
        <w:bidi/>
        <w:rPr>
          <w:sz w:val="26"/>
          <w:szCs w:val="26"/>
        </w:rPr>
      </w:pPr>
      <w:r w:rsidRPr="00F13B91">
        <w:rPr>
          <w:rFonts w:hint="cs"/>
          <w:sz w:val="26"/>
          <w:szCs w:val="26"/>
          <w:rtl/>
          <w:lang w:bidi="ar-EG"/>
        </w:rPr>
        <w:lastRenderedPageBreak/>
        <w:t xml:space="preserve">وبغية إعداد هذا التقرير، استعرضت الأمانة المعلومات المتعلقة بالسياسات والمبادئ التوجيهية لتنفيذ المشروعات لخفض المواد الهيدروفلوروكربونية التي كانت تناقشها اللجنة التنفيذية، وأجريت مشاورات مع الوكالات المنفذة بشأن خبراتها في تنفيذ الأنشطة المتعلقة بالحفاظ و/أو تعزيز كفاءة استخدام الطاقة خلال تنفيذ </w:t>
      </w:r>
      <w:r w:rsidRPr="00F13B91">
        <w:rPr>
          <w:rFonts w:hint="cs"/>
          <w:sz w:val="26"/>
          <w:szCs w:val="26"/>
          <w:rtl/>
        </w:rPr>
        <w:t>التمويل في خططها الخاصة بإدارة إزالة المواد الهيدروكلوروفلوروكربونية للتكنولوجيات البديلة المنخفضة القدرة على الاحترار العالمي كما حصلت الأمانة على مدخلات بشأن المشروعات التقنية النوعية والمسائل المتعلقة بالسياسات للتطبيق المستدام لتكنولوجيات كفاءة استخدام الطاقة خلال تنفيذ خفض المواد الهيدروفلوروكربونية من الخبراء الذين يتعاملون مع قضايا لكفاءة استخدام الطاقة في معدات التبريد وتكييف الهواء وم</w:t>
      </w:r>
      <w:r w:rsidRPr="00F13B91">
        <w:rPr>
          <w:rFonts w:hint="cs"/>
          <w:sz w:val="26"/>
          <w:szCs w:val="26"/>
          <w:rtl/>
          <w:lang w:bidi="ar-EG"/>
        </w:rPr>
        <w:t>ضخات الحرارة. وأخذت الأمانة في الاعتبار</w:t>
      </w:r>
      <w:r w:rsidRPr="00F13B91">
        <w:rPr>
          <w:rFonts w:hint="cs"/>
          <w:sz w:val="26"/>
          <w:szCs w:val="26"/>
          <w:rtl/>
        </w:rPr>
        <w:t xml:space="preserve"> أيضا الجوانب المؤسسية والسياسات المتعلقة بكفاءة للأنشطة المتعلقة بحفظ و/أو تعزيز كفاءة استخدام الطاقة في سياق خفض المواد الهيدروفلوروكربونية من خبير استشاري تقني. وأخذت الأمانة أيضا في  الاعتبار التعليقات التي أبدتها اللجنة التنفيذية خلال الاجتماعين التاسع والثمانين والتسعين.</w:t>
      </w:r>
    </w:p>
    <w:p w14:paraId="0396ACCD" w14:textId="77777777" w:rsidR="00C018C0" w:rsidRPr="00F13B91" w:rsidRDefault="00C018C0" w:rsidP="00C018C0">
      <w:pPr>
        <w:pStyle w:val="Heading1"/>
        <w:bidi/>
        <w:rPr>
          <w:sz w:val="26"/>
          <w:szCs w:val="26"/>
        </w:rPr>
      </w:pPr>
      <w:r w:rsidRPr="00F13B91">
        <w:rPr>
          <w:rFonts w:hint="cs"/>
          <w:sz w:val="26"/>
          <w:szCs w:val="26"/>
          <w:rtl/>
        </w:rPr>
        <w:t xml:space="preserve">وترتبط هذه الوثيقة بالوثيقة المتعلقة بالمعايير الخاصة بالمشروعات الرائدة للحفاظ و/أو تعزيز كفاءة استخدام الطاقة في تكنولوجيات ومعدات الإحلال في سياق خفض المواد الهيدروفلوروكربونية (المقرر 90/50(ب)(1))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والتقرير المتعلق بالمشاورات مع أمانات مرفق البيئة العالمي والمناخ الأخضر وغيرهما من مؤسسات التمويل ذات الصلة بشأن الفرص المتاحة لتقاسم المعلومات عن المشروعات والأنشطة ذات الصلة بطرائق التمويل ذات الصلة بحفظ و/أو تعزيز كفاءة استخدام الطاقة خلال خفض المواد الهيدروفلوروكربونية (المقرر 90/50(ب)(3)) (الوثيقة </w:t>
      </w:r>
      <w:r w:rsidRPr="00F13B91">
        <w:rPr>
          <w:sz w:val="26"/>
          <w:szCs w:val="26"/>
        </w:rPr>
        <w:t>UNEP/</w:t>
      </w:r>
      <w:proofErr w:type="spellStart"/>
      <w:r w:rsidRPr="00F13B91">
        <w:rPr>
          <w:sz w:val="26"/>
          <w:szCs w:val="26"/>
        </w:rPr>
        <w:t>OzL.Pro</w:t>
      </w:r>
      <w:proofErr w:type="spellEnd"/>
      <w:r w:rsidRPr="00F13B91">
        <w:rPr>
          <w:sz w:val="26"/>
          <w:szCs w:val="26"/>
        </w:rPr>
        <w:t>/ExCom/91/65</w:t>
      </w:r>
      <w:r w:rsidRPr="00F13B91">
        <w:rPr>
          <w:rFonts w:hint="cs"/>
          <w:sz w:val="26"/>
          <w:szCs w:val="26"/>
          <w:rtl/>
        </w:rPr>
        <w:t>). وحيثما يتطلب الأمر سيتم التوافق بين هذه الوثائق في الأقسام المختلفة.</w:t>
      </w:r>
    </w:p>
    <w:p w14:paraId="466FF1D7" w14:textId="77777777" w:rsidR="00C018C0" w:rsidRPr="00F13B91" w:rsidRDefault="00C018C0" w:rsidP="00C018C0">
      <w:pPr>
        <w:pStyle w:val="Heading1"/>
        <w:bidi/>
        <w:rPr>
          <w:sz w:val="26"/>
          <w:szCs w:val="26"/>
        </w:rPr>
      </w:pPr>
      <w:r w:rsidRPr="00F13B91">
        <w:rPr>
          <w:rFonts w:hint="cs"/>
          <w:sz w:val="26"/>
          <w:szCs w:val="26"/>
          <w:rtl/>
        </w:rPr>
        <w:t>ولا تتضمن هذه الوثيقة التفاصيل النوعية المتعلقة بالقدرات المؤسسية لوحدات للأوزون الوطنية والتوافق مع هذه الوثائق والوكالات والأمانة في سياق الحفاظ و/أو تعزيز كفاءة استخدام الطاقة خلال خفض المواد الهيدروفلوروكربونية بالنظر الى أن هذه الاحتياجات سوف تتحدد استنادا الى السياسات والمبادئ التوجيهية في هذا السياق.</w:t>
      </w:r>
    </w:p>
    <w:p w14:paraId="4F9D95E1" w14:textId="77777777" w:rsidR="00C018C0" w:rsidRPr="00F13B91" w:rsidRDefault="00C018C0" w:rsidP="00C018C0">
      <w:pPr>
        <w:pStyle w:val="Heading1"/>
        <w:bidi/>
        <w:rPr>
          <w:sz w:val="26"/>
          <w:szCs w:val="26"/>
        </w:rPr>
      </w:pPr>
      <w:r w:rsidRPr="00F13B91">
        <w:rPr>
          <w:rFonts w:hint="cs"/>
          <w:sz w:val="26"/>
          <w:szCs w:val="26"/>
          <w:rtl/>
        </w:rPr>
        <w:t>وتتضمن هذه الوثيقة الأجزاء التالية:</w:t>
      </w:r>
    </w:p>
    <w:p w14:paraId="6B8BAB3B"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أولا</w:t>
      </w:r>
      <w:r w:rsidRPr="00F13B91">
        <w:rPr>
          <w:rFonts w:hint="cs"/>
          <w:sz w:val="26"/>
          <w:szCs w:val="26"/>
          <w:rtl/>
          <w:lang w:bidi="ar-EG"/>
        </w:rPr>
        <w:tab/>
        <w:t>تحليل للجوانب المؤسسية لمعالجة كفاءة استخدام الطاقة في سياق خفض المواد الهيدروفلوروكربونية في إطار الصندوق المتعدد الأطراف</w:t>
      </w:r>
    </w:p>
    <w:p w14:paraId="6834F61C"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ثانيا</w:t>
      </w:r>
      <w:r w:rsidRPr="00F13B91">
        <w:rPr>
          <w:rFonts w:hint="cs"/>
          <w:sz w:val="26"/>
          <w:szCs w:val="26"/>
          <w:rtl/>
          <w:lang w:bidi="ar-EG"/>
        </w:rPr>
        <w:tab/>
        <w:t>نظر كفاءة استخدام الطاقة ذات الصلة بالمشروعات في إطار عمليات الصندوق المتعدد الأطراف</w:t>
      </w:r>
    </w:p>
    <w:p w14:paraId="52D27DCB"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ثالثا</w:t>
      </w:r>
      <w:r w:rsidRPr="00F13B91">
        <w:rPr>
          <w:rFonts w:hint="cs"/>
          <w:sz w:val="26"/>
          <w:szCs w:val="26"/>
          <w:rtl/>
          <w:lang w:bidi="ar-EG"/>
        </w:rPr>
        <w:tab/>
        <w:t>عرض عام لطرائق التمويل المقترحة للحفاظ على كفاءة استخدام الطاقة في سياق خفض المواد الهيدروفلوروكربونية</w:t>
      </w:r>
    </w:p>
    <w:p w14:paraId="7030A49E"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رابعا</w:t>
      </w:r>
      <w:r w:rsidRPr="00F13B91">
        <w:rPr>
          <w:rFonts w:hint="cs"/>
          <w:sz w:val="26"/>
          <w:szCs w:val="26"/>
          <w:rtl/>
          <w:lang w:bidi="ar-EG"/>
        </w:rPr>
        <w:tab/>
        <w:t>الجوانب الرئيسية للمشروعات والأنشطة ذات الصلة بالحفاظ و/ أو تعزيز كفاءة استخدام الطاقة في أثناء خفض المواد الهيدروفلوروكربونية في قطاع التصنيع والخدمة وتحديد أولوياتها</w:t>
      </w:r>
    </w:p>
    <w:p w14:paraId="1528335E"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خامسا</w:t>
      </w:r>
      <w:r w:rsidRPr="00F13B91">
        <w:rPr>
          <w:rFonts w:hint="cs"/>
          <w:sz w:val="26"/>
          <w:szCs w:val="26"/>
          <w:rtl/>
          <w:lang w:bidi="ar-EG"/>
        </w:rPr>
        <w:tab/>
        <w:t>المعايير المتعلقة بالمشروعات للحفاظ و/أو تعزيز كفاءة استخدام الطاقة في سياق خفض المواد الهيدروفلوروكربونية</w:t>
      </w:r>
    </w:p>
    <w:p w14:paraId="42475B44" w14:textId="77777777" w:rsidR="00C018C0" w:rsidRPr="00F13B91" w:rsidRDefault="00C018C0" w:rsidP="00C018C0">
      <w:pPr>
        <w:pStyle w:val="Heading1"/>
        <w:numPr>
          <w:ilvl w:val="0"/>
          <w:numId w:val="0"/>
        </w:numPr>
        <w:bidi/>
        <w:ind w:left="1440" w:hanging="720"/>
        <w:rPr>
          <w:sz w:val="26"/>
          <w:szCs w:val="26"/>
          <w:rtl/>
          <w:lang w:bidi="ar-EG"/>
        </w:rPr>
      </w:pPr>
      <w:r w:rsidRPr="00F13B91">
        <w:rPr>
          <w:rFonts w:hint="cs"/>
          <w:sz w:val="26"/>
          <w:szCs w:val="26"/>
          <w:rtl/>
          <w:lang w:bidi="ar-EG"/>
        </w:rPr>
        <w:t>سادسا</w:t>
      </w:r>
      <w:r w:rsidRPr="00F13B91">
        <w:rPr>
          <w:rFonts w:hint="cs"/>
          <w:sz w:val="26"/>
          <w:szCs w:val="26"/>
          <w:rtl/>
          <w:lang w:bidi="ar-EG"/>
        </w:rPr>
        <w:tab/>
        <w:t>رصد المشروعات وتقييم الآثار</w:t>
      </w:r>
    </w:p>
    <w:p w14:paraId="4685096F" w14:textId="77777777" w:rsidR="00C018C0" w:rsidRPr="00F13B91" w:rsidRDefault="00C018C0" w:rsidP="001D4FD2">
      <w:pPr>
        <w:pStyle w:val="Heading1"/>
        <w:keepNext/>
        <w:keepLines/>
        <w:numPr>
          <w:ilvl w:val="0"/>
          <w:numId w:val="0"/>
        </w:numPr>
        <w:bidi/>
        <w:ind w:left="1440" w:hanging="720"/>
        <w:rPr>
          <w:sz w:val="26"/>
          <w:szCs w:val="26"/>
          <w:rtl/>
          <w:lang w:bidi="ar-EG"/>
        </w:rPr>
      </w:pPr>
      <w:r w:rsidRPr="00F13B91">
        <w:rPr>
          <w:rFonts w:hint="cs"/>
          <w:sz w:val="26"/>
          <w:szCs w:val="26"/>
          <w:rtl/>
          <w:lang w:bidi="ar-EG"/>
        </w:rPr>
        <w:lastRenderedPageBreak/>
        <w:t>سابعا</w:t>
      </w:r>
      <w:r w:rsidRPr="00F13B91">
        <w:rPr>
          <w:rFonts w:hint="cs"/>
          <w:sz w:val="26"/>
          <w:szCs w:val="26"/>
          <w:rtl/>
          <w:lang w:bidi="ar-EG"/>
        </w:rPr>
        <w:tab/>
        <w:t>الخلاصة</w:t>
      </w:r>
    </w:p>
    <w:p w14:paraId="78C7B6F8" w14:textId="77777777" w:rsidR="00C018C0" w:rsidRPr="00F13B91" w:rsidRDefault="00C018C0" w:rsidP="001D4FD2">
      <w:pPr>
        <w:pStyle w:val="Heading1"/>
        <w:keepNext/>
        <w:keepLines/>
        <w:numPr>
          <w:ilvl w:val="0"/>
          <w:numId w:val="0"/>
        </w:numPr>
        <w:bidi/>
        <w:ind w:left="1440" w:hanging="720"/>
        <w:rPr>
          <w:sz w:val="26"/>
          <w:szCs w:val="26"/>
          <w:rtl/>
          <w:lang w:bidi="ar-EG"/>
        </w:rPr>
      </w:pPr>
      <w:bookmarkStart w:id="0" w:name="_Hlk117608899"/>
      <w:r w:rsidRPr="00F13B91">
        <w:rPr>
          <w:rFonts w:hint="cs"/>
          <w:sz w:val="26"/>
          <w:szCs w:val="26"/>
          <w:rtl/>
          <w:lang w:bidi="ar-EG"/>
        </w:rPr>
        <w:t>ثامنا</w:t>
      </w:r>
      <w:r w:rsidRPr="00F13B91">
        <w:rPr>
          <w:rFonts w:hint="cs"/>
          <w:sz w:val="26"/>
          <w:szCs w:val="26"/>
          <w:rtl/>
          <w:lang w:bidi="ar-EG"/>
        </w:rPr>
        <w:tab/>
        <w:t>التوصية</w:t>
      </w:r>
    </w:p>
    <w:bookmarkEnd w:id="0"/>
    <w:p w14:paraId="20C34B85" w14:textId="77777777" w:rsidR="00C018C0" w:rsidRPr="00F13B91" w:rsidRDefault="00C018C0" w:rsidP="00C018C0">
      <w:pPr>
        <w:bidi/>
        <w:ind w:left="720" w:hanging="720"/>
        <w:rPr>
          <w:b/>
          <w:bCs/>
          <w:sz w:val="26"/>
          <w:szCs w:val="26"/>
          <w:rtl/>
          <w:lang w:bidi="ar-EG"/>
        </w:rPr>
      </w:pPr>
      <w:r w:rsidRPr="00F13B91">
        <w:rPr>
          <w:rFonts w:hint="cs"/>
          <w:b/>
          <w:bCs/>
          <w:sz w:val="26"/>
          <w:szCs w:val="26"/>
          <w:rtl/>
          <w:lang w:bidi="ar-EG"/>
        </w:rPr>
        <w:t>أولا</w:t>
      </w:r>
      <w:r w:rsidRPr="00F13B91">
        <w:rPr>
          <w:rFonts w:hint="cs"/>
          <w:b/>
          <w:bCs/>
          <w:sz w:val="26"/>
          <w:szCs w:val="26"/>
          <w:rtl/>
          <w:lang w:bidi="ar-EG"/>
        </w:rPr>
        <w:tab/>
        <w:t>تحليل للجوانب المؤسسية لمعالجة كفاءة استخدام الطاقة في سياق خفض المواد الهيدروفلوروكربونية في إطار الصندوق المتعدد الأطراف</w:t>
      </w:r>
    </w:p>
    <w:p w14:paraId="7F34F7DE" w14:textId="77777777" w:rsidR="00C018C0" w:rsidRPr="00F13B91" w:rsidRDefault="00C018C0" w:rsidP="00C018C0">
      <w:pPr>
        <w:pStyle w:val="ListParagraph"/>
        <w:bidi/>
        <w:spacing w:after="0" w:line="240" w:lineRule="auto"/>
        <w:contextualSpacing w:val="0"/>
        <w:jc w:val="both"/>
        <w:outlineLvl w:val="0"/>
        <w:rPr>
          <w:rFonts w:ascii="Times New Roman" w:hAnsi="Times New Roman" w:cs="Times New Roman"/>
          <w:sz w:val="26"/>
          <w:szCs w:val="26"/>
        </w:rPr>
      </w:pPr>
    </w:p>
    <w:p w14:paraId="2E15F596" w14:textId="77777777" w:rsidR="00C018C0" w:rsidRPr="00F13B91" w:rsidRDefault="00C018C0" w:rsidP="00C018C0">
      <w:pPr>
        <w:pStyle w:val="Heading1"/>
        <w:bidi/>
        <w:rPr>
          <w:sz w:val="26"/>
          <w:szCs w:val="26"/>
        </w:rPr>
      </w:pPr>
      <w:r w:rsidRPr="00F13B91">
        <w:rPr>
          <w:rFonts w:hint="cs"/>
          <w:sz w:val="26"/>
          <w:szCs w:val="26"/>
          <w:rtl/>
        </w:rPr>
        <w:t>أنشئ الصندوق المتعدد الأطراف لتوفير المساعدات التقنية والمالية لبلدان المادة 5 لتحقيق التزاماتها الخاصة بالامتثال في إطار بروتوكول مونتريال وتعديلاتها وتسوياتها. وي حين أن مقترح الصندوق المتعدد الأطراف يتعلق أساسا بتوفير المساعدات للأنشطة التي تتعلق بصورة مباشرة بخفض المواد التي يراقبها بروتوكول مونتريال لتحقيق الامتثال، وقدمت الأطراف توجيهات إضافية لبروتوكول مونتريال، وطلبت من اللجنة التنفيذية دعم الإجراءات الأخرى في بلدان المادة 5 التي لا تؤدي مباشرة الى خفض المواد الخاضعة للرقابة ولكنها تنطوي على هدف أوسع نطاقا لحماية طبقة الأوزون والبيئة.</w:t>
      </w:r>
    </w:p>
    <w:p w14:paraId="1B7B51BD" w14:textId="77777777" w:rsidR="00C018C0" w:rsidRPr="00F13B91" w:rsidRDefault="00C018C0" w:rsidP="00C018C0">
      <w:pPr>
        <w:pStyle w:val="Heading1"/>
        <w:bidi/>
        <w:rPr>
          <w:sz w:val="26"/>
          <w:szCs w:val="26"/>
        </w:rPr>
      </w:pPr>
      <w:r w:rsidRPr="00F13B91">
        <w:rPr>
          <w:rFonts w:hint="cs"/>
          <w:sz w:val="26"/>
          <w:szCs w:val="26"/>
          <w:rtl/>
        </w:rPr>
        <w:t>وخلال الاجتماع التسعين عندما وافقت الأطراف على تعديلات على البروتوكول فيما يتعلق بالمواد الهيدروكلوروفلوروكربونية، طلب من اللجنة التنفيذية إيلاء الأولوية للمشروعات والبرامج التي تتسم بمردودية التكاليف مع التركيز على البدائل التي تقلل من الآثار الأخرى على البيئة بما في ذلك على المناخ وغيره من العوامل ذات الصلة التي تأخذ في الاعتبار القدرات المنخفضة على الاحترار العالمي والعوامل الأخرى ذات الصلة. وفي هذا السياق قدم الصندوق المتعدد الأطراف أيضا موارد إضافية للمشروعات والأنشطة التي تطبق التكنولوجيات المنخفضة القدرة على الاحترار العالمي. فعلى سبيل المثال قدم المقرر 60/44 التمويل بحد أقصى يزيد بنسبة 25 في المائة عن الحد الأقصى لمردودية التكاليف لمشروعات خفض المواد الهيدروفلوروكربونية، إذا لزم الأمر، لتطبيق التكنولوجيات البديلة المنخفضة القدرة على الاحترار العالمي.</w:t>
      </w:r>
    </w:p>
    <w:p w14:paraId="64FB75C2" w14:textId="77777777" w:rsidR="00C018C0" w:rsidRPr="00F13B91" w:rsidRDefault="00C018C0" w:rsidP="00C018C0">
      <w:pPr>
        <w:pStyle w:val="Heading1"/>
        <w:bidi/>
        <w:rPr>
          <w:sz w:val="26"/>
          <w:szCs w:val="26"/>
        </w:rPr>
      </w:pPr>
      <w:r w:rsidRPr="00F13B91">
        <w:rPr>
          <w:rFonts w:hint="cs"/>
          <w:sz w:val="26"/>
          <w:szCs w:val="26"/>
          <w:rtl/>
        </w:rPr>
        <w:t>وقررت الأطراف في بروتوكول مونتريال أيضا في السابق</w:t>
      </w:r>
      <w:r w:rsidRPr="00F13B91">
        <w:rPr>
          <w:rStyle w:val="FootnoteReference"/>
          <w:sz w:val="26"/>
          <w:szCs w:val="26"/>
        </w:rPr>
        <w:footnoteReference w:id="9"/>
      </w:r>
      <w:r w:rsidRPr="00F13B91">
        <w:rPr>
          <w:rFonts w:hint="cs"/>
          <w:sz w:val="26"/>
          <w:szCs w:val="26"/>
          <w:rtl/>
        </w:rPr>
        <w:t xml:space="preserve"> تمويل بلدان المادة 5 لمعالجة المسائل التي لا تتعلق بعملية الخفض المباشر لاستهلاك المواد الخاضعة للرقابة وتيسير عملية التحويل الى البدائل الصديقة للبيئة الأخرى. وحصلت على الدعم من الإجراءات النوعية من اللجنة التنفيذية استنادا الى التوجيهات المقدمة من الأطراف.</w:t>
      </w:r>
    </w:p>
    <w:p w14:paraId="1DE172DD" w14:textId="77777777" w:rsidR="00C018C0" w:rsidRPr="00F13B91" w:rsidRDefault="00C018C0" w:rsidP="00C018C0">
      <w:pPr>
        <w:pStyle w:val="Heading1"/>
        <w:bidi/>
        <w:rPr>
          <w:sz w:val="26"/>
          <w:szCs w:val="26"/>
        </w:rPr>
      </w:pPr>
      <w:r w:rsidRPr="00F13B91">
        <w:rPr>
          <w:rFonts w:hint="cs"/>
          <w:sz w:val="26"/>
          <w:szCs w:val="26"/>
          <w:rtl/>
        </w:rPr>
        <w:t xml:space="preserve">وبناء على ذلك </w:t>
      </w:r>
      <w:r w:rsidRPr="00F13B91">
        <w:rPr>
          <w:sz w:val="26"/>
          <w:szCs w:val="26"/>
          <w:rtl/>
        </w:rPr>
        <w:t xml:space="preserve">اتخذت اللجنة التنفيذية </w:t>
      </w:r>
      <w:r w:rsidRPr="00F13B91">
        <w:rPr>
          <w:rFonts w:hint="cs"/>
          <w:sz w:val="26"/>
          <w:szCs w:val="26"/>
          <w:rtl/>
        </w:rPr>
        <w:t>م</w:t>
      </w:r>
      <w:r w:rsidRPr="00F13B91">
        <w:rPr>
          <w:sz w:val="26"/>
          <w:szCs w:val="26"/>
          <w:rtl/>
        </w:rPr>
        <w:t xml:space="preserve">قررات لتوفير الدعم التمويلي ، </w:t>
      </w:r>
      <w:r w:rsidRPr="00F13B91">
        <w:rPr>
          <w:rFonts w:hint="cs"/>
          <w:sz w:val="26"/>
          <w:szCs w:val="26"/>
          <w:rtl/>
        </w:rPr>
        <w:t>إعمالا</w:t>
      </w:r>
      <w:r w:rsidRPr="00F13B91">
        <w:rPr>
          <w:sz w:val="26"/>
          <w:szCs w:val="26"/>
          <w:rtl/>
        </w:rPr>
        <w:t xml:space="preserve"> </w:t>
      </w:r>
      <w:r w:rsidRPr="00F13B91">
        <w:rPr>
          <w:rFonts w:hint="cs"/>
          <w:sz w:val="26"/>
          <w:szCs w:val="26"/>
          <w:rtl/>
        </w:rPr>
        <w:t>ل</w:t>
      </w:r>
      <w:r w:rsidRPr="00F13B91">
        <w:rPr>
          <w:sz w:val="26"/>
          <w:szCs w:val="26"/>
          <w:rtl/>
        </w:rPr>
        <w:t xml:space="preserve">مقررات الأطراف ، لمعالجة </w:t>
      </w:r>
      <w:r w:rsidRPr="00F13B91">
        <w:rPr>
          <w:rFonts w:hint="cs"/>
          <w:sz w:val="26"/>
          <w:szCs w:val="26"/>
          <w:rtl/>
        </w:rPr>
        <w:t>بعض المسائل التي</w:t>
      </w:r>
      <w:r w:rsidRPr="00F13B91">
        <w:rPr>
          <w:sz w:val="26"/>
          <w:szCs w:val="26"/>
          <w:rtl/>
        </w:rPr>
        <w:t xml:space="preserve"> لها </w:t>
      </w:r>
      <w:r w:rsidRPr="00F13B91">
        <w:rPr>
          <w:rFonts w:hint="cs"/>
          <w:sz w:val="26"/>
          <w:szCs w:val="26"/>
          <w:rtl/>
        </w:rPr>
        <w:t>آثار</w:t>
      </w:r>
      <w:r w:rsidRPr="00F13B91">
        <w:rPr>
          <w:sz w:val="26"/>
          <w:szCs w:val="26"/>
          <w:rtl/>
        </w:rPr>
        <w:t xml:space="preserve"> مباش</w:t>
      </w:r>
      <w:r w:rsidRPr="00F13B91">
        <w:rPr>
          <w:rFonts w:hint="cs"/>
          <w:sz w:val="26"/>
          <w:szCs w:val="26"/>
          <w:rtl/>
        </w:rPr>
        <w:t>رة</w:t>
      </w:r>
      <w:r w:rsidRPr="00F13B91">
        <w:rPr>
          <w:sz w:val="26"/>
          <w:szCs w:val="26"/>
          <w:rtl/>
        </w:rPr>
        <w:t xml:space="preserve"> وفوري</w:t>
      </w:r>
      <w:r w:rsidRPr="00F13B91">
        <w:rPr>
          <w:rFonts w:hint="cs"/>
          <w:sz w:val="26"/>
          <w:szCs w:val="26"/>
          <w:rtl/>
        </w:rPr>
        <w:t>ة</w:t>
      </w:r>
      <w:r w:rsidRPr="00F13B91">
        <w:rPr>
          <w:sz w:val="26"/>
          <w:szCs w:val="26"/>
          <w:rtl/>
        </w:rPr>
        <w:t xml:space="preserve"> على الامتثال. </w:t>
      </w:r>
      <w:r w:rsidRPr="00F13B91">
        <w:rPr>
          <w:rFonts w:hint="cs"/>
          <w:sz w:val="26"/>
          <w:szCs w:val="26"/>
          <w:rtl/>
        </w:rPr>
        <w:t>و</w:t>
      </w:r>
      <w:r w:rsidRPr="00F13B91">
        <w:rPr>
          <w:sz w:val="26"/>
          <w:szCs w:val="26"/>
          <w:rtl/>
        </w:rPr>
        <w:t xml:space="preserve">نظر في نوافذ التمويل </w:t>
      </w:r>
      <w:r w:rsidRPr="00F13B91">
        <w:rPr>
          <w:rFonts w:hint="cs"/>
          <w:sz w:val="26"/>
          <w:szCs w:val="26"/>
          <w:rtl/>
        </w:rPr>
        <w:t>بموجب</w:t>
      </w:r>
      <w:r w:rsidRPr="00F13B91">
        <w:rPr>
          <w:sz w:val="26"/>
          <w:szCs w:val="26"/>
          <w:rtl/>
        </w:rPr>
        <w:t xml:space="preserve"> الصندوق </w:t>
      </w:r>
      <w:r w:rsidRPr="00F13B91">
        <w:rPr>
          <w:rFonts w:hint="cs"/>
          <w:sz w:val="26"/>
          <w:szCs w:val="26"/>
          <w:rtl/>
        </w:rPr>
        <w:t>ال</w:t>
      </w:r>
      <w:r w:rsidRPr="00F13B91">
        <w:rPr>
          <w:sz w:val="26"/>
          <w:szCs w:val="26"/>
          <w:rtl/>
        </w:rPr>
        <w:t xml:space="preserve">متعدد الأطراف </w:t>
      </w:r>
      <w:r w:rsidRPr="00F13B91">
        <w:rPr>
          <w:rFonts w:hint="cs"/>
          <w:sz w:val="26"/>
          <w:szCs w:val="26"/>
          <w:rtl/>
        </w:rPr>
        <w:t>للأهداف</w:t>
      </w:r>
      <w:r w:rsidRPr="00F13B91">
        <w:rPr>
          <w:sz w:val="26"/>
          <w:szCs w:val="26"/>
          <w:rtl/>
        </w:rPr>
        <w:t xml:space="preserve"> </w:t>
      </w:r>
      <w:r w:rsidRPr="00F13B91">
        <w:rPr>
          <w:rFonts w:hint="cs"/>
          <w:sz w:val="26"/>
          <w:szCs w:val="26"/>
          <w:rtl/>
        </w:rPr>
        <w:t>النوعية</w:t>
      </w:r>
      <w:r w:rsidRPr="00F13B91">
        <w:rPr>
          <w:sz w:val="26"/>
          <w:szCs w:val="26"/>
          <w:rtl/>
        </w:rPr>
        <w:t xml:space="preserve">، </w:t>
      </w:r>
      <w:r w:rsidRPr="00F13B91">
        <w:rPr>
          <w:rFonts w:hint="cs"/>
          <w:sz w:val="26"/>
          <w:szCs w:val="26"/>
          <w:rtl/>
        </w:rPr>
        <w:t>ومن أمثلة ذلك</w:t>
      </w:r>
      <w:r w:rsidRPr="00F13B91">
        <w:rPr>
          <w:sz w:val="26"/>
          <w:szCs w:val="26"/>
          <w:rtl/>
        </w:rPr>
        <w:t>:</w:t>
      </w:r>
    </w:p>
    <w:p w14:paraId="6D004486" w14:textId="77777777" w:rsidR="00C018C0" w:rsidRPr="00F13B91" w:rsidRDefault="00C018C0" w:rsidP="00C018C0">
      <w:pPr>
        <w:pStyle w:val="Heading2"/>
        <w:bidi/>
        <w:rPr>
          <w:sz w:val="26"/>
          <w:szCs w:val="26"/>
          <w:lang w:bidi="ar-EG"/>
        </w:rPr>
      </w:pPr>
      <w:r w:rsidRPr="00F13B91">
        <w:rPr>
          <w:rFonts w:hint="cs"/>
          <w:sz w:val="26"/>
          <w:szCs w:val="26"/>
          <w:rtl/>
          <w:lang w:bidi="ar-EG"/>
        </w:rPr>
        <w:t xml:space="preserve">نافذة بمبلغ </w:t>
      </w:r>
      <w:r w:rsidRPr="00F13B91">
        <w:rPr>
          <w:sz w:val="26"/>
          <w:szCs w:val="26"/>
        </w:rPr>
        <w:t>15.2</w:t>
      </w:r>
      <w:r w:rsidRPr="00F13B91">
        <w:rPr>
          <w:rFonts w:hint="cs"/>
          <w:sz w:val="26"/>
          <w:szCs w:val="26"/>
          <w:rtl/>
          <w:lang w:bidi="ar-EG"/>
        </w:rPr>
        <w:t xml:space="preserve"> مليون دولار أمريكي لقطاع تبريد المباني في 2005 أنشئ استنادا الى المقرر 16/13 للأطراف في بروتوكول مونتريال (المقرر 45/4(ج))؛</w:t>
      </w:r>
    </w:p>
    <w:p w14:paraId="3E51CA62" w14:textId="77777777" w:rsidR="00C018C0" w:rsidRPr="00F13B91" w:rsidRDefault="00C018C0" w:rsidP="00C018C0">
      <w:pPr>
        <w:pStyle w:val="Heading2"/>
        <w:bidi/>
        <w:rPr>
          <w:sz w:val="26"/>
          <w:szCs w:val="26"/>
        </w:rPr>
      </w:pPr>
      <w:r w:rsidRPr="00F13B91">
        <w:rPr>
          <w:rFonts w:hint="cs"/>
          <w:sz w:val="26"/>
          <w:szCs w:val="26"/>
          <w:rtl/>
          <w:lang w:bidi="ar-EG"/>
        </w:rPr>
        <w:t xml:space="preserve">نافذة بمبلغ </w:t>
      </w:r>
      <w:r w:rsidRPr="00F13B91">
        <w:rPr>
          <w:sz w:val="26"/>
          <w:szCs w:val="26"/>
        </w:rPr>
        <w:t>11.53</w:t>
      </w:r>
      <w:r w:rsidRPr="00F13B91">
        <w:rPr>
          <w:rFonts w:hint="cs"/>
          <w:sz w:val="26"/>
          <w:szCs w:val="26"/>
          <w:rtl/>
          <w:lang w:bidi="ar-EG"/>
        </w:rPr>
        <w:t xml:space="preserve"> مليون دولار أمريكي</w:t>
      </w:r>
      <w:r w:rsidRPr="00F13B91">
        <w:rPr>
          <w:rFonts w:hint="cs"/>
          <w:sz w:val="26"/>
          <w:szCs w:val="26"/>
          <w:rtl/>
        </w:rPr>
        <w:t xml:space="preserve"> للمشروعات الرائدة لتدمير المواد المستنفدة للأوزون غير المطلوبة التي أنشئت إعمالا للمقرر 20/7 للأطراف في بروتوكول مونتريال.</w:t>
      </w:r>
    </w:p>
    <w:p w14:paraId="62CDD543" w14:textId="77777777" w:rsidR="00C018C0" w:rsidRPr="00F13B91" w:rsidRDefault="00C018C0" w:rsidP="00C018C0">
      <w:pPr>
        <w:pStyle w:val="Heading1"/>
        <w:bidi/>
        <w:rPr>
          <w:sz w:val="26"/>
          <w:szCs w:val="26"/>
        </w:rPr>
      </w:pPr>
      <w:r w:rsidRPr="00F13B91">
        <w:rPr>
          <w:rFonts w:hint="cs"/>
          <w:sz w:val="26"/>
          <w:szCs w:val="26"/>
          <w:rtl/>
        </w:rPr>
        <w:t>وعلاوة على ذلك، وافقت اللجنة التنفيذية من خلال المقرر 77/60(د)، على أن التمويل من عدة بلدان من غير العاملة بالمادة 5 ل</w:t>
      </w:r>
      <w:r w:rsidRPr="00F13B91">
        <w:rPr>
          <w:rFonts w:hint="cs"/>
          <w:sz w:val="26"/>
          <w:szCs w:val="26"/>
          <w:rtl/>
        </w:rPr>
        <w:tab/>
      </w:r>
      <w:r w:rsidRPr="00F13B91">
        <w:rPr>
          <w:rFonts w:hint="cs"/>
          <w:sz w:val="26"/>
          <w:szCs w:val="26"/>
          <w:rtl/>
          <w:lang w:bidi="ar-EG"/>
        </w:rPr>
        <w:t xml:space="preserve">تقديم الدعم للبداية السريعة لتلك الأطراف العاملة بالمادة 5 لتنفيذ تعديل كيجالي من خلال أنشطة التمكين، وفي حين لم تكن هذه الأنشطة لا ترتبط بصورة مباشرة بأهداف الامتثال المباشر فقد أسعمت في تعزيز </w:t>
      </w:r>
      <w:r w:rsidRPr="00F13B91">
        <w:rPr>
          <w:rFonts w:hint="cs"/>
          <w:sz w:val="26"/>
          <w:szCs w:val="26"/>
          <w:rtl/>
          <w:lang w:bidi="ar-EG"/>
        </w:rPr>
        <w:lastRenderedPageBreak/>
        <w:t>الأهداف الشاملة لإدراج البلدان في خفض المواد الهيدروفلوروكربونية بأن تصبح هذه الأطراف أعضاء في تعديل كيجالي والشروع في بعض الأنشطة.</w:t>
      </w:r>
    </w:p>
    <w:p w14:paraId="0D7B4602" w14:textId="77777777" w:rsidR="00C018C0" w:rsidRPr="00F13B91" w:rsidRDefault="00C018C0" w:rsidP="00C018C0">
      <w:pPr>
        <w:pStyle w:val="Heading1"/>
        <w:bidi/>
        <w:rPr>
          <w:sz w:val="26"/>
          <w:szCs w:val="26"/>
        </w:rPr>
      </w:pPr>
      <w:r w:rsidRPr="00F13B91">
        <w:rPr>
          <w:rFonts w:hint="cs"/>
          <w:sz w:val="26"/>
          <w:szCs w:val="26"/>
          <w:rtl/>
        </w:rPr>
        <w:t xml:space="preserve">وتوضح هذه الأمثلة أن هناك فرصا متاحة للنظر في التمويل الذي قد يمثل إضافة واستكمالا لتلك الخاصة بالوفاء بأهداف الامتثال لبروتوكول مونتريال، واتخذت اللجنة التنفيذية مقررات فيما </w:t>
      </w:r>
      <w:r w:rsidRPr="00F13B91">
        <w:rPr>
          <w:rFonts w:hint="cs"/>
          <w:sz w:val="26"/>
          <w:szCs w:val="26"/>
          <w:rtl/>
          <w:lang w:bidi="ar-EG"/>
        </w:rPr>
        <w:t>اتخذت من دعم سابق لهذه الأنشطة عن إطار إزالة المواد المستنفدة للأوزون.</w:t>
      </w:r>
    </w:p>
    <w:p w14:paraId="4D3965F6" w14:textId="77777777" w:rsidR="00C018C0" w:rsidRPr="00F13B91" w:rsidRDefault="00C018C0" w:rsidP="00C018C0">
      <w:pPr>
        <w:pStyle w:val="Heading1"/>
        <w:bidi/>
        <w:rPr>
          <w:sz w:val="26"/>
          <w:szCs w:val="26"/>
        </w:rPr>
      </w:pPr>
      <w:r w:rsidRPr="00F13B91">
        <w:rPr>
          <w:rFonts w:hint="cs"/>
          <w:sz w:val="26"/>
          <w:szCs w:val="26"/>
          <w:rtl/>
        </w:rPr>
        <w:t>وتتخذ الكثير من الحكومات خطوات لتنفيذ معايير كفاءة استخدام الطاقة الضخ الحراري في أجهزة تكييف الهواء. ونظرا لأن هذه المعايير قد لا تعالج بصورة كاملة نوع غازات التبريد (أي ما إذا كان غاز التبريد تتسم بانخفاض أو زيادة قدرات الاحترار العالمي) المستخدمة في المعدات فإنه يمكن أن تحقق بفعالية أهداف خفض المواد الهيدروفلوروكربونية بالنظر الى أن بعض المعدات المعتمدة على الهيدروفلوروكربون قد أفضل كفاءة لاستخدام الطاقة في الوقت الراهن في حين مازال يمكن الحصول على المعدات التي تتسم بالقدرة المنخفضة للاحترار العالمي التي تتسم بكفاءة استخدام الطاقة.</w:t>
      </w:r>
    </w:p>
    <w:p w14:paraId="2E0960CA" w14:textId="77777777" w:rsidR="00C018C0" w:rsidRPr="00F13B91" w:rsidRDefault="00C018C0" w:rsidP="00C018C0">
      <w:pPr>
        <w:pStyle w:val="Heading1"/>
        <w:bidi/>
        <w:rPr>
          <w:sz w:val="26"/>
          <w:szCs w:val="26"/>
        </w:rPr>
      </w:pPr>
      <w:r w:rsidRPr="00F13B91">
        <w:rPr>
          <w:rFonts w:hint="cs"/>
          <w:sz w:val="26"/>
          <w:szCs w:val="26"/>
          <w:rtl/>
        </w:rPr>
        <w:t xml:space="preserve">وخلال إقرار تعديل كيجالي لخفض المواد الهيدروفلوروكربونية، طلبت الأطراف من اللجنة التنفيذية أن تضع، لدى وضع المبادئ التوجيهية لتكاليف خفض الهيدروفلوروكربون، توجيهات للتكاليف ترتبط بالحفاظ و/أو تعزيز كفاءة استخدام الطاقة للأجهزة والمعدات المنخفضة القدرة على الاحترار العالمي أو التي تنعدم هذه القدرة مع ملاحظة دور المؤسسات في معالجة كفاءة استخدام الطاقة في الوقت المناسب. (الفقرة 22 من المقرر 28/2). وإعمالا للفقرة 16 من المقرر 28/2، قررت اللجنة التنفيذية خلال الاجتماع التاسع والثمانين أن تقدم دعما إضافيا للبلدان التي ينخفض فيها حجم الاستهلاك عندما يلزم الأمر لتطبيق بدائل المواد الهيدروكلوروفلوروكربوننية التي تتسم بانخفاض أو عدم القدرة على الاحترار العالمي. وللحفاظ أو تعزيز كفاءة استخدام الطلقة في قطاع خدمة التبريد (المقرر 89/6). وعلاوة على ذلك قرر الأطراف في بروتوكول مونتريال. وقررت الأطراف </w:t>
      </w:r>
      <w:r w:rsidRPr="00F13B91">
        <w:rPr>
          <w:rFonts w:hint="cs"/>
          <w:i/>
          <w:iCs/>
          <w:sz w:val="26"/>
          <w:szCs w:val="26"/>
          <w:rtl/>
        </w:rPr>
        <w:t>ضمن جملة أمور</w:t>
      </w:r>
      <w:r w:rsidRPr="00F13B91">
        <w:rPr>
          <w:rFonts w:hint="cs"/>
          <w:sz w:val="26"/>
          <w:szCs w:val="26"/>
          <w:rtl/>
        </w:rPr>
        <w:t xml:space="preserve"> خلال اجتماعها الرابع والثلاثين في نوفمبر/ تشرين الثاني 2022 أن تطلب من اللجنة التنفيذية مواصلة تقديم الدعم للأنشطة الرامية الى الحفاظ و/أو تعزيز كفاءة استخدام الطاقة في سياق خفض المواد الهيدروفلوروكربونية في البلدان التي ستقوم بذلك. على النحو الوارد في مشروع المقرر، والتمكن للحصول المعزز وتيسير التحول الى كفاءة استخدام الطاقة والتكنولوجيات المنخفضة القدرة على الاحترار العالمي.</w:t>
      </w:r>
    </w:p>
    <w:p w14:paraId="38D2F7BB" w14:textId="77777777" w:rsidR="00C018C0" w:rsidRPr="00F13B91" w:rsidRDefault="00C018C0" w:rsidP="00C018C0">
      <w:pPr>
        <w:pStyle w:val="Heading1"/>
        <w:bidi/>
        <w:rPr>
          <w:sz w:val="26"/>
          <w:szCs w:val="26"/>
        </w:rPr>
      </w:pPr>
      <w:r w:rsidRPr="00F13B91">
        <w:rPr>
          <w:rFonts w:hint="cs"/>
          <w:sz w:val="26"/>
          <w:szCs w:val="26"/>
          <w:rtl/>
        </w:rPr>
        <w:t>وتبين المقررات المشار إليها أعلاه من جانب الأطراف واللجنة التنفيذية أن هناك مقررات اتخذت في السابق في إطار الصندوق المتعدد الأطراف لمعالجة المسائل ذات الأولوية المرتبطة بإزالة و/أو خفض استهلاك في بروتوكول مونتريال والمشروعات التي تسهم في تحقيق منافع إضافية للبيئة. وعلى الرغم من أن المسائل المتعلقة بكفاءة استخدام الطاقة لا تتعلق بالامتثال وليس لها أهداف رقابة محددة أو قياسات أداء متفق عليها للقياس والرصد والإبلاغ عن المنجزات في أهداف كفاءة استخدام الطاقة، فإنه إعمالا للمقرر 28/2 يمكن أخذها في الاعتبار لدى التمويل من خلال الصندوق المتعدد الأطراف من خلال مقرر تتخذه اللجنة التنفيذية مع التوجيهات ذات الصلة.</w:t>
      </w:r>
    </w:p>
    <w:p w14:paraId="10768C51" w14:textId="77777777" w:rsidR="00C018C0" w:rsidRPr="00F13B91" w:rsidRDefault="00C018C0" w:rsidP="00C018C0">
      <w:pPr>
        <w:bidi/>
        <w:ind w:left="720" w:hanging="720"/>
        <w:outlineLvl w:val="0"/>
        <w:rPr>
          <w:b/>
          <w:bCs/>
          <w:sz w:val="26"/>
          <w:szCs w:val="26"/>
          <w:rtl/>
        </w:rPr>
      </w:pPr>
      <w:r w:rsidRPr="00F13B91">
        <w:rPr>
          <w:rFonts w:hint="cs"/>
          <w:b/>
          <w:bCs/>
          <w:sz w:val="26"/>
          <w:szCs w:val="26"/>
          <w:rtl/>
        </w:rPr>
        <w:t>ثانيا</w:t>
      </w:r>
      <w:r w:rsidRPr="00F13B91">
        <w:rPr>
          <w:rFonts w:hint="cs"/>
          <w:b/>
          <w:bCs/>
          <w:sz w:val="26"/>
          <w:szCs w:val="26"/>
          <w:rtl/>
        </w:rPr>
        <w:tab/>
        <w:t>نظر المشروعات ذات الصلة بكفاءة استخدام الطاقة في إطار عمليات الصندوق المتعدد الأطراف</w:t>
      </w:r>
    </w:p>
    <w:p w14:paraId="2EF1A890" w14:textId="77777777" w:rsidR="00C018C0" w:rsidRPr="00F13B91" w:rsidRDefault="00C018C0" w:rsidP="00C018C0">
      <w:pPr>
        <w:pStyle w:val="ListParagraph"/>
        <w:bidi/>
        <w:spacing w:after="0" w:line="240" w:lineRule="auto"/>
        <w:contextualSpacing w:val="0"/>
        <w:jc w:val="both"/>
        <w:outlineLvl w:val="0"/>
        <w:rPr>
          <w:rFonts w:ascii="Times New Roman" w:hAnsi="Times New Roman" w:cs="Times New Roman"/>
          <w:sz w:val="26"/>
          <w:szCs w:val="26"/>
          <w:rtl/>
          <w:lang w:bidi="ar-EG"/>
        </w:rPr>
      </w:pPr>
    </w:p>
    <w:p w14:paraId="07DC6B71" w14:textId="77777777" w:rsidR="00C018C0" w:rsidRPr="00F13B91" w:rsidRDefault="00C018C0" w:rsidP="00C018C0">
      <w:pPr>
        <w:pStyle w:val="Heading1"/>
        <w:bidi/>
        <w:rPr>
          <w:sz w:val="26"/>
          <w:szCs w:val="26"/>
        </w:rPr>
      </w:pPr>
      <w:r w:rsidRPr="00F13B91">
        <w:rPr>
          <w:rFonts w:hint="cs"/>
          <w:sz w:val="26"/>
          <w:szCs w:val="26"/>
          <w:rtl/>
        </w:rPr>
        <w:t>ويعمل الصندوق المتعدد الأطراف في التخطيط المالي واستعراض المشروعات والموافقة عليها، ورصد وتقييم المشروعات المنتهية وفقا للسياسات والمبادئ التوجيهية التي وضعتها اللجنة التنفيذية منذ إنشائها ولدى نظر خيارات التشغيل المتعلقة بتمويل المشروعات ذات الصلة بكفاءة استخدام الطاقة سياق خفض المواد الهيدروفلوروكربونية، ويمكن في هذه الظروف والمبادئ التوجيهية أن تتبع نفس هذه الإجراءات مع بعض الظروف والمبادئ التوجيهية النوعية التي قد تحددها اللجنة التنفيذية لتحديد المشروعات. ويمكن تطبيق هذه الإجراءات أيضا على الخيار 1 والخيار 2 ولا بد وأن تعمل بموجب الافتراضات التالية:</w:t>
      </w:r>
    </w:p>
    <w:p w14:paraId="2E127A56" w14:textId="77777777" w:rsidR="00C018C0" w:rsidRPr="00F13B91" w:rsidRDefault="00C018C0" w:rsidP="00C018C0">
      <w:pPr>
        <w:pStyle w:val="Heading2"/>
        <w:bidi/>
        <w:rPr>
          <w:sz w:val="26"/>
          <w:szCs w:val="26"/>
          <w:lang w:bidi="ar-EG"/>
        </w:rPr>
      </w:pPr>
      <w:r w:rsidRPr="00F13B91">
        <w:rPr>
          <w:rFonts w:hint="cs"/>
          <w:sz w:val="26"/>
          <w:szCs w:val="26"/>
          <w:rtl/>
          <w:lang w:bidi="ar-EG"/>
        </w:rPr>
        <w:t>سيتم في إطار الخيار 1 حفظ أو تعزيز كفاءة استخدام الطاقة بموجب المساهمات العادية للصندوق المتعدد الأطراف بالإضافة الى التكاليف المتعلقة بإجراءات الحفظ التي سوف تسهم في تحقيق الامتثال (مثل مشروعات خفض المواد الهيدروفلوروكربونية)؛</w:t>
      </w:r>
    </w:p>
    <w:p w14:paraId="15EBF622" w14:textId="77777777" w:rsidR="00C018C0" w:rsidRPr="00F13B91" w:rsidRDefault="00C018C0" w:rsidP="00C018C0">
      <w:pPr>
        <w:pStyle w:val="Heading2"/>
        <w:bidi/>
        <w:rPr>
          <w:sz w:val="26"/>
          <w:szCs w:val="26"/>
        </w:rPr>
      </w:pPr>
      <w:r w:rsidRPr="00F13B91">
        <w:rPr>
          <w:rFonts w:hint="cs"/>
          <w:sz w:val="26"/>
          <w:szCs w:val="26"/>
          <w:rtl/>
          <w:lang w:bidi="ar-EG"/>
        </w:rPr>
        <w:lastRenderedPageBreak/>
        <w:t>وسيتم بموجب الخيار الثاني تقديم الأموال بواسطة البلدان المانحة غير العاملة بالمادة 5 (مثل خارج المساهمات العادية للصندوق المتعدد الأطراف) إتاحتها بصورة مطلقة لأنشطة كفاءة استخدام الطاقة حيث تتباين التمويل بمرور الوقت من ثم نظر المشروعات الواردة تحت هذا الخيار عندما يتوافر التمويل وعلاوة على ذلك، قد تتوافر ظروف نوعية ترتبط باستخدام هذه الأموال التي تطلبها البلدان المانحة، وسوف تحتاج اللجنة التنفيذية الى المواقة أولا على هذه الظروف الخاصة بالأنشطة المرتبطة بكفاءة استخدام الطاقة باستخدام هذه الأموال.</w:t>
      </w:r>
    </w:p>
    <w:p w14:paraId="184E355E" w14:textId="77777777" w:rsidR="00C018C0" w:rsidRPr="00F13B91" w:rsidRDefault="00C018C0" w:rsidP="00C018C0">
      <w:pPr>
        <w:pStyle w:val="Heading1"/>
        <w:bidi/>
        <w:rPr>
          <w:sz w:val="26"/>
          <w:szCs w:val="26"/>
        </w:rPr>
      </w:pPr>
      <w:r w:rsidRPr="00F13B91">
        <w:rPr>
          <w:rFonts w:hint="cs"/>
          <w:sz w:val="26"/>
          <w:szCs w:val="26"/>
          <w:rtl/>
        </w:rPr>
        <w:t>وفي حالة أن ترغب اللجنة التنفيذية في إمكانية تمويل هذه الأنشطة الواردة في الخيار 1 والخيار 2، سوف يتعين إدراجها في خطط الأعمال المتتالية لفترة الثلاث سنوات المقدمة من الوكالات الثنائية والمنفذة. وسوف يتيح إدراجها في خطة الأعمال تقديم هذه المشروعات كجزء من خطط خفض المواد الهيدروفلوروكربونية في تعديل كيجالي أو في المشروعات المختلفة وسوف تتبع هذه المشروعات عندئذ المشروعات الموحدة الواردة أدناه وعملية الموافقة بما في ذلك تحويل الأموال ومعدلات صرفها. وعلاوة على ذلك، سوف تخضع هذه المشروعات، لدى الموافقة عليها، لإجراءات رصد المشروعات والإبلاغ</w:t>
      </w:r>
      <w:r w:rsidRPr="00F13B91">
        <w:rPr>
          <w:rStyle w:val="FootnoteReference"/>
          <w:sz w:val="26"/>
          <w:szCs w:val="26"/>
        </w:rPr>
        <w:footnoteReference w:id="10"/>
      </w:r>
      <w:r w:rsidRPr="00F13B91">
        <w:rPr>
          <w:rFonts w:hint="cs"/>
          <w:sz w:val="26"/>
          <w:szCs w:val="26"/>
          <w:rtl/>
        </w:rPr>
        <w:t xml:space="preserve"> المعمول بها في الصندوق المتعدد الأطراف التي يمكن أن تتضمن معايير رصد المشروعات النوعية التي قد تطلبها البلدان المانحة في حالة الخيار 2.</w:t>
      </w:r>
    </w:p>
    <w:p w14:paraId="0B6227C6" w14:textId="77777777" w:rsidR="00C018C0" w:rsidRPr="00F13B91" w:rsidRDefault="00C018C0" w:rsidP="00C018C0">
      <w:pPr>
        <w:pStyle w:val="Heading1"/>
        <w:bidi/>
        <w:rPr>
          <w:sz w:val="26"/>
          <w:szCs w:val="26"/>
        </w:rPr>
      </w:pPr>
      <w:r w:rsidRPr="00F13B91">
        <w:rPr>
          <w:rFonts w:hint="cs"/>
          <w:sz w:val="26"/>
          <w:szCs w:val="26"/>
          <w:rtl/>
        </w:rPr>
        <w:t xml:space="preserve">وتتعلق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بالمعايير الخاصة بالمشروعات الخاصة بحفظ و/أو تعزيز كفاءة استخدام الطاقة وفي حين أن تلك قد تكون قد صممت بصورة خاصة بالأولوية المحددة بالمشروعات الرائدة للأنشطة المتعلقة بكفاءة استخدام الطاقة، وسوف يستخدم نفس الشي</w:t>
      </w:r>
      <w:r w:rsidRPr="00F13B91">
        <w:rPr>
          <w:rFonts w:hint="eastAsia"/>
          <w:sz w:val="26"/>
          <w:szCs w:val="26"/>
          <w:rtl/>
        </w:rPr>
        <w:t>ء</w:t>
      </w:r>
      <w:r w:rsidRPr="00F13B91">
        <w:rPr>
          <w:rFonts w:hint="cs"/>
          <w:sz w:val="26"/>
          <w:szCs w:val="26"/>
          <w:rtl/>
        </w:rPr>
        <w:t xml:space="preserve"> في تحديد نوع الأنشطة أو المشروعات التي تحافظ أو تعزز كفاءة استخدام الطاقة في سياق خفض المواد الهيدروفلوروكربونية التي يمكن نظرها </w:t>
      </w:r>
      <w:r w:rsidRPr="00F13B91">
        <w:rPr>
          <w:sz w:val="26"/>
          <w:szCs w:val="26"/>
          <w:rtl/>
        </w:rPr>
        <w:t>في كلا الخيارين</w:t>
      </w:r>
      <w:r w:rsidRPr="00F13B91">
        <w:rPr>
          <w:rFonts w:hint="cs"/>
          <w:sz w:val="26"/>
          <w:szCs w:val="26"/>
          <w:rtl/>
        </w:rPr>
        <w:t>.</w:t>
      </w:r>
    </w:p>
    <w:p w14:paraId="4F9C9B7D" w14:textId="77777777" w:rsidR="00C018C0" w:rsidRPr="00F13B91" w:rsidRDefault="00C018C0" w:rsidP="00C018C0">
      <w:pPr>
        <w:pStyle w:val="Heading1"/>
        <w:bidi/>
        <w:rPr>
          <w:sz w:val="26"/>
          <w:szCs w:val="26"/>
        </w:rPr>
      </w:pPr>
      <w:r w:rsidRPr="00F13B91">
        <w:rPr>
          <w:rFonts w:hint="cs"/>
          <w:sz w:val="26"/>
          <w:szCs w:val="26"/>
          <w:rtl/>
        </w:rPr>
        <w:t>وباختصار توفر</w:t>
      </w:r>
      <w:r w:rsidRPr="00F13B91">
        <w:rPr>
          <w:rFonts w:hint="cs"/>
          <w:sz w:val="26"/>
          <w:szCs w:val="26"/>
          <w:rtl/>
          <w:lang w:bidi="ar-EG"/>
        </w:rPr>
        <w:t>العمليات والإجراءات الحالية في الصندوق المتعدد الأطراف الإطار لنظر المشروعات التي تحافظ و/أو تعزز كفاءة استخدام الطاقة باستخدام أي من خيارات التمويل. وسعيا الى ضمان كفاية التمويل</w:t>
      </w:r>
      <w:r w:rsidRPr="00F13B91">
        <w:rPr>
          <w:rFonts w:hint="cs"/>
          <w:sz w:val="26"/>
          <w:szCs w:val="26"/>
          <w:rtl/>
        </w:rPr>
        <w:t xml:space="preserve"> لهذه المشروعات وفي حالة الخيار 1، قد تختار اللجنة التنفيذية تخصيص أموال كجزء من خطة الأعمال في الصندوق المتعدد الأطراف للتمكين من نظر هذه الأنشطة. وبالنسبة للخيار 2، يمكن للبلدان المانحة التي ترغب في أن تمول بصورة مطلقة هذه الأنشطة في إطار الصندوق المتعدد الأطراف أن توافق على التمويل بالإضافة الى نطاق والظروف السائدة بشأن إمكانية تقديم التمويل للأنشطة المتعلقة بكفاءة استخدام الطاقة في سياق خفض المواد الهيدروفلوروكربونية بشرط موافقة اللجنة التنفيذية.</w:t>
      </w:r>
    </w:p>
    <w:p w14:paraId="4605EBF7" w14:textId="77777777" w:rsidR="00C018C0" w:rsidRPr="00F13B91" w:rsidRDefault="00C018C0" w:rsidP="00C018C0">
      <w:pPr>
        <w:pStyle w:val="Heading1"/>
        <w:bidi/>
        <w:rPr>
          <w:sz w:val="26"/>
          <w:szCs w:val="26"/>
        </w:rPr>
      </w:pPr>
      <w:r w:rsidRPr="00F13B91">
        <w:rPr>
          <w:rFonts w:hint="cs"/>
          <w:sz w:val="26"/>
          <w:szCs w:val="26"/>
          <w:rtl/>
        </w:rPr>
        <w:t>وبالنسبة للمشروعات والأنشطة ذات الصلة بكفاءة استخدام الطاقة، يتعين تحديد المبادئ التوجيهية التشغيلية مثل طريقة التمويل، ومجالات الأولوية للتمويل، وعمليات الرصد والإبلاغ ومستويات التمويل بصورة مفصلة والموافقة عليها بواسطة اللجنة التنفيذية.</w:t>
      </w:r>
    </w:p>
    <w:p w14:paraId="6C3A4F99" w14:textId="77777777" w:rsidR="00C018C0" w:rsidRPr="00F13B91" w:rsidRDefault="00C018C0" w:rsidP="00C018C0">
      <w:pPr>
        <w:keepNext/>
        <w:bidi/>
        <w:ind w:left="720" w:hanging="720"/>
        <w:rPr>
          <w:b/>
          <w:bCs/>
          <w:sz w:val="26"/>
          <w:szCs w:val="26"/>
          <w:rtl/>
        </w:rPr>
      </w:pPr>
      <w:r w:rsidRPr="00F13B91">
        <w:rPr>
          <w:rFonts w:hint="cs"/>
          <w:b/>
          <w:bCs/>
          <w:sz w:val="26"/>
          <w:szCs w:val="26"/>
          <w:rtl/>
        </w:rPr>
        <w:t>ثالثا</w:t>
      </w:r>
      <w:r w:rsidRPr="00F13B91">
        <w:rPr>
          <w:rFonts w:hint="cs"/>
          <w:b/>
          <w:bCs/>
          <w:sz w:val="26"/>
          <w:szCs w:val="26"/>
          <w:rtl/>
        </w:rPr>
        <w:tab/>
        <w:t>عرض عام لطرائق التمويل المقترحة للحفاظ على كفاءة استخدام الطاقة في سياق خفض المواد الهيدروفلوروكربونية</w:t>
      </w:r>
    </w:p>
    <w:p w14:paraId="140C9DDD" w14:textId="77777777" w:rsidR="00C018C0" w:rsidRPr="00F13B91" w:rsidRDefault="00C018C0" w:rsidP="00C018C0">
      <w:pPr>
        <w:pStyle w:val="ListParagraph"/>
        <w:keepNext/>
        <w:bidi/>
        <w:spacing w:after="0" w:line="240" w:lineRule="auto"/>
        <w:ind w:left="0"/>
        <w:contextualSpacing w:val="0"/>
        <w:jc w:val="both"/>
        <w:outlineLvl w:val="0"/>
        <w:rPr>
          <w:rFonts w:ascii="Times New Roman" w:hAnsi="Times New Roman" w:cs="Times New Roman"/>
          <w:sz w:val="26"/>
          <w:szCs w:val="26"/>
          <w:rtl/>
          <w:lang w:bidi="ar-EG"/>
        </w:rPr>
      </w:pPr>
    </w:p>
    <w:p w14:paraId="4310F5BC" w14:textId="77777777" w:rsidR="00C018C0" w:rsidRPr="00F13B91" w:rsidRDefault="00C018C0" w:rsidP="00C018C0">
      <w:pPr>
        <w:pStyle w:val="Heading1"/>
        <w:bidi/>
        <w:rPr>
          <w:sz w:val="26"/>
          <w:szCs w:val="26"/>
        </w:rPr>
      </w:pPr>
      <w:r w:rsidRPr="00F13B91">
        <w:rPr>
          <w:rFonts w:hint="cs"/>
          <w:sz w:val="26"/>
          <w:szCs w:val="26"/>
          <w:rtl/>
        </w:rPr>
        <w:t xml:space="preserve">وسعيا الى </w:t>
      </w:r>
      <w:r w:rsidRPr="00F13B91">
        <w:rPr>
          <w:rFonts w:hint="cs"/>
          <w:sz w:val="26"/>
          <w:szCs w:val="26"/>
          <w:rtl/>
          <w:lang w:bidi="ar-EG"/>
        </w:rPr>
        <w:t>تحديد كيفية تمويل هذه الأنشطة المتعلقة بكفاءة استخدام الطاقة في بلدان المادة 5 في سياق المبادئ التوجيهية الحالية للصندوق المتعدد الأطراف، تبين وجود حاجة الى النظر في الجوانب التالية مع الإشارة الى المشروعات للمحافظة أو تعزيز كفاءة الطاقة في حين أن خفض المواد الهيدروفلوروكربونية كجزء من تعديل كيجالي و/أو تلك التي قدمت إعمالا للمقرر 87/50(</w:t>
      </w:r>
      <w:r w:rsidRPr="00F13B91">
        <w:rPr>
          <w:sz w:val="26"/>
          <w:szCs w:val="26"/>
          <w:rtl/>
          <w:lang w:bidi="ar-EG"/>
        </w:rPr>
        <w:t>ﻫ</w:t>
      </w:r>
      <w:r w:rsidRPr="00F13B91">
        <w:rPr>
          <w:rFonts w:hint="cs"/>
          <w:sz w:val="26"/>
          <w:szCs w:val="26"/>
          <w:rtl/>
          <w:lang w:bidi="ar-EG"/>
        </w:rPr>
        <w:t>)</w:t>
      </w:r>
      <w:r w:rsidRPr="00F13B91">
        <w:rPr>
          <w:rFonts w:hint="cs"/>
          <w:sz w:val="26"/>
          <w:szCs w:val="26"/>
          <w:rtl/>
        </w:rPr>
        <w:t>:</w:t>
      </w:r>
    </w:p>
    <w:p w14:paraId="7CB00DF3" w14:textId="77777777" w:rsidR="00C018C0" w:rsidRPr="00F13B91" w:rsidRDefault="00C018C0" w:rsidP="00C018C0">
      <w:pPr>
        <w:pStyle w:val="Heading2"/>
        <w:bidi/>
        <w:rPr>
          <w:sz w:val="26"/>
          <w:szCs w:val="26"/>
        </w:rPr>
      </w:pPr>
      <w:r w:rsidRPr="00F13B91">
        <w:rPr>
          <w:rFonts w:hint="cs"/>
          <w:i/>
          <w:iCs/>
          <w:sz w:val="26"/>
          <w:szCs w:val="26"/>
          <w:rtl/>
        </w:rPr>
        <w:t>التكاليف المباشرة للعناصر اللازمة لتصنيع معدات كفاءة الطاقة</w:t>
      </w:r>
      <w:r w:rsidRPr="00F13B91">
        <w:rPr>
          <w:rFonts w:hint="cs"/>
          <w:sz w:val="26"/>
          <w:szCs w:val="26"/>
          <w:rtl/>
        </w:rPr>
        <w:t>: ولاحظت فرقة مهام العمل بشأن كفاءة الطاقة التابعة لفريق تقييم التكنولوجيا والتقييم الاقتصادي والتقارير التقنية الأخرى أن التكاليف المباشرة الأولية المرتبطة بتصنيع معدات كفاءة الطاقة تشكل عائقا هاما أمام استخدام هذه المعدات. وتتسبب هذه دائما نتيجة لانخفاض حجم إنتاج العناصر اللازمة لتحسين كفاءة الطاقة. وأصب</w:t>
      </w:r>
      <w:r w:rsidRPr="00F13B91">
        <w:rPr>
          <w:rFonts w:hint="cs"/>
          <w:sz w:val="26"/>
          <w:szCs w:val="26"/>
          <w:rtl/>
          <w:lang w:bidi="ar-EG"/>
        </w:rPr>
        <w:t xml:space="preserve">ح </w:t>
      </w:r>
      <w:r w:rsidRPr="00F13B91">
        <w:rPr>
          <w:rFonts w:hint="cs"/>
          <w:sz w:val="26"/>
          <w:szCs w:val="26"/>
          <w:rtl/>
          <w:lang w:bidi="ar-EG"/>
        </w:rPr>
        <w:lastRenderedPageBreak/>
        <w:t>الصانعون، والمركبون والمستخدمون أكثر دراية بهذه التكنولوجيات الجديدة والعناصر المطلوبة وسوف يسهم ذلك في زيادة الحصول على تلك المعدات التي يمكن أن تؤدي في نهاية المطاف الى خفض التكاليف؛</w:t>
      </w:r>
    </w:p>
    <w:p w14:paraId="09142F9F" w14:textId="77777777" w:rsidR="00C018C0" w:rsidRPr="00F13B91" w:rsidRDefault="00C018C0" w:rsidP="00C018C0">
      <w:pPr>
        <w:pStyle w:val="Heading2"/>
        <w:bidi/>
        <w:rPr>
          <w:sz w:val="26"/>
          <w:szCs w:val="26"/>
        </w:rPr>
      </w:pPr>
      <w:r w:rsidRPr="00F13B91">
        <w:rPr>
          <w:rFonts w:hint="cs"/>
          <w:i/>
          <w:iCs/>
          <w:sz w:val="26"/>
          <w:szCs w:val="26"/>
          <w:rtl/>
        </w:rPr>
        <w:t>اعتبارات الوفورات في تكاليف الطاقة للمستهلكين</w:t>
      </w:r>
      <w:r w:rsidRPr="00F13B91">
        <w:rPr>
          <w:rStyle w:val="FootnoteReference"/>
          <w:sz w:val="26"/>
          <w:szCs w:val="26"/>
        </w:rPr>
        <w:footnoteReference w:id="11"/>
      </w:r>
      <w:r w:rsidRPr="00F13B91">
        <w:rPr>
          <w:rFonts w:hint="cs"/>
          <w:sz w:val="26"/>
          <w:szCs w:val="26"/>
          <w:rtl/>
        </w:rPr>
        <w:t xml:space="preserve"> فسوف يؤدي استخدام معدات كفاءة الطاقة الى وفورات في استهلاك الطاقة للمستخدمين بالنظر الى أن الوفورات في الطاقة في استخدام الكهرباء/ الطاقة وفي اوقت الحالي فإن معدات كفاءة الطاقة المتوافرة في التكاليف السوقية بما يزيد عن تلت التي ليست كذلك، وبصفة عامة فإن هذه التكاليف الإضافية التي تقع على عاتق المستهلك قد يتم استرجاعها من خلال الوفورات في استخدام الطاقة إلاّ أن الشكوك العامة من جانب المستهلكين بشأن فترة الاسترجاع</w:t>
      </w:r>
      <w:r w:rsidRPr="00F13B91">
        <w:rPr>
          <w:rStyle w:val="FootnoteReference"/>
          <w:sz w:val="26"/>
          <w:szCs w:val="26"/>
        </w:rPr>
        <w:footnoteReference w:id="12"/>
      </w:r>
      <w:r w:rsidRPr="00F13B91">
        <w:rPr>
          <w:rFonts w:hint="cs"/>
          <w:sz w:val="26"/>
          <w:szCs w:val="26"/>
          <w:rtl/>
        </w:rPr>
        <w:t xml:space="preserve"> ترجع الى عدم اليقين من الوفورات الفعلية التي سوف يتكبدها المستهلكين. وفي حين أن المخططات المالية (مثل التمويل لدى تقديم الفاتورة للحكومات لخفض أسعار معدات كفاءة الطاقة) يمكن أن تحفز المستهلكين على شراء معدات كفاءة الطاقة، وستطور وتحتاج الى بناء القدرات الخاصة بالمؤسسات المالية وتوفر سلسلة الإمداد بالمعدات (مثل التجار وموزعي المعدات وموفري التبريد كخدمة) لزيادة التطبيق. وعلاوة على ذلك، تشير خبرات تنفيذ البرامج المماثلة التي تتضمن إعانات على شراء المعدات تشير الى أن أي مخطط ينشأ عن نتائج إعانات المعدات، على أساس مؤقت الى فقدان أثارها بمجرد إزالة الإعانات؛</w:t>
      </w:r>
    </w:p>
    <w:p w14:paraId="6673A27A" w14:textId="77777777" w:rsidR="00C018C0" w:rsidRPr="00F13B91" w:rsidRDefault="00C018C0" w:rsidP="00C018C0">
      <w:pPr>
        <w:pStyle w:val="Heading2"/>
        <w:bidi/>
        <w:rPr>
          <w:sz w:val="26"/>
          <w:szCs w:val="26"/>
        </w:rPr>
      </w:pPr>
      <w:r w:rsidRPr="00F13B91">
        <w:rPr>
          <w:rFonts w:hint="cs"/>
          <w:i/>
          <w:iCs/>
          <w:sz w:val="26"/>
          <w:szCs w:val="26"/>
          <w:rtl/>
        </w:rPr>
        <w:t>التكاليف الإضافية لرجال الصناعات الذين ينتجون معدات كفاءة الطاقة</w:t>
      </w:r>
      <w:r w:rsidRPr="00F13B91">
        <w:rPr>
          <w:rFonts w:hint="cs"/>
          <w:sz w:val="26"/>
          <w:szCs w:val="26"/>
          <w:rtl/>
        </w:rPr>
        <w:t>: وكما أشير في (أ) أعلاه، ينبغي عادة أن يتحمل رجال الصناعة التكاليف المرتفعة لإنتاج نواتج كفاءة استخدام الطاقة في المراحل الأولية.</w:t>
      </w:r>
      <w:r w:rsidRPr="00F13B91">
        <w:rPr>
          <w:rStyle w:val="FootnoteReference"/>
          <w:sz w:val="26"/>
          <w:szCs w:val="26"/>
        </w:rPr>
        <w:t xml:space="preserve"> </w:t>
      </w:r>
      <w:r w:rsidRPr="00F13B91">
        <w:rPr>
          <w:rStyle w:val="FootnoteReference"/>
          <w:sz w:val="26"/>
          <w:szCs w:val="26"/>
        </w:rPr>
        <w:footnoteReference w:id="13"/>
      </w:r>
      <w:r w:rsidRPr="00F13B91">
        <w:rPr>
          <w:rFonts w:hint="cs"/>
          <w:sz w:val="26"/>
          <w:szCs w:val="26"/>
          <w:rtl/>
          <w:lang w:bidi="ar-EG"/>
        </w:rPr>
        <w:t xml:space="preserve"> ولا تعتبر</w:t>
      </w:r>
      <w:r w:rsidRPr="00F13B91">
        <w:rPr>
          <w:rFonts w:hint="cs"/>
          <w:sz w:val="26"/>
          <w:szCs w:val="26"/>
          <w:rtl/>
        </w:rPr>
        <w:t xml:space="preserve"> هذه التكاليف الإضافية بكفاءة استخدام الطاقة، في سياق المبادئ التوجيهية الحالية للتمويل إضافية بموجب الصندوق المتعدد الأطراف ولا تتأهل للتمويل ومن ثم قررت المنشئات المستفيدة إنتاج معدات كفاءة الطاقة بجانب أو بعد التمويل الى البدائل، وتتحمل الصناعة هذه التكاليف الإضافية، ويمكن عادة نقلها الى المستهلكين، وعملا على خفض التكاليف الإضافية للمستهلكين، يمكن تصميم التكاليف الإضافية الأولية بالنظر الى أن هذه سوف تيسر تطبيق نواتج كفاءة استخدام الطاقة بأسعار مقارنة مع تلك التي تتوافر حاليا في السوق؛</w:t>
      </w:r>
    </w:p>
    <w:p w14:paraId="7D2D199A" w14:textId="77777777" w:rsidR="00C018C0" w:rsidRPr="00F13B91" w:rsidRDefault="00C018C0" w:rsidP="00C018C0">
      <w:pPr>
        <w:pStyle w:val="Heading2"/>
        <w:bidi/>
        <w:rPr>
          <w:sz w:val="26"/>
          <w:szCs w:val="26"/>
        </w:rPr>
      </w:pPr>
      <w:r w:rsidRPr="00F13B91">
        <w:rPr>
          <w:rFonts w:hint="cs"/>
          <w:i/>
          <w:iCs/>
          <w:sz w:val="26"/>
          <w:szCs w:val="26"/>
          <w:rtl/>
        </w:rPr>
        <w:t>تطبيق منهجية لحساب التكاليف المرتبطة بالتحسينات المحسوبة، في كفاءة استخدام الطاقة والتي تختلف عن حساب التكاليف الإضافية</w:t>
      </w:r>
      <w:r w:rsidRPr="00F13B91">
        <w:rPr>
          <w:rFonts w:hint="cs"/>
          <w:sz w:val="26"/>
          <w:szCs w:val="26"/>
          <w:rtl/>
        </w:rPr>
        <w:t>. وقدم الصندوق المتعدد الأطراف التمويل للتكاليف الإضافية المتعلقة بخفض المواد التي تخضع للرقابة بموجب بروتوكول مونتريال لتمكين بلدان المادة 5 من تحقيق أهداف الامتثال. وبالنسبة لكفاءة الطاقة، ونظرا لأن هذه التكاليف لا تتعلق باستبدال المواد الخاضعة للرقابة ببديل، لن تعتبر تكاليف إضافية لتحقيق أهداف الامتثال، وسوف تتباين تكاليف الأنشطة الإضافية ولا تعتبر تكاليف إضافية لتحقيق أهداف الامتثال. وقد تتباين التكاليف الإضافية للمحافظة أو تعزيز كفاءة الطاقة في سياق خفض المواد الهيدروفلوروكربونية استنادا الى الاستراتيجية الوطنية الشاملة للبلد ونوع الأنشطة التي ستنفذ في سياق خفض المواد الهيدروفلوروكربونية وتوقيت التنفيذ ومستوى الطموح في مستويات كفاية استخدام الطاقة، وتشمل هذه التكاليف عادة الارتقاء بالتكنولوجيا وتقلل من الوقت اعتمادا على الزيادة في أسعار العناصر وغيرها من التدخلات التقنية. وقد تتوافر بعض الفرص لخفض التكاليف الشاملة المرتبطة بالتحويل الى البدائل عندما ينظر الى التحسينات في كفاءة استخدام الطاقة بطريقة متزامنة مع التعديلات الشاملة في المنشأة.</w:t>
      </w:r>
    </w:p>
    <w:p w14:paraId="463C2FBE" w14:textId="77777777" w:rsidR="00C018C0" w:rsidRPr="00F13B91" w:rsidRDefault="00C018C0" w:rsidP="00C018C0">
      <w:pPr>
        <w:pStyle w:val="Heading1"/>
        <w:bidi/>
        <w:rPr>
          <w:sz w:val="26"/>
          <w:szCs w:val="26"/>
        </w:rPr>
      </w:pPr>
      <w:r w:rsidRPr="00F13B91">
        <w:rPr>
          <w:rFonts w:hint="cs"/>
          <w:sz w:val="26"/>
          <w:szCs w:val="26"/>
          <w:rtl/>
        </w:rPr>
        <w:t xml:space="preserve">ويمكن النظر في مراعاة المنافع المشتركة المحتملة لخفض المواد الهيدروفلوروكربونية التي تتضمن توفير الحوافز لموردي المعدات لتحقيق مستويات الكفاءة المستخدمة ودعم من السياسات والقواعد لتحقيق كفاءة استخدام </w:t>
      </w:r>
      <w:r w:rsidRPr="00F13B91">
        <w:rPr>
          <w:rFonts w:hint="cs"/>
          <w:sz w:val="26"/>
          <w:szCs w:val="26"/>
          <w:rtl/>
        </w:rPr>
        <w:lastRenderedPageBreak/>
        <w:t>الطاقة خلال خفض المواد الهيدروفلوروكربونية ودعم بناء القدرات بما في ذلك التدريب والمساعدات ال</w:t>
      </w:r>
      <w:r w:rsidRPr="00F13B91">
        <w:rPr>
          <w:rFonts w:hint="cs"/>
          <w:sz w:val="26"/>
          <w:szCs w:val="26"/>
          <w:rtl/>
          <w:lang w:bidi="ar-EG"/>
        </w:rPr>
        <w:t>تقنية لفنيي التركيب والمستخدمين النهائيين والدعم لرصد وتقييم نواتج كفاءة استخدام الطاقة، و دعم التوعية وإرشادات المعلومات لأصحاب الشأن المعنيين ويمكن أن تقرر اللجنة التنفيذية في السياسات والتوجيهات النوعية الخاصة بتمويل المشروعات لتوفير هذه الأموال الإضافية.</w:t>
      </w:r>
    </w:p>
    <w:p w14:paraId="0E005D2D" w14:textId="77777777" w:rsidR="00C018C0" w:rsidRPr="00F13B91" w:rsidRDefault="00C018C0" w:rsidP="00C018C0">
      <w:pPr>
        <w:pStyle w:val="Heading1"/>
        <w:bidi/>
        <w:rPr>
          <w:sz w:val="26"/>
          <w:szCs w:val="26"/>
        </w:rPr>
      </w:pPr>
      <w:r w:rsidRPr="00F13B91">
        <w:rPr>
          <w:rFonts w:hint="cs"/>
          <w:sz w:val="26"/>
          <w:szCs w:val="26"/>
          <w:rtl/>
        </w:rPr>
        <w:t>وفي حالة تنفيذ عناصر تحسينات كفاءة استخدام الطاقة مع مشروعات خفض المواد الهيدروفلوروكربونية بطريقة متزامنة مع مراعاة كل من تدابير كفاءة استخدام الطاقة وموارد البنية التحتية. بما في ذلك الخفض في تكاليف التعبئة ودورات وضع النواتج المتزامنة وتكاليف الأشغال المدنية المثلى وخفض الوقت المتاح للمرفق.</w:t>
      </w:r>
      <w:r w:rsidRPr="00F13B91">
        <w:rPr>
          <w:rStyle w:val="FootnoteReference"/>
          <w:sz w:val="26"/>
          <w:szCs w:val="26"/>
        </w:rPr>
        <w:t xml:space="preserve"> </w:t>
      </w:r>
      <w:r w:rsidRPr="00F13B91">
        <w:rPr>
          <w:rStyle w:val="FootnoteReference"/>
          <w:sz w:val="26"/>
          <w:szCs w:val="26"/>
        </w:rPr>
        <w:footnoteReference w:id="14"/>
      </w:r>
    </w:p>
    <w:p w14:paraId="3F032FF6" w14:textId="77777777" w:rsidR="00C018C0" w:rsidRPr="00F13B91" w:rsidRDefault="00C018C0" w:rsidP="00C018C0">
      <w:pPr>
        <w:pStyle w:val="Heading1"/>
        <w:bidi/>
        <w:rPr>
          <w:sz w:val="26"/>
          <w:szCs w:val="26"/>
        </w:rPr>
      </w:pPr>
      <w:r w:rsidRPr="00F13B91">
        <w:rPr>
          <w:rFonts w:hint="cs"/>
          <w:sz w:val="26"/>
          <w:szCs w:val="26"/>
          <w:rtl/>
        </w:rPr>
        <w:t>ويقدم الجدول 1 توضيحات نموذجية م</w:t>
      </w:r>
      <w:r w:rsidRPr="00F13B91">
        <w:rPr>
          <w:rFonts w:hint="cs"/>
          <w:sz w:val="26"/>
          <w:szCs w:val="26"/>
          <w:rtl/>
          <w:lang w:bidi="ar-EG"/>
        </w:rPr>
        <w:t>نفصلة والتنفيذ المتزامن لأنشطة تعزيز كفاءة استخدام الطاقة أثناء خفض المواد الهيدروفلوروكربونية من حيث تأثير كفاءة استخدام الطاقة وتكاليف منشأة تصنيع الوحدات المتفرقة الصغيرة. وترد التفاصيل الإضافية في المرفق بهذه الوثيقة.</w:t>
      </w:r>
    </w:p>
    <w:p w14:paraId="7853B513" w14:textId="77777777" w:rsidR="00C018C0" w:rsidRPr="00F13B91" w:rsidRDefault="00C018C0" w:rsidP="00C018C0">
      <w:pPr>
        <w:pStyle w:val="Heading1"/>
        <w:numPr>
          <w:ilvl w:val="0"/>
          <w:numId w:val="0"/>
        </w:numPr>
        <w:bidi/>
        <w:spacing w:after="0"/>
        <w:rPr>
          <w:b/>
          <w:bCs/>
          <w:sz w:val="26"/>
          <w:szCs w:val="26"/>
          <w:rtl/>
          <w:lang w:bidi="ar-EG"/>
        </w:rPr>
      </w:pPr>
      <w:r w:rsidRPr="00F13B91">
        <w:rPr>
          <w:rFonts w:hint="cs"/>
          <w:b/>
          <w:bCs/>
          <w:sz w:val="26"/>
          <w:szCs w:val="26"/>
          <w:rtl/>
          <w:lang w:bidi="ar-EG"/>
        </w:rPr>
        <w:t xml:space="preserve">الجدول 1: انعكاسات أنشطة التنفيذ لتعزيز كفاءة استخدام الطاقة في منشأة تصنيع أجهزة تكييف الهواء المتفرقة الصغيرة بطرق متزامنة مع تحويل غازات التبريد </w:t>
      </w:r>
    </w:p>
    <w:p w14:paraId="3E568965" w14:textId="77777777" w:rsidR="00C018C0" w:rsidRPr="00717983" w:rsidRDefault="00C018C0" w:rsidP="00C018C0">
      <w:pPr>
        <w:bidi/>
        <w:rPr>
          <w:rtl/>
          <w:lang w:bidi="ar-EG"/>
        </w:rPr>
      </w:pPr>
    </w:p>
    <w:tbl>
      <w:tblPr>
        <w:bidiVisual/>
        <w:tblW w:w="0" w:type="auto"/>
        <w:tblCellMar>
          <w:left w:w="0" w:type="dxa"/>
          <w:right w:w="0" w:type="dxa"/>
        </w:tblCellMar>
        <w:tblLook w:val="04A0" w:firstRow="1" w:lastRow="0" w:firstColumn="1" w:lastColumn="0" w:noHBand="0" w:noVBand="1"/>
      </w:tblPr>
      <w:tblGrid>
        <w:gridCol w:w="726"/>
        <w:gridCol w:w="3793"/>
        <w:gridCol w:w="2622"/>
        <w:gridCol w:w="2199"/>
      </w:tblGrid>
      <w:tr w:rsidR="00C018C0" w:rsidRPr="002E0A7E" w14:paraId="34FA2BDE" w14:textId="77777777" w:rsidTr="00A17DF9">
        <w:tc>
          <w:tcPr>
            <w:tcW w:w="7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E1CC53" w14:textId="77777777" w:rsidR="00C018C0" w:rsidRPr="002E0A7E" w:rsidRDefault="00C018C0" w:rsidP="00A17DF9">
            <w:pPr>
              <w:bidi/>
              <w:spacing w:before="100" w:beforeAutospacing="1" w:after="100" w:afterAutospacing="1"/>
              <w:rPr>
                <w:color w:val="313131"/>
                <w:sz w:val="20"/>
                <w:szCs w:val="20"/>
              </w:rPr>
            </w:pPr>
            <w:r>
              <w:rPr>
                <w:rFonts w:hint="cs"/>
                <w:b/>
                <w:bCs/>
                <w:color w:val="313131"/>
                <w:sz w:val="20"/>
                <w:szCs w:val="20"/>
                <w:rtl/>
                <w:lang w:val="en-US"/>
              </w:rPr>
              <w:t>المرجع</w:t>
            </w:r>
            <w:r w:rsidRPr="002E0A7E">
              <w:rPr>
                <w:b/>
                <w:bCs/>
                <w:color w:val="313131"/>
                <w:sz w:val="20"/>
                <w:szCs w:val="20"/>
                <w:lang w:val="en-US"/>
              </w:rPr>
              <w:t>.</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683D75" w14:textId="77777777" w:rsidR="00C018C0" w:rsidRPr="002E0A7E" w:rsidRDefault="00C018C0" w:rsidP="00A17DF9">
            <w:pPr>
              <w:bidi/>
              <w:spacing w:before="100" w:beforeAutospacing="1" w:after="100" w:afterAutospacing="1"/>
              <w:rPr>
                <w:color w:val="313131"/>
                <w:sz w:val="20"/>
                <w:szCs w:val="20"/>
              </w:rPr>
            </w:pPr>
            <w:r w:rsidRPr="002E0A7E">
              <w:rPr>
                <w:b/>
                <w:bCs/>
                <w:color w:val="313131"/>
                <w:sz w:val="20"/>
                <w:szCs w:val="20"/>
                <w:lang w:val="en-U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0A78EA" w14:textId="77777777" w:rsidR="00C018C0" w:rsidRPr="002E0A7E" w:rsidRDefault="00C018C0" w:rsidP="00A17DF9">
            <w:pPr>
              <w:bidi/>
              <w:spacing w:before="100" w:beforeAutospacing="1" w:after="100" w:afterAutospacing="1"/>
              <w:jc w:val="left"/>
              <w:rPr>
                <w:color w:val="313131"/>
                <w:sz w:val="20"/>
                <w:szCs w:val="20"/>
              </w:rPr>
            </w:pPr>
            <w:r>
              <w:rPr>
                <w:rFonts w:hint="cs"/>
                <w:b/>
                <w:bCs/>
                <w:color w:val="313131"/>
                <w:sz w:val="20"/>
                <w:szCs w:val="20"/>
                <w:rtl/>
                <w:lang w:val="en-US"/>
              </w:rPr>
              <w:t>الزيادة في تأثيرات كفاءة استخدام الطاقة (نسبة مئوية)</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CD6074" w14:textId="77777777" w:rsidR="00C018C0" w:rsidRPr="002E0A7E" w:rsidRDefault="00C018C0" w:rsidP="00A17DF9">
            <w:pPr>
              <w:bidi/>
              <w:spacing w:before="100" w:beforeAutospacing="1" w:after="100" w:afterAutospacing="1"/>
              <w:jc w:val="left"/>
              <w:rPr>
                <w:color w:val="313131"/>
                <w:sz w:val="20"/>
                <w:szCs w:val="20"/>
              </w:rPr>
            </w:pPr>
            <w:r>
              <w:rPr>
                <w:rFonts w:hint="cs"/>
                <w:b/>
                <w:bCs/>
                <w:color w:val="313131"/>
                <w:sz w:val="20"/>
                <w:szCs w:val="20"/>
                <w:rtl/>
                <w:lang w:val="en-US"/>
              </w:rPr>
              <w:t>تحويل التكاليف بالمقارنة بخط الأساس (نسبة مئوية)</w:t>
            </w:r>
          </w:p>
        </w:tc>
      </w:tr>
      <w:tr w:rsidR="00C018C0" w:rsidRPr="002E0A7E" w14:paraId="5890B7D0" w14:textId="77777777" w:rsidTr="00A17DF9">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71A283" w14:textId="77777777" w:rsidR="00C018C0" w:rsidRPr="002E0A7E" w:rsidRDefault="00C018C0" w:rsidP="00A17DF9">
            <w:pPr>
              <w:bidi/>
              <w:spacing w:before="100" w:beforeAutospacing="1" w:after="100" w:afterAutospacing="1"/>
              <w:rPr>
                <w:color w:val="313131"/>
                <w:sz w:val="20"/>
                <w:szCs w:val="20"/>
              </w:rPr>
            </w:pPr>
            <w:r>
              <w:rPr>
                <w:rFonts w:hint="cs"/>
                <w:color w:val="313131"/>
                <w:sz w:val="20"/>
                <w:szCs w:val="20"/>
                <w:rtl/>
                <w:lang w:val="en-US"/>
              </w:rPr>
              <w:t>ألف</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E7464A4" w14:textId="77777777" w:rsidR="00C018C0" w:rsidRPr="00273715" w:rsidRDefault="00C018C0" w:rsidP="00A17DF9">
            <w:pPr>
              <w:bidi/>
              <w:spacing w:before="100" w:beforeAutospacing="1" w:after="100" w:afterAutospacing="1"/>
              <w:rPr>
                <w:color w:val="313131"/>
                <w:sz w:val="20"/>
                <w:szCs w:val="20"/>
                <w:rtl/>
                <w:lang w:val="en-US" w:bidi="ar-EG"/>
              </w:rPr>
            </w:pPr>
            <w:r>
              <w:rPr>
                <w:rFonts w:hint="cs"/>
                <w:color w:val="313131"/>
                <w:sz w:val="20"/>
                <w:szCs w:val="20"/>
                <w:rtl/>
                <w:lang w:val="en-US" w:bidi="ar-EG"/>
              </w:rPr>
              <w:t xml:space="preserve">تحويل غازات التبريد فقط </w:t>
            </w:r>
            <w:r>
              <w:rPr>
                <w:color w:val="313131"/>
                <w:sz w:val="20"/>
                <w:szCs w:val="20"/>
                <w:rtl/>
                <w:lang w:val="en-US" w:bidi="ar-EG"/>
              </w:rPr>
              <w:t>–</w:t>
            </w:r>
            <w:r>
              <w:rPr>
                <w:rFonts w:hint="cs"/>
                <w:color w:val="313131"/>
                <w:sz w:val="20"/>
                <w:szCs w:val="20"/>
                <w:rtl/>
                <w:lang w:val="en-US" w:bidi="ar-EG"/>
              </w:rPr>
              <w:t xml:space="preserve"> عدم تداخل تحسين كفاءة استخدام الطاقة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245B488" w14:textId="77777777" w:rsidR="00C018C0" w:rsidRPr="00273715" w:rsidRDefault="00C018C0" w:rsidP="00A17DF9">
            <w:pPr>
              <w:bidi/>
              <w:spacing w:before="100" w:beforeAutospacing="1" w:after="100" w:afterAutospacing="1"/>
              <w:jc w:val="center"/>
              <w:rPr>
                <w:color w:val="313131"/>
                <w:sz w:val="20"/>
                <w:szCs w:val="20"/>
                <w:lang w:val="en-US" w:bidi="ar-EG"/>
              </w:rPr>
            </w:pPr>
            <w:r>
              <w:rPr>
                <w:rFonts w:hint="cs"/>
                <w:color w:val="313131"/>
                <w:sz w:val="20"/>
                <w:szCs w:val="20"/>
                <w:rtl/>
                <w:lang w:val="en-US" w:bidi="ar-EG"/>
              </w:rPr>
              <w:t>+/- 2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72B8DCA" w14:textId="77777777" w:rsidR="00C018C0" w:rsidRPr="002E0A7E" w:rsidRDefault="00C018C0" w:rsidP="00A17DF9">
            <w:pPr>
              <w:bidi/>
              <w:jc w:val="center"/>
              <w:rPr>
                <w:color w:val="313131"/>
                <w:sz w:val="20"/>
                <w:szCs w:val="20"/>
                <w:lang w:val="en-US"/>
              </w:rPr>
            </w:pPr>
            <w:r w:rsidRPr="002E0A7E">
              <w:rPr>
                <w:color w:val="313131"/>
                <w:sz w:val="20"/>
                <w:szCs w:val="20"/>
                <w:lang w:val="en-US"/>
              </w:rPr>
              <w:t>100</w:t>
            </w:r>
          </w:p>
          <w:p w14:paraId="2CEB43B1" w14:textId="77777777" w:rsidR="00C018C0" w:rsidRPr="002E0A7E" w:rsidRDefault="00C018C0" w:rsidP="00A17DF9">
            <w:pPr>
              <w:bidi/>
              <w:jc w:val="center"/>
              <w:rPr>
                <w:b/>
                <w:color w:val="313131"/>
                <w:sz w:val="20"/>
                <w:szCs w:val="20"/>
              </w:rPr>
            </w:pPr>
            <w:r>
              <w:rPr>
                <w:rFonts w:hint="cs"/>
                <w:b/>
                <w:bCs/>
                <w:color w:val="313131"/>
                <w:sz w:val="20"/>
                <w:szCs w:val="20"/>
                <w:rtl/>
              </w:rPr>
              <w:t>(خط الأساس)</w:t>
            </w:r>
          </w:p>
        </w:tc>
      </w:tr>
      <w:tr w:rsidR="00C018C0" w:rsidRPr="00A94C04" w14:paraId="4BE72B5C" w14:textId="77777777" w:rsidTr="00A17DF9">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89096" w14:textId="77777777" w:rsidR="00C018C0" w:rsidRPr="002E0A7E" w:rsidRDefault="00C018C0" w:rsidP="00A17DF9">
            <w:pPr>
              <w:bidi/>
              <w:spacing w:before="100" w:beforeAutospacing="1" w:after="100" w:afterAutospacing="1"/>
              <w:rPr>
                <w:color w:val="313131"/>
                <w:sz w:val="20"/>
                <w:szCs w:val="20"/>
              </w:rPr>
            </w:pPr>
            <w:r>
              <w:rPr>
                <w:rFonts w:hint="cs"/>
                <w:color w:val="313131"/>
                <w:sz w:val="20"/>
                <w:szCs w:val="20"/>
                <w:rtl/>
                <w:lang w:val="en-US"/>
              </w:rPr>
              <w:t>ألف1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6EFFA527" w14:textId="77777777" w:rsidR="00C018C0" w:rsidRPr="00273715" w:rsidRDefault="00C018C0" w:rsidP="00A17DF9">
            <w:pPr>
              <w:bidi/>
              <w:spacing w:before="100" w:beforeAutospacing="1" w:after="100" w:afterAutospacing="1"/>
              <w:rPr>
                <w:color w:val="313131"/>
                <w:sz w:val="20"/>
                <w:szCs w:val="20"/>
                <w:rtl/>
                <w:lang w:val="en-US" w:bidi="ar-EG"/>
              </w:rPr>
            </w:pPr>
            <w:r>
              <w:rPr>
                <w:rFonts w:hint="cs"/>
                <w:color w:val="313131"/>
                <w:sz w:val="20"/>
                <w:szCs w:val="20"/>
                <w:rtl/>
                <w:lang w:val="en-US" w:bidi="ar-EG"/>
              </w:rPr>
              <w:t>تحويل غازات التبريد وتحسين كفاءة استخدام الطاقة من خلال المساعدات التقنية بشأن اختيار وترشيد العناصر فقط</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06FC120" w14:textId="77777777" w:rsidR="00C018C0" w:rsidRPr="002E0A7E" w:rsidRDefault="00C018C0" w:rsidP="00A17DF9">
            <w:pPr>
              <w:bidi/>
              <w:spacing w:before="100" w:beforeAutospacing="1" w:after="100" w:afterAutospacing="1"/>
              <w:jc w:val="center"/>
              <w:rPr>
                <w:color w:val="313131"/>
                <w:sz w:val="20"/>
                <w:szCs w:val="20"/>
              </w:rPr>
            </w:pPr>
            <w:r w:rsidRPr="002E0A7E">
              <w:rPr>
                <w:color w:val="313131"/>
                <w:sz w:val="20"/>
                <w:szCs w:val="20"/>
                <w:lang w:val="en-US"/>
              </w:rPr>
              <w:t xml:space="preserve">2 </w:t>
            </w:r>
            <w:proofErr w:type="gramStart"/>
            <w:r>
              <w:rPr>
                <w:rFonts w:hint="cs"/>
                <w:color w:val="313131"/>
                <w:sz w:val="20"/>
                <w:szCs w:val="20"/>
                <w:rtl/>
                <w:lang w:val="en-US"/>
              </w:rPr>
              <w:t xml:space="preserve">- </w:t>
            </w:r>
            <w:r w:rsidRPr="002E0A7E">
              <w:rPr>
                <w:color w:val="313131"/>
                <w:sz w:val="20"/>
                <w:szCs w:val="20"/>
                <w:lang w:val="en-US"/>
              </w:rPr>
              <w:t xml:space="preserve"> 7</w:t>
            </w:r>
            <w:proofErr w:type="gramEnd"/>
            <w:r w:rsidRPr="002E0A7E">
              <w:rPr>
                <w:color w:val="313131"/>
                <w:sz w:val="20"/>
                <w:szCs w:val="20"/>
                <w:lang w:val="en-US"/>
              </w:rPr>
              <w:t xml:space="preserve"> </w:t>
            </w:r>
            <w:r>
              <w:rPr>
                <w:rFonts w:hint="cs"/>
                <w:color w:val="313131"/>
                <w:sz w:val="20"/>
                <w:szCs w:val="20"/>
                <w:rtl/>
                <w:lang w:val="en-US"/>
              </w:rPr>
              <w:t>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3A50E17C" w14:textId="77777777" w:rsidR="00C018C0" w:rsidRPr="00A94C04" w:rsidRDefault="00C018C0" w:rsidP="00A17DF9">
            <w:pPr>
              <w:bidi/>
              <w:spacing w:before="100" w:beforeAutospacing="1" w:after="100" w:afterAutospacing="1"/>
              <w:jc w:val="center"/>
              <w:rPr>
                <w:color w:val="313131"/>
                <w:sz w:val="20"/>
                <w:szCs w:val="20"/>
              </w:rPr>
            </w:pPr>
            <w:r w:rsidRPr="002E0A7E">
              <w:rPr>
                <w:color w:val="313131"/>
                <w:sz w:val="20"/>
                <w:szCs w:val="20"/>
                <w:lang w:val="en-US"/>
              </w:rPr>
              <w:t>100</w:t>
            </w:r>
          </w:p>
        </w:tc>
      </w:tr>
      <w:tr w:rsidR="00C018C0" w:rsidRPr="00A94C04" w14:paraId="24FD3DC4" w14:textId="77777777" w:rsidTr="00A17DF9">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E77560A" w14:textId="77777777" w:rsidR="00C018C0" w:rsidRPr="00A94C04" w:rsidRDefault="00C018C0" w:rsidP="00A17DF9">
            <w:pPr>
              <w:bidi/>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2CB3DF" w14:textId="77777777" w:rsidR="00C018C0" w:rsidRPr="00A94C04" w:rsidRDefault="00C018C0" w:rsidP="00A17DF9">
            <w:pPr>
              <w:bidi/>
              <w:spacing w:before="100" w:beforeAutospacing="1" w:after="100" w:afterAutospacing="1"/>
              <w:rPr>
                <w:b/>
                <w:bCs/>
                <w:color w:val="313131"/>
                <w:sz w:val="20"/>
                <w:szCs w:val="20"/>
                <w:rtl/>
                <w:lang w:bidi="ar-EG"/>
              </w:rPr>
            </w:pPr>
            <w:r>
              <w:rPr>
                <w:rFonts w:hint="cs"/>
                <w:b/>
                <w:bCs/>
                <w:color w:val="313131"/>
                <w:sz w:val="20"/>
                <w:szCs w:val="20"/>
                <w:rtl/>
                <w:lang w:bidi="ar-EG"/>
              </w:rPr>
              <w:t>تنفيذ تدخلات كفاءة استخدام الطاقة مع الاختيار المكثف المناسب وترشيد تبادل الحرارة</w:t>
            </w:r>
          </w:p>
        </w:tc>
      </w:tr>
      <w:tr w:rsidR="00C018C0" w:rsidRPr="00A94C04" w14:paraId="5CA2236A" w14:textId="77777777" w:rsidTr="00A17DF9">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237542F" w14:textId="77777777" w:rsidR="00C018C0" w:rsidRPr="00A94C04" w:rsidRDefault="00C018C0" w:rsidP="00A17DF9">
            <w:pPr>
              <w:bidi/>
              <w:spacing w:before="100" w:beforeAutospacing="1" w:after="100" w:afterAutospacing="1"/>
              <w:rPr>
                <w:color w:val="313131"/>
                <w:sz w:val="20"/>
                <w:szCs w:val="20"/>
              </w:rPr>
            </w:pPr>
            <w:r>
              <w:rPr>
                <w:rFonts w:hint="cs"/>
                <w:color w:val="313131"/>
                <w:sz w:val="20"/>
                <w:szCs w:val="20"/>
                <w:rtl/>
                <w:lang w:val="en-US"/>
              </w:rPr>
              <w:t>باء</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FA54998" w14:textId="77777777" w:rsidR="00C018C0" w:rsidRPr="000B6280" w:rsidRDefault="00C018C0" w:rsidP="00A17DF9">
            <w:pPr>
              <w:bidi/>
              <w:spacing w:before="100" w:beforeAutospacing="1" w:after="100" w:afterAutospacing="1"/>
              <w:rPr>
                <w:color w:val="313131"/>
                <w:sz w:val="20"/>
                <w:szCs w:val="20"/>
                <w:rtl/>
                <w:lang w:val="en-US" w:bidi="ar-EG"/>
              </w:rPr>
            </w:pPr>
            <w:r>
              <w:rPr>
                <w:rFonts w:hint="cs"/>
                <w:color w:val="313131"/>
                <w:sz w:val="20"/>
                <w:szCs w:val="20"/>
                <w:rtl/>
                <w:lang w:val="en-US" w:bidi="ar-EG"/>
              </w:rPr>
              <w:t>تحويل غازات التبريد وتحسين كفاءة استخدام الطاقة المنفذة بصورة إفرادية</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0520BD" w14:textId="77777777" w:rsidR="00C018C0" w:rsidRPr="00A94C04" w:rsidRDefault="00C018C0" w:rsidP="00A17DF9">
            <w:pPr>
              <w:bidi/>
              <w:spacing w:before="100" w:beforeAutospacing="1" w:after="100" w:afterAutospacing="1"/>
              <w:jc w:val="center"/>
              <w:rPr>
                <w:color w:val="313131"/>
                <w:sz w:val="20"/>
                <w:szCs w:val="20"/>
              </w:rPr>
            </w:pPr>
            <w:r w:rsidRPr="00A94C04">
              <w:rPr>
                <w:color w:val="313131"/>
                <w:sz w:val="20"/>
                <w:szCs w:val="20"/>
                <w:lang w:val="en-US"/>
              </w:rPr>
              <w:t xml:space="preserve">7 </w:t>
            </w:r>
            <w:proofErr w:type="gramStart"/>
            <w:r>
              <w:rPr>
                <w:rFonts w:hint="cs"/>
                <w:color w:val="313131"/>
                <w:sz w:val="20"/>
                <w:szCs w:val="20"/>
                <w:rtl/>
                <w:lang w:val="en-US"/>
              </w:rPr>
              <w:t xml:space="preserve">- </w:t>
            </w:r>
            <w:r w:rsidRPr="00A94C04">
              <w:rPr>
                <w:color w:val="313131"/>
                <w:sz w:val="20"/>
                <w:szCs w:val="20"/>
                <w:lang w:val="en-US"/>
              </w:rPr>
              <w:t xml:space="preserve"> 15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6C5C84E" w14:textId="77777777" w:rsidR="00C018C0" w:rsidRPr="00A94C04" w:rsidRDefault="00C018C0" w:rsidP="00A17DF9">
            <w:pPr>
              <w:bidi/>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40</w:t>
            </w:r>
          </w:p>
        </w:tc>
      </w:tr>
      <w:tr w:rsidR="00C018C0" w:rsidRPr="00A94C04" w14:paraId="0D41F819" w14:textId="77777777" w:rsidTr="00A17DF9">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335737F" w14:textId="77777777" w:rsidR="00C018C0" w:rsidRPr="00A94C04" w:rsidRDefault="00C018C0" w:rsidP="00A17DF9">
            <w:pPr>
              <w:bidi/>
              <w:spacing w:before="100" w:beforeAutospacing="1" w:after="100" w:afterAutospacing="1"/>
              <w:rPr>
                <w:color w:val="313131"/>
                <w:sz w:val="20"/>
                <w:szCs w:val="20"/>
              </w:rPr>
            </w:pPr>
            <w:r>
              <w:rPr>
                <w:rFonts w:hint="cs"/>
                <w:color w:val="313131"/>
                <w:sz w:val="20"/>
                <w:szCs w:val="20"/>
                <w:rtl/>
                <w:lang w:val="en-US"/>
              </w:rPr>
              <w:t>باء</w:t>
            </w:r>
            <w:r>
              <w:rPr>
                <w:color w:val="313131"/>
                <w:sz w:val="20"/>
                <w:szCs w:val="20"/>
              </w:rPr>
              <w:t>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49CAEBF" w14:textId="77777777" w:rsidR="00C018C0" w:rsidRPr="00B62F62" w:rsidRDefault="00C018C0" w:rsidP="00A17DF9">
            <w:pPr>
              <w:bidi/>
              <w:spacing w:before="100" w:beforeAutospacing="1" w:after="100" w:afterAutospacing="1"/>
              <w:rPr>
                <w:color w:val="313131"/>
                <w:sz w:val="20"/>
                <w:szCs w:val="20"/>
                <w:rtl/>
                <w:lang w:val="en-US" w:bidi="ar-EG"/>
              </w:rPr>
            </w:pPr>
            <w:r w:rsidRPr="000B6280">
              <w:rPr>
                <w:color w:val="313131"/>
                <w:sz w:val="20"/>
                <w:szCs w:val="20"/>
                <w:rtl/>
                <w:lang w:val="en-US" w:bidi="ar-EG"/>
              </w:rPr>
              <w:t xml:space="preserve">تحويل </w:t>
            </w:r>
            <w:r>
              <w:rPr>
                <w:rFonts w:hint="cs"/>
                <w:color w:val="313131"/>
                <w:sz w:val="20"/>
                <w:szCs w:val="20"/>
                <w:rtl/>
                <w:lang w:val="en-US" w:bidi="ar-EG"/>
              </w:rPr>
              <w:t>غازات التبريد</w:t>
            </w:r>
            <w:r w:rsidRPr="000B6280">
              <w:rPr>
                <w:color w:val="313131"/>
                <w:sz w:val="20"/>
                <w:szCs w:val="20"/>
                <w:rtl/>
                <w:lang w:val="en-US" w:bidi="ar-EG"/>
              </w:rPr>
              <w:t xml:space="preserve"> </w:t>
            </w:r>
            <w:r>
              <w:rPr>
                <w:rFonts w:hint="cs"/>
                <w:color w:val="313131"/>
                <w:sz w:val="20"/>
                <w:szCs w:val="20"/>
                <w:rtl/>
                <w:lang w:val="en-US" w:bidi="ar-EG"/>
              </w:rPr>
              <w:t>و</w:t>
            </w:r>
            <w:r w:rsidRPr="000B6280">
              <w:rPr>
                <w:color w:val="313131"/>
                <w:sz w:val="20"/>
                <w:szCs w:val="20"/>
                <w:rtl/>
                <w:lang w:val="en-US" w:bidi="ar-EG"/>
              </w:rPr>
              <w:t>تدخلات كفاءة</w:t>
            </w:r>
            <w:r>
              <w:rPr>
                <w:rFonts w:hint="cs"/>
                <w:color w:val="313131"/>
                <w:sz w:val="20"/>
                <w:szCs w:val="20"/>
                <w:rtl/>
                <w:lang w:val="en-US" w:bidi="ar-EG"/>
              </w:rPr>
              <w:t xml:space="preserve"> استخدام</w:t>
            </w:r>
            <w:r w:rsidRPr="000B6280">
              <w:rPr>
                <w:color w:val="313131"/>
                <w:sz w:val="20"/>
                <w:szCs w:val="20"/>
                <w:rtl/>
                <w:lang w:val="en-US" w:bidi="ar-EG"/>
              </w:rPr>
              <w:t xml:space="preserve"> الطاقة </w:t>
            </w:r>
            <w:r>
              <w:rPr>
                <w:rFonts w:hint="cs"/>
                <w:color w:val="313131"/>
                <w:sz w:val="20"/>
                <w:szCs w:val="20"/>
                <w:rtl/>
                <w:lang w:val="en-US" w:bidi="ar-EG"/>
              </w:rPr>
              <w:t xml:space="preserve">المنفذة </w:t>
            </w:r>
            <w:r w:rsidRPr="000B6280">
              <w:rPr>
                <w:color w:val="313131"/>
                <w:sz w:val="20"/>
                <w:szCs w:val="20"/>
                <w:rtl/>
                <w:lang w:val="en-US" w:bidi="ar-EG"/>
              </w:rPr>
              <w:t xml:space="preserve">بطريقة </w:t>
            </w:r>
            <w:r>
              <w:rPr>
                <w:rFonts w:hint="cs"/>
                <w:color w:val="313131"/>
                <w:sz w:val="20"/>
                <w:szCs w:val="20"/>
                <w:rtl/>
                <w:lang w:val="en-US" w:bidi="ar-EG"/>
              </w:rPr>
              <w:t>تزامنية</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E8A689" w14:textId="77777777" w:rsidR="00C018C0" w:rsidRPr="00A94C04" w:rsidRDefault="00C018C0" w:rsidP="00A17DF9">
            <w:pPr>
              <w:bidi/>
              <w:spacing w:before="100" w:beforeAutospacing="1" w:after="100" w:afterAutospacing="1"/>
              <w:jc w:val="center"/>
              <w:rPr>
                <w:color w:val="313131"/>
                <w:sz w:val="20"/>
                <w:szCs w:val="20"/>
              </w:rPr>
            </w:pPr>
            <w:r w:rsidRPr="00A94C04">
              <w:rPr>
                <w:color w:val="313131"/>
                <w:sz w:val="20"/>
                <w:szCs w:val="20"/>
                <w:lang w:val="en-US"/>
              </w:rPr>
              <w:t xml:space="preserve">7 </w:t>
            </w:r>
            <w:proofErr w:type="gramStart"/>
            <w:r>
              <w:rPr>
                <w:rFonts w:hint="cs"/>
                <w:color w:val="313131"/>
                <w:sz w:val="20"/>
                <w:szCs w:val="20"/>
                <w:rtl/>
                <w:lang w:val="en-US"/>
              </w:rPr>
              <w:t xml:space="preserve">- </w:t>
            </w:r>
            <w:r w:rsidRPr="00A94C04">
              <w:rPr>
                <w:color w:val="313131"/>
                <w:sz w:val="20"/>
                <w:szCs w:val="20"/>
                <w:lang w:val="en-US"/>
              </w:rPr>
              <w:t xml:space="preserve"> 15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D49A4BE" w14:textId="77777777" w:rsidR="00C018C0" w:rsidRPr="00A94C04" w:rsidRDefault="00C018C0" w:rsidP="00A17DF9">
            <w:pPr>
              <w:bidi/>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20</w:t>
            </w:r>
          </w:p>
        </w:tc>
      </w:tr>
      <w:tr w:rsidR="00C018C0" w:rsidRPr="00A94C04" w14:paraId="1DD0DE72" w14:textId="77777777" w:rsidTr="00A17DF9">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6D7A04A" w14:textId="77777777" w:rsidR="00C018C0" w:rsidRPr="00A94C04" w:rsidRDefault="00C018C0" w:rsidP="00A17DF9">
            <w:pPr>
              <w:bidi/>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2CFC1F" w14:textId="77777777" w:rsidR="00C018C0" w:rsidRPr="00A94C04" w:rsidRDefault="00C018C0" w:rsidP="00A17DF9">
            <w:pPr>
              <w:bidi/>
              <w:spacing w:before="100" w:beforeAutospacing="1" w:after="100" w:afterAutospacing="1"/>
              <w:rPr>
                <w:b/>
                <w:bCs/>
                <w:color w:val="313131"/>
                <w:sz w:val="20"/>
                <w:szCs w:val="20"/>
                <w:rtl/>
                <w:lang w:bidi="ar-EG"/>
              </w:rPr>
            </w:pPr>
            <w:r>
              <w:rPr>
                <w:rFonts w:hint="cs"/>
                <w:b/>
                <w:bCs/>
                <w:color w:val="313131"/>
                <w:sz w:val="20"/>
                <w:szCs w:val="20"/>
                <w:rtl/>
                <w:lang w:bidi="ar-EG"/>
              </w:rPr>
              <w:t>تنفيذ تدخلات كفاءة استخدام الطاقة مع المكثف المختلف السرعة وتصميم تبادل الحرارة</w:t>
            </w:r>
          </w:p>
        </w:tc>
      </w:tr>
      <w:tr w:rsidR="00C018C0" w:rsidRPr="00A94C04" w14:paraId="01E8F9BB" w14:textId="77777777" w:rsidTr="00A17DF9">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28331" w14:textId="77777777" w:rsidR="00C018C0" w:rsidRPr="00A94C04" w:rsidRDefault="00C018C0" w:rsidP="00A17DF9">
            <w:pPr>
              <w:bidi/>
              <w:spacing w:before="100" w:beforeAutospacing="1" w:after="100" w:afterAutospacing="1"/>
              <w:rPr>
                <w:color w:val="313131"/>
                <w:sz w:val="20"/>
                <w:szCs w:val="20"/>
                <w:rtl/>
                <w:lang w:bidi="ar-EG"/>
              </w:rPr>
            </w:pPr>
            <w:r>
              <w:rPr>
                <w:rFonts w:hint="cs"/>
                <w:color w:val="313131"/>
                <w:sz w:val="20"/>
                <w:szCs w:val="20"/>
                <w:rtl/>
                <w:lang w:val="en-US"/>
              </w:rPr>
              <w:t>جيم</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29FEF74" w14:textId="77777777" w:rsidR="00C018C0" w:rsidRPr="00A94C04" w:rsidRDefault="00C018C0" w:rsidP="00A17DF9">
            <w:pPr>
              <w:bidi/>
              <w:spacing w:before="100" w:beforeAutospacing="1" w:after="100" w:afterAutospacing="1"/>
              <w:rPr>
                <w:color w:val="313131"/>
                <w:sz w:val="20"/>
                <w:szCs w:val="20"/>
              </w:rPr>
            </w:pPr>
            <w:r>
              <w:rPr>
                <w:rFonts w:hint="cs"/>
                <w:color w:val="313131"/>
                <w:sz w:val="20"/>
                <w:szCs w:val="20"/>
                <w:rtl/>
                <w:lang w:val="en-US" w:bidi="ar-EG"/>
              </w:rPr>
              <w:t>تحويل غازات التبريد و</w:t>
            </w:r>
            <w:r w:rsidRPr="000B6280">
              <w:rPr>
                <w:color w:val="313131"/>
                <w:sz w:val="20"/>
                <w:szCs w:val="20"/>
                <w:rtl/>
                <w:lang w:val="en-US" w:bidi="ar-EG"/>
              </w:rPr>
              <w:t xml:space="preserve">تدخلات </w:t>
            </w:r>
            <w:r>
              <w:rPr>
                <w:rFonts w:hint="cs"/>
                <w:color w:val="313131"/>
                <w:sz w:val="20"/>
                <w:szCs w:val="20"/>
                <w:rtl/>
                <w:lang w:val="en-US" w:bidi="ar-EG"/>
              </w:rPr>
              <w:t>كفاءة استخدام الطاقة المنفذة بصورة إفرادية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CB20A55" w14:textId="77777777" w:rsidR="00C018C0" w:rsidRPr="00A94C04" w:rsidRDefault="00C018C0" w:rsidP="00A17DF9">
            <w:pPr>
              <w:bidi/>
              <w:spacing w:before="100" w:beforeAutospacing="1" w:after="100" w:afterAutospacing="1"/>
              <w:jc w:val="center"/>
              <w:rPr>
                <w:color w:val="313131"/>
                <w:sz w:val="20"/>
                <w:szCs w:val="20"/>
              </w:rPr>
            </w:pPr>
            <w:r w:rsidRPr="00A94C04">
              <w:rPr>
                <w:color w:val="313131"/>
                <w:sz w:val="20"/>
                <w:szCs w:val="20"/>
                <w:lang w:val="en-US"/>
              </w:rPr>
              <w:t xml:space="preserve">15 </w:t>
            </w:r>
            <w:proofErr w:type="gramStart"/>
            <w:r>
              <w:rPr>
                <w:rFonts w:hint="cs"/>
                <w:color w:val="313131"/>
                <w:sz w:val="20"/>
                <w:szCs w:val="20"/>
                <w:rtl/>
                <w:lang w:val="en-US"/>
              </w:rPr>
              <w:t xml:space="preserve">- </w:t>
            </w:r>
            <w:r w:rsidRPr="00A94C04">
              <w:rPr>
                <w:color w:val="313131"/>
                <w:sz w:val="20"/>
                <w:szCs w:val="20"/>
                <w:lang w:val="en-US"/>
              </w:rPr>
              <w:t xml:space="preserve"> 25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5434CE1" w14:textId="77777777" w:rsidR="00C018C0" w:rsidRPr="00A94C04" w:rsidRDefault="00C018C0" w:rsidP="00A17DF9">
            <w:pPr>
              <w:bidi/>
              <w:spacing w:before="100" w:beforeAutospacing="1" w:after="100" w:afterAutospacing="1"/>
              <w:jc w:val="center"/>
              <w:rPr>
                <w:color w:val="313131"/>
                <w:sz w:val="20"/>
                <w:szCs w:val="20"/>
              </w:rPr>
            </w:pPr>
            <w:r>
              <w:rPr>
                <w:sz w:val="20"/>
                <w:szCs w:val="20"/>
              </w:rPr>
              <w:t>~</w:t>
            </w:r>
            <w:r w:rsidRPr="00A94C04">
              <w:rPr>
                <w:sz w:val="20"/>
                <w:szCs w:val="20"/>
              </w:rPr>
              <w:t>23</w:t>
            </w:r>
            <w:r>
              <w:rPr>
                <w:sz w:val="20"/>
                <w:szCs w:val="20"/>
              </w:rPr>
              <w:t>0</w:t>
            </w:r>
          </w:p>
        </w:tc>
      </w:tr>
      <w:tr w:rsidR="00C018C0" w:rsidRPr="00A94C04" w14:paraId="784FF832" w14:textId="77777777" w:rsidTr="00A17DF9">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C131EE" w14:textId="77777777" w:rsidR="00C018C0" w:rsidRPr="00A94C04" w:rsidRDefault="00C018C0" w:rsidP="00A17DF9">
            <w:pPr>
              <w:bidi/>
              <w:spacing w:before="100" w:beforeAutospacing="1" w:after="100" w:afterAutospacing="1"/>
              <w:rPr>
                <w:color w:val="313131"/>
                <w:sz w:val="20"/>
                <w:szCs w:val="20"/>
              </w:rPr>
            </w:pPr>
            <w:r>
              <w:rPr>
                <w:rFonts w:hint="cs"/>
                <w:color w:val="313131"/>
                <w:sz w:val="20"/>
                <w:szCs w:val="20"/>
                <w:rtl/>
                <w:lang w:val="en-US"/>
              </w:rPr>
              <w:t>جيم</w:t>
            </w:r>
            <w:r>
              <w:rPr>
                <w:color w:val="313131"/>
                <w:sz w:val="20"/>
                <w:szCs w:val="20"/>
                <w:lang w:val="en-US"/>
              </w:rPr>
              <w:t>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4BA55DBD" w14:textId="77777777" w:rsidR="00C018C0" w:rsidRPr="00A94C04" w:rsidRDefault="00C018C0" w:rsidP="00A17DF9">
            <w:pPr>
              <w:bidi/>
              <w:spacing w:before="100" w:beforeAutospacing="1" w:after="100" w:afterAutospacing="1"/>
              <w:rPr>
                <w:color w:val="313131"/>
                <w:sz w:val="20"/>
                <w:szCs w:val="20"/>
                <w:rtl/>
                <w:lang w:bidi="ar-EG"/>
              </w:rPr>
            </w:pPr>
            <w:r w:rsidRPr="000B6280">
              <w:rPr>
                <w:color w:val="313131"/>
                <w:sz w:val="20"/>
                <w:szCs w:val="20"/>
                <w:rtl/>
                <w:lang w:val="en-US" w:bidi="ar-EG"/>
              </w:rPr>
              <w:t xml:space="preserve">تحويل </w:t>
            </w:r>
            <w:r>
              <w:rPr>
                <w:rFonts w:hint="cs"/>
                <w:color w:val="313131"/>
                <w:sz w:val="20"/>
                <w:szCs w:val="20"/>
                <w:rtl/>
                <w:lang w:val="en-US" w:bidi="ar-EG"/>
              </w:rPr>
              <w:t>غازات التبريد</w:t>
            </w:r>
            <w:r w:rsidRPr="000B6280">
              <w:rPr>
                <w:color w:val="313131"/>
                <w:sz w:val="20"/>
                <w:szCs w:val="20"/>
                <w:rtl/>
                <w:lang w:val="en-US" w:bidi="ar-EG"/>
              </w:rPr>
              <w:t xml:space="preserve"> </w:t>
            </w:r>
            <w:r>
              <w:rPr>
                <w:rFonts w:hint="cs"/>
                <w:color w:val="313131"/>
                <w:sz w:val="20"/>
                <w:szCs w:val="20"/>
                <w:rtl/>
                <w:lang w:val="en-US" w:bidi="ar-EG"/>
              </w:rPr>
              <w:t>و</w:t>
            </w:r>
            <w:r w:rsidRPr="000B6280">
              <w:rPr>
                <w:color w:val="313131"/>
                <w:sz w:val="20"/>
                <w:szCs w:val="20"/>
                <w:rtl/>
                <w:lang w:val="en-US" w:bidi="ar-EG"/>
              </w:rPr>
              <w:t>تدخلات كفاءة</w:t>
            </w:r>
            <w:r>
              <w:rPr>
                <w:rFonts w:hint="cs"/>
                <w:color w:val="313131"/>
                <w:sz w:val="20"/>
                <w:szCs w:val="20"/>
                <w:rtl/>
                <w:lang w:val="en-US" w:bidi="ar-EG"/>
              </w:rPr>
              <w:t xml:space="preserve"> استخدام</w:t>
            </w:r>
            <w:r w:rsidRPr="000B6280">
              <w:rPr>
                <w:color w:val="313131"/>
                <w:sz w:val="20"/>
                <w:szCs w:val="20"/>
                <w:rtl/>
                <w:lang w:val="en-US" w:bidi="ar-EG"/>
              </w:rPr>
              <w:t xml:space="preserve"> الطاقة </w:t>
            </w:r>
            <w:r>
              <w:rPr>
                <w:rFonts w:hint="cs"/>
                <w:color w:val="313131"/>
                <w:sz w:val="20"/>
                <w:szCs w:val="20"/>
                <w:rtl/>
                <w:lang w:val="en-US" w:bidi="ar-EG"/>
              </w:rPr>
              <w:t xml:space="preserve">المنفذة </w:t>
            </w:r>
            <w:r w:rsidRPr="000B6280">
              <w:rPr>
                <w:color w:val="313131"/>
                <w:sz w:val="20"/>
                <w:szCs w:val="20"/>
                <w:rtl/>
                <w:lang w:val="en-US" w:bidi="ar-EG"/>
              </w:rPr>
              <w:t xml:space="preserve">بطريقة </w:t>
            </w:r>
            <w:r>
              <w:rPr>
                <w:rFonts w:hint="cs"/>
                <w:color w:val="313131"/>
                <w:sz w:val="20"/>
                <w:szCs w:val="20"/>
                <w:rtl/>
                <w:lang w:val="en-US" w:bidi="ar-EG"/>
              </w:rPr>
              <w:t>تزامنية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220A0A2E" w14:textId="77777777" w:rsidR="00C018C0" w:rsidRPr="00A94C04" w:rsidRDefault="00C018C0" w:rsidP="00A17DF9">
            <w:pPr>
              <w:bidi/>
              <w:spacing w:before="100" w:beforeAutospacing="1" w:after="100" w:afterAutospacing="1"/>
              <w:jc w:val="center"/>
              <w:rPr>
                <w:color w:val="313131"/>
                <w:sz w:val="20"/>
                <w:szCs w:val="20"/>
              </w:rPr>
            </w:pPr>
            <w:r w:rsidRPr="00A94C04">
              <w:rPr>
                <w:color w:val="313131"/>
                <w:sz w:val="20"/>
                <w:szCs w:val="20"/>
                <w:lang w:val="en-US"/>
              </w:rPr>
              <w:t xml:space="preserve">15 </w:t>
            </w:r>
            <w:proofErr w:type="gramStart"/>
            <w:r>
              <w:rPr>
                <w:rFonts w:hint="cs"/>
                <w:color w:val="313131"/>
                <w:sz w:val="20"/>
                <w:szCs w:val="20"/>
                <w:rtl/>
                <w:lang w:val="en-US"/>
              </w:rPr>
              <w:t xml:space="preserve">- </w:t>
            </w:r>
            <w:r w:rsidRPr="00A94C04">
              <w:rPr>
                <w:color w:val="313131"/>
                <w:sz w:val="20"/>
                <w:szCs w:val="20"/>
                <w:lang w:val="en-US"/>
              </w:rPr>
              <w:t xml:space="preserve"> 25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6355D7A" w14:textId="77777777" w:rsidR="00C018C0" w:rsidRPr="00A94C04" w:rsidRDefault="00C018C0" w:rsidP="00A17DF9">
            <w:pPr>
              <w:bidi/>
              <w:spacing w:before="100" w:beforeAutospacing="1" w:after="100" w:afterAutospacing="1"/>
              <w:jc w:val="center"/>
              <w:rPr>
                <w:color w:val="313131"/>
                <w:sz w:val="20"/>
                <w:szCs w:val="20"/>
              </w:rPr>
            </w:pPr>
            <w:r>
              <w:rPr>
                <w:sz w:val="20"/>
                <w:szCs w:val="20"/>
              </w:rPr>
              <w:t>~</w:t>
            </w:r>
            <w:r w:rsidRPr="00A94C04">
              <w:rPr>
                <w:sz w:val="20"/>
                <w:szCs w:val="20"/>
              </w:rPr>
              <w:t>19</w:t>
            </w:r>
            <w:r>
              <w:rPr>
                <w:sz w:val="20"/>
                <w:szCs w:val="20"/>
              </w:rPr>
              <w:t>5</w:t>
            </w:r>
          </w:p>
        </w:tc>
      </w:tr>
    </w:tbl>
    <w:p w14:paraId="2EF17F24" w14:textId="77777777" w:rsidR="00C018C0" w:rsidRPr="00C223A3" w:rsidRDefault="00C018C0" w:rsidP="00C018C0">
      <w:pPr>
        <w:pStyle w:val="Heading1"/>
        <w:numPr>
          <w:ilvl w:val="0"/>
          <w:numId w:val="0"/>
        </w:numPr>
        <w:bidi/>
        <w:spacing w:after="120"/>
        <w:rPr>
          <w:sz w:val="20"/>
          <w:szCs w:val="20"/>
        </w:rPr>
      </w:pPr>
    </w:p>
    <w:p w14:paraId="01A74DFE" w14:textId="77777777" w:rsidR="00C018C0" w:rsidRPr="00F13B91" w:rsidRDefault="00C018C0" w:rsidP="00C018C0">
      <w:pPr>
        <w:pStyle w:val="Heading1"/>
        <w:bidi/>
        <w:rPr>
          <w:sz w:val="26"/>
          <w:szCs w:val="26"/>
        </w:rPr>
      </w:pPr>
      <w:bookmarkStart w:id="1" w:name="_Hlk118386190"/>
      <w:r w:rsidRPr="00F13B91">
        <w:rPr>
          <w:rFonts w:hint="cs"/>
          <w:sz w:val="26"/>
          <w:szCs w:val="26"/>
          <w:rtl/>
        </w:rPr>
        <w:t>ويبين المثال الوارد أعلاه بأنه بالنسبة لهذه المثال المحدد، إذا نفذ بطريقة تزامنية يمكن أن يحقق وفورات في كفاءة استخدام الطاقة المحسنة للمعدات والنواتج خلال تحويل غازات التبريد في سياق خفض المواد الهيدروفلوروكربونية. وعلاوة على الوفورات في التكاليف، فإن التنفيذ المتزامن لكفاءة استخدام الطاقة وخفض المواد الهيدروفلوروكربونية سوف يتيح لبلدان المادة 5 العمل بصورة وثيقة مع الصناعة في وضع السياسات الشاملة لدعم تنفيذ تدابير كفاءة استخدام الطاقة وخفض المواد الهيدروفلوروكربونية.</w:t>
      </w:r>
    </w:p>
    <w:bookmarkEnd w:id="1"/>
    <w:p w14:paraId="0A67A872" w14:textId="77777777" w:rsidR="00C018C0" w:rsidRPr="00F13B91" w:rsidRDefault="00C018C0" w:rsidP="00C018C0">
      <w:pPr>
        <w:pStyle w:val="Heading1"/>
        <w:bidi/>
        <w:rPr>
          <w:sz w:val="26"/>
          <w:szCs w:val="26"/>
        </w:rPr>
      </w:pPr>
      <w:r w:rsidRPr="00F13B91">
        <w:rPr>
          <w:rFonts w:hint="cs"/>
          <w:sz w:val="26"/>
          <w:szCs w:val="26"/>
          <w:rtl/>
        </w:rPr>
        <w:t>واستنادا الى المشاورات مع مختلف مؤسسات التمويل والمالية، أشارت الأمانة الى أنه في بعض الحالات يكون للتمويل خارج موارد الصندوق المتعدد الأطراف المستخدمة في الأنشطة المتعلقة بكفاءة استخدام الطاقة تأثير مباشر عن تطبيقات التبريد وتكييف الهواء (أي أنشطة كفاءة استخدام الطاقة في برامج القطاع للتبريد المستدام في مخازن الأغذية وتوزيعها والسياحة المستدامة). ولذا ينبغي تصميم تمويل مشروعات عناصر كفاءة استخدام الطاقة مع خفض المواد الهيدروفلوروكربونية بطريقة تتجنب التمويل بهذه الأنشطة غير الممولة من الصندوق المتعدد الأطراف. وينبغي أن يضمن البنيان ال</w:t>
      </w:r>
      <w:r w:rsidRPr="00F13B91">
        <w:rPr>
          <w:rFonts w:hint="cs"/>
          <w:sz w:val="26"/>
          <w:szCs w:val="26"/>
          <w:rtl/>
          <w:lang w:bidi="ar-EG"/>
        </w:rPr>
        <w:t xml:space="preserve">مالي للمشروعات أن تكامل الأنشطة في أعلى مستوى وتجنب الازدواجية مما يتطلب التعاون الوثيق بين المؤسسات والوحدات التنظيمية على المستوى الوطني ومستوى الوكالات وعلى مستوى أمانة الصندوق </w:t>
      </w:r>
      <w:r w:rsidRPr="00F13B91">
        <w:rPr>
          <w:rFonts w:hint="cs"/>
          <w:sz w:val="26"/>
          <w:szCs w:val="26"/>
          <w:rtl/>
          <w:lang w:bidi="ar-EG"/>
        </w:rPr>
        <w:lastRenderedPageBreak/>
        <w:t>والأجهزة المعادلة والمشروعات التي تتناول كفاءة استخدام الطاقة في تطبيقات التبريد وتكييف الهواء ومضخات الحرارة.</w:t>
      </w:r>
    </w:p>
    <w:p w14:paraId="45B5E678" w14:textId="77777777" w:rsidR="00C018C0" w:rsidRPr="00F13B91" w:rsidRDefault="00C018C0" w:rsidP="00C018C0">
      <w:pPr>
        <w:pStyle w:val="Heading1"/>
        <w:bidi/>
        <w:rPr>
          <w:sz w:val="26"/>
          <w:szCs w:val="26"/>
        </w:rPr>
      </w:pPr>
      <w:r w:rsidRPr="00F13B91">
        <w:rPr>
          <w:rFonts w:hint="cs"/>
          <w:sz w:val="26"/>
          <w:szCs w:val="26"/>
          <w:rtl/>
        </w:rPr>
        <w:t xml:space="preserve">وتتضمن الوثيقة </w:t>
      </w:r>
      <w:r w:rsidRPr="00F13B91">
        <w:rPr>
          <w:sz w:val="26"/>
          <w:szCs w:val="26"/>
        </w:rPr>
        <w:t>UNEP/</w:t>
      </w:r>
      <w:proofErr w:type="spellStart"/>
      <w:r w:rsidRPr="00F13B91">
        <w:rPr>
          <w:sz w:val="26"/>
          <w:szCs w:val="26"/>
        </w:rPr>
        <w:t>OzL.Pro</w:t>
      </w:r>
      <w:proofErr w:type="spellEnd"/>
      <w:r w:rsidRPr="00F13B91">
        <w:rPr>
          <w:sz w:val="26"/>
          <w:szCs w:val="26"/>
        </w:rPr>
        <w:t>/ExCom/91/65</w:t>
      </w:r>
      <w:r w:rsidRPr="00F13B91">
        <w:rPr>
          <w:rFonts w:hint="cs"/>
          <w:sz w:val="26"/>
          <w:szCs w:val="26"/>
          <w:rtl/>
        </w:rPr>
        <w:t xml:space="preserve"> عرضا عاما لكيفية ضمان التكامل بين الأموال بموارد من خارج الصندوق المتعدد الأطراف.</w:t>
      </w:r>
    </w:p>
    <w:p w14:paraId="6E5772C1" w14:textId="77777777" w:rsidR="00C018C0" w:rsidRPr="00F13B91" w:rsidRDefault="00C018C0" w:rsidP="00C018C0">
      <w:pPr>
        <w:keepNext/>
        <w:keepLines/>
        <w:bidi/>
        <w:ind w:left="720" w:hanging="720"/>
        <w:rPr>
          <w:b/>
          <w:bCs/>
          <w:sz w:val="26"/>
          <w:szCs w:val="26"/>
          <w:rtl/>
        </w:rPr>
      </w:pPr>
      <w:r w:rsidRPr="00F13B91">
        <w:rPr>
          <w:rFonts w:hint="cs"/>
          <w:b/>
          <w:bCs/>
          <w:sz w:val="26"/>
          <w:szCs w:val="26"/>
          <w:rtl/>
        </w:rPr>
        <w:t>رابعا</w:t>
      </w:r>
      <w:r w:rsidRPr="00F13B91">
        <w:rPr>
          <w:rFonts w:hint="cs"/>
          <w:b/>
          <w:bCs/>
          <w:sz w:val="26"/>
          <w:szCs w:val="26"/>
          <w:rtl/>
        </w:rPr>
        <w:tab/>
        <w:t>الجوانب الرئيسية للمشروعات والأنشطة ذات الصلة بالحفاظ و/ أو تعزيز كفاءة استخدام الطاقة في أثناء خفض المواد الهيدروفلوروكربونية في قطاع التصنيع والخدمة وتحديد أولوياتها</w:t>
      </w:r>
    </w:p>
    <w:p w14:paraId="2BDA4083" w14:textId="77777777" w:rsidR="00C018C0" w:rsidRPr="00F13B91" w:rsidRDefault="00C018C0" w:rsidP="00C018C0">
      <w:pPr>
        <w:pStyle w:val="ListParagraph"/>
        <w:keepNext/>
        <w:keepLines/>
        <w:bidi/>
        <w:spacing w:after="0" w:line="240" w:lineRule="auto"/>
        <w:jc w:val="both"/>
        <w:rPr>
          <w:rFonts w:ascii="Times New Roman" w:hAnsi="Times New Roman" w:cs="Times New Roman"/>
          <w:b/>
          <w:bCs/>
          <w:sz w:val="26"/>
          <w:szCs w:val="26"/>
          <w:rtl/>
          <w:lang w:bidi="ar-EG"/>
        </w:rPr>
      </w:pPr>
    </w:p>
    <w:p w14:paraId="6EE9B8BB" w14:textId="77777777" w:rsidR="00C018C0" w:rsidRPr="00F13B91" w:rsidRDefault="00C018C0" w:rsidP="00C018C0">
      <w:pPr>
        <w:pStyle w:val="Heading1"/>
        <w:bidi/>
        <w:rPr>
          <w:sz w:val="26"/>
          <w:szCs w:val="26"/>
        </w:rPr>
      </w:pPr>
      <w:r w:rsidRPr="00F13B91">
        <w:rPr>
          <w:rFonts w:hint="cs"/>
          <w:sz w:val="26"/>
          <w:szCs w:val="26"/>
          <w:rtl/>
        </w:rPr>
        <w:t xml:space="preserve">سوف تشمل الأنشطة التي تدعم التحسينات في كفاءة استخدام الطاقة في المعدات استخدام طائفة من الحوافز لمصنعي المعدات لتحقيق مستويات كفاءة استخدام الطاقة، والسياسات والقواعد، ودعم بناء القدرات بما في ذلك إرشادات التدريب والتوعية والمعلومات لأصحاب الشأن في الصناعة ودعم المستهلكين التي تعد ضرورية لمعالجة كل من عوامل "دفع العرض" و"جذب الطلب" لتحقيق التحول الى تكنولوجيات كفاءة استخدام الطاقة ويؤدي ذلك أيضا الى دعم التدابير الأخرى فيما يتجاوز فترة التنفيذ لضمان أن الصناعة </w:t>
      </w:r>
      <w:r w:rsidRPr="00F13B91">
        <w:rPr>
          <w:rFonts w:hint="cs"/>
          <w:sz w:val="26"/>
          <w:szCs w:val="26"/>
          <w:rtl/>
          <w:lang w:bidi="ar-EG"/>
        </w:rPr>
        <w:t>تتحول الى معدات كفاءة استخدام الطاقة بطريقة مستدامة. وترد أدناه المشروعات التي يتعين نظرها للمحافظة أو تعزيز كفاءة استخدام الطاقة مع خفض المواد الهيدوفلوروكربونية:</w:t>
      </w:r>
    </w:p>
    <w:p w14:paraId="1760C14B" w14:textId="77777777" w:rsidR="00C018C0" w:rsidRPr="00F13B91" w:rsidRDefault="00C018C0" w:rsidP="00C018C0">
      <w:pPr>
        <w:keepNext/>
        <w:keepLines/>
        <w:bidi/>
        <w:rPr>
          <w:i/>
          <w:iCs/>
          <w:sz w:val="26"/>
          <w:szCs w:val="26"/>
          <w:rtl/>
          <w:lang w:bidi="ar-EG"/>
        </w:rPr>
      </w:pPr>
      <w:r w:rsidRPr="00F13B91">
        <w:rPr>
          <w:rFonts w:hint="cs"/>
          <w:i/>
          <w:iCs/>
          <w:sz w:val="26"/>
          <w:szCs w:val="26"/>
          <w:rtl/>
          <w:lang w:bidi="ar-EG"/>
        </w:rPr>
        <w:t>تصنيع وتركيب المعدات بما في ذلك دعم المنشئات الصغيرة والمتوسطة الحجم</w:t>
      </w:r>
    </w:p>
    <w:p w14:paraId="75E40853" w14:textId="77777777" w:rsidR="00C018C0" w:rsidRPr="00F13B91" w:rsidRDefault="00C018C0" w:rsidP="00C018C0">
      <w:pPr>
        <w:keepNext/>
        <w:keepLines/>
        <w:bidi/>
        <w:rPr>
          <w:i/>
          <w:iCs/>
          <w:sz w:val="26"/>
          <w:szCs w:val="26"/>
          <w:rtl/>
          <w:lang w:bidi="ar-EG"/>
        </w:rPr>
      </w:pPr>
    </w:p>
    <w:p w14:paraId="48204D31" w14:textId="77777777" w:rsidR="00C018C0" w:rsidRPr="00F13B91" w:rsidRDefault="00C018C0" w:rsidP="00C018C0">
      <w:pPr>
        <w:pStyle w:val="Heading2"/>
        <w:widowControl/>
        <w:bidi/>
        <w:rPr>
          <w:sz w:val="26"/>
          <w:szCs w:val="26"/>
        </w:rPr>
      </w:pPr>
      <w:r w:rsidRPr="00F13B91">
        <w:rPr>
          <w:rFonts w:hint="cs"/>
          <w:sz w:val="26"/>
          <w:szCs w:val="26"/>
          <w:rtl/>
        </w:rPr>
        <w:t>المشروعات الى قطاع التصنيع التي تتضمن تطبيقات تصنيع التبريد المنزلي والتبريد التجاري الذاتي وتكييف الهواء المنزلي وتكييف الهواء التجاري للمحافظة أو تعزيز كفاءة استخدام الطاقة أثناء خفض المواد الهيدروفلوروكربونية، وفي حين من المتوقع أن تكون المشروعات الواردة في القطاعات التطبيقات أعلاه في المراحل الأولى من تنفيذ مشروعات تعديل كيجالي/ ومشروعات خفض استهلاك المواد الهيدروفلوروكربونية، فإن من الممكن تقديم المشروعات الأخرى مثل تكييف الهواء المتنقل، وتصنيع أجهزة تبريد وسائل النقل بالاعتماد على الأولويات الوطنية المحددة؛</w:t>
      </w:r>
    </w:p>
    <w:p w14:paraId="1A3E2027" w14:textId="77777777" w:rsidR="00C018C0" w:rsidRPr="00F13B91" w:rsidRDefault="00C018C0" w:rsidP="00C018C0">
      <w:pPr>
        <w:pStyle w:val="Heading2"/>
        <w:bidi/>
        <w:rPr>
          <w:sz w:val="26"/>
          <w:szCs w:val="26"/>
        </w:rPr>
      </w:pPr>
      <w:r w:rsidRPr="00F13B91">
        <w:rPr>
          <w:rFonts w:hint="cs"/>
          <w:sz w:val="26"/>
          <w:szCs w:val="26"/>
          <w:rtl/>
        </w:rPr>
        <w:t>المساعدات التقنية وبناء القدرات للمنشئات الصغيرة والمتوسطة الحجم لإعادة تصميم المشروعات والحصول على تكنولوجيات كفاءة استخدام الطاقة لتيسير اعتماد هذه التكنولوجيات خلال خفض المواد الهيدروفلوروكربونية؛</w:t>
      </w:r>
    </w:p>
    <w:p w14:paraId="5C64395B" w14:textId="77777777" w:rsidR="00C018C0" w:rsidRPr="00F13B91" w:rsidRDefault="00C018C0" w:rsidP="00C018C0">
      <w:pPr>
        <w:pStyle w:val="Heading2"/>
        <w:bidi/>
        <w:rPr>
          <w:sz w:val="26"/>
          <w:szCs w:val="26"/>
        </w:rPr>
      </w:pPr>
      <w:r w:rsidRPr="00F13B91">
        <w:rPr>
          <w:rFonts w:hint="cs"/>
          <w:sz w:val="26"/>
          <w:szCs w:val="26"/>
          <w:rtl/>
        </w:rPr>
        <w:t>المساعدات التقنية وبناء القدرات لتصميم وتركيب القدرات الكبيرة لمعدات التبريد وتكييف الهواء ومضخات الحرارة (مثل نظام التبريد التجاري الكبير ومنظومة تكييف الهواء المركزية) للمحافظة على كفاءة استخدام الطاقة أثناء تطبيق التكنولوجيات المعتمدة على غازات التبريد المنخفضة القدرة على الاحترار العالمي.</w:t>
      </w:r>
    </w:p>
    <w:p w14:paraId="0BF932F3" w14:textId="77777777" w:rsidR="00C018C0" w:rsidRPr="00F13B91" w:rsidRDefault="00C018C0" w:rsidP="00C018C0">
      <w:pPr>
        <w:bidi/>
        <w:rPr>
          <w:i/>
          <w:iCs/>
          <w:sz w:val="26"/>
          <w:szCs w:val="26"/>
        </w:rPr>
      </w:pPr>
      <w:r w:rsidRPr="00F13B91">
        <w:rPr>
          <w:rFonts w:hint="cs"/>
          <w:i/>
          <w:iCs/>
          <w:sz w:val="26"/>
          <w:szCs w:val="26"/>
          <w:rtl/>
        </w:rPr>
        <w:t>التدريب والدعم التقني لقطاع الخدمة</w:t>
      </w:r>
      <w:r w:rsidRPr="00F13B91">
        <w:rPr>
          <w:rStyle w:val="FootnoteReference"/>
          <w:i/>
          <w:iCs/>
          <w:sz w:val="26"/>
          <w:szCs w:val="26"/>
        </w:rPr>
        <w:footnoteReference w:id="15"/>
      </w:r>
    </w:p>
    <w:p w14:paraId="7224546A" w14:textId="77777777" w:rsidR="00C018C0" w:rsidRPr="00F13B91" w:rsidRDefault="00C018C0" w:rsidP="00C018C0">
      <w:pPr>
        <w:bidi/>
        <w:rPr>
          <w:i/>
          <w:iCs/>
          <w:sz w:val="26"/>
          <w:szCs w:val="26"/>
        </w:rPr>
      </w:pPr>
    </w:p>
    <w:p w14:paraId="76C752ED" w14:textId="77777777" w:rsidR="00C018C0" w:rsidRPr="00F13B91" w:rsidRDefault="00C018C0" w:rsidP="00C018C0">
      <w:pPr>
        <w:pStyle w:val="Heading2"/>
        <w:bidi/>
        <w:rPr>
          <w:sz w:val="26"/>
          <w:szCs w:val="26"/>
          <w:lang w:bidi="ar-EG"/>
        </w:rPr>
      </w:pPr>
      <w:r w:rsidRPr="00F13B91">
        <w:rPr>
          <w:rFonts w:hint="cs"/>
          <w:sz w:val="26"/>
          <w:szCs w:val="26"/>
          <w:rtl/>
          <w:lang w:bidi="ar-EG"/>
        </w:rPr>
        <w:t xml:space="preserve">المساعدات التقنية لبرامج التدريب واعتماد الفنيين بما في ذلك البرامج على الويب وبرامج التدريب الإقليمية للمحافظة على كفاءة معدات التبريد وتكييف الهواء ومضخات الحرارة بما في ذلك العمليات الخاصة بالتبريد مع التدريب الجاري في قطاع خدمة التبريد وغير ذلك من البرامج الخاصة ببناء القدرات لخفض المواد الهيدروفلوروكربونية ويمكن لهذه الأنشطة أن تعتمد على برامج التدريب واعتماد الفنيين التي كانت قد مولت بالفعل بموجب خطط إدارة إزالة المواد الهيدروكلوروفلوروكربونية وتنفيذ مشروعات تعديل كيجالي بما في ذلك الوحدات الإضافية المتعلقة </w:t>
      </w:r>
      <w:r w:rsidRPr="00F13B91">
        <w:rPr>
          <w:rFonts w:hint="cs"/>
          <w:sz w:val="26"/>
          <w:szCs w:val="26"/>
          <w:rtl/>
          <w:lang w:bidi="ar-EG"/>
        </w:rPr>
        <w:lastRenderedPageBreak/>
        <w:t>بالتدريب الأساسي على إصلاح المكونات الإلكترونية التي تستخدم اقتصاديا بواسطة نواتج كفاءة استخدام الطاقة المتقدمة؛</w:t>
      </w:r>
    </w:p>
    <w:p w14:paraId="57C54801" w14:textId="77777777" w:rsidR="00C018C0" w:rsidRPr="00F13B91" w:rsidRDefault="00C018C0" w:rsidP="00C018C0">
      <w:pPr>
        <w:pStyle w:val="Heading2"/>
        <w:bidi/>
        <w:rPr>
          <w:sz w:val="26"/>
          <w:szCs w:val="26"/>
        </w:rPr>
      </w:pPr>
      <w:r w:rsidRPr="00F13B91">
        <w:rPr>
          <w:rFonts w:hint="cs"/>
          <w:sz w:val="26"/>
          <w:szCs w:val="26"/>
          <w:rtl/>
        </w:rPr>
        <w:t>المشروعات الإيضاحية المصممة للمستخدمين والموجهة إليهم والتي تنطبق وتتدرج</w:t>
      </w:r>
      <w:r w:rsidRPr="00F13B91">
        <w:rPr>
          <w:rFonts w:hint="cs"/>
          <w:sz w:val="26"/>
          <w:szCs w:val="26"/>
          <w:rtl/>
          <w:lang w:bidi="ar-EG"/>
        </w:rPr>
        <w:t>،</w:t>
      </w:r>
      <w:r w:rsidRPr="00F13B91">
        <w:rPr>
          <w:rStyle w:val="FootnoteReference"/>
          <w:sz w:val="26"/>
          <w:szCs w:val="26"/>
        </w:rPr>
        <w:footnoteReference w:id="16"/>
      </w:r>
      <w:r w:rsidRPr="00F13B91">
        <w:rPr>
          <w:rFonts w:hint="cs"/>
          <w:sz w:val="26"/>
          <w:szCs w:val="26"/>
          <w:rtl/>
        </w:rPr>
        <w:t xml:space="preserve"> والمتعلقة بالدرجة الأولى بكفاءة استخدام الطاقة في معدات التبريد وتكييف الهواء ومضخات الحرارة ومنتجات الرغاوي باستخدام التكنولوجيات المنخفضة القدرة على الاحترار العالمي؛</w:t>
      </w:r>
    </w:p>
    <w:p w14:paraId="46683C95" w14:textId="77777777" w:rsidR="00C018C0" w:rsidRPr="00F13B91" w:rsidRDefault="00C018C0" w:rsidP="00C018C0">
      <w:pPr>
        <w:keepNext/>
        <w:bidi/>
        <w:rPr>
          <w:i/>
          <w:iCs/>
          <w:sz w:val="26"/>
          <w:szCs w:val="26"/>
        </w:rPr>
      </w:pPr>
      <w:r w:rsidRPr="00F13B91">
        <w:rPr>
          <w:rFonts w:hint="cs"/>
          <w:i/>
          <w:iCs/>
          <w:sz w:val="26"/>
          <w:szCs w:val="26"/>
          <w:rtl/>
        </w:rPr>
        <w:t>المعايير الدنيا لأداء الطاقة وبرامج التوسيم وغير ذلك من التدابير</w:t>
      </w:r>
    </w:p>
    <w:p w14:paraId="27E90163" w14:textId="77777777" w:rsidR="00C018C0" w:rsidRPr="00F13B91" w:rsidRDefault="00C018C0" w:rsidP="00C018C0">
      <w:pPr>
        <w:pStyle w:val="ListParagraph"/>
        <w:keepNext/>
        <w:bidi/>
        <w:spacing w:after="0" w:line="240" w:lineRule="auto"/>
        <w:ind w:left="360"/>
        <w:jc w:val="both"/>
        <w:rPr>
          <w:rFonts w:ascii="Times New Roman" w:hAnsi="Times New Roman" w:cs="Times New Roman"/>
          <w:sz w:val="26"/>
          <w:szCs w:val="26"/>
        </w:rPr>
      </w:pPr>
    </w:p>
    <w:p w14:paraId="30E703F7" w14:textId="77777777" w:rsidR="00C018C0" w:rsidRPr="00F13B91" w:rsidRDefault="00C018C0" w:rsidP="00C018C0">
      <w:pPr>
        <w:pStyle w:val="Heading2"/>
        <w:keepNext/>
        <w:bidi/>
        <w:rPr>
          <w:sz w:val="26"/>
          <w:szCs w:val="26"/>
        </w:rPr>
      </w:pPr>
      <w:r w:rsidRPr="00F13B91">
        <w:rPr>
          <w:rFonts w:hint="cs"/>
          <w:sz w:val="26"/>
          <w:szCs w:val="26"/>
          <w:rtl/>
        </w:rPr>
        <w:t>وضع وتعزيز المستويات الدنيا لأداء الطاقة (مثل برامج التوسيم) لإدراج الأحكام الجارية لتعديل كيجالي المتعلقة بالمواد الخاضعة للرقابة في معدات التبريد وتكييف الهواء ومضخات الحرارة ومنتجات الرغاوي؛</w:t>
      </w:r>
      <w:r w:rsidRPr="00F13B91">
        <w:rPr>
          <w:rStyle w:val="FootnoteReference"/>
          <w:sz w:val="26"/>
          <w:szCs w:val="26"/>
        </w:rPr>
        <w:footnoteReference w:id="17"/>
      </w:r>
      <w:r w:rsidRPr="00F13B91">
        <w:rPr>
          <w:rFonts w:hint="cs"/>
          <w:sz w:val="26"/>
          <w:szCs w:val="26"/>
          <w:rtl/>
        </w:rPr>
        <w:t xml:space="preserve"> التي يمكن أن تضمن العمليات الخاصة بالتحسين المستدام لكفاءة الطاقة والخفض التدريجي في المستويات القصوى لقدرات الاحترار العالمي لغازات التبريد بمرور الوقت؛</w:t>
      </w:r>
      <w:r w:rsidRPr="00F13B91">
        <w:rPr>
          <w:rStyle w:val="FootnoteReference"/>
          <w:sz w:val="26"/>
          <w:szCs w:val="26"/>
        </w:rPr>
        <w:footnoteReference w:id="18"/>
      </w:r>
    </w:p>
    <w:p w14:paraId="298FDBC5" w14:textId="77777777" w:rsidR="00C018C0" w:rsidRPr="00F13B91" w:rsidRDefault="00C018C0" w:rsidP="00C018C0">
      <w:pPr>
        <w:pStyle w:val="Heading2"/>
        <w:bidi/>
        <w:rPr>
          <w:sz w:val="26"/>
          <w:szCs w:val="26"/>
        </w:rPr>
      </w:pPr>
      <w:r w:rsidRPr="00F13B91">
        <w:rPr>
          <w:rFonts w:hint="cs"/>
          <w:sz w:val="26"/>
          <w:szCs w:val="26"/>
          <w:rtl/>
          <w:lang w:bidi="ar-EG"/>
        </w:rPr>
        <w:t>وضع نهج إقليمي، حسب مقتضى الحال، لتنفيذ المستويات الدنيا لأداء الطاقة واختبارها والتحقق منها؛</w:t>
      </w:r>
    </w:p>
    <w:p w14:paraId="0EEEE185" w14:textId="77777777" w:rsidR="00C018C0" w:rsidRPr="00F13B91" w:rsidRDefault="00C018C0" w:rsidP="00C018C0">
      <w:pPr>
        <w:pStyle w:val="Heading2"/>
        <w:bidi/>
        <w:rPr>
          <w:sz w:val="26"/>
          <w:szCs w:val="26"/>
        </w:rPr>
      </w:pPr>
      <w:r w:rsidRPr="00F13B91">
        <w:rPr>
          <w:rFonts w:hint="cs"/>
          <w:sz w:val="26"/>
          <w:szCs w:val="26"/>
          <w:rtl/>
          <w:lang w:bidi="ar-EG"/>
        </w:rPr>
        <w:t>بناء القدرات لإنشاء مراكز لاختبار كفاءة الطاقة والتحقق على المستوى الوطني والإقليمي لمعدات التبريد وتكييف الهواء ومضخات الحرارة؛</w:t>
      </w:r>
    </w:p>
    <w:p w14:paraId="7D4E73B2" w14:textId="77777777" w:rsidR="00C018C0" w:rsidRPr="00F13B91" w:rsidRDefault="00C018C0" w:rsidP="00C018C0">
      <w:pPr>
        <w:pStyle w:val="Heading2"/>
        <w:bidi/>
        <w:rPr>
          <w:sz w:val="26"/>
          <w:szCs w:val="26"/>
        </w:rPr>
      </w:pPr>
      <w:r w:rsidRPr="00F13B91">
        <w:rPr>
          <w:rFonts w:hint="cs"/>
          <w:sz w:val="26"/>
          <w:szCs w:val="26"/>
          <w:rtl/>
        </w:rPr>
        <w:t>المساعدات التقنية لوضع معايير كفاءة استخدام الطاقة من خلال الاتفاقات الوطنية في البلدان لرصد مردودية التكاليف والإبلاغ عن تحقيق المستويات الدنيا لأداء الطاقة؛</w:t>
      </w:r>
    </w:p>
    <w:p w14:paraId="45B95F56" w14:textId="77777777" w:rsidR="00C018C0" w:rsidRPr="00F13B91" w:rsidRDefault="00C018C0" w:rsidP="00C018C0">
      <w:pPr>
        <w:bidi/>
        <w:rPr>
          <w:i/>
          <w:iCs/>
          <w:sz w:val="26"/>
          <w:szCs w:val="26"/>
          <w:rtl/>
          <w:lang w:bidi="ar-EG"/>
        </w:rPr>
      </w:pPr>
      <w:r w:rsidRPr="00F13B91">
        <w:rPr>
          <w:rFonts w:hint="cs"/>
          <w:i/>
          <w:iCs/>
          <w:sz w:val="26"/>
          <w:szCs w:val="26"/>
          <w:rtl/>
          <w:lang w:bidi="ar-EG"/>
        </w:rPr>
        <w:t>التنسيق المؤسسي مع أصحاب المصلحة  في كفاءة استخدام الطاقة وبناء قدرات وحدات الأوزون الوطنية</w:t>
      </w:r>
    </w:p>
    <w:p w14:paraId="738B40D4" w14:textId="77777777" w:rsidR="00C018C0" w:rsidRPr="00F13B91" w:rsidRDefault="00C018C0" w:rsidP="00C018C0">
      <w:pPr>
        <w:bidi/>
        <w:rPr>
          <w:i/>
          <w:iCs/>
          <w:sz w:val="26"/>
          <w:szCs w:val="26"/>
          <w:rtl/>
          <w:lang w:bidi="ar-EG"/>
        </w:rPr>
      </w:pPr>
    </w:p>
    <w:p w14:paraId="4042F602" w14:textId="77777777" w:rsidR="00C018C0" w:rsidRPr="00F13B91" w:rsidRDefault="00C018C0" w:rsidP="00C018C0">
      <w:pPr>
        <w:pStyle w:val="Heading2"/>
        <w:bidi/>
        <w:rPr>
          <w:sz w:val="26"/>
          <w:szCs w:val="26"/>
        </w:rPr>
      </w:pPr>
      <w:r w:rsidRPr="00F13B91">
        <w:rPr>
          <w:rFonts w:hint="cs"/>
          <w:sz w:val="26"/>
          <w:szCs w:val="26"/>
          <w:rtl/>
          <w:lang w:bidi="ar-EG"/>
        </w:rPr>
        <w:t>تقديم ال</w:t>
      </w:r>
      <w:r w:rsidRPr="00F13B91">
        <w:rPr>
          <w:sz w:val="26"/>
          <w:szCs w:val="26"/>
          <w:rtl/>
        </w:rPr>
        <w:t xml:space="preserve">دعم </w:t>
      </w:r>
      <w:r w:rsidRPr="00F13B91">
        <w:rPr>
          <w:rFonts w:hint="cs"/>
          <w:sz w:val="26"/>
          <w:szCs w:val="26"/>
          <w:rtl/>
        </w:rPr>
        <w:t>ل</w:t>
      </w:r>
      <w:r w:rsidRPr="00F13B91">
        <w:rPr>
          <w:sz w:val="26"/>
          <w:szCs w:val="26"/>
          <w:rtl/>
        </w:rPr>
        <w:t xml:space="preserve">تعزيز التنسيق المؤسسي بين وحدة الأوزون الوطنية والسلطات الوطنية </w:t>
      </w:r>
      <w:r w:rsidRPr="00F13B91">
        <w:rPr>
          <w:rFonts w:hint="cs"/>
          <w:sz w:val="26"/>
          <w:szCs w:val="26"/>
          <w:rtl/>
        </w:rPr>
        <w:t>المعنية ب</w:t>
      </w:r>
      <w:r w:rsidRPr="00F13B91">
        <w:rPr>
          <w:sz w:val="26"/>
          <w:szCs w:val="26"/>
          <w:rtl/>
        </w:rPr>
        <w:t>كفاءة</w:t>
      </w:r>
      <w:r w:rsidRPr="00F13B91">
        <w:rPr>
          <w:rFonts w:hint="cs"/>
          <w:sz w:val="26"/>
          <w:szCs w:val="26"/>
          <w:rtl/>
        </w:rPr>
        <w:t xml:space="preserve"> استخدام</w:t>
      </w:r>
      <w:r w:rsidRPr="00F13B91">
        <w:rPr>
          <w:sz w:val="26"/>
          <w:szCs w:val="26"/>
          <w:rtl/>
        </w:rPr>
        <w:t xml:space="preserve"> الطاقة </w:t>
      </w:r>
      <w:r w:rsidRPr="00F13B91">
        <w:rPr>
          <w:rFonts w:hint="cs"/>
          <w:sz w:val="26"/>
          <w:szCs w:val="26"/>
          <w:rtl/>
        </w:rPr>
        <w:t>لتيسير</w:t>
      </w:r>
      <w:r w:rsidRPr="00F13B91">
        <w:rPr>
          <w:sz w:val="26"/>
          <w:szCs w:val="26"/>
          <w:rtl/>
        </w:rPr>
        <w:t xml:space="preserve"> إدراج الأحكام ذات الصلة </w:t>
      </w:r>
      <w:r w:rsidRPr="00F13B91">
        <w:rPr>
          <w:rFonts w:hint="cs"/>
          <w:sz w:val="26"/>
          <w:szCs w:val="26"/>
          <w:rtl/>
        </w:rPr>
        <w:t>في</w:t>
      </w:r>
      <w:r w:rsidRPr="00F13B91">
        <w:rPr>
          <w:sz w:val="26"/>
          <w:szCs w:val="26"/>
          <w:rtl/>
        </w:rPr>
        <w:t xml:space="preserve"> تعديل كيغالي في الأنشطة المتعلقة بكفاءة الطاقة</w:t>
      </w:r>
      <w:r w:rsidRPr="00F13B91">
        <w:rPr>
          <w:rFonts w:hint="cs"/>
          <w:sz w:val="26"/>
          <w:szCs w:val="26"/>
          <w:rtl/>
        </w:rPr>
        <w:t xml:space="preserve"> للتبريد وتكييف الهواء ومضخات الحرارة وقطاع الرغاوي؛</w:t>
      </w:r>
    </w:p>
    <w:p w14:paraId="63E48144" w14:textId="77777777" w:rsidR="00C018C0" w:rsidRPr="00F13B91" w:rsidRDefault="00C018C0" w:rsidP="00C018C0">
      <w:pPr>
        <w:pStyle w:val="Heading2"/>
        <w:bidi/>
        <w:rPr>
          <w:sz w:val="26"/>
          <w:szCs w:val="26"/>
        </w:rPr>
      </w:pPr>
      <w:r w:rsidRPr="00F13B91">
        <w:rPr>
          <w:sz w:val="26"/>
          <w:szCs w:val="26"/>
          <w:rtl/>
        </w:rPr>
        <w:t>بناء</w:t>
      </w:r>
      <w:r w:rsidRPr="00F13B91">
        <w:rPr>
          <w:rFonts w:hint="cs"/>
          <w:sz w:val="26"/>
          <w:szCs w:val="26"/>
          <w:rtl/>
        </w:rPr>
        <w:t xml:space="preserve"> </w:t>
      </w:r>
      <w:r w:rsidRPr="00F13B91">
        <w:rPr>
          <w:sz w:val="26"/>
          <w:szCs w:val="26"/>
          <w:rtl/>
        </w:rPr>
        <w:t xml:space="preserve">قدرات وحدة الأوزون الوطنية </w:t>
      </w:r>
      <w:r w:rsidRPr="00F13B91">
        <w:rPr>
          <w:rFonts w:hint="cs"/>
          <w:sz w:val="26"/>
          <w:szCs w:val="26"/>
          <w:rtl/>
        </w:rPr>
        <w:t>لوضع</w:t>
      </w:r>
      <w:r w:rsidRPr="00F13B91">
        <w:rPr>
          <w:sz w:val="26"/>
          <w:szCs w:val="26"/>
          <w:rtl/>
        </w:rPr>
        <w:t xml:space="preserve"> وإدارة </w:t>
      </w:r>
      <w:r w:rsidRPr="00F13B91">
        <w:rPr>
          <w:rFonts w:hint="cs"/>
          <w:sz w:val="26"/>
          <w:szCs w:val="26"/>
          <w:rtl/>
        </w:rPr>
        <w:t>ال</w:t>
      </w:r>
      <w:r w:rsidRPr="00F13B91">
        <w:rPr>
          <w:sz w:val="26"/>
          <w:szCs w:val="26"/>
          <w:rtl/>
        </w:rPr>
        <w:t>مش</w:t>
      </w:r>
      <w:r w:rsidRPr="00F13B91">
        <w:rPr>
          <w:rFonts w:hint="cs"/>
          <w:sz w:val="26"/>
          <w:szCs w:val="26"/>
          <w:rtl/>
        </w:rPr>
        <w:t>روعات</w:t>
      </w:r>
      <w:r w:rsidRPr="00F13B91">
        <w:rPr>
          <w:sz w:val="26"/>
          <w:szCs w:val="26"/>
          <w:rtl/>
        </w:rPr>
        <w:t xml:space="preserve"> </w:t>
      </w:r>
      <w:r w:rsidRPr="00F13B91">
        <w:rPr>
          <w:rFonts w:hint="cs"/>
          <w:sz w:val="26"/>
          <w:szCs w:val="26"/>
          <w:rtl/>
        </w:rPr>
        <w:t>التي تحافظ</w:t>
      </w:r>
      <w:r w:rsidRPr="00F13B91">
        <w:rPr>
          <w:sz w:val="26"/>
          <w:szCs w:val="26"/>
          <w:rtl/>
        </w:rPr>
        <w:t xml:space="preserve"> و/ أو كفاءة </w:t>
      </w:r>
      <w:r w:rsidRPr="00F13B91">
        <w:rPr>
          <w:rFonts w:hint="cs"/>
          <w:sz w:val="26"/>
          <w:szCs w:val="26"/>
          <w:rtl/>
        </w:rPr>
        <w:t xml:space="preserve">استخدام </w:t>
      </w:r>
      <w:r w:rsidRPr="00F13B91">
        <w:rPr>
          <w:sz w:val="26"/>
          <w:szCs w:val="26"/>
          <w:rtl/>
        </w:rPr>
        <w:t xml:space="preserve">الطاقة </w:t>
      </w:r>
      <w:r w:rsidRPr="00F13B91">
        <w:rPr>
          <w:rFonts w:hint="cs"/>
          <w:sz w:val="26"/>
          <w:szCs w:val="26"/>
          <w:rtl/>
        </w:rPr>
        <w:t>أثناء خفض المواد الهيدروفلوروكربونية</w:t>
      </w:r>
      <w:r w:rsidRPr="00F13B91">
        <w:rPr>
          <w:sz w:val="26"/>
          <w:szCs w:val="26"/>
          <w:rtl/>
        </w:rPr>
        <w:t>؛</w:t>
      </w:r>
    </w:p>
    <w:p w14:paraId="5040060A" w14:textId="77777777" w:rsidR="00C018C0" w:rsidRPr="00F13B91" w:rsidRDefault="00C018C0" w:rsidP="00C018C0">
      <w:pPr>
        <w:pStyle w:val="Heading2"/>
        <w:bidi/>
        <w:rPr>
          <w:sz w:val="26"/>
          <w:szCs w:val="26"/>
        </w:rPr>
      </w:pPr>
      <w:r w:rsidRPr="00F13B91">
        <w:rPr>
          <w:rFonts w:hint="cs"/>
          <w:sz w:val="26"/>
          <w:szCs w:val="26"/>
          <w:rtl/>
        </w:rPr>
        <w:t>بناء القدرات لأجهزة الجمارك والإنفاذ للرقابة والرصد على المعدات المستوردة لضمان تطابقها مع مستويات كفاءة الطاقة ومخططات توسيم غازات التبريد التي تغطي قطاعات التبريد وتكييف الهواء ومضخات الحرارة باستخدام الغازات البديلة؛</w:t>
      </w:r>
    </w:p>
    <w:p w14:paraId="43347C88" w14:textId="77777777" w:rsidR="00C018C0" w:rsidRPr="00F13B91" w:rsidRDefault="00C018C0" w:rsidP="00C018C0">
      <w:pPr>
        <w:keepNext/>
        <w:keepLines/>
        <w:bidi/>
        <w:rPr>
          <w:i/>
          <w:iCs/>
          <w:sz w:val="26"/>
          <w:szCs w:val="26"/>
          <w:rtl/>
          <w:lang w:bidi="ar-EG"/>
        </w:rPr>
      </w:pPr>
      <w:r w:rsidRPr="00F13B91">
        <w:rPr>
          <w:rFonts w:hint="cs"/>
          <w:i/>
          <w:iCs/>
          <w:sz w:val="26"/>
          <w:szCs w:val="26"/>
          <w:rtl/>
          <w:lang w:bidi="ar-EG"/>
        </w:rPr>
        <w:lastRenderedPageBreak/>
        <w:t>الدعم المالي لاعتماد التكنولوجيات المعتمدة على الغازات البديلة لتحقيق كفاءة استخدام الطاقة</w:t>
      </w:r>
    </w:p>
    <w:p w14:paraId="4F9A5183" w14:textId="77777777" w:rsidR="00C018C0" w:rsidRPr="00F13B91" w:rsidRDefault="00C018C0" w:rsidP="00C018C0">
      <w:pPr>
        <w:keepNext/>
        <w:keepLines/>
        <w:bidi/>
        <w:rPr>
          <w:sz w:val="26"/>
          <w:szCs w:val="26"/>
          <w:rtl/>
          <w:lang w:bidi="ar-EG"/>
        </w:rPr>
      </w:pPr>
    </w:p>
    <w:p w14:paraId="6E35DBD7" w14:textId="77777777" w:rsidR="00C018C0" w:rsidRPr="00F13B91" w:rsidRDefault="00C018C0" w:rsidP="00C018C0">
      <w:pPr>
        <w:pStyle w:val="Heading2"/>
        <w:keepNext/>
        <w:keepLines/>
        <w:bidi/>
        <w:rPr>
          <w:sz w:val="26"/>
          <w:szCs w:val="26"/>
        </w:rPr>
      </w:pPr>
      <w:r w:rsidRPr="00F13B91">
        <w:rPr>
          <w:rFonts w:hint="cs"/>
          <w:sz w:val="26"/>
          <w:szCs w:val="26"/>
          <w:rtl/>
        </w:rPr>
        <w:t>تقديم الدعم لبناء القدرات لتمويل المؤسسات للترويج لاعتماد بدائل كفاءة استخدام الطاقة أثناء خفض المواد الهيدروفلوروكربونية؛</w:t>
      </w:r>
    </w:p>
    <w:p w14:paraId="233FAB5D" w14:textId="77777777" w:rsidR="00C018C0" w:rsidRPr="00F13B91" w:rsidRDefault="00C018C0" w:rsidP="00C018C0">
      <w:pPr>
        <w:pStyle w:val="Heading2"/>
        <w:bidi/>
        <w:rPr>
          <w:sz w:val="26"/>
          <w:szCs w:val="26"/>
        </w:rPr>
      </w:pPr>
      <w:r w:rsidRPr="00F13B91">
        <w:rPr>
          <w:rFonts w:hint="cs"/>
          <w:sz w:val="26"/>
          <w:szCs w:val="26"/>
          <w:rtl/>
        </w:rPr>
        <w:t>وضع معايير مالية لتحقيق التعاون الوثيق مع مؤسسات التمويل (مثل المؤسسات المالية الوطنية والإقليمية) وغيرها من المنظمات التي تمول الأجهزة لإقرار بدائل كفاءة استخدام الطاقة أثناء خفض المواد الهيدروفلوروكربونية؛</w:t>
      </w:r>
    </w:p>
    <w:p w14:paraId="5C9DC3C2" w14:textId="77777777" w:rsidR="00C018C0" w:rsidRPr="00F13B91" w:rsidRDefault="00C018C0" w:rsidP="00C018C0">
      <w:pPr>
        <w:pStyle w:val="Heading2"/>
        <w:bidi/>
        <w:rPr>
          <w:sz w:val="26"/>
          <w:szCs w:val="26"/>
        </w:rPr>
      </w:pPr>
      <w:r w:rsidRPr="00F13B91">
        <w:rPr>
          <w:rFonts w:hint="cs"/>
          <w:sz w:val="26"/>
          <w:szCs w:val="26"/>
          <w:rtl/>
        </w:rPr>
        <w:t>وضع برامج تحفيز ضريبية لتصنيع وتركيب واستيراد المعدات المعتمدة على غازات التبريد البديلة لتحقيق كفاءة استخدام الطاقة لخفض التكاليف الأولية المرتفعة لاعتماد هذه المعدات؛</w:t>
      </w:r>
    </w:p>
    <w:p w14:paraId="2B6BD36D" w14:textId="77777777" w:rsidR="00C018C0" w:rsidRPr="00F13B91" w:rsidRDefault="00C018C0" w:rsidP="00C018C0">
      <w:pPr>
        <w:keepNext/>
        <w:bidi/>
        <w:rPr>
          <w:i/>
          <w:iCs/>
          <w:sz w:val="26"/>
          <w:szCs w:val="26"/>
          <w:rtl/>
          <w:lang w:bidi="ar-EG"/>
        </w:rPr>
      </w:pPr>
      <w:r w:rsidRPr="00F13B91">
        <w:rPr>
          <w:rFonts w:hint="cs"/>
          <w:i/>
          <w:iCs/>
          <w:sz w:val="26"/>
          <w:szCs w:val="26"/>
          <w:rtl/>
          <w:lang w:bidi="ar-EG"/>
        </w:rPr>
        <w:t>إرشادات التوعية والمعلومات</w:t>
      </w:r>
    </w:p>
    <w:p w14:paraId="629AD04A" w14:textId="77777777" w:rsidR="00C018C0" w:rsidRPr="00F13B91" w:rsidRDefault="00C018C0" w:rsidP="00C018C0">
      <w:pPr>
        <w:keepNext/>
        <w:bidi/>
        <w:rPr>
          <w:i/>
          <w:iCs/>
          <w:sz w:val="26"/>
          <w:szCs w:val="26"/>
          <w:rtl/>
          <w:lang w:bidi="ar-EG"/>
        </w:rPr>
      </w:pPr>
    </w:p>
    <w:p w14:paraId="6835A2F6" w14:textId="77777777" w:rsidR="00C018C0" w:rsidRPr="00F13B91" w:rsidRDefault="00C018C0" w:rsidP="00C018C0">
      <w:pPr>
        <w:pStyle w:val="Heading2"/>
        <w:keepNext/>
        <w:bidi/>
        <w:rPr>
          <w:sz w:val="26"/>
          <w:szCs w:val="26"/>
        </w:rPr>
      </w:pPr>
      <w:r w:rsidRPr="00F13B91">
        <w:rPr>
          <w:rFonts w:hint="cs"/>
          <w:sz w:val="26"/>
          <w:szCs w:val="26"/>
          <w:rtl/>
        </w:rPr>
        <w:t>تقديم الدعم لوضع وتنفيذ الأنشطة الإرشادية للتوعية والمعلومات الموجهة للحفاظ و/أو تعزيز كفاءة استخدام الطاقة مع خفض المواد الهيدروفلوروكربونية بما في ذلك نماذج الشراكة بين القطاعين العام والخاص وفي التعاون مع البرامج النوعية الخاصة بالقطاعات الأخرى للترويج لكفاءة استخدام الطاقة مع تطبيق تكنولوجيات غازات التبريد البديلة (مثل قطاع السياحة وقطاع مصايد الأسماك)؛</w:t>
      </w:r>
    </w:p>
    <w:p w14:paraId="6CB9AFC6" w14:textId="77777777" w:rsidR="00C018C0" w:rsidRPr="00F13B91" w:rsidRDefault="00C018C0" w:rsidP="00C018C0">
      <w:pPr>
        <w:bidi/>
        <w:rPr>
          <w:i/>
          <w:iCs/>
          <w:sz w:val="26"/>
          <w:szCs w:val="26"/>
          <w:rtl/>
          <w:lang w:bidi="ar-EG"/>
        </w:rPr>
      </w:pPr>
      <w:r w:rsidRPr="00F13B91">
        <w:rPr>
          <w:rFonts w:hint="cs"/>
          <w:i/>
          <w:iCs/>
          <w:sz w:val="26"/>
          <w:szCs w:val="26"/>
          <w:rtl/>
          <w:lang w:bidi="ar-EG"/>
        </w:rPr>
        <w:t>الرصد وتقييم الآثار</w:t>
      </w:r>
    </w:p>
    <w:p w14:paraId="2A993B2A" w14:textId="77777777" w:rsidR="00C018C0" w:rsidRPr="00F13B91" w:rsidRDefault="00C018C0" w:rsidP="00C018C0">
      <w:pPr>
        <w:bidi/>
        <w:rPr>
          <w:i/>
          <w:iCs/>
          <w:sz w:val="26"/>
          <w:szCs w:val="26"/>
          <w:rtl/>
          <w:lang w:bidi="ar-EG"/>
        </w:rPr>
      </w:pPr>
    </w:p>
    <w:p w14:paraId="537F7407" w14:textId="77777777" w:rsidR="00C018C0" w:rsidRPr="00F13B91" w:rsidRDefault="00C018C0" w:rsidP="00C018C0">
      <w:pPr>
        <w:pStyle w:val="Heading2"/>
        <w:bidi/>
        <w:rPr>
          <w:sz w:val="26"/>
          <w:szCs w:val="26"/>
        </w:rPr>
      </w:pPr>
      <w:r w:rsidRPr="00F13B91">
        <w:rPr>
          <w:rFonts w:hint="cs"/>
          <w:sz w:val="26"/>
          <w:szCs w:val="26"/>
          <w:rtl/>
        </w:rPr>
        <w:t>المساعدات التقنية بما في ذلك الدعم بالأجهزة لمختبرات الاختيار على المستويين الوطني والإقليمي لقياس مستويات كفاءة استخدام الطاقة في معدات التبريد وتكييف الهواء والدفع الحراري. بما في ذلك تلك التي تتناول غازات التبريد القابلة للاشتعال؛</w:t>
      </w:r>
      <w:r w:rsidRPr="00F13B91">
        <w:rPr>
          <w:rStyle w:val="FootnoteReference"/>
          <w:sz w:val="26"/>
          <w:szCs w:val="26"/>
        </w:rPr>
        <w:footnoteReference w:id="19"/>
      </w:r>
    </w:p>
    <w:p w14:paraId="5B930C1B" w14:textId="77777777" w:rsidR="00C018C0" w:rsidRPr="00F13B91" w:rsidRDefault="00C018C0" w:rsidP="00C018C0">
      <w:pPr>
        <w:pStyle w:val="Heading2"/>
        <w:bidi/>
        <w:rPr>
          <w:sz w:val="26"/>
          <w:szCs w:val="26"/>
        </w:rPr>
      </w:pPr>
      <w:r w:rsidRPr="00F13B91">
        <w:rPr>
          <w:rFonts w:hint="cs"/>
          <w:sz w:val="26"/>
          <w:szCs w:val="26"/>
          <w:rtl/>
        </w:rPr>
        <w:t>المساعدات التقنية لوضع وتنفيذ برامج التدريب المتعلقة بكفاءة استخدام الطاقة في معدات التبريد وتكييف الهواء وقدرة الدفع الحراري باستخدام غازات التبريد البديلة لموظفي الجمارك والإنفاذ؛</w:t>
      </w:r>
      <w:r w:rsidRPr="00F13B91">
        <w:rPr>
          <w:rStyle w:val="FootnoteReference"/>
          <w:sz w:val="26"/>
          <w:szCs w:val="26"/>
        </w:rPr>
        <w:footnoteReference w:id="20"/>
      </w:r>
    </w:p>
    <w:p w14:paraId="3344404D" w14:textId="77777777" w:rsidR="00C018C0" w:rsidRPr="00F13B91" w:rsidRDefault="00C018C0" w:rsidP="00C018C0">
      <w:pPr>
        <w:bidi/>
        <w:rPr>
          <w:i/>
          <w:iCs/>
          <w:sz w:val="26"/>
          <w:szCs w:val="26"/>
          <w:rtl/>
          <w:lang w:bidi="ar-EG"/>
        </w:rPr>
      </w:pPr>
      <w:r w:rsidRPr="00F13B91">
        <w:rPr>
          <w:rFonts w:hint="cs"/>
          <w:i/>
          <w:iCs/>
          <w:sz w:val="26"/>
          <w:szCs w:val="26"/>
          <w:rtl/>
          <w:lang w:bidi="ar-EG"/>
        </w:rPr>
        <w:t>الأنشطة الأخرى</w:t>
      </w:r>
    </w:p>
    <w:p w14:paraId="5C63914E" w14:textId="77777777" w:rsidR="00C018C0" w:rsidRPr="00F13B91" w:rsidRDefault="00C018C0" w:rsidP="00C018C0">
      <w:pPr>
        <w:bidi/>
        <w:rPr>
          <w:i/>
          <w:iCs/>
          <w:sz w:val="26"/>
          <w:szCs w:val="26"/>
          <w:rtl/>
          <w:lang w:bidi="ar-EG"/>
        </w:rPr>
      </w:pPr>
    </w:p>
    <w:p w14:paraId="72CA342D" w14:textId="77777777" w:rsidR="00C018C0" w:rsidRPr="00F13B91" w:rsidRDefault="00C018C0" w:rsidP="00C018C0">
      <w:pPr>
        <w:pStyle w:val="Heading2"/>
        <w:bidi/>
        <w:rPr>
          <w:sz w:val="26"/>
          <w:szCs w:val="26"/>
        </w:rPr>
      </w:pPr>
      <w:r w:rsidRPr="00F13B91">
        <w:rPr>
          <w:rFonts w:hint="cs"/>
          <w:sz w:val="26"/>
          <w:szCs w:val="26"/>
          <w:rtl/>
        </w:rPr>
        <w:t>مشروعات التبريد والتهيئة التي تشمل استبدال المواد الهيدروفلوروكربونية. بغازات التبريد البديلة. ونظرا</w:t>
      </w:r>
      <w:r w:rsidRPr="00F13B91">
        <w:rPr>
          <w:rFonts w:hint="cs"/>
          <w:sz w:val="26"/>
          <w:szCs w:val="26"/>
          <w:rtl/>
          <w:lang w:bidi="ar-EG"/>
        </w:rPr>
        <w:t xml:space="preserve"> لضخامة الاحتياجات لتمويل هذه المشروعات، فسوف تمول من خلال الموارد الأخرى غير الصندوق المتعدد الأطراف ويمكن</w:t>
      </w:r>
      <w:r w:rsidRPr="00F13B91">
        <w:rPr>
          <w:rFonts w:hint="cs"/>
          <w:sz w:val="26"/>
          <w:szCs w:val="26"/>
          <w:rtl/>
        </w:rPr>
        <w:t xml:space="preserve"> أن يقتصر التمويل من الصندوق المتعدد الأطراف على الإرشاد بالمعلومات بشأن المشروعات الجيدة وبناء القدرات التقنية؛</w:t>
      </w:r>
    </w:p>
    <w:p w14:paraId="52409031" w14:textId="77777777" w:rsidR="00C018C0" w:rsidRPr="00F13B91" w:rsidRDefault="00C018C0" w:rsidP="00C018C0">
      <w:pPr>
        <w:pStyle w:val="Heading1"/>
        <w:bidi/>
        <w:rPr>
          <w:sz w:val="26"/>
          <w:szCs w:val="26"/>
        </w:rPr>
      </w:pPr>
      <w:r w:rsidRPr="00F13B91">
        <w:rPr>
          <w:rFonts w:hint="cs"/>
          <w:sz w:val="26"/>
          <w:szCs w:val="26"/>
          <w:rtl/>
        </w:rPr>
        <w:t>ونظرا لأن هذه الأنشطة المشار إليها أعلاه ترتبط بصورة مباشرة بخفض المواد الهيدروفلوروكربونية (مثل مشروعات الت</w:t>
      </w:r>
      <w:r w:rsidRPr="00F13B91">
        <w:rPr>
          <w:rFonts w:hint="cs"/>
          <w:sz w:val="26"/>
          <w:szCs w:val="26"/>
          <w:rtl/>
          <w:lang w:bidi="ar-EG"/>
        </w:rPr>
        <w:t>ح</w:t>
      </w:r>
      <w:r w:rsidRPr="00F13B91">
        <w:rPr>
          <w:rFonts w:hint="cs"/>
          <w:sz w:val="26"/>
          <w:szCs w:val="26"/>
          <w:rtl/>
        </w:rPr>
        <w:t>ويل في المنشئات الصناعية، وبناء القدرات في قطاع الخدمة والمؤسسات المعنية بالرصد والإبلاغ)، فإن التدخلات المتعلقة بقطاع الصناعة ومنشئات التجميع والتركيب في معدات التبريد وتكييف الهواء التجارية الضخمة، وقطاع الخدمة، والوضع والتعزيز في المستويات الدنيا لأداء الطاقة وغير ذلك من القياسات، يتعين إيلاء الأولوية للإرشاد بالتوعية والمعلومات وعمليات الرصد والتحقق والتنسيق المؤسسي مع السلطات المعنية بكفاءة استخدام الطاقة وبناء قدرات وحدات الأوزون الوطنية، فضلا عن توقيت تنفيذ هذه الأنشطة (مثل ما إذا كان يتعين أن يسبق أحدهما الآخر أو ينبغي تنفيذها جنبا الى جنب) وأن تستند الى تقييم لاحتياجات البلدان.</w:t>
      </w:r>
    </w:p>
    <w:p w14:paraId="11E88CBB" w14:textId="77777777" w:rsidR="00C018C0" w:rsidRPr="00F13B91" w:rsidRDefault="00C018C0" w:rsidP="00C018C0">
      <w:pPr>
        <w:pStyle w:val="Heading1"/>
        <w:bidi/>
        <w:rPr>
          <w:sz w:val="26"/>
          <w:szCs w:val="26"/>
        </w:rPr>
      </w:pPr>
      <w:bookmarkStart w:id="2" w:name="_Ref118393271"/>
      <w:r w:rsidRPr="00F13B91">
        <w:rPr>
          <w:rFonts w:hint="cs"/>
          <w:sz w:val="26"/>
          <w:szCs w:val="26"/>
          <w:rtl/>
        </w:rPr>
        <w:lastRenderedPageBreak/>
        <w:t>وينبغي القيام بالأنشطة المتعلقة بمستوى المستهلك الممولة للتطبيق المستدام لتكنولوجيا كفاءة استخدام الطاقة المعتمدة على غازات التبريد البديلة، على أساس مستمر مع ملاحظة أن مستوى الدعم التمويلي فضلا عن احتياجات الإرشاد القطرية وخبرات مؤسسات التمويل غير الصندوق المتعدد الأطراف في تصميم وتنفيذ هذه البرامج من خلال شبكاتها الوطنية وقد تحتاج هذه الأنشطة الى الدعم أساسا من الموارد المالية غير تلك المتوافرة لدى الصندوق المتعدد الأطراف.</w:t>
      </w:r>
    </w:p>
    <w:bookmarkEnd w:id="2"/>
    <w:p w14:paraId="216BAF1D" w14:textId="77777777" w:rsidR="00C018C0" w:rsidRPr="00F13B91" w:rsidRDefault="00C018C0" w:rsidP="00C018C0">
      <w:pPr>
        <w:keepNext/>
        <w:keepLines/>
        <w:bidi/>
        <w:ind w:left="720" w:hanging="720"/>
        <w:rPr>
          <w:b/>
          <w:bCs/>
          <w:sz w:val="26"/>
          <w:szCs w:val="26"/>
          <w:rtl/>
        </w:rPr>
      </w:pPr>
      <w:r w:rsidRPr="00F13B91">
        <w:rPr>
          <w:rFonts w:hint="cs"/>
          <w:b/>
          <w:bCs/>
          <w:sz w:val="26"/>
          <w:szCs w:val="26"/>
          <w:rtl/>
        </w:rPr>
        <w:t>خامسا</w:t>
      </w:r>
      <w:r w:rsidRPr="00F13B91">
        <w:rPr>
          <w:rFonts w:hint="cs"/>
          <w:b/>
          <w:bCs/>
          <w:sz w:val="26"/>
          <w:szCs w:val="26"/>
          <w:rtl/>
        </w:rPr>
        <w:tab/>
        <w:t>المعايير المتعلقة بالمشروعات للحفاظ و/أو تعزيز كفاءة استخدام الطاقة في سياق خفض المواد الهيدروفلوروكربونية</w:t>
      </w:r>
    </w:p>
    <w:p w14:paraId="3B29A275" w14:textId="77777777" w:rsidR="00C018C0" w:rsidRPr="00F13B91" w:rsidRDefault="00C018C0" w:rsidP="00C018C0">
      <w:pPr>
        <w:pStyle w:val="Heading1"/>
        <w:keepNext/>
        <w:numPr>
          <w:ilvl w:val="0"/>
          <w:numId w:val="0"/>
        </w:numPr>
        <w:bidi/>
        <w:ind w:left="720" w:hanging="720"/>
        <w:rPr>
          <w:sz w:val="26"/>
          <w:szCs w:val="26"/>
          <w:rtl/>
          <w:lang w:bidi="ar-EG"/>
        </w:rPr>
      </w:pPr>
    </w:p>
    <w:p w14:paraId="474A41D0" w14:textId="77777777" w:rsidR="00C018C0" w:rsidRPr="00F13B91" w:rsidRDefault="00C018C0" w:rsidP="00C018C0">
      <w:pPr>
        <w:pStyle w:val="Heading1"/>
        <w:bidi/>
        <w:rPr>
          <w:sz w:val="26"/>
          <w:szCs w:val="26"/>
        </w:rPr>
      </w:pPr>
      <w:r w:rsidRPr="00F13B91">
        <w:rPr>
          <w:rFonts w:hint="cs"/>
          <w:sz w:val="26"/>
          <w:szCs w:val="26"/>
          <w:rtl/>
        </w:rPr>
        <w:t xml:space="preserve">تقترح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معايير للمشروعات الرائدة للمحافظة و/أو تعزيز كفاءة استخدام الطاقة في حين تكون هذه الأنشطة قد صممت بصورة خاصة لإيلاء الأولوية للمشروعات الرائدة للأنشطة ذات الصلة بكفاءة استخدام الطاقة، فإن هذه العناصر شاملة ويمكن استخدامها في تحديد نوع الأنشطة/ المشروعات التي تحافظ و/أو تعزيز كفاءة استخدام الطاقة خلال خفض المواد الهيدروفلوروكربونية والتي يمكن نظرها تحت كلا الخيارين. وترد تلك فيمايلي:</w:t>
      </w:r>
    </w:p>
    <w:p w14:paraId="06CBA434" w14:textId="77777777" w:rsidR="00C018C0" w:rsidRPr="00F13B91" w:rsidRDefault="00C018C0" w:rsidP="00C018C0">
      <w:pPr>
        <w:pStyle w:val="Heading2"/>
        <w:bidi/>
        <w:rPr>
          <w:sz w:val="26"/>
          <w:szCs w:val="26"/>
          <w:lang w:eastAsia="en-CA"/>
        </w:rPr>
      </w:pPr>
      <w:r w:rsidRPr="00F13B91">
        <w:rPr>
          <w:rFonts w:hint="cs"/>
          <w:sz w:val="26"/>
          <w:szCs w:val="26"/>
          <w:rtl/>
          <w:lang w:eastAsia="en-CA"/>
        </w:rPr>
        <w:t>المشروعات التي تقدم في سياق خفض المواد الهيدروفلوروكربونية في قطاعات التصنيع والتجميع والتركيب والخدمة؛</w:t>
      </w:r>
      <w:r w:rsidRPr="00F13B91">
        <w:rPr>
          <w:sz w:val="26"/>
          <w:szCs w:val="26"/>
          <w:vertAlign w:val="superscript"/>
          <w:lang w:eastAsia="en-CA"/>
        </w:rPr>
        <w:footnoteReference w:id="21"/>
      </w:r>
    </w:p>
    <w:p w14:paraId="4D6717FC" w14:textId="77777777" w:rsidR="00C018C0" w:rsidRPr="00F13B91" w:rsidRDefault="00C018C0" w:rsidP="00C018C0">
      <w:pPr>
        <w:pStyle w:val="Heading2"/>
        <w:bidi/>
        <w:rPr>
          <w:sz w:val="26"/>
          <w:szCs w:val="26"/>
          <w:lang w:eastAsia="en-CA"/>
        </w:rPr>
      </w:pPr>
      <w:r w:rsidRPr="00F13B91">
        <w:rPr>
          <w:rFonts w:hint="cs"/>
          <w:sz w:val="26"/>
          <w:szCs w:val="26"/>
          <w:rtl/>
          <w:lang w:eastAsia="en-CA"/>
        </w:rPr>
        <w:t>المشروعات التي يمكن أن تتضمن معلومات من الحكومة المعنية بأن:</w:t>
      </w:r>
    </w:p>
    <w:p w14:paraId="07100820" w14:textId="77777777" w:rsidR="00C018C0" w:rsidRPr="00F13B91" w:rsidRDefault="00C018C0" w:rsidP="00C018C0">
      <w:pPr>
        <w:pStyle w:val="Heading3"/>
        <w:bidi/>
        <w:rPr>
          <w:sz w:val="26"/>
          <w:szCs w:val="26"/>
          <w:lang w:eastAsia="en-CA"/>
        </w:rPr>
      </w:pPr>
      <w:r w:rsidRPr="00F13B91">
        <w:rPr>
          <w:rFonts w:hint="cs"/>
          <w:sz w:val="26"/>
          <w:szCs w:val="26"/>
          <w:rtl/>
          <w:lang w:eastAsia="en-CA"/>
        </w:rPr>
        <w:t>البلد لديه المستويات الدنيا لأداء كفاءة استخدام الطاقة وآلية لرصد وتقييم تنفيذها للقطاع/ التطبيق المعني؛</w:t>
      </w:r>
    </w:p>
    <w:p w14:paraId="0D14647B" w14:textId="77777777" w:rsidR="00C018C0" w:rsidRPr="00F13B91" w:rsidRDefault="00C018C0" w:rsidP="00C018C0">
      <w:pPr>
        <w:pStyle w:val="Heading3"/>
        <w:bidi/>
        <w:rPr>
          <w:sz w:val="26"/>
          <w:szCs w:val="26"/>
          <w:lang w:eastAsia="en-CA"/>
        </w:rPr>
      </w:pPr>
      <w:r w:rsidRPr="00F13B91">
        <w:rPr>
          <w:rFonts w:hint="cs"/>
          <w:sz w:val="26"/>
          <w:szCs w:val="26"/>
          <w:rtl/>
          <w:lang w:eastAsia="en-CA"/>
        </w:rPr>
        <w:t>سوف تقوم وحدة الأوزون الوطنية بالتنسيق مع السلطات المعنية بكفاءة استخدام الطاقة لإدراج قدرات الاحترار العالمي لغازات التبريد في مستويات كفاءة استخدام الطاقة للقطاع وتحسين مستويات كفاءة استخدام الطاقة بصورة مستدامة فيما يتجاوز الإطار الزمني للمشروع في القطاعات/ التطبيقات ذات الصلة حيثما يكون ممكنا؛</w:t>
      </w:r>
    </w:p>
    <w:p w14:paraId="625F86A4" w14:textId="77777777" w:rsidR="00C018C0" w:rsidRPr="00F13B91" w:rsidRDefault="00C018C0" w:rsidP="00C018C0">
      <w:pPr>
        <w:pStyle w:val="Heading3"/>
        <w:bidi/>
        <w:rPr>
          <w:sz w:val="26"/>
          <w:szCs w:val="26"/>
          <w:lang w:eastAsia="en-CA"/>
        </w:rPr>
      </w:pPr>
      <w:r w:rsidRPr="00F13B91">
        <w:rPr>
          <w:rFonts w:hint="cs"/>
          <w:sz w:val="26"/>
          <w:szCs w:val="26"/>
          <w:rtl/>
          <w:lang w:eastAsia="en-CA"/>
        </w:rPr>
        <w:t>لن يسفر المشروع عن ازدواج الأنشطة الممولة من الصندوق المتعدد الأطراف مع تلك الممولة من موارد غير تلك الخاصة بالصندوق المتعدد الأطراف في حالة أن تحشد بلدان المادة 5 أو لا تحشد التمويل من موارد غير الصندوق المتعدد الأطراف لعناصر كفاءة استخدام الطاقة؛</w:t>
      </w:r>
    </w:p>
    <w:p w14:paraId="05BD381E" w14:textId="77777777" w:rsidR="00C018C0" w:rsidRPr="00F13B91" w:rsidRDefault="00C018C0" w:rsidP="00C018C0">
      <w:pPr>
        <w:pStyle w:val="Heading3"/>
        <w:bidi/>
        <w:rPr>
          <w:sz w:val="26"/>
          <w:szCs w:val="26"/>
          <w:lang w:eastAsia="en-CA"/>
        </w:rPr>
      </w:pPr>
      <w:r w:rsidRPr="00F13B91">
        <w:rPr>
          <w:rFonts w:hint="cs"/>
          <w:sz w:val="26"/>
          <w:szCs w:val="26"/>
          <w:rtl/>
          <w:lang w:eastAsia="en-CA"/>
        </w:rPr>
        <w:t>يمكن رصد آثار المشروع استنادا الى إطار للرصد والإبلاغ محدود بطريقة جيدة؛</w:t>
      </w:r>
      <w:r w:rsidRPr="00F13B91">
        <w:rPr>
          <w:rStyle w:val="FootnoteReference"/>
          <w:sz w:val="26"/>
          <w:szCs w:val="26"/>
          <w:lang w:eastAsia="en-CA"/>
        </w:rPr>
        <w:footnoteReference w:id="22"/>
      </w:r>
    </w:p>
    <w:p w14:paraId="471E9803" w14:textId="77777777" w:rsidR="00C018C0" w:rsidRPr="00F13B91" w:rsidRDefault="00C018C0" w:rsidP="00651DCB">
      <w:pPr>
        <w:pStyle w:val="Heading3"/>
        <w:keepNext/>
        <w:keepLines/>
        <w:bidi/>
        <w:rPr>
          <w:sz w:val="26"/>
          <w:szCs w:val="26"/>
          <w:lang w:eastAsia="en-CA"/>
        </w:rPr>
      </w:pPr>
      <w:r w:rsidRPr="00F13B91">
        <w:rPr>
          <w:rFonts w:hint="cs"/>
          <w:sz w:val="26"/>
          <w:szCs w:val="26"/>
          <w:rtl/>
          <w:lang w:eastAsia="en-CA"/>
        </w:rPr>
        <w:lastRenderedPageBreak/>
        <w:t>يكون للمشروع موعد انتهاء لا يتجاوز 36 شهرا من تاريخ الموافقة بواسطة اللجنة التنفيذية وتقرير مفصل للمشروع يقدم للجنة التنفيذية في غضون ستة أشهر من موعد انتهاء المشروع؛</w:t>
      </w:r>
    </w:p>
    <w:p w14:paraId="7BBA7F02" w14:textId="77777777" w:rsidR="00C018C0" w:rsidRPr="00F13B91" w:rsidRDefault="00C018C0" w:rsidP="00C018C0">
      <w:pPr>
        <w:pStyle w:val="Heading2"/>
        <w:bidi/>
        <w:rPr>
          <w:sz w:val="26"/>
          <w:szCs w:val="26"/>
          <w:lang w:eastAsia="en-CA"/>
        </w:rPr>
      </w:pPr>
      <w:r w:rsidRPr="00F13B91">
        <w:rPr>
          <w:rFonts w:hint="cs"/>
          <w:sz w:val="26"/>
          <w:szCs w:val="26"/>
          <w:rtl/>
          <w:lang w:eastAsia="en-CA"/>
        </w:rPr>
        <w:t>وبالنسبة للبلدان التي ليس لديها مستويات دنيا لأداء الطاقة، وتلك المشروعات التي سوف تسهم في وضع المستويات الدنيا لأداء الطاقة والأنشطة الأولية للتوعية وبناء القدرات للإنفاذ سوف تنظر، على أساس الفهم بأن هذه الظروف المشار إليها في الفقرات الفرعية (ب)(2) و(ب)5 أعلاه سوف تطبق؛</w:t>
      </w:r>
    </w:p>
    <w:p w14:paraId="3CA75A5A" w14:textId="77777777" w:rsidR="00C018C0" w:rsidRPr="00F13B91" w:rsidRDefault="00C018C0" w:rsidP="00C018C0">
      <w:pPr>
        <w:pStyle w:val="Heading1"/>
        <w:bidi/>
        <w:rPr>
          <w:sz w:val="26"/>
          <w:szCs w:val="26"/>
          <w:lang w:eastAsia="en-CA"/>
        </w:rPr>
      </w:pPr>
      <w:bookmarkStart w:id="3" w:name="_Ref118392921"/>
      <w:r w:rsidRPr="00F13B91">
        <w:rPr>
          <w:rFonts w:hint="cs"/>
          <w:sz w:val="26"/>
          <w:szCs w:val="26"/>
          <w:rtl/>
          <w:lang w:eastAsia="en-CA"/>
        </w:rPr>
        <w:t>وعلاوة على ذلك، يمكن تقييم المشروعات استنادا الى أدائها المتوقع وسوف تقدم الفقرات التالية عرضا عاما موجزا للمؤشرات الرئيسية لأداء المشروع التي سوف ينظر لتقييم أداء المشروع.</w:t>
      </w:r>
    </w:p>
    <w:bookmarkEnd w:id="3"/>
    <w:p w14:paraId="7B41F473" w14:textId="77777777" w:rsidR="00C018C0" w:rsidRPr="00F13B91" w:rsidRDefault="00C018C0" w:rsidP="00C018C0">
      <w:pPr>
        <w:pStyle w:val="Heading2"/>
        <w:numPr>
          <w:ilvl w:val="1"/>
          <w:numId w:val="34"/>
        </w:numPr>
        <w:tabs>
          <w:tab w:val="clear" w:pos="0"/>
          <w:tab w:val="num" w:pos="1800"/>
        </w:tabs>
        <w:bidi/>
        <w:ind w:left="1800" w:hanging="360"/>
        <w:rPr>
          <w:sz w:val="26"/>
          <w:szCs w:val="26"/>
          <w:lang w:eastAsia="en-CA"/>
        </w:rPr>
      </w:pPr>
      <w:r w:rsidRPr="00F13B91">
        <w:rPr>
          <w:rFonts w:hint="cs"/>
          <w:sz w:val="26"/>
          <w:szCs w:val="26"/>
          <w:rtl/>
          <w:lang w:eastAsia="en-CA"/>
        </w:rPr>
        <w:t>تحدد الأهداف مايلي:</w:t>
      </w:r>
    </w:p>
    <w:p w14:paraId="2C4BE41A" w14:textId="77777777" w:rsidR="00C018C0" w:rsidRPr="00F13B91" w:rsidRDefault="00C018C0" w:rsidP="00C018C0">
      <w:pPr>
        <w:pStyle w:val="Heading3"/>
        <w:bidi/>
        <w:rPr>
          <w:sz w:val="26"/>
          <w:szCs w:val="26"/>
          <w:lang w:eastAsia="en-CA"/>
        </w:rPr>
      </w:pPr>
      <w:r w:rsidRPr="00F13B91">
        <w:rPr>
          <w:rFonts w:hint="cs"/>
          <w:sz w:val="26"/>
          <w:szCs w:val="26"/>
          <w:rtl/>
          <w:lang w:eastAsia="en-CA"/>
        </w:rPr>
        <w:t>النسبة المئوية للزيادة في مستويات كفاءة استخدام الطاقة بالمقارنة بمستوى خط الأساس؛</w:t>
      </w:r>
    </w:p>
    <w:p w14:paraId="767A8AE4" w14:textId="77777777" w:rsidR="00C018C0" w:rsidRPr="00F13B91" w:rsidRDefault="00C018C0" w:rsidP="00C018C0">
      <w:pPr>
        <w:pStyle w:val="Heading3"/>
        <w:bidi/>
        <w:rPr>
          <w:sz w:val="26"/>
          <w:szCs w:val="26"/>
          <w:lang w:eastAsia="en-CA"/>
        </w:rPr>
      </w:pPr>
      <w:r w:rsidRPr="00F13B91">
        <w:rPr>
          <w:rFonts w:hint="cs"/>
          <w:sz w:val="26"/>
          <w:szCs w:val="26"/>
          <w:rtl/>
          <w:lang w:eastAsia="en-CA"/>
        </w:rPr>
        <w:t>تأثير خفض الاستهلاك الكلي للطاقة على الوات/ ساعة؛</w:t>
      </w:r>
    </w:p>
    <w:p w14:paraId="562F37AD" w14:textId="77777777" w:rsidR="00C018C0" w:rsidRPr="00F13B91" w:rsidRDefault="00C018C0" w:rsidP="00C018C0">
      <w:pPr>
        <w:pStyle w:val="Heading2"/>
        <w:numPr>
          <w:ilvl w:val="1"/>
          <w:numId w:val="34"/>
        </w:numPr>
        <w:tabs>
          <w:tab w:val="clear" w:pos="0"/>
          <w:tab w:val="num" w:pos="1800"/>
        </w:tabs>
        <w:bidi/>
        <w:ind w:left="1800" w:hanging="360"/>
        <w:rPr>
          <w:sz w:val="26"/>
          <w:szCs w:val="26"/>
          <w:lang w:eastAsia="en-CA"/>
        </w:rPr>
      </w:pPr>
      <w:r w:rsidRPr="00F13B91">
        <w:rPr>
          <w:rFonts w:hint="cs"/>
          <w:sz w:val="26"/>
          <w:szCs w:val="26"/>
          <w:rtl/>
          <w:lang w:eastAsia="en-CA"/>
        </w:rPr>
        <w:t>التكرار في القطاع/ التطبيق المعني في البلد و/أو ما وراء الحدود الجغرافية؛</w:t>
      </w:r>
    </w:p>
    <w:p w14:paraId="6C77C295" w14:textId="77777777" w:rsidR="00C018C0" w:rsidRPr="00F13B91" w:rsidRDefault="00C018C0" w:rsidP="00C018C0">
      <w:pPr>
        <w:pStyle w:val="Heading2"/>
        <w:numPr>
          <w:ilvl w:val="1"/>
          <w:numId w:val="34"/>
        </w:numPr>
        <w:tabs>
          <w:tab w:val="clear" w:pos="0"/>
          <w:tab w:val="num" w:pos="1800"/>
        </w:tabs>
        <w:bidi/>
        <w:ind w:left="1800" w:hanging="360"/>
        <w:rPr>
          <w:sz w:val="26"/>
          <w:szCs w:val="26"/>
          <w:lang w:eastAsia="en-CA"/>
        </w:rPr>
      </w:pPr>
      <w:r w:rsidRPr="00F13B91">
        <w:rPr>
          <w:rFonts w:hint="cs"/>
          <w:sz w:val="26"/>
          <w:szCs w:val="26"/>
          <w:rtl/>
          <w:lang w:eastAsia="en-CA"/>
        </w:rPr>
        <w:t>نسبة التمويل المطلوبة لتقديرات كيلووات/ ساعة من الطاقة التي تم اقتصادها (دولار أمريكي/ كيلووات/ ساعة)</w:t>
      </w:r>
    </w:p>
    <w:p w14:paraId="4970CD0F" w14:textId="77777777" w:rsidR="00C018C0" w:rsidRPr="00F13B91" w:rsidRDefault="00C018C0" w:rsidP="00C018C0">
      <w:pPr>
        <w:pStyle w:val="Heading1"/>
        <w:bidi/>
        <w:rPr>
          <w:sz w:val="26"/>
          <w:szCs w:val="26"/>
          <w:lang w:eastAsia="en-CA" w:bidi="ar-EG"/>
        </w:rPr>
      </w:pPr>
      <w:bookmarkStart w:id="4" w:name="_Ref118392938"/>
      <w:r w:rsidRPr="00F13B91">
        <w:rPr>
          <w:rFonts w:hint="cs"/>
          <w:sz w:val="26"/>
          <w:szCs w:val="26"/>
          <w:rtl/>
          <w:lang w:eastAsia="en-CA"/>
        </w:rPr>
        <w:t>ولاحظت الأمانة كذلك أن أثار التحسن في كفاءة استخدام الطاقة للأنشطة التي لا تتعلق بالتمويل في تصنيع و/أو التجميع والتركيب يتعذر تقديمها في العلاقة بين "السبب والأثر" التي يصعب تحديدها بسهولة. وتتضمن الفقرات 37 الى 39 أدناه مناقشات بشأن هذا الموضوع ولذا فإن هذه الأنشطة سوف تحتاج الى تقييم استنادا الى المعايير العريضة التي يتوقع أن تدفع الآثار</w:t>
      </w:r>
      <w:r w:rsidRPr="00F13B91">
        <w:rPr>
          <w:rFonts w:hint="cs"/>
          <w:sz w:val="26"/>
          <w:szCs w:val="26"/>
          <w:rtl/>
          <w:lang w:eastAsia="en-CA" w:bidi="ar-EG"/>
        </w:rPr>
        <w:t xml:space="preserve"> (مثل عدد الايجابيات المستخلصة في برامج التوعية، وعدد الفنيين الذين تم تدريبهم) والتقديرات المقدمة في أنشطة المشروع المحددة المقترحة ولاسيما كيفية هذا الدعم في تنفيذ التكنولوجيات المتعلقة بكفاءة استخدام الطاقة.</w:t>
      </w:r>
    </w:p>
    <w:bookmarkEnd w:id="4"/>
    <w:p w14:paraId="077786E7" w14:textId="77777777" w:rsidR="00C018C0" w:rsidRPr="00F13B91" w:rsidRDefault="00C018C0" w:rsidP="00C018C0">
      <w:pPr>
        <w:keepNext/>
        <w:keepLines/>
        <w:bidi/>
        <w:ind w:left="720" w:hanging="720"/>
        <w:rPr>
          <w:b/>
          <w:bCs/>
          <w:sz w:val="26"/>
          <w:szCs w:val="26"/>
          <w:rtl/>
        </w:rPr>
      </w:pPr>
      <w:r w:rsidRPr="00F13B91">
        <w:rPr>
          <w:rFonts w:hint="cs"/>
          <w:b/>
          <w:bCs/>
          <w:sz w:val="26"/>
          <w:szCs w:val="26"/>
          <w:rtl/>
        </w:rPr>
        <w:t>سادسا</w:t>
      </w:r>
      <w:r w:rsidRPr="00F13B91">
        <w:rPr>
          <w:rFonts w:hint="cs"/>
          <w:b/>
          <w:bCs/>
          <w:sz w:val="26"/>
          <w:szCs w:val="26"/>
          <w:rtl/>
        </w:rPr>
        <w:tab/>
        <w:t>رصد المشروعات وتقييم الآثار</w:t>
      </w:r>
    </w:p>
    <w:p w14:paraId="0F7F0637" w14:textId="77777777" w:rsidR="00C018C0" w:rsidRPr="00F13B91" w:rsidRDefault="00C018C0" w:rsidP="00C018C0">
      <w:pPr>
        <w:bidi/>
        <w:rPr>
          <w:b/>
          <w:bCs/>
          <w:sz w:val="26"/>
          <w:szCs w:val="26"/>
        </w:rPr>
      </w:pPr>
    </w:p>
    <w:p w14:paraId="171E2B99" w14:textId="77777777" w:rsidR="00C018C0" w:rsidRPr="00F13B91" w:rsidRDefault="00C018C0" w:rsidP="00C018C0">
      <w:pPr>
        <w:pStyle w:val="Heading1"/>
        <w:bidi/>
        <w:rPr>
          <w:sz w:val="26"/>
          <w:szCs w:val="26"/>
        </w:rPr>
      </w:pPr>
      <w:r w:rsidRPr="00F13B91">
        <w:rPr>
          <w:rFonts w:hint="cs"/>
          <w:sz w:val="26"/>
          <w:szCs w:val="26"/>
          <w:rtl/>
        </w:rPr>
        <w:t>تغطي عملية الرصد والتقييم للمشروعات المتعلقة بكفاءة استخدام الطاقة رصد التقدم التشغيلي والمالي الذي سيتبع عملية رصد المشروعات العادية مع تعديلات تتضمن المعايير المتعلقة بكفاءة استخدام الطاقة.</w:t>
      </w:r>
    </w:p>
    <w:p w14:paraId="7B7B4839" w14:textId="77777777" w:rsidR="00C018C0" w:rsidRPr="00F13B91" w:rsidRDefault="00C018C0" w:rsidP="00C018C0">
      <w:pPr>
        <w:pStyle w:val="Heading1"/>
        <w:bidi/>
        <w:rPr>
          <w:sz w:val="26"/>
          <w:szCs w:val="26"/>
        </w:rPr>
      </w:pPr>
      <w:r w:rsidRPr="00F13B91">
        <w:rPr>
          <w:rFonts w:hint="cs"/>
          <w:sz w:val="26"/>
          <w:szCs w:val="26"/>
          <w:rtl/>
        </w:rPr>
        <w:t>وسوف يتضمن رصد التقدم التشغيلي للمشروعات المتعلقة بكفاءة استخدام الطاقة مايلي بصورة عريضة:</w:t>
      </w:r>
    </w:p>
    <w:p w14:paraId="438EA306" w14:textId="77777777" w:rsidR="00C018C0" w:rsidRPr="00F13B91" w:rsidRDefault="00C018C0" w:rsidP="00C018C0">
      <w:pPr>
        <w:pStyle w:val="Heading2"/>
        <w:bidi/>
        <w:rPr>
          <w:sz w:val="26"/>
          <w:szCs w:val="26"/>
        </w:rPr>
      </w:pPr>
      <w:r w:rsidRPr="00F13B91">
        <w:rPr>
          <w:rFonts w:hint="cs"/>
          <w:sz w:val="26"/>
          <w:szCs w:val="26"/>
          <w:rtl/>
        </w:rPr>
        <w:t xml:space="preserve">حالة تنفيذ الأنشطة (مثل تنفيذ المشروعات التي تتضمن تغييرات في التكنولوجيا الى التكنولوجيا المعنية بكفاءة استخدام الطاقة وتنفيذ وتحديث القواعد الوطنية بشأن كفاءة استخدام الطاقة و/أو غيرها من القواعد التي تشمل أحكام تعديل كيجالي الملائمة </w:t>
      </w:r>
      <w:r w:rsidRPr="00F13B91">
        <w:rPr>
          <w:sz w:val="26"/>
          <w:szCs w:val="26"/>
          <w:lang w:val="en-US"/>
        </w:rPr>
        <w:t>]</w:t>
      </w:r>
      <w:r w:rsidRPr="00F13B91">
        <w:rPr>
          <w:rFonts w:hint="cs"/>
          <w:sz w:val="26"/>
          <w:szCs w:val="26"/>
          <w:rtl/>
          <w:lang w:val="en-US" w:bidi="ar-EG"/>
        </w:rPr>
        <w:t>الى أقصى حد ممكن</w:t>
      </w:r>
      <w:r w:rsidRPr="00F13B91">
        <w:rPr>
          <w:sz w:val="26"/>
          <w:szCs w:val="26"/>
          <w:lang w:val="en-US" w:bidi="ar-EG"/>
        </w:rPr>
        <w:t>[</w:t>
      </w:r>
      <w:r w:rsidRPr="00F13B91">
        <w:rPr>
          <w:rFonts w:hint="cs"/>
          <w:sz w:val="26"/>
          <w:szCs w:val="26"/>
          <w:rtl/>
          <w:lang w:val="en-US" w:bidi="ar-EG"/>
        </w:rPr>
        <w:t>)</w:t>
      </w:r>
    </w:p>
    <w:p w14:paraId="521101CF" w14:textId="77777777" w:rsidR="00C018C0" w:rsidRPr="00F13B91" w:rsidRDefault="00C018C0" w:rsidP="00651DCB">
      <w:pPr>
        <w:pStyle w:val="Heading2"/>
        <w:keepNext/>
        <w:keepLines/>
        <w:bidi/>
        <w:rPr>
          <w:sz w:val="26"/>
          <w:szCs w:val="26"/>
        </w:rPr>
      </w:pPr>
      <w:r w:rsidRPr="00F13B91">
        <w:rPr>
          <w:rFonts w:hint="cs"/>
          <w:sz w:val="26"/>
          <w:szCs w:val="26"/>
          <w:rtl/>
        </w:rPr>
        <w:lastRenderedPageBreak/>
        <w:t>آثار كفاءة استخدام الطاقة من حيث الطاقة بالكيلووات التي يجري توفيرها والانخفاضات في ثاني أكسيد الكربون استنادا الى أنصبة السوق من معدات التبريد وتكييف الهواء ومضخات التبادل الحراري التي يجري تصنيعها أو استيرادها في المستويات الدنيا لأداء الطاقة الجديدة مع مستوياتها السابقة.</w:t>
      </w:r>
      <w:r w:rsidRPr="00F13B91">
        <w:rPr>
          <w:rStyle w:val="FootnoteReference"/>
          <w:sz w:val="26"/>
          <w:szCs w:val="26"/>
        </w:rPr>
        <w:t xml:space="preserve"> </w:t>
      </w:r>
      <w:r w:rsidRPr="00F13B91">
        <w:rPr>
          <w:rStyle w:val="FootnoteReference"/>
          <w:sz w:val="26"/>
          <w:szCs w:val="26"/>
        </w:rPr>
        <w:footnoteReference w:id="23"/>
      </w:r>
    </w:p>
    <w:p w14:paraId="717F39DD" w14:textId="77777777" w:rsidR="00C018C0" w:rsidRPr="00F13B91" w:rsidRDefault="00C018C0" w:rsidP="00C018C0">
      <w:pPr>
        <w:pStyle w:val="ListParagraph"/>
        <w:keepNext/>
        <w:bidi/>
        <w:spacing w:line="240" w:lineRule="auto"/>
        <w:ind w:left="0"/>
        <w:rPr>
          <w:rFonts w:ascii="Times New Roman" w:hAnsi="Times New Roman" w:cs="Times New Roman"/>
          <w:sz w:val="26"/>
          <w:szCs w:val="26"/>
          <w:u w:val="single"/>
        </w:rPr>
      </w:pPr>
      <w:r w:rsidRPr="00F13B91">
        <w:rPr>
          <w:rFonts w:ascii="Times New Roman" w:hAnsi="Times New Roman" w:cs="Times New Roman" w:hint="cs"/>
          <w:sz w:val="26"/>
          <w:szCs w:val="26"/>
          <w:u w:val="single"/>
          <w:rtl/>
        </w:rPr>
        <w:t>تصنيع المعدات</w:t>
      </w:r>
    </w:p>
    <w:p w14:paraId="38DBC10E" w14:textId="77777777" w:rsidR="00C018C0" w:rsidRPr="00F13B91" w:rsidRDefault="00C018C0" w:rsidP="00C018C0">
      <w:pPr>
        <w:pStyle w:val="ListParagraph"/>
        <w:keepNext/>
        <w:bidi/>
        <w:spacing w:after="0" w:line="240" w:lineRule="auto"/>
        <w:ind w:left="0"/>
        <w:rPr>
          <w:rFonts w:ascii="Times New Roman" w:hAnsi="Times New Roman" w:cs="Times New Roman"/>
          <w:sz w:val="26"/>
          <w:szCs w:val="26"/>
          <w:u w:val="single"/>
        </w:rPr>
      </w:pPr>
    </w:p>
    <w:p w14:paraId="618A13F8" w14:textId="77777777" w:rsidR="00C018C0" w:rsidRPr="00F13B91" w:rsidRDefault="00C018C0" w:rsidP="00C018C0">
      <w:pPr>
        <w:pStyle w:val="Heading1"/>
        <w:bidi/>
        <w:rPr>
          <w:sz w:val="26"/>
          <w:szCs w:val="26"/>
        </w:rPr>
      </w:pPr>
      <w:bookmarkStart w:id="5" w:name="_Ref118392426"/>
      <w:r w:rsidRPr="00F13B91">
        <w:rPr>
          <w:rFonts w:hint="cs"/>
          <w:sz w:val="26"/>
          <w:szCs w:val="26"/>
          <w:rtl/>
        </w:rPr>
        <w:t>وفي حالة المشروعات في تصنيع المعدات، سوف تشمل التدخلات تحويل المعدات الى التكنولوجيات المعنية بكفاءة استخدام الطاقة (مثل التغير في المكثفات الى السرعات المختلفة من السرعة الثابتة وتبادلات الحرارة التي تتسم بالكفاءة المحسنة للطاقة والمراوح وغير ذلك من المعدات التي تتسم بكفاءة استخدام الطاقة والضوابط وغير ذلك من المكونات الخاصة بتشغيل النظام بكفاءة استخدام الطاقة) وسوف يسفر ذلك عن إنتاج النواتج التي تغطيها مشروعات التمويل وتسفر في نفس الوقت عن تحسن شامل في كفاءة استخدام الطاقة في حافظة المنتجات في المنشأة المست</w:t>
      </w:r>
      <w:r w:rsidRPr="00F13B91">
        <w:rPr>
          <w:rFonts w:hint="cs"/>
          <w:sz w:val="26"/>
          <w:szCs w:val="26"/>
          <w:rtl/>
          <w:lang w:bidi="ar-EG"/>
        </w:rPr>
        <w:t>فيدة. ويمكن تحديد أهداف كفاءة استخدام الطاقة عند مستوى عملي وممكن إلاّ أنه قد يحتاج الى مستويات جارية، وسوف يمثل ذلك المستوى الأدنى الذي يتعين تحقيقه بواسطة المشروعات التي سوف تنظر. واستنادا الى مستويات كفاءة استخدام الطاقة المستهلكة في الأسواق المختلفة (أي المحلية والمستوردة)، يمكن تقييم الوفورات بالكيلووات/ ساعة والانخفاض السنوي في ثاني أكسيد الكربون من خلال هذه المشروعات التي يمكن تقييمها.</w:t>
      </w:r>
    </w:p>
    <w:bookmarkEnd w:id="5"/>
    <w:p w14:paraId="092D01CA" w14:textId="77777777" w:rsidR="00C018C0" w:rsidRPr="00F13B91" w:rsidRDefault="00C018C0" w:rsidP="00C018C0">
      <w:pPr>
        <w:pStyle w:val="ListParagraph"/>
        <w:keepNext/>
        <w:bidi/>
        <w:spacing w:after="0" w:line="240" w:lineRule="auto"/>
        <w:ind w:left="0"/>
        <w:jc w:val="both"/>
        <w:rPr>
          <w:rFonts w:ascii="Times New Roman" w:hAnsi="Times New Roman" w:cs="Times New Roman"/>
          <w:sz w:val="26"/>
          <w:szCs w:val="26"/>
          <w:u w:val="single"/>
          <w:rtl/>
          <w:lang w:bidi="ar-EG"/>
        </w:rPr>
      </w:pPr>
      <w:r w:rsidRPr="00F13B91">
        <w:rPr>
          <w:rFonts w:ascii="Times New Roman" w:hAnsi="Times New Roman" w:cs="Times New Roman" w:hint="cs"/>
          <w:sz w:val="26"/>
          <w:szCs w:val="26"/>
          <w:u w:val="single"/>
          <w:rtl/>
          <w:lang w:bidi="ar-EG"/>
        </w:rPr>
        <w:t>المشروعات التي لا تتعلق بالتصنيع و/أو التحويل</w:t>
      </w:r>
    </w:p>
    <w:p w14:paraId="1EAA5D0E" w14:textId="77777777" w:rsidR="00C018C0" w:rsidRPr="00F13B91" w:rsidRDefault="00C018C0" w:rsidP="00C018C0">
      <w:pPr>
        <w:pStyle w:val="ListParagraph"/>
        <w:keepNext/>
        <w:bidi/>
        <w:spacing w:after="0" w:line="240" w:lineRule="auto"/>
        <w:ind w:left="0"/>
        <w:jc w:val="both"/>
        <w:rPr>
          <w:rFonts w:ascii="Times New Roman" w:hAnsi="Times New Roman" w:cs="Times New Roman"/>
          <w:sz w:val="26"/>
          <w:szCs w:val="26"/>
          <w:rtl/>
          <w:lang w:bidi="ar-EG"/>
        </w:rPr>
      </w:pPr>
    </w:p>
    <w:p w14:paraId="08C09E2F" w14:textId="77777777" w:rsidR="00C018C0" w:rsidRPr="00F13B91" w:rsidRDefault="00C018C0" w:rsidP="00C018C0">
      <w:pPr>
        <w:pStyle w:val="Heading1"/>
        <w:keepNext/>
        <w:bidi/>
        <w:rPr>
          <w:sz w:val="26"/>
          <w:szCs w:val="26"/>
        </w:rPr>
      </w:pPr>
      <w:r w:rsidRPr="00F13B91">
        <w:rPr>
          <w:rFonts w:hint="cs"/>
          <w:sz w:val="26"/>
          <w:szCs w:val="26"/>
          <w:rtl/>
        </w:rPr>
        <w:t>في حالة المشروعات التي لا تتعلق بصورة مباشرة بالتحويل (مثل إرشادات التوعية والمعلومات بشأن تكنولوجيا كفاءة استخدام الطاقة، وبناء القدرات لمختلف أصحاب المصلحة والارتقاء بالتدريب واعتماد الفنيين لإدراج عناصر كفاءة استخدام الطاقة، ودعم المعدات وبناء قدرات مؤسسات التدريب). ويمكن أن يشكل قياس آثار هذه الأنشطة الى تحسين كفاءة استخدام الطاقة مشكلة.</w:t>
      </w:r>
      <w:r w:rsidRPr="00F13B91">
        <w:rPr>
          <w:rStyle w:val="FootnoteReference"/>
          <w:sz w:val="26"/>
          <w:szCs w:val="26"/>
        </w:rPr>
        <w:t xml:space="preserve"> </w:t>
      </w:r>
      <w:r w:rsidRPr="00F13B91">
        <w:rPr>
          <w:rStyle w:val="FootnoteReference"/>
          <w:sz w:val="26"/>
          <w:szCs w:val="26"/>
        </w:rPr>
        <w:footnoteReference w:id="24"/>
      </w:r>
      <w:r w:rsidRPr="00F13B91">
        <w:rPr>
          <w:rFonts w:hint="cs"/>
          <w:sz w:val="26"/>
          <w:szCs w:val="26"/>
          <w:rtl/>
        </w:rPr>
        <w:t xml:space="preserve"> ويقدم الجدول 2 عرضا عاما للأنشطة المحتملة التي يمكن نظرها للمحافظة و/أو تعزيز كفاءة استخدام الطاقة خلال خفض المواد الهيدروفلوروكربونية، ومؤشرات النشاط والملاحظات بشأن الكيفية التي يمكن بها قياس الآثار.</w:t>
      </w:r>
    </w:p>
    <w:p w14:paraId="6081181C" w14:textId="77777777" w:rsidR="00C018C0" w:rsidRPr="00252675" w:rsidRDefault="00C018C0" w:rsidP="00C018C0">
      <w:pPr>
        <w:bidi/>
        <w:rPr>
          <w:b/>
          <w:bCs/>
          <w:rtl/>
          <w:lang w:bidi="ar-EG"/>
        </w:rPr>
      </w:pPr>
      <w:r>
        <w:rPr>
          <w:rFonts w:hint="cs"/>
          <w:b/>
          <w:bCs/>
          <w:rtl/>
          <w:lang w:bidi="ar-EG"/>
        </w:rPr>
        <w:t>الجدول 2: الأنشطة والمؤشرات للمشروعات التي لا تتعلق بالتحويل في التصنيع و/أو التجميع والتركيب</w:t>
      </w:r>
    </w:p>
    <w:tbl>
      <w:tblPr>
        <w:tblStyle w:val="TableGrid"/>
        <w:bidiVisual/>
        <w:tblW w:w="9535" w:type="dxa"/>
        <w:tblLayout w:type="fixed"/>
        <w:tblLook w:val="06A0" w:firstRow="1" w:lastRow="0" w:firstColumn="1" w:lastColumn="0" w:noHBand="1" w:noVBand="1"/>
      </w:tblPr>
      <w:tblGrid>
        <w:gridCol w:w="2065"/>
        <w:gridCol w:w="2703"/>
        <w:gridCol w:w="4767"/>
      </w:tblGrid>
      <w:tr w:rsidR="00C018C0" w:rsidRPr="005857E2" w14:paraId="2BF5D46B" w14:textId="77777777" w:rsidTr="00A17DF9">
        <w:trPr>
          <w:tblHeader/>
        </w:trPr>
        <w:tc>
          <w:tcPr>
            <w:tcW w:w="2065" w:type="dxa"/>
            <w:tcMar>
              <w:left w:w="72" w:type="dxa"/>
              <w:right w:w="72" w:type="dxa"/>
            </w:tcMar>
          </w:tcPr>
          <w:p w14:paraId="5386DC5D" w14:textId="77777777" w:rsidR="00C018C0" w:rsidRDefault="00C018C0" w:rsidP="00A17DF9">
            <w:pPr>
              <w:bidi/>
              <w:jc w:val="center"/>
              <w:rPr>
                <w:b/>
                <w:bCs/>
                <w:sz w:val="20"/>
                <w:szCs w:val="20"/>
                <w:rtl/>
              </w:rPr>
            </w:pPr>
          </w:p>
          <w:p w14:paraId="77C0AEBA" w14:textId="77777777" w:rsidR="00C018C0" w:rsidRDefault="00C018C0" w:rsidP="00A17DF9">
            <w:pPr>
              <w:bidi/>
              <w:jc w:val="center"/>
              <w:rPr>
                <w:b/>
                <w:bCs/>
                <w:sz w:val="20"/>
                <w:szCs w:val="20"/>
                <w:rtl/>
              </w:rPr>
            </w:pPr>
            <w:r>
              <w:rPr>
                <w:rFonts w:hint="cs"/>
                <w:b/>
                <w:bCs/>
                <w:sz w:val="20"/>
                <w:szCs w:val="20"/>
                <w:rtl/>
              </w:rPr>
              <w:t>المادة</w:t>
            </w:r>
          </w:p>
          <w:p w14:paraId="35FC18B2" w14:textId="77777777" w:rsidR="00C018C0" w:rsidRPr="005857E2" w:rsidRDefault="00C018C0" w:rsidP="00A17DF9">
            <w:pPr>
              <w:bidi/>
              <w:jc w:val="center"/>
              <w:rPr>
                <w:b/>
                <w:bCs/>
                <w:sz w:val="20"/>
                <w:szCs w:val="20"/>
              </w:rPr>
            </w:pPr>
          </w:p>
        </w:tc>
        <w:tc>
          <w:tcPr>
            <w:tcW w:w="2703" w:type="dxa"/>
            <w:tcMar>
              <w:left w:w="72" w:type="dxa"/>
              <w:right w:w="72" w:type="dxa"/>
            </w:tcMar>
          </w:tcPr>
          <w:p w14:paraId="234C39B6" w14:textId="77777777" w:rsidR="00C018C0" w:rsidRDefault="00C018C0" w:rsidP="00A17DF9">
            <w:pPr>
              <w:bidi/>
              <w:jc w:val="center"/>
              <w:rPr>
                <w:b/>
                <w:bCs/>
                <w:sz w:val="20"/>
                <w:szCs w:val="20"/>
                <w:rtl/>
              </w:rPr>
            </w:pPr>
          </w:p>
          <w:p w14:paraId="3E4EB4D0" w14:textId="77777777" w:rsidR="00C018C0" w:rsidRPr="005857E2" w:rsidRDefault="00C018C0" w:rsidP="00A17DF9">
            <w:pPr>
              <w:bidi/>
              <w:jc w:val="center"/>
              <w:rPr>
                <w:b/>
                <w:bCs/>
                <w:sz w:val="20"/>
                <w:szCs w:val="20"/>
              </w:rPr>
            </w:pPr>
            <w:r>
              <w:rPr>
                <w:rFonts w:hint="cs"/>
                <w:b/>
                <w:bCs/>
                <w:sz w:val="20"/>
                <w:szCs w:val="20"/>
                <w:rtl/>
              </w:rPr>
              <w:t>مؤشرات مستوى النشاط</w:t>
            </w:r>
          </w:p>
        </w:tc>
        <w:tc>
          <w:tcPr>
            <w:tcW w:w="4767" w:type="dxa"/>
            <w:tcMar>
              <w:left w:w="72" w:type="dxa"/>
              <w:right w:w="72" w:type="dxa"/>
            </w:tcMar>
          </w:tcPr>
          <w:p w14:paraId="6C7B6427" w14:textId="77777777" w:rsidR="00C018C0" w:rsidRDefault="00C018C0" w:rsidP="00A17DF9">
            <w:pPr>
              <w:bidi/>
              <w:jc w:val="center"/>
              <w:rPr>
                <w:b/>
                <w:bCs/>
                <w:sz w:val="20"/>
                <w:szCs w:val="20"/>
                <w:rtl/>
              </w:rPr>
            </w:pPr>
            <w:r>
              <w:rPr>
                <w:rFonts w:hint="cs"/>
                <w:b/>
                <w:bCs/>
                <w:sz w:val="20"/>
                <w:szCs w:val="20"/>
                <w:rtl/>
              </w:rPr>
              <w:t>ا</w:t>
            </w:r>
          </w:p>
          <w:p w14:paraId="54BE2F24" w14:textId="77777777" w:rsidR="00C018C0" w:rsidRDefault="00C018C0" w:rsidP="00A17DF9">
            <w:pPr>
              <w:bidi/>
              <w:jc w:val="center"/>
              <w:rPr>
                <w:b/>
                <w:bCs/>
                <w:sz w:val="20"/>
                <w:szCs w:val="20"/>
                <w:rtl/>
              </w:rPr>
            </w:pPr>
            <w:r>
              <w:rPr>
                <w:rFonts w:hint="cs"/>
                <w:b/>
                <w:bCs/>
                <w:sz w:val="20"/>
                <w:szCs w:val="20"/>
                <w:rtl/>
              </w:rPr>
              <w:t>لملاحظات على قياس الآثار</w:t>
            </w:r>
          </w:p>
          <w:p w14:paraId="1F236567" w14:textId="77777777" w:rsidR="00C018C0" w:rsidRPr="005857E2" w:rsidRDefault="00C018C0" w:rsidP="00A17DF9">
            <w:pPr>
              <w:bidi/>
              <w:jc w:val="center"/>
              <w:rPr>
                <w:b/>
                <w:bCs/>
                <w:sz w:val="20"/>
                <w:szCs w:val="20"/>
              </w:rPr>
            </w:pPr>
          </w:p>
        </w:tc>
      </w:tr>
      <w:tr w:rsidR="00C018C0" w:rsidRPr="005857E2" w14:paraId="3D02003A" w14:textId="77777777" w:rsidTr="00A17DF9">
        <w:tc>
          <w:tcPr>
            <w:tcW w:w="2065" w:type="dxa"/>
            <w:tcMar>
              <w:left w:w="72" w:type="dxa"/>
              <w:right w:w="72" w:type="dxa"/>
            </w:tcMar>
          </w:tcPr>
          <w:p w14:paraId="10E2E8F6" w14:textId="77777777" w:rsidR="00C018C0" w:rsidRPr="005857E2" w:rsidRDefault="00C018C0" w:rsidP="00A17DF9">
            <w:pPr>
              <w:bidi/>
              <w:jc w:val="left"/>
              <w:rPr>
                <w:sz w:val="20"/>
                <w:szCs w:val="20"/>
              </w:rPr>
            </w:pPr>
            <w:r>
              <w:rPr>
                <w:rFonts w:hint="cs"/>
                <w:sz w:val="20"/>
                <w:szCs w:val="20"/>
                <w:rtl/>
              </w:rPr>
              <w:t>الإرشاد بالتوعية والمعلومات</w:t>
            </w:r>
          </w:p>
        </w:tc>
        <w:tc>
          <w:tcPr>
            <w:tcW w:w="2703" w:type="dxa"/>
            <w:tcMar>
              <w:left w:w="72" w:type="dxa"/>
              <w:right w:w="72" w:type="dxa"/>
            </w:tcMar>
          </w:tcPr>
          <w:p w14:paraId="6C0FE1E8" w14:textId="77777777" w:rsidR="00C018C0" w:rsidRPr="005857E2" w:rsidRDefault="00C018C0" w:rsidP="00A17DF9">
            <w:pPr>
              <w:bidi/>
              <w:jc w:val="left"/>
              <w:rPr>
                <w:sz w:val="20"/>
                <w:szCs w:val="20"/>
                <w:rtl/>
              </w:rPr>
            </w:pPr>
            <w:r>
              <w:rPr>
                <w:rFonts w:hint="cs"/>
                <w:sz w:val="20"/>
                <w:szCs w:val="20"/>
                <w:rtl/>
              </w:rPr>
              <w:t>حجم الأنشطة بمجموعات ولم يتم التوصل الى ردود الآثار ولم تعقد برامج وغير ذلك</w:t>
            </w:r>
          </w:p>
        </w:tc>
        <w:tc>
          <w:tcPr>
            <w:tcW w:w="4767" w:type="dxa"/>
            <w:tcMar>
              <w:left w:w="72" w:type="dxa"/>
              <w:right w:w="72" w:type="dxa"/>
            </w:tcMar>
          </w:tcPr>
          <w:p w14:paraId="385A787E" w14:textId="77777777" w:rsidR="00C018C0" w:rsidRDefault="00C018C0" w:rsidP="00A17DF9">
            <w:pPr>
              <w:bidi/>
              <w:jc w:val="left"/>
              <w:rPr>
                <w:sz w:val="20"/>
                <w:szCs w:val="20"/>
                <w:rtl/>
                <w:lang w:bidi="ar-EG"/>
              </w:rPr>
            </w:pPr>
            <w:r>
              <w:rPr>
                <w:rFonts w:hint="cs"/>
                <w:sz w:val="20"/>
                <w:szCs w:val="20"/>
                <w:rtl/>
                <w:lang w:bidi="ar-EG"/>
              </w:rPr>
              <w:t>من المتعذر قياس الآثار المباشرة المرتبطة بالأنشطة المعنية التي تنفذ بموجب البرنامج والمدى الذي يمكن أن يصل إليه الإرشاد بالتوعية والمعلومات في تغيير سلوك المستهلكين والترويج لاعتماد المعدات المعتمدة على غازات التبريد البديلة التي تتسم بكفاءة استخدام الطاقة</w:t>
            </w:r>
          </w:p>
          <w:p w14:paraId="01CD5351" w14:textId="77777777" w:rsidR="00C018C0" w:rsidRPr="005857E2" w:rsidRDefault="00C018C0" w:rsidP="00A17DF9">
            <w:pPr>
              <w:bidi/>
              <w:jc w:val="left"/>
              <w:rPr>
                <w:sz w:val="20"/>
                <w:szCs w:val="20"/>
                <w:rtl/>
                <w:lang w:bidi="ar-EG"/>
              </w:rPr>
            </w:pPr>
          </w:p>
        </w:tc>
      </w:tr>
      <w:tr w:rsidR="00C018C0" w:rsidRPr="005857E2" w14:paraId="41920736" w14:textId="77777777" w:rsidTr="00A17DF9">
        <w:tc>
          <w:tcPr>
            <w:tcW w:w="2065" w:type="dxa"/>
            <w:tcMar>
              <w:left w:w="72" w:type="dxa"/>
              <w:right w:w="72" w:type="dxa"/>
            </w:tcMar>
          </w:tcPr>
          <w:p w14:paraId="10CF7496" w14:textId="77777777" w:rsidR="00C018C0" w:rsidRPr="005E43FC" w:rsidRDefault="00C018C0" w:rsidP="00A17DF9">
            <w:pPr>
              <w:bidi/>
              <w:jc w:val="left"/>
              <w:rPr>
                <w:sz w:val="20"/>
                <w:szCs w:val="20"/>
                <w:highlight w:val="yellow"/>
              </w:rPr>
            </w:pPr>
            <w:r>
              <w:rPr>
                <w:rFonts w:hint="cs"/>
                <w:sz w:val="20"/>
                <w:szCs w:val="20"/>
                <w:rtl/>
              </w:rPr>
              <w:t>وضع المستويات الدنيا لأداء الطاقة</w:t>
            </w:r>
          </w:p>
        </w:tc>
        <w:tc>
          <w:tcPr>
            <w:tcW w:w="2703" w:type="dxa"/>
            <w:tcMar>
              <w:left w:w="72" w:type="dxa"/>
              <w:right w:w="72" w:type="dxa"/>
            </w:tcMar>
          </w:tcPr>
          <w:p w14:paraId="01B85BDD" w14:textId="77777777" w:rsidR="00C018C0" w:rsidRPr="005857E2" w:rsidRDefault="00C018C0" w:rsidP="00A17DF9">
            <w:pPr>
              <w:bidi/>
              <w:jc w:val="left"/>
              <w:rPr>
                <w:sz w:val="20"/>
                <w:szCs w:val="20"/>
              </w:rPr>
            </w:pPr>
            <w:r>
              <w:rPr>
                <w:rFonts w:hint="cs"/>
                <w:sz w:val="20"/>
                <w:szCs w:val="20"/>
                <w:rtl/>
              </w:rPr>
              <w:t>وضع وتنفيذ المعايير والمحدثات في المستويات</w:t>
            </w:r>
          </w:p>
        </w:tc>
        <w:tc>
          <w:tcPr>
            <w:tcW w:w="4767" w:type="dxa"/>
            <w:tcMar>
              <w:left w:w="72" w:type="dxa"/>
              <w:right w:w="72" w:type="dxa"/>
            </w:tcMar>
          </w:tcPr>
          <w:p w14:paraId="18A8D7B3" w14:textId="77777777" w:rsidR="00C018C0" w:rsidRDefault="00C018C0" w:rsidP="00A17DF9">
            <w:pPr>
              <w:bidi/>
              <w:jc w:val="left"/>
              <w:rPr>
                <w:sz w:val="20"/>
                <w:szCs w:val="20"/>
                <w:rtl/>
                <w:lang w:bidi="ar-EG"/>
              </w:rPr>
            </w:pPr>
            <w:r>
              <w:rPr>
                <w:rFonts w:hint="cs"/>
                <w:sz w:val="20"/>
                <w:szCs w:val="20"/>
                <w:rtl/>
                <w:lang w:bidi="ar-EG"/>
              </w:rPr>
              <w:t>تؤدي نتائج التحسينات في المستويات الدنيا لأداء الطاقة (بالمتحفظ) الى تحسين شامل في أداء حافظة المنتجات، ويمكن القياس بشرط توافر البيانات عن الإمداد والاستخدام للمعدات بأداء أفضل لكفاءة استخدام الطاقة في السوق</w:t>
            </w:r>
          </w:p>
          <w:p w14:paraId="20679A2A" w14:textId="77777777" w:rsidR="00C018C0" w:rsidRPr="005857E2" w:rsidRDefault="00C018C0" w:rsidP="00A17DF9">
            <w:pPr>
              <w:bidi/>
              <w:jc w:val="left"/>
              <w:rPr>
                <w:sz w:val="20"/>
                <w:szCs w:val="20"/>
                <w:rtl/>
                <w:lang w:bidi="ar-EG"/>
              </w:rPr>
            </w:pPr>
          </w:p>
        </w:tc>
      </w:tr>
      <w:tr w:rsidR="00C018C0" w:rsidRPr="005857E2" w14:paraId="71E04AFB" w14:textId="77777777" w:rsidTr="00A17DF9">
        <w:tc>
          <w:tcPr>
            <w:tcW w:w="2065" w:type="dxa"/>
            <w:tcMar>
              <w:left w:w="72" w:type="dxa"/>
              <w:right w:w="72" w:type="dxa"/>
            </w:tcMar>
          </w:tcPr>
          <w:p w14:paraId="1A2B872C" w14:textId="77777777" w:rsidR="00C018C0" w:rsidRPr="005857E2" w:rsidRDefault="00C018C0" w:rsidP="00A17DF9">
            <w:pPr>
              <w:bidi/>
              <w:jc w:val="left"/>
              <w:rPr>
                <w:sz w:val="20"/>
                <w:szCs w:val="20"/>
              </w:rPr>
            </w:pPr>
            <w:r>
              <w:rPr>
                <w:rFonts w:hint="cs"/>
                <w:sz w:val="20"/>
                <w:szCs w:val="20"/>
                <w:rtl/>
              </w:rPr>
              <w:lastRenderedPageBreak/>
              <w:t>برامج التوسيم</w:t>
            </w:r>
          </w:p>
        </w:tc>
        <w:tc>
          <w:tcPr>
            <w:tcW w:w="2703" w:type="dxa"/>
            <w:tcMar>
              <w:left w:w="72" w:type="dxa"/>
              <w:right w:w="72" w:type="dxa"/>
            </w:tcMar>
          </w:tcPr>
          <w:p w14:paraId="12ED73AF" w14:textId="77777777" w:rsidR="00C018C0" w:rsidRPr="005857E2" w:rsidRDefault="00C018C0" w:rsidP="00A17DF9">
            <w:pPr>
              <w:bidi/>
              <w:jc w:val="left"/>
              <w:rPr>
                <w:sz w:val="20"/>
                <w:szCs w:val="20"/>
              </w:rPr>
            </w:pPr>
            <w:r>
              <w:rPr>
                <w:rFonts w:hint="cs"/>
                <w:sz w:val="20"/>
                <w:szCs w:val="20"/>
                <w:rtl/>
              </w:rPr>
              <w:t>وضع وإنفاذ برامج التوسيم</w:t>
            </w:r>
          </w:p>
        </w:tc>
        <w:tc>
          <w:tcPr>
            <w:tcW w:w="4767" w:type="dxa"/>
            <w:tcMar>
              <w:left w:w="72" w:type="dxa"/>
              <w:right w:w="72" w:type="dxa"/>
            </w:tcMar>
          </w:tcPr>
          <w:p w14:paraId="3A7BCC1A" w14:textId="77777777" w:rsidR="00C018C0" w:rsidRDefault="00C018C0" w:rsidP="00A17DF9">
            <w:pPr>
              <w:bidi/>
              <w:jc w:val="left"/>
              <w:rPr>
                <w:sz w:val="20"/>
                <w:szCs w:val="20"/>
                <w:rtl/>
                <w:lang w:bidi="ar-EG"/>
              </w:rPr>
            </w:pPr>
            <w:r>
              <w:rPr>
                <w:rFonts w:hint="cs"/>
                <w:sz w:val="20"/>
                <w:szCs w:val="20"/>
                <w:rtl/>
                <w:lang w:bidi="ar-EG"/>
              </w:rPr>
              <w:t>من المتعذر قياس الآثار المباشرة- المرتبطة بالمدى الذي تصل إليه برامج التوسيم في تغيير سلوك المستهلكين والترويج لتطبيق المعدات المعتمدة على غازات التبريد البديلة التي تتسم بكفاءة استخدام الطاقة.</w:t>
            </w:r>
          </w:p>
          <w:p w14:paraId="3A51DEE2" w14:textId="77777777" w:rsidR="00C018C0" w:rsidRPr="005857E2" w:rsidRDefault="00C018C0" w:rsidP="00A17DF9">
            <w:pPr>
              <w:bidi/>
              <w:jc w:val="left"/>
              <w:rPr>
                <w:sz w:val="20"/>
                <w:szCs w:val="20"/>
                <w:rtl/>
                <w:lang w:bidi="ar-EG"/>
              </w:rPr>
            </w:pPr>
          </w:p>
        </w:tc>
      </w:tr>
      <w:tr w:rsidR="00C018C0" w:rsidRPr="005857E2" w14:paraId="101A19FF" w14:textId="77777777" w:rsidTr="00A17DF9">
        <w:tc>
          <w:tcPr>
            <w:tcW w:w="2065" w:type="dxa"/>
            <w:tcMar>
              <w:left w:w="72" w:type="dxa"/>
              <w:right w:w="72" w:type="dxa"/>
            </w:tcMar>
          </w:tcPr>
          <w:p w14:paraId="44A978F1" w14:textId="77777777" w:rsidR="00C018C0" w:rsidRPr="005857E2" w:rsidRDefault="00C018C0" w:rsidP="00A17DF9">
            <w:pPr>
              <w:bidi/>
              <w:jc w:val="left"/>
              <w:rPr>
                <w:sz w:val="20"/>
                <w:szCs w:val="20"/>
              </w:rPr>
            </w:pPr>
            <w:r>
              <w:rPr>
                <w:rFonts w:hint="cs"/>
                <w:sz w:val="20"/>
                <w:szCs w:val="20"/>
                <w:rtl/>
              </w:rPr>
              <w:t>تحديث برامج التدريب واعتماد الفنيين</w:t>
            </w:r>
          </w:p>
        </w:tc>
        <w:tc>
          <w:tcPr>
            <w:tcW w:w="2703" w:type="dxa"/>
            <w:tcMar>
              <w:left w:w="72" w:type="dxa"/>
              <w:right w:w="72" w:type="dxa"/>
            </w:tcMar>
          </w:tcPr>
          <w:p w14:paraId="349195D6" w14:textId="77777777" w:rsidR="00C018C0" w:rsidRPr="005857E2" w:rsidRDefault="00C018C0" w:rsidP="00A17DF9">
            <w:pPr>
              <w:bidi/>
              <w:jc w:val="left"/>
              <w:rPr>
                <w:sz w:val="20"/>
                <w:szCs w:val="20"/>
              </w:rPr>
            </w:pPr>
            <w:r>
              <w:rPr>
                <w:rFonts w:hint="cs"/>
                <w:sz w:val="20"/>
                <w:szCs w:val="20"/>
                <w:rtl/>
              </w:rPr>
              <w:t>لم يتم تحديث أو ترقية أي برامج</w:t>
            </w:r>
          </w:p>
        </w:tc>
        <w:tc>
          <w:tcPr>
            <w:tcW w:w="4767" w:type="dxa"/>
            <w:tcMar>
              <w:left w:w="72" w:type="dxa"/>
              <w:right w:w="72" w:type="dxa"/>
            </w:tcMar>
          </w:tcPr>
          <w:p w14:paraId="502DF5E1" w14:textId="77777777" w:rsidR="00C018C0" w:rsidRDefault="00C018C0" w:rsidP="00A17DF9">
            <w:pPr>
              <w:bidi/>
              <w:jc w:val="left"/>
              <w:rPr>
                <w:sz w:val="20"/>
                <w:szCs w:val="20"/>
                <w:rtl/>
                <w:lang w:bidi="ar-EG"/>
              </w:rPr>
            </w:pPr>
            <w:r>
              <w:rPr>
                <w:rFonts w:hint="cs"/>
                <w:sz w:val="20"/>
                <w:szCs w:val="20"/>
                <w:rtl/>
                <w:lang w:bidi="ar-EG"/>
              </w:rPr>
              <w:t>من المتعذر القياس المرتبط بالمدى الذي يصل إليه تدريب الفنيين في تركيب والمحافظة ومعدات الخدمة لضمان أنها تعمل بكفاءة</w:t>
            </w:r>
          </w:p>
          <w:p w14:paraId="0E3E88FD" w14:textId="77777777" w:rsidR="00C018C0" w:rsidRPr="005857E2" w:rsidRDefault="00C018C0" w:rsidP="00A17DF9">
            <w:pPr>
              <w:bidi/>
              <w:jc w:val="left"/>
              <w:rPr>
                <w:sz w:val="20"/>
                <w:szCs w:val="20"/>
                <w:rtl/>
                <w:lang w:bidi="ar-EG"/>
              </w:rPr>
            </w:pPr>
          </w:p>
        </w:tc>
      </w:tr>
      <w:tr w:rsidR="00C018C0" w:rsidRPr="005857E2" w14:paraId="738B84ED" w14:textId="77777777" w:rsidTr="00A17DF9">
        <w:tc>
          <w:tcPr>
            <w:tcW w:w="2065" w:type="dxa"/>
            <w:tcMar>
              <w:left w:w="72" w:type="dxa"/>
              <w:right w:w="72" w:type="dxa"/>
            </w:tcMar>
          </w:tcPr>
          <w:p w14:paraId="5463F512" w14:textId="77777777" w:rsidR="00C018C0" w:rsidRPr="005857E2" w:rsidRDefault="00C018C0" w:rsidP="00A17DF9">
            <w:pPr>
              <w:bidi/>
              <w:jc w:val="left"/>
              <w:rPr>
                <w:sz w:val="20"/>
                <w:szCs w:val="20"/>
                <w:rtl/>
                <w:lang w:bidi="ar-EG"/>
              </w:rPr>
            </w:pPr>
            <w:r w:rsidRPr="00D223B0">
              <w:rPr>
                <w:sz w:val="20"/>
                <w:szCs w:val="20"/>
                <w:rtl/>
                <w:lang w:bidi="ar-EG"/>
              </w:rPr>
              <w:t>بناء القدرات بما في</w:t>
            </w:r>
            <w:r>
              <w:rPr>
                <w:sz w:val="20"/>
                <w:szCs w:val="20"/>
                <w:rtl/>
                <w:lang w:bidi="ar-EG"/>
              </w:rPr>
              <w:t xml:space="preserve"> ذلك برامج التدريب * التي تغطي</w:t>
            </w:r>
            <w:r>
              <w:rPr>
                <w:rFonts w:hint="cs"/>
                <w:sz w:val="20"/>
                <w:szCs w:val="20"/>
                <w:rtl/>
                <w:lang w:bidi="ar-EG"/>
              </w:rPr>
              <w:t xml:space="preserve"> </w:t>
            </w:r>
            <w:r>
              <w:rPr>
                <w:sz w:val="20"/>
                <w:szCs w:val="20"/>
                <w:rtl/>
                <w:lang w:bidi="ar-EG"/>
              </w:rPr>
              <w:t>سلطات ا</w:t>
            </w:r>
            <w:r>
              <w:rPr>
                <w:rFonts w:hint="cs"/>
                <w:sz w:val="20"/>
                <w:szCs w:val="20"/>
                <w:rtl/>
                <w:lang w:bidi="ar-EG"/>
              </w:rPr>
              <w:t>ل</w:t>
            </w:r>
            <w:r>
              <w:rPr>
                <w:sz w:val="20"/>
                <w:szCs w:val="20"/>
                <w:rtl/>
                <w:lang w:bidi="ar-EG"/>
              </w:rPr>
              <w:t>تنظيم</w:t>
            </w:r>
            <w:r w:rsidRPr="00D223B0">
              <w:rPr>
                <w:sz w:val="20"/>
                <w:szCs w:val="20"/>
                <w:rtl/>
                <w:lang w:bidi="ar-EG"/>
              </w:rPr>
              <w:t xml:space="preserve"> وسل</w:t>
            </w:r>
            <w:r>
              <w:rPr>
                <w:rFonts w:hint="cs"/>
                <w:sz w:val="20"/>
                <w:szCs w:val="20"/>
                <w:rtl/>
                <w:lang w:bidi="ar-EG"/>
              </w:rPr>
              <w:t>ا</w:t>
            </w:r>
            <w:r>
              <w:rPr>
                <w:sz w:val="20"/>
                <w:szCs w:val="20"/>
                <w:rtl/>
                <w:lang w:bidi="ar-EG"/>
              </w:rPr>
              <w:t>سل</w:t>
            </w:r>
            <w:r w:rsidRPr="00D223B0">
              <w:rPr>
                <w:sz w:val="20"/>
                <w:szCs w:val="20"/>
                <w:rtl/>
                <w:lang w:bidi="ar-EG"/>
              </w:rPr>
              <w:t xml:space="preserve"> التوزيع</w:t>
            </w:r>
          </w:p>
        </w:tc>
        <w:tc>
          <w:tcPr>
            <w:tcW w:w="2703" w:type="dxa"/>
            <w:tcMar>
              <w:left w:w="72" w:type="dxa"/>
              <w:right w:w="72" w:type="dxa"/>
            </w:tcMar>
          </w:tcPr>
          <w:p w14:paraId="19BD9E8A" w14:textId="77777777" w:rsidR="00C018C0" w:rsidRPr="005857E2" w:rsidRDefault="00C018C0" w:rsidP="00A17DF9">
            <w:pPr>
              <w:bidi/>
              <w:jc w:val="left"/>
              <w:rPr>
                <w:sz w:val="20"/>
                <w:szCs w:val="20"/>
              </w:rPr>
            </w:pPr>
            <w:r>
              <w:rPr>
                <w:rFonts w:hint="cs"/>
                <w:sz w:val="20"/>
                <w:szCs w:val="20"/>
                <w:rtl/>
              </w:rPr>
              <w:t>لم تسلم أي برامج أو استعادة ردود</w:t>
            </w:r>
          </w:p>
        </w:tc>
        <w:tc>
          <w:tcPr>
            <w:tcW w:w="4767" w:type="dxa"/>
            <w:tcMar>
              <w:left w:w="72" w:type="dxa"/>
              <w:right w:w="72" w:type="dxa"/>
            </w:tcMar>
          </w:tcPr>
          <w:p w14:paraId="1A77D64C" w14:textId="77777777" w:rsidR="00C018C0" w:rsidRDefault="00C018C0" w:rsidP="00A17DF9">
            <w:pPr>
              <w:bidi/>
              <w:jc w:val="left"/>
              <w:rPr>
                <w:sz w:val="20"/>
                <w:szCs w:val="20"/>
                <w:rtl/>
                <w:lang w:bidi="ar-EG"/>
              </w:rPr>
            </w:pPr>
            <w:r>
              <w:rPr>
                <w:rFonts w:hint="cs"/>
                <w:sz w:val="20"/>
                <w:szCs w:val="20"/>
                <w:rtl/>
                <w:lang w:bidi="ar-EG"/>
              </w:rPr>
              <w:t xml:space="preserve">من المتعذر </w:t>
            </w:r>
            <w:r w:rsidRPr="00060991">
              <w:rPr>
                <w:sz w:val="20"/>
                <w:szCs w:val="20"/>
                <w:rtl/>
                <w:lang w:bidi="ar-EG"/>
              </w:rPr>
              <w:t xml:space="preserve">القياس - </w:t>
            </w:r>
            <w:r>
              <w:rPr>
                <w:rFonts w:hint="cs"/>
                <w:sz w:val="20"/>
                <w:szCs w:val="20"/>
                <w:rtl/>
                <w:lang w:bidi="ar-EG"/>
              </w:rPr>
              <w:t>ال</w:t>
            </w:r>
            <w:r w:rsidRPr="00060991">
              <w:rPr>
                <w:sz w:val="20"/>
                <w:szCs w:val="20"/>
                <w:rtl/>
                <w:lang w:bidi="ar-EG"/>
              </w:rPr>
              <w:t>مرتبط بمدى قدرة الأفراد المدربين على تنفيذ تدابير لتسهيل اعتماد معدات مبردة ذات كفاءة في استخدام الطاقة منخفضة القدرة على الاحترار العالمي والتحكم في توريد هذه المعدات ومراقبتها</w:t>
            </w:r>
          </w:p>
          <w:p w14:paraId="0264E400" w14:textId="77777777" w:rsidR="00C018C0" w:rsidRPr="005857E2" w:rsidRDefault="00C018C0" w:rsidP="00A17DF9">
            <w:pPr>
              <w:bidi/>
              <w:jc w:val="left"/>
              <w:rPr>
                <w:sz w:val="20"/>
                <w:szCs w:val="20"/>
                <w:rtl/>
                <w:lang w:bidi="ar-EG"/>
              </w:rPr>
            </w:pPr>
          </w:p>
        </w:tc>
      </w:tr>
      <w:tr w:rsidR="00C018C0" w:rsidRPr="005857E2" w14:paraId="0DA9FB90" w14:textId="77777777" w:rsidTr="00A17DF9">
        <w:tc>
          <w:tcPr>
            <w:tcW w:w="2065" w:type="dxa"/>
            <w:tcMar>
              <w:left w:w="72" w:type="dxa"/>
              <w:right w:w="72" w:type="dxa"/>
            </w:tcMar>
          </w:tcPr>
          <w:p w14:paraId="4A776964" w14:textId="77777777" w:rsidR="00C018C0" w:rsidRPr="005857E2" w:rsidRDefault="00C018C0" w:rsidP="00A17DF9">
            <w:pPr>
              <w:bidi/>
              <w:jc w:val="left"/>
              <w:rPr>
                <w:sz w:val="20"/>
                <w:szCs w:val="20"/>
                <w:lang w:bidi="ar-EG"/>
              </w:rPr>
            </w:pPr>
            <w:r w:rsidRPr="00EA5B2E">
              <w:rPr>
                <w:sz w:val="20"/>
                <w:szCs w:val="20"/>
                <w:rtl/>
              </w:rPr>
              <w:t>التعاون والتنسيق المؤسسي</w:t>
            </w:r>
          </w:p>
        </w:tc>
        <w:tc>
          <w:tcPr>
            <w:tcW w:w="2703" w:type="dxa"/>
            <w:tcMar>
              <w:left w:w="72" w:type="dxa"/>
              <w:right w:w="72" w:type="dxa"/>
            </w:tcMar>
          </w:tcPr>
          <w:p w14:paraId="62130475" w14:textId="77777777" w:rsidR="00C018C0" w:rsidRDefault="00C018C0" w:rsidP="00A17DF9">
            <w:pPr>
              <w:bidi/>
              <w:jc w:val="left"/>
              <w:rPr>
                <w:sz w:val="20"/>
                <w:szCs w:val="20"/>
                <w:rtl/>
              </w:rPr>
            </w:pPr>
            <w:r>
              <w:rPr>
                <w:rFonts w:hint="cs"/>
                <w:sz w:val="20"/>
                <w:szCs w:val="20"/>
                <w:rtl/>
              </w:rPr>
              <w:t>لم تجر أي برامج، اتفاق بشأن التنسيق والتعاون بين وحدات الأوزون الوطنية والسلطات المعنية بكفاءة استخدام الطاقة</w:t>
            </w:r>
          </w:p>
          <w:p w14:paraId="0E9EE243" w14:textId="77777777" w:rsidR="00C018C0" w:rsidRPr="005857E2" w:rsidRDefault="00C018C0" w:rsidP="00A17DF9">
            <w:pPr>
              <w:bidi/>
              <w:jc w:val="left"/>
              <w:rPr>
                <w:sz w:val="20"/>
                <w:szCs w:val="20"/>
              </w:rPr>
            </w:pPr>
          </w:p>
        </w:tc>
        <w:tc>
          <w:tcPr>
            <w:tcW w:w="4767" w:type="dxa"/>
            <w:tcMar>
              <w:left w:w="72" w:type="dxa"/>
              <w:right w:w="72" w:type="dxa"/>
            </w:tcMar>
          </w:tcPr>
          <w:p w14:paraId="005ACB15" w14:textId="77777777" w:rsidR="00C018C0" w:rsidRDefault="00C018C0" w:rsidP="00A17DF9">
            <w:pPr>
              <w:bidi/>
              <w:jc w:val="left"/>
              <w:rPr>
                <w:sz w:val="20"/>
                <w:szCs w:val="20"/>
                <w:rtl/>
              </w:rPr>
            </w:pPr>
            <w:r>
              <w:rPr>
                <w:rFonts w:hint="cs"/>
                <w:sz w:val="20"/>
                <w:szCs w:val="20"/>
                <w:rtl/>
              </w:rPr>
              <w:t>يمكن القياس استنادا الى الاتفاقات الحالية بما في ذلك أحكام تعديل كيجالي في المستويات</w:t>
            </w:r>
          </w:p>
          <w:p w14:paraId="362D9495" w14:textId="77777777" w:rsidR="00C018C0" w:rsidRPr="005857E2" w:rsidRDefault="00C018C0" w:rsidP="00A17DF9">
            <w:pPr>
              <w:bidi/>
              <w:jc w:val="left"/>
              <w:rPr>
                <w:sz w:val="20"/>
                <w:szCs w:val="20"/>
              </w:rPr>
            </w:pPr>
          </w:p>
        </w:tc>
      </w:tr>
    </w:tbl>
    <w:p w14:paraId="4D248699" w14:textId="77777777" w:rsidR="00C018C0" w:rsidRPr="005857E2" w:rsidRDefault="00C018C0" w:rsidP="00C018C0">
      <w:pPr>
        <w:bidi/>
        <w:rPr>
          <w:sz w:val="18"/>
          <w:szCs w:val="18"/>
        </w:rPr>
      </w:pPr>
      <w:r w:rsidRPr="005857E2">
        <w:rPr>
          <w:sz w:val="18"/>
          <w:szCs w:val="18"/>
        </w:rPr>
        <w:t>*</w:t>
      </w:r>
      <w:r>
        <w:rPr>
          <w:rFonts w:hint="cs"/>
          <w:sz w:val="18"/>
          <w:szCs w:val="18"/>
          <w:rtl/>
          <w:lang w:bidi="ar-EG"/>
        </w:rPr>
        <w:t xml:space="preserve"> يمكن أن يتضمن بناء القدرات تقديم الدعم للمؤسسات الوطنية (مثل، شبكات التجار والموزعين ومؤسسات التدريب وسلطات الرقابة على الواردات والصادرات وصانعي القرارات/ لإجراء الإرشاد بالتدريب والإرشاد للمحافظة و/أو تعزيز كفاءة استخدام الطاقة في سياق خفض المواد الهيدروفلوروكربونية والاجتماعات والمشاورات مع السلطات الوطنية لزيادة المعارف عن تعديل كيجالي وأهمية إدراج تعديل كيجالي في قواعد كفاءة استخدام الطاقة.</w:t>
      </w:r>
    </w:p>
    <w:p w14:paraId="0D4C79C5" w14:textId="77777777" w:rsidR="00C018C0" w:rsidRPr="005857E2" w:rsidRDefault="00C018C0" w:rsidP="00C018C0">
      <w:pPr>
        <w:bidi/>
      </w:pPr>
    </w:p>
    <w:p w14:paraId="49E83A68" w14:textId="77777777" w:rsidR="00C018C0" w:rsidRPr="00F13B91" w:rsidRDefault="00C018C0" w:rsidP="00C018C0">
      <w:pPr>
        <w:pStyle w:val="Heading1"/>
        <w:bidi/>
        <w:rPr>
          <w:sz w:val="26"/>
          <w:szCs w:val="26"/>
        </w:rPr>
      </w:pPr>
      <w:r w:rsidRPr="00F13B91">
        <w:rPr>
          <w:rFonts w:hint="cs"/>
          <w:sz w:val="26"/>
          <w:szCs w:val="26"/>
          <w:rtl/>
        </w:rPr>
        <w:t>ونظرا للتحديات التي تواجه في قياس آثار الأنشطة المتعلقة بكفاءة استخدام الطاقة في الأنشطة غير الاستثمارية، يتعين تحديد مؤشرات النشاط بوضوح ورصدها في الأنشطة الافرادية وحيثما يكون ممكنا. ويمكن إجراء قياسات نوعية للتغييرات في المستويات الدنيا لأداء الطاقة، وتطبيق مخططات التوسيم للتكنولوجيات المعتمدة على غازات التبريد البديلة التي تتسم بكفاءة استخدام الطاقة، والرصد والإبلاغ عن تنفيذ ترتيبات التنسيق المؤسسي والإبلاغ عنه.</w:t>
      </w:r>
    </w:p>
    <w:p w14:paraId="6D157854" w14:textId="77777777" w:rsidR="00C018C0" w:rsidRPr="00F13B91" w:rsidRDefault="00C018C0" w:rsidP="00C018C0">
      <w:pPr>
        <w:pStyle w:val="Heading1"/>
        <w:bidi/>
        <w:rPr>
          <w:sz w:val="26"/>
          <w:szCs w:val="26"/>
        </w:rPr>
      </w:pPr>
      <w:r w:rsidRPr="00F13B91">
        <w:rPr>
          <w:rFonts w:hint="cs"/>
          <w:sz w:val="26"/>
          <w:szCs w:val="26"/>
          <w:rtl/>
        </w:rPr>
        <w:t>ويمكن أن تؤدي المشروعات الإيضاحية والتحفيزية للمستخدمين النهائيين (مثل تركيب المعدات المعتمدة على غازات التبريد المنخفضة القدرة على الاحترار العالمي في السوبر ماركت) الى سرعة تطبيق التكنولوجيات التي تتسم بكفاءة استخدام الطاقة في سياق خفض المواد الهيدروفلوروكربونية ومن ثم يمكن رصد آثار تنفيذ هذه المشروعات من خلال تطبيق هذه التكنولوجيات المتعلقة بكفاءة استخدام الطاقة على المشروعات والسياسات والتدابير للتكرار الإيضاحي والتدرج لضمان أن يكون لهذه المشروعات آثار استدامة.</w:t>
      </w:r>
    </w:p>
    <w:p w14:paraId="6BB61278" w14:textId="77777777" w:rsidR="00C018C0" w:rsidRPr="00F13B91" w:rsidRDefault="00C018C0" w:rsidP="00C018C0">
      <w:pPr>
        <w:keepNext/>
        <w:keepLines/>
        <w:bidi/>
        <w:ind w:left="720" w:hanging="720"/>
        <w:rPr>
          <w:b/>
          <w:bCs/>
          <w:sz w:val="26"/>
          <w:szCs w:val="26"/>
          <w:rtl/>
        </w:rPr>
      </w:pPr>
      <w:r w:rsidRPr="00F13B91">
        <w:rPr>
          <w:rFonts w:hint="cs"/>
          <w:b/>
          <w:bCs/>
          <w:sz w:val="26"/>
          <w:szCs w:val="26"/>
          <w:rtl/>
        </w:rPr>
        <w:t>سابعا</w:t>
      </w:r>
      <w:r w:rsidRPr="00F13B91">
        <w:rPr>
          <w:rFonts w:hint="cs"/>
          <w:b/>
          <w:bCs/>
          <w:sz w:val="26"/>
          <w:szCs w:val="26"/>
          <w:rtl/>
        </w:rPr>
        <w:tab/>
        <w:t>الخلاصة</w:t>
      </w:r>
    </w:p>
    <w:p w14:paraId="42EF6B6C" w14:textId="77777777" w:rsidR="00C018C0" w:rsidRPr="00F13B91" w:rsidRDefault="00C018C0" w:rsidP="00C018C0">
      <w:pPr>
        <w:bidi/>
        <w:rPr>
          <w:b/>
          <w:bCs/>
          <w:sz w:val="26"/>
          <w:szCs w:val="26"/>
        </w:rPr>
      </w:pPr>
    </w:p>
    <w:p w14:paraId="75F8E260" w14:textId="77777777" w:rsidR="00C018C0" w:rsidRPr="00F13B91" w:rsidRDefault="00C018C0" w:rsidP="00C018C0">
      <w:pPr>
        <w:pStyle w:val="Heading1"/>
        <w:bidi/>
        <w:rPr>
          <w:sz w:val="26"/>
          <w:szCs w:val="26"/>
        </w:rPr>
      </w:pPr>
      <w:bookmarkStart w:id="6" w:name="_Ref118392482"/>
      <w:r w:rsidRPr="00F13B91">
        <w:rPr>
          <w:rFonts w:hint="cs"/>
          <w:sz w:val="26"/>
          <w:szCs w:val="26"/>
          <w:rtl/>
        </w:rPr>
        <w:t>يقدم التحليل الوارد أعلاه عرضا عاما للجوانب المؤسسية والمشروعات والمعايير وغير ذلك من العناصر لدى النظر في الإطار التشغيلي للكيفية التي تعامل بها الأنشطة ذات الصلة بالم</w:t>
      </w:r>
      <w:r w:rsidRPr="00F13B91">
        <w:rPr>
          <w:rFonts w:hint="cs"/>
          <w:sz w:val="26"/>
          <w:szCs w:val="26"/>
          <w:rtl/>
          <w:lang w:bidi="ar-EG"/>
        </w:rPr>
        <w:t>حافظة و/أو تعزيز كفاءة استخدام الطاقة في سياق خفض المواد الهيدروفلوروكربونية بموجب الصندوق المتعدد الأطراف في سياق الخيارين 1 و2:</w:t>
      </w:r>
    </w:p>
    <w:bookmarkEnd w:id="6"/>
    <w:p w14:paraId="68117C67" w14:textId="77777777" w:rsidR="00C018C0" w:rsidRPr="00F13B91" w:rsidRDefault="00C018C0" w:rsidP="00C018C0">
      <w:pPr>
        <w:pStyle w:val="Heading2"/>
        <w:bidi/>
        <w:rPr>
          <w:sz w:val="26"/>
          <w:szCs w:val="26"/>
        </w:rPr>
      </w:pPr>
      <w:r w:rsidRPr="00F13B91">
        <w:rPr>
          <w:rFonts w:hint="cs"/>
          <w:sz w:val="26"/>
          <w:szCs w:val="26"/>
          <w:rtl/>
        </w:rPr>
        <w:t>تتوافر فرص في إطار المبادئ التوجيهية للصندوق المتعدد الأطراف لتوفير الدعم للأنشطة الرامية الى المحافظة و/أو تعزيز كفاءة استخدام الطاقة في سياق خفض المواد الهيدروفلوروكربونية من خلال قرار من اللجنة التنفيذية مع ملاحظة الفوائد التي تحققها بفضل التخفيضات في انبعاثات غازات الاحتباس الحراري؛</w:t>
      </w:r>
    </w:p>
    <w:p w14:paraId="01DE5B41" w14:textId="77777777" w:rsidR="00C018C0" w:rsidRPr="00F13B91" w:rsidRDefault="00C018C0" w:rsidP="00C018C0">
      <w:pPr>
        <w:pStyle w:val="Heading2"/>
        <w:keepNext/>
        <w:bidi/>
        <w:rPr>
          <w:sz w:val="26"/>
          <w:szCs w:val="26"/>
        </w:rPr>
      </w:pPr>
      <w:r w:rsidRPr="00F13B91">
        <w:rPr>
          <w:rFonts w:hint="cs"/>
          <w:sz w:val="26"/>
          <w:szCs w:val="26"/>
          <w:rtl/>
        </w:rPr>
        <w:t xml:space="preserve">تنطبق العمليات والإجراءات الخاصة بالصندوق المتعدد الأطراف على تخطيط الأعمال واستعراض المشروعات والموافقة عليها ورصد وتقييم المشروعات المنتهية على كل من الخيارين 1 و2 مما يتفق مع عمليات المشروعات الأخرى ذات الصلة بالامتثال مع ملاحظة أنه بالنسبة للخيار 2، ينبغي أن يتوافر التمويل لدى الصندوق المتعدد الأطراف قبل النظر في المشروعات وأن البلدان المانحة قد </w:t>
      </w:r>
      <w:r w:rsidRPr="00F13B91">
        <w:rPr>
          <w:rFonts w:hint="cs"/>
          <w:sz w:val="26"/>
          <w:szCs w:val="26"/>
          <w:rtl/>
        </w:rPr>
        <w:lastRenderedPageBreak/>
        <w:t>تتطلب شروطا نوعية لاستخدام هذه الأموال الإضافية؛</w:t>
      </w:r>
    </w:p>
    <w:p w14:paraId="4A5F8C4D" w14:textId="77777777" w:rsidR="00C018C0" w:rsidRPr="00F13B91" w:rsidRDefault="00C018C0" w:rsidP="00C018C0">
      <w:pPr>
        <w:pStyle w:val="Heading2"/>
        <w:bidi/>
        <w:rPr>
          <w:sz w:val="26"/>
          <w:szCs w:val="26"/>
        </w:rPr>
      </w:pPr>
      <w:r w:rsidRPr="00F13B91">
        <w:rPr>
          <w:rFonts w:hint="cs"/>
          <w:sz w:val="26"/>
          <w:szCs w:val="26"/>
          <w:rtl/>
        </w:rPr>
        <w:t>وحيثما يتعلق الأمر بالخيارين، تنهض الحاجة الى تحديد المشروعات النوعية ومجالات الأولوية للتمويل والعمليات الخاصة بالرصد والإبلاغ ومؤشرات الأداء الموجهة لتلك الأنشطة التي تحافظ و/أو تعزيز كفاءة استخدام الطاقة في سياق خفض المواد الهيدروفلوروكربونية؛</w:t>
      </w:r>
    </w:p>
    <w:p w14:paraId="4E964EF3" w14:textId="77777777" w:rsidR="00C018C0" w:rsidRPr="00F13B91" w:rsidRDefault="00C018C0" w:rsidP="00C018C0">
      <w:pPr>
        <w:pStyle w:val="Heading2"/>
        <w:bidi/>
        <w:rPr>
          <w:sz w:val="26"/>
          <w:szCs w:val="26"/>
        </w:rPr>
      </w:pPr>
      <w:r w:rsidRPr="00F13B91">
        <w:rPr>
          <w:rFonts w:hint="cs"/>
          <w:sz w:val="26"/>
          <w:szCs w:val="26"/>
          <w:rtl/>
        </w:rPr>
        <w:t>نظرا لأن كفاءة استخدام الطاقة لا تنطوي على أهداف للامتثال لبلدان المادة 5، يتعين وضع منهجية لحساب التكاليف المرتبطة بالتحسينات في كفاءة استخدام الطاقة بخلاف تلك الخاصة بحساب تكاليف التشغيل الإضافية وبمجرد اتخاذ القرار لتمويل هذه الأنشطة في إطار الصندوق المتعدد الأطراف واستنادا الى توجيهات اللجنة التنفيذية بشأن التكاليف بشأن المحافظة و/أو تعزيز كفاءة استخدام الطاقة في سياق خفض المواد الهيدروفلوروكربونية؛</w:t>
      </w:r>
    </w:p>
    <w:p w14:paraId="775F9D1C" w14:textId="77777777" w:rsidR="00C018C0" w:rsidRPr="00F13B91" w:rsidRDefault="00C018C0" w:rsidP="00C018C0">
      <w:pPr>
        <w:pStyle w:val="Heading2"/>
        <w:keepNext/>
        <w:keepLines/>
        <w:bidi/>
        <w:rPr>
          <w:sz w:val="26"/>
          <w:szCs w:val="26"/>
        </w:rPr>
      </w:pPr>
      <w:r w:rsidRPr="00F13B91">
        <w:rPr>
          <w:rFonts w:hint="cs"/>
          <w:sz w:val="26"/>
          <w:szCs w:val="26"/>
          <w:rtl/>
        </w:rPr>
        <w:t>تتوافر فرض لنظر إجراء التنسيق في التكاليف الخاصة بتمويل غازات التبريد عندما يتطلب الأمر إجراء التحسينات في كفاءة استخدام الطاقة في بلدان المادة 5 لوضع سياسات شاملة لدعم تنفيذ التدابير الخاصة بكفاءة استخدام الطاقة في سياق خفض المواد الهيدروفلوروكربونية؛</w:t>
      </w:r>
    </w:p>
    <w:p w14:paraId="2A1B3D66" w14:textId="77777777" w:rsidR="00C018C0" w:rsidRPr="00F13B91" w:rsidRDefault="00C018C0" w:rsidP="00C018C0">
      <w:pPr>
        <w:pStyle w:val="Heading2"/>
        <w:keepNext/>
        <w:keepLines/>
        <w:bidi/>
        <w:rPr>
          <w:sz w:val="26"/>
          <w:szCs w:val="26"/>
        </w:rPr>
      </w:pPr>
      <w:r w:rsidRPr="00F13B91">
        <w:rPr>
          <w:rFonts w:hint="cs"/>
          <w:sz w:val="26"/>
          <w:szCs w:val="26"/>
          <w:rtl/>
        </w:rPr>
        <w:t>سوف يتضمن نوع أنشطة المشروع المتعلقة بتصنيع وتركيب المعدات على النحو الموجز الوارد في الفقرة 28 أعلاه؛</w:t>
      </w:r>
    </w:p>
    <w:p w14:paraId="720F4034" w14:textId="77777777" w:rsidR="00C018C0" w:rsidRPr="00F13B91" w:rsidRDefault="00C018C0" w:rsidP="00C018C0">
      <w:pPr>
        <w:pStyle w:val="Heading2"/>
        <w:bidi/>
        <w:rPr>
          <w:sz w:val="26"/>
          <w:szCs w:val="26"/>
        </w:rPr>
      </w:pPr>
      <w:r w:rsidRPr="00F13B91">
        <w:rPr>
          <w:rFonts w:hint="cs"/>
          <w:sz w:val="26"/>
          <w:szCs w:val="26"/>
          <w:rtl/>
        </w:rPr>
        <w:t>ويتوافر التمويل من الموارد غير تلك الخاصة بالصندوق المتعدد الأطراف للأنشطة المعنية بكفاءة استخدام الطاقة في سياق خفض المواد الهيدروفلوروكربونية، وسوف يوفر ذلك فرصا للتوسع في النتائج من الأنشطة التي تنفذ في إطار التمويل من الصندوق المتعدد الأطراف المتعلقة بكفاءة استخدام الطاقة في سياق خفض المواد الهيدروفلوروكربونية، ويتعين تصميم الهيكل المالي للمشروع حتى يمكن تعزيز التكامل مع أنشطة المشروع مع تجنب الازدواجية؛</w:t>
      </w:r>
    </w:p>
    <w:p w14:paraId="4E1EF60A" w14:textId="77777777" w:rsidR="00C018C0" w:rsidRPr="00F13B91" w:rsidRDefault="00C018C0" w:rsidP="00C018C0">
      <w:pPr>
        <w:pStyle w:val="Heading2"/>
        <w:bidi/>
        <w:rPr>
          <w:sz w:val="26"/>
          <w:szCs w:val="26"/>
        </w:rPr>
      </w:pPr>
      <w:r w:rsidRPr="00F13B91">
        <w:rPr>
          <w:rFonts w:hint="cs"/>
          <w:sz w:val="26"/>
          <w:szCs w:val="26"/>
          <w:rtl/>
        </w:rPr>
        <w:t>ويمكن إيلاء الأولوية للأنشطة التي تشمل التدخلات من جانب الإمداد بالنظر الى أنه يمكن تنفيذ هذه الأنشطة المتعلقة بكفاءة استخدام الطاقة مع مشروعات خفض المواد الهيدروفلوروكربونية، ويمكن على أساس جار تعزيز التنسيق المالي الوطني لتمويل التكنولوجيات المعنية بكفاءة استخدام الطاقة، والتنسيق مع السلطات المعنية بكفاءة استخدام الطاقة لإدراج أحكام تعديل كيجالي في القواعد ذات الصلة بكفاءة استخدام الطاقة والإرشاد بالتوعية والمعلومات للترويج للتكنولوجيات المعنية بكفاءة استخدام الطاقة مما سيساعد في التحفيز على الزيادة المستدامة في الطلب على النواتج والتكنولوجيات الخاصة بكفاءة استخدام الطاقة في تطبيقات التبريد وتكييف الهواء ومضخات التبادل الحراري في سياق خفض المواد الهيدروفلوروكربونية؛</w:t>
      </w:r>
    </w:p>
    <w:p w14:paraId="14D1ADE2" w14:textId="77777777" w:rsidR="00C018C0" w:rsidRPr="00F13B91" w:rsidRDefault="00C018C0" w:rsidP="00C018C0">
      <w:pPr>
        <w:pStyle w:val="Heading2"/>
        <w:bidi/>
        <w:rPr>
          <w:sz w:val="26"/>
          <w:szCs w:val="26"/>
        </w:rPr>
      </w:pPr>
      <w:r w:rsidRPr="00F13B91">
        <w:rPr>
          <w:rFonts w:hint="cs"/>
          <w:sz w:val="26"/>
          <w:szCs w:val="26"/>
          <w:rtl/>
        </w:rPr>
        <w:t xml:space="preserve">ويمكن استخدام المعايير المحددة في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(المعايير الخاصة بالمشروعات الرائدة للمحافظة و/أو تعزيز كفاءة استخدام الطاقة في سياق خفض المواد الهيدروفلوروكربونية</w:t>
      </w:r>
      <w:r w:rsidRPr="00F13B91">
        <w:rPr>
          <w:rFonts w:hint="cs"/>
          <w:sz w:val="26"/>
          <w:szCs w:val="26"/>
          <w:rtl/>
          <w:lang w:bidi="ar-EG"/>
        </w:rPr>
        <w:t xml:space="preserve"> </w:t>
      </w:r>
      <w:r w:rsidRPr="00F13B91">
        <w:rPr>
          <w:sz w:val="26"/>
          <w:szCs w:val="26"/>
          <w:rtl/>
          <w:lang w:bidi="ar-EG"/>
        </w:rPr>
        <w:t>(المقرر 90/50 (ب) (1))</w:t>
      </w:r>
      <w:r w:rsidRPr="00F13B91">
        <w:rPr>
          <w:rFonts w:hint="cs"/>
          <w:sz w:val="26"/>
          <w:szCs w:val="26"/>
          <w:rtl/>
        </w:rPr>
        <w:t xml:space="preserve"> في نظر المشروعات الواردة تحت هذه الفئة؛</w:t>
      </w:r>
    </w:p>
    <w:p w14:paraId="4B087F2F" w14:textId="77777777" w:rsidR="00C018C0" w:rsidRPr="00F13B91" w:rsidRDefault="00C018C0" w:rsidP="00C018C0">
      <w:pPr>
        <w:pStyle w:val="Heading2"/>
        <w:bidi/>
        <w:rPr>
          <w:sz w:val="26"/>
          <w:szCs w:val="26"/>
        </w:rPr>
      </w:pPr>
      <w:r w:rsidRPr="00F13B91">
        <w:rPr>
          <w:rFonts w:hint="cs"/>
          <w:sz w:val="26"/>
          <w:szCs w:val="26"/>
          <w:rtl/>
        </w:rPr>
        <w:t>وقد يتباين رصد المشروعات وعمليات تقييم آثارها بحسب نوع المشروعات في سياق أثار مشروعات وأنشطة التحويل ذات الصلة بتنفيذ المستويات الدنيات لأداء الطاقة، ويمكن قياس هذه المشروعات بصورة مباشرة، وقد تحتاج القياسات الخاصة بعناصر المشروع التي لا تتعلق بالتصنيع/ التحويل الى تقييم استنادا الى مستويات الأنشطة.</w:t>
      </w:r>
    </w:p>
    <w:p w14:paraId="488E3402" w14:textId="77777777" w:rsidR="00214227" w:rsidRDefault="00214227">
      <w:pPr>
        <w:jc w:val="left"/>
        <w:rPr>
          <w:b/>
          <w:bCs/>
          <w:sz w:val="26"/>
          <w:szCs w:val="26"/>
          <w:rtl/>
        </w:rPr>
      </w:pPr>
      <w:r>
        <w:rPr>
          <w:b/>
          <w:bCs/>
          <w:sz w:val="26"/>
          <w:szCs w:val="26"/>
          <w:rtl/>
        </w:rPr>
        <w:br w:type="page"/>
      </w:r>
    </w:p>
    <w:p w14:paraId="2003FDE0" w14:textId="086C949E" w:rsidR="00C018C0" w:rsidRPr="00F13B91" w:rsidRDefault="00C018C0" w:rsidP="00C018C0">
      <w:pPr>
        <w:keepNext/>
        <w:keepLines/>
        <w:bidi/>
        <w:ind w:left="720" w:hanging="720"/>
        <w:rPr>
          <w:b/>
          <w:bCs/>
          <w:sz w:val="26"/>
          <w:szCs w:val="26"/>
          <w:rtl/>
        </w:rPr>
      </w:pPr>
      <w:r w:rsidRPr="00F13B91">
        <w:rPr>
          <w:rFonts w:hint="cs"/>
          <w:b/>
          <w:bCs/>
          <w:sz w:val="26"/>
          <w:szCs w:val="26"/>
          <w:rtl/>
        </w:rPr>
        <w:lastRenderedPageBreak/>
        <w:t>ثامنا</w:t>
      </w:r>
      <w:r w:rsidRPr="00F13B91">
        <w:rPr>
          <w:rFonts w:hint="cs"/>
          <w:b/>
          <w:bCs/>
          <w:sz w:val="26"/>
          <w:szCs w:val="26"/>
          <w:rtl/>
        </w:rPr>
        <w:tab/>
        <w:t>التوصية</w:t>
      </w:r>
    </w:p>
    <w:p w14:paraId="542F3F02" w14:textId="77777777" w:rsidR="00C018C0" w:rsidRPr="00F13B91" w:rsidRDefault="00C018C0" w:rsidP="00C018C0">
      <w:pPr>
        <w:bidi/>
        <w:rPr>
          <w:b/>
          <w:bCs/>
          <w:sz w:val="26"/>
          <w:szCs w:val="26"/>
        </w:rPr>
      </w:pPr>
    </w:p>
    <w:p w14:paraId="33911841" w14:textId="77777777" w:rsidR="00C018C0" w:rsidRPr="00F13B91" w:rsidRDefault="00C018C0" w:rsidP="00C018C0">
      <w:pPr>
        <w:pStyle w:val="Heading1"/>
        <w:bidi/>
        <w:rPr>
          <w:sz w:val="26"/>
          <w:szCs w:val="26"/>
        </w:rPr>
      </w:pPr>
      <w:r w:rsidRPr="00F13B91">
        <w:rPr>
          <w:rFonts w:hint="cs"/>
          <w:sz w:val="26"/>
          <w:szCs w:val="26"/>
          <w:rtl/>
        </w:rPr>
        <w:t>قد ترغب اللجنة التنفيذية فيمايلي:</w:t>
      </w:r>
    </w:p>
    <w:p w14:paraId="605C3800" w14:textId="77777777" w:rsidR="00C018C0" w:rsidRPr="00F13B91" w:rsidRDefault="00C018C0" w:rsidP="00C018C0">
      <w:pPr>
        <w:pStyle w:val="Heading2"/>
        <w:bidi/>
        <w:rPr>
          <w:sz w:val="26"/>
          <w:szCs w:val="26"/>
        </w:rPr>
      </w:pPr>
      <w:r w:rsidRPr="00F13B91">
        <w:rPr>
          <w:rFonts w:hint="cs"/>
          <w:sz w:val="26"/>
          <w:szCs w:val="26"/>
          <w:rtl/>
        </w:rPr>
        <w:t xml:space="preserve">أن تحاط علما بالمعلومات الواردة في الوثيقة </w:t>
      </w:r>
      <w:r w:rsidRPr="00F13B91">
        <w:rPr>
          <w:sz w:val="26"/>
          <w:szCs w:val="26"/>
        </w:rPr>
        <w:t>UNEP/</w:t>
      </w:r>
      <w:proofErr w:type="spellStart"/>
      <w:r w:rsidRPr="00F13B91">
        <w:rPr>
          <w:sz w:val="26"/>
          <w:szCs w:val="26"/>
        </w:rPr>
        <w:t>OzL.Pro</w:t>
      </w:r>
      <w:proofErr w:type="spellEnd"/>
      <w:r w:rsidRPr="00F13B91">
        <w:rPr>
          <w:sz w:val="26"/>
          <w:szCs w:val="26"/>
        </w:rPr>
        <w:t>/ExCom/91/64</w:t>
      </w:r>
      <w:r w:rsidRPr="00F13B91">
        <w:rPr>
          <w:rFonts w:hint="cs"/>
          <w:sz w:val="26"/>
          <w:szCs w:val="26"/>
          <w:rtl/>
        </w:rPr>
        <w:t xml:space="preserve"> التي تقدم الإطار التشغيلي لمواصلة توضيح الجوانب المؤسسية والمشروعات والأنشطة التي يمكن أن يضطلع بها الصندوق المتعدد الأطراف للمحافظة و/أو تعزيز كفاءة استخدام الطاقة لتكنولوجيات ومعدات الإحلال في قطاعات التصنيع والخدمة في سياق خفض المواد الهيدروفلوروكربونية (المقرر 90/50(ب)(2))؛</w:t>
      </w:r>
    </w:p>
    <w:p w14:paraId="4CDD2F4A" w14:textId="77777777" w:rsidR="00C018C0" w:rsidRPr="00F13B91" w:rsidRDefault="00C018C0" w:rsidP="00C018C0">
      <w:pPr>
        <w:pStyle w:val="Heading2"/>
        <w:bidi/>
        <w:rPr>
          <w:sz w:val="26"/>
          <w:szCs w:val="26"/>
        </w:rPr>
      </w:pPr>
      <w:r w:rsidRPr="00F13B91">
        <w:rPr>
          <w:rFonts w:hint="cs"/>
          <w:sz w:val="26"/>
          <w:szCs w:val="26"/>
          <w:rtl/>
        </w:rPr>
        <w:t>أن تستكشف فيما إذا كان يمكن النظر في الخيار 1 و/أو الخيار 2 في أنشطة الدعم للمحافظة أو تعزيز كفاءة استخدام الطاقة لتكنولوجيات الإحلال والمعدات في قطاعات التصنيع والخدمة في سياق خفض المواد الهيدروفلوروكربونية؛</w:t>
      </w:r>
    </w:p>
    <w:p w14:paraId="5C6C1B2C" w14:textId="77777777" w:rsidR="00C018C0" w:rsidRPr="00F13B91" w:rsidRDefault="00C018C0" w:rsidP="00C018C0">
      <w:pPr>
        <w:pStyle w:val="Heading2"/>
        <w:keepNext/>
        <w:keepLines/>
        <w:bidi/>
        <w:rPr>
          <w:sz w:val="26"/>
          <w:szCs w:val="26"/>
        </w:rPr>
      </w:pPr>
      <w:r w:rsidRPr="00F13B91">
        <w:rPr>
          <w:rFonts w:hint="cs"/>
          <w:sz w:val="26"/>
          <w:szCs w:val="26"/>
          <w:rtl/>
        </w:rPr>
        <w:t>أن تطلب من الأمانة أن توفر معلومات للنظر من جانب اللجنة التنفيذية في اجتماع مقبل سوف يتحدد إعمالا للمقرر الذي اتخذ في الفقرة الفرعية (ب) أعلاه.</w:t>
      </w:r>
    </w:p>
    <w:p w14:paraId="3A5B5967" w14:textId="77777777" w:rsidR="00C018C0" w:rsidRPr="00F13B91" w:rsidRDefault="00C018C0" w:rsidP="00C018C0">
      <w:pPr>
        <w:pStyle w:val="Title1"/>
        <w:bidi/>
        <w:rPr>
          <w:sz w:val="26"/>
          <w:szCs w:val="26"/>
          <w:rtl/>
          <w:lang w:val="en-CA" w:bidi="ar-EG"/>
        </w:rPr>
      </w:pPr>
    </w:p>
    <w:p w14:paraId="5D8185E7" w14:textId="77777777" w:rsidR="00C018C0" w:rsidRPr="00F13B91" w:rsidRDefault="00C018C0" w:rsidP="00C018C0">
      <w:pPr>
        <w:pStyle w:val="Title1"/>
        <w:bidi/>
        <w:rPr>
          <w:sz w:val="26"/>
          <w:szCs w:val="26"/>
          <w:lang w:val="en-CA"/>
        </w:rPr>
      </w:pPr>
    </w:p>
    <w:p w14:paraId="4CFAE5AE" w14:textId="77777777" w:rsidR="00C018C0" w:rsidRPr="00F13B91" w:rsidRDefault="00C018C0" w:rsidP="00C018C0">
      <w:pPr>
        <w:pStyle w:val="StyleHeader4Para4Left0Firstline0"/>
        <w:numPr>
          <w:ilvl w:val="0"/>
          <w:numId w:val="0"/>
        </w:numPr>
        <w:bidi/>
        <w:jc w:val="left"/>
        <w:rPr>
          <w:sz w:val="26"/>
          <w:szCs w:val="26"/>
        </w:rPr>
      </w:pPr>
    </w:p>
    <w:p w14:paraId="504A1A3A" w14:textId="77777777" w:rsidR="00C018C0" w:rsidRPr="00F13B91" w:rsidRDefault="00C018C0" w:rsidP="00C018C0">
      <w:pPr>
        <w:bidi/>
        <w:rPr>
          <w:sz w:val="26"/>
          <w:szCs w:val="26"/>
        </w:rPr>
        <w:sectPr w:rsidR="00C018C0" w:rsidRPr="00F13B91" w:rsidSect="004416AA">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45DD10FD" w14:textId="77777777" w:rsidR="00C018C0" w:rsidRPr="00F13B91" w:rsidRDefault="00C018C0" w:rsidP="00C018C0">
      <w:pPr>
        <w:bidi/>
        <w:jc w:val="center"/>
        <w:rPr>
          <w:b/>
          <w:bCs/>
          <w:sz w:val="26"/>
          <w:szCs w:val="26"/>
        </w:rPr>
      </w:pPr>
      <w:r w:rsidRPr="00F13B91">
        <w:rPr>
          <w:rFonts w:hint="cs"/>
          <w:b/>
          <w:bCs/>
          <w:sz w:val="26"/>
          <w:szCs w:val="26"/>
          <w:rtl/>
        </w:rPr>
        <w:lastRenderedPageBreak/>
        <w:t>المرفق</w:t>
      </w:r>
    </w:p>
    <w:p w14:paraId="4CE1A5A8" w14:textId="77777777" w:rsidR="00C018C0" w:rsidRPr="00F13B91" w:rsidRDefault="00C018C0" w:rsidP="00C018C0">
      <w:pPr>
        <w:bidi/>
        <w:rPr>
          <w:sz w:val="26"/>
          <w:szCs w:val="26"/>
          <w:lang w:bidi="ar-EG"/>
        </w:rPr>
      </w:pPr>
    </w:p>
    <w:p w14:paraId="079CFF84" w14:textId="77777777" w:rsidR="00C018C0" w:rsidRPr="00F13B91" w:rsidRDefault="00C018C0" w:rsidP="00C018C0">
      <w:pPr>
        <w:pStyle w:val="Heading1"/>
        <w:numPr>
          <w:ilvl w:val="0"/>
          <w:numId w:val="0"/>
        </w:numPr>
        <w:bidi/>
        <w:spacing w:after="0"/>
        <w:jc w:val="center"/>
        <w:rPr>
          <w:b/>
          <w:bCs/>
          <w:sz w:val="26"/>
          <w:szCs w:val="26"/>
          <w:rtl/>
          <w:lang w:bidi="ar-EG"/>
        </w:rPr>
      </w:pPr>
      <w:r w:rsidRPr="00F13B91">
        <w:rPr>
          <w:rFonts w:hint="cs"/>
          <w:b/>
          <w:bCs/>
          <w:sz w:val="26"/>
          <w:szCs w:val="26"/>
          <w:rtl/>
          <w:lang w:bidi="ar-EG"/>
        </w:rPr>
        <w:t>انعكاسات تنفيذ الأنشطة لتعزيز كفاءة استخدام الطاقة</w:t>
      </w:r>
      <w:r w:rsidRPr="00F13B91">
        <w:rPr>
          <w:b/>
          <w:bCs/>
          <w:sz w:val="26"/>
          <w:szCs w:val="26"/>
          <w:rtl/>
          <w:lang w:bidi="ar-EG"/>
        </w:rPr>
        <w:br/>
      </w:r>
      <w:r w:rsidRPr="00F13B91">
        <w:rPr>
          <w:rFonts w:hint="cs"/>
          <w:b/>
          <w:bCs/>
          <w:sz w:val="26"/>
          <w:szCs w:val="26"/>
          <w:rtl/>
          <w:lang w:bidi="ar-EG"/>
        </w:rPr>
        <w:t xml:space="preserve"> في سياق خفض المواد الهيدروفلوروكربونية في أجهزة تكييف الهواء </w:t>
      </w:r>
      <w:r w:rsidRPr="00F13B91">
        <w:rPr>
          <w:b/>
          <w:bCs/>
          <w:sz w:val="26"/>
          <w:szCs w:val="26"/>
          <w:rtl/>
          <w:lang w:bidi="ar-EG"/>
        </w:rPr>
        <w:br/>
      </w:r>
      <w:r w:rsidRPr="00F13B91">
        <w:rPr>
          <w:rFonts w:hint="cs"/>
          <w:b/>
          <w:bCs/>
          <w:sz w:val="26"/>
          <w:szCs w:val="26"/>
          <w:rtl/>
          <w:lang w:bidi="ar-EG"/>
        </w:rPr>
        <w:t xml:space="preserve">الموزعة الصغيرة خلال التدخل بطريقة متزامنة </w:t>
      </w:r>
    </w:p>
    <w:p w14:paraId="2D032A7E" w14:textId="77777777" w:rsidR="00C018C0" w:rsidRPr="00F13B91" w:rsidRDefault="00C018C0" w:rsidP="00C018C0">
      <w:pPr>
        <w:bidi/>
        <w:rPr>
          <w:sz w:val="26"/>
          <w:szCs w:val="26"/>
          <w:rtl/>
          <w:lang w:bidi="ar-EG"/>
        </w:rPr>
      </w:pPr>
    </w:p>
    <w:p w14:paraId="6D81FECF" w14:textId="77777777" w:rsidR="00C018C0" w:rsidRPr="00F13B91" w:rsidRDefault="00C018C0" w:rsidP="00C018C0">
      <w:pPr>
        <w:pStyle w:val="Heading1"/>
        <w:numPr>
          <w:ilvl w:val="0"/>
          <w:numId w:val="21"/>
        </w:numPr>
        <w:tabs>
          <w:tab w:val="clear" w:pos="0"/>
          <w:tab w:val="num" w:pos="1080"/>
        </w:tabs>
        <w:bidi/>
        <w:ind w:left="1080" w:hanging="360"/>
        <w:rPr>
          <w:sz w:val="26"/>
          <w:szCs w:val="26"/>
        </w:rPr>
      </w:pPr>
      <w:r w:rsidRPr="00F13B91">
        <w:rPr>
          <w:rFonts w:hint="cs"/>
          <w:sz w:val="26"/>
          <w:szCs w:val="26"/>
          <w:rtl/>
        </w:rPr>
        <w:t>يوضح هذا المرفق انعكاسات تنفيذ التدابير الخاصة بالمحافظة و/أو تعزيز كفاءة استخدام الطاقة  في سياق خفض المواد الهيدروفلوروكربونية، وأنشطة خفض هذه المواد بطريقة متزامنة. ويتمثل في المثال المقدم هنا في حالة تتعلق بتحو</w:t>
      </w:r>
      <w:r w:rsidRPr="00F13B91">
        <w:rPr>
          <w:rFonts w:hint="cs"/>
          <w:sz w:val="26"/>
          <w:szCs w:val="26"/>
          <w:rtl/>
          <w:lang w:bidi="ar-EG"/>
        </w:rPr>
        <w:t xml:space="preserve">يل منشأة لتصنيع أجهزة تكييف الهواء الموزعة الصغيرة التي تنتج معدات تعتمد على غازات </w:t>
      </w:r>
      <w:r w:rsidRPr="00F13B91">
        <w:rPr>
          <w:sz w:val="26"/>
          <w:szCs w:val="26"/>
        </w:rPr>
        <w:t>R-410A</w:t>
      </w:r>
      <w:r w:rsidRPr="00F13B91">
        <w:rPr>
          <w:rFonts w:hint="cs"/>
          <w:sz w:val="26"/>
          <w:szCs w:val="26"/>
          <w:rtl/>
          <w:lang w:bidi="ar-EG"/>
        </w:rPr>
        <w:t xml:space="preserve"> لل</w:t>
      </w:r>
      <w:r w:rsidRPr="00F13B91">
        <w:rPr>
          <w:rFonts w:hint="cs"/>
          <w:sz w:val="26"/>
          <w:szCs w:val="26"/>
          <w:rtl/>
        </w:rPr>
        <w:t>هيدروفلوروكربون-32 كغاز تبريد. وتتمثل الحالة هنا لأغراض الإيضاح والإشارة ولا تمثل تحيزا لنتائج المناقشات الخاصة بالمبادئ التوجيهية للتكاليف في اللجنة التنفيذية.</w:t>
      </w:r>
    </w:p>
    <w:p w14:paraId="2F193FA4" w14:textId="77777777" w:rsidR="00C018C0" w:rsidRPr="00F13B91" w:rsidRDefault="00C018C0" w:rsidP="00C018C0">
      <w:pPr>
        <w:pStyle w:val="Heading1"/>
        <w:bidi/>
        <w:rPr>
          <w:sz w:val="26"/>
          <w:szCs w:val="26"/>
        </w:rPr>
      </w:pPr>
      <w:r w:rsidRPr="00F13B91">
        <w:rPr>
          <w:rFonts w:hint="cs"/>
          <w:sz w:val="26"/>
          <w:szCs w:val="26"/>
          <w:rtl/>
        </w:rPr>
        <w:t xml:space="preserve">ولهذه المنشأة </w:t>
      </w:r>
      <w:r w:rsidRPr="00F13B91">
        <w:rPr>
          <w:sz w:val="26"/>
          <w:szCs w:val="26"/>
        </w:rPr>
        <w:t>ABC</w:t>
      </w:r>
      <w:r w:rsidRPr="00F13B91">
        <w:rPr>
          <w:rFonts w:hint="cs"/>
          <w:sz w:val="26"/>
          <w:szCs w:val="26"/>
          <w:rtl/>
        </w:rPr>
        <w:t xml:space="preserve"> خيارات مختلفة عن تدابير التنفيذ لتعزيز كفاءة استخدام الطاقة في سياق خفض المواد الهيدروفلوروكربونية من خلال مشروعات التحويل. وفيمايلي وصف موجز لخيارات الت</w:t>
      </w:r>
      <w:r w:rsidRPr="00F13B91">
        <w:rPr>
          <w:rFonts w:hint="cs"/>
          <w:sz w:val="26"/>
          <w:szCs w:val="26"/>
          <w:rtl/>
          <w:lang w:bidi="ar-EG"/>
        </w:rPr>
        <w:t>مويل.</w:t>
      </w:r>
    </w:p>
    <w:p w14:paraId="76AB348A" w14:textId="77777777" w:rsidR="00C018C0" w:rsidRPr="00F13B91" w:rsidRDefault="00C018C0" w:rsidP="00C018C0">
      <w:pPr>
        <w:pStyle w:val="Heading2"/>
        <w:bidi/>
        <w:rPr>
          <w:sz w:val="26"/>
          <w:szCs w:val="26"/>
        </w:rPr>
      </w:pPr>
      <w:r w:rsidRPr="00F13B91">
        <w:rPr>
          <w:rFonts w:hint="cs"/>
          <w:sz w:val="26"/>
          <w:szCs w:val="26"/>
          <w:rtl/>
        </w:rPr>
        <w:t>الخيار 1- الدعم التمويلي لتنفيذ فقط التدابير لت</w:t>
      </w:r>
      <w:r w:rsidRPr="00F13B91">
        <w:rPr>
          <w:rFonts w:hint="cs"/>
          <w:sz w:val="26"/>
          <w:szCs w:val="26"/>
          <w:rtl/>
          <w:lang w:bidi="ar-EG"/>
        </w:rPr>
        <w:t>ح</w:t>
      </w:r>
      <w:r w:rsidRPr="00F13B91">
        <w:rPr>
          <w:rFonts w:hint="cs"/>
          <w:sz w:val="26"/>
          <w:szCs w:val="26"/>
          <w:rtl/>
        </w:rPr>
        <w:t>ويل غازات التبريد والتدابير الخاصة بكفاءة استخدام الطاقة (الخيار ألف)؛</w:t>
      </w:r>
    </w:p>
    <w:p w14:paraId="210B9AA8" w14:textId="77777777" w:rsidR="00C018C0" w:rsidRPr="00F13B91" w:rsidRDefault="00C018C0" w:rsidP="00C018C0">
      <w:pPr>
        <w:pStyle w:val="Heading2"/>
        <w:bidi/>
        <w:rPr>
          <w:sz w:val="26"/>
          <w:szCs w:val="26"/>
        </w:rPr>
      </w:pPr>
      <w:r w:rsidRPr="00F13B91">
        <w:rPr>
          <w:rFonts w:hint="cs"/>
          <w:sz w:val="26"/>
          <w:szCs w:val="26"/>
          <w:rtl/>
        </w:rPr>
        <w:t>الخيار 2- الدعم التمويلي لتنفيذ التدابير الخاصة بتحويل غازات التبريد مع الدعم التمويلي لتحسين كفاءة استخدام الطاقة في المعدات من خلال تنظيم العناصر وتنفيذ كلى التدبيرين بطريقة متزامنة (الخيار ألف 1)؛</w:t>
      </w:r>
    </w:p>
    <w:p w14:paraId="5538D0B5" w14:textId="77777777" w:rsidR="00C018C0" w:rsidRPr="00F13B91" w:rsidRDefault="00C018C0" w:rsidP="00C018C0">
      <w:pPr>
        <w:pStyle w:val="Heading2"/>
        <w:bidi/>
        <w:rPr>
          <w:sz w:val="26"/>
          <w:szCs w:val="26"/>
        </w:rPr>
      </w:pPr>
      <w:r w:rsidRPr="00F13B91">
        <w:rPr>
          <w:rFonts w:hint="cs"/>
          <w:sz w:val="26"/>
          <w:szCs w:val="26"/>
          <w:rtl/>
        </w:rPr>
        <w:t>الخيار 3- الدعم التمويلي لتنفيذ التدابير المتعلقة بتحويل غازات التبريد وتنفيذ التحسينات في كفاءة استخدام الطاقة مع اختيار المكثف الملائم وترشيد مبادلة الحرارة، وتنفيذ خفض المواد الهيدروفلوروكربونية، وتدابير كفاءة استخدام الطاقة بصورة إفرادية (الخيار باء)؛</w:t>
      </w:r>
    </w:p>
    <w:p w14:paraId="7FAB9A00" w14:textId="77777777" w:rsidR="00C018C0" w:rsidRPr="00F13B91" w:rsidRDefault="00C018C0" w:rsidP="00C018C0">
      <w:pPr>
        <w:pStyle w:val="Heading2"/>
        <w:bidi/>
        <w:rPr>
          <w:sz w:val="26"/>
          <w:szCs w:val="26"/>
          <w:rtl/>
        </w:rPr>
      </w:pPr>
      <w:r w:rsidRPr="00F13B91">
        <w:rPr>
          <w:sz w:val="26"/>
          <w:szCs w:val="26"/>
          <w:rtl/>
        </w:rPr>
        <w:t xml:space="preserve">تمويل الدعم لتنفيذ تدابير تحويل المبردات وتنفيذ تدخلات كفاءة الطاقة مع الاختيار المناسب للضاغط والمبادلات الحرارية المثلى ؛ تنفيذ الخفض التدريجي </w:t>
      </w:r>
      <w:r w:rsidRPr="00F13B91">
        <w:rPr>
          <w:rFonts w:hint="cs"/>
          <w:sz w:val="26"/>
          <w:szCs w:val="26"/>
          <w:rtl/>
        </w:rPr>
        <w:t>للمواد الهيدروفلوروكربونية</w:t>
      </w:r>
      <w:r w:rsidRPr="00F13B91">
        <w:rPr>
          <w:sz w:val="26"/>
          <w:szCs w:val="26"/>
          <w:rtl/>
        </w:rPr>
        <w:t xml:space="preserve"> وتدابير كفاءة الطاقة بطريقة متزامنة</w:t>
      </w:r>
      <w:r w:rsidRPr="00F13B91">
        <w:rPr>
          <w:rFonts w:hint="cs"/>
          <w:sz w:val="26"/>
          <w:szCs w:val="26"/>
          <w:rtl/>
        </w:rPr>
        <w:t xml:space="preserve"> (الخيار باء1)؛</w:t>
      </w:r>
    </w:p>
    <w:p w14:paraId="753FE191" w14:textId="77777777" w:rsidR="00C018C0" w:rsidRPr="00F13B91" w:rsidRDefault="00C018C0" w:rsidP="00C018C0">
      <w:pPr>
        <w:pStyle w:val="Heading2"/>
        <w:bidi/>
        <w:rPr>
          <w:sz w:val="26"/>
          <w:szCs w:val="26"/>
          <w:rtl/>
        </w:rPr>
      </w:pPr>
      <w:r w:rsidRPr="00F13B91">
        <w:rPr>
          <w:rFonts w:hint="cs"/>
          <w:sz w:val="26"/>
          <w:szCs w:val="26"/>
          <w:rtl/>
        </w:rPr>
        <w:t>الخيار 5- الدعم التمويلي لتنفيذ التدابير المتعلقة بتحويل غازات التبريد وتنفيذ تدخلات كفاءة استخدام الطاقة بمكثف متباين السرعة وتصميم لمبادلة الحرارة وتنفيذ خفض المواد الهيدروفلوروكربونية وتدابير كفاءة استخدام الطاقة بطريقة متزامنة (الخيار جيم)</w:t>
      </w:r>
    </w:p>
    <w:p w14:paraId="2EBD6359" w14:textId="77777777" w:rsidR="00C018C0" w:rsidRPr="00F13B91" w:rsidRDefault="00C018C0" w:rsidP="00C018C0">
      <w:pPr>
        <w:pStyle w:val="Heading2"/>
        <w:bidi/>
        <w:rPr>
          <w:sz w:val="26"/>
          <w:szCs w:val="26"/>
          <w:lang w:bidi="ar-EG"/>
        </w:rPr>
      </w:pPr>
      <w:r w:rsidRPr="00F13B91">
        <w:rPr>
          <w:rFonts w:hint="cs"/>
          <w:sz w:val="26"/>
          <w:szCs w:val="26"/>
          <w:rtl/>
        </w:rPr>
        <w:t>الخيار 6- الدعم التمويلي لتنفيذ التدابير الخاصة بتحويل غازات التبريد وتنفيذ تدخلات كفاءة استخدام الطاقة بمكثفات متباينة السرعة وتصميم المبادل الحراري وتنفيذ خفض المواد الهيدروفلوروكربونية وتدابير كفاءة استخدام الطاقة بطريقة تزامنية (الخيار جيم 1)</w:t>
      </w:r>
    </w:p>
    <w:p w14:paraId="329927EC" w14:textId="77777777" w:rsidR="00C018C0" w:rsidRPr="00F13B91" w:rsidRDefault="00C018C0" w:rsidP="00C018C0">
      <w:pPr>
        <w:bidi/>
        <w:jc w:val="left"/>
        <w:rPr>
          <w:rFonts w:eastAsiaTheme="minorHAnsi"/>
          <w:sz w:val="26"/>
          <w:szCs w:val="26"/>
        </w:rPr>
      </w:pPr>
      <w:r w:rsidRPr="00F13B91">
        <w:rPr>
          <w:sz w:val="26"/>
          <w:szCs w:val="26"/>
        </w:rPr>
        <w:br w:type="page"/>
      </w:r>
    </w:p>
    <w:p w14:paraId="389D535D" w14:textId="77777777" w:rsidR="00C018C0" w:rsidRPr="00E04D75" w:rsidRDefault="00C018C0" w:rsidP="00C018C0">
      <w:pPr>
        <w:pStyle w:val="Heading1"/>
        <w:bidi/>
      </w:pPr>
      <w:r>
        <w:rPr>
          <w:rFonts w:hint="cs"/>
          <w:rtl/>
        </w:rPr>
        <w:lastRenderedPageBreak/>
        <w:t>ويتضمن الشكل 1 الوارد أدناه انعكاسات تنفيذ هذه الخيارات</w:t>
      </w:r>
      <w:r>
        <w:rPr>
          <w:rStyle w:val="FootnoteReference"/>
        </w:rPr>
        <w:footnoteReference w:id="25"/>
      </w:r>
      <w:r w:rsidRPr="00E04D75">
        <w:t xml:space="preserve"> </w:t>
      </w:r>
    </w:p>
    <w:p w14:paraId="0693ED55" w14:textId="77777777" w:rsidR="00C018C0" w:rsidRDefault="00C018C0" w:rsidP="00C018C0">
      <w:pPr>
        <w:pStyle w:val="ListParagraph"/>
        <w:bidi/>
      </w:pPr>
    </w:p>
    <w:p w14:paraId="7404817C" w14:textId="77777777" w:rsidR="00C018C0" w:rsidRDefault="00C018C0" w:rsidP="00C018C0">
      <w:pPr>
        <w:pStyle w:val="ListParagraph"/>
        <w:bidi/>
      </w:pPr>
      <w:r>
        <w:rPr>
          <w:noProof/>
          <w:lang w:val="it-IT" w:eastAsia="it-IT"/>
        </w:rPr>
        <w:drawing>
          <wp:inline distT="0" distB="0" distL="0" distR="0" wp14:anchorId="406B0E1D" wp14:editId="66094227">
            <wp:extent cx="5183945" cy="3719830"/>
            <wp:effectExtent l="0" t="0" r="17145" b="1397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BE8674F" w14:textId="77777777" w:rsidR="00C018C0" w:rsidRDefault="00C018C0" w:rsidP="00C018C0">
      <w:pPr>
        <w:pStyle w:val="ListParagraph"/>
        <w:bidi/>
      </w:pPr>
    </w:p>
    <w:p w14:paraId="4DD025E1" w14:textId="77777777" w:rsidR="00C018C0" w:rsidRPr="00F13B91" w:rsidRDefault="00C018C0" w:rsidP="00C018C0">
      <w:pPr>
        <w:pStyle w:val="Heading1"/>
        <w:bidi/>
        <w:rPr>
          <w:sz w:val="26"/>
          <w:szCs w:val="26"/>
        </w:rPr>
      </w:pPr>
      <w:r w:rsidRPr="00F13B91">
        <w:rPr>
          <w:rFonts w:hint="cs"/>
          <w:sz w:val="26"/>
          <w:szCs w:val="26"/>
          <w:rtl/>
        </w:rPr>
        <w:t>ويتبين من هذا الشكل أنه في حالة التنفيذ بطريقة متزامنة، تتوافر وفورات في تحسين كفاءة استخدام الطاقة في المعدات والمنتجات خلال تحويل غازات التبريد في سياق خفض المواد الهيدروفلوروكربونية. وعلاوة على الوفورات في التكاليف فإن التنفيذ المتزامن لكفاءة استخدام الطاقة وخفض المواد الهيدروفلوروكربونية سوف يتيح لبلدان المادة 5 العمل بصورة وثيقة مع الصناعة لوضع السياسات الشامل لدعم تنفيذ تدابير كفاءة استخدام الطاقة مع خفض المواد الهيدروفلوروكربونية.</w:t>
      </w:r>
    </w:p>
    <w:p w14:paraId="4549FD08" w14:textId="77777777" w:rsidR="00C018C0" w:rsidRPr="00E04D75" w:rsidRDefault="00C018C0" w:rsidP="00C018C0">
      <w:pPr>
        <w:bidi/>
        <w:rPr>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18C0" w:rsidRPr="009B0D30" w14:paraId="4509FD45" w14:textId="77777777" w:rsidTr="00A17DF9">
        <w:tc>
          <w:tcPr>
            <w:tcW w:w="1871" w:type="dxa"/>
          </w:tcPr>
          <w:p w14:paraId="427D0302" w14:textId="77777777" w:rsidR="00C018C0" w:rsidRPr="009B0D30" w:rsidRDefault="00C018C0" w:rsidP="00A17DF9">
            <w:pPr>
              <w:bidi/>
            </w:pPr>
          </w:p>
        </w:tc>
        <w:tc>
          <w:tcPr>
            <w:tcW w:w="1872" w:type="dxa"/>
          </w:tcPr>
          <w:p w14:paraId="50E93B2B" w14:textId="77777777" w:rsidR="00C018C0" w:rsidRPr="009B0D30" w:rsidRDefault="00C018C0" w:rsidP="00A17DF9">
            <w:pPr>
              <w:bidi/>
            </w:pPr>
          </w:p>
        </w:tc>
        <w:tc>
          <w:tcPr>
            <w:tcW w:w="1872" w:type="dxa"/>
            <w:tcBorders>
              <w:bottom w:val="single" w:sz="4" w:space="0" w:color="auto"/>
            </w:tcBorders>
          </w:tcPr>
          <w:p w14:paraId="1E8FB97D" w14:textId="77777777" w:rsidR="00C018C0" w:rsidRPr="009B0D30" w:rsidRDefault="00C018C0" w:rsidP="00A17DF9">
            <w:pPr>
              <w:bidi/>
            </w:pPr>
          </w:p>
        </w:tc>
        <w:tc>
          <w:tcPr>
            <w:tcW w:w="1872" w:type="dxa"/>
          </w:tcPr>
          <w:p w14:paraId="0ACBB439" w14:textId="77777777" w:rsidR="00C018C0" w:rsidRPr="009B0D30" w:rsidRDefault="00C018C0" w:rsidP="00A17DF9">
            <w:pPr>
              <w:bidi/>
            </w:pPr>
          </w:p>
        </w:tc>
        <w:tc>
          <w:tcPr>
            <w:tcW w:w="1873" w:type="dxa"/>
          </w:tcPr>
          <w:p w14:paraId="43CDB0F2" w14:textId="77777777" w:rsidR="00C018C0" w:rsidRPr="009B0D30" w:rsidRDefault="00C018C0" w:rsidP="00A17DF9">
            <w:pPr>
              <w:bidi/>
            </w:pPr>
          </w:p>
        </w:tc>
      </w:tr>
    </w:tbl>
    <w:p w14:paraId="2B46133D" w14:textId="77777777" w:rsidR="00C018C0" w:rsidRPr="009B0D30" w:rsidRDefault="00C018C0" w:rsidP="00C018C0">
      <w:pPr>
        <w:bidi/>
      </w:pPr>
    </w:p>
    <w:p w14:paraId="39B599B9" w14:textId="06872D47" w:rsidR="00C018C0" w:rsidRPr="00C018C0" w:rsidRDefault="00C018C0" w:rsidP="00C018C0">
      <w:pPr>
        <w:tabs>
          <w:tab w:val="left" w:pos="8405"/>
        </w:tabs>
        <w:bidi/>
        <w:rPr>
          <w:sz w:val="26"/>
          <w:szCs w:val="26"/>
          <w:lang w:bidi="ar-EG"/>
        </w:rPr>
      </w:pPr>
    </w:p>
    <w:sectPr w:rsidR="00C018C0" w:rsidRPr="00C018C0" w:rsidSect="0087328C">
      <w:headerReference w:type="even" r:id="rId28"/>
      <w:footerReference w:type="even"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2EB0D" w14:textId="77777777" w:rsidR="004E2977" w:rsidRDefault="004E2977" w:rsidP="004A504B">
      <w:r>
        <w:separator/>
      </w:r>
    </w:p>
  </w:endnote>
  <w:endnote w:type="continuationSeparator" w:id="0">
    <w:p w14:paraId="5249CAE0" w14:textId="77777777" w:rsidR="004E2977" w:rsidRDefault="004E29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TimesNewRomanPS-BoldMT">
    <w:altName w:val="Times New Roman"/>
    <w:panose1 w:val="00000000000000000000"/>
    <w:charset w:val="B2"/>
    <w:family w:val="auto"/>
    <w:notTrueType/>
    <w:pitch w:val="default"/>
    <w:sig w:usb0="00002000" w:usb1="00000000" w:usb2="00000000" w:usb3="00000000" w:csb0="00000040" w:csb1="00000000"/>
  </w:font>
  <w:font w:name="TimesNewRomanPSMT">
    <w:altName w:val="Times New Roman"/>
    <w:panose1 w:val="00000000000000000000"/>
    <w:charset w:val="B2"/>
    <w:family w:val="auto"/>
    <w:notTrueType/>
    <w:pitch w:val="default"/>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0B04AAF1" w:rsidR="00877DBE" w:rsidRPr="0033525D" w:rsidRDefault="00877DBE">
    <w:pPr>
      <w:jc w:val="center"/>
    </w:pPr>
    <w:r>
      <w:fldChar w:fldCharType="begin"/>
    </w:r>
    <w:r>
      <w:instrText xml:space="preserve"> PAGE </w:instrText>
    </w:r>
    <w:r>
      <w:fldChar w:fldCharType="separate"/>
    </w:r>
    <w:r w:rsidR="001C3D2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554A34BA" w:rsidR="00877DBE" w:rsidRPr="0033525D" w:rsidRDefault="00877DBE">
    <w:pPr>
      <w:jc w:val="center"/>
    </w:pPr>
    <w:r>
      <w:fldChar w:fldCharType="begin"/>
    </w:r>
    <w:r>
      <w:instrText xml:space="preserve"> PAGE </w:instrText>
    </w:r>
    <w:r>
      <w:fldChar w:fldCharType="separate"/>
    </w:r>
    <w:r w:rsidR="001C3D2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0533" w14:textId="77777777" w:rsidR="00877DBE" w:rsidRDefault="00877DBE" w:rsidP="00E3074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E70547F" w14:textId="77777777" w:rsidR="00877DBE" w:rsidRDefault="00877DBE" w:rsidP="00E3074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A9EFD18" w14:textId="77777777" w:rsidR="00877DBE" w:rsidRPr="00E30743" w:rsidRDefault="00877DBE" w:rsidP="00E307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344814"/>
      <w:docPartObj>
        <w:docPartGallery w:val="Page Numbers (Bottom of Page)"/>
        <w:docPartUnique/>
      </w:docPartObj>
    </w:sdtPr>
    <w:sdtEndPr>
      <w:rPr>
        <w:noProof/>
      </w:rPr>
    </w:sdtEndPr>
    <w:sdtContent>
      <w:p w14:paraId="6995EDF7" w14:textId="31AB7C6B" w:rsidR="00877DBE" w:rsidRDefault="00877DBE">
        <w:pPr>
          <w:pStyle w:val="Footer"/>
          <w:jc w:val="center"/>
        </w:pPr>
        <w:r>
          <w:fldChar w:fldCharType="begin"/>
        </w:r>
        <w:r>
          <w:instrText xml:space="preserve"> PAGE   \* MERGEFORMAT </w:instrText>
        </w:r>
        <w:r>
          <w:fldChar w:fldCharType="separate"/>
        </w:r>
        <w:r w:rsidR="001C3D29">
          <w:rPr>
            <w:noProof/>
          </w:rPr>
          <w:t>1</w:t>
        </w:r>
        <w:r>
          <w:rPr>
            <w:noProof/>
          </w:rPr>
          <w:fldChar w:fldCharType="end"/>
        </w:r>
      </w:p>
    </w:sdtContent>
  </w:sdt>
  <w:p w14:paraId="68369647" w14:textId="77777777" w:rsidR="00877DBE" w:rsidRPr="00634D29" w:rsidRDefault="00877DBE" w:rsidP="00634D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501A" w14:textId="77777777" w:rsidR="00C018C0" w:rsidRPr="0033525D" w:rsidRDefault="00C018C0">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260942"/>
      <w:docPartObj>
        <w:docPartGallery w:val="Page Numbers (Bottom of Page)"/>
        <w:docPartUnique/>
      </w:docPartObj>
    </w:sdtPr>
    <w:sdtEndPr>
      <w:rPr>
        <w:noProof/>
      </w:rPr>
    </w:sdtEndPr>
    <w:sdtContent>
      <w:p w14:paraId="0860680E" w14:textId="6EC9020C" w:rsidR="004416AA" w:rsidRDefault="004416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43CA3" w14:textId="67C2A327" w:rsidR="00C018C0" w:rsidRPr="004416AA" w:rsidRDefault="00C018C0" w:rsidP="004416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C22F" w14:textId="77777777" w:rsidR="00C018C0" w:rsidRDefault="00C018C0" w:rsidP="000A4C8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4D750C1" w14:textId="77777777" w:rsidR="00C018C0" w:rsidRDefault="00C018C0" w:rsidP="000A4C8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341C11F" w14:textId="77777777" w:rsidR="00C018C0" w:rsidRPr="000A4C81" w:rsidRDefault="00C018C0" w:rsidP="000A4C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193F" w14:textId="77777777" w:rsidR="00E740FA" w:rsidRPr="0033525D" w:rsidRDefault="00E740FA">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606558"/>
      <w:docPartObj>
        <w:docPartGallery w:val="Page Numbers (Bottom of Page)"/>
        <w:docPartUnique/>
      </w:docPartObj>
    </w:sdtPr>
    <w:sdtEndPr>
      <w:rPr>
        <w:noProof/>
      </w:rPr>
    </w:sdtEndPr>
    <w:sdtContent>
      <w:p w14:paraId="664D13AB" w14:textId="25BFA96E" w:rsidR="001F4ECA" w:rsidRDefault="001F4E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A4D036" w14:textId="77777777" w:rsidR="001D4FD2" w:rsidRPr="001D4FD2" w:rsidRDefault="001D4FD2" w:rsidP="001D4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BB419" w14:textId="77777777" w:rsidR="004E2977" w:rsidRDefault="004E2977" w:rsidP="00E30743">
      <w:pPr>
        <w:bidi/>
      </w:pPr>
      <w:r>
        <w:separator/>
      </w:r>
    </w:p>
  </w:footnote>
  <w:footnote w:type="continuationSeparator" w:id="0">
    <w:p w14:paraId="39A3BD88" w14:textId="77777777" w:rsidR="004E2977" w:rsidRDefault="004E2977" w:rsidP="004A504B">
      <w:r>
        <w:continuationSeparator/>
      </w:r>
    </w:p>
  </w:footnote>
  <w:footnote w:id="1">
    <w:p w14:paraId="53BAB186" w14:textId="496319E4" w:rsidR="00877DBE" w:rsidRDefault="00877DBE" w:rsidP="00783CF5">
      <w:pPr>
        <w:pStyle w:val="FootnoteText"/>
        <w:bidi/>
        <w:spacing w:after="60"/>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/ExCom/92/1</w:t>
      </w:r>
      <w:r>
        <w:rPr>
          <w:rFonts w:hint="cs"/>
          <w:rtl/>
          <w:lang w:bidi="ar-EG"/>
        </w:rPr>
        <w:t>.</w:t>
      </w:r>
    </w:p>
  </w:footnote>
  <w:footnote w:id="2">
    <w:p w14:paraId="3C21C29A" w14:textId="716454A3" w:rsidR="00877DBE" w:rsidRDefault="00877DBE" w:rsidP="009C7C7E">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rPr>
          <w:lang w:val="en-US"/>
        </w:rPr>
        <w:t>UNEP/</w:t>
      </w:r>
      <w:proofErr w:type="spellStart"/>
      <w:r>
        <w:rPr>
          <w:lang w:val="en-US"/>
        </w:rPr>
        <w:t>OzL.Pro</w:t>
      </w:r>
      <w:proofErr w:type="spellEnd"/>
      <w:r>
        <w:rPr>
          <w:lang w:val="en-US"/>
        </w:rPr>
        <w:t>/ExCom/91/72, Annex XXXIII</w:t>
      </w:r>
      <w:r>
        <w:rPr>
          <w:rFonts w:hint="cs"/>
          <w:rtl/>
          <w:lang w:val="en-US"/>
        </w:rPr>
        <w:t>.</w:t>
      </w:r>
    </w:p>
    <w:p w14:paraId="7705B96E" w14:textId="77777777" w:rsidR="00C02B5D" w:rsidRDefault="00C02B5D" w:rsidP="00C02B5D">
      <w:pPr>
        <w:pStyle w:val="FootnoteText"/>
        <w:bidi/>
        <w:rPr>
          <w:lang w:val="en-US"/>
        </w:rPr>
      </w:pPr>
    </w:p>
    <w:p w14:paraId="0A6F5C8F" w14:textId="77777777" w:rsidR="00C02B5D" w:rsidRPr="00674579" w:rsidRDefault="00C02B5D" w:rsidP="00C02B5D">
      <w:pPr>
        <w:pStyle w:val="FootnoteText"/>
        <w:bidi/>
        <w:rPr>
          <w:lang w:val="en-US"/>
        </w:rPr>
      </w:pPr>
    </w:p>
  </w:footnote>
  <w:footnote w:id="3">
    <w:p w14:paraId="0AC1B418" w14:textId="01F7F38C" w:rsidR="00877DBE" w:rsidRPr="007563CE" w:rsidRDefault="00877DBE" w:rsidP="0026639A">
      <w:pPr>
        <w:pStyle w:val="FootnoteText"/>
        <w:bidi/>
      </w:pPr>
      <w:r w:rsidRPr="00CF4D72">
        <w:rPr>
          <w:rStyle w:val="FootnoteReference"/>
        </w:rPr>
        <w:footnoteRef/>
      </w:r>
      <w:r w:rsidRPr="00CF4D72">
        <w:t xml:space="preserve"> </w:t>
      </w:r>
      <w:r>
        <w:rPr>
          <w:rFonts w:hint="cs"/>
          <w:rtl/>
        </w:rPr>
        <w:t xml:space="preserve"> </w:t>
      </w:r>
      <w:r w:rsidRPr="0026639A">
        <w:rPr>
          <w:rtl/>
        </w:rPr>
        <w:t xml:space="preserve">الفقرات 245-252 من الوثيقة </w:t>
      </w:r>
      <w:r w:rsidRPr="0026639A">
        <w:t xml:space="preserve">UNEP / </w:t>
      </w:r>
      <w:proofErr w:type="spellStart"/>
      <w:r w:rsidRPr="0026639A">
        <w:t>OzL.Pro</w:t>
      </w:r>
      <w:proofErr w:type="spellEnd"/>
      <w:r w:rsidRPr="0026639A">
        <w:t xml:space="preserve"> / ExCom / 91/72</w:t>
      </w:r>
      <w:r>
        <w:rPr>
          <w:rFonts w:hint="cs"/>
          <w:rtl/>
        </w:rPr>
        <w:t>.</w:t>
      </w:r>
    </w:p>
  </w:footnote>
  <w:footnote w:id="4">
    <w:p w14:paraId="3EB6CD91" w14:textId="23C98848" w:rsidR="00877DBE" w:rsidRDefault="00877DBE" w:rsidP="00F03F0C">
      <w:pPr>
        <w:pStyle w:val="FootnoteText"/>
        <w:bidi/>
      </w:pPr>
      <w:r>
        <w:rPr>
          <w:rStyle w:val="FootnoteReference"/>
        </w:rPr>
        <w:footnoteRef/>
      </w:r>
      <w:r>
        <w:t> </w:t>
      </w:r>
      <w:r>
        <w:rPr>
          <w:rFonts w:hint="cs"/>
          <w:highlight w:val="yellow"/>
          <w:rtl/>
          <w:lang w:bidi="ar-EG"/>
        </w:rPr>
        <w:t xml:space="preserve"> </w:t>
      </w:r>
      <w:r w:rsidRPr="00C02B5D">
        <w:rPr>
          <w:rFonts w:hint="cs"/>
          <w:rtl/>
          <w:lang w:bidi="ar-EG"/>
        </w:rPr>
        <w:t xml:space="preserve">هذا الخياران المتعلقان بتمويل الأنشطة للحفاظ أو تعزيز كفاءة استخدام الطاقة في التكنولوجيات والمعدات البديلة من خلال المساهمات العادية للصندوق المتعدد الأطراف، </w:t>
      </w:r>
      <w:r w:rsidR="00F03F0C" w:rsidRPr="00C02B5D">
        <w:rPr>
          <w:rFonts w:hint="cs"/>
          <w:rtl/>
          <w:lang w:bidi="ar-EG"/>
        </w:rPr>
        <w:t>(</w:t>
      </w:r>
      <w:r w:rsidRPr="00C02B5D">
        <w:rPr>
          <w:rFonts w:hint="cs"/>
          <w:rtl/>
          <w:lang w:bidi="ar-EG"/>
        </w:rPr>
        <w:t>الخيار الأول</w:t>
      </w:r>
      <w:r w:rsidR="00F03F0C" w:rsidRPr="00C02B5D">
        <w:rPr>
          <w:rFonts w:hint="cs"/>
          <w:rtl/>
          <w:lang w:bidi="ar-EG"/>
        </w:rPr>
        <w:t>) ومن خلال الاموال الإضافية التي تقدم من البلدان المانحة المعنية (مثل من خلال المساهمات العادية خارج الصندوق المتعدد الأطراف) (الخيار الثاني).</w:t>
      </w:r>
    </w:p>
  </w:footnote>
  <w:footnote w:id="5">
    <w:p w14:paraId="4FAE1312" w14:textId="73227B0D" w:rsidR="00877DBE" w:rsidRPr="00775F36" w:rsidRDefault="00877DBE" w:rsidP="00F03F0C">
      <w:pPr>
        <w:pStyle w:val="FootnoteText"/>
        <w:bidi/>
        <w:rPr>
          <w:lang w:val="en-US"/>
        </w:rPr>
      </w:pPr>
      <w:r>
        <w:rPr>
          <w:rStyle w:val="FootnoteReference"/>
        </w:rPr>
        <w:footnoteRef/>
      </w:r>
      <w:r>
        <w:t xml:space="preserve"> </w:t>
      </w:r>
      <w:r w:rsidR="00F03F0C">
        <w:rPr>
          <w:rFonts w:hint="cs"/>
          <w:rtl/>
          <w:lang w:val="en-US"/>
        </w:rPr>
        <w:t xml:space="preserve"> </w:t>
      </w:r>
      <w:r w:rsidR="00F03F0C" w:rsidRPr="00F03F0C">
        <w:rPr>
          <w:rtl/>
          <w:lang w:val="en-US"/>
        </w:rPr>
        <w:t xml:space="preserve">الفقرة 243 من الوثيقة </w:t>
      </w:r>
      <w:r w:rsidR="00F03F0C" w:rsidRPr="00F03F0C">
        <w:rPr>
          <w:lang w:val="en-US"/>
        </w:rPr>
        <w:t xml:space="preserve">UNEP / </w:t>
      </w:r>
      <w:proofErr w:type="spellStart"/>
      <w:r w:rsidR="00F03F0C" w:rsidRPr="00F03F0C">
        <w:rPr>
          <w:lang w:val="en-US"/>
        </w:rPr>
        <w:t>OzL.Pro</w:t>
      </w:r>
      <w:proofErr w:type="spellEnd"/>
      <w:r w:rsidR="00F03F0C" w:rsidRPr="00F03F0C">
        <w:rPr>
          <w:lang w:val="en-US"/>
        </w:rPr>
        <w:t xml:space="preserve"> / ExCom / 91/72</w:t>
      </w:r>
      <w:r w:rsidR="00F03F0C">
        <w:rPr>
          <w:rFonts w:hint="cs"/>
          <w:rtl/>
          <w:lang w:val="en-US"/>
        </w:rPr>
        <w:t>.</w:t>
      </w:r>
    </w:p>
  </w:footnote>
  <w:footnote w:id="6">
    <w:p w14:paraId="3B6A7FD9" w14:textId="51943883" w:rsidR="00877DBE" w:rsidRPr="00A90FCE" w:rsidRDefault="00877DBE" w:rsidP="00F03F0C">
      <w:pPr>
        <w:pStyle w:val="FootnoteText"/>
        <w:bidi/>
        <w:rPr>
          <w:lang w:val="en-US"/>
        </w:rPr>
      </w:pPr>
      <w:r>
        <w:rPr>
          <w:rStyle w:val="FootnoteReference"/>
        </w:rPr>
        <w:footnoteRef/>
      </w:r>
      <w:r>
        <w:t xml:space="preserve"> </w:t>
      </w:r>
      <w:r w:rsidR="00F03F0C">
        <w:rPr>
          <w:rFonts w:hint="cs"/>
          <w:rtl/>
        </w:rPr>
        <w:t xml:space="preserve"> </w:t>
      </w:r>
      <w:r w:rsidR="00F03F0C" w:rsidRPr="00F03F0C">
        <w:rPr>
          <w:rtl/>
          <w:lang w:val="en-US"/>
        </w:rPr>
        <w:t>مستنسخ</w:t>
      </w:r>
      <w:r w:rsidR="00F03F0C">
        <w:rPr>
          <w:rFonts w:hint="cs"/>
          <w:rtl/>
          <w:lang w:val="en-US"/>
        </w:rPr>
        <w:t>ة</w:t>
      </w:r>
      <w:r w:rsidR="00F03F0C" w:rsidRPr="00F03F0C">
        <w:rPr>
          <w:rtl/>
          <w:lang w:val="en-US"/>
        </w:rPr>
        <w:t xml:space="preserve"> من الوثيقة </w:t>
      </w:r>
      <w:r w:rsidR="00F03F0C" w:rsidRPr="00F03F0C">
        <w:rPr>
          <w:lang w:val="en-US"/>
        </w:rPr>
        <w:t xml:space="preserve">UNEP / </w:t>
      </w:r>
      <w:proofErr w:type="spellStart"/>
      <w:r w:rsidR="00F03F0C" w:rsidRPr="00F03F0C">
        <w:rPr>
          <w:lang w:val="en-US"/>
        </w:rPr>
        <w:t>OzL.Pro</w:t>
      </w:r>
      <w:proofErr w:type="spellEnd"/>
      <w:r w:rsidR="00F03F0C" w:rsidRPr="00F03F0C">
        <w:rPr>
          <w:lang w:val="en-US"/>
        </w:rPr>
        <w:t xml:space="preserve"> / ExCom / 91/72</w:t>
      </w:r>
      <w:r w:rsidR="00F03F0C" w:rsidRPr="00F03F0C">
        <w:rPr>
          <w:rtl/>
          <w:lang w:val="en-US"/>
        </w:rPr>
        <w:t xml:space="preserve">، المرفق </w:t>
      </w:r>
      <w:r w:rsidR="00F03F0C">
        <w:rPr>
          <w:rFonts w:hint="cs"/>
          <w:rtl/>
          <w:lang w:val="en-US"/>
        </w:rPr>
        <w:t>33</w:t>
      </w:r>
      <w:r w:rsidR="00F03F0C" w:rsidRPr="00F03F0C">
        <w:rPr>
          <w:rtl/>
          <w:lang w:val="en-US"/>
        </w:rPr>
        <w:t>.</w:t>
      </w:r>
    </w:p>
  </w:footnote>
  <w:footnote w:id="7">
    <w:p w14:paraId="0C3BC749" w14:textId="77777777" w:rsidR="00C018C0" w:rsidRDefault="00C018C0" w:rsidP="00C018C0">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الوثيقة </w:t>
      </w:r>
      <w:r>
        <w:t>UNEP/</w:t>
      </w:r>
      <w:proofErr w:type="spellStart"/>
      <w:r>
        <w:t>OzL.Pro</w:t>
      </w:r>
      <w:proofErr w:type="spellEnd"/>
      <w:r>
        <w:t>/ExCom/91/1</w:t>
      </w:r>
      <w:r>
        <w:rPr>
          <w:rFonts w:hint="cs"/>
          <w:rtl/>
          <w:lang w:bidi="ar-EG"/>
        </w:rPr>
        <w:t>.</w:t>
      </w:r>
    </w:p>
  </w:footnote>
  <w:footnote w:id="8">
    <w:p w14:paraId="6C58EB52" w14:textId="77777777" w:rsidR="00C018C0" w:rsidRDefault="00C018C0" w:rsidP="00C018C0">
      <w:pPr>
        <w:pStyle w:val="FootnoteText"/>
        <w:bidi/>
        <w:rPr>
          <w:lang w:val="en-US" w:bidi="ar-EG"/>
        </w:rPr>
      </w:pPr>
      <w:r>
        <w:rPr>
          <w:rStyle w:val="FootnoteReference"/>
        </w:rPr>
        <w:footnoteRef/>
      </w:r>
      <w:r>
        <w:t xml:space="preserve"> </w:t>
      </w:r>
      <w:r>
        <w:rPr>
          <w:rFonts w:hint="cs"/>
          <w:rtl/>
          <w:lang w:val="en-US" w:bidi="ar-EG"/>
        </w:rPr>
        <w:t xml:space="preserve"> تحديد الخبرات بما في ذلك الإجراءات والظروف ذات الصلة لتعبئة الموارد المالية للحفاظ و/أو تعزيز كفاءة استخدام الطاقة لدى الاحلال عن المواد الهيدروفلوروكربونية ببدائل منخفضة القدرة على الاحترار العالمي (المقرر 87/51).</w:t>
      </w:r>
    </w:p>
    <w:p w14:paraId="12EB9588" w14:textId="77777777" w:rsidR="00332509" w:rsidRDefault="00332509" w:rsidP="00332509">
      <w:pPr>
        <w:pStyle w:val="FootnoteText"/>
        <w:bidi/>
        <w:rPr>
          <w:lang w:val="en-US" w:bidi="ar-EG"/>
        </w:rPr>
      </w:pPr>
    </w:p>
    <w:p w14:paraId="2A48A4A6" w14:textId="77777777" w:rsidR="00C018C0" w:rsidRDefault="00C018C0" w:rsidP="00C018C0">
      <w:pPr>
        <w:pStyle w:val="FootnoteText"/>
        <w:bidi/>
        <w:rPr>
          <w:lang w:val="en-US" w:bidi="ar-EG"/>
        </w:rPr>
      </w:pPr>
    </w:p>
    <w:p w14:paraId="3FE13185" w14:textId="77777777" w:rsidR="00C018C0" w:rsidRDefault="00C018C0" w:rsidP="00C018C0">
      <w:pPr>
        <w:pStyle w:val="FootnoteText"/>
        <w:bidi/>
      </w:pPr>
    </w:p>
  </w:footnote>
  <w:footnote w:id="9">
    <w:p w14:paraId="3D35A484" w14:textId="77777777" w:rsidR="00C018C0" w:rsidRPr="00C853A0" w:rsidRDefault="00C018C0" w:rsidP="00C018C0">
      <w:pPr>
        <w:pStyle w:val="FootnoteText"/>
        <w:bidi/>
        <w:rPr>
          <w:lang w:val="en-US"/>
        </w:rPr>
      </w:pPr>
      <w:r>
        <w:rPr>
          <w:rStyle w:val="FootnoteReference"/>
        </w:rPr>
        <w:footnoteRef/>
      </w:r>
      <w:r>
        <w:t xml:space="preserve"> </w:t>
      </w:r>
      <w:r>
        <w:rPr>
          <w:rFonts w:hint="cs"/>
          <w:rtl/>
          <w:lang w:bidi="ar-EG"/>
        </w:rPr>
        <w:t xml:space="preserve"> فعلى سبيل المثال فإن المقرر 8/4 في عام 1997-1999 حدد موارد الصندوق المتعدد الأطراف وأدرج 10 ملايين دولار أمريكي لتمكين الأطراف في الماجة 5 من تقديم الإجراءات المتعلقة بقياس بروميد الميثيل في الوقت المناسب مع تعديل كوبنهاجن. ومنح المقرر 9/5 أولوية متقدمة لاستخدام موارد الصندوق لأغراض تحديد وتقييم ومواءمة وبيان البدائل العريضة في أطراف المادة 5 وإتاحة 25 مليون دولار أمريكي سنويا في كل من 1998 و1999 لتيسير أسرع للإجراءات للتمكين من الامتثال لإجراءات الرقابة المتفق عليها لبروميد الميثيل وغيره من المواد. والمقرر 16/13 لبيان أهمية إحلال مواد تبريد المباني المعتمدة على الهيدروفلوروكربون.</w:t>
      </w:r>
    </w:p>
  </w:footnote>
  <w:footnote w:id="10">
    <w:p w14:paraId="4DF536B1" w14:textId="77777777" w:rsidR="00C018C0" w:rsidRPr="0085328A" w:rsidRDefault="00C018C0" w:rsidP="00C018C0">
      <w:pPr>
        <w:pStyle w:val="FootnoteText"/>
        <w:bidi/>
      </w:pPr>
      <w:r>
        <w:rPr>
          <w:rStyle w:val="FootnoteReference"/>
        </w:rPr>
        <w:footnoteRef/>
      </w:r>
      <w:r>
        <w:t xml:space="preserve"> </w:t>
      </w:r>
      <w:r>
        <w:rPr>
          <w:rFonts w:hint="cs"/>
          <w:rtl/>
          <w:lang w:bidi="ar-EG"/>
        </w:rPr>
        <w:t xml:space="preserve"> ويمكن أن يتضمن ذلك التقدم التشغيلي والتقدم المالي ورصد وتقييم الآثار، ويرد المزيد من الأمثلة بشأن ذلك في الفقرات 34 الى 39 أدناه.</w:t>
      </w:r>
    </w:p>
  </w:footnote>
  <w:footnote w:id="11">
    <w:p w14:paraId="533FFCDD" w14:textId="77777777" w:rsidR="00C018C0" w:rsidRDefault="00C018C0" w:rsidP="00C018C0">
      <w:pPr>
        <w:pStyle w:val="FootnoteText"/>
        <w:bidi/>
      </w:pPr>
      <w:r w:rsidRPr="0085328A">
        <w:rPr>
          <w:rStyle w:val="FootnoteReference"/>
        </w:rPr>
        <w:footnoteRef/>
      </w:r>
      <w:r w:rsidRPr="0085328A">
        <w:t xml:space="preserve"> </w:t>
      </w:r>
      <w:r>
        <w:rPr>
          <w:rFonts w:hint="cs"/>
          <w:rtl/>
          <w:lang w:val="en-US" w:bidi="ar-EG"/>
        </w:rPr>
        <w:t xml:space="preserve"> </w:t>
      </w:r>
      <w:r>
        <w:rPr>
          <w:rFonts w:hint="cs"/>
          <w:rtl/>
          <w:lang w:val="en-US" w:bidi="ar-EG"/>
        </w:rPr>
        <w:t xml:space="preserve">يرد عرض عام لهذه الجوانب في الفقرات 25 الى 27 من الوثيقة </w:t>
      </w:r>
      <w:r w:rsidRPr="000A146A">
        <w:t>UNEP/</w:t>
      </w:r>
      <w:proofErr w:type="spellStart"/>
      <w:r w:rsidRPr="000A146A">
        <w:t>OzL.Pro</w:t>
      </w:r>
      <w:proofErr w:type="spellEnd"/>
      <w:r w:rsidRPr="000A146A">
        <w:t>/ExCom/89/12</w:t>
      </w:r>
      <w:r>
        <w:rPr>
          <w:rFonts w:hint="cs"/>
          <w:rtl/>
          <w:lang w:val="en-US" w:bidi="ar-EG"/>
        </w:rPr>
        <w:t>.</w:t>
      </w:r>
    </w:p>
  </w:footnote>
  <w:footnote w:id="12">
    <w:p w14:paraId="58D49EF3" w14:textId="77777777" w:rsidR="00C018C0" w:rsidRDefault="00C018C0" w:rsidP="00C018C0">
      <w:pPr>
        <w:pStyle w:val="FootnoteText"/>
        <w:bidi/>
      </w:pPr>
      <w:r>
        <w:rPr>
          <w:rStyle w:val="FootnoteReference"/>
        </w:rPr>
        <w:footnoteRef/>
      </w:r>
      <w:r>
        <w:t xml:space="preserve"> </w:t>
      </w:r>
      <w:r>
        <w:rPr>
          <w:rFonts w:hint="cs"/>
          <w:rtl/>
          <w:lang w:bidi="ar-EG"/>
        </w:rPr>
        <w:t xml:space="preserve"> </w:t>
      </w:r>
      <w:r>
        <w:rPr>
          <w:rFonts w:hint="cs"/>
          <w:rtl/>
          <w:lang w:bidi="ar-EG"/>
        </w:rPr>
        <w:t xml:space="preserve">مثلما جاء في الفقرة 25 من الوثيقة </w:t>
      </w:r>
      <w:r w:rsidRPr="00BB7EEE">
        <w:t>UNEP/</w:t>
      </w:r>
      <w:proofErr w:type="spellStart"/>
      <w:r w:rsidRPr="00BB7EEE">
        <w:t>OzL.Pro</w:t>
      </w:r>
      <w:proofErr w:type="spellEnd"/>
      <w:r w:rsidRPr="00BB7EEE">
        <w:t>/ExCom/</w:t>
      </w:r>
      <w:r>
        <w:t>89</w:t>
      </w:r>
      <w:r w:rsidRPr="00BB7EEE">
        <w:t>/</w:t>
      </w:r>
      <w:r>
        <w:t>12</w:t>
      </w:r>
      <w:r>
        <w:rPr>
          <w:rFonts w:hint="cs"/>
          <w:rtl/>
          <w:lang w:bidi="ar-EG"/>
        </w:rPr>
        <w:t>، فإن السداد يعتمد على جوانب الوصف لمختلف المستخدمين وأسعار الكهرباء.</w:t>
      </w:r>
    </w:p>
  </w:footnote>
  <w:footnote w:id="13">
    <w:p w14:paraId="6FE2A2FF" w14:textId="77777777" w:rsidR="00C018C0" w:rsidRDefault="00C018C0" w:rsidP="00C018C0">
      <w:pPr>
        <w:pStyle w:val="FootnoteText"/>
        <w:bidi/>
        <w:rPr>
          <w:rtl/>
          <w:lang w:bidi="ar-EG"/>
        </w:rPr>
      </w:pPr>
      <w:r>
        <w:rPr>
          <w:rStyle w:val="FootnoteReference"/>
        </w:rPr>
        <w:footnoteRef/>
      </w:r>
      <w:r>
        <w:t xml:space="preserve"> </w:t>
      </w:r>
      <w:r>
        <w:rPr>
          <w:rFonts w:hint="cs"/>
          <w:rtl/>
          <w:lang w:val="en-US" w:bidi="ar-EG"/>
        </w:rPr>
        <w:t xml:space="preserve"> </w:t>
      </w:r>
      <w:r w:rsidRPr="000D2FBD">
        <w:rPr>
          <w:rtl/>
          <w:lang w:val="en-US" w:bidi="ar-EG"/>
        </w:rPr>
        <w:t xml:space="preserve">مع مرور الوقت </w:t>
      </w:r>
      <w:r>
        <w:rPr>
          <w:rFonts w:hint="cs"/>
          <w:rtl/>
          <w:lang w:val="en-US" w:bidi="ar-EG"/>
        </w:rPr>
        <w:t>و</w:t>
      </w:r>
      <w:r>
        <w:rPr>
          <w:rtl/>
          <w:lang w:val="en-US" w:bidi="ar-EG"/>
        </w:rPr>
        <w:t>مع زيادة حجم الإنتاج</w:t>
      </w:r>
      <w:r w:rsidRPr="000D2FBD">
        <w:rPr>
          <w:rtl/>
          <w:lang w:val="en-US" w:bidi="ar-EG"/>
        </w:rPr>
        <w:t>، ستنخفض التكاليف.</w:t>
      </w:r>
    </w:p>
  </w:footnote>
  <w:footnote w:id="14">
    <w:p w14:paraId="6493FEDB" w14:textId="77777777" w:rsidR="00C018C0" w:rsidRDefault="00C018C0" w:rsidP="00C018C0">
      <w:pPr>
        <w:pStyle w:val="FootnoteText"/>
        <w:bidi/>
      </w:pPr>
      <w:r w:rsidRPr="002E0A7E">
        <w:rPr>
          <w:rStyle w:val="FootnoteReference"/>
        </w:rPr>
        <w:footnoteRef/>
      </w:r>
      <w:r w:rsidRPr="002E0A7E">
        <w:t xml:space="preserve"> </w:t>
      </w:r>
      <w:r>
        <w:rPr>
          <w:rFonts w:hint="cs"/>
          <w:rtl/>
          <w:lang w:val="en-US" w:bidi="ar-EG"/>
        </w:rPr>
        <w:t xml:space="preserve"> القسم 45 من المجلد 3 في المقرر 33/5 مواصلة تقديم المعلومات عن كفاءة استخدام الطاقة والتكنولوجيات المنخفضة القدرة على الاحترار العالمي، مايو/ أيار 2022.</w:t>
      </w:r>
    </w:p>
  </w:footnote>
  <w:footnote w:id="15">
    <w:p w14:paraId="1CA4F8E5" w14:textId="77777777" w:rsidR="00C018C0" w:rsidRDefault="00C018C0" w:rsidP="00C018C0">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النتائج المستمدة من الدراسة المتعلقة بتقييم المستويات الدنيا لأداء الطاقة في قطاع الخدمة الواردة في الوثيقة </w:t>
      </w:r>
      <w:r w:rsidRPr="0003469F">
        <w:t>UNEP/</w:t>
      </w:r>
      <w:proofErr w:type="spellStart"/>
      <w:r w:rsidRPr="0003469F">
        <w:t>OzL.Pro</w:t>
      </w:r>
      <w:proofErr w:type="spellEnd"/>
      <w:r w:rsidRPr="0003469F">
        <w:t xml:space="preserve">/ExCom/88/10 </w:t>
      </w:r>
      <w:r>
        <w:rPr>
          <w:rFonts w:hint="cs"/>
          <w:rtl/>
          <w:lang w:val="en-US" w:bidi="ar-EG"/>
        </w:rPr>
        <w:t xml:space="preserve"> يمكن أيضا استخدامها في المشروعات ذات الصلة.</w:t>
      </w:r>
    </w:p>
  </w:footnote>
  <w:footnote w:id="16">
    <w:p w14:paraId="7FED1ACA" w14:textId="77777777" w:rsidR="00C018C0" w:rsidRDefault="00C018C0" w:rsidP="00C018C0">
      <w:pPr>
        <w:pStyle w:val="FootnoteText"/>
        <w:bidi/>
      </w:pPr>
      <w:r>
        <w:rPr>
          <w:rStyle w:val="FootnoteReference"/>
        </w:rPr>
        <w:footnoteRef/>
      </w:r>
      <w:r>
        <w:t xml:space="preserve"> </w:t>
      </w:r>
      <w:r>
        <w:rPr>
          <w:rFonts w:hint="cs"/>
          <w:rtl/>
        </w:rPr>
        <w:t xml:space="preserve"> </w:t>
      </w:r>
      <w:r>
        <w:rPr>
          <w:rFonts w:hint="cs"/>
          <w:rtl/>
        </w:rPr>
        <w:t>يقدم المقرر 84/84 معلومات عن المعايير التي يمكن نظرها في التكرار والتكبير.</w:t>
      </w:r>
    </w:p>
  </w:footnote>
  <w:footnote w:id="17">
    <w:p w14:paraId="4629C107" w14:textId="77777777" w:rsidR="00C018C0" w:rsidRPr="00B306FC" w:rsidRDefault="00C018C0" w:rsidP="00C018C0">
      <w:pPr>
        <w:pStyle w:val="FootnoteText"/>
        <w:bidi/>
      </w:pPr>
      <w:r>
        <w:rPr>
          <w:rStyle w:val="FootnoteReference"/>
        </w:rPr>
        <w:footnoteRef/>
      </w:r>
      <w:r>
        <w:t xml:space="preserve"> </w:t>
      </w:r>
      <w:r>
        <w:rPr>
          <w:rFonts w:hint="cs"/>
          <w:rtl/>
          <w:lang w:bidi="ar-EG"/>
        </w:rPr>
        <w:t xml:space="preserve"> </w:t>
      </w:r>
      <w:r>
        <w:rPr>
          <w:rFonts w:hint="cs"/>
          <w:rtl/>
          <w:lang w:bidi="ar-EG"/>
        </w:rPr>
        <w:t>يمكن تقييم احتياجات البلدان لوضع وتعزيز المستويات الدنيا لأداء الطاقة على أساس كل حالة على حدة، وأن تعتمد على وضع رقم الأساس للمستويات الدنيا لأداء الطاقة ومستوى الدعم المتوافر لتعزيز المستويات الدنيا لأداء الطاقة من الموارد غير المتوافرة لدى الصندوق المتعدد الأطراف.</w:t>
      </w:r>
      <w:r w:rsidRPr="00B306FC">
        <w:t xml:space="preserve"> </w:t>
      </w:r>
    </w:p>
  </w:footnote>
  <w:footnote w:id="18">
    <w:p w14:paraId="4ADEF6F2" w14:textId="77777777" w:rsidR="00C018C0" w:rsidRPr="000A2887" w:rsidRDefault="00C018C0" w:rsidP="00C018C0">
      <w:pPr>
        <w:bidi/>
        <w:rPr>
          <w:i/>
          <w:iCs/>
        </w:rPr>
      </w:pPr>
      <w:r w:rsidRPr="00B306FC">
        <w:rPr>
          <w:rStyle w:val="FootnoteReference"/>
        </w:rPr>
        <w:footnoteRef/>
      </w:r>
      <w:r w:rsidRPr="00B306FC">
        <w:t xml:space="preserve"> </w:t>
      </w:r>
      <w:r>
        <w:rPr>
          <w:rFonts w:hint="cs"/>
          <w:sz w:val="20"/>
          <w:szCs w:val="20"/>
          <w:rtl/>
          <w:lang w:bidi="ar-EG"/>
        </w:rPr>
        <w:t xml:space="preserve"> يعتبر تنفيذ المستويات الدنيا لأداء الطاقة شرطا هاما لتصميم وتنفيذ تدابير كفاءة استخدام الطاقة في عدم وجود المستويات الدنيات لأداء الطاقة. ولت تملك الحكومات أي رقابة عادية لبدء وتدعيم تدخلات كفاءة الطاقة في التطبيقات المعنية. </w:t>
      </w:r>
      <w:r>
        <w:rPr>
          <w:rFonts w:hint="cs"/>
          <w:sz w:val="20"/>
          <w:szCs w:val="20"/>
          <w:rtl/>
          <w:lang w:bidi="ar-EG"/>
        </w:rPr>
        <w:t xml:space="preserve">ويمكن معالجة ذلك أيضا في الوثيقة المتعلقة بمشروع المعايير للتمويل بما في ذلك اعتبارات الفقرة التشغيلية 24 من المقرر 28/2 (والفقرة 176 من الوثيقة </w:t>
      </w:r>
      <w:r w:rsidRPr="00765E4F">
        <w:rPr>
          <w:sz w:val="20"/>
          <w:szCs w:val="20"/>
        </w:rPr>
        <w:t>UNEP/</w:t>
      </w:r>
      <w:proofErr w:type="spellStart"/>
      <w:r w:rsidRPr="00765E4F">
        <w:rPr>
          <w:sz w:val="20"/>
          <w:szCs w:val="20"/>
        </w:rPr>
        <w:t>OzL.Pro</w:t>
      </w:r>
      <w:proofErr w:type="spellEnd"/>
      <w:r w:rsidRPr="00765E4F">
        <w:rPr>
          <w:sz w:val="20"/>
          <w:szCs w:val="20"/>
        </w:rPr>
        <w:t>/ExCom/90/40</w:t>
      </w:r>
      <w:r>
        <w:rPr>
          <w:rFonts w:hint="cs"/>
          <w:sz w:val="20"/>
          <w:szCs w:val="20"/>
          <w:rtl/>
          <w:lang w:bidi="ar-EG"/>
        </w:rPr>
        <w:t xml:space="preserve"> والمقرر 90/40(د)) والوثيقة (</w:t>
      </w:r>
      <w:r w:rsidRPr="0072178A">
        <w:rPr>
          <w:sz w:val="20"/>
          <w:szCs w:val="20"/>
        </w:rPr>
        <w:t>UNEP/</w:t>
      </w:r>
      <w:proofErr w:type="spellStart"/>
      <w:r w:rsidRPr="0072178A">
        <w:rPr>
          <w:sz w:val="20"/>
          <w:szCs w:val="20"/>
        </w:rPr>
        <w:t>OzL.Pro</w:t>
      </w:r>
      <w:proofErr w:type="spellEnd"/>
      <w:r w:rsidRPr="0072178A">
        <w:rPr>
          <w:sz w:val="20"/>
          <w:szCs w:val="20"/>
        </w:rPr>
        <w:t>/ExCom/91/62</w:t>
      </w:r>
      <w:r>
        <w:rPr>
          <w:rFonts w:hint="cs"/>
          <w:sz w:val="20"/>
          <w:szCs w:val="20"/>
          <w:rtl/>
          <w:lang w:bidi="ar-EG"/>
        </w:rPr>
        <w:t>).</w:t>
      </w:r>
    </w:p>
  </w:footnote>
  <w:footnote w:id="19">
    <w:p w14:paraId="66B46DBD" w14:textId="77777777" w:rsidR="00C018C0" w:rsidRPr="008D0833" w:rsidRDefault="00C018C0" w:rsidP="00C018C0">
      <w:pPr>
        <w:pStyle w:val="FootnoteText"/>
        <w:bidi/>
      </w:pPr>
      <w:r>
        <w:rPr>
          <w:rStyle w:val="FootnoteReference"/>
        </w:rPr>
        <w:footnoteRef/>
      </w:r>
      <w:r>
        <w:t xml:space="preserve"> </w:t>
      </w:r>
      <w:r>
        <w:rPr>
          <w:rFonts w:hint="cs"/>
          <w:rtl/>
          <w:lang w:val="en-US" w:bidi="ar-EG"/>
        </w:rPr>
        <w:t xml:space="preserve"> ويمكن أن يتضمن ذلك تصميم وعمليات اختبار وتحقق ورصد لمختلف فئات المعدات، والدعم بالأجهزة والتدريب وبناء القدرات لسلطات الاعتماد والرصد، ويمكن النظر الى الحاجة الى هذه التيسيرات على أساس كل حالة على حدة</w:t>
      </w:r>
    </w:p>
  </w:footnote>
  <w:footnote w:id="20">
    <w:p w14:paraId="32E2E4F8" w14:textId="77777777" w:rsidR="00C018C0" w:rsidRPr="0007138C" w:rsidRDefault="00C018C0" w:rsidP="00C018C0">
      <w:pPr>
        <w:pStyle w:val="FootnoteText"/>
        <w:bidi/>
      </w:pPr>
      <w:r>
        <w:rPr>
          <w:rStyle w:val="FootnoteReference"/>
        </w:rPr>
        <w:footnoteRef/>
      </w:r>
      <w:r>
        <w:t xml:space="preserve"> </w:t>
      </w:r>
      <w:r>
        <w:rPr>
          <w:rFonts w:hint="cs"/>
          <w:rtl/>
          <w:lang w:bidi="ar-EG"/>
        </w:rPr>
        <w:t xml:space="preserve"> ويتعلق ذلك بالموظفين المسؤولين عن إنفاذ الامتثال لقواعد كفاءة استخدام الطاقة ذات الصلة بمعدات التبريد وتكييف الهواء وقوة الدفع الحراري.</w:t>
      </w:r>
    </w:p>
  </w:footnote>
  <w:footnote w:id="21">
    <w:p w14:paraId="4576DADB" w14:textId="77777777" w:rsidR="00C018C0" w:rsidRPr="00281CDF" w:rsidRDefault="00C018C0" w:rsidP="00C018C0">
      <w:pPr>
        <w:pStyle w:val="FootnoteText"/>
        <w:bidi/>
        <w:rPr>
          <w:lang w:val="en-US"/>
        </w:rPr>
      </w:pPr>
      <w:r>
        <w:rPr>
          <w:rStyle w:val="FootnoteReference"/>
        </w:rPr>
        <w:footnoteRef/>
      </w:r>
      <w:r>
        <w:t xml:space="preserve"> </w:t>
      </w:r>
      <w:r>
        <w:rPr>
          <w:rFonts w:hint="cs"/>
          <w:rtl/>
          <w:lang w:val="en-US" w:bidi="ar-EG"/>
        </w:rPr>
        <w:t xml:space="preserve"> قررت اللجنة التنفيذية أنه بالنسبة للبلدان التي تختار تنفيذ المشروعات الاستثمارية الإفرادية أو خطط قطاعية قبل تقديم المرحلة الأولى من مشروعات تعديل كيجالي، الموافقة على ضرورة أن تسفر هذه المشروعات خفض المواد الهيدروفلوروكربونية مقابل الاستهلاك المؤهل المحدود في مشروعات تعديل كيجالي وينبغي أن تبين ارتباط المشروع الاستثماري بتحقيق الاستراتيجية الشاملة للبلد والوقت الذي قدم في مشروع تعديل كيجالي مشروعا استثماريا.</w:t>
      </w:r>
    </w:p>
  </w:footnote>
  <w:footnote w:id="22">
    <w:p w14:paraId="7BB6D873" w14:textId="77777777" w:rsidR="00C018C0" w:rsidRDefault="00C018C0" w:rsidP="00C018C0">
      <w:pPr>
        <w:pStyle w:val="FootnoteText"/>
        <w:bidi/>
        <w:spacing w:before="240"/>
      </w:pPr>
      <w:r>
        <w:rPr>
          <w:rStyle w:val="FootnoteReference"/>
        </w:rPr>
        <w:footnoteRef/>
      </w:r>
      <w:r>
        <w:t xml:space="preserve"> </w:t>
      </w:r>
      <w:r>
        <w:rPr>
          <w:rFonts w:hint="cs"/>
          <w:rtl/>
          <w:lang w:bidi="ar-EG"/>
        </w:rPr>
        <w:t xml:space="preserve"> يمكن أن يتضمن ذلك مستوى النشاط/ المنتج (مثل عدد المستخدمين الذين استبدلوا المعدات التي لا تتسم بالكفاءة الحالية بمعدات كفاءة استخدام الطاقة، وعدد برامج التدريب التي أجريت مع عدد الفنيين المتدربين وعدد مختبرات الاختبار والتحقق التي رخصت) وإبلاغ الاستثناءات (مثل عدد حالات استيراد المعدات التي لا تتسم بكفاءة الطاقة غير القانونية) ومستوى الدخل وأن الاتفاق مع السلطات المعنية بكفاءة استخدام الطاقة لإدراج الحدود القصوى للقدرة على الاحترار العالمي (في المستويات الدنيا لأداء الطاقة في معدات التبريد وتكييف الهواء ومضخات الدفع الحراري).</w:t>
      </w:r>
    </w:p>
  </w:footnote>
  <w:footnote w:id="23">
    <w:p w14:paraId="309AAC43" w14:textId="77777777" w:rsidR="00C018C0" w:rsidRPr="00C10593" w:rsidRDefault="00C018C0" w:rsidP="00C018C0">
      <w:pPr>
        <w:pStyle w:val="FootnoteText"/>
        <w:bidi/>
        <w:rPr>
          <w:lang w:val="en-US"/>
        </w:rPr>
      </w:pPr>
      <w:r>
        <w:rPr>
          <w:rStyle w:val="FootnoteReference"/>
        </w:rPr>
        <w:footnoteRef/>
      </w:r>
      <w:r>
        <w:t xml:space="preserve"> </w:t>
      </w:r>
      <w:r>
        <w:rPr>
          <w:rFonts w:hint="cs"/>
          <w:rtl/>
          <w:lang w:val="en-US" w:bidi="ar-EG"/>
        </w:rPr>
        <w:t xml:space="preserve"> هذا تقييم مبسط للآثار، وتجنب المستويات المعتمدة لتقييم الانخفاضات في انبعاثات غازات الاحتباس الحراري الناشئة عن كفاءة استخدام الطاقة وينبغي إدراك أن هذه الأنشطة سوف تتحول ببطء الى كفاءة استخدام الطاقة بمستوى تجميعي بالنظر الى أن مخزونات المعدات سوف تستبدل ببطء بمعدات تتسم بكفاءة استخدام الطاقة.</w:t>
      </w:r>
    </w:p>
  </w:footnote>
  <w:footnote w:id="24">
    <w:p w14:paraId="38CF632D" w14:textId="77777777" w:rsidR="00C018C0" w:rsidRPr="00277784" w:rsidRDefault="00C018C0" w:rsidP="00C018C0">
      <w:pPr>
        <w:pStyle w:val="FootnoteText"/>
        <w:bidi/>
      </w:pPr>
      <w:r>
        <w:rPr>
          <w:rStyle w:val="FootnoteReference"/>
        </w:rPr>
        <w:footnoteRef/>
      </w:r>
      <w:r>
        <w:t xml:space="preserve"> </w:t>
      </w:r>
      <w:r>
        <w:rPr>
          <w:rFonts w:hint="cs"/>
          <w:rtl/>
          <w:lang w:val="en-US" w:bidi="ar-EG"/>
        </w:rPr>
        <w:t xml:space="preserve"> في إطار مشروعات إزالة المواد المستنفدة للأوزون وربما في إطار تنفيذ مروعات تعديل كيجالي، توفر الأنشطة المتعلقة بصورة مباشرة والتي لا تمثل مشروعات تحويل تتعلق بإزالة المواد المستنفدة للأوزون/ خفض استهلاك المواد الهيدروفلوروكربونية يتعذر التيقن إلاّ أن أهمية هذا النشاط في التحول بمردودية التكاليف الى البدائل الخالية من المواد المستنفدة للأوزون والهيدروفلوروكربون تحظى بإدراك جيد ولاسيما في سياق الدعم المقدم للمنشئات الصغيرة وغير الرسمية وقد عالجت عمليات الصندوق المتعدد الأطراف ذلك في السابق من خلال ذكر الآثار على نسبة مستوى التمويل. مهما كان مصدره ولم يمكن ربطها بالإزالة الفعلية.</w:t>
      </w:r>
    </w:p>
  </w:footnote>
  <w:footnote w:id="25">
    <w:p w14:paraId="071C9137" w14:textId="77777777" w:rsidR="00C018C0" w:rsidRDefault="00C018C0" w:rsidP="00C018C0">
      <w:pPr>
        <w:pStyle w:val="FootnoteText"/>
        <w:bidi/>
      </w:pPr>
      <w:r>
        <w:rPr>
          <w:rStyle w:val="FootnoteReference"/>
        </w:rPr>
        <w:footnoteRef/>
      </w:r>
      <w:r>
        <w:t xml:space="preserve"> </w:t>
      </w:r>
      <w:r>
        <w:rPr>
          <w:rFonts w:hint="cs"/>
          <w:rtl/>
          <w:lang w:val="en-US" w:bidi="ar-EG"/>
        </w:rPr>
        <w:t xml:space="preserve"> تتعلق هذه الوفورات بشركة التصنيع </w:t>
      </w:r>
      <w:r>
        <w:t>ABC</w:t>
      </w:r>
      <w:r>
        <w:rPr>
          <w:rFonts w:hint="cs"/>
          <w:rtl/>
          <w:lang w:val="en-US" w:bidi="ar-EG"/>
        </w:rPr>
        <w:t xml:space="preserve"> وأسفرت عن خفض في التكاليف بنسبة 15 في المائة لكفاءة استخدام الطاقة المتزامنة- أسلوب تحويل غازات التبريد بالمقارنة بالتحويلات المنفردة وبالنسبة للقطاعات والشركات الأخرى يختلف حجم الخفض إلاّ أن ذلك قد يتغير.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D816" w14:textId="55FAD4B5" w:rsidR="00877DBE" w:rsidRPr="0033525D" w:rsidRDefault="00844963" w:rsidP="00C02B5D">
    <w:pPr>
      <w:jc w:val="right"/>
    </w:pPr>
    <w:r>
      <w:fldChar w:fldCharType="begin"/>
    </w:r>
    <w:r>
      <w:instrText xml:space="preserve"> DOCPROPERTY "Document number"  \* MERGEFORMAT </w:instrText>
    </w:r>
    <w:r>
      <w:fldChar w:fldCharType="separate"/>
    </w:r>
    <w:r w:rsidR="00877DBE">
      <w:t>UNEP/</w:t>
    </w:r>
    <w:proofErr w:type="spellStart"/>
    <w:r w:rsidR="00877DBE">
      <w:t>OzL.Pro</w:t>
    </w:r>
    <w:proofErr w:type="spellEnd"/>
    <w:r w:rsidR="00877DBE">
      <w:t>/ExCom/92/47</w:t>
    </w:r>
    <w:r>
      <w:fldChar w:fldCharType="end"/>
    </w:r>
  </w:p>
  <w:p w14:paraId="2165B270" w14:textId="77777777" w:rsidR="00877DBE" w:rsidRPr="0033525D" w:rsidRDefault="00877DBE"/>
  <w:p w14:paraId="557B427C" w14:textId="77777777" w:rsidR="00877DBE" w:rsidRPr="0033525D" w:rsidRDefault="00877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E085" w14:textId="4BCA21CC" w:rsidR="00877DBE" w:rsidRPr="0033525D" w:rsidRDefault="00844963" w:rsidP="00C02B5D">
    <w:pPr>
      <w:jc w:val="left"/>
    </w:pPr>
    <w:r>
      <w:fldChar w:fldCharType="begin"/>
    </w:r>
    <w:r>
      <w:instrText xml:space="preserve"> DOCPROPERTY "Document number"  \* MERGEFORMAT </w:instrText>
    </w:r>
    <w:r>
      <w:fldChar w:fldCharType="separate"/>
    </w:r>
    <w:r w:rsidR="00877DBE">
      <w:t>UNEP/</w:t>
    </w:r>
    <w:proofErr w:type="spellStart"/>
    <w:r w:rsidR="00877DBE">
      <w:t>OzL.Pro</w:t>
    </w:r>
    <w:proofErr w:type="spellEnd"/>
    <w:r w:rsidR="00877DBE">
      <w:t>/ExCom/92/47</w:t>
    </w:r>
    <w:r>
      <w:fldChar w:fldCharType="end"/>
    </w:r>
  </w:p>
  <w:p w14:paraId="02B23725" w14:textId="77777777" w:rsidR="00877DBE" w:rsidRPr="0033525D" w:rsidRDefault="00877DBE"/>
  <w:p w14:paraId="09FA3E6B" w14:textId="77777777" w:rsidR="00877DBE" w:rsidRPr="0033525D" w:rsidRDefault="00877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BA61" w14:textId="77777777" w:rsidR="00877DBE" w:rsidRPr="0033525D" w:rsidRDefault="00877DBE">
    <w:r w:rsidRPr="0087328C">
      <w:t>UNEP/</w:t>
    </w:r>
    <w:proofErr w:type="spellStart"/>
    <w:r w:rsidRPr="0087328C">
      <w:t>OzL.Pro</w:t>
    </w:r>
    <w:proofErr w:type="spellEnd"/>
    <w:r w:rsidRPr="0087328C">
      <w:t>/ExCom/91/64</w:t>
    </w:r>
  </w:p>
  <w:p w14:paraId="05B4FC59" w14:textId="18DC663F" w:rsidR="00877DBE" w:rsidRDefault="00877DBE">
    <w:r>
      <w:t>Annex</w:t>
    </w:r>
  </w:p>
  <w:p w14:paraId="33EFF8D2" w14:textId="77777777" w:rsidR="00877DBE" w:rsidRPr="0033525D" w:rsidRDefault="00877DBE"/>
  <w:p w14:paraId="0B41A565" w14:textId="77777777" w:rsidR="00877DBE" w:rsidRPr="0033525D" w:rsidRDefault="00877D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F175F" w14:textId="77777777" w:rsidR="00B527AA" w:rsidRDefault="00B527AA" w:rsidP="00B527AA">
    <w:pPr>
      <w:jc w:val="left"/>
    </w:pPr>
    <w:r>
      <w:fldChar w:fldCharType="begin"/>
    </w:r>
    <w:r>
      <w:instrText xml:space="preserve"> DOCPROPERTY "Document number"  \* MERGEFORMAT </w:instrText>
    </w:r>
    <w:r>
      <w:fldChar w:fldCharType="separate"/>
    </w:r>
    <w:r>
      <w:t>UNEP/</w:t>
    </w:r>
    <w:proofErr w:type="spellStart"/>
    <w:r>
      <w:t>OzL.Pro</w:t>
    </w:r>
    <w:proofErr w:type="spellEnd"/>
    <w:r>
      <w:t>/ExCom/92/47</w:t>
    </w:r>
    <w:r>
      <w:fldChar w:fldCharType="end"/>
    </w:r>
  </w:p>
  <w:p w14:paraId="7F998412" w14:textId="5475BE5E" w:rsidR="00195B57" w:rsidRPr="0033525D" w:rsidRDefault="00195B57" w:rsidP="00B527AA">
    <w:pPr>
      <w:jc w:val="left"/>
    </w:pPr>
    <w:r>
      <w:t xml:space="preserve">Annex </w:t>
    </w:r>
  </w:p>
  <w:p w14:paraId="50F48989" w14:textId="77777777" w:rsidR="00877DBE" w:rsidRDefault="00877DBE" w:rsidP="00F15278">
    <w:pPr>
      <w:pStyle w:val="Header"/>
      <w:jc w:val="right"/>
    </w:pPr>
  </w:p>
  <w:p w14:paraId="34C169CC" w14:textId="77777777" w:rsidR="00B527AA" w:rsidRDefault="00B527AA" w:rsidP="00F152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B929D" w14:textId="77777777" w:rsidR="00C018C0" w:rsidRPr="0033525D" w:rsidRDefault="00C018C0" w:rsidP="00CC7BF5">
    <w:pPr>
      <w:jc w:val="left"/>
    </w:pPr>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6734949B" w14:textId="77777777" w:rsidR="00C018C0" w:rsidRPr="0033525D" w:rsidRDefault="00C018C0"/>
  <w:p w14:paraId="6735FD03" w14:textId="77777777" w:rsidR="00C018C0" w:rsidRPr="0033525D" w:rsidRDefault="00C018C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D2EB" w14:textId="77777777" w:rsidR="00C018C0" w:rsidRPr="0033525D" w:rsidRDefault="00C018C0" w:rsidP="00C95105">
    <w:pPr>
      <w:jc w:val="right"/>
    </w:pPr>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3114481B" w14:textId="77777777" w:rsidR="00C018C0" w:rsidRPr="0033525D" w:rsidRDefault="00C018C0"/>
  <w:p w14:paraId="721EF944" w14:textId="77777777" w:rsidR="00C018C0" w:rsidRPr="0033525D" w:rsidRDefault="00C018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400E" w14:textId="77777777" w:rsidR="00C018C0" w:rsidRDefault="00C018C0" w:rsidP="00F1527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D974" w14:textId="77777777" w:rsidR="00E740FA" w:rsidRPr="0033525D" w:rsidRDefault="00E740FA" w:rsidP="00E740FA">
    <w:pPr>
      <w:jc w:val="right"/>
    </w:pPr>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2773EE4A" w14:textId="5556004A" w:rsidR="00E740FA" w:rsidRPr="0033525D" w:rsidRDefault="00E740FA" w:rsidP="00E740FA">
    <w:pPr>
      <w:jc w:val="right"/>
    </w:pPr>
    <w:r>
      <w:t>Annex</w:t>
    </w:r>
  </w:p>
  <w:p w14:paraId="25895ABC" w14:textId="77777777" w:rsidR="00E740FA" w:rsidRPr="0033525D" w:rsidRDefault="00E740F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965FD" w14:textId="77777777" w:rsidR="004849BF" w:rsidRPr="0033525D" w:rsidRDefault="004849BF" w:rsidP="004849BF">
    <w:pPr>
      <w:jc w:val="left"/>
    </w:pPr>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5A519051" w14:textId="77777777" w:rsidR="00FF4146" w:rsidRDefault="00FF4146" w:rsidP="00C02B5D">
    <w:pPr>
      <w:pStyle w:val="Header"/>
      <w:jc w:val="left"/>
    </w:pPr>
    <w:r>
      <w:t>Annex</w:t>
    </w:r>
  </w:p>
  <w:p w14:paraId="061A5775" w14:textId="77777777" w:rsidR="00FF4146" w:rsidRDefault="00FF4146" w:rsidP="00F15278">
    <w:pPr>
      <w:pStyle w:val="Header"/>
      <w:jc w:val="right"/>
    </w:pPr>
  </w:p>
  <w:p w14:paraId="3B99E9CA" w14:textId="77777777" w:rsidR="00FF4146" w:rsidRDefault="00FF4146" w:rsidP="00F1527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F6E5F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961A5B"/>
    <w:multiLevelType w:val="hybridMultilevel"/>
    <w:tmpl w:val="A17CC2C4"/>
    <w:lvl w:ilvl="0" w:tplc="64BC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7E421D"/>
    <w:multiLevelType w:val="hybridMultilevel"/>
    <w:tmpl w:val="0A9AFD7C"/>
    <w:lvl w:ilvl="0" w:tplc="4350AB5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F7A19"/>
    <w:multiLevelType w:val="multilevel"/>
    <w:tmpl w:val="B4362F9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A5877C4"/>
    <w:multiLevelType w:val="hybridMultilevel"/>
    <w:tmpl w:val="E1D663B8"/>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5000277">
    <w:abstractNumId w:val="10"/>
  </w:num>
  <w:num w:numId="2" w16cid:durableId="1624069065">
    <w:abstractNumId w:val="10"/>
  </w:num>
  <w:num w:numId="3" w16cid:durableId="568082452">
    <w:abstractNumId w:val="10"/>
  </w:num>
  <w:num w:numId="4" w16cid:durableId="964046332">
    <w:abstractNumId w:val="10"/>
  </w:num>
  <w:num w:numId="5" w16cid:durableId="1863589382">
    <w:abstractNumId w:val="10"/>
  </w:num>
  <w:num w:numId="6" w16cid:durableId="1689288080">
    <w:abstractNumId w:val="9"/>
  </w:num>
  <w:num w:numId="7" w16cid:durableId="1770855938">
    <w:abstractNumId w:val="7"/>
  </w:num>
  <w:num w:numId="8" w16cid:durableId="497576406">
    <w:abstractNumId w:val="6"/>
  </w:num>
  <w:num w:numId="9" w16cid:durableId="1660813549">
    <w:abstractNumId w:val="5"/>
  </w:num>
  <w:num w:numId="10" w16cid:durableId="2102673861">
    <w:abstractNumId w:val="4"/>
  </w:num>
  <w:num w:numId="11" w16cid:durableId="85268462">
    <w:abstractNumId w:val="8"/>
  </w:num>
  <w:num w:numId="12" w16cid:durableId="2021731458">
    <w:abstractNumId w:val="3"/>
  </w:num>
  <w:num w:numId="13" w16cid:durableId="210845984">
    <w:abstractNumId w:val="2"/>
  </w:num>
  <w:num w:numId="14" w16cid:durableId="591593659">
    <w:abstractNumId w:val="1"/>
  </w:num>
  <w:num w:numId="15" w16cid:durableId="2004775119">
    <w:abstractNumId w:val="0"/>
  </w:num>
  <w:num w:numId="16" w16cid:durableId="618608515">
    <w:abstractNumId w:val="13"/>
  </w:num>
  <w:num w:numId="17" w16cid:durableId="1466435797">
    <w:abstractNumId w:val="17"/>
  </w:num>
  <w:num w:numId="18" w16cid:durableId="662273565">
    <w:abstractNumId w:val="18"/>
  </w:num>
  <w:num w:numId="19" w16cid:durableId="139157770">
    <w:abstractNumId w:val="20"/>
  </w:num>
  <w:num w:numId="20" w16cid:durableId="627276039">
    <w:abstractNumId w:val="14"/>
  </w:num>
  <w:num w:numId="21" w16cid:durableId="1868638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2345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7333822">
    <w:abstractNumId w:val="11"/>
  </w:num>
  <w:num w:numId="24" w16cid:durableId="61108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2047411">
    <w:abstractNumId w:val="19"/>
  </w:num>
  <w:num w:numId="26" w16cid:durableId="1331710469">
    <w:abstractNumId w:val="10"/>
  </w:num>
  <w:num w:numId="27" w16cid:durableId="1995134226">
    <w:abstractNumId w:val="10"/>
  </w:num>
  <w:num w:numId="28" w16cid:durableId="526870495">
    <w:abstractNumId w:val="10"/>
  </w:num>
  <w:num w:numId="29" w16cid:durableId="655962475">
    <w:abstractNumId w:val="10"/>
  </w:num>
  <w:num w:numId="30" w16cid:durableId="1892570160">
    <w:abstractNumId w:val="10"/>
  </w:num>
  <w:num w:numId="31" w16cid:durableId="1676878530">
    <w:abstractNumId w:val="10"/>
  </w:num>
  <w:num w:numId="32" w16cid:durableId="1954361388">
    <w:abstractNumId w:val="15"/>
  </w:num>
  <w:num w:numId="33" w16cid:durableId="654720256">
    <w:abstractNumId w:val="12"/>
  </w:num>
  <w:num w:numId="34" w16cid:durableId="172582917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262"/>
    <w:rsid w:val="00000FED"/>
    <w:rsid w:val="0000434E"/>
    <w:rsid w:val="0001362B"/>
    <w:rsid w:val="00017B01"/>
    <w:rsid w:val="000211A9"/>
    <w:rsid w:val="00021238"/>
    <w:rsid w:val="00031260"/>
    <w:rsid w:val="000321ED"/>
    <w:rsid w:val="00034BAF"/>
    <w:rsid w:val="0003681A"/>
    <w:rsid w:val="000372B7"/>
    <w:rsid w:val="00050F6E"/>
    <w:rsid w:val="00061EC2"/>
    <w:rsid w:val="00066CE8"/>
    <w:rsid w:val="00080ED0"/>
    <w:rsid w:val="00085B8F"/>
    <w:rsid w:val="00090481"/>
    <w:rsid w:val="00092BD2"/>
    <w:rsid w:val="000A3826"/>
    <w:rsid w:val="000A6C26"/>
    <w:rsid w:val="000B1ACB"/>
    <w:rsid w:val="000C1A5D"/>
    <w:rsid w:val="000D4248"/>
    <w:rsid w:val="000D52A4"/>
    <w:rsid w:val="000D67D2"/>
    <w:rsid w:val="000D710B"/>
    <w:rsid w:val="000D7ED1"/>
    <w:rsid w:val="000E07BC"/>
    <w:rsid w:val="000E2E21"/>
    <w:rsid w:val="000F19B5"/>
    <w:rsid w:val="000F1CD4"/>
    <w:rsid w:val="000F4103"/>
    <w:rsid w:val="000F70A7"/>
    <w:rsid w:val="00113CCA"/>
    <w:rsid w:val="00122F25"/>
    <w:rsid w:val="00135980"/>
    <w:rsid w:val="0013786F"/>
    <w:rsid w:val="00137B49"/>
    <w:rsid w:val="00146411"/>
    <w:rsid w:val="00147111"/>
    <w:rsid w:val="0015617E"/>
    <w:rsid w:val="00164719"/>
    <w:rsid w:val="00166FC4"/>
    <w:rsid w:val="001677AC"/>
    <w:rsid w:val="001804EA"/>
    <w:rsid w:val="00187EDB"/>
    <w:rsid w:val="00190A61"/>
    <w:rsid w:val="001926B7"/>
    <w:rsid w:val="00195B57"/>
    <w:rsid w:val="001A2215"/>
    <w:rsid w:val="001A3342"/>
    <w:rsid w:val="001A3E3D"/>
    <w:rsid w:val="001A7049"/>
    <w:rsid w:val="001B1E40"/>
    <w:rsid w:val="001C2987"/>
    <w:rsid w:val="001C38A6"/>
    <w:rsid w:val="001C3D29"/>
    <w:rsid w:val="001C764E"/>
    <w:rsid w:val="001D1C4A"/>
    <w:rsid w:val="001D4FD2"/>
    <w:rsid w:val="001E1052"/>
    <w:rsid w:val="001E21B1"/>
    <w:rsid w:val="001E2F93"/>
    <w:rsid w:val="001E4554"/>
    <w:rsid w:val="001E61E5"/>
    <w:rsid w:val="001E6C26"/>
    <w:rsid w:val="001F2159"/>
    <w:rsid w:val="001F4ECA"/>
    <w:rsid w:val="001F53FD"/>
    <w:rsid w:val="001F5BF0"/>
    <w:rsid w:val="00204881"/>
    <w:rsid w:val="00210B8B"/>
    <w:rsid w:val="00214227"/>
    <w:rsid w:val="00214863"/>
    <w:rsid w:val="002156B4"/>
    <w:rsid w:val="00224FCD"/>
    <w:rsid w:val="00253222"/>
    <w:rsid w:val="0025774B"/>
    <w:rsid w:val="00261C13"/>
    <w:rsid w:val="00262847"/>
    <w:rsid w:val="0026639A"/>
    <w:rsid w:val="00270BBA"/>
    <w:rsid w:val="00281BB2"/>
    <w:rsid w:val="00284496"/>
    <w:rsid w:val="0029680A"/>
    <w:rsid w:val="00296F3A"/>
    <w:rsid w:val="002A03C3"/>
    <w:rsid w:val="002B0DC3"/>
    <w:rsid w:val="002B254E"/>
    <w:rsid w:val="002B3374"/>
    <w:rsid w:val="002B72E9"/>
    <w:rsid w:val="002C14AB"/>
    <w:rsid w:val="002C7998"/>
    <w:rsid w:val="002E0DB5"/>
    <w:rsid w:val="002E1584"/>
    <w:rsid w:val="002F1E53"/>
    <w:rsid w:val="002F2588"/>
    <w:rsid w:val="002F2CAA"/>
    <w:rsid w:val="0030052C"/>
    <w:rsid w:val="0031773D"/>
    <w:rsid w:val="003306E1"/>
    <w:rsid w:val="003320E4"/>
    <w:rsid w:val="00332509"/>
    <w:rsid w:val="0033525D"/>
    <w:rsid w:val="003414F3"/>
    <w:rsid w:val="0034490C"/>
    <w:rsid w:val="00345836"/>
    <w:rsid w:val="0035031B"/>
    <w:rsid w:val="00351E50"/>
    <w:rsid w:val="0035613E"/>
    <w:rsid w:val="00357972"/>
    <w:rsid w:val="00363EE9"/>
    <w:rsid w:val="00367F30"/>
    <w:rsid w:val="0037268A"/>
    <w:rsid w:val="00376128"/>
    <w:rsid w:val="0037742E"/>
    <w:rsid w:val="00377D56"/>
    <w:rsid w:val="003804AA"/>
    <w:rsid w:val="00381935"/>
    <w:rsid w:val="0038245A"/>
    <w:rsid w:val="003840E6"/>
    <w:rsid w:val="00385CFC"/>
    <w:rsid w:val="0039337A"/>
    <w:rsid w:val="003A3189"/>
    <w:rsid w:val="003A3CA7"/>
    <w:rsid w:val="003B33BD"/>
    <w:rsid w:val="003B569D"/>
    <w:rsid w:val="003C3C0E"/>
    <w:rsid w:val="003C6FAF"/>
    <w:rsid w:val="003D42A6"/>
    <w:rsid w:val="003D4F21"/>
    <w:rsid w:val="003D4FAC"/>
    <w:rsid w:val="003E2118"/>
    <w:rsid w:val="003E76ED"/>
    <w:rsid w:val="003E7906"/>
    <w:rsid w:val="003F000F"/>
    <w:rsid w:val="003F0460"/>
    <w:rsid w:val="003F3C23"/>
    <w:rsid w:val="003F3C50"/>
    <w:rsid w:val="00401B50"/>
    <w:rsid w:val="00406202"/>
    <w:rsid w:val="00406A6A"/>
    <w:rsid w:val="00406B22"/>
    <w:rsid w:val="004078FA"/>
    <w:rsid w:val="004121AE"/>
    <w:rsid w:val="00421D23"/>
    <w:rsid w:val="004328A7"/>
    <w:rsid w:val="00434C74"/>
    <w:rsid w:val="004355DD"/>
    <w:rsid w:val="004416AA"/>
    <w:rsid w:val="004462F1"/>
    <w:rsid w:val="004512AC"/>
    <w:rsid w:val="00456A85"/>
    <w:rsid w:val="00456EB4"/>
    <w:rsid w:val="00457827"/>
    <w:rsid w:val="00461882"/>
    <w:rsid w:val="00471118"/>
    <w:rsid w:val="004718F3"/>
    <w:rsid w:val="00475040"/>
    <w:rsid w:val="004779F7"/>
    <w:rsid w:val="004849BF"/>
    <w:rsid w:val="00490C06"/>
    <w:rsid w:val="00493D40"/>
    <w:rsid w:val="00493EE3"/>
    <w:rsid w:val="004967B6"/>
    <w:rsid w:val="004A504B"/>
    <w:rsid w:val="004A6911"/>
    <w:rsid w:val="004A7759"/>
    <w:rsid w:val="004B54E0"/>
    <w:rsid w:val="004B7384"/>
    <w:rsid w:val="004C4269"/>
    <w:rsid w:val="004D6236"/>
    <w:rsid w:val="004D7F90"/>
    <w:rsid w:val="004E2977"/>
    <w:rsid w:val="004E4DBB"/>
    <w:rsid w:val="004E4E41"/>
    <w:rsid w:val="004E73DB"/>
    <w:rsid w:val="004E7F9C"/>
    <w:rsid w:val="004F3493"/>
    <w:rsid w:val="004F5143"/>
    <w:rsid w:val="005025C9"/>
    <w:rsid w:val="00505A7E"/>
    <w:rsid w:val="00512B09"/>
    <w:rsid w:val="00513314"/>
    <w:rsid w:val="005220ED"/>
    <w:rsid w:val="0053171E"/>
    <w:rsid w:val="00533796"/>
    <w:rsid w:val="00536DFD"/>
    <w:rsid w:val="00537343"/>
    <w:rsid w:val="0053769F"/>
    <w:rsid w:val="00550C22"/>
    <w:rsid w:val="00554732"/>
    <w:rsid w:val="00555D75"/>
    <w:rsid w:val="00560DF0"/>
    <w:rsid w:val="0056759C"/>
    <w:rsid w:val="00567A69"/>
    <w:rsid w:val="0057158D"/>
    <w:rsid w:val="0059513E"/>
    <w:rsid w:val="005951CC"/>
    <w:rsid w:val="005A6AA4"/>
    <w:rsid w:val="005A6D9F"/>
    <w:rsid w:val="005B17CA"/>
    <w:rsid w:val="005B48FF"/>
    <w:rsid w:val="005B6FDD"/>
    <w:rsid w:val="005C1E32"/>
    <w:rsid w:val="005C670D"/>
    <w:rsid w:val="005C6C4E"/>
    <w:rsid w:val="005D363F"/>
    <w:rsid w:val="005D6A62"/>
    <w:rsid w:val="006002B9"/>
    <w:rsid w:val="00604C15"/>
    <w:rsid w:val="00604DE6"/>
    <w:rsid w:val="00606BF0"/>
    <w:rsid w:val="006158D5"/>
    <w:rsid w:val="0062175E"/>
    <w:rsid w:val="00625D83"/>
    <w:rsid w:val="006338BD"/>
    <w:rsid w:val="00634D29"/>
    <w:rsid w:val="00651984"/>
    <w:rsid w:val="00651DCB"/>
    <w:rsid w:val="006623E7"/>
    <w:rsid w:val="00662B80"/>
    <w:rsid w:val="0066768F"/>
    <w:rsid w:val="00670F6C"/>
    <w:rsid w:val="00674579"/>
    <w:rsid w:val="00676E58"/>
    <w:rsid w:val="00677110"/>
    <w:rsid w:val="00682943"/>
    <w:rsid w:val="006852C7"/>
    <w:rsid w:val="006852CE"/>
    <w:rsid w:val="00692D14"/>
    <w:rsid w:val="006A3969"/>
    <w:rsid w:val="006B65C7"/>
    <w:rsid w:val="006C1727"/>
    <w:rsid w:val="006C32FD"/>
    <w:rsid w:val="006C39CE"/>
    <w:rsid w:val="006C472E"/>
    <w:rsid w:val="006D0FCC"/>
    <w:rsid w:val="006D21F5"/>
    <w:rsid w:val="006D29CD"/>
    <w:rsid w:val="006D3089"/>
    <w:rsid w:val="006D4A7F"/>
    <w:rsid w:val="006E126D"/>
    <w:rsid w:val="006E1FC3"/>
    <w:rsid w:val="007038BE"/>
    <w:rsid w:val="00704CE9"/>
    <w:rsid w:val="0070616B"/>
    <w:rsid w:val="00706295"/>
    <w:rsid w:val="00706FDA"/>
    <w:rsid w:val="00711AA3"/>
    <w:rsid w:val="00711F9A"/>
    <w:rsid w:val="00713810"/>
    <w:rsid w:val="007145EA"/>
    <w:rsid w:val="00721D37"/>
    <w:rsid w:val="007303A5"/>
    <w:rsid w:val="00730B3E"/>
    <w:rsid w:val="0073420B"/>
    <w:rsid w:val="00736367"/>
    <w:rsid w:val="0074448C"/>
    <w:rsid w:val="0074760E"/>
    <w:rsid w:val="0075100C"/>
    <w:rsid w:val="00754ABA"/>
    <w:rsid w:val="00755652"/>
    <w:rsid w:val="00762A70"/>
    <w:rsid w:val="00765F28"/>
    <w:rsid w:val="0076676F"/>
    <w:rsid w:val="00775F36"/>
    <w:rsid w:val="0077776E"/>
    <w:rsid w:val="007777C8"/>
    <w:rsid w:val="007777D2"/>
    <w:rsid w:val="00780003"/>
    <w:rsid w:val="00782B0D"/>
    <w:rsid w:val="00783CF5"/>
    <w:rsid w:val="00794D7E"/>
    <w:rsid w:val="007A1546"/>
    <w:rsid w:val="007A228C"/>
    <w:rsid w:val="007A368E"/>
    <w:rsid w:val="007A5868"/>
    <w:rsid w:val="007B04CE"/>
    <w:rsid w:val="007B6871"/>
    <w:rsid w:val="007B7A2F"/>
    <w:rsid w:val="007C3D33"/>
    <w:rsid w:val="007D294A"/>
    <w:rsid w:val="007D47D2"/>
    <w:rsid w:val="007D6EC0"/>
    <w:rsid w:val="007D7E1D"/>
    <w:rsid w:val="007F7AB0"/>
    <w:rsid w:val="00802867"/>
    <w:rsid w:val="008044FC"/>
    <w:rsid w:val="00804A54"/>
    <w:rsid w:val="00805584"/>
    <w:rsid w:val="00812EC1"/>
    <w:rsid w:val="00822E8C"/>
    <w:rsid w:val="00831979"/>
    <w:rsid w:val="008417EC"/>
    <w:rsid w:val="0084207D"/>
    <w:rsid w:val="00844963"/>
    <w:rsid w:val="00851352"/>
    <w:rsid w:val="00854517"/>
    <w:rsid w:val="00857077"/>
    <w:rsid w:val="00863230"/>
    <w:rsid w:val="00864B89"/>
    <w:rsid w:val="00865BD0"/>
    <w:rsid w:val="008664E2"/>
    <w:rsid w:val="00870496"/>
    <w:rsid w:val="008717D8"/>
    <w:rsid w:val="0087215C"/>
    <w:rsid w:val="0087328C"/>
    <w:rsid w:val="00875D25"/>
    <w:rsid w:val="00876281"/>
    <w:rsid w:val="00876A34"/>
    <w:rsid w:val="00877DBE"/>
    <w:rsid w:val="00880E35"/>
    <w:rsid w:val="008875FE"/>
    <w:rsid w:val="00887F8E"/>
    <w:rsid w:val="00891681"/>
    <w:rsid w:val="00896234"/>
    <w:rsid w:val="00897E43"/>
    <w:rsid w:val="008A47F7"/>
    <w:rsid w:val="008A4933"/>
    <w:rsid w:val="008B6825"/>
    <w:rsid w:val="008C1732"/>
    <w:rsid w:val="008C222B"/>
    <w:rsid w:val="008C5682"/>
    <w:rsid w:val="008C5738"/>
    <w:rsid w:val="008C7EAD"/>
    <w:rsid w:val="008D0CFE"/>
    <w:rsid w:val="008D6152"/>
    <w:rsid w:val="008E430B"/>
    <w:rsid w:val="008E4338"/>
    <w:rsid w:val="008E7BA9"/>
    <w:rsid w:val="008F0F81"/>
    <w:rsid w:val="008F27BF"/>
    <w:rsid w:val="009002CA"/>
    <w:rsid w:val="0091403A"/>
    <w:rsid w:val="009142EC"/>
    <w:rsid w:val="009154C3"/>
    <w:rsid w:val="0091699E"/>
    <w:rsid w:val="00920969"/>
    <w:rsid w:val="00923540"/>
    <w:rsid w:val="00926767"/>
    <w:rsid w:val="009361D5"/>
    <w:rsid w:val="009428A4"/>
    <w:rsid w:val="009553EE"/>
    <w:rsid w:val="009570CD"/>
    <w:rsid w:val="009659F4"/>
    <w:rsid w:val="00970D60"/>
    <w:rsid w:val="00976B1A"/>
    <w:rsid w:val="00985609"/>
    <w:rsid w:val="0099390E"/>
    <w:rsid w:val="009960E5"/>
    <w:rsid w:val="009A6590"/>
    <w:rsid w:val="009A7ADC"/>
    <w:rsid w:val="009B0D30"/>
    <w:rsid w:val="009C19B7"/>
    <w:rsid w:val="009C4C5B"/>
    <w:rsid w:val="009C5ABB"/>
    <w:rsid w:val="009C7C7E"/>
    <w:rsid w:val="009D7C51"/>
    <w:rsid w:val="009E196C"/>
    <w:rsid w:val="009E6A0A"/>
    <w:rsid w:val="009F36BF"/>
    <w:rsid w:val="00A111B6"/>
    <w:rsid w:val="00A16CF5"/>
    <w:rsid w:val="00A17DEC"/>
    <w:rsid w:val="00A22C5A"/>
    <w:rsid w:val="00A257C3"/>
    <w:rsid w:val="00A26D27"/>
    <w:rsid w:val="00A3533D"/>
    <w:rsid w:val="00A376EE"/>
    <w:rsid w:val="00A37E56"/>
    <w:rsid w:val="00A42A99"/>
    <w:rsid w:val="00A5151A"/>
    <w:rsid w:val="00A57E0A"/>
    <w:rsid w:val="00A601FB"/>
    <w:rsid w:val="00A620DB"/>
    <w:rsid w:val="00A658F0"/>
    <w:rsid w:val="00A70548"/>
    <w:rsid w:val="00A81429"/>
    <w:rsid w:val="00A823F6"/>
    <w:rsid w:val="00A8719E"/>
    <w:rsid w:val="00A90FCE"/>
    <w:rsid w:val="00A93C1F"/>
    <w:rsid w:val="00A9454F"/>
    <w:rsid w:val="00A974D4"/>
    <w:rsid w:val="00A97A17"/>
    <w:rsid w:val="00AA0A89"/>
    <w:rsid w:val="00AA2744"/>
    <w:rsid w:val="00AA44F4"/>
    <w:rsid w:val="00AA5368"/>
    <w:rsid w:val="00AA599B"/>
    <w:rsid w:val="00AA6429"/>
    <w:rsid w:val="00AA70F3"/>
    <w:rsid w:val="00AC01AA"/>
    <w:rsid w:val="00AC4F72"/>
    <w:rsid w:val="00AE194B"/>
    <w:rsid w:val="00AE7942"/>
    <w:rsid w:val="00AF741A"/>
    <w:rsid w:val="00B01ADB"/>
    <w:rsid w:val="00B04161"/>
    <w:rsid w:val="00B056F9"/>
    <w:rsid w:val="00B11E3D"/>
    <w:rsid w:val="00B1328C"/>
    <w:rsid w:val="00B14D2C"/>
    <w:rsid w:val="00B17E82"/>
    <w:rsid w:val="00B2742D"/>
    <w:rsid w:val="00B4575A"/>
    <w:rsid w:val="00B477BB"/>
    <w:rsid w:val="00B527AA"/>
    <w:rsid w:val="00B575BA"/>
    <w:rsid w:val="00B71608"/>
    <w:rsid w:val="00B76429"/>
    <w:rsid w:val="00B86471"/>
    <w:rsid w:val="00B91EF1"/>
    <w:rsid w:val="00B956D4"/>
    <w:rsid w:val="00B97446"/>
    <w:rsid w:val="00BA7432"/>
    <w:rsid w:val="00BB0019"/>
    <w:rsid w:val="00BB2751"/>
    <w:rsid w:val="00BB2764"/>
    <w:rsid w:val="00BC1AA0"/>
    <w:rsid w:val="00BC2495"/>
    <w:rsid w:val="00BC314A"/>
    <w:rsid w:val="00BC5F44"/>
    <w:rsid w:val="00BC7EB9"/>
    <w:rsid w:val="00BD1E3B"/>
    <w:rsid w:val="00BD2643"/>
    <w:rsid w:val="00BD56B1"/>
    <w:rsid w:val="00BD6558"/>
    <w:rsid w:val="00BF2AD7"/>
    <w:rsid w:val="00BF2F76"/>
    <w:rsid w:val="00BF3022"/>
    <w:rsid w:val="00BF3214"/>
    <w:rsid w:val="00BF368B"/>
    <w:rsid w:val="00BF5573"/>
    <w:rsid w:val="00C018C0"/>
    <w:rsid w:val="00C02B5D"/>
    <w:rsid w:val="00C12085"/>
    <w:rsid w:val="00C15867"/>
    <w:rsid w:val="00C2296D"/>
    <w:rsid w:val="00C23155"/>
    <w:rsid w:val="00C350C6"/>
    <w:rsid w:val="00C40C41"/>
    <w:rsid w:val="00C41DA6"/>
    <w:rsid w:val="00C45885"/>
    <w:rsid w:val="00C50F22"/>
    <w:rsid w:val="00C57971"/>
    <w:rsid w:val="00C65BD7"/>
    <w:rsid w:val="00C74BE0"/>
    <w:rsid w:val="00C751A2"/>
    <w:rsid w:val="00C76BA4"/>
    <w:rsid w:val="00C83A48"/>
    <w:rsid w:val="00C855D8"/>
    <w:rsid w:val="00C85865"/>
    <w:rsid w:val="00C859BB"/>
    <w:rsid w:val="00C85E85"/>
    <w:rsid w:val="00C95105"/>
    <w:rsid w:val="00CA2EAE"/>
    <w:rsid w:val="00CA4AC1"/>
    <w:rsid w:val="00CA59FB"/>
    <w:rsid w:val="00CA5BC6"/>
    <w:rsid w:val="00CB0316"/>
    <w:rsid w:val="00CB0B11"/>
    <w:rsid w:val="00CB426A"/>
    <w:rsid w:val="00CB5354"/>
    <w:rsid w:val="00CC032E"/>
    <w:rsid w:val="00CC3C9E"/>
    <w:rsid w:val="00CC6A14"/>
    <w:rsid w:val="00CC70A3"/>
    <w:rsid w:val="00CC7BF5"/>
    <w:rsid w:val="00CD4442"/>
    <w:rsid w:val="00CD4A2E"/>
    <w:rsid w:val="00CD53C3"/>
    <w:rsid w:val="00CD574E"/>
    <w:rsid w:val="00CE4C22"/>
    <w:rsid w:val="00CE76E5"/>
    <w:rsid w:val="00CF0C37"/>
    <w:rsid w:val="00CF41EC"/>
    <w:rsid w:val="00CF4450"/>
    <w:rsid w:val="00CF4D72"/>
    <w:rsid w:val="00CF5D04"/>
    <w:rsid w:val="00D04DE4"/>
    <w:rsid w:val="00D063F1"/>
    <w:rsid w:val="00D14F22"/>
    <w:rsid w:val="00D2180C"/>
    <w:rsid w:val="00D4741C"/>
    <w:rsid w:val="00D478F9"/>
    <w:rsid w:val="00D57918"/>
    <w:rsid w:val="00D6409F"/>
    <w:rsid w:val="00D667E9"/>
    <w:rsid w:val="00D73DC6"/>
    <w:rsid w:val="00D74C1A"/>
    <w:rsid w:val="00D754C1"/>
    <w:rsid w:val="00D76B95"/>
    <w:rsid w:val="00D77393"/>
    <w:rsid w:val="00D77A35"/>
    <w:rsid w:val="00D81B3E"/>
    <w:rsid w:val="00D90C70"/>
    <w:rsid w:val="00D90E49"/>
    <w:rsid w:val="00D96ADE"/>
    <w:rsid w:val="00DA0CE2"/>
    <w:rsid w:val="00DA2387"/>
    <w:rsid w:val="00DB6A57"/>
    <w:rsid w:val="00DB70AA"/>
    <w:rsid w:val="00DC6A10"/>
    <w:rsid w:val="00DE1AFC"/>
    <w:rsid w:val="00DE6460"/>
    <w:rsid w:val="00DE657E"/>
    <w:rsid w:val="00DF4704"/>
    <w:rsid w:val="00E0078F"/>
    <w:rsid w:val="00E024AA"/>
    <w:rsid w:val="00E13124"/>
    <w:rsid w:val="00E13996"/>
    <w:rsid w:val="00E15C77"/>
    <w:rsid w:val="00E250F1"/>
    <w:rsid w:val="00E30743"/>
    <w:rsid w:val="00E3207A"/>
    <w:rsid w:val="00E3550D"/>
    <w:rsid w:val="00E4223B"/>
    <w:rsid w:val="00E52838"/>
    <w:rsid w:val="00E614E0"/>
    <w:rsid w:val="00E635C5"/>
    <w:rsid w:val="00E663DE"/>
    <w:rsid w:val="00E677C3"/>
    <w:rsid w:val="00E73F7F"/>
    <w:rsid w:val="00E740FA"/>
    <w:rsid w:val="00E753E8"/>
    <w:rsid w:val="00E85409"/>
    <w:rsid w:val="00E92E29"/>
    <w:rsid w:val="00EA429F"/>
    <w:rsid w:val="00EA4629"/>
    <w:rsid w:val="00EA4B21"/>
    <w:rsid w:val="00EA4F9E"/>
    <w:rsid w:val="00EA63CA"/>
    <w:rsid w:val="00EA6D3B"/>
    <w:rsid w:val="00EB00AD"/>
    <w:rsid w:val="00EB136C"/>
    <w:rsid w:val="00EB480E"/>
    <w:rsid w:val="00EB5EC6"/>
    <w:rsid w:val="00EB7FC9"/>
    <w:rsid w:val="00EC0C0E"/>
    <w:rsid w:val="00ED1531"/>
    <w:rsid w:val="00ED27E8"/>
    <w:rsid w:val="00ED7137"/>
    <w:rsid w:val="00EE769A"/>
    <w:rsid w:val="00EF06EA"/>
    <w:rsid w:val="00EF5B1E"/>
    <w:rsid w:val="00EF5F7F"/>
    <w:rsid w:val="00F03F0C"/>
    <w:rsid w:val="00F11853"/>
    <w:rsid w:val="00F15278"/>
    <w:rsid w:val="00F21088"/>
    <w:rsid w:val="00F327E7"/>
    <w:rsid w:val="00F33A60"/>
    <w:rsid w:val="00F35746"/>
    <w:rsid w:val="00F40893"/>
    <w:rsid w:val="00F447C7"/>
    <w:rsid w:val="00F459B4"/>
    <w:rsid w:val="00F5211B"/>
    <w:rsid w:val="00F554A9"/>
    <w:rsid w:val="00F71693"/>
    <w:rsid w:val="00F716FD"/>
    <w:rsid w:val="00F80355"/>
    <w:rsid w:val="00F828EE"/>
    <w:rsid w:val="00F874E8"/>
    <w:rsid w:val="00F87C43"/>
    <w:rsid w:val="00FA1DA7"/>
    <w:rsid w:val="00FA5722"/>
    <w:rsid w:val="00FA7838"/>
    <w:rsid w:val="00FB0C81"/>
    <w:rsid w:val="00FB1F60"/>
    <w:rsid w:val="00FB366B"/>
    <w:rsid w:val="00FC2200"/>
    <w:rsid w:val="00FC2540"/>
    <w:rsid w:val="00FE5A13"/>
    <w:rsid w:val="00FE7631"/>
    <w:rsid w:val="00FF0204"/>
    <w:rsid w:val="00FF2D31"/>
    <w:rsid w:val="00FF3AED"/>
    <w:rsid w:val="00FF41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052B79"/>
  <w15:docId w15:val="{06BB0D6D-75E2-4970-B30A-EB6061A7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lang w:val="en-US"/>
    </w:rPr>
  </w:style>
  <w:style w:type="paragraph" w:styleId="Revision">
    <w:name w:val="Revision"/>
    <w:hidden/>
    <w:uiPriority w:val="99"/>
    <w:semiHidden/>
    <w:rsid w:val="00802867"/>
    <w:rPr>
      <w:sz w:val="22"/>
      <w:szCs w:val="22"/>
      <w:lang w:val="en-CA"/>
    </w:rPr>
  </w:style>
  <w:style w:type="paragraph" w:styleId="ListParagraph">
    <w:name w:val="List Paragraph"/>
    <w:basedOn w:val="Normal"/>
    <w:uiPriority w:val="34"/>
    <w:qFormat/>
    <w:rsid w:val="00A97A17"/>
    <w:pPr>
      <w:spacing w:after="160" w:line="259" w:lineRule="auto"/>
      <w:ind w:left="720"/>
      <w:contextualSpacing/>
      <w:jc w:val="left"/>
    </w:pPr>
    <w:rPr>
      <w:rFonts w:asciiTheme="minorHAnsi" w:eastAsiaTheme="minorHAnsi" w:hAnsiTheme="minorHAnsi" w:cstheme="minorBidi"/>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97A17"/>
    <w:rPr>
      <w:sz w:val="22"/>
      <w:szCs w:val="22"/>
      <w:lang w:val="en-CA"/>
    </w:rPr>
  </w:style>
  <w:style w:type="character" w:customStyle="1" w:styleId="FooterChar">
    <w:name w:val="Footer Char"/>
    <w:basedOn w:val="DefaultParagraphFont"/>
    <w:link w:val="Footer"/>
    <w:uiPriority w:val="99"/>
    <w:rsid w:val="00634D29"/>
    <w:rPr>
      <w:sz w:val="22"/>
      <w:szCs w:val="22"/>
      <w:lang w:val="en-CA"/>
    </w:rPr>
  </w:style>
  <w:style w:type="character" w:customStyle="1" w:styleId="Heading7Char">
    <w:name w:val="Heading 7 Char"/>
    <w:basedOn w:val="DefaultParagraphFont"/>
    <w:link w:val="Heading7"/>
    <w:rsid w:val="00783CF5"/>
    <w:rPr>
      <w:rFonts w:ascii="Arial" w:hAnsi="Arial"/>
      <w:sz w:val="22"/>
      <w:szCs w:val="22"/>
      <w:lang w:val="en-CA"/>
    </w:rPr>
  </w:style>
  <w:style w:type="paragraph" w:styleId="Caption">
    <w:name w:val="caption"/>
    <w:basedOn w:val="Normal"/>
    <w:next w:val="Normal"/>
    <w:semiHidden/>
    <w:unhideWhenUsed/>
    <w:qFormat/>
    <w:rsid w:val="00783CF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chart" Target="charts/chart1.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ar-EG" sz="1100" b="1">
                <a:latin typeface="Times New Roman" panose="02020603050405020304" pitchFamily="18" charset="0"/>
                <a:cs typeface="Times New Roman" panose="02020603050405020304" pitchFamily="18" charset="0"/>
              </a:rPr>
              <a:t>الشكل</a:t>
            </a:r>
            <a:r>
              <a:rPr lang="ar-EG" sz="1100" b="1" baseline="0">
                <a:latin typeface="Times New Roman" panose="02020603050405020304" pitchFamily="18" charset="0"/>
                <a:cs typeface="Times New Roman" panose="02020603050405020304" pitchFamily="18" charset="0"/>
              </a:rPr>
              <a:t> 1: انعكاسات تكاليف وتطبيقات كفاءة استخدام الطاقة خلال خفض المواد الهيدروفلوروكربونية  وكفاءة استخدام الطاقة بطريقة متزامنة </a:t>
            </a:r>
            <a:endParaRPr lang="en-CA" sz="1100" b="1">
              <a:latin typeface="Times New Roman" panose="02020603050405020304" pitchFamily="18" charset="0"/>
              <a:cs typeface="Times New Roman" panose="02020603050405020304" pitchFamily="18" charset="0"/>
            </a:endParaRPr>
          </a:p>
        </c:rich>
      </c:tx>
      <c:layout>
        <c:manualLayout>
          <c:xMode val="edge"/>
          <c:yMode val="edge"/>
          <c:x val="0.17814905956393923"/>
          <c:y val="2.2094558084643674E-2"/>
        </c:manualLayout>
      </c:layout>
      <c:overlay val="0"/>
      <c:spPr>
        <a:noFill/>
        <a:ln>
          <a:noFill/>
        </a:ln>
        <a:effectLst/>
      </c:spPr>
    </c:title>
    <c:autoTitleDeleted val="0"/>
    <c:plotArea>
      <c:layout>
        <c:manualLayout>
          <c:layoutTarget val="inner"/>
          <c:xMode val="edge"/>
          <c:yMode val="edge"/>
          <c:x val="0.15992306364130077"/>
          <c:y val="0.17611613203333251"/>
          <c:w val="0.75434054756385926"/>
          <c:h val="0.567199709388164"/>
        </c:manualLayout>
      </c:layout>
      <c:barChart>
        <c:barDir val="bar"/>
        <c:grouping val="stacked"/>
        <c:varyColors val="0"/>
        <c:ser>
          <c:idx val="0"/>
          <c:order val="0"/>
          <c:tx>
            <c:strRef>
              <c:f>'Figure1 (2)'!$C$15</c:f>
              <c:strCache>
                <c:ptCount val="1"/>
                <c:pt idx="0">
                  <c:v>Incremental capital cost (HFCs)</c:v>
                </c:pt>
              </c:strCache>
            </c:strRef>
          </c:tx>
          <c:spPr>
            <a:solidFill>
              <a:schemeClr val="accent1"/>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(2)'!$D$15:$I$15</c:f>
              <c:numCache>
                <c:formatCode>0%</c:formatCode>
                <c:ptCount val="6"/>
                <c:pt idx="0">
                  <c:v>0.44444444444444459</c:v>
                </c:pt>
                <c:pt idx="1">
                  <c:v>0.44444444444444459</c:v>
                </c:pt>
                <c:pt idx="2">
                  <c:v>0.55555555555555569</c:v>
                </c:pt>
                <c:pt idx="3">
                  <c:v>0.44444444444444459</c:v>
                </c:pt>
                <c:pt idx="4">
                  <c:v>0.55555555555555569</c:v>
                </c:pt>
                <c:pt idx="5">
                  <c:v>0.44444444444444459</c:v>
                </c:pt>
              </c:numCache>
            </c:numRef>
          </c:val>
          <c:extLst>
            <c:ext xmlns:c16="http://schemas.microsoft.com/office/drawing/2014/chart" uri="{C3380CC4-5D6E-409C-BE32-E72D297353CC}">
              <c16:uniqueId val="{00000000-89EE-4255-870B-69584A764D2A}"/>
            </c:ext>
          </c:extLst>
        </c:ser>
        <c:ser>
          <c:idx val="1"/>
          <c:order val="1"/>
          <c:tx>
            <c:strRef>
              <c:f>'Figure1 (2)'!$C$16</c:f>
              <c:strCache>
                <c:ptCount val="1"/>
                <c:pt idx="0">
                  <c:v>Incremental operating cost (HFCs)</c:v>
                </c:pt>
              </c:strCache>
            </c:strRef>
          </c:tx>
          <c:spPr>
            <a:solidFill>
              <a:schemeClr val="accent2"/>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(2)'!$D$16:$I$16</c:f>
              <c:numCache>
                <c:formatCode>0%</c:formatCode>
                <c:ptCount val="6"/>
                <c:pt idx="0">
                  <c:v>0.55555555555555569</c:v>
                </c:pt>
                <c:pt idx="1">
                  <c:v>0.52777777777777779</c:v>
                </c:pt>
                <c:pt idx="2">
                  <c:v>0.55555555555555569</c:v>
                </c:pt>
                <c:pt idx="3">
                  <c:v>0.52777777777777779</c:v>
                </c:pt>
                <c:pt idx="4">
                  <c:v>0.55555555555555569</c:v>
                </c:pt>
                <c:pt idx="5">
                  <c:v>0.52777777777777779</c:v>
                </c:pt>
              </c:numCache>
            </c:numRef>
          </c:val>
          <c:extLst>
            <c:ext xmlns:c16="http://schemas.microsoft.com/office/drawing/2014/chart" uri="{C3380CC4-5D6E-409C-BE32-E72D297353CC}">
              <c16:uniqueId val="{00000001-89EE-4255-870B-69584A764D2A}"/>
            </c:ext>
          </c:extLst>
        </c:ser>
        <c:ser>
          <c:idx val="2"/>
          <c:order val="2"/>
          <c:tx>
            <c:strRef>
              <c:f>'Figure1 (2)'!$C$17</c:f>
              <c:strCache>
                <c:ptCount val="1"/>
                <c:pt idx="0">
                  <c:v>Energy efficiency - technical assistance</c:v>
                </c:pt>
              </c:strCache>
            </c:strRef>
          </c:tx>
          <c:spPr>
            <a:solidFill>
              <a:schemeClr val="accent3"/>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(2)'!$D$17:$I$17</c:f>
              <c:numCache>
                <c:formatCode>0%</c:formatCode>
                <c:ptCount val="6"/>
                <c:pt idx="0">
                  <c:v>0</c:v>
                </c:pt>
                <c:pt idx="1">
                  <c:v>2.7777777777777825E-2</c:v>
                </c:pt>
                <c:pt idx="2">
                  <c:v>0</c:v>
                </c:pt>
                <c:pt idx="3">
                  <c:v>4.1666666666666685E-2</c:v>
                </c:pt>
                <c:pt idx="4">
                  <c:v>0</c:v>
                </c:pt>
                <c:pt idx="5">
                  <c:v>4.1666666666666685E-2</c:v>
                </c:pt>
              </c:numCache>
            </c:numRef>
          </c:val>
          <c:extLst>
            <c:ext xmlns:c16="http://schemas.microsoft.com/office/drawing/2014/chart" uri="{C3380CC4-5D6E-409C-BE32-E72D297353CC}">
              <c16:uniqueId val="{00000002-89EE-4255-870B-69584A764D2A}"/>
            </c:ext>
          </c:extLst>
        </c:ser>
        <c:ser>
          <c:idx val="3"/>
          <c:order val="3"/>
          <c:tx>
            <c:strRef>
              <c:f>'Figure1 (2)'!$C$18</c:f>
              <c:strCache>
                <c:ptCount val="1"/>
                <c:pt idx="0">
                  <c:v>Additional capital cost (energy efficiency)</c:v>
                </c:pt>
              </c:strCache>
            </c:strRef>
          </c:tx>
          <c:spPr>
            <a:solidFill>
              <a:schemeClr val="accent4"/>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(2)'!$D$18:$I$18</c:f>
              <c:numCache>
                <c:formatCode>0%</c:formatCode>
                <c:ptCount val="6"/>
                <c:pt idx="0">
                  <c:v>0</c:v>
                </c:pt>
                <c:pt idx="1">
                  <c:v>0</c:v>
                </c:pt>
                <c:pt idx="2">
                  <c:v>0.11111111111111113</c:v>
                </c:pt>
                <c:pt idx="3">
                  <c:v>0</c:v>
                </c:pt>
                <c:pt idx="4">
                  <c:v>0.27777777777777807</c:v>
                </c:pt>
                <c:pt idx="5">
                  <c:v>0.11111111111111113</c:v>
                </c:pt>
              </c:numCache>
            </c:numRef>
          </c:val>
          <c:extLst>
            <c:ext xmlns:c16="http://schemas.microsoft.com/office/drawing/2014/chart" uri="{C3380CC4-5D6E-409C-BE32-E72D297353CC}">
              <c16:uniqueId val="{00000003-89EE-4255-870B-69584A764D2A}"/>
            </c:ext>
          </c:extLst>
        </c:ser>
        <c:ser>
          <c:idx val="4"/>
          <c:order val="4"/>
          <c:tx>
            <c:strRef>
              <c:f>'Figure1 (2)'!$C$19</c:f>
              <c:strCache>
                <c:ptCount val="1"/>
                <c:pt idx="0">
                  <c:v>Addiitonal operating cost (energy efficiency)</c:v>
                </c:pt>
              </c:strCache>
            </c:strRef>
          </c:tx>
          <c:spPr>
            <a:solidFill>
              <a:schemeClr val="accent5"/>
            </a:solidFill>
            <a:ln>
              <a:noFill/>
            </a:ln>
            <a:effectLst/>
          </c:spPr>
          <c:invertIfNegative val="0"/>
          <c:dLbls>
            <c:dLbl>
              <c:idx val="0"/>
              <c:tx>
                <c:rich>
                  <a:bodyPr/>
                  <a:lstStyle/>
                  <a:p>
                    <a:fld id="{FE76C27E-E64E-49F3-939B-066B914D4547}"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9EE-4255-870B-69584A764D2A}"/>
                </c:ext>
              </c:extLst>
            </c:dLbl>
            <c:dLbl>
              <c:idx val="1"/>
              <c:tx>
                <c:rich>
                  <a:bodyPr/>
                  <a:lstStyle/>
                  <a:p>
                    <a:fld id="{2AE5BBFD-2C6E-43D8-A076-4EA6182A48B1}"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9EE-4255-870B-69584A764D2A}"/>
                </c:ext>
              </c:extLst>
            </c:dLbl>
            <c:dLbl>
              <c:idx val="2"/>
              <c:layout>
                <c:manualLayout>
                  <c:x val="9.4828301021877628E-2"/>
                  <c:y val="0"/>
                </c:manualLayout>
              </c:layout>
              <c:tx>
                <c:rich>
                  <a:bodyPr/>
                  <a:lstStyle/>
                  <a:p>
                    <a:fld id="{19DBF5B8-5489-422C-AA5A-97C0E1E792E2}"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89EE-4255-870B-69584A764D2A}"/>
                </c:ext>
              </c:extLst>
            </c:dLbl>
            <c:dLbl>
              <c:idx val="3"/>
              <c:layout>
                <c:manualLayout>
                  <c:x val="0.10158754112459281"/>
                  <c:y val="0"/>
                </c:manualLayout>
              </c:layout>
              <c:tx>
                <c:rich>
                  <a:bodyPr/>
                  <a:lstStyle/>
                  <a:p>
                    <a:fld id="{C2F32691-DDE2-46FD-BA7E-B572C0E804D6}"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89EE-4255-870B-69584A764D2A}"/>
                </c:ext>
              </c:extLst>
            </c:dLbl>
            <c:dLbl>
              <c:idx val="4"/>
              <c:layout>
                <c:manualLayout>
                  <c:x val="9.3021034994661078E-2"/>
                  <c:y val="5.1212017753499504E-2"/>
                </c:manualLayout>
              </c:layout>
              <c:tx>
                <c:rich>
                  <a:bodyPr/>
                  <a:lstStyle/>
                  <a:p>
                    <a:fld id="{2A2F5F84-1A69-4204-A7EF-AED42E422B07}"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89EE-4255-870B-69584A764D2A}"/>
                </c:ext>
              </c:extLst>
            </c:dLbl>
            <c:dLbl>
              <c:idx val="5"/>
              <c:layout>
                <c:manualLayout>
                  <c:x val="0.18597107555601866"/>
                  <c:y val="-3.1295871539004563E-17"/>
                </c:manualLayout>
              </c:layout>
              <c:tx>
                <c:rich>
                  <a:bodyPr/>
                  <a:lstStyle/>
                  <a:p>
                    <a:fld id="{8D6AEF5F-9CD5-4406-8E1C-B9AF5695B470}"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89EE-4255-870B-69584A764D2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Option A</c:v>
                </c:pt>
                <c:pt idx="1">
                  <c:v>Option A1</c:v>
                </c:pt>
                <c:pt idx="2">
                  <c:v>Option B</c:v>
                </c:pt>
                <c:pt idx="3">
                  <c:v>Option B1</c:v>
                </c:pt>
                <c:pt idx="4">
                  <c:v>Option C</c:v>
                </c:pt>
                <c:pt idx="5">
                  <c:v>Option C1</c:v>
                </c:pt>
              </c:strCache>
            </c:strRef>
          </c:cat>
          <c:val>
            <c:numRef>
              <c:f>'Figure1 (2)'!$D$19:$I$19</c:f>
              <c:numCache>
                <c:formatCode>0%</c:formatCode>
                <c:ptCount val="6"/>
                <c:pt idx="0">
                  <c:v>0</c:v>
                </c:pt>
                <c:pt idx="1">
                  <c:v>0</c:v>
                </c:pt>
                <c:pt idx="2">
                  <c:v>0.16666666666666669</c:v>
                </c:pt>
                <c:pt idx="3">
                  <c:v>0.16666666666666669</c:v>
                </c:pt>
                <c:pt idx="4">
                  <c:v>0.91666666666666652</c:v>
                </c:pt>
                <c:pt idx="5">
                  <c:v>0.8333333333333337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89EE-4255-870B-69584A764D2A}"/>
            </c:ext>
          </c:extLst>
        </c:ser>
        <c:dLbls>
          <c:showLegendKey val="0"/>
          <c:showVal val="0"/>
          <c:showCatName val="0"/>
          <c:showSerName val="0"/>
          <c:showPercent val="0"/>
          <c:showBubbleSize val="0"/>
        </c:dLbls>
        <c:gapWidth val="150"/>
        <c:overlap val="100"/>
        <c:axId val="124431744"/>
        <c:axId val="110003712"/>
      </c:barChart>
      <c:catAx>
        <c:axId val="12443174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Options </a:t>
                </a:r>
              </a:p>
            </c:rich>
          </c:tx>
          <c:layout>
            <c:manualLayout>
              <c:xMode val="edge"/>
              <c:yMode val="edge"/>
              <c:x val="1.6840149667068934E-2"/>
              <c:y val="0.3916039173833215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03712"/>
        <c:crosses val="autoZero"/>
        <c:auto val="1"/>
        <c:lblAlgn val="ctr"/>
        <c:lblOffset val="100"/>
        <c:noMultiLvlLbl val="0"/>
      </c:catAx>
      <c:valAx>
        <c:axId val="110003712"/>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ar-EG" sz="1000" b="1">
                    <a:latin typeface="Times New Roman" panose="02020603050405020304" pitchFamily="18" charset="0"/>
                    <a:cs typeface="Times New Roman" panose="02020603050405020304" pitchFamily="18" charset="0"/>
                  </a:rPr>
                  <a:t>نسبة الزيادة بالمقارنة بالخيار ألف</a:t>
                </a:r>
                <a:endParaRPr lang="en-CA" sz="1000" b="1">
                  <a:latin typeface="Times New Roman" panose="02020603050405020304" pitchFamily="18" charset="0"/>
                  <a:cs typeface="Times New Roman" panose="02020603050405020304" pitchFamily="18" charset="0"/>
                </a:endParaRPr>
              </a:p>
            </c:rich>
          </c:tx>
          <c:layout>
            <c:manualLayout>
              <c:xMode val="edge"/>
              <c:yMode val="edge"/>
              <c:x val="0.36100960247196706"/>
              <c:y val="0.81064188417212668"/>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431744"/>
        <c:crosses val="autoZero"/>
        <c:crossBetween val="between"/>
      </c:valAx>
      <c:spPr>
        <a:noFill/>
        <a:ln w="19050">
          <a:solidFill>
            <a:schemeClr val="tx1">
              <a:alpha val="70000"/>
            </a:schemeClr>
          </a:solidFill>
        </a:ln>
        <a:effectLst/>
      </c:spPr>
    </c:plotArea>
    <c:legend>
      <c:legendPos val="b"/>
      <c:layout>
        <c:manualLayout>
          <c:xMode val="edge"/>
          <c:yMode val="edge"/>
          <c:x val="7.6547055234331904E-2"/>
          <c:y val="0.8728656459026114"/>
          <c:w val="0.87010024115989248"/>
          <c:h val="0.106264780032876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a5428028-5b9f-4388-a90d-ff6edd1aa768">UNEP/OzL.Pro/ExCom/92/47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FF237D06E9DA418CBE012462B6E278" ma:contentTypeVersion="1" ma:contentTypeDescription="Create a new document." ma:contentTypeScope="" ma:versionID="a24c0f9ba6dcca365145f8dd1b4a5ddc">
  <xsd:schema xmlns:xsd="http://www.w3.org/2001/XMLSchema" xmlns:p="http://schemas.microsoft.com/office/2006/metadata/properties" xmlns:ns2="a5428028-5b9f-4388-a90d-ff6edd1aa768" targetNamespace="http://schemas.microsoft.com/office/2006/metadata/properties" ma:root="true" ma:fieldsID="9231cc97afe7ff688fca9ef9e69fb688" ns2:_="">
    <xsd:import namespace="a5428028-5b9f-4388-a90d-ff6edd1aa768"/>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a5428028-5b9f-4388-a90d-ff6edd1aa768"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0C7451-8A93-4A4F-A2A8-5ECAF59A2AB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A56421A-51AE-4ECE-8B7F-54C16A74ADB8}"/>
</file>

<file path=docProps/app.xml><?xml version="1.0" encoding="utf-8"?>
<Properties xmlns="http://schemas.openxmlformats.org/officeDocument/2006/extended-properties" xmlns:vt="http://schemas.openxmlformats.org/officeDocument/2006/docPropsVTypes">
  <Template>Eec92G</Template>
  <TotalTime>34</TotalTime>
  <Pages>24</Pages>
  <Words>7547</Words>
  <Characters>42801</Characters>
  <Application>Microsoft Office Word</Application>
  <DocSecurity>0</DocSecurity>
  <Lines>356</Lines>
  <Paragraphs>100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الإطار العملى لتعزيز وضع الجوانب المؤسسية والمشروعات والأنشطة  التي يمكن أن يضطلع بها الصندوق المتعدد الأطراف لحفظ أو تعزيز كفاءة استخدام الطاقة الخاصة بالتكنولوجيات والمعدات البديلة في قطاعات التصنيع والخدمة في سياق خفض المواد الهيدروفلوروكربونية</vt:lpstr>
      <vt:lpstr>Operational framework to further elaborate on institutional aspects and projects and activities that could be undertaken by the Multilateral Fund for maintaining and/or enhancing the energy efficiency of replacement technologies and equipment in the manuf</vt:lpstr>
    </vt:vector>
  </TitlesOfParts>
  <Company/>
  <LinksUpToDate>false</LinksUpToDate>
  <CharactersWithSpaces>50248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الإطار العملى لتعزيز وضع الجوانب المؤسسية والمشروعات والأنشطة  التي يمكن أن يضطلع بها الصندوق المتعدد الأطراف لحفظ أو تعزيز كفاءة استخدام الطاقة الخاصة بالتكنولوجيات والمعدات البديلة في قطاعات التصنيع والخدمة في سياق خفض المواد الهيدروفلوروكربونية</dc:title>
  <dc:subject/>
  <dc:creator>Pc</dc:creator>
  <cp:keywords/>
  <dc:description/>
  <cp:lastModifiedBy>HBE</cp:lastModifiedBy>
  <cp:revision>35</cp:revision>
  <cp:lastPrinted>2001-05-26T16:40:00Z</cp:lastPrinted>
  <dcterms:created xsi:type="dcterms:W3CDTF">2023-05-03T19:33:00Z</dcterms:created>
  <dcterms:modified xsi:type="dcterms:W3CDTF">2023-05-03T22:42:00Z</dcterms:modified>
  <cp:category/>
  <cp:contentType>Document</cp:contentType>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UNEP/OzL.Pro/ExCom/92/47</vt:lpwstr>
  </property>
  <property fmtid="{D5CDD505-2E9C-101B-9397-08002B2CF9AE}" pid="3" name="Revision date">
    <vt:lpwstr>4/20/2023</vt:lpwstr>
  </property>
  <property fmtid="{D5CDD505-2E9C-101B-9397-08002B2CF9AE}" pid="4" name="ContentTypeId">
    <vt:lpwstr>0x0101005BFF237D06E9DA418CBE012462B6E278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