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4458"/>
        <w:gridCol w:w="3552"/>
      </w:tblGrid>
      <w:tr w:rsidR="00227F4F" w:rsidRPr="00CC6E10" w14:paraId="26EAE3D4" w14:textId="77777777" w:rsidTr="00A631FE">
        <w:trPr>
          <w:trHeight w:val="720"/>
        </w:trPr>
        <w:tc>
          <w:tcPr>
            <w:tcW w:w="6528" w:type="dxa"/>
            <w:gridSpan w:val="2"/>
            <w:tcBorders>
              <w:bottom w:val="single" w:sz="18" w:space="0" w:color="auto"/>
            </w:tcBorders>
          </w:tcPr>
          <w:p w14:paraId="6631F72F" w14:textId="77777777" w:rsidR="00A631FE" w:rsidRPr="00A631FE" w:rsidRDefault="00A631FE" w:rsidP="00A63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lang w:val="es-MX"/>
              </w:rPr>
            </w:pPr>
            <w:r w:rsidRPr="00A631FE">
              <w:rPr>
                <w:rFonts w:ascii="Univers" w:hAnsi="Univers"/>
                <w:b/>
                <w:sz w:val="28"/>
                <w:lang w:val="es-MX"/>
              </w:rPr>
              <w:t>NACIONES</w:t>
            </w:r>
          </w:p>
          <w:p w14:paraId="5B54F373" w14:textId="25E4BA11" w:rsidR="00227F4F" w:rsidRPr="00CC6E10" w:rsidRDefault="00A631FE" w:rsidP="00A63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A631FE">
              <w:rPr>
                <w:rFonts w:ascii="Univers" w:hAnsi="Univers"/>
                <w:b/>
                <w:sz w:val="28"/>
                <w:lang w:val="es-MX"/>
              </w:rPr>
              <w:t>UNIDAS</w:t>
            </w:r>
          </w:p>
        </w:tc>
        <w:tc>
          <w:tcPr>
            <w:tcW w:w="3552" w:type="dxa"/>
            <w:tcBorders>
              <w:bottom w:val="single" w:sz="18" w:space="0" w:color="auto"/>
            </w:tcBorders>
          </w:tcPr>
          <w:p w14:paraId="650C60CF" w14:textId="77777777" w:rsidR="00227F4F" w:rsidRPr="00CC6E10" w:rsidRDefault="00227F4F">
            <w:pPr>
              <w:jc w:val="right"/>
              <w:rPr>
                <w:sz w:val="52"/>
                <w:szCs w:val="52"/>
              </w:rPr>
            </w:pPr>
            <w:r>
              <w:rPr>
                <w:rFonts w:ascii="Univers Bold" w:hAnsi="Univers Bold"/>
                <w:b/>
                <w:sz w:val="72"/>
              </w:rPr>
              <w:t>EP</w:t>
            </w:r>
          </w:p>
        </w:tc>
      </w:tr>
      <w:tr w:rsidR="00A631FE" w:rsidRPr="00CC6E10" w14:paraId="616B37CC" w14:textId="77777777" w:rsidTr="000908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1"/>
        </w:trPr>
        <w:tc>
          <w:tcPr>
            <w:tcW w:w="2070" w:type="dxa"/>
            <w:tcBorders>
              <w:top w:val="nil"/>
              <w:left w:val="nil"/>
              <w:bottom w:val="single" w:sz="36" w:space="0" w:color="auto"/>
              <w:right w:val="nil"/>
            </w:tcBorders>
          </w:tcPr>
          <w:p w14:paraId="1C3314CF" w14:textId="5D3B0BDD" w:rsidR="00A631FE" w:rsidRPr="00CC6E10" w:rsidRDefault="00090871" w:rsidP="00A631FE">
            <w:pPr>
              <w:spacing w:before="120"/>
            </w:pPr>
            <w:r>
              <w:rPr>
                <w:noProof/>
                <w:lang w:eastAsia="en-CA"/>
              </w:rPr>
              <w:drawing>
                <wp:anchor distT="0" distB="0" distL="114300" distR="114300" simplePos="0" relativeHeight="251661312" behindDoc="0" locked="0" layoutInCell="1" allowOverlap="1" wp14:anchorId="3D430330" wp14:editId="7B0A1EEC">
                  <wp:simplePos x="0" y="0"/>
                  <wp:positionH relativeFrom="column">
                    <wp:posOffset>112395</wp:posOffset>
                  </wp:positionH>
                  <wp:positionV relativeFrom="paragraph">
                    <wp:posOffset>857250</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59264" behindDoc="1" locked="0" layoutInCell="0" allowOverlap="1" wp14:anchorId="77A5AAD2" wp14:editId="3BA0AECB">
                  <wp:simplePos x="0" y="0"/>
                  <wp:positionH relativeFrom="column">
                    <wp:posOffset>93345</wp:posOffset>
                  </wp:positionH>
                  <wp:positionV relativeFrom="paragraph">
                    <wp:posOffset>95250</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58" w:type="dxa"/>
            <w:tcBorders>
              <w:top w:val="nil"/>
              <w:left w:val="nil"/>
              <w:bottom w:val="single" w:sz="36" w:space="0" w:color="auto"/>
              <w:right w:val="nil"/>
            </w:tcBorders>
          </w:tcPr>
          <w:p w14:paraId="1FD9BDC3" w14:textId="77777777" w:rsidR="00A631FE" w:rsidRDefault="00A631FE" w:rsidP="00A63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F519E74" w14:textId="77777777" w:rsidR="00A631FE" w:rsidRDefault="00A631FE" w:rsidP="00A63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938C651" w14:textId="77777777" w:rsidR="00A631FE" w:rsidRDefault="00A631FE" w:rsidP="00A63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7EB5C33" w14:textId="64212420" w:rsidR="00A631FE" w:rsidRPr="00A631FE" w:rsidRDefault="00A631FE" w:rsidP="00A63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tc>
        <w:tc>
          <w:tcPr>
            <w:tcW w:w="3552" w:type="dxa"/>
            <w:tcBorders>
              <w:top w:val="nil"/>
              <w:left w:val="nil"/>
              <w:bottom w:val="single" w:sz="36" w:space="0" w:color="auto"/>
              <w:right w:val="nil"/>
            </w:tcBorders>
          </w:tcPr>
          <w:p w14:paraId="784C4FB6" w14:textId="77777777" w:rsidR="00A631FE" w:rsidRDefault="00A631FE" w:rsidP="00A631FE"/>
          <w:p w14:paraId="229AF99F" w14:textId="77777777" w:rsidR="00A631FE" w:rsidRDefault="00A631FE" w:rsidP="00A631FE">
            <w:proofErr w:type="spellStart"/>
            <w:r>
              <w:t>Distr</w:t>
            </w:r>
            <w:proofErr w:type="spellEnd"/>
            <w:r>
              <w:t>.</w:t>
            </w:r>
          </w:p>
          <w:p w14:paraId="2E671005" w14:textId="77777777" w:rsidR="00A631FE" w:rsidRDefault="00A631FE" w:rsidP="00A631FE">
            <w:r>
              <w:t>GENERAL</w:t>
            </w:r>
          </w:p>
          <w:p w14:paraId="42DE5FB1" w14:textId="77777777" w:rsidR="00A631FE" w:rsidRDefault="00A631FE" w:rsidP="00A631FE"/>
          <w:p w14:paraId="6809D4E7" w14:textId="0643469D" w:rsidR="00A631FE" w:rsidRDefault="00A631FE" w:rsidP="00A631FE">
            <w:pPr>
              <w:rPr>
                <w:lang w:val="es-AR"/>
              </w:rPr>
            </w:pPr>
            <w:r>
              <w:fldChar w:fldCharType="begin"/>
            </w:r>
            <w:r>
              <w:rPr>
                <w:lang w:val="es-AR"/>
              </w:rPr>
              <w:instrText xml:space="preserve"> DOCPROPERTY "Document number"  \* MERGEFORMAT </w:instrText>
            </w:r>
            <w:r>
              <w:fldChar w:fldCharType="separate"/>
            </w:r>
            <w:r w:rsidR="00887CA5">
              <w:rPr>
                <w:lang w:val="es-AR"/>
              </w:rPr>
              <w:t>UNEP/</w:t>
            </w:r>
            <w:proofErr w:type="spellStart"/>
            <w:r w:rsidR="00887CA5">
              <w:rPr>
                <w:lang w:val="es-AR"/>
              </w:rPr>
              <w:t>OzL.Pro</w:t>
            </w:r>
            <w:proofErr w:type="spellEnd"/>
            <w:r w:rsidR="00887CA5">
              <w:rPr>
                <w:lang w:val="es-AR"/>
              </w:rPr>
              <w:t>/</w:t>
            </w:r>
            <w:proofErr w:type="spellStart"/>
            <w:r w:rsidR="00887CA5">
              <w:rPr>
                <w:lang w:val="es-AR"/>
              </w:rPr>
              <w:t>ExCom</w:t>
            </w:r>
            <w:proofErr w:type="spellEnd"/>
            <w:r w:rsidR="00887CA5">
              <w:rPr>
                <w:lang w:val="es-AR"/>
              </w:rPr>
              <w:t>/97/83</w:t>
            </w:r>
            <w:r>
              <w:fldChar w:fldCharType="end"/>
            </w:r>
          </w:p>
          <w:p w14:paraId="5C398652" w14:textId="2991635B" w:rsidR="00A631FE" w:rsidRPr="00A631FE" w:rsidRDefault="00A631FE" w:rsidP="00A631FE">
            <w:r>
              <w:fldChar w:fldCharType="begin"/>
            </w:r>
            <w:r w:rsidRPr="00A631FE">
              <w:instrText xml:space="preserve"> DOCPROPERTY "Revision date" \@ "d MMMM YYYY"  \* MERGEFORMAT </w:instrText>
            </w:r>
            <w:r>
              <w:fldChar w:fldCharType="separate"/>
            </w:r>
            <w:r>
              <w:t xml:space="preserve">30 </w:t>
            </w:r>
            <w:r w:rsidRPr="00A631FE">
              <w:t>de octubre de 2025</w:t>
            </w:r>
            <w:r>
              <w:fldChar w:fldCharType="end"/>
            </w:r>
          </w:p>
          <w:p w14:paraId="25E2E0EA" w14:textId="77777777" w:rsidR="00A631FE" w:rsidRPr="00A631FE" w:rsidRDefault="00A631FE" w:rsidP="00A631FE">
            <w:pPr>
              <w:rPr>
                <w:caps/>
              </w:rPr>
            </w:pPr>
          </w:p>
          <w:p w14:paraId="0BDB44C8" w14:textId="77777777" w:rsidR="00A631FE" w:rsidRDefault="00A631FE" w:rsidP="00A631FE">
            <w:pPr>
              <w:rPr>
                <w:lang w:val="es-MX"/>
              </w:rPr>
            </w:pPr>
            <w:r>
              <w:rPr>
                <w:lang w:val="es-MX"/>
              </w:rPr>
              <w:t xml:space="preserve">ESPAÑOL </w:t>
            </w:r>
          </w:p>
          <w:p w14:paraId="2F80207D" w14:textId="75EA62FA" w:rsidR="00A631FE" w:rsidRPr="00CC6E10" w:rsidRDefault="00A631FE" w:rsidP="00A631FE">
            <w:r>
              <w:t xml:space="preserve">ORIGINAL: </w:t>
            </w:r>
            <w:r>
              <w:rPr>
                <w:lang w:val="es-MX"/>
              </w:rPr>
              <w:t>INGLÉS</w:t>
            </w:r>
          </w:p>
        </w:tc>
      </w:tr>
    </w:tbl>
    <w:p w14:paraId="69486586" w14:textId="6581EA1A" w:rsidR="00E72900" w:rsidRDefault="00227F4F" w:rsidP="00033F20">
      <w:pPr>
        <w:spacing w:before="120"/>
        <w:jc w:val="left"/>
      </w:pPr>
      <w:r>
        <w:t>COMITÉ EJECUTIVO DEL FONDO MULTILATERAL</w:t>
      </w:r>
      <w:r>
        <w:br/>
        <w:t xml:space="preserve">  PARA LA APLICACIÓN DEL</w:t>
      </w:r>
      <w:r>
        <w:br/>
        <w:t xml:space="preserve">  PROTOCOLO DE MONTREAL</w:t>
      </w:r>
      <w:r>
        <w:br/>
        <w:t>Nonagésima séptima reunión</w:t>
      </w:r>
    </w:p>
    <w:p w14:paraId="196BAC69" w14:textId="793EDF98" w:rsidR="00E72900" w:rsidRDefault="00E72900" w:rsidP="00E72900">
      <w:pPr>
        <w:jc w:val="left"/>
      </w:pPr>
      <w:r>
        <w:t>Montreal, 1</w:t>
      </w:r>
      <w:r w:rsidR="00090871">
        <w:t>-</w:t>
      </w:r>
      <w:r>
        <w:t>5 de diciembre de 2025</w:t>
      </w:r>
    </w:p>
    <w:p w14:paraId="52C1ECBE" w14:textId="2766A091" w:rsidR="00D05563" w:rsidRDefault="00D05563" w:rsidP="00D05563">
      <w:pPr>
        <w:jc w:val="left"/>
      </w:pPr>
      <w:r>
        <w:t>Punto 9 e) del orden del día provisional</w:t>
      </w:r>
      <w:r w:rsidRPr="00512BEF">
        <w:rPr>
          <w:rStyle w:val="FootnoteReference"/>
        </w:rPr>
        <w:footnoteReference w:id="1"/>
      </w:r>
    </w:p>
    <w:p w14:paraId="74A4227E" w14:textId="77777777" w:rsidR="00BB264B" w:rsidRPr="002C48F5" w:rsidRDefault="00BB264B" w:rsidP="00D05563">
      <w:pPr>
        <w:jc w:val="left"/>
        <w:rPr>
          <w:sz w:val="20"/>
          <w:szCs w:val="20"/>
        </w:rPr>
      </w:pPr>
    </w:p>
    <w:p w14:paraId="57CC2413" w14:textId="77777777" w:rsidR="00921064" w:rsidRPr="002C48F5" w:rsidRDefault="00921064" w:rsidP="00E72900">
      <w:pPr>
        <w:jc w:val="left"/>
        <w:rPr>
          <w:sz w:val="20"/>
          <w:szCs w:val="20"/>
        </w:rPr>
      </w:pPr>
    </w:p>
    <w:p w14:paraId="4D90C0BF" w14:textId="77777777" w:rsidR="00921064" w:rsidRPr="002C48F5" w:rsidRDefault="00921064" w:rsidP="00223DCD">
      <w:pPr>
        <w:jc w:val="left"/>
        <w:rPr>
          <w:sz w:val="20"/>
          <w:szCs w:val="20"/>
        </w:rPr>
      </w:pPr>
    </w:p>
    <w:p w14:paraId="2E901182" w14:textId="1E83530B" w:rsidR="00F73E60" w:rsidRDefault="00232615" w:rsidP="00F73E60">
      <w:pPr>
        <w:pStyle w:val="StyleHeader4Para4Left0Firstline0"/>
        <w:numPr>
          <w:ilvl w:val="0"/>
          <w:numId w:val="0"/>
        </w:numPr>
        <w:tabs>
          <w:tab w:val="left" w:pos="488"/>
          <w:tab w:val="center" w:pos="4680"/>
        </w:tabs>
        <w:jc w:val="center"/>
        <w:rPr>
          <w:b/>
          <w:sz w:val="22"/>
        </w:rPr>
      </w:pPr>
      <w:r>
        <w:rPr>
          <w:b/>
          <w:sz w:val="24"/>
        </w:rPr>
        <w:t>Presupuesto del Programa de Asistencia al Cumplimiento del PNUMA para 2026</w:t>
      </w:r>
    </w:p>
    <w:p w14:paraId="67FC7B18" w14:textId="77777777" w:rsidR="00F73E60" w:rsidRDefault="00F73E60" w:rsidP="00F73E60">
      <w:pPr>
        <w:pStyle w:val="StyleHeader4Para4Left0Firstline0"/>
        <w:numPr>
          <w:ilvl w:val="0"/>
          <w:numId w:val="0"/>
        </w:numPr>
        <w:tabs>
          <w:tab w:val="left" w:pos="488"/>
          <w:tab w:val="center" w:pos="4680"/>
        </w:tabs>
        <w:rPr>
          <w:b/>
          <w:sz w:val="24"/>
          <w:szCs w:val="24"/>
        </w:rPr>
      </w:pPr>
      <w:r>
        <w:rPr>
          <w:b/>
          <w:sz w:val="24"/>
        </w:rPr>
        <w:t>Introducción</w:t>
      </w:r>
    </w:p>
    <w:p w14:paraId="5C0B43E0" w14:textId="4FE280D1" w:rsidR="00F73E60" w:rsidRPr="00223FD4" w:rsidRDefault="00F73E60" w:rsidP="007E5D45">
      <w:pPr>
        <w:pStyle w:val="Heading1"/>
        <w:tabs>
          <w:tab w:val="clear" w:pos="1985"/>
          <w:tab w:val="num" w:pos="0"/>
        </w:tabs>
        <w:ind w:left="0"/>
      </w:pPr>
      <w:r>
        <w:t>El PNUMA presentó el presupuesto del Programa de Asistencia al Cumplimiento para el ejercicio 2026, por un monto total de USD</w:t>
      </w:r>
      <w:r w:rsidR="007B72F9">
        <w:t> </w:t>
      </w:r>
      <w:r>
        <w:t>11.276.967 más gastos de apoyo del organismo de USD</w:t>
      </w:r>
      <w:r w:rsidR="007B72F9">
        <w:t> </w:t>
      </w:r>
      <w:r>
        <w:t>902.157. Se adjuntan al presente documento el informe sobre la marcha de las actividades de 2025 y el programa de trabajo para 2026.</w:t>
      </w:r>
    </w:p>
    <w:p w14:paraId="3737C164" w14:textId="517FDC1E" w:rsidR="00F73E60" w:rsidRPr="00223FD4" w:rsidRDefault="00F73E60" w:rsidP="007E5D45">
      <w:pPr>
        <w:pStyle w:val="Heading1"/>
        <w:tabs>
          <w:tab w:val="clear" w:pos="1985"/>
          <w:tab w:val="num" w:pos="0"/>
        </w:tabs>
        <w:ind w:left="0"/>
      </w:pPr>
      <w:r>
        <w:t xml:space="preserve">El plan de trabajo propuesto para el </w:t>
      </w:r>
      <w:r w:rsidR="003F3835">
        <w:t>Programa de Asistencia al Cumplimiento para</w:t>
      </w:r>
      <w:r>
        <w:t xml:space="preserve"> 2026 se refiere al año final de la estrategia trienal del </w:t>
      </w:r>
      <w:r w:rsidR="003F3835">
        <w:t xml:space="preserve">Programa de Asistencia al Cumplimiento </w:t>
      </w:r>
      <w:r>
        <w:t>para 2024</w:t>
      </w:r>
      <w:r>
        <w:noBreakHyphen/>
        <w:t xml:space="preserve">2026. </w:t>
      </w:r>
    </w:p>
    <w:p w14:paraId="7102EB12" w14:textId="777C6BD3" w:rsidR="00F73E60" w:rsidRPr="006C4CEA" w:rsidRDefault="00F73E60" w:rsidP="00F73E60">
      <w:pPr>
        <w:pStyle w:val="Heading1"/>
        <w:numPr>
          <w:ilvl w:val="0"/>
          <w:numId w:val="0"/>
        </w:numPr>
        <w:tabs>
          <w:tab w:val="left" w:pos="720"/>
        </w:tabs>
        <w:rPr>
          <w:b/>
          <w:bCs/>
          <w:sz w:val="24"/>
          <w:szCs w:val="24"/>
        </w:rPr>
      </w:pPr>
      <w:r>
        <w:rPr>
          <w:b/>
          <w:sz w:val="24"/>
        </w:rPr>
        <w:t>Informe sobre la marcha de las actividades del Programa de Asistencia al Cumplimiento para 2025</w:t>
      </w:r>
    </w:p>
    <w:p w14:paraId="18011843" w14:textId="78676DD4" w:rsidR="00F73E60" w:rsidRDefault="00F73E60" w:rsidP="007E5D45">
      <w:pPr>
        <w:pStyle w:val="Heading1"/>
        <w:tabs>
          <w:tab w:val="clear" w:pos="1985"/>
          <w:tab w:val="num" w:pos="0"/>
        </w:tabs>
        <w:ind w:left="0"/>
      </w:pPr>
      <w:r>
        <w:t xml:space="preserve">El informe sobre la marcha de las actividades figura en la Parte II de la presentación adjunta y en los anexos se proporciona información detallada. En la presentación se describen los resultados pertinentes y el impacto de la aplicación del Programa de Asistencia al Cumplimiento. El Programa de Asistencia al Cumplimiento del PNUMA ejecutó las siguientes actividades </w:t>
      </w:r>
      <w:r w:rsidR="002C48F5">
        <w:t>de</w:t>
      </w:r>
      <w:r>
        <w:t xml:space="preserve"> septiembre de 2024 </w:t>
      </w:r>
      <w:r w:rsidR="002C48F5">
        <w:t>a</w:t>
      </w:r>
      <w:r>
        <w:t xml:space="preserve"> agosto de 2025: </w:t>
      </w:r>
    </w:p>
    <w:p w14:paraId="0896C016" w14:textId="055EA6F7" w:rsidR="00C50813" w:rsidRDefault="00B64B8B" w:rsidP="002C48F5">
      <w:pPr>
        <w:pStyle w:val="Heading2"/>
        <w:spacing w:after="120"/>
        <w:ind w:left="1440" w:hanging="720"/>
      </w:pPr>
      <w:r>
        <w:t>Continuó el funcionamiento</w:t>
      </w:r>
      <w:r w:rsidR="00945367">
        <w:t xml:space="preserve"> </w:t>
      </w:r>
      <w:r w:rsidR="00E1638E">
        <w:t>de las redes regionales de funcionarios nacionales del ozono en las 10 regiones y se organizaron 24 reuniones temáticas y de redes sobre temas relevantes para el cumplimiento del Protocolo de Montreal; se capacitó a 84 nuevos funcionarios nacionales del ozono y asistentes en cinco regiones a través del programa de capacitación de funcionarios nacionales del ozono con el fin de mejorar la capacidad de las Dependencias Nacionales del Ozono para abordar los problemas emergentes y facilitar el intercambio de información y mejores prácticas; se elaboró una capacitación breve sobre habilidades de negociación para la participación efectiva en las reuniones del Protocolo de Montreal y del Fondo Multilateral;</w:t>
      </w:r>
    </w:p>
    <w:p w14:paraId="2DD8E9BA" w14:textId="4AAAEF45" w:rsidR="00BE2938" w:rsidRPr="006C0D22" w:rsidRDefault="00BE2938" w:rsidP="007E5D45">
      <w:pPr>
        <w:pStyle w:val="Heading2"/>
        <w:ind w:left="1440" w:hanging="720"/>
      </w:pPr>
      <w:r>
        <w:lastRenderedPageBreak/>
        <w:t xml:space="preserve">Se brindó apoyo a 34 países que solicitaron asistencia específica mediante </w:t>
      </w:r>
      <w:r w:rsidR="00945367">
        <w:t>el diálogo</w:t>
      </w:r>
      <w:r>
        <w:t xml:space="preserve"> entre países, intercambio</w:t>
      </w:r>
      <w:r w:rsidR="00945367">
        <w:t>s</w:t>
      </w:r>
      <w:r>
        <w:t xml:space="preserve"> de experiencias y visitas de estudio sobre temas como la gestión de fronteras, la aplicación y supervisión de las normas de eficiencia energética mínima, la destrucción de SAO y HFC, y las plataformas electrónicas para el seguimiento de los cupos de HCFC y HFC; se </w:t>
      </w:r>
      <w:r w:rsidR="00945367">
        <w:t>celebraron</w:t>
      </w:r>
      <w:r>
        <w:t xml:space="preserve"> 50 sesiones informativas en siete regiones </w:t>
      </w:r>
      <w:r w:rsidR="00945367">
        <w:t>con el fin de</w:t>
      </w:r>
      <w:r>
        <w:t xml:space="preserve"> ayudar a las Dependencias Nacionales del Ozono a elaborar metodologías para establecer inventarios de sustancias controladas usadas o no deseadas </w:t>
      </w:r>
      <w:r w:rsidR="00487156">
        <w:t>y determinar</w:t>
      </w:r>
      <w:r>
        <w:t xml:space="preserve"> estrategias y modelos de negocio en consonancia con la decisión 91/66;</w:t>
      </w:r>
    </w:p>
    <w:p w14:paraId="52BABF5A" w14:textId="1A7FD6EE" w:rsidR="000E6E8F" w:rsidRPr="00F520CD" w:rsidRDefault="000E6E8F" w:rsidP="007E5D45">
      <w:pPr>
        <w:pStyle w:val="Heading2"/>
        <w:ind w:left="1440" w:hanging="720"/>
      </w:pPr>
      <w:r>
        <w:t>Se brindó asistencia para el cumplimiento y se apoyó la recopilación de datos en los 147 países del Artículo 5; se realizó un seguimiento periódico de los informes de datos del Artículo 7 y de los programas de país; se brindó apoyo a todas las Dependencias Nacionales del Ozono para el análisis de datos comerciales, la resolución de inconsistencias y la comprensión de los datos agregados anuales de exportación de la Secretaría del Ozono; se informó a las Dependencias Nacionales del Ozono sobre diversos enfoques, como la sensibilización y la capacitación, para mejorar sus sistemas nacionales de seguimiento, notificación, verificación y aplicación del Protocolo de Montreal; se promovió el mecanismo informal de consentimiento previo informado (</w:t>
      </w:r>
      <w:proofErr w:type="spellStart"/>
      <w:r>
        <w:t>iPIC</w:t>
      </w:r>
      <w:proofErr w:type="spellEnd"/>
      <w:r>
        <w:t>);</w:t>
      </w:r>
    </w:p>
    <w:p w14:paraId="77713284" w14:textId="768D4071" w:rsidR="004137E5" w:rsidRPr="00F520CD" w:rsidRDefault="004137E5" w:rsidP="007E5D45">
      <w:pPr>
        <w:pStyle w:val="Heading2"/>
        <w:keepNext/>
        <w:widowControl/>
        <w:ind w:left="1440" w:hanging="720"/>
      </w:pPr>
      <w:r>
        <w:t>Se prestó asistencia personalizada para el cumplimiento en 59 países; se apoyó la ejecución de proyectos de fortalecimiento institucional en 101 países; se brindó capacitación sobre la presentación de informes de datos de los programas de país en línea en 58 países; se proporcionó orientación a las Dependencias Nacionales del Ozono interesadas de los países del grupo 2 sobre el establecimiento de niveles básicos de HFC y puntos de partida para reducciones sostenidas; se apoyó a 12 países en la ratificación de la Enmienda de Kigali en colaboración con la Secretaría del Ozono;</w:t>
      </w:r>
    </w:p>
    <w:p w14:paraId="12AF0F53" w14:textId="53ADDBA4" w:rsidR="00977FC6" w:rsidRPr="00265F20" w:rsidRDefault="00094809" w:rsidP="007E5D45">
      <w:pPr>
        <w:pStyle w:val="Heading2"/>
        <w:ind w:left="1440" w:hanging="720"/>
      </w:pPr>
      <w:r>
        <w:t xml:space="preserve">Se prestó apoyo a la </w:t>
      </w:r>
      <w:r w:rsidR="006D5210">
        <w:t>aprobación</w:t>
      </w:r>
      <w:r>
        <w:t xml:space="preserve"> de medidas legislativas relacionadas con los temas destacados por el Grupo de Evaluación Tecnológica y Económica, como la extinción de incendios y la gestión del ciclo de vida de los refrigerantes; se prestó asistencia a los países para establecer o mejorar los sistemas de concesión de licencias y cupos de HFC, y para fortalecer los marcos reglamentarios de los HCFC con el fin de combatir el comercio ilegal; y se apoyó a todas las Dependencias Nacionales del Ozono para que comprendieran mejor los aspectos técnicos y reglamentarios relacionados con los HFC y las alternativas utilizadas en los sectores de aire acondicionado para vehículos y de la cadena de frío alimentaria;</w:t>
      </w:r>
    </w:p>
    <w:p w14:paraId="6A7C5CDE" w14:textId="5018A8A6" w:rsidR="00656A16" w:rsidRPr="00240730" w:rsidRDefault="009773CB" w:rsidP="007E5D45">
      <w:pPr>
        <w:pStyle w:val="Heading2"/>
        <w:keepNext/>
        <w:widowControl/>
        <w:ind w:left="1440" w:hanging="720"/>
      </w:pPr>
      <w:r>
        <w:t xml:space="preserve">Se elaboró la Herramienta de Seguimiento y Supervisión de </w:t>
      </w:r>
      <w:r w:rsidR="006D5210">
        <w:t>Cupos</w:t>
      </w:r>
      <w:r>
        <w:t xml:space="preserve"> de HFC para ayudar a las Dependencias Nacionales del Ozono a realizar un seguimiento de la utilización de los cupos de HFC en toneladas equivalentes de CO₂ con el fin de velar por el cumplimiento de la Enmienda de Kigali; se proporcionaron 40 herramientas, incluidos vídeos, aplicaciones, guías y materiales de capacitación, elaboradas por el PNUMA y sus asociados, para impartir capacitación aduanera y técnica (por ejemplo, el manual de capacitación del PNUMA y la Organización Mundial de Aduanas (OMA) para autoridades aduaneras, las directrices del modelo de reglamentación Unidos por la Eficiencia (U4E) para refrigeradores y la guía sobre gases fluorados de la Asociación Europea de Aire Acondicionado y Refrigeración (AREA), un artículo de </w:t>
      </w:r>
      <w:proofErr w:type="spellStart"/>
      <w:r>
        <w:t>AcciónOzono</w:t>
      </w:r>
      <w:proofErr w:type="spellEnd"/>
      <w:r>
        <w:t>/</w:t>
      </w:r>
      <w:proofErr w:type="spellStart"/>
      <w:r>
        <w:t>ClimaCheck</w:t>
      </w:r>
      <w:proofErr w:type="spellEnd"/>
      <w:r>
        <w:t xml:space="preserve"> sobre refrigeración sostenible y la aplicación </w:t>
      </w:r>
      <w:proofErr w:type="spellStart"/>
      <w:r>
        <w:t>What</w:t>
      </w:r>
      <w:proofErr w:type="spellEnd"/>
      <w:r>
        <w:t xml:space="preserve"> Gas);</w:t>
      </w:r>
    </w:p>
    <w:p w14:paraId="360E8C30" w14:textId="1B075DFF" w:rsidR="00223FD4" w:rsidRPr="00223FD4" w:rsidRDefault="00A21826" w:rsidP="007E5D45">
      <w:pPr>
        <w:pStyle w:val="Heading2"/>
        <w:ind w:left="1440" w:hanging="720"/>
        <w:rPr>
          <w:spacing w:val="-2"/>
        </w:rPr>
      </w:pPr>
      <w:r>
        <w:t>Continuaron las actividades de creación de capacidad en los países para mejorar el manejo de refrigerantes, minimizar las fugas y mantener o mejorar la eficiencia energética de los aparatos de refrigeración y aire acondicionado; se promovió la adopción de los manuales de capacitación y los cursos de aprendizaje electrónico del PNUMA y la asociación AREA; se prestó asistencia a nueve universidades para integrar el curso universitario de UNEP-</w:t>
      </w:r>
      <w:r>
        <w:lastRenderedPageBreak/>
        <w:t>ASHRAE</w:t>
      </w:r>
      <w:r w:rsidR="007756A4">
        <w:rPr>
          <w:rStyle w:val="FootnoteReference"/>
        </w:rPr>
        <w:footnoteReference w:id="2"/>
      </w:r>
      <w:r>
        <w:t xml:space="preserve"> sobre gestión de refrigerantes en el plan de estudios de ingeniería; se brindó asistencia técnica y normativa para la elaboración de programas nacionales de certificación en materia de refrigeración y aire acondicionado;</w:t>
      </w:r>
    </w:p>
    <w:p w14:paraId="52A8C037" w14:textId="6141ADE2" w:rsidR="00FA1E22" w:rsidRPr="00223FD4" w:rsidRDefault="002A2D63" w:rsidP="007E5D45">
      <w:pPr>
        <w:pStyle w:val="Heading2"/>
        <w:widowControl/>
        <w:ind w:left="1440" w:hanging="720"/>
        <w:rPr>
          <w:spacing w:val="-2"/>
        </w:rPr>
      </w:pPr>
      <w:r>
        <w:t xml:space="preserve">Se promovieron las sinergias entre las Dependencias Nacionales del Ozono y los responsables políticos nacionales en materia de eficiencia energética y los puntos focales financieros a través de los talleres de hermanamiento entre las Dependencias Nacionales del Ozono y responsables políticos en materia de eficiencia energética, con 422 participantes; se dio seguimiento a las recomendaciones de la fase I del proyecto de hermanamiento, incluyendo el desarrollo y la difusión de materiales existentes para la creación de capacidad en materia de eficiencia energética y refrigerantes con bajo potencial de calentamiento atmosférico; y se inició la ejecución de la fase II del proyecto, incluidos el suministro de información y la prestación de asistencia a las Dependencias Nacionales del Ozono interesadas para mejorar o establecer políticas y reglamentos que </w:t>
      </w:r>
      <w:r w:rsidR="007328E4">
        <w:t>incrementaran</w:t>
      </w:r>
      <w:r>
        <w:t xml:space="preserve"> la eficiencia energética de los equipos de refrigeración y aire acondicionado existentes y nuevos;</w:t>
      </w:r>
    </w:p>
    <w:p w14:paraId="68842D66" w14:textId="098293D6" w:rsidR="00180E82" w:rsidRPr="00814CB8" w:rsidRDefault="00DF540D" w:rsidP="007E5D45">
      <w:pPr>
        <w:pStyle w:val="Heading2"/>
        <w:ind w:left="1440" w:hanging="720"/>
      </w:pPr>
      <w:r>
        <w:t xml:space="preserve">Se elaboraron productos regionales y mundiales para la creación de capacidad, incluyendo fichas informativas, publicaciones, aplicaciones y manuales de capacitación; se mantuvo el sitio web de AcciónOzono; se difundieron 22 boletines informativos quincenales de </w:t>
      </w:r>
      <w:proofErr w:type="spellStart"/>
      <w:r>
        <w:t>OzoNews</w:t>
      </w:r>
      <w:proofErr w:type="spellEnd"/>
      <w:r>
        <w:t xml:space="preserve"> y tres ediciones especiales; se prestó apoyo a 30 actividades de sensibilización pública, como las celebraciones del Día Mundial del Ozono, talleres, mesas redondas de Ozone2Climate y presentaciones tecnológicas itinerantes, así como el Día Mundial de la Refrigeración;</w:t>
      </w:r>
    </w:p>
    <w:p w14:paraId="07E12C69" w14:textId="3B2CEC7A" w:rsidR="00180E82" w:rsidRPr="00180E82" w:rsidRDefault="00180E82" w:rsidP="007E5D45">
      <w:pPr>
        <w:pStyle w:val="Heading2"/>
        <w:ind w:left="1440" w:hanging="720"/>
      </w:pPr>
      <w:r>
        <w:t>Se prestó apoyo a la aplicación de la política de género del Fondo Multilateral en los servicios y proyectos del Programa de Asistencia al Cumplimiento; se apoyó a las Dependencias Nacionales del Ozono en la realización de evaluaciones de género con herramientas y recursos; se ofrecieron oportunidades de creación de redes y mentoría a través de la Red Internacional de Mujeres en Refrigeración (INWIC); se apoyó a los países en la integración de actividades de género en los proyectos del plan de gestión de la eliminación de los HCFC (PGEH) y del plan de ejecución de Kigali para los HFC (KIP);</w:t>
      </w:r>
    </w:p>
    <w:p w14:paraId="1F3F3729" w14:textId="1F4373AA" w:rsidR="00B03A1E" w:rsidRPr="005E67D4" w:rsidRDefault="00B03A1E" w:rsidP="007E5D45">
      <w:pPr>
        <w:pStyle w:val="Heading2"/>
        <w:ind w:left="1440" w:hanging="720"/>
      </w:pPr>
      <w:r>
        <w:t xml:space="preserve">Se prestó apoyo a la preparación y presentación de proyectos aprobados en las reuniones 95ª y 96ª, incluidos 34 tramos y nuevas etapas de PGEH, 40 informes de verificación de PGEH, 28 KIP, 39 proyectos de fortalecimiento institucional, 20 proyectos de preparación, 20 componentes de eficiencia energética en el marco de la decisión 89/6, un proyecto piloto en el marco de la decisión 91/65, 35 proyectos sobre inventarios y planes de acción para sustancias controladas usadas o no deseadas, de conformidad con la decisión 91/66; y </w:t>
      </w:r>
    </w:p>
    <w:p w14:paraId="16051EB0" w14:textId="6DB922C9" w:rsidR="00072235" w:rsidRDefault="00072235" w:rsidP="007E5D45">
      <w:pPr>
        <w:pStyle w:val="Heading2"/>
        <w:ind w:left="1440" w:hanging="720"/>
      </w:pPr>
      <w:r>
        <w:t xml:space="preserve">Se prestó apoyo a la ejecución de los PGEH en 102 países (75 como organismo principal, 27 como organismo cooperante), de los </w:t>
      </w:r>
      <w:r w:rsidR="00061A48">
        <w:t>KIP</w:t>
      </w:r>
      <w:r>
        <w:t xml:space="preserve"> en 50 países (32 como organismo principal, 18 como organismo cooperante), de proyectos de eficiencia energética en 39 países y de proyectos para la preparación de inventarios nacionales de sustancias usadas y no deseadas y los planes de acción correspondientes en 51 países. </w:t>
      </w:r>
    </w:p>
    <w:p w14:paraId="324E67DC" w14:textId="77777777" w:rsidR="00F73E60" w:rsidRPr="00B03A1E" w:rsidRDefault="00F73E60" w:rsidP="00B03A1E">
      <w:pPr>
        <w:pStyle w:val="Heading2"/>
        <w:numPr>
          <w:ilvl w:val="0"/>
          <w:numId w:val="0"/>
        </w:numPr>
        <w:rPr>
          <w:u w:val="single"/>
        </w:rPr>
      </w:pPr>
      <w:r>
        <w:rPr>
          <w:u w:val="single"/>
        </w:rPr>
        <w:t>Informe sobre el apoyo técnico y normativo a los países de bajo consumo para respaldar la ejecución de los KIP</w:t>
      </w:r>
    </w:p>
    <w:p w14:paraId="2C6E1F23" w14:textId="108B4670" w:rsidR="00A5204E" w:rsidRPr="007447B2" w:rsidRDefault="001579E8" w:rsidP="007E5D45">
      <w:pPr>
        <w:pStyle w:val="Heading1"/>
        <w:tabs>
          <w:tab w:val="clear" w:pos="1985"/>
        </w:tabs>
        <w:ind w:left="0"/>
      </w:pPr>
      <w:r>
        <w:t xml:space="preserve">Mediante la decisión 93/95 d), el Comité Ejecutivo aprobó un aumento del presupuesto del Programa de Asistencia al Cumplimiento para 2024, 2025 y 2026 con el fin de proporcionar asistencia técnica y normativa a los países de bajo consumo para apoyar la ejecución del KIP, en el entendimiento, entre otras </w:t>
      </w:r>
      <w:r>
        <w:lastRenderedPageBreak/>
        <w:t xml:space="preserve">cosas, de que el PNUMA informaría sobre las actividades de asistencia técnica y normativa </w:t>
      </w:r>
      <w:r w:rsidR="00061A48">
        <w:t>realizadas en beneficio de</w:t>
      </w:r>
      <w:r>
        <w:t xml:space="preserve"> los países de bajo consumo y sobre su impacto como parte de los informes anuales sobre la marcha de las actividades del Programa de Asistencia al Cumplimiento. En la 95ª reunión, el PNUMA informó que se brindaría asistencia especial a los países de bajo consumo en cuatro áreas prioritarias, seleccionadas por su relevancia, impacto potencial y reproducibilidad en los diversos contextos de dichos países. Desde el último informe, el área destinada a fortalecer la capacidad de las Dependencias Nacionales del Ozono con miras a la intervención temprana en el sector del aire acondicionado para vehículos y la evaluación de las tendencias de consumo se ha sustituido por una nueva área prioritaria destinada a crear capacidad en materia de refrigeración segura y sostenible mediante el refuerzo de la seguridad laboral en el sector de refrigeración y aire acondicionado. El PNUMA tiene la intención de seguir apoyando a los países de bajo consumo en el marco de las cuatro áreas prioritarias, incluida ahora la nueva, y de contratar consultores para complementar la experiencia técnica y normativa del equipo del Programa de Asistencia al Cumplimiento para la ejecución del KIP en estos países. En la fecha de la preparación de este documento, el PNUMA indicó que se habían contratado dos consultores con esta finalidad. Se realizaron las siguientes actividades en cada una de las tres áreas prioritarias originales:</w:t>
      </w:r>
    </w:p>
    <w:p w14:paraId="174B9A46" w14:textId="526E8556" w:rsidR="00602789" w:rsidRPr="00602789" w:rsidRDefault="00602789" w:rsidP="007E5D45">
      <w:pPr>
        <w:pStyle w:val="Heading2"/>
        <w:widowControl/>
        <w:ind w:left="1440" w:hanging="720"/>
      </w:pPr>
      <w:r>
        <w:rPr>
          <w:i/>
          <w:iCs/>
        </w:rPr>
        <w:t>Refuerzo de la capacidad de los países de bajo consumo para poner en práctica sistemas de concesión de licencias y cupos de HFC y para recopilar datos sobre tendencias de consumo de HFC:</w:t>
      </w:r>
      <w:r>
        <w:t xml:space="preserve"> El PNUMA seleccionó dos países de bajo consumo para realizar iniciativas piloto y contrató a un consultor para evaluar los sistemas de concesión de licencias y cupos de HFC, incluyendo la supervisión de datos y los mecanismos de presentación de informes, y analizar las tendencias de consumo de HFC en comparación con los niveles básicos en los dos países de bajo consumo seleccionados, haciendo hincapié en los factores subyacentes que impulsaban las fluctuaciones en los patrones de consumo, las necesidades específicas de los mercados nacionales y las proyecciones de la demanda futura. Los resultados de ambas evaluaciones servirán de base para la elaboración de fichas y materiales informativos, incluido</w:t>
      </w:r>
      <w:r w:rsidR="008E34E0">
        <w:t>s materiales</w:t>
      </w:r>
      <w:r>
        <w:t xml:space="preserve"> sobre las metodologías utilizadas para el análisis de tendencias de consumo, que, junto con los productos y resultados de las evaluaciones, se divulgarán a través de las reuniones relacionadas con el Protocolo de Montreal;</w:t>
      </w:r>
    </w:p>
    <w:p w14:paraId="6307E705" w14:textId="0E38C2D2" w:rsidR="00EE37C8" w:rsidRPr="002F40DD" w:rsidRDefault="003F4DFD" w:rsidP="007E5D45">
      <w:pPr>
        <w:pStyle w:val="Heading2"/>
        <w:widowControl/>
        <w:ind w:left="1440" w:hanging="720"/>
      </w:pPr>
      <w:r>
        <w:rPr>
          <w:i/>
        </w:rPr>
        <w:t xml:space="preserve">Apoyo a las </w:t>
      </w:r>
      <w:r w:rsidR="002C48F5">
        <w:rPr>
          <w:i/>
        </w:rPr>
        <w:t>D</w:t>
      </w:r>
      <w:r>
        <w:rPr>
          <w:i/>
        </w:rPr>
        <w:t xml:space="preserve">ependencias </w:t>
      </w:r>
      <w:r w:rsidR="002C48F5">
        <w:rPr>
          <w:i/>
        </w:rPr>
        <w:t>N</w:t>
      </w:r>
      <w:r>
        <w:rPr>
          <w:i/>
        </w:rPr>
        <w:t xml:space="preserve">acionales del </w:t>
      </w:r>
      <w:r w:rsidR="002C48F5">
        <w:rPr>
          <w:i/>
        </w:rPr>
        <w:t>O</w:t>
      </w:r>
      <w:r>
        <w:rPr>
          <w:i/>
        </w:rPr>
        <w:t>zono para determinar el consumo en el subsector local de la instalación y el montaje y para realizar la transición de las empresas de este subsector hacia alternativas con bajo potencial de calentamiento atmosférico mediante actividades sin inversión:</w:t>
      </w:r>
      <w:r>
        <w:t xml:space="preserve"> Con el fin de crear orientaciones y recursos para todos los países de bajo consumo, el PNUMA seleccionó a Zimbabwe para realizar actividades piloto como modelo reproducible. Se firmó un acuerdo de financiación a pequeña escala y se celebró una reunión de coordinación con la Asociación de Refrigeración y Aire Acondicionado de Zimbabwe (HEVACRAZ). Se realizó una misión conjunta sobre el terreno para inspeccionar diversas empresas de instalación y montaje en distintos lugares de Zimbabwe y el PNUMA está llevando a cabo una cartografía de las partes interesadas y un análisis de estado de preparación, incluida una evaluación de la legislación, los reglamentos y las barreras institucionales en el sector comercial de refrigeración y aire acondicionado. Están en marcha los preparativos para realizar una encuesta nacional de todo el sector sobre el uso de refrigerantes, la certificación de técnicos y la preparación para adoptar tecnologías con bajo potencial de calentamiento atmosférico. Estas actividades servirán de apoyo para la elaboración de un informe exhaustivo sobre el nivel de preparación, que integrará una evaluación de la brecha de habilidades técnicas y políticas, así como una labora de cartografía de los equipos y un análisis de puntos débiles institucionales; el diseño y una prueba piloto de un registro nacional de técnicos y actividades que incentiven la visibilidad del sector y promuevan la adopción de tecnologías con bajo potencial de calentamiento atmosférico; el suministro de un juego de herramientas práctico para la refrigeración comercial, que incluya software de calibración, listas técnicas de comprobación y materiales </w:t>
      </w:r>
      <w:r>
        <w:lastRenderedPageBreak/>
        <w:t>de orientación conexos; y la promoción de la colaboración con el sector mediante materiales específicos de sensibilización y recursos formativos, con contentos diseñados para ser adaptables con miras a la reproducibilidad en otros países de bajo consumo; y</w:t>
      </w:r>
    </w:p>
    <w:p w14:paraId="663DA1A1" w14:textId="76A3C995" w:rsidR="00B57E3A" w:rsidRPr="00841E58" w:rsidRDefault="003F4DFD" w:rsidP="007E5D45">
      <w:pPr>
        <w:pStyle w:val="Heading2"/>
        <w:keepNext/>
        <w:ind w:left="1440" w:hanging="720"/>
      </w:pPr>
      <w:r>
        <w:rPr>
          <w:i/>
          <w:iCs/>
        </w:rPr>
        <w:t>Capacitación del personal del Programa de Asistencia al Cumplimiento sobre eficiencia energética y normas de eficiencia energética mínima:</w:t>
      </w:r>
      <w:r>
        <w:t xml:space="preserve"> Representantes de la región de América Latina del Programa de Asistencia al Cumplimiento participaron en un evento de formación que reunió a partes interesadas regionales para explorar las políticas de eficiencia energética de toda América Latina. Los asistentes descubrieron las maneras en que la eficiencia energética puede proporcionar múltiples beneficios, como desarrollo económico, mejora de la salud pública y reducción de las emisiones de gases de efecto invernadero; las opciones de políticas de eficiencia energética; y la exploración de la eficiencia energética en relación con electrodomésticos y equipos, incluido el potencial de normas armonizadas, programas de etiquetado e iniciativas de transformación del mercado para fomentar la mejora del desempeño energético. Está previsto que el personal de la región de Asia y el Pacífico del Programa de Asistencia al Cumplimiento participe en sesiones de formación especializada sobre la eficiencia energética en diciembre de 2025.</w:t>
      </w:r>
    </w:p>
    <w:p w14:paraId="41FE7EB1" w14:textId="65F40044" w:rsidR="00F73E60" w:rsidRPr="006309FE" w:rsidRDefault="00F73E60" w:rsidP="00C65D55">
      <w:pPr>
        <w:pStyle w:val="Heading2"/>
        <w:keepNext/>
        <w:numPr>
          <w:ilvl w:val="0"/>
          <w:numId w:val="0"/>
        </w:numPr>
        <w:rPr>
          <w:b/>
          <w:bCs/>
          <w:sz w:val="24"/>
          <w:szCs w:val="24"/>
        </w:rPr>
      </w:pPr>
      <w:r>
        <w:rPr>
          <w:b/>
          <w:sz w:val="24"/>
        </w:rPr>
        <w:t xml:space="preserve">Programa de trabajo del </w:t>
      </w:r>
      <w:r w:rsidR="00123CAB" w:rsidRPr="00123CAB">
        <w:rPr>
          <w:b/>
          <w:sz w:val="24"/>
        </w:rPr>
        <w:t xml:space="preserve">Programa de Asistencia al Cumplimiento </w:t>
      </w:r>
      <w:r>
        <w:rPr>
          <w:b/>
          <w:sz w:val="24"/>
        </w:rPr>
        <w:t>para 2026</w:t>
      </w:r>
    </w:p>
    <w:p w14:paraId="5B4F30DA" w14:textId="1D4614B1" w:rsidR="00F73E60" w:rsidRPr="00223FD4" w:rsidRDefault="00F73E60" w:rsidP="007E5D45">
      <w:pPr>
        <w:pStyle w:val="Heading1"/>
        <w:tabs>
          <w:tab w:val="clear" w:pos="1985"/>
        </w:tabs>
        <w:ind w:left="0"/>
      </w:pPr>
      <w:r>
        <w:t>El plan de trabajo para 2026 se ha elaborado en el contexto de la estrategia para 2024-2026 indicada en la decisión 93/91 a). El PNUMA ejecutará las siguientes actividades en apoyo de los resultados identificados en el marco de la estrategia trienal y los específicos para 2026, como se describe en el plan de trabajo completo que figura en la Parte I de la presentación adjunta:</w:t>
      </w:r>
    </w:p>
    <w:p w14:paraId="08121243" w14:textId="2EDB5143" w:rsidR="00F73E60" w:rsidRPr="00E42EE8" w:rsidRDefault="00F73E60" w:rsidP="007E5D45">
      <w:pPr>
        <w:pStyle w:val="Heading2"/>
        <w:spacing w:before="240"/>
        <w:ind w:left="1440" w:hanging="720"/>
      </w:pPr>
      <w:r>
        <w:t>Continuar brindando asistencia técnica en la supervisión, la presentación de informes y la ejecución de proyectos de fortalecimiento institucional y, previa solicitud, asistencia específica por país a los países del Artículo 5 para abordar cuestiones técnicas, normativas u operativas específicas; organizar reuniones de redes en las 10 regiones para tratar cuestiones prioritarias solicitadas por los países miembros de las redes, intercambiar información y compartir experiencias; continuar la capacitación de todos los nuevos funcionarios nacionales del ozono y asistentes para gestionar eficazmente los programas nacionales de cumplimiento y ofrecer capacitación avanzada a los funcionarios interesados ​​para mejorar la gestión de las Dependencias Nacionales del Ozono;</w:t>
      </w:r>
    </w:p>
    <w:p w14:paraId="38533981" w14:textId="1EA92A24" w:rsidR="00F73E60" w:rsidRPr="00E829AC" w:rsidRDefault="00FE2506" w:rsidP="007E5D45">
      <w:pPr>
        <w:pStyle w:val="Heading2"/>
        <w:widowControl/>
        <w:spacing w:before="240"/>
        <w:ind w:left="1440" w:hanging="720"/>
      </w:pPr>
      <w:r>
        <w:t>Continuar asistiendo a las Dependencias Nacionales del Ozono interesadas con el fin de que comprendan la metodología para establecer inventarios de bancos de sustancias controladas usadas o no deseadas y determinen posibles estrategias y modelos de negocio para su gestión al final de su vida útil; fomentar las actividades de colaboración entre países para necesidades específicas y promover la cooperación Sur-Sur/Norte-Sur; y apoyar a las Dependencias Nacionales del Ozono en la exploración de sinergias relacionadas con la aplicación de la Enmienda de Kigali;</w:t>
      </w:r>
    </w:p>
    <w:p w14:paraId="6BD1E74C" w14:textId="57189861" w:rsidR="00F73E60" w:rsidRPr="00C86AA1" w:rsidRDefault="00F73E60" w:rsidP="007E5D45">
      <w:pPr>
        <w:pStyle w:val="Heading2"/>
        <w:ind w:left="1440" w:hanging="720"/>
      </w:pPr>
      <w:r>
        <w:t xml:space="preserve">Supervisar y apoyar los requisitos de presentación de informes de datos y apoyar a las Dependencias Nacionales del Ozono en el uso de sistemas de presentación de informes en línea; continuar apoyando a los países del Artículo 5 en la determinación y adopción de mejores prácticas para la recopilación, verificación cruzada, conciliación y presentación de informes de datos, especialmente con respecto a los HFC; prestar asistencia a las Dependencias Nacionales del Ozono en la comprensión de los cálculos de los niveles básicos de HFC y los puntos de partida para reducciones agregadas sostenidas; brindar orientación sobre el establecimiento de niveles básicos de HFC y el seguimiento del cumplimiento de la medida de control de congelación de 2024; </w:t>
      </w:r>
    </w:p>
    <w:p w14:paraId="6EA33BDA" w14:textId="0000EDFA" w:rsidR="00F73E60" w:rsidRPr="00CB0BBA" w:rsidRDefault="00F73E60" w:rsidP="007E5D45">
      <w:pPr>
        <w:pStyle w:val="Heading2"/>
        <w:ind w:left="1440" w:hanging="720"/>
      </w:pPr>
      <w:r>
        <w:lastRenderedPageBreak/>
        <w:t xml:space="preserve">Continuar prestando asistencia a los países del Artículo 5 en la elaboración, la revisión y la aplicación de políticas, leyes y reglamentos, incluidos los relacionados con los sistemas de concesión de licencias y cupos, y en la mejora del seguimiento, la presentación de informes, la verificación y la aplicación de los reglamentos sobre HCFC y HFC; continuar promoviendo las herramientas existentes (por ejemplo, el manual para la presentación de informes de datos, </w:t>
      </w:r>
      <w:proofErr w:type="spellStart"/>
      <w:r>
        <w:t>iPIC</w:t>
      </w:r>
      <w:proofErr w:type="spellEnd"/>
      <w:r>
        <w:t xml:space="preserve"> o las calculadoras de cupos) y la adopción de sistemas electrónicos de concesión de licencias; brindar asistencia a los países del Artículo 5 que aún no han ratificado la Enmienda de Kigali para que lo hagan, y prestar apoyo a los países del grupo 2 en la introducción de sistemas de concesión de licencias y cupos para los HFC; fomentar medidas normativas relacionadas con la extinción de incendios y la gestión del ciclo de vida de los refrigerantes;</w:t>
      </w:r>
    </w:p>
    <w:p w14:paraId="073C141C" w14:textId="596D1611" w:rsidR="00F73E60" w:rsidRPr="00D80AAB" w:rsidRDefault="00F73E60" w:rsidP="007E5D45">
      <w:pPr>
        <w:pStyle w:val="Heading2"/>
        <w:ind w:left="1440" w:hanging="720"/>
      </w:pPr>
      <w:r>
        <w:t>Continuar colaborando con las agencias de aduanas y encargadas de hacer cumplir la ley para integrar el trabajo relacionado con el Protocolo de Montreal en sus actividades y promover el uso de herramientas y materiales digitales elaborados por el PNUMA y sus asociado (por ejemplo, sistemas de seguimiento electrónico, bases de datos compartidas de aplicación de la ley, el sistema aduanero de ventanilla única o la aplicación informática de seguimiento de cupos y licencias de HCFC); apoyar la capacitación de los funcionarios encargados de hacer cumplir la ley, la colaboración transfronteriza, el diálogo y el intercambio de datos, y la cooperación con los agentes de aduanas sobre la clasificación adecuada de los refrigerantes; alentar a todas las Dependencias Nacionales del Ozono a institucionalizar la cooperación con las autoridades aduaneras; apoyar a las Dependencias Nacionales del Ozono interesadas para que trabajen con las autoridades aduaneras con el fin de promover la adopción o aplicación de los códigos del Sistema Armonizado de 2022 o empleen de otro modo los códigos regionales, subcódigos nacionales u otras medidas para facilitar el seguimiento de las importaciones y exportaciones individuales de HFC; prestar asistencia a las organizaciones regionales y subregionales interesadas y a las autoridades aduaneras nacionales para evaluar y armonizar los sistemas arancelarios nacionales con el código individual del Sistema Armonizado para los HFC en el marco del sistema de códigos del Sistema Armonizado de 2027; alentar a las Dependencias Nacionales del Ozono a participar en el programa de la OMA sobre el tráfico transfronterizo de desechos y sustancias que agotan la capa de ozono; elaborar y difundir un conjunto de herramientas para la aplicación de la ley, una guía para combatir el comercio ilegal y un informe sobre las tendencias recientes en el comercio ilegal;</w:t>
      </w:r>
    </w:p>
    <w:p w14:paraId="26DC17AB" w14:textId="2964CD2C" w:rsidR="00F73E60" w:rsidRPr="00055A42" w:rsidRDefault="00F73E60" w:rsidP="007E5D45">
      <w:pPr>
        <w:pStyle w:val="Heading2"/>
        <w:ind w:left="1440" w:hanging="720"/>
      </w:pPr>
      <w:r>
        <w:t xml:space="preserve">Continuar ejecutando las actividades de intercambio mundial de información, entre otras cosas, mediante la preparación y difusión de información y materiales educativos específicos, y servicios a las partes interesadas en formatos digitales e impresos; la publicación de informes técnicos sobre tecnologías y refrigerantes alternativos; el mantenimiento del sitio web y el portal de reuniones de AcciónOzono; y la difusión de la publicación quincenal </w:t>
      </w:r>
      <w:proofErr w:type="spellStart"/>
      <w:r>
        <w:t>OzoNews</w:t>
      </w:r>
      <w:proofErr w:type="spellEnd"/>
      <w:r>
        <w:t xml:space="preserve"> y tres publicaciones temáticas especiales de </w:t>
      </w:r>
      <w:proofErr w:type="spellStart"/>
      <w:r>
        <w:t>OzonAction</w:t>
      </w:r>
      <w:proofErr w:type="spellEnd"/>
      <w:r>
        <w:t xml:space="preserve"> </w:t>
      </w:r>
      <w:proofErr w:type="spellStart"/>
      <w:r>
        <w:t>Scoop</w:t>
      </w:r>
      <w:proofErr w:type="spellEnd"/>
      <w:r>
        <w:t>; promover el apoyo al Protocolo de Montreal mediante actividades regionales de sensibilización acordadas por los países en las reuniones de redes; y alentar a las Dependencias Nacionales del Ozono y a las autoridades aduaneras a participar en el Día Mundial del Ozono, el Día Mundial de la Refrigeración y el Día Mundial de las Aduanas para promover los objetivos del Protocolo de Montreal y mostrar el trabajo de supervisión y aplicación;</w:t>
      </w:r>
    </w:p>
    <w:p w14:paraId="6484B603" w14:textId="18BDC6A8" w:rsidR="00F73E60" w:rsidRPr="00055A42" w:rsidRDefault="00F73E60" w:rsidP="007E5D45">
      <w:pPr>
        <w:pStyle w:val="Heading2"/>
        <w:widowControl/>
        <w:ind w:left="1440" w:hanging="720"/>
      </w:pPr>
      <w:r>
        <w:t xml:space="preserve">Prestar apoyo a todas las Dependencias Nacionales del Ozono mediante capacitación en el sector de servicios de mantenimiento y refrigeración a través del suministro de productos de capacitación e información sobre refrigerantes y tecnologías alternativas, gestión adecuada de refrigerantes, directrices y normas para su uso seguro y responsable, y el sector local de instalación y montaje; proporcionar a todas las Dependencias Nacionales del Ozono </w:t>
      </w:r>
      <w:r>
        <w:lastRenderedPageBreak/>
        <w:t>planes de estudio actualizados para técnicos de servicio, con el fin de apoyar sus actividades de capacitación en relación con el PGEH y el KIP; prestar asistencia a las universidades interesadas para integrar cursos de gestión de refrigerantes en sus planes de estudio de ingeniería; prestar asistencia a las Dependencias Nacionales del Ozono para que cooperen con las autoridades de educación y formación técnica y profesional en lo relativo a la formación sobre el sector de servicio y mantenimiento de sistemas de refrigeración y aire acondicionado, y para reforzar las asociaciones nacionales de refrigeración y aire acondicionado; brindar orientación a las Dependencias Nacionales del Ozono sobre aplicaciones especializadas relativas al consumo de HFC y sobre el establecimiento o la mejora de programas de certificación de técnicos; promover las mesas redondas y las jornadas informativas de Ozone2Climate; seguir apoyando la capacidad de las Dependencias Nacionales del Ozono en relación con los HFC y las alternativas utilizadas en los sectores de aire acondicionado de vehículos y de la cadena de frío; y elaborar materiales para técnicos que trabajan en el sector informal;</w:t>
      </w:r>
    </w:p>
    <w:p w14:paraId="6F87F06E" w14:textId="7E82FE07" w:rsidR="00223FD4" w:rsidRDefault="001C3FCB" w:rsidP="007E5D45">
      <w:pPr>
        <w:pStyle w:val="Heading2"/>
        <w:ind w:left="1440" w:hanging="720"/>
      </w:pPr>
      <w:r>
        <w:t xml:space="preserve">Continuar ejecutando la fase II del proyecto de hermanamiento para los funcionarios nacionales del ozono y los responsables de la formulación de políticas de eficiencia energética y dar seguimiento a las recomendaciones de la fase I; elaborar o compartir materiales existentes para la creación de capacidad en materia de eficiencia energética y refrigerantes </w:t>
      </w:r>
      <w:r w:rsidR="00234129">
        <w:t>con</w:t>
      </w:r>
      <w:r>
        <w:t xml:space="preserve"> bajo potencial de calentamiento atmosférico; seguir proporcionando planes de estudio actualizados para técnicos sobre la instalación y el mantenimiento de equipos de refrigeración y aire acondicionado eficientes desde el punto de vista energético, y apoyar a las Dependencias Nacionales del Ozono en el establecimiento de políticas o reglamentos para mejorar la eficiencia energética de los equipos de refrigeración y aire acondicionado, incluidas las políticas de adquisición de aparatos de refrigeración y aire acondicionado eficientes desde el punto de vista energético y las bases de datos sobre el desempeño energético y los refrigerantes de los aparatos de refrigeración y aire acondicionado;</w:t>
      </w:r>
    </w:p>
    <w:p w14:paraId="1D4A8B2E" w14:textId="130E1A8C" w:rsidR="00F73E60" w:rsidRPr="003D7451" w:rsidRDefault="00323107" w:rsidP="007E5D45">
      <w:pPr>
        <w:pStyle w:val="Heading2"/>
        <w:ind w:left="1440" w:hanging="720"/>
      </w:pPr>
      <w:r>
        <w:t>Asegurar que todos los proyectos del Fondo Multilateral ejecutados por el PNUMA incluyan componentes de género;</w:t>
      </w:r>
      <w:r w:rsidR="007E5D45">
        <w:t xml:space="preserve"> </w:t>
      </w:r>
      <w:r>
        <w:t xml:space="preserve">apoyar a las Dependencias Nacionales del Ozono en la realización de evaluaciones de género conforme a la política de género del Fondo; alentar y ayudar a todas las Dependencias Nacionales del Ozono a promover la participación de las mujeres en el sector de refrigeración y aire acondicionado mediante la sensibilización, la información y la capacitación; seguir incluyendo la perspectiva de género en el contexto de los programas, proyectos y actividades nacionales del Protocolo de Montreal, y como tema en las reuniones de la redes regionales; y ofrecer oportunidades de creación de redes y mentoría a través </w:t>
      </w:r>
      <w:r w:rsidR="0074023A">
        <w:t>de la</w:t>
      </w:r>
      <w:r>
        <w:t xml:space="preserve"> INWIC; y</w:t>
      </w:r>
    </w:p>
    <w:p w14:paraId="6648762C" w14:textId="38692BB0" w:rsidR="008E140D" w:rsidRDefault="00F73E60" w:rsidP="007E5D45">
      <w:pPr>
        <w:pStyle w:val="Heading2"/>
        <w:ind w:left="1440" w:hanging="720"/>
      </w:pPr>
      <w:r>
        <w:t>Continuar apoyando la preparación de proyectos, presentación y ejecución de los PGEH, los KIP, las actividades adicionales en los PGEH para mantener la eficiencia energética en el sector de servicio y mantenimiento de refrigeración y aire acondicionado, los proyectos piloto para mantener o mejorar la eficiencia energética de las tecnologías y equipos de sustitución en el contexto de la eliminación de los HFC, los proyectos para apoyar la preparación de inventarios nacionales de bancos de sustancias controladas usadas o no deseadas y la preparación de informes de verificación; continuar las actividades en áreas prioritarias para brindar apoyo adicional a los países de bajo consumo.</w:t>
      </w:r>
    </w:p>
    <w:p w14:paraId="4FCA30A9" w14:textId="05E6E1CC" w:rsidR="00F73E60" w:rsidRPr="00331EBA" w:rsidRDefault="008E140D" w:rsidP="008E140D">
      <w:pPr>
        <w:pStyle w:val="Heading2"/>
        <w:numPr>
          <w:ilvl w:val="0"/>
          <w:numId w:val="0"/>
        </w:numPr>
        <w:ind w:left="284" w:hanging="284"/>
      </w:pPr>
      <w:r>
        <w:rPr>
          <w:u w:val="single"/>
        </w:rPr>
        <w:t>Apoyo técnico y normativo a los países de bajo consumo para respaldar la ejecución de los KIP en 2026</w:t>
      </w:r>
    </w:p>
    <w:p w14:paraId="4397198A" w14:textId="7C6C132D" w:rsidR="003412F5" w:rsidRPr="00223FD4" w:rsidRDefault="008E140D" w:rsidP="007E5D45">
      <w:pPr>
        <w:pStyle w:val="Heading1"/>
        <w:tabs>
          <w:tab w:val="clear" w:pos="1985"/>
          <w:tab w:val="num" w:pos="0"/>
        </w:tabs>
        <w:ind w:left="0"/>
      </w:pPr>
      <w:r>
        <w:t xml:space="preserve">En 2026, el PNUMA utilizará la asistencia especial para apoyar a los países de bajos ingresos que tengan KIP aprobados en fase de ejecución, así como a aquellos que se presenten al Comité Ejecutivo para su consideración en las reuniones 97ª y 98ª. Esto se llevará a cabo mediante las actividades existentes en las </w:t>
      </w:r>
      <w:r>
        <w:lastRenderedPageBreak/>
        <w:t>tres áreas prioritarias determinadas originalmente y la nueva, y a través de la contratación de un consultor adicional para complementar el apoyo técnico y normativo del equipo del Programa de Asistencia al Cumplimiento a los países de bajos ingresos para ejecutar los KIP. También está previsto que los demás equipos del Programa de Asistencia al Cumplimiento (es decir, África, Asia Occidental, Europa y Asia Central, y el Programa de Asistencia al Cumplimiento global) reciban capacitación en eficiencia energética en 2026, según la disponibilidad de los programas de capacitación especializada pertinentes. Como parte del informe sobre la marcha de las actividades del Programa de Asistencia al Cumplimiento de 2026, el PNUMA proporcionará un resumen preliminar de los logros de los dos primeros años de estas asignaciones especiales adicionales.</w:t>
      </w:r>
    </w:p>
    <w:p w14:paraId="617A2AAA" w14:textId="2FB0ADC4" w:rsidR="00331EBA" w:rsidRPr="00223FD4" w:rsidRDefault="003412F5" w:rsidP="007E5D45">
      <w:pPr>
        <w:pStyle w:val="Heading1"/>
        <w:tabs>
          <w:tab w:val="clear" w:pos="1985"/>
          <w:tab w:val="num" w:pos="0"/>
        </w:tabs>
        <w:ind w:left="0"/>
      </w:pPr>
      <w:r>
        <w:t xml:space="preserve">El PNUMA considera que la nueva área prioritaria, centrada en la refrigeración segura y sostenible mediante el fortalecimiento de la seguridad laboral en el sector de refrigeración y aire acondicionado, es fundamental para muchos países de bajo consumo, donde la transición a refrigerantes </w:t>
      </w:r>
      <w:r w:rsidR="00234129">
        <w:t>con</w:t>
      </w:r>
      <w:r>
        <w:t xml:space="preserve"> bajo potencial de calentamiento atmosférico presenta desafíos tanto ambientales como de seguridad debido a las limitaciones de la capacidad técnica, la aplicación de la normativa y el acceso a tecnologías seguras. La iniciativa se encuentra actualmente en fase de formulación y se prevé su ejecución en cuatro fases. Estas fases incluyen: la selección de países piloto y la evaluación de las políticas nacionales en relación con las normas internacionales de seguridad para localizar deficiencias normativas; la elaboración de materiales de capacitación adaptados a las culturas, como etiquetas de advertencia con imágenes, ayudas para el empleo y folletos ilustrados, y su difusión a través de WhatsApp y radios comunitarias; la creación de una aplicación móvil de "escaneo de seguridad" para ayudar a los técnicos a evaluar riesgos en tiempo real y apoyar la recopilación y supervisión de datos; y la integración de las lecciones aprendidas en las políticas nacionales, incluida la adopción de normativas de seguridad y salud en el trabajo en consonancia con la Enmienda de Kigali dentro de los KIP nacionales. </w:t>
      </w:r>
    </w:p>
    <w:p w14:paraId="1AB9B224" w14:textId="2C6C093B" w:rsidR="00F73E60" w:rsidRPr="009C0C4B" w:rsidRDefault="00F73E60" w:rsidP="00F73E60">
      <w:pPr>
        <w:pStyle w:val="Heading1"/>
        <w:keepNext/>
        <w:numPr>
          <w:ilvl w:val="0"/>
          <w:numId w:val="0"/>
        </w:numPr>
        <w:tabs>
          <w:tab w:val="left" w:pos="720"/>
        </w:tabs>
        <w:rPr>
          <w:u w:val="single"/>
        </w:rPr>
      </w:pPr>
      <w:r>
        <w:rPr>
          <w:u w:val="single"/>
        </w:rPr>
        <w:t>Cambios en el presupuesto de 2026 del Programa de Asistencia al Cumplimiento</w:t>
      </w:r>
    </w:p>
    <w:p w14:paraId="60F3D463" w14:textId="7FBE6096" w:rsidR="00F73E60" w:rsidRPr="00F520CD" w:rsidRDefault="00F73E60" w:rsidP="007E5D45">
      <w:pPr>
        <w:pStyle w:val="Heading1"/>
        <w:tabs>
          <w:tab w:val="clear" w:pos="1985"/>
        </w:tabs>
        <w:ind w:left="0"/>
      </w:pPr>
      <w:r>
        <w:t>El presupuesto propuesto del Programa de Asistencia al Cumplimiento para 2026 asciende a USD</w:t>
      </w:r>
      <w:r w:rsidR="00887CA5">
        <w:t> </w:t>
      </w:r>
      <w:r>
        <w:t>11.276.967, más gastos de apoyo del organismo de USD</w:t>
      </w:r>
      <w:r w:rsidR="007B72F9">
        <w:t> </w:t>
      </w:r>
      <w:r>
        <w:t>902.157 (8 por ciento), y figura en la Parte III de la presentación adjunta. El presupuesto general del Programa de Asistencia al Cumplimiento incluye la asignación adicional de USD</w:t>
      </w:r>
      <w:r w:rsidR="007B72F9">
        <w:t> </w:t>
      </w:r>
      <w:r>
        <w:t>150.000 en virtud de la decisión 93/95 (</w:t>
      </w:r>
      <w:r w:rsidR="006376D0">
        <w:t>partida</w:t>
      </w:r>
      <w:r>
        <w:t xml:space="preserve"> presupuestaria 3216) para apoyo técnico y de políticas para países de bajo consumo, con el fin de apoyar la ejecución del KIP. El presupuesto total es un 0,77 por ciento más alto que el presupuesto aprobado en 2025 (es decir, USD</w:t>
      </w:r>
      <w:r w:rsidR="007B72F9">
        <w:t> </w:t>
      </w:r>
      <w:r>
        <w:t>11.191.331, que también incluye la asignación adicional de USD</w:t>
      </w:r>
      <w:r w:rsidR="007B72F9">
        <w:t> </w:t>
      </w:r>
      <w:r>
        <w:t xml:space="preserve">150.000 en la decisión 93/95, más gastos de apoyo del organismo). El  presupuesto propuesto es inferior al aumento presupuestario máximo anual del 3 por ciento permitido en virtud de la decisión 47/24 a) </w:t>
      </w:r>
      <w:proofErr w:type="spellStart"/>
      <w:r>
        <w:t>iii</w:t>
      </w:r>
      <w:proofErr w:type="spellEnd"/>
      <w:r>
        <w:t>).</w:t>
      </w:r>
      <w:r w:rsidRPr="00F520CD">
        <w:rPr>
          <w:vertAlign w:val="superscript"/>
        </w:rPr>
        <w:footnoteReference w:id="3"/>
      </w:r>
      <w:r>
        <w:rPr>
          <w:vertAlign w:val="superscript"/>
        </w:rPr>
        <w:t xml:space="preserve"> </w:t>
      </w:r>
    </w:p>
    <w:p w14:paraId="0527B47B" w14:textId="77777777" w:rsidR="00F73E60" w:rsidRPr="00F520CD" w:rsidRDefault="00F73E60" w:rsidP="00F73E60">
      <w:pPr>
        <w:pStyle w:val="Heading1"/>
        <w:widowControl w:val="0"/>
        <w:numPr>
          <w:ilvl w:val="0"/>
          <w:numId w:val="0"/>
        </w:numPr>
        <w:tabs>
          <w:tab w:val="left" w:pos="720"/>
        </w:tabs>
      </w:pPr>
      <w:r>
        <w:rPr>
          <w:i/>
        </w:rPr>
        <w:t>Cambios en el presupuesto del programa</w:t>
      </w:r>
      <w:r w:rsidRPr="00F520CD">
        <w:rPr>
          <w:rStyle w:val="FootnoteReference"/>
          <w:lang w:val="en-US"/>
        </w:rPr>
        <w:footnoteReference w:id="4"/>
      </w:r>
    </w:p>
    <w:p w14:paraId="5F439658" w14:textId="33B7F372" w:rsidR="00F73E60" w:rsidRPr="00F520CD" w:rsidRDefault="00F66CBF" w:rsidP="007E5D45">
      <w:pPr>
        <w:pStyle w:val="Heading1"/>
        <w:tabs>
          <w:tab w:val="clear" w:pos="1985"/>
        </w:tabs>
        <w:ind w:left="0"/>
      </w:pPr>
      <w:r>
        <w:t xml:space="preserve">En cuanto a las </w:t>
      </w:r>
      <w:r w:rsidR="006376D0">
        <w:t>partidas</w:t>
      </w:r>
      <w:r>
        <w:t xml:space="preserve"> de actividad, el presupuesto propuesto se basa en un escenario de crecimiento cero. En el presupuesto se propone un aumento del 3,00 por ciento en las </w:t>
      </w:r>
      <w:r w:rsidR="009821C1">
        <w:t>partidas</w:t>
      </w:r>
      <w:r>
        <w:t xml:space="preserve"> presupuestarias de personal para cubrir principalmente los costes inflacionarios relativos a las plazas cubiertas, una reducción del 0,70 por ciento de los gastos de viajes, un aumento del 0,30 por ciento de los gastos en concepto de actividades y reuniones regionales, y una reducción del 17,54 por ciento en concepto de servicios globales y de asesoramiento. </w:t>
      </w:r>
    </w:p>
    <w:p w14:paraId="3EEB88A2" w14:textId="1BFD907E" w:rsidR="00F73E60" w:rsidRPr="00F520CD" w:rsidRDefault="00F73E60" w:rsidP="00223FD4">
      <w:pPr>
        <w:pStyle w:val="Heading1"/>
        <w:numPr>
          <w:ilvl w:val="0"/>
          <w:numId w:val="0"/>
        </w:numPr>
        <w:rPr>
          <w:i/>
        </w:rPr>
      </w:pPr>
      <w:r>
        <w:rPr>
          <w:i/>
          <w:u w:val="single"/>
        </w:rPr>
        <w:lastRenderedPageBreak/>
        <w:t xml:space="preserve">Cambios en </w:t>
      </w:r>
      <w:r w:rsidR="009821C1">
        <w:rPr>
          <w:i/>
          <w:u w:val="single"/>
        </w:rPr>
        <w:t>el</w:t>
      </w:r>
      <w:r>
        <w:rPr>
          <w:i/>
          <w:u w:val="single"/>
        </w:rPr>
        <w:t xml:space="preserve"> personal del Programa de Asistencia al Cumplimiento</w:t>
      </w:r>
      <w:r w:rsidRPr="00F520CD">
        <w:rPr>
          <w:rStyle w:val="FootnoteReference"/>
          <w:i/>
          <w:lang w:val="en-US"/>
        </w:rPr>
        <w:footnoteReference w:id="5"/>
      </w:r>
      <w:r>
        <w:rPr>
          <w:i/>
        </w:rPr>
        <w:t xml:space="preserve"> </w:t>
      </w:r>
    </w:p>
    <w:p w14:paraId="06C6779E" w14:textId="5FF3B031" w:rsidR="00A41698" w:rsidRPr="00F520CD" w:rsidRDefault="00A453C9" w:rsidP="007E5D45">
      <w:pPr>
        <w:pStyle w:val="Heading1"/>
        <w:tabs>
          <w:tab w:val="clear" w:pos="1985"/>
        </w:tabs>
        <w:ind w:left="0"/>
      </w:pPr>
      <w:r>
        <w:t xml:space="preserve">El PNUMA ha basado la solicitud presupuestaria en concepto de personal para 2026 en el coste de las plazas cubiertas en 2025 más un ajuste del 3,00 por ciento por la inflación. En cuanto a las plazas vacantes, el PNUMA utilizó los costes estándar de las Naciones Unidas para 2025. El PNUMA no propone ningún cambio de las </w:t>
      </w:r>
      <w:r w:rsidR="009821C1">
        <w:t>partidas</w:t>
      </w:r>
      <w:r>
        <w:t xml:space="preserve"> de personal para 2026. En consonancia con las orientaciones internas sobre la gestión prudente del presupuesto y la resiliencia institucional, desde el 21 de febrero de 2025 todas las vacantes del PNUMA relativas a plazas de un año o más se anunciaron como nombramientos </w:t>
      </w:r>
      <w:r w:rsidR="009821C1">
        <w:t>de</w:t>
      </w:r>
      <w:r>
        <w:t xml:space="preserve"> plazo fijo (FTA) limitados a un año y todos los puestos </w:t>
      </w:r>
      <w:r w:rsidR="009821C1">
        <w:t>de</w:t>
      </w:r>
      <w:r>
        <w:t xml:space="preserve"> plazo fijo de AcciónOzono ahora están sujetos a renovaciones por un máximo de un año.  </w:t>
      </w:r>
    </w:p>
    <w:p w14:paraId="1BD818D1" w14:textId="2AE4DD29" w:rsidR="00112180" w:rsidRDefault="00112180" w:rsidP="00F73E60">
      <w:pPr>
        <w:spacing w:after="240"/>
        <w:rPr>
          <w:i/>
          <w:iCs/>
          <w:u w:val="single"/>
        </w:rPr>
      </w:pPr>
      <w:r>
        <w:rPr>
          <w:i/>
          <w:u w:val="single"/>
        </w:rPr>
        <w:t>Servicios globales de asesoramiento</w:t>
      </w:r>
    </w:p>
    <w:p w14:paraId="26D4E08B" w14:textId="703EB690" w:rsidR="00223FD4" w:rsidRPr="00223FD4" w:rsidRDefault="003A4CEA" w:rsidP="007E5D45">
      <w:pPr>
        <w:pStyle w:val="Heading1"/>
        <w:tabs>
          <w:tab w:val="clear" w:pos="1985"/>
        </w:tabs>
        <w:ind w:left="0"/>
      </w:pPr>
      <w:r>
        <w:t xml:space="preserve">La reducción de los servicios globales se debe a la asignación excepcional de USD 150.000 en el presupuesto de 2025 (partida presupuestaria 3213) para contratar expertos en eficiencia energética que apoyen a los países del Artículo 5 en la presentación de proyectos relacionados con la eficiencia energética, de conformidad con las decisiones pertinentes del Comité Ejecutivo. No se solicitó la renovación de esta partida presupuestaria para 2026. Estaba previsto que la asignación fuera a corto plazo y se revisara en los presupuestos siguientes del Programa de Asistencia al Cumplimiento. </w:t>
      </w:r>
    </w:p>
    <w:p w14:paraId="548BB8C0" w14:textId="4820A132" w:rsidR="00F73E60" w:rsidRPr="00834106" w:rsidRDefault="00F73E60" w:rsidP="00223FD4">
      <w:pPr>
        <w:spacing w:after="240"/>
        <w:rPr>
          <w:i/>
          <w:iCs/>
          <w:u w:val="single"/>
        </w:rPr>
      </w:pPr>
      <w:r>
        <w:rPr>
          <w:i/>
          <w:u w:val="single"/>
        </w:rPr>
        <w:t>Viajes, actividades y reuniones regionales, y componentes de espacio y equipo</w:t>
      </w:r>
    </w:p>
    <w:p w14:paraId="0951E020" w14:textId="2BAECF86" w:rsidR="003A4CEA" w:rsidRPr="003A4CEA" w:rsidRDefault="003A4CEA" w:rsidP="007E5D45">
      <w:pPr>
        <w:pStyle w:val="Heading1"/>
        <w:tabs>
          <w:tab w:val="clear" w:pos="1985"/>
        </w:tabs>
        <w:ind w:left="0"/>
      </w:pPr>
      <w:r>
        <w:t>El presupuesto para estos componentes se basa en un escenario de crecimiento cero, con ajustes menores, a saber, una disminución de USD</w:t>
      </w:r>
      <w:r w:rsidR="007B72F9">
        <w:t> </w:t>
      </w:r>
      <w:r>
        <w:t>4.000 en el presupuesto de viajes (0,70 por ciento) y un aumento de USD</w:t>
      </w:r>
      <w:r w:rsidR="007B72F9">
        <w:t> </w:t>
      </w:r>
      <w:r>
        <w:t>4.000 en los gastos de actividades y reuniones regionales (0,30 por ciento), que se compensan mutuamente.</w:t>
      </w:r>
      <w:r w:rsidR="00266BFA" w:rsidRPr="001D4EAC">
        <w:rPr>
          <w:vertAlign w:val="superscript"/>
        </w:rPr>
        <w:footnoteReference w:id="6"/>
      </w:r>
    </w:p>
    <w:p w14:paraId="210C5EAF" w14:textId="5C7B1A75" w:rsidR="00F73E60" w:rsidRPr="00223FD4" w:rsidRDefault="00F73E60" w:rsidP="00215DDF">
      <w:pPr>
        <w:keepNext/>
        <w:spacing w:after="240"/>
        <w:rPr>
          <w:i/>
          <w:iCs/>
          <w:u w:val="single"/>
        </w:rPr>
      </w:pPr>
      <w:r>
        <w:rPr>
          <w:i/>
          <w:u w:val="single"/>
        </w:rPr>
        <w:t>Comparación del presupuesto para 2024-2026</w:t>
      </w:r>
    </w:p>
    <w:p w14:paraId="4AA86040" w14:textId="690E2E3C" w:rsidR="00547A82" w:rsidRPr="00223FD4" w:rsidRDefault="00547A82" w:rsidP="007E5D45">
      <w:pPr>
        <w:pStyle w:val="Heading1"/>
        <w:tabs>
          <w:tab w:val="clear" w:pos="1985"/>
        </w:tabs>
        <w:ind w:left="0"/>
      </w:pPr>
      <w:r>
        <w:t xml:space="preserve">Como se muestra en el cuadro 1 y conforme a lo dispuesto en la decisión 95/83 c) </w:t>
      </w:r>
      <w:proofErr w:type="spellStart"/>
      <w:r>
        <w:t>iv</w:t>
      </w:r>
      <w:proofErr w:type="spellEnd"/>
      <w:r>
        <w:t>),</w:t>
      </w:r>
      <w:r w:rsidRPr="00F87086">
        <w:rPr>
          <w:vertAlign w:val="superscript"/>
        </w:rPr>
        <w:footnoteReference w:id="7"/>
      </w:r>
      <w:r>
        <w:t xml:space="preserve"> el PNUMA ha presentado una comparación del presupuesto del Programa de Asistencia al Cumplimiento. </w:t>
      </w:r>
    </w:p>
    <w:p w14:paraId="75C48829" w14:textId="2DE70646" w:rsidR="00F73E60" w:rsidRPr="00E54E96" w:rsidRDefault="00F73E60" w:rsidP="00F87086">
      <w:pPr>
        <w:keepNext/>
        <w:widowControl w:val="0"/>
        <w:rPr>
          <w:b/>
        </w:rPr>
      </w:pPr>
      <w:r>
        <w:rPr>
          <w:b/>
        </w:rPr>
        <w:t>Cuadro 1: Presupuesto del Programa de Asistencia al Cumplimiento para 2024-2026 (</w:t>
      </w:r>
      <w:r w:rsidR="009821C1">
        <w:rPr>
          <w:b/>
        </w:rPr>
        <w:t>USD</w:t>
      </w:r>
      <w:r>
        <w:rPr>
          <w:b/>
        </w:rPr>
        <w:t>)</w:t>
      </w:r>
    </w:p>
    <w:tbl>
      <w:tblPr>
        <w:tblW w:w="9418" w:type="dxa"/>
        <w:tblInd w:w="-5" w:type="dxa"/>
        <w:tblLayout w:type="fixed"/>
        <w:tblCellMar>
          <w:left w:w="57" w:type="dxa"/>
          <w:right w:w="57" w:type="dxa"/>
        </w:tblCellMar>
        <w:tblLook w:val="04A0" w:firstRow="1" w:lastRow="0" w:firstColumn="1" w:lastColumn="0" w:noHBand="0" w:noVBand="1"/>
      </w:tblPr>
      <w:tblGrid>
        <w:gridCol w:w="1418"/>
        <w:gridCol w:w="1333"/>
        <w:gridCol w:w="1333"/>
        <w:gridCol w:w="1303"/>
        <w:gridCol w:w="1364"/>
        <w:gridCol w:w="1329"/>
        <w:gridCol w:w="1338"/>
      </w:tblGrid>
      <w:tr w:rsidR="00F73E60" w:rsidRPr="00522540" w14:paraId="0CF56007" w14:textId="77777777" w:rsidTr="005024E6">
        <w:trPr>
          <w:trHeight w:val="230"/>
          <w:tblHeader/>
        </w:trPr>
        <w:tc>
          <w:tcPr>
            <w:tcW w:w="1418"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vAlign w:val="center"/>
            <w:hideMark/>
          </w:tcPr>
          <w:p w14:paraId="0FA8726D" w14:textId="77777777" w:rsidR="00F73E60" w:rsidRPr="00522540" w:rsidRDefault="00F73E60" w:rsidP="00F87086">
            <w:pPr>
              <w:widowControl w:val="0"/>
              <w:jc w:val="left"/>
              <w:rPr>
                <w:b/>
                <w:color w:val="000000"/>
                <w:sz w:val="20"/>
                <w:szCs w:val="20"/>
              </w:rPr>
            </w:pPr>
            <w:r>
              <w:rPr>
                <w:b/>
                <w:color w:val="000000"/>
                <w:sz w:val="20"/>
              </w:rPr>
              <w:t>Partida</w:t>
            </w:r>
          </w:p>
        </w:tc>
        <w:tc>
          <w:tcPr>
            <w:tcW w:w="3969" w:type="dxa"/>
            <w:gridSpan w:val="3"/>
            <w:tcBorders>
              <w:top w:val="single" w:sz="4" w:space="0" w:color="auto"/>
              <w:left w:val="single" w:sz="4" w:space="0" w:color="auto"/>
              <w:bottom w:val="single" w:sz="4" w:space="0" w:color="auto"/>
              <w:right w:val="single" w:sz="4" w:space="0" w:color="auto"/>
            </w:tcBorders>
            <w:noWrap/>
            <w:vAlign w:val="center"/>
            <w:hideMark/>
          </w:tcPr>
          <w:p w14:paraId="4C3A77DE" w14:textId="65951656" w:rsidR="00F73E60" w:rsidRPr="00522540" w:rsidRDefault="00F73E60" w:rsidP="00F87086">
            <w:pPr>
              <w:widowControl w:val="0"/>
              <w:jc w:val="center"/>
              <w:rPr>
                <w:b/>
                <w:bCs/>
                <w:color w:val="000000"/>
                <w:sz w:val="20"/>
                <w:szCs w:val="20"/>
              </w:rPr>
            </w:pPr>
            <w:r>
              <w:rPr>
                <w:b/>
                <w:color w:val="000000"/>
                <w:sz w:val="20"/>
              </w:rPr>
              <w:t>2024</w:t>
            </w:r>
          </w:p>
        </w:tc>
        <w:tc>
          <w:tcPr>
            <w:tcW w:w="2693" w:type="dxa"/>
            <w:gridSpan w:val="2"/>
            <w:tcBorders>
              <w:top w:val="single" w:sz="4" w:space="0" w:color="auto"/>
              <w:left w:val="single" w:sz="4" w:space="0" w:color="auto"/>
              <w:bottom w:val="single" w:sz="4" w:space="0" w:color="auto"/>
              <w:right w:val="single" w:sz="4" w:space="0" w:color="auto"/>
            </w:tcBorders>
            <w:noWrap/>
            <w:vAlign w:val="center"/>
            <w:hideMark/>
          </w:tcPr>
          <w:p w14:paraId="7A15694B" w14:textId="062ADF1E" w:rsidR="00F73E60" w:rsidRPr="00522540" w:rsidRDefault="00F73E60" w:rsidP="00F87086">
            <w:pPr>
              <w:widowControl w:val="0"/>
              <w:jc w:val="center"/>
              <w:rPr>
                <w:b/>
                <w:bCs/>
                <w:color w:val="000000"/>
                <w:sz w:val="20"/>
                <w:szCs w:val="20"/>
              </w:rPr>
            </w:pPr>
            <w:r>
              <w:rPr>
                <w:b/>
                <w:color w:val="000000"/>
                <w:sz w:val="20"/>
              </w:rPr>
              <w:t>2025</w:t>
            </w:r>
          </w:p>
        </w:tc>
        <w:tc>
          <w:tcPr>
            <w:tcW w:w="1338" w:type="dxa"/>
            <w:tcBorders>
              <w:top w:val="single" w:sz="4" w:space="0" w:color="auto"/>
              <w:left w:val="single" w:sz="4" w:space="0" w:color="auto"/>
              <w:bottom w:val="single" w:sz="4" w:space="0" w:color="auto"/>
              <w:right w:val="single" w:sz="4" w:space="0" w:color="auto"/>
            </w:tcBorders>
            <w:noWrap/>
            <w:vAlign w:val="center"/>
            <w:hideMark/>
          </w:tcPr>
          <w:p w14:paraId="227566CC" w14:textId="5F993872" w:rsidR="00F73E60" w:rsidRPr="00522540" w:rsidRDefault="00F73E60" w:rsidP="00F87086">
            <w:pPr>
              <w:widowControl w:val="0"/>
              <w:jc w:val="center"/>
              <w:rPr>
                <w:b/>
                <w:bCs/>
                <w:color w:val="000000"/>
                <w:sz w:val="20"/>
                <w:szCs w:val="20"/>
              </w:rPr>
            </w:pPr>
            <w:r>
              <w:rPr>
                <w:b/>
                <w:color w:val="000000"/>
                <w:sz w:val="20"/>
              </w:rPr>
              <w:t>2026</w:t>
            </w:r>
          </w:p>
        </w:tc>
      </w:tr>
      <w:tr w:rsidR="00F73E60" w:rsidRPr="00522540" w14:paraId="28F20F3D" w14:textId="77777777" w:rsidTr="005024E6">
        <w:trPr>
          <w:trHeight w:val="71"/>
          <w:tblHead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C719DB2" w14:textId="77777777" w:rsidR="00F73E60" w:rsidRPr="00522540" w:rsidRDefault="00F73E60" w:rsidP="00F87086">
            <w:pPr>
              <w:widowControl w:val="0"/>
              <w:jc w:val="left"/>
              <w:rPr>
                <w:b/>
                <w:color w:val="000000"/>
                <w:sz w:val="20"/>
                <w:szCs w:val="20"/>
                <w:lang w:val="en-GB" w:eastAsia="en-GB"/>
              </w:rPr>
            </w:pPr>
          </w:p>
        </w:tc>
        <w:tc>
          <w:tcPr>
            <w:tcW w:w="133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DBB957F" w14:textId="77777777" w:rsidR="00F73E60" w:rsidRPr="00522540" w:rsidRDefault="00F73E60" w:rsidP="00F87086">
            <w:pPr>
              <w:widowControl w:val="0"/>
              <w:jc w:val="center"/>
              <w:rPr>
                <w:b/>
                <w:color w:val="000000"/>
                <w:sz w:val="20"/>
                <w:szCs w:val="20"/>
              </w:rPr>
            </w:pPr>
            <w:r>
              <w:rPr>
                <w:b/>
                <w:color w:val="000000"/>
                <w:sz w:val="20"/>
              </w:rPr>
              <w:t>Aprobados</w:t>
            </w:r>
          </w:p>
        </w:tc>
        <w:tc>
          <w:tcPr>
            <w:tcW w:w="133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0630F30" w14:textId="77777777" w:rsidR="00F73E60" w:rsidRPr="00522540" w:rsidRDefault="00F73E60" w:rsidP="00F87086">
            <w:pPr>
              <w:widowControl w:val="0"/>
              <w:jc w:val="center"/>
              <w:rPr>
                <w:b/>
                <w:color w:val="000000"/>
                <w:sz w:val="20"/>
                <w:szCs w:val="20"/>
              </w:rPr>
            </w:pPr>
            <w:r>
              <w:rPr>
                <w:b/>
                <w:color w:val="000000"/>
                <w:sz w:val="20"/>
              </w:rPr>
              <w:t>Gastos</w:t>
            </w:r>
          </w:p>
        </w:tc>
        <w:tc>
          <w:tcPr>
            <w:tcW w:w="130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34A8D91" w14:textId="2C4BA467" w:rsidR="00F73E60" w:rsidRPr="00522540" w:rsidRDefault="002245C4" w:rsidP="00F87086">
            <w:pPr>
              <w:widowControl w:val="0"/>
              <w:jc w:val="center"/>
              <w:rPr>
                <w:b/>
                <w:color w:val="000000"/>
                <w:sz w:val="20"/>
                <w:szCs w:val="20"/>
              </w:rPr>
            </w:pPr>
            <w:r>
              <w:rPr>
                <w:b/>
                <w:color w:val="000000"/>
                <w:sz w:val="20"/>
              </w:rPr>
              <w:t>Saldo</w:t>
            </w:r>
          </w:p>
        </w:tc>
        <w:tc>
          <w:tcPr>
            <w:tcW w:w="136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E25A115" w14:textId="77777777" w:rsidR="00F73E60" w:rsidRPr="00522540" w:rsidRDefault="00F73E60" w:rsidP="00F87086">
            <w:pPr>
              <w:widowControl w:val="0"/>
              <w:jc w:val="center"/>
              <w:rPr>
                <w:b/>
                <w:color w:val="000000"/>
                <w:sz w:val="20"/>
                <w:szCs w:val="20"/>
              </w:rPr>
            </w:pPr>
            <w:r>
              <w:rPr>
                <w:b/>
                <w:color w:val="000000"/>
                <w:sz w:val="20"/>
              </w:rPr>
              <w:t>Aprobados</w:t>
            </w:r>
          </w:p>
        </w:tc>
        <w:tc>
          <w:tcPr>
            <w:tcW w:w="132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4A17F51" w14:textId="77777777" w:rsidR="00F73E60" w:rsidRPr="00522540" w:rsidRDefault="00F73E60" w:rsidP="00F87086">
            <w:pPr>
              <w:widowControl w:val="0"/>
              <w:jc w:val="center"/>
              <w:rPr>
                <w:b/>
                <w:color w:val="000000"/>
                <w:sz w:val="20"/>
                <w:szCs w:val="20"/>
              </w:rPr>
            </w:pPr>
            <w:r w:rsidRPr="003515BA">
              <w:rPr>
                <w:b/>
                <w:bCs/>
                <w:sz w:val="20"/>
              </w:rPr>
              <w:t>Gastos</w:t>
            </w:r>
            <w:r w:rsidRPr="003515BA">
              <w:rPr>
                <w:b/>
                <w:bCs/>
                <w:sz w:val="20"/>
                <w:vertAlign w:val="superscript"/>
              </w:rPr>
              <w:t xml:space="preserve"> </w:t>
            </w:r>
            <w:r>
              <w:rPr>
                <w:sz w:val="20"/>
                <w:vertAlign w:val="superscript"/>
              </w:rPr>
              <w:t>a</w:t>
            </w:r>
            <w:r>
              <w:rPr>
                <w:b/>
                <w:color w:val="000000"/>
                <w:sz w:val="20"/>
              </w:rPr>
              <w:t xml:space="preserve"> </w:t>
            </w:r>
          </w:p>
        </w:tc>
        <w:tc>
          <w:tcPr>
            <w:tcW w:w="133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29E2B5B" w14:textId="71F1C67A" w:rsidR="00F73E60" w:rsidRPr="00522540" w:rsidRDefault="00F73E60" w:rsidP="00F87086">
            <w:pPr>
              <w:widowControl w:val="0"/>
              <w:jc w:val="center"/>
              <w:rPr>
                <w:b/>
                <w:color w:val="000000"/>
                <w:sz w:val="20"/>
                <w:szCs w:val="20"/>
              </w:rPr>
            </w:pPr>
            <w:r>
              <w:rPr>
                <w:b/>
                <w:color w:val="000000"/>
                <w:sz w:val="20"/>
              </w:rPr>
              <w:t>Propuesto</w:t>
            </w:r>
            <w:r w:rsidR="003515BA">
              <w:rPr>
                <w:b/>
                <w:color w:val="000000"/>
                <w:sz w:val="20"/>
              </w:rPr>
              <w:t>s</w:t>
            </w:r>
          </w:p>
        </w:tc>
      </w:tr>
      <w:tr w:rsidR="00522540" w:rsidRPr="00522540" w14:paraId="6D7AAC3D" w14:textId="77777777" w:rsidTr="005024E6">
        <w:trPr>
          <w:trHeight w:val="46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693F4E15" w14:textId="77777777" w:rsidR="00522540" w:rsidRPr="00522540" w:rsidRDefault="00522540" w:rsidP="00F87086">
            <w:pPr>
              <w:widowControl w:val="0"/>
              <w:jc w:val="left"/>
              <w:rPr>
                <w:color w:val="000000"/>
                <w:sz w:val="20"/>
                <w:szCs w:val="20"/>
              </w:rPr>
            </w:pPr>
            <w:r>
              <w:rPr>
                <w:color w:val="000000"/>
                <w:sz w:val="20"/>
              </w:rPr>
              <w:t>Funcionarios y consultores</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CA35AF0" w14:textId="24D9A3F3" w:rsidR="00522540" w:rsidRPr="00522540" w:rsidRDefault="00522540" w:rsidP="00F87086">
            <w:pPr>
              <w:widowControl w:val="0"/>
              <w:jc w:val="right"/>
              <w:rPr>
                <w:color w:val="000000"/>
                <w:sz w:val="20"/>
                <w:szCs w:val="20"/>
                <w:highlight w:val="yellow"/>
              </w:rPr>
            </w:pPr>
            <w:r>
              <w:rPr>
                <w:sz w:val="20"/>
              </w:rPr>
              <w:t>7.626.200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1E484D3" w14:textId="339DB459" w:rsidR="00522540" w:rsidRPr="00522540" w:rsidRDefault="00522540" w:rsidP="00F87086">
            <w:pPr>
              <w:widowControl w:val="0"/>
              <w:jc w:val="right"/>
              <w:rPr>
                <w:color w:val="000000"/>
                <w:sz w:val="20"/>
                <w:szCs w:val="20"/>
                <w:highlight w:val="yellow"/>
              </w:rPr>
            </w:pPr>
            <w:r>
              <w:rPr>
                <w:sz w:val="20"/>
              </w:rPr>
              <w:t>6.743.871</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6C8721D" w14:textId="2CFB76C0" w:rsidR="00522540" w:rsidRPr="00522540" w:rsidRDefault="00522540" w:rsidP="00F87086">
            <w:pPr>
              <w:widowControl w:val="0"/>
              <w:jc w:val="right"/>
              <w:rPr>
                <w:color w:val="000000"/>
                <w:sz w:val="20"/>
                <w:szCs w:val="20"/>
              </w:rPr>
            </w:pPr>
            <w:r>
              <w:rPr>
                <w:sz w:val="20"/>
              </w:rPr>
              <w:t>882.329</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2CE85BF" w14:textId="781A7BD4" w:rsidR="00522540" w:rsidRPr="00522540" w:rsidRDefault="00522540" w:rsidP="00F87086">
            <w:pPr>
              <w:widowControl w:val="0"/>
              <w:jc w:val="right"/>
              <w:rPr>
                <w:color w:val="000000"/>
                <w:sz w:val="20"/>
                <w:szCs w:val="20"/>
                <w:highlight w:val="yellow"/>
              </w:rPr>
            </w:pPr>
            <w:r>
              <w:rPr>
                <w:sz w:val="20"/>
              </w:rPr>
              <w:t>7.854.531</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7EDC79A" w14:textId="1549B25C" w:rsidR="00522540" w:rsidRPr="00522540" w:rsidRDefault="00522540" w:rsidP="00F87086">
            <w:pPr>
              <w:widowControl w:val="0"/>
              <w:jc w:val="right"/>
              <w:rPr>
                <w:color w:val="000000"/>
                <w:sz w:val="20"/>
                <w:szCs w:val="20"/>
                <w:highlight w:val="yellow"/>
              </w:rPr>
            </w:pPr>
            <w:r>
              <w:rPr>
                <w:sz w:val="20"/>
              </w:rPr>
              <w:t>7.381.500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80F4945" w14:textId="352AAC40" w:rsidR="00522540" w:rsidRPr="00522540" w:rsidRDefault="00522540" w:rsidP="00F87086">
            <w:pPr>
              <w:widowControl w:val="0"/>
              <w:jc w:val="right"/>
              <w:rPr>
                <w:color w:val="000000"/>
                <w:sz w:val="20"/>
                <w:szCs w:val="20"/>
              </w:rPr>
            </w:pPr>
            <w:r>
              <w:rPr>
                <w:color w:val="000000"/>
                <w:sz w:val="20"/>
              </w:rPr>
              <w:t>8.090.167</w:t>
            </w:r>
          </w:p>
        </w:tc>
      </w:tr>
      <w:tr w:rsidR="00522540" w:rsidRPr="00522540" w14:paraId="5EEC2FD7" w14:textId="77777777" w:rsidTr="005024E6">
        <w:trPr>
          <w:trHeight w:val="230"/>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162E87A4" w14:textId="77777777" w:rsidR="00522540" w:rsidRPr="00522540" w:rsidRDefault="00522540" w:rsidP="00F87086">
            <w:pPr>
              <w:widowControl w:val="0"/>
              <w:jc w:val="left"/>
              <w:rPr>
                <w:color w:val="000000"/>
                <w:sz w:val="20"/>
                <w:szCs w:val="20"/>
              </w:rPr>
            </w:pPr>
            <w:r>
              <w:rPr>
                <w:color w:val="000000"/>
                <w:sz w:val="20"/>
              </w:rPr>
              <w:t>Viajes</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2164C36" w14:textId="00EBB1C1" w:rsidR="00522540" w:rsidRPr="00522540" w:rsidRDefault="00522540" w:rsidP="00F87086">
            <w:pPr>
              <w:widowControl w:val="0"/>
              <w:jc w:val="right"/>
              <w:rPr>
                <w:color w:val="000000"/>
                <w:sz w:val="20"/>
                <w:szCs w:val="20"/>
                <w:highlight w:val="yellow"/>
              </w:rPr>
            </w:pPr>
            <w:r>
              <w:rPr>
                <w:sz w:val="20"/>
              </w:rPr>
              <w:t>548.000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C767ED8" w14:textId="169E36F8" w:rsidR="00522540" w:rsidRPr="00522540" w:rsidRDefault="00522540" w:rsidP="00F87086">
            <w:pPr>
              <w:widowControl w:val="0"/>
              <w:jc w:val="right"/>
              <w:rPr>
                <w:color w:val="000000"/>
                <w:sz w:val="20"/>
                <w:szCs w:val="20"/>
                <w:highlight w:val="yellow"/>
              </w:rPr>
            </w:pPr>
            <w:r>
              <w:rPr>
                <w:sz w:val="20"/>
              </w:rPr>
              <w:t>548.000</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8ED0C64" w14:textId="28C8B743" w:rsidR="00522540" w:rsidRPr="00522540" w:rsidRDefault="00522540" w:rsidP="00F87086">
            <w:pPr>
              <w:widowControl w:val="0"/>
              <w:jc w:val="right"/>
              <w:rPr>
                <w:color w:val="000000"/>
                <w:sz w:val="20"/>
                <w:szCs w:val="20"/>
                <w:highlight w:val="yellow"/>
              </w:rPr>
            </w:pPr>
            <w:r>
              <w:rPr>
                <w:sz w:val="20"/>
              </w:rPr>
              <w:t>0</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9015621" w14:textId="3ED9F289" w:rsidR="00522540" w:rsidRPr="00522540" w:rsidRDefault="00522540" w:rsidP="00F87086">
            <w:pPr>
              <w:widowControl w:val="0"/>
              <w:jc w:val="right"/>
              <w:rPr>
                <w:color w:val="000000"/>
                <w:sz w:val="20"/>
                <w:szCs w:val="20"/>
                <w:highlight w:val="yellow"/>
              </w:rPr>
            </w:pPr>
            <w:r>
              <w:rPr>
                <w:sz w:val="20"/>
              </w:rPr>
              <w:t>575.400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3522F37" w14:textId="50015147" w:rsidR="00522540" w:rsidRPr="00522540" w:rsidRDefault="00522540" w:rsidP="00F87086">
            <w:pPr>
              <w:widowControl w:val="0"/>
              <w:jc w:val="right"/>
              <w:rPr>
                <w:color w:val="000000"/>
                <w:sz w:val="20"/>
                <w:szCs w:val="20"/>
                <w:highlight w:val="yellow"/>
              </w:rPr>
            </w:pPr>
            <w:r>
              <w:rPr>
                <w:sz w:val="20"/>
              </w:rPr>
              <w:t>575.400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2EA3B28" w14:textId="411EF1A9" w:rsidR="00522540" w:rsidRPr="00522540" w:rsidRDefault="00522540" w:rsidP="00F87086">
            <w:pPr>
              <w:widowControl w:val="0"/>
              <w:jc w:val="right"/>
              <w:rPr>
                <w:color w:val="000000"/>
                <w:sz w:val="20"/>
                <w:szCs w:val="20"/>
              </w:rPr>
            </w:pPr>
            <w:r>
              <w:rPr>
                <w:color w:val="000000"/>
                <w:sz w:val="20"/>
              </w:rPr>
              <w:t>571.400</w:t>
            </w:r>
          </w:p>
        </w:tc>
      </w:tr>
      <w:tr w:rsidR="00522540" w:rsidRPr="00522540" w14:paraId="6BF0F2A6" w14:textId="77777777" w:rsidTr="005024E6">
        <w:trPr>
          <w:trHeight w:val="422"/>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25F441CB" w14:textId="77777777" w:rsidR="00522540" w:rsidRPr="00522540" w:rsidRDefault="00522540" w:rsidP="00F87086">
            <w:pPr>
              <w:widowControl w:val="0"/>
              <w:jc w:val="left"/>
              <w:rPr>
                <w:color w:val="000000"/>
                <w:sz w:val="20"/>
                <w:szCs w:val="20"/>
              </w:rPr>
            </w:pPr>
            <w:r>
              <w:rPr>
                <w:color w:val="000000"/>
                <w:sz w:val="20"/>
              </w:rPr>
              <w:t xml:space="preserve">Actividades y reuniones regionales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68CD7CC" w14:textId="7BDA2CF0" w:rsidR="00522540" w:rsidRPr="00522540" w:rsidRDefault="00522540" w:rsidP="00F87086">
            <w:pPr>
              <w:widowControl w:val="0"/>
              <w:ind w:left="112"/>
              <w:jc w:val="right"/>
              <w:rPr>
                <w:color w:val="000000"/>
                <w:sz w:val="20"/>
                <w:szCs w:val="20"/>
              </w:rPr>
            </w:pPr>
            <w:r>
              <w:rPr>
                <w:color w:val="000000"/>
                <w:sz w:val="20"/>
                <w:vertAlign w:val="superscript"/>
              </w:rPr>
              <w:t>b</w:t>
            </w:r>
            <w:r>
              <w:rPr>
                <w:color w:val="000000"/>
                <w:sz w:val="20"/>
              </w:rPr>
              <w:t>1.117.000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43F78CA" w14:textId="7771970D" w:rsidR="00522540" w:rsidRPr="00522540" w:rsidRDefault="00522540" w:rsidP="00F87086">
            <w:pPr>
              <w:widowControl w:val="0"/>
              <w:jc w:val="right"/>
              <w:rPr>
                <w:color w:val="000000"/>
                <w:sz w:val="20"/>
                <w:szCs w:val="20"/>
              </w:rPr>
            </w:pPr>
            <w:r>
              <w:rPr>
                <w:sz w:val="20"/>
              </w:rPr>
              <w:t>1.115.360</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209A265" w14:textId="372B49D3" w:rsidR="00522540" w:rsidRPr="00522540" w:rsidRDefault="00522540" w:rsidP="00F87086">
            <w:pPr>
              <w:widowControl w:val="0"/>
              <w:jc w:val="right"/>
              <w:rPr>
                <w:color w:val="000000"/>
                <w:sz w:val="20"/>
                <w:szCs w:val="20"/>
              </w:rPr>
            </w:pPr>
            <w:r>
              <w:rPr>
                <w:sz w:val="20"/>
              </w:rPr>
              <w:t>1.640</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6A7BB56" w14:textId="45B597F4" w:rsidR="00522540" w:rsidRPr="00522540" w:rsidRDefault="003515BA" w:rsidP="00F87086">
            <w:pPr>
              <w:widowControl w:val="0"/>
              <w:jc w:val="right"/>
              <w:rPr>
                <w:color w:val="000000"/>
                <w:sz w:val="20"/>
                <w:szCs w:val="20"/>
              </w:rPr>
            </w:pPr>
            <w:r>
              <w:rPr>
                <w:color w:val="000000"/>
                <w:sz w:val="20"/>
                <w:vertAlign w:val="superscript"/>
              </w:rPr>
              <w:t>c</w:t>
            </w:r>
            <w:r w:rsidR="00522540">
              <w:rPr>
                <w:sz w:val="20"/>
              </w:rPr>
              <w:t>1.316.400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BCA8006" w14:textId="25B896DB" w:rsidR="00522540" w:rsidRPr="00522540" w:rsidRDefault="00522540" w:rsidP="00F87086">
            <w:pPr>
              <w:widowControl w:val="0"/>
              <w:jc w:val="right"/>
              <w:rPr>
                <w:color w:val="000000"/>
                <w:sz w:val="20"/>
                <w:szCs w:val="20"/>
              </w:rPr>
            </w:pPr>
            <w:r>
              <w:rPr>
                <w:sz w:val="20"/>
              </w:rPr>
              <w:t>1.316.400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29E3F58" w14:textId="5B29B523" w:rsidR="00522540" w:rsidRPr="00522540" w:rsidRDefault="00522540" w:rsidP="00F87086">
            <w:pPr>
              <w:widowControl w:val="0"/>
              <w:jc w:val="right"/>
              <w:rPr>
                <w:color w:val="000000"/>
                <w:sz w:val="20"/>
                <w:szCs w:val="20"/>
              </w:rPr>
            </w:pPr>
            <w:r>
              <w:rPr>
                <w:color w:val="000000"/>
                <w:sz w:val="20"/>
              </w:rPr>
              <w:t>1.320.400</w:t>
            </w:r>
          </w:p>
        </w:tc>
      </w:tr>
      <w:tr w:rsidR="00522540" w:rsidRPr="00522540" w14:paraId="69A35EFC" w14:textId="77777777" w:rsidTr="005024E6">
        <w:trPr>
          <w:trHeight w:val="46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1599C8C9" w14:textId="3E55BF60" w:rsidR="00522540" w:rsidRPr="00522540" w:rsidRDefault="00522540" w:rsidP="00F87086">
            <w:pPr>
              <w:widowControl w:val="0"/>
              <w:jc w:val="left"/>
              <w:rPr>
                <w:color w:val="000000"/>
                <w:sz w:val="20"/>
                <w:szCs w:val="20"/>
              </w:rPr>
            </w:pPr>
            <w:r>
              <w:rPr>
                <w:color w:val="000000"/>
                <w:sz w:val="20"/>
              </w:rPr>
              <w:t xml:space="preserve">Servicios globales y apoyo a reuniones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7B891DF" w14:textId="1FCEFCD5" w:rsidR="00522540" w:rsidRPr="00522540" w:rsidRDefault="00522540" w:rsidP="00F87086">
            <w:pPr>
              <w:widowControl w:val="0"/>
              <w:jc w:val="right"/>
              <w:rPr>
                <w:color w:val="000000"/>
                <w:sz w:val="20"/>
                <w:szCs w:val="20"/>
              </w:rPr>
            </w:pPr>
            <w:r>
              <w:rPr>
                <w:sz w:val="20"/>
                <w:vertAlign w:val="superscript"/>
              </w:rPr>
              <w:t>d</w:t>
            </w:r>
            <w:r>
              <w:rPr>
                <w:sz w:val="20"/>
              </w:rPr>
              <w:t xml:space="preserve">750.000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EC10376" w14:textId="729A6958" w:rsidR="00522540" w:rsidRPr="00522540" w:rsidRDefault="00522540" w:rsidP="00F87086">
            <w:pPr>
              <w:widowControl w:val="0"/>
              <w:jc w:val="right"/>
              <w:rPr>
                <w:color w:val="000000"/>
                <w:sz w:val="20"/>
                <w:szCs w:val="20"/>
              </w:rPr>
            </w:pPr>
            <w:r>
              <w:rPr>
                <w:sz w:val="20"/>
              </w:rPr>
              <w:t>407.088</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DAE8B7A" w14:textId="28C85852" w:rsidR="00522540" w:rsidRPr="00522540" w:rsidRDefault="00522540" w:rsidP="00F87086">
            <w:pPr>
              <w:widowControl w:val="0"/>
              <w:jc w:val="right"/>
              <w:rPr>
                <w:color w:val="000000"/>
                <w:sz w:val="20"/>
                <w:szCs w:val="20"/>
              </w:rPr>
            </w:pPr>
            <w:r>
              <w:rPr>
                <w:sz w:val="20"/>
              </w:rPr>
              <w:t>342.912</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C299758" w14:textId="42EEDD36" w:rsidR="00522540" w:rsidRPr="00522540" w:rsidRDefault="00522540" w:rsidP="00F87086">
            <w:pPr>
              <w:widowControl w:val="0"/>
              <w:jc w:val="right"/>
              <w:rPr>
                <w:color w:val="000000"/>
                <w:sz w:val="20"/>
                <w:szCs w:val="20"/>
              </w:rPr>
            </w:pPr>
            <w:r>
              <w:rPr>
                <w:sz w:val="20"/>
                <w:vertAlign w:val="superscript"/>
              </w:rPr>
              <w:t>e</w:t>
            </w:r>
            <w:r>
              <w:rPr>
                <w:sz w:val="20"/>
              </w:rPr>
              <w:t>855.000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29FE481" w14:textId="12C67912" w:rsidR="00522540" w:rsidRPr="00522540" w:rsidRDefault="00522540" w:rsidP="00F87086">
            <w:pPr>
              <w:widowControl w:val="0"/>
              <w:jc w:val="right"/>
              <w:rPr>
                <w:color w:val="000000"/>
                <w:sz w:val="20"/>
                <w:szCs w:val="20"/>
              </w:rPr>
            </w:pPr>
            <w:r>
              <w:rPr>
                <w:sz w:val="20"/>
              </w:rPr>
              <w:t>725.000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B0E2B63" w14:textId="6A16EA43" w:rsidR="00522540" w:rsidRPr="00522540" w:rsidRDefault="00522540" w:rsidP="00F87086">
            <w:pPr>
              <w:widowControl w:val="0"/>
              <w:jc w:val="right"/>
              <w:rPr>
                <w:color w:val="000000"/>
                <w:sz w:val="20"/>
                <w:szCs w:val="20"/>
              </w:rPr>
            </w:pPr>
            <w:r>
              <w:rPr>
                <w:color w:val="000000"/>
                <w:sz w:val="20"/>
              </w:rPr>
              <w:t>705.000</w:t>
            </w:r>
          </w:p>
        </w:tc>
      </w:tr>
      <w:tr w:rsidR="00522540" w:rsidRPr="00522540" w14:paraId="594CB53B" w14:textId="77777777" w:rsidTr="005024E6">
        <w:trPr>
          <w:trHeight w:val="46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3B7FEAA6" w14:textId="77777777" w:rsidR="00522540" w:rsidRPr="00522540" w:rsidRDefault="00522540" w:rsidP="00F87086">
            <w:pPr>
              <w:widowControl w:val="0"/>
              <w:jc w:val="left"/>
              <w:rPr>
                <w:color w:val="000000"/>
                <w:sz w:val="20"/>
                <w:szCs w:val="20"/>
              </w:rPr>
            </w:pPr>
            <w:r>
              <w:rPr>
                <w:color w:val="000000"/>
                <w:sz w:val="20"/>
              </w:rPr>
              <w:lastRenderedPageBreak/>
              <w:t xml:space="preserve">Oficinas y equipos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559BADF" w14:textId="6352766D" w:rsidR="00522540" w:rsidRPr="00522540" w:rsidRDefault="00522540" w:rsidP="00F87086">
            <w:pPr>
              <w:widowControl w:val="0"/>
              <w:jc w:val="right"/>
              <w:rPr>
                <w:color w:val="000000"/>
                <w:sz w:val="20"/>
                <w:szCs w:val="20"/>
                <w:highlight w:val="yellow"/>
              </w:rPr>
            </w:pPr>
            <w:r>
              <w:rPr>
                <w:sz w:val="20"/>
              </w:rPr>
              <w:t>590.000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E62CB50" w14:textId="6D960F62" w:rsidR="00522540" w:rsidRPr="00522540" w:rsidRDefault="00522540" w:rsidP="00F87086">
            <w:pPr>
              <w:widowControl w:val="0"/>
              <w:jc w:val="right"/>
              <w:rPr>
                <w:color w:val="000000"/>
                <w:sz w:val="20"/>
                <w:szCs w:val="20"/>
                <w:highlight w:val="yellow"/>
              </w:rPr>
            </w:pPr>
            <w:r>
              <w:rPr>
                <w:sz w:val="20"/>
              </w:rPr>
              <w:t>480.575</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F1E8EC9" w14:textId="30D91000" w:rsidR="00522540" w:rsidRPr="00522540" w:rsidRDefault="00522540" w:rsidP="00F87086">
            <w:pPr>
              <w:widowControl w:val="0"/>
              <w:jc w:val="right"/>
              <w:rPr>
                <w:color w:val="000000"/>
                <w:sz w:val="20"/>
                <w:szCs w:val="20"/>
                <w:highlight w:val="yellow"/>
              </w:rPr>
            </w:pPr>
            <w:r>
              <w:rPr>
                <w:sz w:val="20"/>
              </w:rPr>
              <w:t>109.425</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2587CE1" w14:textId="0A761866" w:rsidR="00522540" w:rsidRPr="00522540" w:rsidRDefault="00522540" w:rsidP="00F87086">
            <w:pPr>
              <w:widowControl w:val="0"/>
              <w:jc w:val="right"/>
              <w:rPr>
                <w:color w:val="000000"/>
                <w:sz w:val="20"/>
                <w:szCs w:val="20"/>
                <w:highlight w:val="yellow"/>
              </w:rPr>
            </w:pPr>
            <w:r>
              <w:rPr>
                <w:sz w:val="20"/>
              </w:rPr>
              <w:t>590.000</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7BB7EA1" w14:textId="7C39CB10" w:rsidR="00522540" w:rsidRPr="00522540" w:rsidRDefault="00522540" w:rsidP="00F87086">
            <w:pPr>
              <w:widowControl w:val="0"/>
              <w:jc w:val="right"/>
              <w:rPr>
                <w:color w:val="000000"/>
                <w:sz w:val="20"/>
                <w:szCs w:val="20"/>
                <w:highlight w:val="yellow"/>
              </w:rPr>
            </w:pPr>
            <w:r>
              <w:rPr>
                <w:sz w:val="20"/>
              </w:rPr>
              <w:t>570.000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EF5DDDA" w14:textId="0C25F16C" w:rsidR="00522540" w:rsidRPr="00522540" w:rsidRDefault="00522540" w:rsidP="00F87086">
            <w:pPr>
              <w:widowControl w:val="0"/>
              <w:jc w:val="right"/>
              <w:rPr>
                <w:color w:val="000000"/>
                <w:sz w:val="20"/>
                <w:szCs w:val="20"/>
              </w:rPr>
            </w:pPr>
            <w:r>
              <w:rPr>
                <w:color w:val="000000"/>
                <w:sz w:val="20"/>
              </w:rPr>
              <w:t>590.000</w:t>
            </w:r>
          </w:p>
        </w:tc>
      </w:tr>
      <w:tr w:rsidR="00522540" w:rsidRPr="00522540" w14:paraId="112E01F8" w14:textId="77777777" w:rsidTr="005024E6">
        <w:trPr>
          <w:trHeight w:val="230"/>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6ED18BBF" w14:textId="77777777" w:rsidR="00522540" w:rsidRPr="00522540" w:rsidRDefault="00522540" w:rsidP="00F87086">
            <w:pPr>
              <w:widowControl w:val="0"/>
              <w:jc w:val="left"/>
              <w:rPr>
                <w:b/>
                <w:color w:val="000000"/>
                <w:sz w:val="20"/>
                <w:szCs w:val="20"/>
              </w:rPr>
            </w:pPr>
            <w:r>
              <w:rPr>
                <w:b/>
                <w:color w:val="000000"/>
                <w:sz w:val="20"/>
              </w:rPr>
              <w:t xml:space="preserve">Subtotal </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7EB0D21" w14:textId="01B39190" w:rsidR="00522540" w:rsidRPr="00522540" w:rsidRDefault="00522540" w:rsidP="00F87086">
            <w:pPr>
              <w:widowControl w:val="0"/>
              <w:jc w:val="right"/>
              <w:rPr>
                <w:b/>
                <w:bCs/>
                <w:color w:val="000000"/>
                <w:sz w:val="20"/>
                <w:szCs w:val="20"/>
                <w:highlight w:val="yellow"/>
              </w:rPr>
            </w:pPr>
            <w:r>
              <w:rPr>
                <w:b/>
                <w:sz w:val="20"/>
              </w:rPr>
              <w:t>10.631.200</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F6396D0" w14:textId="60E3FD67" w:rsidR="00522540" w:rsidRPr="00522540" w:rsidRDefault="00522540" w:rsidP="00F87086">
            <w:pPr>
              <w:widowControl w:val="0"/>
              <w:jc w:val="right"/>
              <w:rPr>
                <w:b/>
                <w:bCs/>
                <w:color w:val="000000"/>
                <w:sz w:val="20"/>
                <w:szCs w:val="20"/>
                <w:highlight w:val="yellow"/>
              </w:rPr>
            </w:pPr>
            <w:r>
              <w:rPr>
                <w:b/>
                <w:sz w:val="20"/>
              </w:rPr>
              <w:t>9.294.894</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A9D6BB9" w14:textId="257D4C30" w:rsidR="00522540" w:rsidRPr="00522540" w:rsidRDefault="00522540" w:rsidP="00F87086">
            <w:pPr>
              <w:widowControl w:val="0"/>
              <w:jc w:val="right"/>
              <w:rPr>
                <w:b/>
                <w:bCs/>
                <w:sz w:val="20"/>
                <w:szCs w:val="20"/>
                <w:highlight w:val="yellow"/>
              </w:rPr>
            </w:pPr>
            <w:r>
              <w:rPr>
                <w:b/>
                <w:sz w:val="20"/>
              </w:rPr>
              <w:t>1.336.306</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43A80F6" w14:textId="01079EF6" w:rsidR="00522540" w:rsidRPr="00522540" w:rsidRDefault="00522540" w:rsidP="00F87086">
            <w:pPr>
              <w:widowControl w:val="0"/>
              <w:jc w:val="right"/>
              <w:rPr>
                <w:b/>
                <w:bCs/>
                <w:color w:val="000000"/>
                <w:sz w:val="20"/>
                <w:szCs w:val="20"/>
                <w:highlight w:val="yellow"/>
              </w:rPr>
            </w:pPr>
            <w:r>
              <w:rPr>
                <w:b/>
                <w:sz w:val="20"/>
              </w:rPr>
              <w:t>11.191.331</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3720E72" w14:textId="717F6715" w:rsidR="00522540" w:rsidRPr="00522540" w:rsidRDefault="00522540" w:rsidP="00F87086">
            <w:pPr>
              <w:widowControl w:val="0"/>
              <w:jc w:val="right"/>
              <w:rPr>
                <w:b/>
                <w:bCs/>
                <w:color w:val="000000"/>
                <w:sz w:val="20"/>
                <w:szCs w:val="20"/>
                <w:highlight w:val="yellow"/>
              </w:rPr>
            </w:pPr>
            <w:r>
              <w:rPr>
                <w:b/>
                <w:sz w:val="20"/>
              </w:rPr>
              <w:t>10.568.300</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9A10447" w14:textId="26AB70FC" w:rsidR="00522540" w:rsidRPr="00522540" w:rsidRDefault="00522540" w:rsidP="00F87086">
            <w:pPr>
              <w:widowControl w:val="0"/>
              <w:jc w:val="right"/>
              <w:rPr>
                <w:b/>
                <w:bCs/>
                <w:color w:val="000000"/>
                <w:sz w:val="20"/>
                <w:szCs w:val="20"/>
              </w:rPr>
            </w:pPr>
            <w:r>
              <w:rPr>
                <w:b/>
                <w:color w:val="000000"/>
                <w:sz w:val="20"/>
              </w:rPr>
              <w:t>11.276.967</w:t>
            </w:r>
          </w:p>
        </w:tc>
      </w:tr>
      <w:tr w:rsidR="00522540" w:rsidRPr="00522540" w14:paraId="5E3E1B3B" w14:textId="77777777" w:rsidTr="005024E6">
        <w:trPr>
          <w:trHeight w:val="476"/>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2D0E4955" w14:textId="77777777" w:rsidR="00522540" w:rsidRPr="00522540" w:rsidRDefault="00522540" w:rsidP="00F87086">
            <w:pPr>
              <w:widowControl w:val="0"/>
              <w:jc w:val="left"/>
              <w:rPr>
                <w:color w:val="000000"/>
                <w:sz w:val="20"/>
                <w:szCs w:val="20"/>
              </w:rPr>
            </w:pPr>
            <w:r>
              <w:rPr>
                <w:color w:val="000000"/>
                <w:sz w:val="20"/>
              </w:rPr>
              <w:t>Gastos de apoyo</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8200B3D" w14:textId="2D5795A2" w:rsidR="00522540" w:rsidRPr="00522540" w:rsidRDefault="00522540" w:rsidP="00F87086">
            <w:pPr>
              <w:widowControl w:val="0"/>
              <w:jc w:val="right"/>
              <w:rPr>
                <w:color w:val="000000"/>
                <w:sz w:val="20"/>
                <w:szCs w:val="20"/>
                <w:highlight w:val="yellow"/>
              </w:rPr>
            </w:pPr>
            <w:r>
              <w:rPr>
                <w:sz w:val="20"/>
              </w:rPr>
              <w:t>850.496</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05BCFF8" w14:textId="14144032" w:rsidR="00522540" w:rsidRPr="00522540" w:rsidRDefault="00522540" w:rsidP="00F87086">
            <w:pPr>
              <w:widowControl w:val="0"/>
              <w:jc w:val="right"/>
              <w:rPr>
                <w:color w:val="000000"/>
                <w:sz w:val="20"/>
                <w:szCs w:val="20"/>
                <w:highlight w:val="yellow"/>
              </w:rPr>
            </w:pPr>
            <w:r>
              <w:rPr>
                <w:sz w:val="20"/>
              </w:rPr>
              <w:t>743.592</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D462865" w14:textId="67EF778F" w:rsidR="00522540" w:rsidRPr="00522540" w:rsidRDefault="00522540" w:rsidP="00F87086">
            <w:pPr>
              <w:widowControl w:val="0"/>
              <w:jc w:val="right"/>
              <w:rPr>
                <w:color w:val="000000"/>
                <w:sz w:val="20"/>
                <w:szCs w:val="20"/>
                <w:highlight w:val="yellow"/>
              </w:rPr>
            </w:pPr>
            <w:r>
              <w:rPr>
                <w:sz w:val="20"/>
              </w:rPr>
              <w:t>106.904</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EEFCEA4" w14:textId="77777777" w:rsidR="00522540" w:rsidRPr="00522540" w:rsidRDefault="00522540" w:rsidP="00F87086">
            <w:pPr>
              <w:widowControl w:val="0"/>
              <w:jc w:val="right"/>
              <w:rPr>
                <w:color w:val="000000"/>
                <w:sz w:val="20"/>
                <w:szCs w:val="20"/>
              </w:rPr>
            </w:pPr>
            <w:r>
              <w:rPr>
                <w:color w:val="000000"/>
                <w:sz w:val="20"/>
              </w:rPr>
              <w:t>895.306</w:t>
            </w:r>
          </w:p>
          <w:p w14:paraId="07889997" w14:textId="224D9C81" w:rsidR="00522540" w:rsidRPr="00522540" w:rsidRDefault="00522540" w:rsidP="00F87086">
            <w:pPr>
              <w:widowControl w:val="0"/>
              <w:jc w:val="right"/>
              <w:rPr>
                <w:color w:val="000000"/>
                <w:sz w:val="20"/>
                <w:szCs w:val="20"/>
                <w:highlight w:val="yellow"/>
                <w:lang w:eastAsia="en-GB"/>
              </w:rPr>
            </w:pP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E78E2BD" w14:textId="6A12D6AC" w:rsidR="00522540" w:rsidRPr="00522540" w:rsidRDefault="00522540" w:rsidP="00F87086">
            <w:pPr>
              <w:widowControl w:val="0"/>
              <w:jc w:val="right"/>
              <w:rPr>
                <w:color w:val="000000"/>
                <w:sz w:val="20"/>
                <w:szCs w:val="20"/>
                <w:highlight w:val="yellow"/>
              </w:rPr>
            </w:pPr>
            <w:r>
              <w:rPr>
                <w:color w:val="000000"/>
                <w:sz w:val="20"/>
              </w:rPr>
              <w:t>845.464</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E9F3EEF" w14:textId="1A1A4898" w:rsidR="00522540" w:rsidRPr="00522540" w:rsidRDefault="00522540" w:rsidP="00F87086">
            <w:pPr>
              <w:widowControl w:val="0"/>
              <w:jc w:val="right"/>
              <w:rPr>
                <w:color w:val="000000"/>
                <w:sz w:val="20"/>
                <w:szCs w:val="20"/>
                <w:highlight w:val="yellow"/>
              </w:rPr>
            </w:pPr>
            <w:r>
              <w:rPr>
                <w:color w:val="000000"/>
                <w:sz w:val="20"/>
              </w:rPr>
              <w:t>902.157</w:t>
            </w:r>
          </w:p>
        </w:tc>
      </w:tr>
      <w:tr w:rsidR="00522540" w:rsidRPr="00522540" w14:paraId="75881528" w14:textId="77777777" w:rsidTr="005024E6">
        <w:trPr>
          <w:trHeight w:val="71"/>
        </w:trPr>
        <w:tc>
          <w:tcPr>
            <w:tcW w:w="1418"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0FA7A06C" w14:textId="77777777" w:rsidR="00522540" w:rsidRPr="00522540" w:rsidRDefault="00522540" w:rsidP="00F87086">
            <w:pPr>
              <w:widowControl w:val="0"/>
              <w:jc w:val="left"/>
              <w:rPr>
                <w:b/>
                <w:color w:val="000000"/>
                <w:sz w:val="20"/>
                <w:szCs w:val="20"/>
              </w:rPr>
            </w:pPr>
            <w:r>
              <w:rPr>
                <w:b/>
                <w:color w:val="000000"/>
                <w:sz w:val="20"/>
              </w:rPr>
              <w:t>Total</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CC1F79F" w14:textId="2385A9CC" w:rsidR="00522540" w:rsidRPr="00522540" w:rsidRDefault="00522540" w:rsidP="00F87086">
            <w:pPr>
              <w:widowControl w:val="0"/>
              <w:jc w:val="right"/>
              <w:rPr>
                <w:b/>
                <w:bCs/>
                <w:color w:val="000000"/>
                <w:sz w:val="20"/>
                <w:szCs w:val="20"/>
                <w:highlight w:val="yellow"/>
              </w:rPr>
            </w:pPr>
            <w:r>
              <w:rPr>
                <w:b/>
                <w:sz w:val="20"/>
              </w:rPr>
              <w:t>11.481.696</w:t>
            </w:r>
          </w:p>
        </w:tc>
        <w:tc>
          <w:tcPr>
            <w:tcW w:w="133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84564EE" w14:textId="59CFBE24" w:rsidR="00522540" w:rsidRPr="00522540" w:rsidRDefault="00522540" w:rsidP="00F87086">
            <w:pPr>
              <w:widowControl w:val="0"/>
              <w:jc w:val="right"/>
              <w:rPr>
                <w:b/>
                <w:bCs/>
                <w:color w:val="000000"/>
                <w:sz w:val="20"/>
                <w:szCs w:val="20"/>
                <w:highlight w:val="yellow"/>
              </w:rPr>
            </w:pPr>
            <w:r>
              <w:rPr>
                <w:b/>
                <w:sz w:val="20"/>
              </w:rPr>
              <w:t>10.038.486</w:t>
            </w:r>
          </w:p>
        </w:tc>
        <w:tc>
          <w:tcPr>
            <w:tcW w:w="1303"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93DD3F5" w14:textId="60A93163" w:rsidR="00522540" w:rsidRPr="00522540" w:rsidRDefault="00522540" w:rsidP="00F87086">
            <w:pPr>
              <w:widowControl w:val="0"/>
              <w:jc w:val="right"/>
              <w:rPr>
                <w:b/>
                <w:bCs/>
                <w:color w:val="000000"/>
                <w:sz w:val="20"/>
                <w:szCs w:val="20"/>
                <w:highlight w:val="yellow"/>
              </w:rPr>
            </w:pPr>
            <w:r>
              <w:rPr>
                <w:b/>
                <w:sz w:val="20"/>
              </w:rPr>
              <w:t xml:space="preserve"> </w:t>
            </w:r>
            <w:r>
              <w:rPr>
                <w:sz w:val="20"/>
                <w:vertAlign w:val="superscript"/>
              </w:rPr>
              <w:t>f</w:t>
            </w:r>
            <w:r>
              <w:rPr>
                <w:b/>
                <w:bCs/>
                <w:sz w:val="20"/>
              </w:rPr>
              <w:t>1.443.210</w:t>
            </w:r>
          </w:p>
        </w:tc>
        <w:tc>
          <w:tcPr>
            <w:tcW w:w="136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3F91B26" w14:textId="3EFFBF95" w:rsidR="00522540" w:rsidRPr="00522540" w:rsidRDefault="00522540" w:rsidP="00F87086">
            <w:pPr>
              <w:widowControl w:val="0"/>
              <w:jc w:val="right"/>
              <w:rPr>
                <w:b/>
                <w:bCs/>
                <w:color w:val="000000"/>
                <w:sz w:val="20"/>
                <w:szCs w:val="20"/>
              </w:rPr>
            </w:pPr>
            <w:r>
              <w:rPr>
                <w:b/>
                <w:color w:val="000000"/>
                <w:sz w:val="20"/>
              </w:rPr>
              <w:t>12.086.637</w:t>
            </w:r>
          </w:p>
        </w:tc>
        <w:tc>
          <w:tcPr>
            <w:tcW w:w="132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6933CAD" w14:textId="6FC28210" w:rsidR="00522540" w:rsidRPr="00522540" w:rsidRDefault="00522540" w:rsidP="00F87086">
            <w:pPr>
              <w:widowControl w:val="0"/>
              <w:jc w:val="right"/>
              <w:rPr>
                <w:b/>
                <w:bCs/>
                <w:color w:val="000000"/>
                <w:sz w:val="20"/>
                <w:szCs w:val="20"/>
                <w:highlight w:val="yellow"/>
              </w:rPr>
            </w:pPr>
            <w:r>
              <w:rPr>
                <w:b/>
                <w:color w:val="000000"/>
                <w:sz w:val="20"/>
              </w:rPr>
              <w:t>11.413.764</w:t>
            </w:r>
          </w:p>
        </w:tc>
        <w:tc>
          <w:tcPr>
            <w:tcW w:w="133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98B7157" w14:textId="7D5FA8E9" w:rsidR="00522540" w:rsidRPr="00522540" w:rsidRDefault="00522540" w:rsidP="00F87086">
            <w:pPr>
              <w:widowControl w:val="0"/>
              <w:jc w:val="right"/>
              <w:rPr>
                <w:b/>
                <w:bCs/>
                <w:color w:val="000000"/>
                <w:sz w:val="20"/>
                <w:szCs w:val="20"/>
                <w:highlight w:val="yellow"/>
              </w:rPr>
            </w:pPr>
            <w:r>
              <w:rPr>
                <w:b/>
                <w:color w:val="000000"/>
                <w:sz w:val="20"/>
              </w:rPr>
              <w:t>12.179.124</w:t>
            </w:r>
          </w:p>
        </w:tc>
      </w:tr>
    </w:tbl>
    <w:p w14:paraId="00A097CC" w14:textId="5C993DA8" w:rsidR="00F73E60" w:rsidRPr="00284268" w:rsidRDefault="00B14C88" w:rsidP="00F87086">
      <w:pPr>
        <w:widowControl w:val="0"/>
        <w:rPr>
          <w:sz w:val="19"/>
          <w:szCs w:val="19"/>
        </w:rPr>
      </w:pPr>
      <w:r>
        <w:rPr>
          <w:sz w:val="19"/>
          <w:vertAlign w:val="superscript"/>
        </w:rPr>
        <w:t>a</w:t>
      </w:r>
      <w:r>
        <w:rPr>
          <w:sz w:val="19"/>
        </w:rPr>
        <w:t xml:space="preserve"> Estimación de gastos a fecha del 31 de diciembre de 2025.</w:t>
      </w:r>
    </w:p>
    <w:p w14:paraId="2BEC0EC1" w14:textId="77777777" w:rsidR="00F73E60" w:rsidRPr="00284268" w:rsidRDefault="00F73E60" w:rsidP="00F87086">
      <w:pPr>
        <w:widowControl w:val="0"/>
        <w:rPr>
          <w:sz w:val="19"/>
        </w:rPr>
      </w:pPr>
      <w:r>
        <w:rPr>
          <w:sz w:val="19"/>
          <w:vertAlign w:val="superscript"/>
        </w:rPr>
        <w:t>b</w:t>
      </w:r>
      <w:r>
        <w:rPr>
          <w:sz w:val="19"/>
        </w:rPr>
        <w:t xml:space="preserve"> Incluidos los gastos en reuniones de asesoramiento y consultivas - partida presupuestaria 4210.</w:t>
      </w:r>
    </w:p>
    <w:p w14:paraId="5EBC7A2B" w14:textId="13B61A26" w:rsidR="00F73E60" w:rsidRPr="00284268" w:rsidRDefault="00F73E60" w:rsidP="00F87086">
      <w:pPr>
        <w:widowControl w:val="0"/>
        <w:rPr>
          <w:sz w:val="19"/>
        </w:rPr>
      </w:pPr>
      <w:r>
        <w:rPr>
          <w:sz w:val="19"/>
          <w:vertAlign w:val="superscript"/>
        </w:rPr>
        <w:t>c</w:t>
      </w:r>
      <w:r>
        <w:rPr>
          <w:sz w:val="19"/>
        </w:rPr>
        <w:t xml:space="preserve"> La partida presupuestaria 4210 (reuniones/apoyo) se eliminó del total para alinearla con el presupuesto detallado en la Parte III de la presentación. </w:t>
      </w:r>
    </w:p>
    <w:p w14:paraId="0DA845E9" w14:textId="2CDDA2F8" w:rsidR="00424F68" w:rsidRPr="00284268" w:rsidRDefault="00424F68" w:rsidP="00F87086">
      <w:pPr>
        <w:widowControl w:val="0"/>
        <w:rPr>
          <w:sz w:val="19"/>
        </w:rPr>
      </w:pPr>
      <w:r>
        <w:rPr>
          <w:sz w:val="19"/>
          <w:vertAlign w:val="superscript"/>
        </w:rPr>
        <w:t xml:space="preserve">d </w:t>
      </w:r>
      <w:r>
        <w:rPr>
          <w:sz w:val="19"/>
        </w:rPr>
        <w:t xml:space="preserve">Incluidas únicamente las </w:t>
      </w:r>
      <w:r w:rsidR="006376D0">
        <w:rPr>
          <w:sz w:val="19"/>
        </w:rPr>
        <w:t>partidas</w:t>
      </w:r>
      <w:r>
        <w:rPr>
          <w:sz w:val="19"/>
        </w:rPr>
        <w:t xml:space="preserve"> presupuestarias de servicios globales 3210-3216.</w:t>
      </w:r>
    </w:p>
    <w:p w14:paraId="7FA7BA6B" w14:textId="1F70D056" w:rsidR="00F73E60" w:rsidRPr="00284268" w:rsidRDefault="00F73E60" w:rsidP="00F87086">
      <w:pPr>
        <w:widowControl w:val="0"/>
        <w:rPr>
          <w:sz w:val="19"/>
        </w:rPr>
      </w:pPr>
      <w:proofErr w:type="spellStart"/>
      <w:r>
        <w:rPr>
          <w:sz w:val="19"/>
          <w:vertAlign w:val="superscript"/>
        </w:rPr>
        <w:t>e</w:t>
      </w:r>
      <w:proofErr w:type="spellEnd"/>
      <w:r>
        <w:rPr>
          <w:sz w:val="19"/>
        </w:rPr>
        <w:t xml:space="preserve"> Incluida la partida presupuestaria 4210 (reuniones/apoyo) para alinearla con el presupuesto detallado en la Parte III de la presentación. </w:t>
      </w:r>
    </w:p>
    <w:p w14:paraId="60A78784" w14:textId="451D9E1C" w:rsidR="00F73E60" w:rsidRPr="0052245C" w:rsidRDefault="00F73E60" w:rsidP="00F87086">
      <w:pPr>
        <w:widowControl w:val="0"/>
        <w:rPr>
          <w:sz w:val="19"/>
          <w:vertAlign w:val="superscript"/>
        </w:rPr>
      </w:pPr>
      <w:r>
        <w:rPr>
          <w:sz w:val="19"/>
          <w:vertAlign w:val="superscript"/>
        </w:rPr>
        <w:t>f</w:t>
      </w:r>
      <w:r>
        <w:rPr>
          <w:sz w:val="19"/>
        </w:rPr>
        <w:t xml:space="preserve"> Saldo devuelto a la 97ª reunión. </w:t>
      </w:r>
    </w:p>
    <w:p w14:paraId="1B532013" w14:textId="2642A583" w:rsidR="00F73E60" w:rsidRPr="00223FD4" w:rsidRDefault="00F73E60" w:rsidP="003515BA">
      <w:pPr>
        <w:pStyle w:val="Heading1"/>
        <w:tabs>
          <w:tab w:val="clear" w:pos="1985"/>
        </w:tabs>
        <w:spacing w:before="240"/>
        <w:ind w:left="0"/>
      </w:pPr>
      <w:bookmarkStart w:id="0" w:name="_Hlk182338250"/>
      <w:r>
        <w:t>Los saldos del Programa de Asistencia al Cumplimiento de 2024 se devuelven en la 97ª reunión, por un importe de USD</w:t>
      </w:r>
      <w:r w:rsidR="007B72F9">
        <w:t> </w:t>
      </w:r>
      <w:bookmarkEnd w:id="0"/>
      <w:r>
        <w:t>1.336.306, más gastos de apoyo del organismo de USD</w:t>
      </w:r>
      <w:r w:rsidR="007B72F9">
        <w:t> </w:t>
      </w:r>
      <w:r>
        <w:t>106.904. La mayor parte de los saldos devueltos corresponden a partidas de personal para puestos que estuvieron vacantes durante parte o la totalidad del año.</w:t>
      </w:r>
    </w:p>
    <w:p w14:paraId="5F0229D4" w14:textId="77777777" w:rsidR="00F73E60" w:rsidRPr="0045099E" w:rsidRDefault="00F73E60" w:rsidP="00F73E60">
      <w:pPr>
        <w:pStyle w:val="Heading1"/>
        <w:widowControl w:val="0"/>
        <w:numPr>
          <w:ilvl w:val="0"/>
          <w:numId w:val="0"/>
        </w:numPr>
        <w:jc w:val="center"/>
        <w:rPr>
          <w:b/>
        </w:rPr>
      </w:pPr>
      <w:r>
        <w:rPr>
          <w:b/>
        </w:rPr>
        <w:t>OBSERVACIONES Y RECOMENDACIÓN DE LA SECRETARÍA</w:t>
      </w:r>
    </w:p>
    <w:p w14:paraId="710B9B4E" w14:textId="77777777" w:rsidR="00F73E60" w:rsidRPr="0045099E" w:rsidRDefault="00F73E60" w:rsidP="00F73E60">
      <w:pPr>
        <w:widowControl w:val="0"/>
        <w:spacing w:after="240"/>
        <w:jc w:val="left"/>
      </w:pPr>
      <w:r>
        <w:rPr>
          <w:b/>
        </w:rPr>
        <w:t>OBSERVACIONES</w:t>
      </w:r>
    </w:p>
    <w:p w14:paraId="0D0BF962" w14:textId="41023F62" w:rsidR="0045099E" w:rsidRDefault="00F73E60" w:rsidP="00253616">
      <w:pPr>
        <w:pStyle w:val="Heading1"/>
        <w:tabs>
          <w:tab w:val="clear" w:pos="1985"/>
        </w:tabs>
        <w:ind w:left="0"/>
      </w:pPr>
      <w:r>
        <w:t xml:space="preserve">La Secretaría </w:t>
      </w:r>
      <w:r w:rsidR="000E48B1">
        <w:t>examinó</w:t>
      </w:r>
      <w:r>
        <w:t xml:space="preserve"> la propuesta de presupuesto para el </w:t>
      </w:r>
      <w:r w:rsidR="00123CAB" w:rsidRPr="00123CAB">
        <w:t xml:space="preserve">Programa de Asistencia al Cumplimiento </w:t>
      </w:r>
      <w:r>
        <w:t>y los cambios en materia programática y de recursos humanos sobre la base de la decisión 95/83 c)</w:t>
      </w:r>
      <w:r w:rsidRPr="00F87086">
        <w:rPr>
          <w:vertAlign w:val="superscript"/>
        </w:rPr>
        <w:footnoteReference w:id="8"/>
      </w:r>
      <w:r>
        <w:t xml:space="preserve"> teniendo en cuenta la estructura general del </w:t>
      </w:r>
      <w:r w:rsidR="00123CAB" w:rsidRPr="00123CAB">
        <w:t>Programa de Asistencia al Cumplimiento</w:t>
      </w:r>
      <w:r>
        <w:t>, sus operaciones y estructura regional y otras decisiones pertinentes.</w:t>
      </w:r>
    </w:p>
    <w:p w14:paraId="59F22B6F" w14:textId="5B727BBF" w:rsidR="0045099E" w:rsidRPr="00223FD4" w:rsidRDefault="0045099E" w:rsidP="00253616">
      <w:pPr>
        <w:pStyle w:val="Heading1"/>
        <w:tabs>
          <w:tab w:val="clear" w:pos="1985"/>
        </w:tabs>
        <w:ind w:left="0"/>
      </w:pPr>
      <w:r>
        <w:t xml:space="preserve">La Secretaría preguntó si el PNUMA había considerado la posibilidad de celebrar consultas amplias en 2026, el año final de la estrategia para 2024-2026 del Programa de Asistencia al Cumplimiento, con el fin de examinar exhaustivamente la estrategia en curso durante la elaboración de la estrategia para 2027-2029 con actividades renovadas. El PNUMA indicó que, como se estaba acercando el año final de la estrategia para 2024-2026 del Programa de Asistencia al Cumplimiento, en 2026 AcciónOzono del PNUMA celebraría consultas con partes interesadas clave para recabar su opinión sobre la mejor forma de satisfacer las necesidades de los países del Artículo 5 y para reflexionar sobre las experiencias adquiridas y los enfoques innovadores. </w:t>
      </w:r>
    </w:p>
    <w:p w14:paraId="450EEAD6" w14:textId="5748D5E1" w:rsidR="005640FC" w:rsidRPr="003E60F5" w:rsidRDefault="005640FC" w:rsidP="00253616">
      <w:pPr>
        <w:pStyle w:val="Heading1"/>
        <w:tabs>
          <w:tab w:val="clear" w:pos="1985"/>
        </w:tabs>
        <w:ind w:left="0"/>
      </w:pPr>
      <w:r>
        <w:t xml:space="preserve">Al examinar la propuesta, la Secretaría observó que la actividad destinada a elaborar un breve curso de formación para funcionarios nacionales del ozono sobre la participación y negociaciones efectivas en reuniones del Protocolo de Montreal y el Fondo Multilateral, junto con la realización de una prueba piloto, que figuraba en el plan de trabajo de 2025, volvía a estar incluida en el plan de trabajo para 2026. El PNUMA explicó que, tras la incorporación del responsable de creación de capacidad de AcciónOzono en febrero de 2025, se habían preparado los materiales de formación y </w:t>
      </w:r>
      <w:proofErr w:type="gramStart"/>
      <w:r>
        <w:t>estaba  previsto</w:t>
      </w:r>
      <w:proofErr w:type="gramEnd"/>
      <w:r>
        <w:t xml:space="preserve"> que el curso piloto se </w:t>
      </w:r>
      <w:proofErr w:type="gramStart"/>
      <w:r>
        <w:t>realizara</w:t>
      </w:r>
      <w:proofErr w:type="gramEnd"/>
      <w:r>
        <w:t xml:space="preserve"> en 2026. Se señaló también que ciertas regiones y países habían expresado su interés en el curso piloto.</w:t>
      </w:r>
    </w:p>
    <w:p w14:paraId="69768725" w14:textId="209A7312" w:rsidR="00051097" w:rsidRPr="00223FD4" w:rsidRDefault="000C31EA" w:rsidP="00253616">
      <w:pPr>
        <w:pStyle w:val="Heading1"/>
        <w:tabs>
          <w:tab w:val="clear" w:pos="1985"/>
        </w:tabs>
        <w:ind w:left="0"/>
      </w:pPr>
      <w:r>
        <w:lastRenderedPageBreak/>
        <w:t xml:space="preserve">En respuesta a la pregunta de la Secretaría sobre la manera en que el Programa de Asistencia al Cumplimiento estaba proporcionando apoyo para fortalecer la recopilación de datos y su análisis, el PNUMA indicó que la fiabilidad de los datos había sido un punto del día recurrente en las reuniones de redes regionales. El apoyo a los países en la realización de encuestas sobre alternativas a las SAO y otras encuestas necesarias para la preparación del KIP ha mejorado la precisión de los datos. Se han preparado materiales de orientación sobre la recopilación de datos y metodologías de análisis, así como cuestionarios estandarizados, que posteriormente se han distribuido entre los países a través de las redes. AcciónOzono ha elaborado un kit de preparación del KIP que incluye una lista de verificación para ayudar a los expertos y las </w:t>
      </w:r>
      <w:r w:rsidR="002C48F5">
        <w:t>D</w:t>
      </w:r>
      <w:r>
        <w:t xml:space="preserve">ependencias </w:t>
      </w:r>
      <w:r w:rsidR="002C48F5">
        <w:t>N</w:t>
      </w:r>
      <w:r>
        <w:t xml:space="preserve">acionales del </w:t>
      </w:r>
      <w:r w:rsidR="002C48F5">
        <w:t>O</w:t>
      </w:r>
      <w:r>
        <w:t xml:space="preserve">zono en la recopilación de datos. Para reforzar la recopilación de datos y las capacidades de análisis, diversos expertos nacionales y regionales también han participado en sesiones de formación específicas. El Programa de Asistencia al Cumplimiento ha elaborado un informe en el que se resumen las actividades incluidas en los KIP presentados y seguirá actualizándolo a medida que otros KIP se vayan aprobando. Además, el PNUMA presta apoyo a las </w:t>
      </w:r>
      <w:r w:rsidR="002C48F5">
        <w:t xml:space="preserve">Dependencias Nacionales del Ozono </w:t>
      </w:r>
      <w:r>
        <w:t>mediante la ejecución de proyectos de fortalecimiento institucional, capacitación a medida para nuevos funcionarios nacionales del ozono y asistencia técnica específica para satisfacer las necesidades concretas de los países, incluida la conciliación de datos de distintas fuentes para producir un único conjunto de datos precisos para la presentación de informes.</w:t>
      </w:r>
    </w:p>
    <w:p w14:paraId="282EE1DB" w14:textId="3B8D3B18" w:rsidR="001D4F14" w:rsidRPr="00223FD4" w:rsidRDefault="00DB13AF" w:rsidP="00253616">
      <w:pPr>
        <w:pStyle w:val="Heading1"/>
        <w:tabs>
          <w:tab w:val="clear" w:pos="1985"/>
        </w:tabs>
        <w:ind w:left="0"/>
      </w:pPr>
      <w:r>
        <w:t xml:space="preserve">En respuesta a la pregunta de la Secretaría sobre la forma en que el Programa de Asistencia al Cumplimiento apoyaba a las </w:t>
      </w:r>
      <w:r w:rsidR="002C48F5">
        <w:t xml:space="preserve">Dependencias Nacionales del Ozono </w:t>
      </w:r>
      <w:r>
        <w:t xml:space="preserve">interesadas en la actualización de sus marcos legales nacionales relativos al Protocolo de Montreal y proporcionaba apoyo de asesoramiento para elaborar proyectos de ley y reglamentos o enmendar las leyes y reglamentos existentes, el PNUMA indicó que AcciónOzono colaboraba con el Programa de Montevideo sobre Derecho Ambiental en el marco de la División Jurídica del PNUMA para proporcionar apoyo jurídico especializado a los países del Artículo 5. Entre los miembros del equipo del Programa de Montevideo sobre Derecho Ambiental se encuentran expertos en normativa medioambiental, que, en colaboración con los expertos técnicos de los equipos regionales del Programa de Asistencia al Cumplimiento, prestan apoyo a las </w:t>
      </w:r>
      <w:r w:rsidR="002C48F5">
        <w:t xml:space="preserve">Dependencias Nacionales del Ozono </w:t>
      </w:r>
      <w:r>
        <w:t xml:space="preserve">con el fin de elaborar y enmendar los marcos legislativos y reglamentarios necesarios para cumplir y poner en práctica el Protocolo de Montreal. </w:t>
      </w:r>
    </w:p>
    <w:p w14:paraId="0D38D308" w14:textId="2C4B8747" w:rsidR="00190C4D" w:rsidRDefault="00190C4D" w:rsidP="00253616">
      <w:pPr>
        <w:pStyle w:val="Heading1"/>
        <w:tabs>
          <w:tab w:val="clear" w:pos="1985"/>
        </w:tabs>
        <w:ind w:left="0"/>
      </w:pPr>
      <w:r>
        <w:t>La Secretaría también preguntó por la situación del proyecto de Estrategia Global de Comunicaciones para apoyar el cumplimiento del Protocolo de Montreal y la Enmienda de Kigali. El PNUMA indicó que el proyecto se había ido elaborando a lo largo de 2025 y seguía ajustándose a los resultados de las consultas celebradas. Está previsto completarlo antes del fin de 2025.</w:t>
      </w:r>
    </w:p>
    <w:p w14:paraId="5A43058D" w14:textId="765A3806" w:rsidR="007B6B1D" w:rsidRPr="00B82079" w:rsidRDefault="007B6B1D" w:rsidP="00253616">
      <w:pPr>
        <w:pStyle w:val="Heading1"/>
        <w:tabs>
          <w:tab w:val="clear" w:pos="1985"/>
        </w:tabs>
        <w:ind w:left="0"/>
      </w:pPr>
      <w:r>
        <w:t xml:space="preserve">En cuanto a la propuesta de presupuesto para 2026, la Secretaría preguntó por las plazas vacantes. El PNUMA explicó que había seis plazas, de las cuales tres estaban en una etapa avanzada del proceso de contratación, de manera que estaba previsto que todos los procesos internos se completasen en las primeras semanas de diciembre, y que el proceso de contratación para las otras tres plazas había comenzado y estaba en curso. </w:t>
      </w:r>
    </w:p>
    <w:p w14:paraId="068DB7C1" w14:textId="413A1DAB" w:rsidR="0045099E" w:rsidRPr="00F520CD" w:rsidRDefault="00EA6938" w:rsidP="00253616">
      <w:pPr>
        <w:pStyle w:val="Heading1"/>
        <w:tabs>
          <w:tab w:val="clear" w:pos="1985"/>
        </w:tabs>
        <w:ind w:left="0"/>
      </w:pPr>
      <w:r>
        <w:t>Al examinar el presupuesto propuesto del Programa de Asistencia al Cumplimiento para 2026 en comparación con el presupuesto aprobado de 2025, la Secretaría observó que la financiación adicional incluida en 2025 para contratar a expertos en eficiencia energética con el fin de prestar apoyo a países del Artículo 5 no se había incluido en la propuesta para 2026. Por lo tanto, la Secretaría solicitó un informe sobre los resultados conseguidos con los fondos adicionales (USD</w:t>
      </w:r>
      <w:r w:rsidR="007B72F9">
        <w:t> </w:t>
      </w:r>
      <w:r>
        <w:t xml:space="preserve">150.000) que se habían aprobado en el presupuesto de 2025 en el marco de la </w:t>
      </w:r>
      <w:r w:rsidR="006376D0">
        <w:t>partida</w:t>
      </w:r>
      <w:r>
        <w:t xml:space="preserve"> de servicios globales. El PNUMA indicó que la financiación aún no se había asignado al apoyo centralizado o regional de los proyectos de eficiencia energética y que estaban en curso las consultas con los equipos regionales del Programa de Asistencia al Cumplimiento, con el fin de asignar la financiación antes de la 97ª reunión. Cualquier financiación no asignada al final de 2025 se devolvería al Fondo Multilateral, según la práctica habitual. En el cuadro 2 se presenta una comparación entre el presupuesto del Programa de Asistencia al Cumplimiento aprobado para 2025 y el presupuesto propuesto para 2026.  </w:t>
      </w:r>
    </w:p>
    <w:p w14:paraId="5E563007" w14:textId="44012A7E" w:rsidR="00F73E60" w:rsidRPr="002D1E9A" w:rsidRDefault="00F73E60" w:rsidP="00F73E60">
      <w:pPr>
        <w:pStyle w:val="Heading1"/>
        <w:keepNext/>
        <w:numPr>
          <w:ilvl w:val="0"/>
          <w:numId w:val="0"/>
        </w:numPr>
        <w:tabs>
          <w:tab w:val="left" w:pos="720"/>
        </w:tabs>
        <w:spacing w:after="0"/>
        <w:rPr>
          <w:b/>
        </w:rPr>
      </w:pPr>
      <w:r>
        <w:rPr>
          <w:b/>
        </w:rPr>
        <w:lastRenderedPageBreak/>
        <w:t>Cuadro 2. Comparación del presupuesto del Programa de Asistencia al Cumplimiento para 2025 y el propuesto para 2026 (</w:t>
      </w:r>
      <w:r w:rsidR="000E48B1">
        <w:rPr>
          <w:b/>
        </w:rPr>
        <w:t>USD</w:t>
      </w:r>
      <w:r>
        <w:rPr>
          <w:b/>
        </w:rPr>
        <w:t>)</w:t>
      </w:r>
    </w:p>
    <w:tbl>
      <w:tblPr>
        <w:tblW w:w="5000" w:type="pct"/>
        <w:tblLook w:val="04A0" w:firstRow="1" w:lastRow="0" w:firstColumn="1" w:lastColumn="0" w:noHBand="0" w:noVBand="1"/>
      </w:tblPr>
      <w:tblGrid>
        <w:gridCol w:w="3539"/>
        <w:gridCol w:w="1475"/>
        <w:gridCol w:w="1475"/>
        <w:gridCol w:w="1475"/>
        <w:gridCol w:w="1476"/>
      </w:tblGrid>
      <w:tr w:rsidR="00F73E60" w:rsidRPr="00433B39" w14:paraId="217B7952" w14:textId="77777777">
        <w:trPr>
          <w:tblHeader/>
        </w:trPr>
        <w:tc>
          <w:tcPr>
            <w:tcW w:w="1874" w:type="pct"/>
            <w:tcBorders>
              <w:top w:val="single" w:sz="4" w:space="0" w:color="auto"/>
              <w:left w:val="single" w:sz="4" w:space="0" w:color="auto"/>
              <w:bottom w:val="single" w:sz="4" w:space="0" w:color="auto"/>
              <w:right w:val="single" w:sz="4" w:space="0" w:color="auto"/>
            </w:tcBorders>
            <w:noWrap/>
            <w:vAlign w:val="center"/>
            <w:hideMark/>
          </w:tcPr>
          <w:p w14:paraId="2B7D6C56" w14:textId="77777777" w:rsidR="00F73E60" w:rsidRPr="00433B39" w:rsidRDefault="00F73E60">
            <w:pPr>
              <w:keepNext/>
              <w:jc w:val="left"/>
              <w:rPr>
                <w:b/>
                <w:color w:val="000000"/>
                <w:sz w:val="20"/>
                <w:szCs w:val="20"/>
              </w:rPr>
            </w:pPr>
            <w:r>
              <w:rPr>
                <w:b/>
                <w:color w:val="000000"/>
                <w:sz w:val="20"/>
              </w:rPr>
              <w:t>Partida</w:t>
            </w:r>
          </w:p>
        </w:tc>
        <w:tc>
          <w:tcPr>
            <w:tcW w:w="781" w:type="pct"/>
            <w:tcBorders>
              <w:top w:val="single" w:sz="4" w:space="0" w:color="auto"/>
              <w:left w:val="nil"/>
              <w:bottom w:val="single" w:sz="4" w:space="0" w:color="auto"/>
              <w:right w:val="single" w:sz="4" w:space="0" w:color="auto"/>
            </w:tcBorders>
            <w:tcMar>
              <w:top w:w="0" w:type="dxa"/>
              <w:left w:w="0" w:type="dxa"/>
              <w:bottom w:w="0" w:type="dxa"/>
              <w:right w:w="0" w:type="dxa"/>
            </w:tcMar>
            <w:hideMark/>
          </w:tcPr>
          <w:p w14:paraId="05B1F963" w14:textId="606A50AF" w:rsidR="00F73E60" w:rsidRPr="00433B39" w:rsidRDefault="00F73E60">
            <w:pPr>
              <w:keepNext/>
              <w:jc w:val="center"/>
              <w:rPr>
                <w:b/>
                <w:color w:val="000000"/>
                <w:sz w:val="20"/>
                <w:szCs w:val="20"/>
              </w:rPr>
            </w:pPr>
            <w:r>
              <w:rPr>
                <w:b/>
                <w:color w:val="000000"/>
                <w:sz w:val="20"/>
              </w:rPr>
              <w:t xml:space="preserve">Aprobado 2025 </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17B8EBC9" w14:textId="2A71F417" w:rsidR="00F73E60" w:rsidRPr="00433B39" w:rsidRDefault="00F73E60">
            <w:pPr>
              <w:keepNext/>
              <w:jc w:val="center"/>
              <w:rPr>
                <w:b/>
                <w:color w:val="000000"/>
                <w:sz w:val="20"/>
                <w:szCs w:val="20"/>
              </w:rPr>
            </w:pPr>
            <w:r>
              <w:rPr>
                <w:b/>
                <w:color w:val="000000"/>
                <w:sz w:val="20"/>
              </w:rPr>
              <w:t xml:space="preserve">Propuesta 2026 </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2C3A46ED" w14:textId="77777777" w:rsidR="00F73E60" w:rsidRPr="00433B39" w:rsidRDefault="00F73E60">
            <w:pPr>
              <w:keepNext/>
              <w:jc w:val="center"/>
              <w:rPr>
                <w:b/>
                <w:color w:val="000000"/>
                <w:sz w:val="20"/>
                <w:szCs w:val="20"/>
              </w:rPr>
            </w:pPr>
            <w:r>
              <w:rPr>
                <w:b/>
                <w:color w:val="000000"/>
                <w:sz w:val="20"/>
              </w:rPr>
              <w:t xml:space="preserve">Diferencia </w:t>
            </w:r>
          </w:p>
        </w:tc>
        <w:tc>
          <w:tcPr>
            <w:tcW w:w="782"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52BFC1D2" w14:textId="77777777" w:rsidR="00F73E60" w:rsidRPr="00433B39" w:rsidRDefault="00F73E60">
            <w:pPr>
              <w:keepNext/>
              <w:jc w:val="center"/>
              <w:rPr>
                <w:b/>
                <w:color w:val="000000"/>
                <w:sz w:val="20"/>
                <w:szCs w:val="20"/>
              </w:rPr>
            </w:pPr>
            <w:r>
              <w:rPr>
                <w:b/>
                <w:color w:val="000000"/>
                <w:sz w:val="20"/>
              </w:rPr>
              <w:t xml:space="preserve">Variación (%) </w:t>
            </w:r>
          </w:p>
        </w:tc>
      </w:tr>
      <w:tr w:rsidR="00064404" w:rsidRPr="00433B39" w14:paraId="2656C77A" w14:textId="77777777">
        <w:trPr>
          <w:trHeight w:val="70"/>
        </w:trPr>
        <w:tc>
          <w:tcPr>
            <w:tcW w:w="1874" w:type="pct"/>
            <w:tcBorders>
              <w:top w:val="nil"/>
              <w:left w:val="single" w:sz="4" w:space="0" w:color="auto"/>
              <w:bottom w:val="single" w:sz="4" w:space="0" w:color="auto"/>
              <w:right w:val="single" w:sz="4" w:space="0" w:color="auto"/>
            </w:tcBorders>
            <w:hideMark/>
          </w:tcPr>
          <w:p w14:paraId="18EA0513" w14:textId="77777777" w:rsidR="00064404" w:rsidRPr="00433B39" w:rsidRDefault="00064404" w:rsidP="00064404">
            <w:pPr>
              <w:jc w:val="left"/>
              <w:rPr>
                <w:color w:val="000000"/>
                <w:sz w:val="20"/>
                <w:szCs w:val="20"/>
              </w:rPr>
            </w:pPr>
            <w:r>
              <w:rPr>
                <w:color w:val="000000"/>
                <w:sz w:val="20"/>
              </w:rPr>
              <w:t>1100 (personal)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4D16BEA" w14:textId="7513DCDD" w:rsidR="00064404" w:rsidRPr="00433B39" w:rsidRDefault="00064404" w:rsidP="00064404">
            <w:pPr>
              <w:jc w:val="right"/>
              <w:rPr>
                <w:color w:val="000000"/>
                <w:sz w:val="20"/>
                <w:szCs w:val="20"/>
              </w:rPr>
            </w:pPr>
            <w:r>
              <w:rPr>
                <w:color w:val="000000"/>
                <w:sz w:val="20"/>
              </w:rPr>
              <w:t>7.854.531</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5125CAD2" w14:textId="160D03F9" w:rsidR="00064404" w:rsidRPr="00433B39" w:rsidRDefault="00064404" w:rsidP="00064404">
            <w:pPr>
              <w:jc w:val="right"/>
              <w:rPr>
                <w:color w:val="000000"/>
                <w:sz w:val="20"/>
                <w:szCs w:val="20"/>
              </w:rPr>
            </w:pPr>
            <w:r>
              <w:rPr>
                <w:color w:val="000000"/>
                <w:sz w:val="20"/>
              </w:rPr>
              <w:t>8.090.167</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1E2B9D3" w14:textId="0C5E1A56" w:rsidR="00064404" w:rsidRPr="00433B39" w:rsidRDefault="00064404" w:rsidP="00064404">
            <w:pPr>
              <w:jc w:val="right"/>
              <w:rPr>
                <w:color w:val="000000"/>
                <w:sz w:val="20"/>
                <w:szCs w:val="20"/>
              </w:rPr>
            </w:pPr>
            <w:r>
              <w:rPr>
                <w:color w:val="000000"/>
                <w:sz w:val="20"/>
              </w:rPr>
              <w:t>235.636</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1FF9DD4" w14:textId="11251589" w:rsidR="00064404" w:rsidRPr="00433B39" w:rsidRDefault="00064404" w:rsidP="00064404">
            <w:pPr>
              <w:jc w:val="right"/>
              <w:rPr>
                <w:color w:val="000000"/>
                <w:sz w:val="20"/>
                <w:szCs w:val="20"/>
              </w:rPr>
            </w:pPr>
            <w:r>
              <w:rPr>
                <w:color w:val="000000"/>
                <w:sz w:val="20"/>
              </w:rPr>
              <w:t>3,00</w:t>
            </w:r>
          </w:p>
        </w:tc>
      </w:tr>
      <w:tr w:rsidR="00064404" w:rsidRPr="00433B39" w14:paraId="6FA71DD0" w14:textId="77777777">
        <w:tc>
          <w:tcPr>
            <w:tcW w:w="1874" w:type="pct"/>
            <w:tcBorders>
              <w:top w:val="nil"/>
              <w:left w:val="single" w:sz="4" w:space="0" w:color="auto"/>
              <w:bottom w:val="single" w:sz="4" w:space="0" w:color="auto"/>
              <w:right w:val="single" w:sz="4" w:space="0" w:color="auto"/>
            </w:tcBorders>
            <w:hideMark/>
          </w:tcPr>
          <w:p w14:paraId="6A2F57A7" w14:textId="77777777" w:rsidR="00064404" w:rsidRPr="00433B39" w:rsidRDefault="00064404" w:rsidP="00064404">
            <w:pPr>
              <w:jc w:val="left"/>
              <w:rPr>
                <w:color w:val="000000"/>
                <w:sz w:val="20"/>
                <w:szCs w:val="20"/>
              </w:rPr>
            </w:pPr>
            <w:r>
              <w:rPr>
                <w:color w:val="000000"/>
                <w:sz w:val="20"/>
              </w:rPr>
              <w:t>1600 (viajes)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54294AF" w14:textId="56B7D666" w:rsidR="00064404" w:rsidRPr="00433B39" w:rsidRDefault="00064404" w:rsidP="00064404">
            <w:pPr>
              <w:jc w:val="right"/>
              <w:rPr>
                <w:color w:val="000000"/>
                <w:sz w:val="20"/>
                <w:szCs w:val="20"/>
              </w:rPr>
            </w:pPr>
            <w:r>
              <w:rPr>
                <w:color w:val="000000"/>
                <w:sz w:val="20"/>
              </w:rPr>
              <w:t>575.400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564ED072" w14:textId="65A8F8A5" w:rsidR="00064404" w:rsidRPr="00433B39" w:rsidRDefault="00064404" w:rsidP="00064404">
            <w:pPr>
              <w:jc w:val="right"/>
              <w:rPr>
                <w:bCs/>
                <w:sz w:val="20"/>
                <w:szCs w:val="20"/>
              </w:rPr>
            </w:pPr>
            <w:r>
              <w:rPr>
                <w:color w:val="000000"/>
                <w:sz w:val="20"/>
              </w:rPr>
              <w:t>571.400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289F7B35" w14:textId="3AC91B28" w:rsidR="00064404" w:rsidRPr="00433B39" w:rsidRDefault="00B6143C" w:rsidP="00064404">
            <w:pPr>
              <w:jc w:val="right"/>
              <w:rPr>
                <w:color w:val="000000"/>
                <w:sz w:val="20"/>
                <w:szCs w:val="20"/>
              </w:rPr>
            </w:pPr>
            <w:r>
              <w:rPr>
                <w:color w:val="000000"/>
                <w:sz w:val="20"/>
              </w:rPr>
              <w:t>(4.000)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09467946" w14:textId="0330AE93" w:rsidR="00064404" w:rsidRPr="00433B39" w:rsidRDefault="00B6143C" w:rsidP="00064404">
            <w:pPr>
              <w:jc w:val="right"/>
              <w:rPr>
                <w:color w:val="000000"/>
                <w:sz w:val="20"/>
                <w:szCs w:val="20"/>
              </w:rPr>
            </w:pPr>
            <w:r>
              <w:rPr>
                <w:color w:val="000000"/>
                <w:sz w:val="20"/>
              </w:rPr>
              <w:t>(0,70)</w:t>
            </w:r>
          </w:p>
        </w:tc>
      </w:tr>
      <w:tr w:rsidR="00064404" w:rsidRPr="00433B39" w14:paraId="17472A2A" w14:textId="77777777">
        <w:tc>
          <w:tcPr>
            <w:tcW w:w="1874" w:type="pct"/>
            <w:tcBorders>
              <w:top w:val="nil"/>
              <w:left w:val="single" w:sz="4" w:space="0" w:color="auto"/>
              <w:bottom w:val="single" w:sz="4" w:space="0" w:color="auto"/>
              <w:right w:val="single" w:sz="4" w:space="0" w:color="auto"/>
            </w:tcBorders>
            <w:hideMark/>
          </w:tcPr>
          <w:p w14:paraId="792F94EB" w14:textId="77777777" w:rsidR="00064404" w:rsidRPr="00433B39" w:rsidRDefault="00064404" w:rsidP="00064404">
            <w:pPr>
              <w:jc w:val="left"/>
              <w:rPr>
                <w:color w:val="000000"/>
                <w:sz w:val="20"/>
                <w:szCs w:val="20"/>
              </w:rPr>
            </w:pPr>
            <w:r>
              <w:rPr>
                <w:color w:val="000000"/>
                <w:sz w:val="20"/>
              </w:rPr>
              <w:t>2030 (actividades regionales)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170EBFD" w14:textId="706AD859" w:rsidR="00064404" w:rsidRPr="00433B39" w:rsidRDefault="00064404" w:rsidP="00064404">
            <w:pPr>
              <w:jc w:val="right"/>
              <w:rPr>
                <w:color w:val="000000"/>
                <w:sz w:val="20"/>
                <w:szCs w:val="20"/>
              </w:rPr>
            </w:pPr>
            <w:r>
              <w:rPr>
                <w:color w:val="000000"/>
                <w:sz w:val="20"/>
              </w:rPr>
              <w:t>1.316.400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541A230C" w14:textId="4DFABCA0" w:rsidR="00064404" w:rsidRPr="00433B39" w:rsidRDefault="00064404" w:rsidP="00064404">
            <w:pPr>
              <w:jc w:val="right"/>
              <w:rPr>
                <w:color w:val="000000"/>
                <w:sz w:val="20"/>
                <w:szCs w:val="20"/>
              </w:rPr>
            </w:pPr>
            <w:r>
              <w:rPr>
                <w:color w:val="000000"/>
                <w:sz w:val="20"/>
              </w:rPr>
              <w:t>1.320.400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09BF70E8" w14:textId="27232E5A" w:rsidR="00064404" w:rsidRPr="00433B39" w:rsidRDefault="00064404" w:rsidP="00064404">
            <w:pPr>
              <w:jc w:val="right"/>
              <w:rPr>
                <w:color w:val="000000"/>
                <w:sz w:val="20"/>
                <w:szCs w:val="20"/>
              </w:rPr>
            </w:pPr>
            <w:r>
              <w:rPr>
                <w:color w:val="000000"/>
                <w:sz w:val="20"/>
              </w:rPr>
              <w:t>4.000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05B3D31" w14:textId="0BB5FF93" w:rsidR="00064404" w:rsidRPr="00433B39" w:rsidRDefault="00064404" w:rsidP="00064404">
            <w:pPr>
              <w:jc w:val="right"/>
              <w:rPr>
                <w:color w:val="000000"/>
                <w:sz w:val="20"/>
                <w:szCs w:val="20"/>
              </w:rPr>
            </w:pPr>
            <w:r>
              <w:rPr>
                <w:color w:val="000000"/>
                <w:sz w:val="20"/>
              </w:rPr>
              <w:t>0,30</w:t>
            </w:r>
          </w:p>
        </w:tc>
      </w:tr>
      <w:tr w:rsidR="00064404" w:rsidRPr="00433B39" w14:paraId="0F78E839" w14:textId="77777777">
        <w:tc>
          <w:tcPr>
            <w:tcW w:w="1874" w:type="pct"/>
            <w:tcBorders>
              <w:top w:val="nil"/>
              <w:left w:val="single" w:sz="4" w:space="0" w:color="auto"/>
              <w:bottom w:val="single" w:sz="4" w:space="0" w:color="auto"/>
              <w:right w:val="single" w:sz="4" w:space="0" w:color="auto"/>
            </w:tcBorders>
            <w:hideMark/>
          </w:tcPr>
          <w:p w14:paraId="20294AED" w14:textId="77777777" w:rsidR="00064404" w:rsidRPr="00433B39" w:rsidRDefault="00064404" w:rsidP="00064404">
            <w:pPr>
              <w:jc w:val="left"/>
              <w:rPr>
                <w:color w:val="000000"/>
                <w:sz w:val="20"/>
                <w:szCs w:val="20"/>
              </w:rPr>
            </w:pPr>
            <w:r>
              <w:rPr>
                <w:color w:val="000000"/>
                <w:sz w:val="20"/>
              </w:rPr>
              <w:t>3200 (servicios globales)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6B2C2C61" w14:textId="601A6BD0" w:rsidR="00064404" w:rsidRPr="00433B39" w:rsidRDefault="00064404" w:rsidP="00064404">
            <w:pPr>
              <w:jc w:val="right"/>
              <w:rPr>
                <w:color w:val="000000"/>
                <w:sz w:val="20"/>
                <w:szCs w:val="20"/>
              </w:rPr>
            </w:pPr>
            <w:r>
              <w:rPr>
                <w:color w:val="000000"/>
                <w:sz w:val="20"/>
              </w:rPr>
              <w:t>850.000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8AF6D9E" w14:textId="70A6FA5A" w:rsidR="00064404" w:rsidRPr="00433B39" w:rsidRDefault="00064404" w:rsidP="00064404">
            <w:pPr>
              <w:jc w:val="right"/>
              <w:rPr>
                <w:color w:val="000000"/>
                <w:sz w:val="20"/>
                <w:szCs w:val="20"/>
              </w:rPr>
            </w:pPr>
            <w:r>
              <w:rPr>
                <w:color w:val="000000"/>
                <w:sz w:val="20"/>
              </w:rPr>
              <w:t>700.000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D0CFAED" w14:textId="1FCD0354" w:rsidR="00064404" w:rsidRPr="00433B39" w:rsidRDefault="00B6143C" w:rsidP="00064404">
            <w:pPr>
              <w:jc w:val="right"/>
              <w:rPr>
                <w:color w:val="000000"/>
                <w:sz w:val="20"/>
                <w:szCs w:val="20"/>
              </w:rPr>
            </w:pPr>
            <w:r>
              <w:rPr>
                <w:color w:val="000000"/>
                <w:sz w:val="20"/>
              </w:rPr>
              <w:t>(150.000)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603163D" w14:textId="2AFDE9BC" w:rsidR="00064404" w:rsidRPr="00433B39" w:rsidRDefault="00B6143C" w:rsidP="00064404">
            <w:pPr>
              <w:jc w:val="right"/>
              <w:rPr>
                <w:color w:val="000000"/>
                <w:sz w:val="20"/>
                <w:szCs w:val="20"/>
              </w:rPr>
            </w:pPr>
            <w:r>
              <w:rPr>
                <w:color w:val="000000"/>
                <w:sz w:val="20"/>
              </w:rPr>
              <w:t>(17,65)</w:t>
            </w:r>
          </w:p>
        </w:tc>
      </w:tr>
      <w:tr w:rsidR="00064404" w:rsidRPr="00433B39" w14:paraId="7A005B56" w14:textId="77777777">
        <w:tc>
          <w:tcPr>
            <w:tcW w:w="1874" w:type="pct"/>
            <w:tcBorders>
              <w:top w:val="nil"/>
              <w:left w:val="single" w:sz="4" w:space="0" w:color="auto"/>
              <w:bottom w:val="single" w:sz="4" w:space="0" w:color="auto"/>
              <w:right w:val="single" w:sz="4" w:space="0" w:color="auto"/>
            </w:tcBorders>
            <w:hideMark/>
          </w:tcPr>
          <w:p w14:paraId="2C717FD1" w14:textId="77777777" w:rsidR="00064404" w:rsidRPr="00433B39" w:rsidRDefault="00064404" w:rsidP="00064404">
            <w:pPr>
              <w:jc w:val="left"/>
              <w:rPr>
                <w:color w:val="000000"/>
                <w:sz w:val="20"/>
                <w:szCs w:val="20"/>
              </w:rPr>
            </w:pPr>
            <w:r>
              <w:rPr>
                <w:color w:val="000000"/>
                <w:sz w:val="20"/>
              </w:rPr>
              <w:t>4210 (reuniones de asesoramiento y consultivas)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94135BE" w14:textId="471FD4E5" w:rsidR="00064404" w:rsidRPr="00433B39" w:rsidRDefault="00064404" w:rsidP="00064404">
            <w:pPr>
              <w:jc w:val="right"/>
              <w:rPr>
                <w:color w:val="000000"/>
                <w:sz w:val="20"/>
                <w:szCs w:val="20"/>
              </w:rPr>
            </w:pPr>
            <w:r>
              <w:rPr>
                <w:color w:val="000000"/>
                <w:sz w:val="20"/>
              </w:rPr>
              <w:t>5.000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75B77211" w14:textId="2B3720CC" w:rsidR="00064404" w:rsidRPr="00433B39" w:rsidRDefault="00064404" w:rsidP="00064404">
            <w:pPr>
              <w:jc w:val="right"/>
              <w:rPr>
                <w:color w:val="000000"/>
                <w:sz w:val="20"/>
                <w:szCs w:val="20"/>
              </w:rPr>
            </w:pPr>
            <w:r>
              <w:rPr>
                <w:color w:val="000000"/>
                <w:sz w:val="20"/>
              </w:rPr>
              <w:t>5.000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199FF149" w14:textId="7CF1F026" w:rsidR="00064404" w:rsidRPr="00433B39" w:rsidRDefault="00064404" w:rsidP="00064404">
            <w:pPr>
              <w:jc w:val="right"/>
              <w:rPr>
                <w:color w:val="000000"/>
                <w:sz w:val="20"/>
                <w:szCs w:val="20"/>
              </w:rPr>
            </w:pPr>
            <w:r>
              <w:rPr>
                <w:color w:val="000000"/>
                <w:sz w:val="20"/>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27F841C8" w14:textId="6896CAED" w:rsidR="00064404" w:rsidRPr="00433B39" w:rsidRDefault="00064404" w:rsidP="00064404">
            <w:pPr>
              <w:jc w:val="right"/>
              <w:rPr>
                <w:color w:val="000000"/>
                <w:sz w:val="20"/>
                <w:szCs w:val="20"/>
              </w:rPr>
            </w:pPr>
            <w:r>
              <w:rPr>
                <w:color w:val="000000"/>
                <w:sz w:val="20"/>
              </w:rPr>
              <w:t>0,00</w:t>
            </w:r>
          </w:p>
        </w:tc>
      </w:tr>
      <w:tr w:rsidR="00064404" w:rsidRPr="00433B39" w14:paraId="468F59BF" w14:textId="77777777">
        <w:tc>
          <w:tcPr>
            <w:tcW w:w="1874" w:type="pct"/>
            <w:tcBorders>
              <w:top w:val="nil"/>
              <w:left w:val="single" w:sz="4" w:space="0" w:color="auto"/>
              <w:bottom w:val="single" w:sz="4" w:space="0" w:color="auto"/>
              <w:right w:val="single" w:sz="4" w:space="0" w:color="auto"/>
            </w:tcBorders>
            <w:hideMark/>
          </w:tcPr>
          <w:p w14:paraId="7ABCEF98" w14:textId="77777777" w:rsidR="00064404" w:rsidRPr="00433B39" w:rsidRDefault="00064404" w:rsidP="00064404">
            <w:pPr>
              <w:jc w:val="left"/>
              <w:rPr>
                <w:color w:val="000000"/>
                <w:sz w:val="20"/>
                <w:szCs w:val="20"/>
              </w:rPr>
            </w:pPr>
            <w:r>
              <w:rPr>
                <w:color w:val="000000"/>
                <w:sz w:val="20"/>
              </w:rPr>
              <w:t>5200 (gastos en oficina y comunicaciones)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3D409613" w14:textId="7BF3E04D" w:rsidR="00064404" w:rsidRPr="00433B39" w:rsidRDefault="00064404" w:rsidP="00064404">
            <w:pPr>
              <w:jc w:val="right"/>
              <w:rPr>
                <w:color w:val="000000"/>
                <w:sz w:val="20"/>
                <w:szCs w:val="20"/>
              </w:rPr>
            </w:pPr>
            <w:r>
              <w:rPr>
                <w:color w:val="000000"/>
                <w:sz w:val="20"/>
              </w:rPr>
              <w:t>590.000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71CA3A7B" w14:textId="55F0F3FD" w:rsidR="00064404" w:rsidRPr="00433B39" w:rsidRDefault="00064404" w:rsidP="00064404">
            <w:pPr>
              <w:jc w:val="right"/>
              <w:rPr>
                <w:color w:val="000000"/>
                <w:sz w:val="20"/>
                <w:szCs w:val="20"/>
              </w:rPr>
            </w:pPr>
            <w:r>
              <w:rPr>
                <w:color w:val="000000"/>
                <w:sz w:val="20"/>
              </w:rPr>
              <w:t>590.000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763269E1" w14:textId="17CD213B" w:rsidR="00064404" w:rsidRPr="00433B39" w:rsidRDefault="00064404" w:rsidP="00064404">
            <w:pPr>
              <w:jc w:val="right"/>
              <w:rPr>
                <w:color w:val="000000"/>
                <w:sz w:val="20"/>
                <w:szCs w:val="20"/>
              </w:rPr>
            </w:pPr>
            <w:r>
              <w:rPr>
                <w:color w:val="000000"/>
                <w:sz w:val="20"/>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vAlign w:val="center"/>
          </w:tcPr>
          <w:p w14:paraId="0714DDD8" w14:textId="338092A0" w:rsidR="00064404" w:rsidRPr="00433B39" w:rsidRDefault="00064404" w:rsidP="00064404">
            <w:pPr>
              <w:jc w:val="right"/>
              <w:rPr>
                <w:color w:val="000000"/>
                <w:sz w:val="20"/>
                <w:szCs w:val="20"/>
              </w:rPr>
            </w:pPr>
            <w:r>
              <w:rPr>
                <w:color w:val="000000"/>
                <w:sz w:val="20"/>
              </w:rPr>
              <w:t>0,00</w:t>
            </w:r>
          </w:p>
        </w:tc>
      </w:tr>
      <w:tr w:rsidR="00F73E60" w:rsidRPr="00433B39" w14:paraId="3C5D8FD1" w14:textId="77777777">
        <w:tc>
          <w:tcPr>
            <w:tcW w:w="1874" w:type="pct"/>
            <w:tcBorders>
              <w:top w:val="nil"/>
              <w:left w:val="single" w:sz="4" w:space="0" w:color="auto"/>
              <w:bottom w:val="single" w:sz="4" w:space="0" w:color="auto"/>
              <w:right w:val="single" w:sz="4" w:space="0" w:color="auto"/>
            </w:tcBorders>
            <w:hideMark/>
          </w:tcPr>
          <w:p w14:paraId="6B3951A8" w14:textId="77777777" w:rsidR="00F73E60" w:rsidRPr="00433B39" w:rsidRDefault="00F73E60">
            <w:pPr>
              <w:jc w:val="left"/>
              <w:rPr>
                <w:b/>
                <w:color w:val="000000"/>
                <w:sz w:val="20"/>
                <w:szCs w:val="20"/>
              </w:rPr>
            </w:pPr>
            <w:r>
              <w:rPr>
                <w:b/>
                <w:color w:val="000000"/>
                <w:sz w:val="20"/>
              </w:rPr>
              <w:t>Total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10FE79B8" w14:textId="63E25B26" w:rsidR="00F73E60" w:rsidRPr="00433B39" w:rsidRDefault="0069085B">
            <w:pPr>
              <w:jc w:val="right"/>
              <w:rPr>
                <w:b/>
                <w:color w:val="000000"/>
                <w:sz w:val="20"/>
                <w:szCs w:val="20"/>
              </w:rPr>
            </w:pPr>
            <w:r>
              <w:rPr>
                <w:b/>
                <w:color w:val="000000"/>
                <w:sz w:val="20"/>
              </w:rPr>
              <w:t>11.191.331</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0D9039AD" w14:textId="68399C90" w:rsidR="00F73E60" w:rsidRPr="00433B39" w:rsidRDefault="0069085B">
            <w:pPr>
              <w:jc w:val="right"/>
              <w:rPr>
                <w:b/>
                <w:color w:val="000000"/>
                <w:sz w:val="20"/>
                <w:szCs w:val="20"/>
              </w:rPr>
            </w:pPr>
            <w:r>
              <w:rPr>
                <w:b/>
                <w:color w:val="000000"/>
                <w:sz w:val="20"/>
              </w:rPr>
              <w:t>11.276.967</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71014D4E" w14:textId="17F66283" w:rsidR="00F73E60" w:rsidRPr="00064404" w:rsidRDefault="00064404">
            <w:pPr>
              <w:jc w:val="right"/>
              <w:rPr>
                <w:b/>
                <w:bCs/>
                <w:color w:val="000000"/>
                <w:sz w:val="20"/>
                <w:szCs w:val="20"/>
              </w:rPr>
            </w:pPr>
            <w:r>
              <w:rPr>
                <w:b/>
                <w:sz w:val="20"/>
              </w:rPr>
              <w:t>85.636</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59FF90A9" w14:textId="1F22A12A" w:rsidR="00F73E60" w:rsidRPr="00433B39" w:rsidRDefault="00064404">
            <w:pPr>
              <w:jc w:val="right"/>
              <w:rPr>
                <w:b/>
                <w:color w:val="000000"/>
                <w:sz w:val="20"/>
                <w:szCs w:val="20"/>
              </w:rPr>
            </w:pPr>
            <w:r>
              <w:rPr>
                <w:b/>
                <w:color w:val="000000"/>
                <w:sz w:val="20"/>
              </w:rPr>
              <w:t>0,77</w:t>
            </w:r>
          </w:p>
        </w:tc>
      </w:tr>
    </w:tbl>
    <w:p w14:paraId="0D705611" w14:textId="77777777" w:rsidR="0069085B" w:rsidRPr="00E339A5" w:rsidRDefault="0069085B" w:rsidP="00F73E60">
      <w:pPr>
        <w:rPr>
          <w:highlight w:val="green"/>
          <w:lang w:val="en-GB"/>
        </w:rPr>
      </w:pPr>
    </w:p>
    <w:p w14:paraId="30ABC1DE" w14:textId="77777777" w:rsidR="00F73E60" w:rsidRPr="00433B39" w:rsidRDefault="00F73E60" w:rsidP="00223FD4">
      <w:pPr>
        <w:spacing w:after="240"/>
        <w:jc w:val="left"/>
        <w:outlineLvl w:val="0"/>
        <w:rPr>
          <w:b/>
        </w:rPr>
      </w:pPr>
      <w:r>
        <w:rPr>
          <w:b/>
        </w:rPr>
        <w:t>RECOMENDACIÓN</w:t>
      </w:r>
    </w:p>
    <w:p w14:paraId="48394022" w14:textId="77777777" w:rsidR="00F73E60" w:rsidRPr="00E2427C" w:rsidRDefault="00F73E60" w:rsidP="00253616">
      <w:pPr>
        <w:pStyle w:val="Heading1"/>
        <w:tabs>
          <w:tab w:val="clear" w:pos="1985"/>
        </w:tabs>
        <w:ind w:left="0"/>
      </w:pPr>
      <w:r>
        <w:t>Teniendo en cuenta la información proporcionada por el PNUMA y las observaciones antedichas, el Comité Ejecutivo podría:</w:t>
      </w:r>
    </w:p>
    <w:p w14:paraId="575E3410" w14:textId="54C73C5D" w:rsidR="00F73E60" w:rsidRPr="00E2427C" w:rsidRDefault="00F73E60" w:rsidP="00177A3F">
      <w:pPr>
        <w:pStyle w:val="Heading2"/>
        <w:ind w:left="1440" w:hanging="720"/>
      </w:pPr>
      <w:r>
        <w:t>Tomar nota del informe sobre la marcha de las actividades de 2025 y el plan de trabajo y presupuesto para el Programa de Asistencia al Cumplimiento del PNUMA para 2026, que figura en el documento UNEP/</w:t>
      </w:r>
      <w:proofErr w:type="spellStart"/>
      <w:r>
        <w:t>OzL.Pro</w:t>
      </w:r>
      <w:proofErr w:type="spellEnd"/>
      <w:r>
        <w:t>/</w:t>
      </w:r>
      <w:proofErr w:type="spellStart"/>
      <w:r>
        <w:t>ExCom</w:t>
      </w:r>
      <w:proofErr w:type="spellEnd"/>
      <w:r>
        <w:t xml:space="preserve">/97/83; </w:t>
      </w:r>
    </w:p>
    <w:p w14:paraId="5400303D" w14:textId="1CDA882A" w:rsidR="00F73E60" w:rsidRPr="00E2427C" w:rsidRDefault="00F73E60" w:rsidP="00177A3F">
      <w:pPr>
        <w:pStyle w:val="Heading2"/>
        <w:widowControl/>
        <w:ind w:left="1440" w:hanging="720"/>
      </w:pPr>
      <w:r>
        <w:t>Aprobar las actividades y presupuesto del Programa de Asistencia al Cumplimiento para 2026 por un monto de USD</w:t>
      </w:r>
      <w:r w:rsidR="007B72F9">
        <w:t> </w:t>
      </w:r>
      <w:r>
        <w:t>11.276.967 más gastos de apoyo del organismo del 8 por ciento, que ascienden a USD</w:t>
      </w:r>
      <w:r w:rsidR="007B72F9">
        <w:t> </w:t>
      </w:r>
      <w:r>
        <w:t>902.157, habida cuenta de los ajustes que se proponen; y</w:t>
      </w:r>
    </w:p>
    <w:p w14:paraId="2647799D" w14:textId="77777777" w:rsidR="00F73E60" w:rsidRPr="00E2427C" w:rsidRDefault="00F73E60" w:rsidP="00177A3F">
      <w:pPr>
        <w:pStyle w:val="Heading2"/>
        <w:widowControl/>
        <w:ind w:left="1440" w:hanging="720"/>
      </w:pPr>
      <w:r>
        <w:t>Solicitar al PNUMA que, en futuras comunicaciones sobre el presupuesto del Programa de Asistencia al Cumplimiento, se siga:</w:t>
      </w:r>
    </w:p>
    <w:p w14:paraId="1F1153A1" w14:textId="77777777" w:rsidR="00F73E60" w:rsidRPr="00E2427C" w:rsidRDefault="00F73E60" w:rsidP="00177A3F">
      <w:pPr>
        <w:pStyle w:val="Heading3"/>
        <w:ind w:left="2160" w:hanging="720"/>
      </w:pPr>
      <w:r>
        <w:t>Proporcionando información detallada sobre las actividades para las cuales se utilizarían los fondos mundiales;</w:t>
      </w:r>
    </w:p>
    <w:p w14:paraId="76C207EC" w14:textId="77777777" w:rsidR="00F73E60" w:rsidRPr="00E2427C" w:rsidRDefault="00F73E60" w:rsidP="00177A3F">
      <w:pPr>
        <w:pStyle w:val="Heading3"/>
        <w:widowControl/>
        <w:ind w:left="2160" w:hanging="720"/>
      </w:pPr>
      <w:r>
        <w:t>Ampliando las prioridades de financiamiento de los rubros del Programa de Asistencia al Cumplimiento para tener en cuenta las nuevas prioridades, adjuntando detalles, conforme a las decisiones 47/24 y 50/26, sobre toda reasignación presupuestaria;</w:t>
      </w:r>
    </w:p>
    <w:p w14:paraId="0CB6F108" w14:textId="0BD77801" w:rsidR="00F73E60" w:rsidRPr="00E2427C" w:rsidRDefault="00F73E60" w:rsidP="00177A3F">
      <w:pPr>
        <w:pStyle w:val="Heading3"/>
        <w:ind w:left="2160" w:hanging="720"/>
      </w:pPr>
      <w:r>
        <w:t xml:space="preserve">Informando sobre los actuales niveles de puestos del personal e informando al Comité Ejecutivo sobre cualquier cambio, especialmente </w:t>
      </w:r>
      <w:r w:rsidR="00177A3F">
        <w:t>con respecto a</w:t>
      </w:r>
      <w:r>
        <w:t xml:space="preserve"> cualquier aumento de las asignaciones presupuestarias; y</w:t>
      </w:r>
    </w:p>
    <w:p w14:paraId="614982F7" w14:textId="633C5AD1" w:rsidR="00F73E60" w:rsidRPr="00E2427C" w:rsidRDefault="00F73E60" w:rsidP="00177A3F">
      <w:pPr>
        <w:pStyle w:val="Heading3"/>
        <w:widowControl/>
        <w:ind w:left="2160" w:hanging="720"/>
      </w:pPr>
      <w:r>
        <w:t>Proporcionando un presupuesto para el año en cuestión y un informe sobre los gastos en que se haya incurrido en el año anterior al último año, observando los subpárrafos c) II) y c) (</w:t>
      </w:r>
      <w:proofErr w:type="spellStart"/>
      <w:r>
        <w:t>iii</w:t>
      </w:r>
      <w:proofErr w:type="spellEnd"/>
      <w:r>
        <w:t xml:space="preserve">) antedichos. </w:t>
      </w:r>
    </w:p>
    <w:p w14:paraId="4F3317A9" w14:textId="77777777" w:rsidR="00BF1512" w:rsidRPr="00BF1512" w:rsidRDefault="00BF1512" w:rsidP="00177A3F">
      <w:pPr>
        <w:ind w:left="1440" w:firstLine="720"/>
      </w:pPr>
    </w:p>
    <w:sectPr w:rsidR="00BF1512" w:rsidRPr="00BF1512" w:rsidSect="006D0E4B">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C2199" w14:textId="77777777" w:rsidR="00FF694B" w:rsidRDefault="00FF694B" w:rsidP="004A504B">
      <w:r>
        <w:separator/>
      </w:r>
    </w:p>
  </w:endnote>
  <w:endnote w:type="continuationSeparator" w:id="0">
    <w:p w14:paraId="23F5CC5B" w14:textId="77777777" w:rsidR="00FF694B" w:rsidRDefault="00FF694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Bold">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27A4D" w14:textId="77777777" w:rsidR="00DC6A10" w:rsidRPr="0033525D" w:rsidRDefault="005A68C5">
    <w:pPr>
      <w:jc w:val="center"/>
    </w:pPr>
    <w:r>
      <w:fldChar w:fldCharType="begin"/>
    </w:r>
    <w:r w:rsidR="00FF1B8E">
      <w:instrText xml:space="preserve"> PAGE </w:instrText>
    </w:r>
    <w:r>
      <w:fldChar w:fldCharType="separate"/>
    </w:r>
    <w:r w:rsidR="002045DC">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1568C" w14:textId="77777777" w:rsidR="00DC6A10" w:rsidRPr="0033525D" w:rsidRDefault="005A68C5">
    <w:pPr>
      <w:jc w:val="center"/>
    </w:pPr>
    <w:r>
      <w:fldChar w:fldCharType="begin"/>
    </w:r>
    <w:r w:rsidR="00FF1B8E">
      <w:instrText xml:space="preserve"> PAGE </w:instrText>
    </w:r>
    <w:r>
      <w:fldChar w:fldCharType="separate"/>
    </w:r>
    <w:r w:rsidR="002045DC">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224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Pr>
        <w:sz w:val="18"/>
      </w:rPr>
      <w:t>los mismos</w:t>
    </w:r>
    <w:proofErr w:type="gramEnd"/>
    <w:r>
      <w:rPr>
        <w:sz w:val="18"/>
      </w:rPr>
      <w:t>.</w:t>
    </w:r>
  </w:p>
  <w:p w14:paraId="41B817E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44AFA" w14:textId="77777777" w:rsidR="00FF694B" w:rsidRDefault="00FF694B" w:rsidP="004A504B">
      <w:r>
        <w:separator/>
      </w:r>
    </w:p>
  </w:footnote>
  <w:footnote w:type="continuationSeparator" w:id="0">
    <w:p w14:paraId="6E8F8D32" w14:textId="77777777" w:rsidR="00FF694B" w:rsidRDefault="00FF694B" w:rsidP="004A504B">
      <w:r>
        <w:continuationSeparator/>
      </w:r>
    </w:p>
  </w:footnote>
  <w:footnote w:id="1">
    <w:p w14:paraId="0DCC39A2" w14:textId="77777777" w:rsidR="00D05563" w:rsidRPr="001E1147" w:rsidRDefault="00D05563" w:rsidP="00D05563">
      <w:pPr>
        <w:pStyle w:val="FootnoteText"/>
      </w:pPr>
      <w:r>
        <w:rPr>
          <w:rStyle w:val="FootnoteReference"/>
        </w:rPr>
        <w:footnoteRef/>
      </w:r>
      <w:r>
        <w:t xml:space="preserve"> UNEP/</w:t>
      </w:r>
      <w:proofErr w:type="spellStart"/>
      <w:r>
        <w:t>OzL.Pro</w:t>
      </w:r>
      <w:proofErr w:type="spellEnd"/>
      <w:r>
        <w:t>/</w:t>
      </w:r>
      <w:proofErr w:type="spellStart"/>
      <w:r>
        <w:t>ExCom</w:t>
      </w:r>
      <w:proofErr w:type="spellEnd"/>
      <w:r>
        <w:t>/97/1.</w:t>
      </w:r>
    </w:p>
  </w:footnote>
  <w:footnote w:id="2">
    <w:p w14:paraId="633E2E56" w14:textId="77777777" w:rsidR="007756A4" w:rsidRDefault="007756A4" w:rsidP="007756A4">
      <w:pPr>
        <w:pStyle w:val="FootnoteText"/>
      </w:pPr>
      <w:r>
        <w:rPr>
          <w:rStyle w:val="FootnoteReference"/>
        </w:rPr>
        <w:footnoteRef/>
      </w:r>
      <w:r>
        <w:t xml:space="preserve"> Sociedad Estadounidense de Ingenieros de Calefacción, Refrigeración y Aire Acondicionado (ASHRAE).</w:t>
      </w:r>
    </w:p>
  </w:footnote>
  <w:footnote w:id="3">
    <w:p w14:paraId="00CA1B5A" w14:textId="51EBC4B2" w:rsidR="00F73E60" w:rsidRPr="0074135A" w:rsidRDefault="00F73E60" w:rsidP="00F73E60">
      <w:pPr>
        <w:pStyle w:val="FootnoteText"/>
      </w:pPr>
      <w:r>
        <w:rPr>
          <w:rStyle w:val="FootnoteReference"/>
        </w:rPr>
        <w:footnoteRef/>
      </w:r>
      <w:r>
        <w:t xml:space="preserve"> Las solicitudes de aumentos futuros del presupuesto del Programa de Asistencia al Cumplimiento se limitarían al 3</w:t>
      </w:r>
      <w:r w:rsidR="007B72F9">
        <w:t> </w:t>
      </w:r>
      <w:r>
        <w:t>por ciento, a menos que el Comité Ejecutivo tuviese pruebas de que las presiones inflacionarias justificaran otra cosa.</w:t>
      </w:r>
    </w:p>
  </w:footnote>
  <w:footnote w:id="4">
    <w:p w14:paraId="6487ECD0" w14:textId="2805A27E" w:rsidR="00F73E60" w:rsidRPr="00223FD4" w:rsidRDefault="00F73E60" w:rsidP="00F73E60">
      <w:pPr>
        <w:pStyle w:val="FootnoteText"/>
        <w:rPr>
          <w:highlight w:val="yellow"/>
        </w:rPr>
      </w:pPr>
      <w:r>
        <w:rPr>
          <w:rStyle w:val="FootnoteReference"/>
        </w:rPr>
        <w:footnoteRef/>
      </w:r>
      <w:r>
        <w:t xml:space="preserve"> Decisión 95/83 c) </w:t>
      </w:r>
      <w:proofErr w:type="spellStart"/>
      <w:r>
        <w:t>ii</w:t>
      </w:r>
      <w:proofErr w:type="spellEnd"/>
      <w:r>
        <w:t xml:space="preserve">): </w:t>
      </w:r>
      <w:r w:rsidR="009821C1">
        <w:t>s</w:t>
      </w:r>
      <w:r>
        <w:t xml:space="preserve">e solicitó al PNUMA que, en futuras presentaciones del presupuesto del Programa de Asistencia al Cumplimiento, continuara ampliando la asignación de prioridades de la financiación entre las </w:t>
      </w:r>
      <w:r w:rsidR="006376D0">
        <w:t>partidas</w:t>
      </w:r>
      <w:r>
        <w:t xml:space="preserve"> presupuestarias del Programa de Asistencia al Cumplimiento para adaptarse a los cambios de prioridades y proporcionar detalles, conforme a las decisiones 47/24 y 50/26, sobre las nuevas reasignaciones realizadas.</w:t>
      </w:r>
    </w:p>
  </w:footnote>
  <w:footnote w:id="5">
    <w:p w14:paraId="4D94CC57" w14:textId="246AC968" w:rsidR="00F73E60" w:rsidRPr="00223FD4" w:rsidRDefault="00F73E60" w:rsidP="00F73E60">
      <w:pPr>
        <w:pStyle w:val="FootnoteText"/>
      </w:pPr>
      <w:r>
        <w:rPr>
          <w:rStyle w:val="FootnoteReference"/>
        </w:rPr>
        <w:footnoteRef/>
      </w:r>
      <w:r>
        <w:t xml:space="preserve"> Decisión 95/83 c) </w:t>
      </w:r>
      <w:proofErr w:type="spellStart"/>
      <w:r>
        <w:t>iii</w:t>
      </w:r>
      <w:proofErr w:type="spellEnd"/>
      <w:r>
        <w:t xml:space="preserve">): </w:t>
      </w:r>
      <w:r w:rsidR="007B72F9">
        <w:t>s</w:t>
      </w:r>
      <w:r>
        <w:t>e solicitó al PNUMA que en las presentaciones futuras del presupuesto del Programa de Asistencia al Cumplimiento informara sobre los niveles actuales de puestos del personal e informara al Comité Ejecutivo sobre cualquier cambio, especialmente en lo que respecta a cualquier aumento de las asignaciones presupuestarias.</w:t>
      </w:r>
    </w:p>
  </w:footnote>
  <w:footnote w:id="6">
    <w:p w14:paraId="39AEABF3" w14:textId="0E30777A" w:rsidR="00266BFA" w:rsidRPr="00266BFA" w:rsidRDefault="00266BFA">
      <w:pPr>
        <w:pStyle w:val="FootnoteText"/>
      </w:pPr>
      <w:r>
        <w:rPr>
          <w:rStyle w:val="FootnoteReference"/>
        </w:rPr>
        <w:footnoteRef/>
      </w:r>
      <w:r>
        <w:t xml:space="preserve"> Se trata de un ajuste de USD</w:t>
      </w:r>
      <w:r w:rsidR="007B72F9">
        <w:t> </w:t>
      </w:r>
      <w:r>
        <w:t xml:space="preserve">4.000, realizado de conformidad con la decisión 95/83 c) </w:t>
      </w:r>
      <w:proofErr w:type="spellStart"/>
      <w:r>
        <w:t>ii</w:t>
      </w:r>
      <w:proofErr w:type="spellEnd"/>
      <w:r>
        <w:t>), que permite al PNUMA ampliar la asignación de prioridades de la financiación entre las partidas presupuestarias del Programa de Asistencia al Cumplimiento para adaptarse a los cambios de prioridades.</w:t>
      </w:r>
    </w:p>
  </w:footnote>
  <w:footnote w:id="7">
    <w:p w14:paraId="782E69F5" w14:textId="202B56D4" w:rsidR="00547A82" w:rsidRDefault="00547A82" w:rsidP="00547A82">
      <w:pPr>
        <w:pStyle w:val="FootnoteText"/>
      </w:pPr>
      <w:r>
        <w:rPr>
          <w:rStyle w:val="FootnoteReference"/>
        </w:rPr>
        <w:footnoteRef/>
      </w:r>
      <w:r>
        <w:t xml:space="preserve"> Decisión 95/83 c) </w:t>
      </w:r>
      <w:proofErr w:type="spellStart"/>
      <w:r>
        <w:t>iv</w:t>
      </w:r>
      <w:proofErr w:type="spellEnd"/>
      <w:r>
        <w:t xml:space="preserve">): </w:t>
      </w:r>
      <w:r w:rsidR="007B72F9">
        <w:t>s</w:t>
      </w:r>
      <w:r>
        <w:t>e solicitó al PNUMA que en las presentaciones futuras del presupuesto del Programa de Asistencia al Cumplimiento siguiera proporcionando un presupuesto para el año en cuestión y un informe sobre los costos incurridos en el año anterior al último año, observando los subapartados d) </w:t>
      </w:r>
      <w:proofErr w:type="spellStart"/>
      <w:r>
        <w:t>ii</w:t>
      </w:r>
      <w:proofErr w:type="spellEnd"/>
      <w:r>
        <w:t>) y d) </w:t>
      </w:r>
      <w:proofErr w:type="spellStart"/>
      <w:r>
        <w:t>iii</w:t>
      </w:r>
      <w:proofErr w:type="spellEnd"/>
      <w:r>
        <w:t xml:space="preserve">). </w:t>
      </w:r>
    </w:p>
  </w:footnote>
  <w:footnote w:id="8">
    <w:p w14:paraId="4722A1FF" w14:textId="2BDBA99F" w:rsidR="00F73E60" w:rsidRDefault="00F73E60" w:rsidP="00F73E60">
      <w:pPr>
        <w:pStyle w:val="FootnoteText"/>
      </w:pPr>
      <w:r>
        <w:rPr>
          <w:rStyle w:val="FootnoteReference"/>
        </w:rPr>
        <w:footnoteRef/>
      </w:r>
      <w:r>
        <w:t xml:space="preserve"> En la decisión 95/83 c) se solicitó al PNUMA, para futuras presentaciones del presupuesto del Programa de Asistencia al Cumplimiento, que siguiera i) aportando detalles sobre las actividades en que se emplearían los fondos globales; </w:t>
      </w:r>
      <w:proofErr w:type="spellStart"/>
      <w:r>
        <w:t>ii</w:t>
      </w:r>
      <w:proofErr w:type="spellEnd"/>
      <w:r>
        <w:t xml:space="preserve">) ampliando la priorización de fondos entre partidas presupuestarias del Programa de Asistencia al Cumplimiento a fin de atender nuevas prioridades e informar acerca de las reasignaciones efectuadas con arreglo a las </w:t>
      </w:r>
      <w:hyperlink r:id="rId1" w:history="1">
        <w:r>
          <w:t>decisiones 47/24</w:t>
        </w:r>
      </w:hyperlink>
      <w:r>
        <w:t> </w:t>
      </w:r>
      <w:hyperlink r:id="rId2" w:history="1">
        <w:r>
          <w:t>y 50/26</w:t>
        </w:r>
      </w:hyperlink>
      <w:r>
        <w:t xml:space="preserve">; y también </w:t>
      </w:r>
      <w:proofErr w:type="spellStart"/>
      <w:r>
        <w:t>iii</w:t>
      </w:r>
      <w:proofErr w:type="spellEnd"/>
      <w:r>
        <w:t>) informando sobre las categorías actuales de los puestos de la plantilla e informando al Comité Ejecutivo de todo cambio al respecto, especialmente en lo relativo a incrementos en las asignaciones presupuestarias.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5E9B1" w14:textId="691E30A2" w:rsidR="00DC6A10" w:rsidRPr="0033525D" w:rsidRDefault="00922128">
    <w:r>
      <w:fldChar w:fldCharType="begin"/>
    </w:r>
    <w:r>
      <w:instrText xml:space="preserve"> DOCPROPERTY "Document number"  \* MERGEFORMAT </w:instrText>
    </w:r>
    <w:r>
      <w:fldChar w:fldCharType="separate"/>
    </w:r>
    <w:r w:rsidR="00887CA5">
      <w:t>UNEP/</w:t>
    </w:r>
    <w:proofErr w:type="spellStart"/>
    <w:r w:rsidR="00887CA5">
      <w:t>OzL.Pro</w:t>
    </w:r>
    <w:proofErr w:type="spellEnd"/>
    <w:r w:rsidR="00887CA5">
      <w:t>/</w:t>
    </w:r>
    <w:proofErr w:type="spellStart"/>
    <w:r w:rsidR="00887CA5">
      <w:t>ExCom</w:t>
    </w:r>
    <w:proofErr w:type="spellEnd"/>
    <w:r w:rsidR="00887CA5">
      <w:t>/97/83</w:t>
    </w:r>
    <w:r>
      <w:fldChar w:fldCharType="end"/>
    </w:r>
  </w:p>
  <w:p w14:paraId="1A32EDFD" w14:textId="77777777" w:rsidR="00DC6A10" w:rsidRPr="0033525D" w:rsidRDefault="00DC6A10"/>
  <w:p w14:paraId="2EE0CFB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FA6A6" w14:textId="1B63C3B3" w:rsidR="00DC6A10" w:rsidRPr="0033525D" w:rsidRDefault="00922128">
    <w:pPr>
      <w:jc w:val="right"/>
    </w:pPr>
    <w:r>
      <w:fldChar w:fldCharType="begin"/>
    </w:r>
    <w:r>
      <w:instrText xml:space="preserve"> DOCPROPERTY "Document number"  \* MERGEFORMAT </w:instrText>
    </w:r>
    <w:r>
      <w:fldChar w:fldCharType="separate"/>
    </w:r>
    <w:r w:rsidR="00887CA5">
      <w:t>UNEP/</w:t>
    </w:r>
    <w:proofErr w:type="spellStart"/>
    <w:r w:rsidR="00887CA5">
      <w:t>OzL.Pro</w:t>
    </w:r>
    <w:proofErr w:type="spellEnd"/>
    <w:r w:rsidR="00887CA5">
      <w:t>/</w:t>
    </w:r>
    <w:proofErr w:type="spellStart"/>
    <w:r w:rsidR="00887CA5">
      <w:t>ExCom</w:t>
    </w:r>
    <w:proofErr w:type="spellEnd"/>
    <w:r w:rsidR="00887CA5">
      <w:t>/97/83</w:t>
    </w:r>
    <w:r>
      <w:fldChar w:fldCharType="end"/>
    </w:r>
  </w:p>
  <w:p w14:paraId="21690812" w14:textId="77777777" w:rsidR="00DC6A10" w:rsidRPr="0033525D" w:rsidRDefault="00DC6A10"/>
  <w:p w14:paraId="556770B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20EA456"/>
    <w:lvl w:ilvl="0">
      <w:start w:val="1"/>
      <w:numFmt w:val="decimal"/>
      <w:pStyle w:val="Heading1"/>
      <w:lvlText w:val="%1."/>
      <w:lvlJc w:val="left"/>
      <w:pPr>
        <w:tabs>
          <w:tab w:val="num" w:pos="1985"/>
        </w:tabs>
        <w:ind w:left="1985" w:firstLine="0"/>
      </w:pPr>
    </w:lvl>
    <w:lvl w:ilvl="1">
      <w:start w:val="1"/>
      <w:numFmt w:val="lowerLetter"/>
      <w:pStyle w:val="Heading2"/>
      <w:lvlText w:val="%2)"/>
      <w:lvlJc w:val="left"/>
      <w:pPr>
        <w:ind w:left="1080" w:hanging="360"/>
      </w:p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8FA68D2"/>
    <w:multiLevelType w:val="multilevel"/>
    <w:tmpl w:val="FF9000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FBD6F472"/>
    <w:lvl w:ilvl="0" w:tplc="9166A04E">
      <w:start w:val="1"/>
      <w:numFmt w:val="lowerRoman"/>
      <w:pStyle w:val="Heading5"/>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3FE2936"/>
    <w:multiLevelType w:val="hybridMultilevel"/>
    <w:tmpl w:val="6CA44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2F4D3B"/>
    <w:multiLevelType w:val="hybridMultilevel"/>
    <w:tmpl w:val="1D6649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D9562CC"/>
    <w:multiLevelType w:val="hybridMultilevel"/>
    <w:tmpl w:val="01125C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0BF3DE5"/>
    <w:multiLevelType w:val="hybridMultilevel"/>
    <w:tmpl w:val="60EC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8B186A"/>
    <w:multiLevelType w:val="hybridMultilevel"/>
    <w:tmpl w:val="BD8AE97A"/>
    <w:lvl w:ilvl="0" w:tplc="71044238">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50159370">
    <w:abstractNumId w:val="0"/>
  </w:num>
  <w:num w:numId="2" w16cid:durableId="1935088099">
    <w:abstractNumId w:val="0"/>
  </w:num>
  <w:num w:numId="3" w16cid:durableId="42141874">
    <w:abstractNumId w:val="0"/>
  </w:num>
  <w:num w:numId="4" w16cid:durableId="1639988045">
    <w:abstractNumId w:val="0"/>
  </w:num>
  <w:num w:numId="5" w16cid:durableId="366879563">
    <w:abstractNumId w:val="2"/>
  </w:num>
  <w:num w:numId="6" w16cid:durableId="428043442">
    <w:abstractNumId w:val="5"/>
  </w:num>
  <w:num w:numId="7" w16cid:durableId="871651730">
    <w:abstractNumId w:val="7"/>
  </w:num>
  <w:num w:numId="8" w16cid:durableId="88309556">
    <w:abstractNumId w:val="11"/>
  </w:num>
  <w:num w:numId="9" w16cid:durableId="1076512343">
    <w:abstractNumId w:val="3"/>
  </w:num>
  <w:num w:numId="10" w16cid:durableId="814951846">
    <w:abstractNumId w:val="10"/>
  </w:num>
  <w:num w:numId="11" w16cid:durableId="529101091">
    <w:abstractNumId w:val="1"/>
  </w:num>
  <w:num w:numId="12" w16cid:durableId="374501000">
    <w:abstractNumId w:val="0"/>
    <w:lvlOverride w:ilvl="0">
      <w:startOverride w:val="24"/>
    </w:lvlOverride>
  </w:num>
  <w:num w:numId="13" w16cid:durableId="864825685">
    <w:abstractNumId w:val="0"/>
    <w:lvlOverride w:ilvl="0">
      <w:startOverride w:val="24"/>
    </w:lvlOverride>
  </w:num>
  <w:num w:numId="14" w16cid:durableId="16724840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77974834">
    <w:abstractNumId w:val="0"/>
  </w:num>
  <w:num w:numId="16" w16cid:durableId="1152872353">
    <w:abstractNumId w:val="6"/>
  </w:num>
  <w:num w:numId="17" w16cid:durableId="1323698565">
    <w:abstractNumId w:val="9"/>
  </w:num>
  <w:num w:numId="18" w16cid:durableId="1338119755">
    <w:abstractNumId w:val="4"/>
  </w:num>
  <w:num w:numId="19" w16cid:durableId="2066760967">
    <w:abstractNumId w:val="8"/>
  </w:num>
  <w:num w:numId="20" w16cid:durableId="1818107265">
    <w:abstractNumId w:val="0"/>
    <w:lvlOverride w:ilvl="0">
      <w:startOverride w:val="22"/>
    </w:lvlOverride>
  </w:num>
  <w:num w:numId="21" w16cid:durableId="2078551728">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gFAHxnq5AtAAAA"/>
  </w:docVars>
  <w:rsids>
    <w:rsidRoot w:val="00F73E60"/>
    <w:rsid w:val="00000FED"/>
    <w:rsid w:val="0000108F"/>
    <w:rsid w:val="0000315F"/>
    <w:rsid w:val="0000360E"/>
    <w:rsid w:val="000039E3"/>
    <w:rsid w:val="0000434E"/>
    <w:rsid w:val="00004EA0"/>
    <w:rsid w:val="00007435"/>
    <w:rsid w:val="00010982"/>
    <w:rsid w:val="00012E93"/>
    <w:rsid w:val="00013236"/>
    <w:rsid w:val="00013A54"/>
    <w:rsid w:val="00013AB4"/>
    <w:rsid w:val="000156F3"/>
    <w:rsid w:val="000166C0"/>
    <w:rsid w:val="000170F7"/>
    <w:rsid w:val="0001723E"/>
    <w:rsid w:val="000179D2"/>
    <w:rsid w:val="0002144F"/>
    <w:rsid w:val="00023A1C"/>
    <w:rsid w:val="00027178"/>
    <w:rsid w:val="00027259"/>
    <w:rsid w:val="00031260"/>
    <w:rsid w:val="00032250"/>
    <w:rsid w:val="00033302"/>
    <w:rsid w:val="000335C7"/>
    <w:rsid w:val="00033F20"/>
    <w:rsid w:val="00034E56"/>
    <w:rsid w:val="0003681A"/>
    <w:rsid w:val="0003780B"/>
    <w:rsid w:val="00044C58"/>
    <w:rsid w:val="000460DD"/>
    <w:rsid w:val="00046297"/>
    <w:rsid w:val="000471B0"/>
    <w:rsid w:val="00047428"/>
    <w:rsid w:val="00051097"/>
    <w:rsid w:val="0005429C"/>
    <w:rsid w:val="000554FD"/>
    <w:rsid w:val="00055A42"/>
    <w:rsid w:val="00055A5D"/>
    <w:rsid w:val="0005644E"/>
    <w:rsid w:val="000565EB"/>
    <w:rsid w:val="00057DFA"/>
    <w:rsid w:val="0006040C"/>
    <w:rsid w:val="00060730"/>
    <w:rsid w:val="00061A48"/>
    <w:rsid w:val="00064404"/>
    <w:rsid w:val="0006476A"/>
    <w:rsid w:val="00065D34"/>
    <w:rsid w:val="000714AF"/>
    <w:rsid w:val="0007189B"/>
    <w:rsid w:val="00072235"/>
    <w:rsid w:val="00072B13"/>
    <w:rsid w:val="00072FC0"/>
    <w:rsid w:val="000732A8"/>
    <w:rsid w:val="00076AE2"/>
    <w:rsid w:val="00080B97"/>
    <w:rsid w:val="00080ED0"/>
    <w:rsid w:val="00081B09"/>
    <w:rsid w:val="000840FB"/>
    <w:rsid w:val="00085078"/>
    <w:rsid w:val="00085B8F"/>
    <w:rsid w:val="000861CF"/>
    <w:rsid w:val="000867A8"/>
    <w:rsid w:val="0008752E"/>
    <w:rsid w:val="00087723"/>
    <w:rsid w:val="00087AFC"/>
    <w:rsid w:val="00090481"/>
    <w:rsid w:val="00090871"/>
    <w:rsid w:val="00090FC2"/>
    <w:rsid w:val="000919B3"/>
    <w:rsid w:val="00091A22"/>
    <w:rsid w:val="00092193"/>
    <w:rsid w:val="0009352D"/>
    <w:rsid w:val="00094809"/>
    <w:rsid w:val="00095494"/>
    <w:rsid w:val="000A0EFE"/>
    <w:rsid w:val="000A26CF"/>
    <w:rsid w:val="000A3871"/>
    <w:rsid w:val="000A5E99"/>
    <w:rsid w:val="000A6DA4"/>
    <w:rsid w:val="000B0279"/>
    <w:rsid w:val="000B062D"/>
    <w:rsid w:val="000B159E"/>
    <w:rsid w:val="000B37AB"/>
    <w:rsid w:val="000B4E48"/>
    <w:rsid w:val="000B50DB"/>
    <w:rsid w:val="000B5637"/>
    <w:rsid w:val="000C2E60"/>
    <w:rsid w:val="000C31EA"/>
    <w:rsid w:val="000C4EB9"/>
    <w:rsid w:val="000C4F3B"/>
    <w:rsid w:val="000C7802"/>
    <w:rsid w:val="000C7C62"/>
    <w:rsid w:val="000D1BE2"/>
    <w:rsid w:val="000D1C35"/>
    <w:rsid w:val="000D45FD"/>
    <w:rsid w:val="000D52F6"/>
    <w:rsid w:val="000D61B5"/>
    <w:rsid w:val="000E07BC"/>
    <w:rsid w:val="000E0C5B"/>
    <w:rsid w:val="000E1A18"/>
    <w:rsid w:val="000E3F75"/>
    <w:rsid w:val="000E44DE"/>
    <w:rsid w:val="000E48B1"/>
    <w:rsid w:val="000E50B9"/>
    <w:rsid w:val="000E6E8F"/>
    <w:rsid w:val="000E7293"/>
    <w:rsid w:val="000F1CD4"/>
    <w:rsid w:val="000F4103"/>
    <w:rsid w:val="000F6F17"/>
    <w:rsid w:val="000F70A7"/>
    <w:rsid w:val="00100E33"/>
    <w:rsid w:val="00103C26"/>
    <w:rsid w:val="001049B8"/>
    <w:rsid w:val="001106DB"/>
    <w:rsid w:val="00110A6A"/>
    <w:rsid w:val="00111C99"/>
    <w:rsid w:val="00112180"/>
    <w:rsid w:val="00116152"/>
    <w:rsid w:val="00116FCA"/>
    <w:rsid w:val="001171D1"/>
    <w:rsid w:val="001202A3"/>
    <w:rsid w:val="00121BE4"/>
    <w:rsid w:val="00121BF8"/>
    <w:rsid w:val="00122B8D"/>
    <w:rsid w:val="00122F20"/>
    <w:rsid w:val="00123CAB"/>
    <w:rsid w:val="00123EA2"/>
    <w:rsid w:val="00124116"/>
    <w:rsid w:val="00124426"/>
    <w:rsid w:val="001279C8"/>
    <w:rsid w:val="00130F74"/>
    <w:rsid w:val="00131412"/>
    <w:rsid w:val="00131AC0"/>
    <w:rsid w:val="00133883"/>
    <w:rsid w:val="00135980"/>
    <w:rsid w:val="00136001"/>
    <w:rsid w:val="001362F9"/>
    <w:rsid w:val="0013636F"/>
    <w:rsid w:val="00136BDC"/>
    <w:rsid w:val="00142688"/>
    <w:rsid w:val="0014705E"/>
    <w:rsid w:val="0014706F"/>
    <w:rsid w:val="0015070D"/>
    <w:rsid w:val="001517E8"/>
    <w:rsid w:val="00154357"/>
    <w:rsid w:val="00155388"/>
    <w:rsid w:val="001566D9"/>
    <w:rsid w:val="0015694C"/>
    <w:rsid w:val="001569E1"/>
    <w:rsid w:val="001579E8"/>
    <w:rsid w:val="00160E29"/>
    <w:rsid w:val="001610A3"/>
    <w:rsid w:val="00161C24"/>
    <w:rsid w:val="00164719"/>
    <w:rsid w:val="00164BAB"/>
    <w:rsid w:val="00164E50"/>
    <w:rsid w:val="00166FC4"/>
    <w:rsid w:val="001677AC"/>
    <w:rsid w:val="001677DF"/>
    <w:rsid w:val="00172CE7"/>
    <w:rsid w:val="00174028"/>
    <w:rsid w:val="0017568D"/>
    <w:rsid w:val="00175D01"/>
    <w:rsid w:val="00177A3F"/>
    <w:rsid w:val="00180E82"/>
    <w:rsid w:val="00181DC4"/>
    <w:rsid w:val="0018234D"/>
    <w:rsid w:val="00184977"/>
    <w:rsid w:val="00185BDB"/>
    <w:rsid w:val="001869B8"/>
    <w:rsid w:val="00186CC8"/>
    <w:rsid w:val="001872EE"/>
    <w:rsid w:val="00190A61"/>
    <w:rsid w:val="00190C4D"/>
    <w:rsid w:val="00192AFA"/>
    <w:rsid w:val="00193C31"/>
    <w:rsid w:val="00194061"/>
    <w:rsid w:val="00195ED7"/>
    <w:rsid w:val="00197784"/>
    <w:rsid w:val="00197C07"/>
    <w:rsid w:val="001A113A"/>
    <w:rsid w:val="001A2653"/>
    <w:rsid w:val="001A3342"/>
    <w:rsid w:val="001A3E3D"/>
    <w:rsid w:val="001A559E"/>
    <w:rsid w:val="001A57F0"/>
    <w:rsid w:val="001A6A47"/>
    <w:rsid w:val="001B15CE"/>
    <w:rsid w:val="001B1E40"/>
    <w:rsid w:val="001B5D3A"/>
    <w:rsid w:val="001B5EFD"/>
    <w:rsid w:val="001C3FCB"/>
    <w:rsid w:val="001C4762"/>
    <w:rsid w:val="001C6143"/>
    <w:rsid w:val="001C6D36"/>
    <w:rsid w:val="001C6D93"/>
    <w:rsid w:val="001C764E"/>
    <w:rsid w:val="001D27A3"/>
    <w:rsid w:val="001D2BB1"/>
    <w:rsid w:val="001D4432"/>
    <w:rsid w:val="001D4EAC"/>
    <w:rsid w:val="001D4F14"/>
    <w:rsid w:val="001D6242"/>
    <w:rsid w:val="001D674C"/>
    <w:rsid w:val="001D6ED3"/>
    <w:rsid w:val="001E1052"/>
    <w:rsid w:val="001E1759"/>
    <w:rsid w:val="001E21B1"/>
    <w:rsid w:val="001E2587"/>
    <w:rsid w:val="001E2CEB"/>
    <w:rsid w:val="001E2F93"/>
    <w:rsid w:val="001E432D"/>
    <w:rsid w:val="001E5240"/>
    <w:rsid w:val="001E61E5"/>
    <w:rsid w:val="001E6AAD"/>
    <w:rsid w:val="001F2159"/>
    <w:rsid w:val="001F2F83"/>
    <w:rsid w:val="001F676D"/>
    <w:rsid w:val="001F7C1F"/>
    <w:rsid w:val="0020013E"/>
    <w:rsid w:val="002013D0"/>
    <w:rsid w:val="00201F59"/>
    <w:rsid w:val="00203CA8"/>
    <w:rsid w:val="002042A8"/>
    <w:rsid w:val="002045DC"/>
    <w:rsid w:val="00207987"/>
    <w:rsid w:val="00215DDF"/>
    <w:rsid w:val="00216EFE"/>
    <w:rsid w:val="00217222"/>
    <w:rsid w:val="00221572"/>
    <w:rsid w:val="00221F27"/>
    <w:rsid w:val="00222DDB"/>
    <w:rsid w:val="00223DCD"/>
    <w:rsid w:val="00223FD4"/>
    <w:rsid w:val="002245C4"/>
    <w:rsid w:val="00225D03"/>
    <w:rsid w:val="00227F4F"/>
    <w:rsid w:val="00232615"/>
    <w:rsid w:val="0023361F"/>
    <w:rsid w:val="00233954"/>
    <w:rsid w:val="00234129"/>
    <w:rsid w:val="00235A23"/>
    <w:rsid w:val="002364BF"/>
    <w:rsid w:val="0023738C"/>
    <w:rsid w:val="00237FD2"/>
    <w:rsid w:val="00240730"/>
    <w:rsid w:val="0024191C"/>
    <w:rsid w:val="00242905"/>
    <w:rsid w:val="00244177"/>
    <w:rsid w:val="002443D6"/>
    <w:rsid w:val="00246B07"/>
    <w:rsid w:val="00253222"/>
    <w:rsid w:val="00253616"/>
    <w:rsid w:val="0025637B"/>
    <w:rsid w:val="0025728F"/>
    <w:rsid w:val="00257B9D"/>
    <w:rsid w:val="00262E06"/>
    <w:rsid w:val="00265F20"/>
    <w:rsid w:val="00266BFA"/>
    <w:rsid w:val="00272F4B"/>
    <w:rsid w:val="00273825"/>
    <w:rsid w:val="00277B2A"/>
    <w:rsid w:val="00280A34"/>
    <w:rsid w:val="0028307A"/>
    <w:rsid w:val="00283654"/>
    <w:rsid w:val="00284268"/>
    <w:rsid w:val="0028595F"/>
    <w:rsid w:val="002862F8"/>
    <w:rsid w:val="0028733C"/>
    <w:rsid w:val="0028745A"/>
    <w:rsid w:val="00287C78"/>
    <w:rsid w:val="00290F95"/>
    <w:rsid w:val="00291880"/>
    <w:rsid w:val="002922FE"/>
    <w:rsid w:val="00292A2F"/>
    <w:rsid w:val="0029789E"/>
    <w:rsid w:val="002A0985"/>
    <w:rsid w:val="002A15F3"/>
    <w:rsid w:val="002A2D63"/>
    <w:rsid w:val="002A5E2E"/>
    <w:rsid w:val="002B116E"/>
    <w:rsid w:val="002B5614"/>
    <w:rsid w:val="002B60BD"/>
    <w:rsid w:val="002B62DA"/>
    <w:rsid w:val="002B638F"/>
    <w:rsid w:val="002B72E9"/>
    <w:rsid w:val="002B75BD"/>
    <w:rsid w:val="002B7732"/>
    <w:rsid w:val="002B7A46"/>
    <w:rsid w:val="002B7BB1"/>
    <w:rsid w:val="002C0CD0"/>
    <w:rsid w:val="002C3A74"/>
    <w:rsid w:val="002C485A"/>
    <w:rsid w:val="002C48F5"/>
    <w:rsid w:val="002C622C"/>
    <w:rsid w:val="002C791B"/>
    <w:rsid w:val="002C7AAF"/>
    <w:rsid w:val="002D001A"/>
    <w:rsid w:val="002D2E17"/>
    <w:rsid w:val="002D3858"/>
    <w:rsid w:val="002D45F0"/>
    <w:rsid w:val="002D4EFE"/>
    <w:rsid w:val="002D5A75"/>
    <w:rsid w:val="002D68DD"/>
    <w:rsid w:val="002E09EC"/>
    <w:rsid w:val="002E0BFC"/>
    <w:rsid w:val="002E1D44"/>
    <w:rsid w:val="002E2A9F"/>
    <w:rsid w:val="002E2DFD"/>
    <w:rsid w:val="002E5809"/>
    <w:rsid w:val="002F0A50"/>
    <w:rsid w:val="002F0F64"/>
    <w:rsid w:val="002F21BD"/>
    <w:rsid w:val="002F22F1"/>
    <w:rsid w:val="002F554B"/>
    <w:rsid w:val="002F6CFC"/>
    <w:rsid w:val="002F6E3D"/>
    <w:rsid w:val="003003D2"/>
    <w:rsid w:val="0030065C"/>
    <w:rsid w:val="003008DD"/>
    <w:rsid w:val="00300D9D"/>
    <w:rsid w:val="0030465A"/>
    <w:rsid w:val="00305A46"/>
    <w:rsid w:val="00311155"/>
    <w:rsid w:val="00311465"/>
    <w:rsid w:val="00311CD8"/>
    <w:rsid w:val="003122F4"/>
    <w:rsid w:val="003161C5"/>
    <w:rsid w:val="00316AD6"/>
    <w:rsid w:val="00323107"/>
    <w:rsid w:val="00323E92"/>
    <w:rsid w:val="003246ED"/>
    <w:rsid w:val="0032565F"/>
    <w:rsid w:val="00326263"/>
    <w:rsid w:val="00327DB6"/>
    <w:rsid w:val="003306E1"/>
    <w:rsid w:val="00331EBA"/>
    <w:rsid w:val="003320E4"/>
    <w:rsid w:val="003320FF"/>
    <w:rsid w:val="00332738"/>
    <w:rsid w:val="00333BD0"/>
    <w:rsid w:val="00333EB6"/>
    <w:rsid w:val="00334542"/>
    <w:rsid w:val="00334C1C"/>
    <w:rsid w:val="00334FBB"/>
    <w:rsid w:val="0033525D"/>
    <w:rsid w:val="00335567"/>
    <w:rsid w:val="0033724E"/>
    <w:rsid w:val="00337B0E"/>
    <w:rsid w:val="003412F5"/>
    <w:rsid w:val="003414F3"/>
    <w:rsid w:val="00342423"/>
    <w:rsid w:val="00342F7A"/>
    <w:rsid w:val="0034389E"/>
    <w:rsid w:val="003468F4"/>
    <w:rsid w:val="00347EEE"/>
    <w:rsid w:val="00347F1C"/>
    <w:rsid w:val="00350617"/>
    <w:rsid w:val="003515BA"/>
    <w:rsid w:val="00352027"/>
    <w:rsid w:val="00353421"/>
    <w:rsid w:val="0035613E"/>
    <w:rsid w:val="00356475"/>
    <w:rsid w:val="00363EE9"/>
    <w:rsid w:val="00364917"/>
    <w:rsid w:val="00372D40"/>
    <w:rsid w:val="0037451C"/>
    <w:rsid w:val="0037475C"/>
    <w:rsid w:val="00374DAA"/>
    <w:rsid w:val="00376128"/>
    <w:rsid w:val="00376989"/>
    <w:rsid w:val="00376B94"/>
    <w:rsid w:val="0037742E"/>
    <w:rsid w:val="00377483"/>
    <w:rsid w:val="0038245A"/>
    <w:rsid w:val="003836D2"/>
    <w:rsid w:val="003837F9"/>
    <w:rsid w:val="00384913"/>
    <w:rsid w:val="003860C0"/>
    <w:rsid w:val="003863C6"/>
    <w:rsid w:val="00391A8E"/>
    <w:rsid w:val="00391D41"/>
    <w:rsid w:val="00392C36"/>
    <w:rsid w:val="0039337A"/>
    <w:rsid w:val="00394083"/>
    <w:rsid w:val="0039543E"/>
    <w:rsid w:val="00396605"/>
    <w:rsid w:val="0039764E"/>
    <w:rsid w:val="003A04E2"/>
    <w:rsid w:val="003A23C8"/>
    <w:rsid w:val="003A3189"/>
    <w:rsid w:val="003A39EF"/>
    <w:rsid w:val="003A4CEA"/>
    <w:rsid w:val="003B1A6D"/>
    <w:rsid w:val="003B22A8"/>
    <w:rsid w:val="003B270F"/>
    <w:rsid w:val="003B2D84"/>
    <w:rsid w:val="003B3973"/>
    <w:rsid w:val="003B3AB8"/>
    <w:rsid w:val="003B3BF1"/>
    <w:rsid w:val="003B4DE9"/>
    <w:rsid w:val="003B569D"/>
    <w:rsid w:val="003C1403"/>
    <w:rsid w:val="003C1EBD"/>
    <w:rsid w:val="003C1EF2"/>
    <w:rsid w:val="003C3C0E"/>
    <w:rsid w:val="003C6EED"/>
    <w:rsid w:val="003C7C08"/>
    <w:rsid w:val="003D0407"/>
    <w:rsid w:val="003D0420"/>
    <w:rsid w:val="003D07D6"/>
    <w:rsid w:val="003D291E"/>
    <w:rsid w:val="003D3276"/>
    <w:rsid w:val="003D41C1"/>
    <w:rsid w:val="003D4FAC"/>
    <w:rsid w:val="003D5F70"/>
    <w:rsid w:val="003D6F6F"/>
    <w:rsid w:val="003D7451"/>
    <w:rsid w:val="003D74B6"/>
    <w:rsid w:val="003D7572"/>
    <w:rsid w:val="003E03B8"/>
    <w:rsid w:val="003E1AFE"/>
    <w:rsid w:val="003E1E8F"/>
    <w:rsid w:val="003E2578"/>
    <w:rsid w:val="003E32C2"/>
    <w:rsid w:val="003E42CD"/>
    <w:rsid w:val="003E5D37"/>
    <w:rsid w:val="003E60F5"/>
    <w:rsid w:val="003E6893"/>
    <w:rsid w:val="003E6945"/>
    <w:rsid w:val="003E7906"/>
    <w:rsid w:val="003F04A5"/>
    <w:rsid w:val="003F0721"/>
    <w:rsid w:val="003F27F8"/>
    <w:rsid w:val="003F29BB"/>
    <w:rsid w:val="003F3835"/>
    <w:rsid w:val="003F3C50"/>
    <w:rsid w:val="003F4DFD"/>
    <w:rsid w:val="003F5591"/>
    <w:rsid w:val="003F5E70"/>
    <w:rsid w:val="003F6D63"/>
    <w:rsid w:val="003F786A"/>
    <w:rsid w:val="004001E8"/>
    <w:rsid w:val="0040042A"/>
    <w:rsid w:val="00402218"/>
    <w:rsid w:val="00406A6A"/>
    <w:rsid w:val="00406B22"/>
    <w:rsid w:val="0040761D"/>
    <w:rsid w:val="004120DD"/>
    <w:rsid w:val="00412582"/>
    <w:rsid w:val="00412D34"/>
    <w:rsid w:val="00413159"/>
    <w:rsid w:val="004137E5"/>
    <w:rsid w:val="00414849"/>
    <w:rsid w:val="00414866"/>
    <w:rsid w:val="004156F5"/>
    <w:rsid w:val="00415AEC"/>
    <w:rsid w:val="004176B4"/>
    <w:rsid w:val="004215AE"/>
    <w:rsid w:val="00421D24"/>
    <w:rsid w:val="00424985"/>
    <w:rsid w:val="00424F68"/>
    <w:rsid w:val="00425E85"/>
    <w:rsid w:val="004274EE"/>
    <w:rsid w:val="00427AF1"/>
    <w:rsid w:val="00431D12"/>
    <w:rsid w:val="00432279"/>
    <w:rsid w:val="004328A7"/>
    <w:rsid w:val="004333FE"/>
    <w:rsid w:val="00434C74"/>
    <w:rsid w:val="00435032"/>
    <w:rsid w:val="00435BE4"/>
    <w:rsid w:val="00435CAD"/>
    <w:rsid w:val="00436B2B"/>
    <w:rsid w:val="00437C3D"/>
    <w:rsid w:val="00441BEE"/>
    <w:rsid w:val="00442D7C"/>
    <w:rsid w:val="0044348C"/>
    <w:rsid w:val="00444544"/>
    <w:rsid w:val="00444C37"/>
    <w:rsid w:val="00444EB9"/>
    <w:rsid w:val="0045004E"/>
    <w:rsid w:val="0045099E"/>
    <w:rsid w:val="00450AA6"/>
    <w:rsid w:val="00452046"/>
    <w:rsid w:val="004526CA"/>
    <w:rsid w:val="00453749"/>
    <w:rsid w:val="00456EB4"/>
    <w:rsid w:val="00460D8B"/>
    <w:rsid w:val="00465A89"/>
    <w:rsid w:val="004661DF"/>
    <w:rsid w:val="004669AD"/>
    <w:rsid w:val="00466E5D"/>
    <w:rsid w:val="00467EF6"/>
    <w:rsid w:val="00470584"/>
    <w:rsid w:val="004718F3"/>
    <w:rsid w:val="00474158"/>
    <w:rsid w:val="00474B6A"/>
    <w:rsid w:val="00475040"/>
    <w:rsid w:val="00476C08"/>
    <w:rsid w:val="0048012F"/>
    <w:rsid w:val="00482ABF"/>
    <w:rsid w:val="004834C6"/>
    <w:rsid w:val="0048379F"/>
    <w:rsid w:val="00484E28"/>
    <w:rsid w:val="0048559F"/>
    <w:rsid w:val="0048637B"/>
    <w:rsid w:val="00487156"/>
    <w:rsid w:val="00493AE3"/>
    <w:rsid w:val="00493D40"/>
    <w:rsid w:val="00497760"/>
    <w:rsid w:val="00497821"/>
    <w:rsid w:val="004A038E"/>
    <w:rsid w:val="004A171A"/>
    <w:rsid w:val="004A1895"/>
    <w:rsid w:val="004A3A1E"/>
    <w:rsid w:val="004A409A"/>
    <w:rsid w:val="004A504B"/>
    <w:rsid w:val="004A60DC"/>
    <w:rsid w:val="004A66D0"/>
    <w:rsid w:val="004A6911"/>
    <w:rsid w:val="004B07BA"/>
    <w:rsid w:val="004B5299"/>
    <w:rsid w:val="004B54E0"/>
    <w:rsid w:val="004B7384"/>
    <w:rsid w:val="004B75DF"/>
    <w:rsid w:val="004B76AD"/>
    <w:rsid w:val="004C1493"/>
    <w:rsid w:val="004C1521"/>
    <w:rsid w:val="004C2D87"/>
    <w:rsid w:val="004C4269"/>
    <w:rsid w:val="004C4533"/>
    <w:rsid w:val="004C4D05"/>
    <w:rsid w:val="004C7BC5"/>
    <w:rsid w:val="004D06BE"/>
    <w:rsid w:val="004D2089"/>
    <w:rsid w:val="004D2D5F"/>
    <w:rsid w:val="004D390F"/>
    <w:rsid w:val="004D53FF"/>
    <w:rsid w:val="004D6236"/>
    <w:rsid w:val="004D7C74"/>
    <w:rsid w:val="004E2147"/>
    <w:rsid w:val="004E2353"/>
    <w:rsid w:val="004E2F62"/>
    <w:rsid w:val="004E4C07"/>
    <w:rsid w:val="004E4DBB"/>
    <w:rsid w:val="004E7F9C"/>
    <w:rsid w:val="004F1A31"/>
    <w:rsid w:val="004F3493"/>
    <w:rsid w:val="004F49EC"/>
    <w:rsid w:val="00502237"/>
    <w:rsid w:val="005024E6"/>
    <w:rsid w:val="005067EA"/>
    <w:rsid w:val="00506A5D"/>
    <w:rsid w:val="00506E08"/>
    <w:rsid w:val="005074E8"/>
    <w:rsid w:val="00507BD0"/>
    <w:rsid w:val="00507E4C"/>
    <w:rsid w:val="005118B4"/>
    <w:rsid w:val="00512B09"/>
    <w:rsid w:val="005130B8"/>
    <w:rsid w:val="00513FD5"/>
    <w:rsid w:val="00515A7C"/>
    <w:rsid w:val="005169B9"/>
    <w:rsid w:val="00520B30"/>
    <w:rsid w:val="005215A4"/>
    <w:rsid w:val="00521A3F"/>
    <w:rsid w:val="00522540"/>
    <w:rsid w:val="005228DF"/>
    <w:rsid w:val="00525716"/>
    <w:rsid w:val="00525FA6"/>
    <w:rsid w:val="00532682"/>
    <w:rsid w:val="0053580C"/>
    <w:rsid w:val="00535FA1"/>
    <w:rsid w:val="005360A5"/>
    <w:rsid w:val="00536CDB"/>
    <w:rsid w:val="005409C5"/>
    <w:rsid w:val="005441C8"/>
    <w:rsid w:val="00544ECC"/>
    <w:rsid w:val="005452C3"/>
    <w:rsid w:val="0054606E"/>
    <w:rsid w:val="005468EF"/>
    <w:rsid w:val="00547984"/>
    <w:rsid w:val="00547A82"/>
    <w:rsid w:val="0055311C"/>
    <w:rsid w:val="00553892"/>
    <w:rsid w:val="00553A8A"/>
    <w:rsid w:val="00554A27"/>
    <w:rsid w:val="00555D75"/>
    <w:rsid w:val="0055795F"/>
    <w:rsid w:val="005579C0"/>
    <w:rsid w:val="00560534"/>
    <w:rsid w:val="00560DBE"/>
    <w:rsid w:val="00560DF0"/>
    <w:rsid w:val="005640FC"/>
    <w:rsid w:val="00564369"/>
    <w:rsid w:val="0057123A"/>
    <w:rsid w:val="00573124"/>
    <w:rsid w:val="00573AE6"/>
    <w:rsid w:val="005814EB"/>
    <w:rsid w:val="00582FCD"/>
    <w:rsid w:val="005830D3"/>
    <w:rsid w:val="00586758"/>
    <w:rsid w:val="0059068C"/>
    <w:rsid w:val="00590BD7"/>
    <w:rsid w:val="005928E3"/>
    <w:rsid w:val="00593045"/>
    <w:rsid w:val="005930D0"/>
    <w:rsid w:val="00593AB5"/>
    <w:rsid w:val="005941A6"/>
    <w:rsid w:val="00597D23"/>
    <w:rsid w:val="005A18F9"/>
    <w:rsid w:val="005A1E00"/>
    <w:rsid w:val="005A26A5"/>
    <w:rsid w:val="005A2C0C"/>
    <w:rsid w:val="005A3509"/>
    <w:rsid w:val="005A45CB"/>
    <w:rsid w:val="005A4A2E"/>
    <w:rsid w:val="005A68C5"/>
    <w:rsid w:val="005B034E"/>
    <w:rsid w:val="005B13EF"/>
    <w:rsid w:val="005B175C"/>
    <w:rsid w:val="005B3867"/>
    <w:rsid w:val="005B48FF"/>
    <w:rsid w:val="005B7B78"/>
    <w:rsid w:val="005C0106"/>
    <w:rsid w:val="005C064A"/>
    <w:rsid w:val="005C1937"/>
    <w:rsid w:val="005C606D"/>
    <w:rsid w:val="005C7A40"/>
    <w:rsid w:val="005C7F97"/>
    <w:rsid w:val="005D1086"/>
    <w:rsid w:val="005D1F68"/>
    <w:rsid w:val="005D43D9"/>
    <w:rsid w:val="005D49B1"/>
    <w:rsid w:val="005D504D"/>
    <w:rsid w:val="005D5733"/>
    <w:rsid w:val="005D73A6"/>
    <w:rsid w:val="005E031A"/>
    <w:rsid w:val="005E34C6"/>
    <w:rsid w:val="005E3866"/>
    <w:rsid w:val="005E53BC"/>
    <w:rsid w:val="005E67D4"/>
    <w:rsid w:val="005F2A89"/>
    <w:rsid w:val="005F302C"/>
    <w:rsid w:val="005F67B3"/>
    <w:rsid w:val="005F7EEF"/>
    <w:rsid w:val="006002D7"/>
    <w:rsid w:val="00600A67"/>
    <w:rsid w:val="00601141"/>
    <w:rsid w:val="006012A7"/>
    <w:rsid w:val="00602789"/>
    <w:rsid w:val="00602CF2"/>
    <w:rsid w:val="00603654"/>
    <w:rsid w:val="00604C1D"/>
    <w:rsid w:val="00605D1A"/>
    <w:rsid w:val="00611F82"/>
    <w:rsid w:val="006141C1"/>
    <w:rsid w:val="0061571C"/>
    <w:rsid w:val="006158D5"/>
    <w:rsid w:val="006176CC"/>
    <w:rsid w:val="00620B1E"/>
    <w:rsid w:val="00624810"/>
    <w:rsid w:val="00625D83"/>
    <w:rsid w:val="00626198"/>
    <w:rsid w:val="00627A91"/>
    <w:rsid w:val="006309FE"/>
    <w:rsid w:val="00631846"/>
    <w:rsid w:val="00631E80"/>
    <w:rsid w:val="006369C8"/>
    <w:rsid w:val="00637310"/>
    <w:rsid w:val="006376D0"/>
    <w:rsid w:val="006378AC"/>
    <w:rsid w:val="006379CF"/>
    <w:rsid w:val="00641DDD"/>
    <w:rsid w:val="00643292"/>
    <w:rsid w:val="00644436"/>
    <w:rsid w:val="00644842"/>
    <w:rsid w:val="00646AD6"/>
    <w:rsid w:val="0065436F"/>
    <w:rsid w:val="0065517D"/>
    <w:rsid w:val="00655E3B"/>
    <w:rsid w:val="00656A16"/>
    <w:rsid w:val="0066153D"/>
    <w:rsid w:val="006623E7"/>
    <w:rsid w:val="00662B80"/>
    <w:rsid w:val="00664BAD"/>
    <w:rsid w:val="00665177"/>
    <w:rsid w:val="006739A3"/>
    <w:rsid w:val="00680D29"/>
    <w:rsid w:val="0068130E"/>
    <w:rsid w:val="00684481"/>
    <w:rsid w:val="006852C7"/>
    <w:rsid w:val="00686C41"/>
    <w:rsid w:val="00687328"/>
    <w:rsid w:val="00687545"/>
    <w:rsid w:val="006878E6"/>
    <w:rsid w:val="0069085B"/>
    <w:rsid w:val="00690868"/>
    <w:rsid w:val="0069218C"/>
    <w:rsid w:val="00694FAD"/>
    <w:rsid w:val="006952EE"/>
    <w:rsid w:val="00695493"/>
    <w:rsid w:val="006972C8"/>
    <w:rsid w:val="006A0807"/>
    <w:rsid w:val="006A2240"/>
    <w:rsid w:val="006A2B01"/>
    <w:rsid w:val="006A4E36"/>
    <w:rsid w:val="006A7948"/>
    <w:rsid w:val="006B04F7"/>
    <w:rsid w:val="006B3934"/>
    <w:rsid w:val="006B421F"/>
    <w:rsid w:val="006B6522"/>
    <w:rsid w:val="006C0BDE"/>
    <w:rsid w:val="006C0D22"/>
    <w:rsid w:val="006C1727"/>
    <w:rsid w:val="006C32FD"/>
    <w:rsid w:val="006C484F"/>
    <w:rsid w:val="006D0E4B"/>
    <w:rsid w:val="006D0F24"/>
    <w:rsid w:val="006D0FCC"/>
    <w:rsid w:val="006D180D"/>
    <w:rsid w:val="006D2EFB"/>
    <w:rsid w:val="006D2F97"/>
    <w:rsid w:val="006D46F6"/>
    <w:rsid w:val="006D5210"/>
    <w:rsid w:val="006D5E81"/>
    <w:rsid w:val="006D5EE4"/>
    <w:rsid w:val="006E05CF"/>
    <w:rsid w:val="006E0D57"/>
    <w:rsid w:val="006E133D"/>
    <w:rsid w:val="006E1F61"/>
    <w:rsid w:val="006E22D5"/>
    <w:rsid w:val="006E5FCF"/>
    <w:rsid w:val="006F09D9"/>
    <w:rsid w:val="006F3A12"/>
    <w:rsid w:val="006F6061"/>
    <w:rsid w:val="006F7E21"/>
    <w:rsid w:val="006F7FD4"/>
    <w:rsid w:val="007005E3"/>
    <w:rsid w:val="00701573"/>
    <w:rsid w:val="007021DE"/>
    <w:rsid w:val="007028CE"/>
    <w:rsid w:val="0070290C"/>
    <w:rsid w:val="00704F94"/>
    <w:rsid w:val="007053A9"/>
    <w:rsid w:val="0070616B"/>
    <w:rsid w:val="0070695C"/>
    <w:rsid w:val="00706FDA"/>
    <w:rsid w:val="007100F1"/>
    <w:rsid w:val="00710E09"/>
    <w:rsid w:val="00711591"/>
    <w:rsid w:val="00711F9A"/>
    <w:rsid w:val="00713810"/>
    <w:rsid w:val="007159D3"/>
    <w:rsid w:val="00720372"/>
    <w:rsid w:val="0072230F"/>
    <w:rsid w:val="007228E1"/>
    <w:rsid w:val="00722B4B"/>
    <w:rsid w:val="0072367E"/>
    <w:rsid w:val="0072371C"/>
    <w:rsid w:val="007303A5"/>
    <w:rsid w:val="00730901"/>
    <w:rsid w:val="00730B3E"/>
    <w:rsid w:val="00731281"/>
    <w:rsid w:val="007328E4"/>
    <w:rsid w:val="0073420B"/>
    <w:rsid w:val="00734A1B"/>
    <w:rsid w:val="007357BE"/>
    <w:rsid w:val="007368F5"/>
    <w:rsid w:val="0074023A"/>
    <w:rsid w:val="0074217A"/>
    <w:rsid w:val="00743AC5"/>
    <w:rsid w:val="007447B2"/>
    <w:rsid w:val="007449C1"/>
    <w:rsid w:val="0074760E"/>
    <w:rsid w:val="00750365"/>
    <w:rsid w:val="00750F28"/>
    <w:rsid w:val="00751307"/>
    <w:rsid w:val="007516F4"/>
    <w:rsid w:val="00753110"/>
    <w:rsid w:val="00753A17"/>
    <w:rsid w:val="00754ABA"/>
    <w:rsid w:val="00757725"/>
    <w:rsid w:val="00760F9F"/>
    <w:rsid w:val="007617D3"/>
    <w:rsid w:val="007619A5"/>
    <w:rsid w:val="00761AFF"/>
    <w:rsid w:val="00764236"/>
    <w:rsid w:val="00765C0D"/>
    <w:rsid w:val="00766A2E"/>
    <w:rsid w:val="00766D59"/>
    <w:rsid w:val="00766EAC"/>
    <w:rsid w:val="00767C4A"/>
    <w:rsid w:val="00767CFF"/>
    <w:rsid w:val="007715DA"/>
    <w:rsid w:val="00771739"/>
    <w:rsid w:val="00772373"/>
    <w:rsid w:val="007756A4"/>
    <w:rsid w:val="0077627B"/>
    <w:rsid w:val="00777428"/>
    <w:rsid w:val="0078199F"/>
    <w:rsid w:val="00782F01"/>
    <w:rsid w:val="007839EF"/>
    <w:rsid w:val="007847AF"/>
    <w:rsid w:val="0078529C"/>
    <w:rsid w:val="00792E36"/>
    <w:rsid w:val="007A0A9F"/>
    <w:rsid w:val="007A1546"/>
    <w:rsid w:val="007A228C"/>
    <w:rsid w:val="007A368E"/>
    <w:rsid w:val="007A4681"/>
    <w:rsid w:val="007A4F61"/>
    <w:rsid w:val="007A5868"/>
    <w:rsid w:val="007A5D91"/>
    <w:rsid w:val="007A5F30"/>
    <w:rsid w:val="007A6481"/>
    <w:rsid w:val="007B011A"/>
    <w:rsid w:val="007B04CE"/>
    <w:rsid w:val="007B263A"/>
    <w:rsid w:val="007B32E2"/>
    <w:rsid w:val="007B3D87"/>
    <w:rsid w:val="007B519C"/>
    <w:rsid w:val="007B598C"/>
    <w:rsid w:val="007B6871"/>
    <w:rsid w:val="007B6B1D"/>
    <w:rsid w:val="007B72F9"/>
    <w:rsid w:val="007C0098"/>
    <w:rsid w:val="007C1C13"/>
    <w:rsid w:val="007C1F4A"/>
    <w:rsid w:val="007C23D0"/>
    <w:rsid w:val="007C34F1"/>
    <w:rsid w:val="007C3D33"/>
    <w:rsid w:val="007C4332"/>
    <w:rsid w:val="007C6AFA"/>
    <w:rsid w:val="007D077C"/>
    <w:rsid w:val="007D1C22"/>
    <w:rsid w:val="007D294A"/>
    <w:rsid w:val="007D47D2"/>
    <w:rsid w:val="007D4951"/>
    <w:rsid w:val="007D690A"/>
    <w:rsid w:val="007D69F8"/>
    <w:rsid w:val="007D6EC0"/>
    <w:rsid w:val="007D7972"/>
    <w:rsid w:val="007D7E1D"/>
    <w:rsid w:val="007E18A5"/>
    <w:rsid w:val="007E2E2B"/>
    <w:rsid w:val="007E5D45"/>
    <w:rsid w:val="007F202F"/>
    <w:rsid w:val="007F5CB8"/>
    <w:rsid w:val="007F616E"/>
    <w:rsid w:val="007F639B"/>
    <w:rsid w:val="007F6CBC"/>
    <w:rsid w:val="007F70FC"/>
    <w:rsid w:val="00800114"/>
    <w:rsid w:val="0080012F"/>
    <w:rsid w:val="00800DEE"/>
    <w:rsid w:val="008063BA"/>
    <w:rsid w:val="0081133E"/>
    <w:rsid w:val="00811ECE"/>
    <w:rsid w:val="00813302"/>
    <w:rsid w:val="00813658"/>
    <w:rsid w:val="00813B1D"/>
    <w:rsid w:val="00814CB8"/>
    <w:rsid w:val="008204F3"/>
    <w:rsid w:val="00821AA4"/>
    <w:rsid w:val="0082294A"/>
    <w:rsid w:val="00823161"/>
    <w:rsid w:val="00824F8A"/>
    <w:rsid w:val="0083222C"/>
    <w:rsid w:val="008323BE"/>
    <w:rsid w:val="00832B2C"/>
    <w:rsid w:val="00834106"/>
    <w:rsid w:val="00834274"/>
    <w:rsid w:val="00834BE4"/>
    <w:rsid w:val="00835E68"/>
    <w:rsid w:val="00836CB5"/>
    <w:rsid w:val="00840499"/>
    <w:rsid w:val="0084114E"/>
    <w:rsid w:val="00841E58"/>
    <w:rsid w:val="00841F1E"/>
    <w:rsid w:val="0084454D"/>
    <w:rsid w:val="00845052"/>
    <w:rsid w:val="008453A8"/>
    <w:rsid w:val="008459A4"/>
    <w:rsid w:val="008470E9"/>
    <w:rsid w:val="00852784"/>
    <w:rsid w:val="0085432F"/>
    <w:rsid w:val="008556CD"/>
    <w:rsid w:val="00855E03"/>
    <w:rsid w:val="0085700D"/>
    <w:rsid w:val="00857E67"/>
    <w:rsid w:val="008602E7"/>
    <w:rsid w:val="008606B6"/>
    <w:rsid w:val="00861326"/>
    <w:rsid w:val="00863230"/>
    <w:rsid w:val="00863A9A"/>
    <w:rsid w:val="00864FF9"/>
    <w:rsid w:val="00866466"/>
    <w:rsid w:val="008717D8"/>
    <w:rsid w:val="00871DBC"/>
    <w:rsid w:val="0087215C"/>
    <w:rsid w:val="00873A42"/>
    <w:rsid w:val="00875F4C"/>
    <w:rsid w:val="008817BE"/>
    <w:rsid w:val="00884566"/>
    <w:rsid w:val="00884E77"/>
    <w:rsid w:val="00886392"/>
    <w:rsid w:val="008873C8"/>
    <w:rsid w:val="008875FE"/>
    <w:rsid w:val="0088793B"/>
    <w:rsid w:val="00887CA5"/>
    <w:rsid w:val="00887F8E"/>
    <w:rsid w:val="008907BE"/>
    <w:rsid w:val="0089151C"/>
    <w:rsid w:val="00891CFE"/>
    <w:rsid w:val="008923B1"/>
    <w:rsid w:val="00896234"/>
    <w:rsid w:val="00897E43"/>
    <w:rsid w:val="008A2365"/>
    <w:rsid w:val="008A3DAB"/>
    <w:rsid w:val="008A5374"/>
    <w:rsid w:val="008A6E4B"/>
    <w:rsid w:val="008A7B30"/>
    <w:rsid w:val="008B0DCA"/>
    <w:rsid w:val="008B19EF"/>
    <w:rsid w:val="008B3D36"/>
    <w:rsid w:val="008B493C"/>
    <w:rsid w:val="008B7D1F"/>
    <w:rsid w:val="008B7E9A"/>
    <w:rsid w:val="008C3F6A"/>
    <w:rsid w:val="008C44E5"/>
    <w:rsid w:val="008C4731"/>
    <w:rsid w:val="008C48E9"/>
    <w:rsid w:val="008C5738"/>
    <w:rsid w:val="008C736A"/>
    <w:rsid w:val="008C7EAD"/>
    <w:rsid w:val="008D0477"/>
    <w:rsid w:val="008D1C41"/>
    <w:rsid w:val="008D27B1"/>
    <w:rsid w:val="008D2BCE"/>
    <w:rsid w:val="008D6152"/>
    <w:rsid w:val="008E1080"/>
    <w:rsid w:val="008E140D"/>
    <w:rsid w:val="008E1B86"/>
    <w:rsid w:val="008E34E0"/>
    <w:rsid w:val="008E396A"/>
    <w:rsid w:val="008E3BFB"/>
    <w:rsid w:val="008E572E"/>
    <w:rsid w:val="008E5E8B"/>
    <w:rsid w:val="008E6EEF"/>
    <w:rsid w:val="008E71D7"/>
    <w:rsid w:val="008F0054"/>
    <w:rsid w:val="008F0F81"/>
    <w:rsid w:val="008F2529"/>
    <w:rsid w:val="008F3962"/>
    <w:rsid w:val="008F5263"/>
    <w:rsid w:val="008F531A"/>
    <w:rsid w:val="008F5B38"/>
    <w:rsid w:val="008F5EFF"/>
    <w:rsid w:val="008F7653"/>
    <w:rsid w:val="00900409"/>
    <w:rsid w:val="009024A5"/>
    <w:rsid w:val="0090539F"/>
    <w:rsid w:val="0090589D"/>
    <w:rsid w:val="00912B93"/>
    <w:rsid w:val="00914FAF"/>
    <w:rsid w:val="00915771"/>
    <w:rsid w:val="00915C75"/>
    <w:rsid w:val="009163DF"/>
    <w:rsid w:val="0092029F"/>
    <w:rsid w:val="00920464"/>
    <w:rsid w:val="00921064"/>
    <w:rsid w:val="00921372"/>
    <w:rsid w:val="00922128"/>
    <w:rsid w:val="00923540"/>
    <w:rsid w:val="00923669"/>
    <w:rsid w:val="00923BED"/>
    <w:rsid w:val="00923CDD"/>
    <w:rsid w:val="00923FF1"/>
    <w:rsid w:val="00924B26"/>
    <w:rsid w:val="00926767"/>
    <w:rsid w:val="00926F02"/>
    <w:rsid w:val="00927701"/>
    <w:rsid w:val="009302F2"/>
    <w:rsid w:val="00931D86"/>
    <w:rsid w:val="00932852"/>
    <w:rsid w:val="0093357A"/>
    <w:rsid w:val="009355D9"/>
    <w:rsid w:val="009361C1"/>
    <w:rsid w:val="009361D5"/>
    <w:rsid w:val="009374A6"/>
    <w:rsid w:val="0093789D"/>
    <w:rsid w:val="00940515"/>
    <w:rsid w:val="009406F8"/>
    <w:rsid w:val="00941102"/>
    <w:rsid w:val="0094204D"/>
    <w:rsid w:val="00942A84"/>
    <w:rsid w:val="00943014"/>
    <w:rsid w:val="00943043"/>
    <w:rsid w:val="0094377F"/>
    <w:rsid w:val="00943826"/>
    <w:rsid w:val="00945367"/>
    <w:rsid w:val="0094632F"/>
    <w:rsid w:val="00952977"/>
    <w:rsid w:val="00952A41"/>
    <w:rsid w:val="0095464F"/>
    <w:rsid w:val="00955554"/>
    <w:rsid w:val="00957600"/>
    <w:rsid w:val="00960647"/>
    <w:rsid w:val="00960704"/>
    <w:rsid w:val="009614F6"/>
    <w:rsid w:val="00961BF8"/>
    <w:rsid w:val="0096402C"/>
    <w:rsid w:val="00964FAB"/>
    <w:rsid w:val="009659F4"/>
    <w:rsid w:val="00970091"/>
    <w:rsid w:val="00970D60"/>
    <w:rsid w:val="0097150E"/>
    <w:rsid w:val="0097173F"/>
    <w:rsid w:val="009722C8"/>
    <w:rsid w:val="00974466"/>
    <w:rsid w:val="009768BB"/>
    <w:rsid w:val="00977129"/>
    <w:rsid w:val="009773CB"/>
    <w:rsid w:val="00977FC6"/>
    <w:rsid w:val="009805E1"/>
    <w:rsid w:val="00981C7C"/>
    <w:rsid w:val="009821C1"/>
    <w:rsid w:val="009835F5"/>
    <w:rsid w:val="0098608C"/>
    <w:rsid w:val="0098648F"/>
    <w:rsid w:val="009944BE"/>
    <w:rsid w:val="009946B1"/>
    <w:rsid w:val="00994FFA"/>
    <w:rsid w:val="0099569A"/>
    <w:rsid w:val="00995829"/>
    <w:rsid w:val="00996CD1"/>
    <w:rsid w:val="009976E9"/>
    <w:rsid w:val="009A02A8"/>
    <w:rsid w:val="009A1FBA"/>
    <w:rsid w:val="009A2913"/>
    <w:rsid w:val="009A38D8"/>
    <w:rsid w:val="009A518C"/>
    <w:rsid w:val="009A68DE"/>
    <w:rsid w:val="009A6FF5"/>
    <w:rsid w:val="009A7ADC"/>
    <w:rsid w:val="009A7BBD"/>
    <w:rsid w:val="009B0DB0"/>
    <w:rsid w:val="009B1CB9"/>
    <w:rsid w:val="009B5E22"/>
    <w:rsid w:val="009C0C4B"/>
    <w:rsid w:val="009C19B7"/>
    <w:rsid w:val="009C2830"/>
    <w:rsid w:val="009C2EF5"/>
    <w:rsid w:val="009C3A26"/>
    <w:rsid w:val="009C3CAB"/>
    <w:rsid w:val="009C401F"/>
    <w:rsid w:val="009C4742"/>
    <w:rsid w:val="009D0BA7"/>
    <w:rsid w:val="009D13BF"/>
    <w:rsid w:val="009D16D1"/>
    <w:rsid w:val="009D451E"/>
    <w:rsid w:val="009D7C51"/>
    <w:rsid w:val="009E16DB"/>
    <w:rsid w:val="009E1D94"/>
    <w:rsid w:val="009E360E"/>
    <w:rsid w:val="009E6055"/>
    <w:rsid w:val="009F0EE0"/>
    <w:rsid w:val="009F2A57"/>
    <w:rsid w:val="009F3626"/>
    <w:rsid w:val="009F36BF"/>
    <w:rsid w:val="009F5442"/>
    <w:rsid w:val="009F61F8"/>
    <w:rsid w:val="009F6706"/>
    <w:rsid w:val="009F6DC1"/>
    <w:rsid w:val="009F7830"/>
    <w:rsid w:val="00A027A9"/>
    <w:rsid w:val="00A031DC"/>
    <w:rsid w:val="00A03F42"/>
    <w:rsid w:val="00A046D6"/>
    <w:rsid w:val="00A05354"/>
    <w:rsid w:val="00A05A3B"/>
    <w:rsid w:val="00A06CD1"/>
    <w:rsid w:val="00A07FD7"/>
    <w:rsid w:val="00A101BF"/>
    <w:rsid w:val="00A1063A"/>
    <w:rsid w:val="00A10CFD"/>
    <w:rsid w:val="00A111B6"/>
    <w:rsid w:val="00A14415"/>
    <w:rsid w:val="00A169C0"/>
    <w:rsid w:val="00A1705A"/>
    <w:rsid w:val="00A21826"/>
    <w:rsid w:val="00A22065"/>
    <w:rsid w:val="00A247D0"/>
    <w:rsid w:val="00A27583"/>
    <w:rsid w:val="00A27F1C"/>
    <w:rsid w:val="00A30AF1"/>
    <w:rsid w:val="00A30B81"/>
    <w:rsid w:val="00A32E04"/>
    <w:rsid w:val="00A37CBE"/>
    <w:rsid w:val="00A37DC9"/>
    <w:rsid w:val="00A40317"/>
    <w:rsid w:val="00A41698"/>
    <w:rsid w:val="00A41DD6"/>
    <w:rsid w:val="00A42A99"/>
    <w:rsid w:val="00A432CA"/>
    <w:rsid w:val="00A450F2"/>
    <w:rsid w:val="00A453C9"/>
    <w:rsid w:val="00A470CA"/>
    <w:rsid w:val="00A47530"/>
    <w:rsid w:val="00A5151A"/>
    <w:rsid w:val="00A5204E"/>
    <w:rsid w:val="00A54D94"/>
    <w:rsid w:val="00A56035"/>
    <w:rsid w:val="00A6198C"/>
    <w:rsid w:val="00A626FA"/>
    <w:rsid w:val="00A631FE"/>
    <w:rsid w:val="00A679D2"/>
    <w:rsid w:val="00A716D6"/>
    <w:rsid w:val="00A7271E"/>
    <w:rsid w:val="00A72D4F"/>
    <w:rsid w:val="00A7346B"/>
    <w:rsid w:val="00A73D67"/>
    <w:rsid w:val="00A770A9"/>
    <w:rsid w:val="00A80C56"/>
    <w:rsid w:val="00A80DF0"/>
    <w:rsid w:val="00A81FB0"/>
    <w:rsid w:val="00A823F6"/>
    <w:rsid w:val="00A83931"/>
    <w:rsid w:val="00A84841"/>
    <w:rsid w:val="00A852F9"/>
    <w:rsid w:val="00A85C0C"/>
    <w:rsid w:val="00A874A6"/>
    <w:rsid w:val="00A87542"/>
    <w:rsid w:val="00A90D28"/>
    <w:rsid w:val="00A91446"/>
    <w:rsid w:val="00A91D5A"/>
    <w:rsid w:val="00A924D8"/>
    <w:rsid w:val="00A92663"/>
    <w:rsid w:val="00A92A33"/>
    <w:rsid w:val="00A93FFB"/>
    <w:rsid w:val="00A9496F"/>
    <w:rsid w:val="00A95CC0"/>
    <w:rsid w:val="00AA0A89"/>
    <w:rsid w:val="00AA1D78"/>
    <w:rsid w:val="00AA2AFD"/>
    <w:rsid w:val="00AA4C4E"/>
    <w:rsid w:val="00AA51EE"/>
    <w:rsid w:val="00AA5CD0"/>
    <w:rsid w:val="00AB0667"/>
    <w:rsid w:val="00AB3AE8"/>
    <w:rsid w:val="00AB4645"/>
    <w:rsid w:val="00AB5333"/>
    <w:rsid w:val="00AB6B71"/>
    <w:rsid w:val="00AB7364"/>
    <w:rsid w:val="00AB7F16"/>
    <w:rsid w:val="00AC01AA"/>
    <w:rsid w:val="00AC030D"/>
    <w:rsid w:val="00AC3935"/>
    <w:rsid w:val="00AC3A99"/>
    <w:rsid w:val="00AC4F72"/>
    <w:rsid w:val="00AC4FDB"/>
    <w:rsid w:val="00AC63AC"/>
    <w:rsid w:val="00AD0462"/>
    <w:rsid w:val="00AD1750"/>
    <w:rsid w:val="00AD175E"/>
    <w:rsid w:val="00AD20F3"/>
    <w:rsid w:val="00AD4288"/>
    <w:rsid w:val="00AD50AA"/>
    <w:rsid w:val="00AD5111"/>
    <w:rsid w:val="00AD545C"/>
    <w:rsid w:val="00AD5EA6"/>
    <w:rsid w:val="00AD6B34"/>
    <w:rsid w:val="00AD7782"/>
    <w:rsid w:val="00AE04BA"/>
    <w:rsid w:val="00AE0EA0"/>
    <w:rsid w:val="00AE10C8"/>
    <w:rsid w:val="00AE11CA"/>
    <w:rsid w:val="00AE3153"/>
    <w:rsid w:val="00AE3928"/>
    <w:rsid w:val="00AE4BBA"/>
    <w:rsid w:val="00AE7910"/>
    <w:rsid w:val="00AF373D"/>
    <w:rsid w:val="00AF6CB2"/>
    <w:rsid w:val="00AF741A"/>
    <w:rsid w:val="00AF76A3"/>
    <w:rsid w:val="00B001EF"/>
    <w:rsid w:val="00B01377"/>
    <w:rsid w:val="00B01E35"/>
    <w:rsid w:val="00B03A1E"/>
    <w:rsid w:val="00B03AF3"/>
    <w:rsid w:val="00B04161"/>
    <w:rsid w:val="00B056F9"/>
    <w:rsid w:val="00B05F5D"/>
    <w:rsid w:val="00B10BA2"/>
    <w:rsid w:val="00B116DE"/>
    <w:rsid w:val="00B11A1F"/>
    <w:rsid w:val="00B11E3D"/>
    <w:rsid w:val="00B12407"/>
    <w:rsid w:val="00B12B14"/>
    <w:rsid w:val="00B12DD3"/>
    <w:rsid w:val="00B13355"/>
    <w:rsid w:val="00B14C88"/>
    <w:rsid w:val="00B16BC6"/>
    <w:rsid w:val="00B1788E"/>
    <w:rsid w:val="00B17E82"/>
    <w:rsid w:val="00B20B0D"/>
    <w:rsid w:val="00B20F73"/>
    <w:rsid w:val="00B22D21"/>
    <w:rsid w:val="00B231F0"/>
    <w:rsid w:val="00B26A0D"/>
    <w:rsid w:val="00B308B0"/>
    <w:rsid w:val="00B31697"/>
    <w:rsid w:val="00B31B83"/>
    <w:rsid w:val="00B35AA0"/>
    <w:rsid w:val="00B37D04"/>
    <w:rsid w:val="00B402BA"/>
    <w:rsid w:val="00B40B39"/>
    <w:rsid w:val="00B40F74"/>
    <w:rsid w:val="00B425F9"/>
    <w:rsid w:val="00B43FCA"/>
    <w:rsid w:val="00B44E11"/>
    <w:rsid w:val="00B50DBB"/>
    <w:rsid w:val="00B52DFA"/>
    <w:rsid w:val="00B532DB"/>
    <w:rsid w:val="00B53678"/>
    <w:rsid w:val="00B53D40"/>
    <w:rsid w:val="00B55263"/>
    <w:rsid w:val="00B55642"/>
    <w:rsid w:val="00B567F4"/>
    <w:rsid w:val="00B575BA"/>
    <w:rsid w:val="00B57D30"/>
    <w:rsid w:val="00B57E3A"/>
    <w:rsid w:val="00B57FF5"/>
    <w:rsid w:val="00B6124E"/>
    <w:rsid w:val="00B6143C"/>
    <w:rsid w:val="00B62907"/>
    <w:rsid w:val="00B63FF6"/>
    <w:rsid w:val="00B64B8B"/>
    <w:rsid w:val="00B659B0"/>
    <w:rsid w:val="00B6614F"/>
    <w:rsid w:val="00B6676B"/>
    <w:rsid w:val="00B67354"/>
    <w:rsid w:val="00B67711"/>
    <w:rsid w:val="00B67B71"/>
    <w:rsid w:val="00B67F64"/>
    <w:rsid w:val="00B70BDB"/>
    <w:rsid w:val="00B71106"/>
    <w:rsid w:val="00B7245C"/>
    <w:rsid w:val="00B734EE"/>
    <w:rsid w:val="00B745C5"/>
    <w:rsid w:val="00B74A24"/>
    <w:rsid w:val="00B74C79"/>
    <w:rsid w:val="00B759FB"/>
    <w:rsid w:val="00B76429"/>
    <w:rsid w:val="00B82079"/>
    <w:rsid w:val="00B84958"/>
    <w:rsid w:val="00B84BF7"/>
    <w:rsid w:val="00B84E8E"/>
    <w:rsid w:val="00B86702"/>
    <w:rsid w:val="00B8738E"/>
    <w:rsid w:val="00B87E0C"/>
    <w:rsid w:val="00B87FD8"/>
    <w:rsid w:val="00B910C1"/>
    <w:rsid w:val="00B934F2"/>
    <w:rsid w:val="00B956D4"/>
    <w:rsid w:val="00B96493"/>
    <w:rsid w:val="00BA03C5"/>
    <w:rsid w:val="00BA0D38"/>
    <w:rsid w:val="00BA5A7C"/>
    <w:rsid w:val="00BA7432"/>
    <w:rsid w:val="00BA7BEF"/>
    <w:rsid w:val="00BB05A4"/>
    <w:rsid w:val="00BB16D6"/>
    <w:rsid w:val="00BB264B"/>
    <w:rsid w:val="00BB5238"/>
    <w:rsid w:val="00BC0B31"/>
    <w:rsid w:val="00BC1AA0"/>
    <w:rsid w:val="00BC372E"/>
    <w:rsid w:val="00BC49CD"/>
    <w:rsid w:val="00BC7EB9"/>
    <w:rsid w:val="00BD1649"/>
    <w:rsid w:val="00BD2643"/>
    <w:rsid w:val="00BD42C2"/>
    <w:rsid w:val="00BD4580"/>
    <w:rsid w:val="00BD47CA"/>
    <w:rsid w:val="00BD4F1F"/>
    <w:rsid w:val="00BD6558"/>
    <w:rsid w:val="00BE06DE"/>
    <w:rsid w:val="00BE075B"/>
    <w:rsid w:val="00BE08BF"/>
    <w:rsid w:val="00BE161E"/>
    <w:rsid w:val="00BE2096"/>
    <w:rsid w:val="00BE2938"/>
    <w:rsid w:val="00BE2B37"/>
    <w:rsid w:val="00BE2BA6"/>
    <w:rsid w:val="00BE3173"/>
    <w:rsid w:val="00BF06FF"/>
    <w:rsid w:val="00BF1512"/>
    <w:rsid w:val="00BF3214"/>
    <w:rsid w:val="00BF6738"/>
    <w:rsid w:val="00C01204"/>
    <w:rsid w:val="00C0131A"/>
    <w:rsid w:val="00C01BFE"/>
    <w:rsid w:val="00C01C80"/>
    <w:rsid w:val="00C02060"/>
    <w:rsid w:val="00C05CDB"/>
    <w:rsid w:val="00C07B3E"/>
    <w:rsid w:val="00C128C2"/>
    <w:rsid w:val="00C1436A"/>
    <w:rsid w:val="00C15867"/>
    <w:rsid w:val="00C15DE7"/>
    <w:rsid w:val="00C17E66"/>
    <w:rsid w:val="00C22321"/>
    <w:rsid w:val="00C2296D"/>
    <w:rsid w:val="00C22C5C"/>
    <w:rsid w:val="00C23155"/>
    <w:rsid w:val="00C23B25"/>
    <w:rsid w:val="00C26532"/>
    <w:rsid w:val="00C276E2"/>
    <w:rsid w:val="00C30163"/>
    <w:rsid w:val="00C34BDA"/>
    <w:rsid w:val="00C34F10"/>
    <w:rsid w:val="00C3640D"/>
    <w:rsid w:val="00C36BFC"/>
    <w:rsid w:val="00C405D8"/>
    <w:rsid w:val="00C40867"/>
    <w:rsid w:val="00C40A87"/>
    <w:rsid w:val="00C40C41"/>
    <w:rsid w:val="00C416DA"/>
    <w:rsid w:val="00C419CD"/>
    <w:rsid w:val="00C41F14"/>
    <w:rsid w:val="00C42A8C"/>
    <w:rsid w:val="00C43175"/>
    <w:rsid w:val="00C45885"/>
    <w:rsid w:val="00C46516"/>
    <w:rsid w:val="00C46A0A"/>
    <w:rsid w:val="00C477BD"/>
    <w:rsid w:val="00C50813"/>
    <w:rsid w:val="00C508DD"/>
    <w:rsid w:val="00C50914"/>
    <w:rsid w:val="00C50F22"/>
    <w:rsid w:val="00C5298A"/>
    <w:rsid w:val="00C5360E"/>
    <w:rsid w:val="00C5458B"/>
    <w:rsid w:val="00C57971"/>
    <w:rsid w:val="00C61913"/>
    <w:rsid w:val="00C64271"/>
    <w:rsid w:val="00C64973"/>
    <w:rsid w:val="00C654A6"/>
    <w:rsid w:val="00C65D55"/>
    <w:rsid w:val="00C703CB"/>
    <w:rsid w:val="00C70D0B"/>
    <w:rsid w:val="00C719C9"/>
    <w:rsid w:val="00C729E6"/>
    <w:rsid w:val="00C72DC2"/>
    <w:rsid w:val="00C72DFD"/>
    <w:rsid w:val="00C76046"/>
    <w:rsid w:val="00C768E6"/>
    <w:rsid w:val="00C76BA4"/>
    <w:rsid w:val="00C80B50"/>
    <w:rsid w:val="00C80F93"/>
    <w:rsid w:val="00C811CF"/>
    <w:rsid w:val="00C826A3"/>
    <w:rsid w:val="00C83A48"/>
    <w:rsid w:val="00C840FC"/>
    <w:rsid w:val="00C8566F"/>
    <w:rsid w:val="00C85865"/>
    <w:rsid w:val="00C85E85"/>
    <w:rsid w:val="00C85F04"/>
    <w:rsid w:val="00C86AA1"/>
    <w:rsid w:val="00C878EC"/>
    <w:rsid w:val="00C90E83"/>
    <w:rsid w:val="00C947FC"/>
    <w:rsid w:val="00C954FD"/>
    <w:rsid w:val="00C97E2B"/>
    <w:rsid w:val="00CA2EAE"/>
    <w:rsid w:val="00CA2F04"/>
    <w:rsid w:val="00CA4AC1"/>
    <w:rsid w:val="00CA5752"/>
    <w:rsid w:val="00CA6E55"/>
    <w:rsid w:val="00CB0316"/>
    <w:rsid w:val="00CB0B11"/>
    <w:rsid w:val="00CB0BBA"/>
    <w:rsid w:val="00CB0DF4"/>
    <w:rsid w:val="00CB2F6F"/>
    <w:rsid w:val="00CB30AF"/>
    <w:rsid w:val="00CB3371"/>
    <w:rsid w:val="00CB3462"/>
    <w:rsid w:val="00CB4B42"/>
    <w:rsid w:val="00CB5354"/>
    <w:rsid w:val="00CB6045"/>
    <w:rsid w:val="00CB660B"/>
    <w:rsid w:val="00CB68C8"/>
    <w:rsid w:val="00CC0EDF"/>
    <w:rsid w:val="00CC1F54"/>
    <w:rsid w:val="00CC354C"/>
    <w:rsid w:val="00CC39A5"/>
    <w:rsid w:val="00CC3E36"/>
    <w:rsid w:val="00CC68A5"/>
    <w:rsid w:val="00CC6A14"/>
    <w:rsid w:val="00CC6E10"/>
    <w:rsid w:val="00CC70A3"/>
    <w:rsid w:val="00CC79BB"/>
    <w:rsid w:val="00CC7CDB"/>
    <w:rsid w:val="00CD059E"/>
    <w:rsid w:val="00CD4466"/>
    <w:rsid w:val="00CD44D2"/>
    <w:rsid w:val="00CD5132"/>
    <w:rsid w:val="00CD53C3"/>
    <w:rsid w:val="00CD574E"/>
    <w:rsid w:val="00CD593A"/>
    <w:rsid w:val="00CD6EC2"/>
    <w:rsid w:val="00CE294E"/>
    <w:rsid w:val="00CE4C22"/>
    <w:rsid w:val="00CE53D1"/>
    <w:rsid w:val="00CE5BA9"/>
    <w:rsid w:val="00CE757D"/>
    <w:rsid w:val="00CF066B"/>
    <w:rsid w:val="00CF155C"/>
    <w:rsid w:val="00CF19FA"/>
    <w:rsid w:val="00CF2982"/>
    <w:rsid w:val="00CF41EC"/>
    <w:rsid w:val="00CF56A9"/>
    <w:rsid w:val="00CF5D04"/>
    <w:rsid w:val="00CF640E"/>
    <w:rsid w:val="00CF6727"/>
    <w:rsid w:val="00D003EA"/>
    <w:rsid w:val="00D00991"/>
    <w:rsid w:val="00D00BAB"/>
    <w:rsid w:val="00D0275C"/>
    <w:rsid w:val="00D039B1"/>
    <w:rsid w:val="00D04DE4"/>
    <w:rsid w:val="00D05563"/>
    <w:rsid w:val="00D05583"/>
    <w:rsid w:val="00D063F1"/>
    <w:rsid w:val="00D06B0E"/>
    <w:rsid w:val="00D071DB"/>
    <w:rsid w:val="00D1076B"/>
    <w:rsid w:val="00D13114"/>
    <w:rsid w:val="00D132E4"/>
    <w:rsid w:val="00D14DA2"/>
    <w:rsid w:val="00D14F22"/>
    <w:rsid w:val="00D16533"/>
    <w:rsid w:val="00D17799"/>
    <w:rsid w:val="00D20674"/>
    <w:rsid w:val="00D22CFB"/>
    <w:rsid w:val="00D24172"/>
    <w:rsid w:val="00D24723"/>
    <w:rsid w:val="00D25960"/>
    <w:rsid w:val="00D2639A"/>
    <w:rsid w:val="00D30989"/>
    <w:rsid w:val="00D30A57"/>
    <w:rsid w:val="00D30DE5"/>
    <w:rsid w:val="00D315EB"/>
    <w:rsid w:val="00D3436D"/>
    <w:rsid w:val="00D36936"/>
    <w:rsid w:val="00D36CE2"/>
    <w:rsid w:val="00D40229"/>
    <w:rsid w:val="00D42237"/>
    <w:rsid w:val="00D4438F"/>
    <w:rsid w:val="00D45E61"/>
    <w:rsid w:val="00D46F27"/>
    <w:rsid w:val="00D4718A"/>
    <w:rsid w:val="00D50D20"/>
    <w:rsid w:val="00D50FAA"/>
    <w:rsid w:val="00D52849"/>
    <w:rsid w:val="00D52D98"/>
    <w:rsid w:val="00D54FA3"/>
    <w:rsid w:val="00D56FD6"/>
    <w:rsid w:val="00D57918"/>
    <w:rsid w:val="00D60954"/>
    <w:rsid w:val="00D60D7D"/>
    <w:rsid w:val="00D620FF"/>
    <w:rsid w:val="00D634D7"/>
    <w:rsid w:val="00D63E81"/>
    <w:rsid w:val="00D666B3"/>
    <w:rsid w:val="00D7059A"/>
    <w:rsid w:val="00D71DDE"/>
    <w:rsid w:val="00D731B5"/>
    <w:rsid w:val="00D73DC6"/>
    <w:rsid w:val="00D74319"/>
    <w:rsid w:val="00D74C1A"/>
    <w:rsid w:val="00D75205"/>
    <w:rsid w:val="00D753BC"/>
    <w:rsid w:val="00D754C1"/>
    <w:rsid w:val="00D7578C"/>
    <w:rsid w:val="00D76209"/>
    <w:rsid w:val="00D77A35"/>
    <w:rsid w:val="00D77D1F"/>
    <w:rsid w:val="00D77D62"/>
    <w:rsid w:val="00D8010E"/>
    <w:rsid w:val="00D80AAB"/>
    <w:rsid w:val="00D8198B"/>
    <w:rsid w:val="00D81B3E"/>
    <w:rsid w:val="00D8423F"/>
    <w:rsid w:val="00D850D3"/>
    <w:rsid w:val="00D856C9"/>
    <w:rsid w:val="00D90C70"/>
    <w:rsid w:val="00D90E49"/>
    <w:rsid w:val="00D93A32"/>
    <w:rsid w:val="00D94171"/>
    <w:rsid w:val="00D94DAA"/>
    <w:rsid w:val="00D95EC7"/>
    <w:rsid w:val="00D96401"/>
    <w:rsid w:val="00D96FA0"/>
    <w:rsid w:val="00D9718C"/>
    <w:rsid w:val="00D974AC"/>
    <w:rsid w:val="00D97B86"/>
    <w:rsid w:val="00DA05C0"/>
    <w:rsid w:val="00DA13A6"/>
    <w:rsid w:val="00DA166F"/>
    <w:rsid w:val="00DA174C"/>
    <w:rsid w:val="00DA6C47"/>
    <w:rsid w:val="00DA73A1"/>
    <w:rsid w:val="00DA7749"/>
    <w:rsid w:val="00DB13AF"/>
    <w:rsid w:val="00DB585F"/>
    <w:rsid w:val="00DB615F"/>
    <w:rsid w:val="00DC2C8B"/>
    <w:rsid w:val="00DC4AFC"/>
    <w:rsid w:val="00DC6A10"/>
    <w:rsid w:val="00DC6AC3"/>
    <w:rsid w:val="00DD0834"/>
    <w:rsid w:val="00DD3500"/>
    <w:rsid w:val="00DD3BD8"/>
    <w:rsid w:val="00DD4364"/>
    <w:rsid w:val="00DD687F"/>
    <w:rsid w:val="00DD6F94"/>
    <w:rsid w:val="00DE0C91"/>
    <w:rsid w:val="00DE13F5"/>
    <w:rsid w:val="00DE1D5E"/>
    <w:rsid w:val="00DE32E2"/>
    <w:rsid w:val="00DE3397"/>
    <w:rsid w:val="00DE3F39"/>
    <w:rsid w:val="00DE4704"/>
    <w:rsid w:val="00DE6479"/>
    <w:rsid w:val="00DE657E"/>
    <w:rsid w:val="00DE6F87"/>
    <w:rsid w:val="00DF1D9F"/>
    <w:rsid w:val="00DF4704"/>
    <w:rsid w:val="00DF471B"/>
    <w:rsid w:val="00DF4D84"/>
    <w:rsid w:val="00DF540D"/>
    <w:rsid w:val="00DF601C"/>
    <w:rsid w:val="00DF6E63"/>
    <w:rsid w:val="00E024AA"/>
    <w:rsid w:val="00E03904"/>
    <w:rsid w:val="00E05067"/>
    <w:rsid w:val="00E059D1"/>
    <w:rsid w:val="00E06673"/>
    <w:rsid w:val="00E104AD"/>
    <w:rsid w:val="00E11CF2"/>
    <w:rsid w:val="00E125FB"/>
    <w:rsid w:val="00E13599"/>
    <w:rsid w:val="00E1457F"/>
    <w:rsid w:val="00E14C8F"/>
    <w:rsid w:val="00E1638E"/>
    <w:rsid w:val="00E1693E"/>
    <w:rsid w:val="00E16D12"/>
    <w:rsid w:val="00E250F1"/>
    <w:rsid w:val="00E25B5A"/>
    <w:rsid w:val="00E273F2"/>
    <w:rsid w:val="00E3112B"/>
    <w:rsid w:val="00E31CC8"/>
    <w:rsid w:val="00E339C1"/>
    <w:rsid w:val="00E34D6F"/>
    <w:rsid w:val="00E3550D"/>
    <w:rsid w:val="00E3558C"/>
    <w:rsid w:val="00E3715D"/>
    <w:rsid w:val="00E41A2D"/>
    <w:rsid w:val="00E42729"/>
    <w:rsid w:val="00E42EE8"/>
    <w:rsid w:val="00E4458E"/>
    <w:rsid w:val="00E456D6"/>
    <w:rsid w:val="00E45958"/>
    <w:rsid w:val="00E45B79"/>
    <w:rsid w:val="00E50035"/>
    <w:rsid w:val="00E51DA4"/>
    <w:rsid w:val="00E53ADE"/>
    <w:rsid w:val="00E54E96"/>
    <w:rsid w:val="00E55646"/>
    <w:rsid w:val="00E56729"/>
    <w:rsid w:val="00E60F21"/>
    <w:rsid w:val="00E614E0"/>
    <w:rsid w:val="00E62461"/>
    <w:rsid w:val="00E63219"/>
    <w:rsid w:val="00E634F1"/>
    <w:rsid w:val="00E65D4D"/>
    <w:rsid w:val="00E70956"/>
    <w:rsid w:val="00E7150B"/>
    <w:rsid w:val="00E72900"/>
    <w:rsid w:val="00E72A45"/>
    <w:rsid w:val="00E73F7F"/>
    <w:rsid w:val="00E74E7A"/>
    <w:rsid w:val="00E76170"/>
    <w:rsid w:val="00E76F70"/>
    <w:rsid w:val="00E77360"/>
    <w:rsid w:val="00E77EE5"/>
    <w:rsid w:val="00E816F7"/>
    <w:rsid w:val="00E81AB1"/>
    <w:rsid w:val="00E829AC"/>
    <w:rsid w:val="00E82A85"/>
    <w:rsid w:val="00E83704"/>
    <w:rsid w:val="00E84D6D"/>
    <w:rsid w:val="00E85E6B"/>
    <w:rsid w:val="00E8654A"/>
    <w:rsid w:val="00E86936"/>
    <w:rsid w:val="00E902E3"/>
    <w:rsid w:val="00E91D2C"/>
    <w:rsid w:val="00E93D3B"/>
    <w:rsid w:val="00E950EE"/>
    <w:rsid w:val="00E96BFA"/>
    <w:rsid w:val="00E975E5"/>
    <w:rsid w:val="00E97C59"/>
    <w:rsid w:val="00EA0621"/>
    <w:rsid w:val="00EA2544"/>
    <w:rsid w:val="00EA2887"/>
    <w:rsid w:val="00EA429F"/>
    <w:rsid w:val="00EA4F9E"/>
    <w:rsid w:val="00EA6938"/>
    <w:rsid w:val="00EA6D3B"/>
    <w:rsid w:val="00EA7714"/>
    <w:rsid w:val="00EB00AD"/>
    <w:rsid w:val="00EB03E7"/>
    <w:rsid w:val="00EB136C"/>
    <w:rsid w:val="00EB3FB1"/>
    <w:rsid w:val="00EB480E"/>
    <w:rsid w:val="00EB532B"/>
    <w:rsid w:val="00EB5EC6"/>
    <w:rsid w:val="00EB6CC7"/>
    <w:rsid w:val="00EB6E5D"/>
    <w:rsid w:val="00EB7F75"/>
    <w:rsid w:val="00EB7FC9"/>
    <w:rsid w:val="00EB7FD0"/>
    <w:rsid w:val="00EC3333"/>
    <w:rsid w:val="00EC4AB6"/>
    <w:rsid w:val="00ED291E"/>
    <w:rsid w:val="00ED3DDF"/>
    <w:rsid w:val="00ED4416"/>
    <w:rsid w:val="00ED48CC"/>
    <w:rsid w:val="00ED6415"/>
    <w:rsid w:val="00ED7137"/>
    <w:rsid w:val="00EE0320"/>
    <w:rsid w:val="00EE1543"/>
    <w:rsid w:val="00EE235F"/>
    <w:rsid w:val="00EE37C8"/>
    <w:rsid w:val="00EE5471"/>
    <w:rsid w:val="00EE6D1B"/>
    <w:rsid w:val="00EE702D"/>
    <w:rsid w:val="00EF3647"/>
    <w:rsid w:val="00EF43E9"/>
    <w:rsid w:val="00EF4A1D"/>
    <w:rsid w:val="00EF65CE"/>
    <w:rsid w:val="00EF68DB"/>
    <w:rsid w:val="00EF7091"/>
    <w:rsid w:val="00F036EB"/>
    <w:rsid w:val="00F04EEC"/>
    <w:rsid w:val="00F05BC1"/>
    <w:rsid w:val="00F06694"/>
    <w:rsid w:val="00F0708A"/>
    <w:rsid w:val="00F1179D"/>
    <w:rsid w:val="00F1248E"/>
    <w:rsid w:val="00F15039"/>
    <w:rsid w:val="00F17915"/>
    <w:rsid w:val="00F17C00"/>
    <w:rsid w:val="00F20735"/>
    <w:rsid w:val="00F20961"/>
    <w:rsid w:val="00F21088"/>
    <w:rsid w:val="00F2224F"/>
    <w:rsid w:val="00F228CE"/>
    <w:rsid w:val="00F2351E"/>
    <w:rsid w:val="00F23D41"/>
    <w:rsid w:val="00F249AE"/>
    <w:rsid w:val="00F2575E"/>
    <w:rsid w:val="00F2737D"/>
    <w:rsid w:val="00F2790B"/>
    <w:rsid w:val="00F30D8B"/>
    <w:rsid w:val="00F311B1"/>
    <w:rsid w:val="00F327E7"/>
    <w:rsid w:val="00F32A5F"/>
    <w:rsid w:val="00F33C60"/>
    <w:rsid w:val="00F3524A"/>
    <w:rsid w:val="00F35746"/>
    <w:rsid w:val="00F36371"/>
    <w:rsid w:val="00F37047"/>
    <w:rsid w:val="00F37316"/>
    <w:rsid w:val="00F410C4"/>
    <w:rsid w:val="00F4294A"/>
    <w:rsid w:val="00F42ADB"/>
    <w:rsid w:val="00F42FC9"/>
    <w:rsid w:val="00F447C7"/>
    <w:rsid w:val="00F44DDD"/>
    <w:rsid w:val="00F4601F"/>
    <w:rsid w:val="00F47DF9"/>
    <w:rsid w:val="00F506D6"/>
    <w:rsid w:val="00F518F7"/>
    <w:rsid w:val="00F520CD"/>
    <w:rsid w:val="00F52275"/>
    <w:rsid w:val="00F52618"/>
    <w:rsid w:val="00F53011"/>
    <w:rsid w:val="00F536AD"/>
    <w:rsid w:val="00F55153"/>
    <w:rsid w:val="00F554A9"/>
    <w:rsid w:val="00F55B62"/>
    <w:rsid w:val="00F5677E"/>
    <w:rsid w:val="00F575AA"/>
    <w:rsid w:val="00F6374C"/>
    <w:rsid w:val="00F65394"/>
    <w:rsid w:val="00F66122"/>
    <w:rsid w:val="00F66CBF"/>
    <w:rsid w:val="00F70150"/>
    <w:rsid w:val="00F716FD"/>
    <w:rsid w:val="00F7170B"/>
    <w:rsid w:val="00F721B6"/>
    <w:rsid w:val="00F72297"/>
    <w:rsid w:val="00F73ACF"/>
    <w:rsid w:val="00F73E60"/>
    <w:rsid w:val="00F74C44"/>
    <w:rsid w:val="00F75492"/>
    <w:rsid w:val="00F80355"/>
    <w:rsid w:val="00F82951"/>
    <w:rsid w:val="00F84FA3"/>
    <w:rsid w:val="00F87086"/>
    <w:rsid w:val="00F91FBC"/>
    <w:rsid w:val="00F92FEF"/>
    <w:rsid w:val="00F930AA"/>
    <w:rsid w:val="00F9350D"/>
    <w:rsid w:val="00F93B60"/>
    <w:rsid w:val="00F94ABB"/>
    <w:rsid w:val="00F95655"/>
    <w:rsid w:val="00FA0983"/>
    <w:rsid w:val="00FA1E22"/>
    <w:rsid w:val="00FA31C1"/>
    <w:rsid w:val="00FA5B1C"/>
    <w:rsid w:val="00FA6450"/>
    <w:rsid w:val="00FA701F"/>
    <w:rsid w:val="00FA7C24"/>
    <w:rsid w:val="00FB0C81"/>
    <w:rsid w:val="00FB2C18"/>
    <w:rsid w:val="00FB39B4"/>
    <w:rsid w:val="00FB39BA"/>
    <w:rsid w:val="00FB4299"/>
    <w:rsid w:val="00FB765F"/>
    <w:rsid w:val="00FC0740"/>
    <w:rsid w:val="00FC2200"/>
    <w:rsid w:val="00FC2540"/>
    <w:rsid w:val="00FC3A41"/>
    <w:rsid w:val="00FC4F1F"/>
    <w:rsid w:val="00FD0934"/>
    <w:rsid w:val="00FD3814"/>
    <w:rsid w:val="00FD52EB"/>
    <w:rsid w:val="00FD56EC"/>
    <w:rsid w:val="00FE2506"/>
    <w:rsid w:val="00FE3324"/>
    <w:rsid w:val="00FE3364"/>
    <w:rsid w:val="00FE4373"/>
    <w:rsid w:val="00FE45B6"/>
    <w:rsid w:val="00FE46D8"/>
    <w:rsid w:val="00FE50E9"/>
    <w:rsid w:val="00FE5938"/>
    <w:rsid w:val="00FE5ECD"/>
    <w:rsid w:val="00FE7462"/>
    <w:rsid w:val="00FF01C1"/>
    <w:rsid w:val="00FF0204"/>
    <w:rsid w:val="00FF0B73"/>
    <w:rsid w:val="00FF1B8E"/>
    <w:rsid w:val="00FF1C90"/>
    <w:rsid w:val="00FF2245"/>
    <w:rsid w:val="00FF271F"/>
    <w:rsid w:val="00FF336E"/>
    <w:rsid w:val="00FF3AED"/>
    <w:rsid w:val="00FF47AE"/>
    <w:rsid w:val="00FF4EEE"/>
    <w:rsid w:val="00FF5DBD"/>
    <w:rsid w:val="00FF5E96"/>
    <w:rsid w:val="00FF5FC5"/>
    <w:rsid w:val="00FF603D"/>
    <w:rsid w:val="00FF694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6FE92"/>
  <w15:docId w15:val="{781730EB-F36B-4EE9-8F8A-8880CE2AD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tabs>
        <w:tab w:val="clear" w:pos="-90"/>
        <w:tab w:val="num" w:pos="360"/>
      </w:tabs>
      <w:spacing w:before="240" w:after="60"/>
      <w:ind w:left="0" w:firstLine="0"/>
      <w:outlineLvl w:val="3"/>
    </w:pPr>
  </w:style>
  <w:style w:type="paragraph" w:styleId="Heading5">
    <w:name w:val="heading 5"/>
    <w:basedOn w:val="Normal"/>
    <w:next w:val="Normal"/>
    <w:qFormat/>
    <w:rsid w:val="00D003EA"/>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F6061"/>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qFormat/>
    <w:rsid w:val="006F6061"/>
    <w:rPr>
      <w:vertAlign w:val="superscript"/>
    </w:rPr>
  </w:style>
  <w:style w:type="paragraph" w:customStyle="1" w:styleId="Newheader4">
    <w:name w:val="New header 4"/>
    <w:basedOn w:val="Heading4"/>
    <w:next w:val="Normal"/>
    <w:qFormat/>
    <w:rsid w:val="00BE2B37"/>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73E60"/>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73E60"/>
    <w:rPr>
      <w:sz w:val="22"/>
      <w:szCs w:val="22"/>
      <w:lang w:val="es-ES"/>
    </w:rPr>
  </w:style>
  <w:style w:type="character" w:customStyle="1" w:styleId="fontstyle01">
    <w:name w:val="fontstyle01"/>
    <w:basedOn w:val="DefaultParagraphFont"/>
    <w:rsid w:val="00F73E60"/>
    <w:rPr>
      <w:rFonts w:ascii="Roboto-Bold" w:hAnsi="Roboto-Bold" w:hint="default"/>
      <w:b/>
      <w:bCs/>
      <w:i w:val="0"/>
      <w:iCs w:val="0"/>
      <w:color w:val="1E1E1E"/>
      <w:sz w:val="30"/>
      <w:szCs w:val="30"/>
    </w:rPr>
  </w:style>
  <w:style w:type="paragraph" w:styleId="Revision">
    <w:name w:val="Revision"/>
    <w:hidden/>
    <w:uiPriority w:val="99"/>
    <w:semiHidden/>
    <w:rsid w:val="00F73E60"/>
    <w:rPr>
      <w:sz w:val="22"/>
      <w:szCs w:val="22"/>
    </w:rPr>
  </w:style>
  <w:style w:type="paragraph" w:styleId="ListParagraph">
    <w:name w:val="List Paragraph"/>
    <w:aliases w:val="Paragraph,Bullets,List Paragraph1,Unordered List,List Paragraph 2,ADB paragraph numbering,List Paragraph nowy,List Paragraph (numbered (a)),Numbered List Paragraph,Dot pt,Bullet Points,No Spacing1,List Paragraph Char Char Char,Bullet 1"/>
    <w:basedOn w:val="Normal"/>
    <w:link w:val="ListParagraphChar"/>
    <w:uiPriority w:val="34"/>
    <w:qFormat/>
    <w:rsid w:val="00F73E60"/>
    <w:pPr>
      <w:ind w:left="720"/>
      <w:contextualSpacing/>
    </w:pPr>
  </w:style>
  <w:style w:type="character" w:customStyle="1" w:styleId="ui-provider">
    <w:name w:val="ui-provider"/>
    <w:basedOn w:val="DefaultParagraphFont"/>
    <w:rsid w:val="00F73E60"/>
  </w:style>
  <w:style w:type="character" w:styleId="Hyperlink">
    <w:name w:val="Hyperlink"/>
    <w:basedOn w:val="DefaultParagraphFont"/>
    <w:uiPriority w:val="99"/>
    <w:unhideWhenUsed/>
    <w:rsid w:val="00F73E60"/>
    <w:rPr>
      <w:color w:val="0000FF" w:themeColor="hyperlink"/>
      <w:u w:val="single"/>
    </w:rPr>
  </w:style>
  <w:style w:type="character" w:styleId="UnresolvedMention">
    <w:name w:val="Unresolved Mention"/>
    <w:basedOn w:val="DefaultParagraphFont"/>
    <w:uiPriority w:val="99"/>
    <w:semiHidden/>
    <w:unhideWhenUsed/>
    <w:rsid w:val="00F73E60"/>
    <w:rPr>
      <w:color w:val="605E5C"/>
      <w:shd w:val="clear" w:color="auto" w:fill="E1DFDD"/>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Dot pt Char"/>
    <w:basedOn w:val="DefaultParagraphFont"/>
    <w:link w:val="ListParagraph"/>
    <w:uiPriority w:val="34"/>
    <w:qFormat/>
    <w:locked/>
    <w:rsid w:val="00F73E60"/>
    <w:rPr>
      <w:sz w:val="22"/>
      <w:szCs w:val="22"/>
      <w:lang w:val="es-ES"/>
    </w:rPr>
  </w:style>
  <w:style w:type="paragraph" w:styleId="NormalWeb">
    <w:name w:val="Normal (Web)"/>
    <w:basedOn w:val="Normal"/>
    <w:uiPriority w:val="99"/>
    <w:unhideWhenUsed/>
    <w:rsid w:val="00F73E60"/>
    <w:pPr>
      <w:spacing w:before="100" w:beforeAutospacing="1" w:after="100" w:afterAutospacing="1"/>
      <w:jc w:val="left"/>
    </w:pPr>
    <w:rPr>
      <w:sz w:val="24"/>
      <w:szCs w:val="24"/>
      <w:lang w:eastAsia="zh-CN"/>
    </w:rPr>
  </w:style>
  <w:style w:type="paragraph" w:customStyle="1" w:styleId="Default">
    <w:name w:val="Default"/>
    <w:rsid w:val="00F73E60"/>
    <w:pPr>
      <w:autoSpaceDE w:val="0"/>
      <w:autoSpaceDN w:val="0"/>
      <w:adjustRightInd w:val="0"/>
    </w:pPr>
    <w:rPr>
      <w:color w:val="000000"/>
      <w:sz w:val="24"/>
      <w:szCs w:val="24"/>
    </w:rPr>
  </w:style>
  <w:style w:type="paragraph" w:styleId="IntenseQuote">
    <w:name w:val="Intense Quote"/>
    <w:basedOn w:val="Normal"/>
    <w:next w:val="Normal"/>
    <w:link w:val="IntenseQuoteChar"/>
    <w:uiPriority w:val="30"/>
    <w:qFormat/>
    <w:rsid w:val="00F73E60"/>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rPr>
  </w:style>
  <w:style w:type="character" w:customStyle="1" w:styleId="IntenseQuoteChar">
    <w:name w:val="Intense Quote Char"/>
    <w:basedOn w:val="DefaultParagraphFont"/>
    <w:link w:val="IntenseQuote"/>
    <w:uiPriority w:val="30"/>
    <w:rsid w:val="00F73E60"/>
    <w:rPr>
      <w:rFonts w:eastAsiaTheme="minorHAnsi"/>
      <w:i/>
      <w:iCs/>
      <w:color w:val="365F91" w:themeColor="accent1" w:themeShade="BF"/>
      <w:sz w:val="22"/>
      <w:szCs w:val="22"/>
      <w:lang w:val="es-ES"/>
    </w:rPr>
  </w:style>
  <w:style w:type="character" w:customStyle="1" w:styleId="fontstyle21">
    <w:name w:val="fontstyle21"/>
    <w:basedOn w:val="DefaultParagraphFont"/>
    <w:rsid w:val="00E91D2C"/>
    <w:rPr>
      <w:rFonts w:ascii="TimesNewRomanPSMT" w:hAnsi="TimesNewRomanPSMT" w:hint="default"/>
      <w:b w:val="0"/>
      <w:bCs w:val="0"/>
      <w:i w:val="0"/>
      <w:iCs w:val="0"/>
      <w:color w:val="000000"/>
      <w:sz w:val="18"/>
      <w:szCs w:val="18"/>
    </w:rPr>
  </w:style>
  <w:style w:type="paragraph" w:customStyle="1" w:styleId="TableParagraph">
    <w:name w:val="Table Paragraph"/>
    <w:basedOn w:val="Normal"/>
    <w:uiPriority w:val="1"/>
    <w:qFormat/>
    <w:rsid w:val="00122B8D"/>
    <w:pPr>
      <w:widowControl w:val="0"/>
      <w:autoSpaceDE w:val="0"/>
      <w:autoSpaceDN w:val="0"/>
      <w:jc w:val="left"/>
    </w:pPr>
  </w:style>
  <w:style w:type="character" w:styleId="Strong">
    <w:name w:val="Strong"/>
    <w:basedOn w:val="DefaultParagraphFont"/>
    <w:uiPriority w:val="22"/>
    <w:qFormat/>
    <w:rsid w:val="000C31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multilateralfund.org/resources/decisions/decision-5026." TargetMode="External"/><Relationship Id="rId1" Type="http://schemas.openxmlformats.org/officeDocument/2006/relationships/hyperlink" Target="https://multilateralfund.org/resources/decisions/decision-47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7th\Templates\Eec97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559E1-41A3-4F6C-90A6-E0CC27DE8227}">
  <ds:schemaRefs>
    <ds:schemaRef ds:uri="b93c647f-d63b-431a-95c8-8e00048cff23"/>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purl.org/dc/elements/1.1/"/>
    <ds:schemaRef ds:uri="http://purl.org/dc/terms/"/>
    <ds:schemaRef ds:uri="http://schemas.microsoft.com/office/infopath/2007/PartnerControls"/>
    <ds:schemaRef ds:uri="eb6c2e4c-3f1c-4103-a37b-37c984dbe58f"/>
    <ds:schemaRef ds:uri="http://www.w3.org/XML/1998/namespace"/>
  </ds:schemaRefs>
</ds:datastoreItem>
</file>

<file path=customXml/itemProps2.xml><?xml version="1.0" encoding="utf-8"?>
<ds:datastoreItem xmlns:ds="http://schemas.openxmlformats.org/officeDocument/2006/customXml" ds:itemID="{B83BDCDC-3DC2-4D7D-983E-0F2A1FD3BC77}">
  <ds:schemaRefs>
    <ds:schemaRef ds:uri="http://schemas.microsoft.com/sharepoint/v3/contenttype/forms"/>
  </ds:schemaRefs>
</ds:datastoreItem>
</file>

<file path=customXml/itemProps3.xml><?xml version="1.0" encoding="utf-8"?>
<ds:datastoreItem xmlns:ds="http://schemas.openxmlformats.org/officeDocument/2006/customXml" ds:itemID="{DAECCF43-98B1-41FB-A09A-33F982A6E12C}"/>
</file>

<file path=customXml/itemProps4.xml><?xml version="1.0" encoding="utf-8"?>
<ds:datastoreItem xmlns:ds="http://schemas.openxmlformats.org/officeDocument/2006/customXml" ds:itemID="{E81F7EFF-60FE-47A0-B9C3-2F75D870BD18}">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Eec97L</Template>
  <TotalTime>3</TotalTime>
  <Pages>12</Pages>
  <Words>6450</Words>
  <Characters>36766</Characters>
  <Application>Microsoft Office Word</Application>
  <DocSecurity>0</DocSecurity>
  <Lines>306</Lines>
  <Paragraphs>86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Presupuesto del Programa de Asistencia al Cumplimiento del PNUMA para 2026</vt:lpstr>
      <vt:lpstr>UNEP’s compliance assistance programme budget for 2026</vt:lpstr>
    </vt:vector>
  </TitlesOfParts>
  <Company>UNMFS</Company>
  <LinksUpToDate>false</LinksUpToDate>
  <CharactersWithSpaces>43130</CharactersWithSpaces>
  <SharedDoc>false</SharedDoc>
  <HLinks>
    <vt:vector size="12" baseType="variant">
      <vt:variant>
        <vt:i4>3342380</vt:i4>
      </vt:variant>
      <vt:variant>
        <vt:i4>3</vt:i4>
      </vt:variant>
      <vt:variant>
        <vt:i4>0</vt:i4>
      </vt:variant>
      <vt:variant>
        <vt:i4>5</vt:i4>
      </vt:variant>
      <vt:variant>
        <vt:lpwstr>https://multilateralfund.org/resources/decisions/decision-5026</vt:lpwstr>
      </vt:variant>
      <vt:variant>
        <vt:lpwstr/>
      </vt:variant>
      <vt:variant>
        <vt:i4>3538989</vt:i4>
      </vt:variant>
      <vt:variant>
        <vt:i4>0</vt:i4>
      </vt:variant>
      <vt:variant>
        <vt:i4>0</vt:i4>
      </vt:variant>
      <vt:variant>
        <vt:i4>5</vt:i4>
      </vt:variant>
      <vt:variant>
        <vt:lpwstr>https://multilateralfund.org/resources/decisions/decision-4724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Presupuesto del Programa de Asistencia al Cumplimiento del PNUMA para 2026</dc:title>
  <dc:subject/>
  <dc:creator>RSR KM</dc:creator>
  <cp:keywords/>
  <dc:description>97th</dc:description>
  <cp:lastModifiedBy>Martine Chery</cp:lastModifiedBy>
  <cp:revision>2</cp:revision>
  <cp:lastPrinted>2001-05-26T16:40:00Z</cp:lastPrinted>
  <dcterms:created xsi:type="dcterms:W3CDTF">2025-11-03T19:42:00Z</dcterms:created>
  <dcterms:modified xsi:type="dcterms:W3CDTF">2025-11-03T19:42:00Z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UNEP/OzL.Pro/ExCom/97/83</vt:lpwstr>
  </property>
  <property fmtid="{D5CDD505-2E9C-101B-9397-08002B2CF9AE}" pid="3" name="Revision date">
    <vt:lpwstr>10/30/2025</vt:lpwstr>
  </property>
  <property fmtid="{D5CDD505-2E9C-101B-9397-08002B2CF9AE}" pid="4" name="ContentTypeId">
    <vt:lpwstr>0x010100C5F60F8E60516143877F7AC30EFBB2F3</vt:lpwstr>
  </property>
  <property fmtid="{D5CDD505-2E9C-101B-9397-08002B2CF9AE}" pid="5" name="Order">
    <vt:r8>4523600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2025-10-30T16:37:21Z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b424248d-0ee1-411f-974c-3d4e254162bd</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