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792" w:type="dxa"/>
        <w:tblInd w:w="-432" w:type="dxa"/>
        <w:tblLayout w:type="fixed"/>
        <w:tblLook w:val="0000" w:firstRow="0" w:lastRow="0" w:firstColumn="0" w:lastColumn="0" w:noHBand="0" w:noVBand="0"/>
      </w:tblPr>
      <w:tblGrid>
        <w:gridCol w:w="2052"/>
        <w:gridCol w:w="3870"/>
        <w:gridCol w:w="3870"/>
      </w:tblGrid>
      <w:tr w:rsidR="00103AB1" w14:paraId="6A86AD3B" w14:textId="77777777" w:rsidTr="00103AB1">
        <w:trPr>
          <w:trHeight w:val="720"/>
        </w:trPr>
        <w:tc>
          <w:tcPr>
            <w:tcW w:w="5922" w:type="dxa"/>
            <w:gridSpan w:val="2"/>
            <w:tcBorders>
              <w:bottom w:val="single" w:sz="18" w:space="0" w:color="auto"/>
            </w:tcBorders>
          </w:tcPr>
          <w:p w14:paraId="709C609B"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3A33059B"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870" w:type="dxa"/>
            <w:tcBorders>
              <w:bottom w:val="single" w:sz="18" w:space="0" w:color="auto"/>
            </w:tcBorders>
          </w:tcPr>
          <w:p w14:paraId="526AE958" w14:textId="77777777" w:rsidR="00103AB1" w:rsidRDefault="00103AB1" w:rsidP="00AA523A">
            <w:pPr>
              <w:tabs>
                <w:tab w:val="left" w:pos="3010"/>
              </w:tabs>
              <w:jc w:val="center"/>
              <w:rPr>
                <w:sz w:val="52"/>
                <w:szCs w:val="52"/>
              </w:rPr>
            </w:pPr>
            <w:r>
              <w:rPr>
                <w:rFonts w:ascii="Univers Bold" w:hAnsi="Univers Bold"/>
                <w:b/>
                <w:sz w:val="72"/>
                <w:lang w:val="fr-CA"/>
              </w:rPr>
              <w:t xml:space="preserve">          EP</w:t>
            </w:r>
          </w:p>
        </w:tc>
      </w:tr>
      <w:tr w:rsidR="00103AB1" w:rsidRPr="00103AB1" w14:paraId="6CAE2CD6" w14:textId="77777777" w:rsidTr="00103A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52" w:type="dxa"/>
            <w:tcBorders>
              <w:top w:val="nil"/>
              <w:left w:val="nil"/>
              <w:bottom w:val="single" w:sz="36" w:space="0" w:color="auto"/>
              <w:right w:val="nil"/>
            </w:tcBorders>
          </w:tcPr>
          <w:p w14:paraId="4BB0AF96" w14:textId="77777777" w:rsidR="00103AB1" w:rsidRDefault="00103AB1" w:rsidP="00AA523A">
            <w:pPr>
              <w:spacing w:before="120"/>
            </w:pPr>
            <w:r>
              <w:rPr>
                <w:noProof/>
                <w:lang w:eastAsia="en-CA"/>
              </w:rPr>
              <w:drawing>
                <wp:anchor distT="0" distB="0" distL="114300" distR="114300" simplePos="0" relativeHeight="251659264" behindDoc="0" locked="0" layoutInCell="1" allowOverlap="1" wp14:anchorId="199EA045" wp14:editId="75773853">
                  <wp:simplePos x="0" y="0"/>
                  <wp:positionH relativeFrom="column">
                    <wp:posOffset>134197</wp:posOffset>
                  </wp:positionH>
                  <wp:positionV relativeFrom="paragraph">
                    <wp:posOffset>828675</wp:posOffset>
                  </wp:positionV>
                  <wp:extent cx="672769" cy="660400"/>
                  <wp:effectExtent l="0" t="0" r="0" b="635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672769" cy="66040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0288" behindDoc="1" locked="0" layoutInCell="0" allowOverlap="1" wp14:anchorId="79B8D05E" wp14:editId="421EAEE5">
                  <wp:simplePos x="0" y="0"/>
                  <wp:positionH relativeFrom="column">
                    <wp:posOffset>100965</wp:posOffset>
                  </wp:positionH>
                  <wp:positionV relativeFrom="paragraph">
                    <wp:posOffset>111125</wp:posOffset>
                  </wp:positionV>
                  <wp:extent cx="703580" cy="676205"/>
                  <wp:effectExtent l="0" t="0" r="127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03580" cy="676205"/>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544CF0B2"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26BAC963"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66CCA3F1" w14:textId="77777777" w:rsidR="00103AB1" w:rsidRDefault="00103AB1" w:rsidP="00AA523A">
            <w:pPr>
              <w:rPr>
                <w:rFonts w:ascii="Univers" w:hAnsi="Univers"/>
                <w:b/>
                <w:sz w:val="32"/>
                <w:lang w:val="fr-CA"/>
              </w:rPr>
            </w:pPr>
            <w:r>
              <w:rPr>
                <w:rFonts w:ascii="Univers" w:hAnsi="Univers"/>
                <w:b/>
                <w:sz w:val="32"/>
                <w:lang w:val="fr-CA"/>
              </w:rPr>
              <w:t>Nations Unies pour</w:t>
            </w:r>
          </w:p>
          <w:p w14:paraId="53BA519B" w14:textId="77777777" w:rsidR="00103AB1" w:rsidRPr="00542808" w:rsidRDefault="00103AB1" w:rsidP="00AA523A">
            <w:pPr>
              <w:rPr>
                <w:rFonts w:ascii="Univers" w:hAnsi="Univers"/>
                <w:b/>
                <w:sz w:val="32"/>
                <w:lang w:val="fr-CA"/>
              </w:rPr>
            </w:pPr>
            <w:proofErr w:type="gramStart"/>
            <w:r>
              <w:rPr>
                <w:rFonts w:ascii="Univers" w:hAnsi="Univers"/>
                <w:b/>
                <w:sz w:val="32"/>
                <w:lang w:val="fr-CA"/>
              </w:rPr>
              <w:t>l’environnement</w:t>
            </w:r>
            <w:proofErr w:type="gramEnd"/>
          </w:p>
        </w:tc>
        <w:tc>
          <w:tcPr>
            <w:tcW w:w="3870" w:type="dxa"/>
            <w:tcBorders>
              <w:top w:val="nil"/>
              <w:left w:val="nil"/>
              <w:bottom w:val="single" w:sz="36" w:space="0" w:color="auto"/>
              <w:right w:val="nil"/>
            </w:tcBorders>
          </w:tcPr>
          <w:p w14:paraId="2DD98738" w14:textId="77777777" w:rsidR="00103AB1" w:rsidRDefault="00103AB1" w:rsidP="00AA523A">
            <w:pPr>
              <w:rPr>
                <w:lang w:val="fr-FR"/>
              </w:rPr>
            </w:pPr>
          </w:p>
          <w:p w14:paraId="0D253601" w14:textId="77777777" w:rsidR="00103AB1" w:rsidRPr="00DD3433" w:rsidRDefault="00103AB1" w:rsidP="00AA523A">
            <w:pPr>
              <w:rPr>
                <w:lang w:val="fr-FR"/>
              </w:rPr>
            </w:pPr>
            <w:proofErr w:type="spellStart"/>
            <w:r w:rsidRPr="00DD3433">
              <w:rPr>
                <w:lang w:val="fr-FR"/>
              </w:rPr>
              <w:t>Distr</w:t>
            </w:r>
            <w:proofErr w:type="spellEnd"/>
            <w:r w:rsidRPr="00DD3433">
              <w:rPr>
                <w:lang w:val="fr-FR"/>
              </w:rPr>
              <w:t>.</w:t>
            </w:r>
          </w:p>
          <w:p w14:paraId="679582DA" w14:textId="77777777" w:rsidR="00103AB1" w:rsidRPr="00DD3433" w:rsidRDefault="00103AB1" w:rsidP="00AA523A">
            <w:pPr>
              <w:rPr>
                <w:lang w:val="fr-FR"/>
              </w:rPr>
            </w:pPr>
            <w:r w:rsidRPr="00DD3433">
              <w:rPr>
                <w:lang w:val="fr-FR"/>
              </w:rPr>
              <w:t>GÉNÉRALE</w:t>
            </w:r>
          </w:p>
          <w:p w14:paraId="6DC9D1C4" w14:textId="77777777" w:rsidR="00103AB1" w:rsidRPr="00DD3433" w:rsidRDefault="00103AB1" w:rsidP="00AA523A">
            <w:pPr>
              <w:rPr>
                <w:lang w:val="fr-FR"/>
              </w:rPr>
            </w:pPr>
          </w:p>
          <w:p w14:paraId="72812D9B" w14:textId="479B3083" w:rsidR="00103AB1" w:rsidRPr="00956C5C" w:rsidRDefault="00103AB1" w:rsidP="00AA523A">
            <w:pPr>
              <w:rPr>
                <w:lang w:val="fr-CA"/>
              </w:rPr>
            </w:pPr>
            <w:r>
              <w:fldChar w:fldCharType="begin"/>
            </w:r>
            <w:r w:rsidRPr="00956C5C">
              <w:rPr>
                <w:lang w:val="fr-CA"/>
              </w:rPr>
              <w:instrText xml:space="preserve"> DOCPROPERTY "Document number"  \* MERGEFORMAT </w:instrText>
            </w:r>
            <w:r>
              <w:fldChar w:fldCharType="separate"/>
            </w:r>
            <w:r w:rsidR="00A828F9">
              <w:rPr>
                <w:lang w:val="fr-CA"/>
              </w:rPr>
              <w:t>UNEP/</w:t>
            </w:r>
            <w:proofErr w:type="spellStart"/>
            <w:r w:rsidR="00A828F9">
              <w:rPr>
                <w:lang w:val="fr-CA"/>
              </w:rPr>
              <w:t>OzL.Pro</w:t>
            </w:r>
            <w:proofErr w:type="spellEnd"/>
            <w:r w:rsidR="00A828F9">
              <w:rPr>
                <w:lang w:val="fr-CA"/>
              </w:rPr>
              <w:t>/</w:t>
            </w:r>
            <w:proofErr w:type="spellStart"/>
            <w:r w:rsidR="00A828F9">
              <w:rPr>
                <w:lang w:val="fr-CA"/>
              </w:rPr>
              <w:t>ExCom</w:t>
            </w:r>
            <w:proofErr w:type="spellEnd"/>
            <w:r w:rsidR="00A828F9">
              <w:rPr>
                <w:lang w:val="fr-CA"/>
              </w:rPr>
              <w:t>/95/</w:t>
            </w:r>
            <w:r w:rsidR="00A4687D">
              <w:rPr>
                <w:lang w:val="fr-CA"/>
              </w:rPr>
              <w:t>89</w:t>
            </w:r>
            <w:r>
              <w:fldChar w:fldCharType="end"/>
            </w:r>
          </w:p>
          <w:p w14:paraId="60BF989B" w14:textId="41D0412D" w:rsidR="00103AB1" w:rsidRPr="00DB2922" w:rsidRDefault="00E50C3D" w:rsidP="00AA523A">
            <w:pPr>
              <w:rPr>
                <w:lang w:val="fr-CA"/>
              </w:rPr>
            </w:pPr>
            <w:r>
              <w:rPr>
                <w:lang w:val="fr-CA"/>
              </w:rPr>
              <w:t xml:space="preserve">26 </w:t>
            </w:r>
            <w:r w:rsidR="00A828F9">
              <w:rPr>
                <w:lang w:val="fr-CA"/>
              </w:rPr>
              <w:t>n</w:t>
            </w:r>
            <w:r w:rsidR="00103AB1">
              <w:rPr>
                <w:lang w:val="fr-CA"/>
              </w:rPr>
              <w:t>o</w:t>
            </w:r>
            <w:r w:rsidR="00A828F9">
              <w:rPr>
                <w:lang w:val="fr-CA"/>
              </w:rPr>
              <w:t>vem</w:t>
            </w:r>
            <w:r w:rsidR="00103AB1">
              <w:rPr>
                <w:lang w:val="fr-CA"/>
              </w:rPr>
              <w:t>bre</w:t>
            </w:r>
            <w:r w:rsidR="00103AB1" w:rsidRPr="007778F9">
              <w:rPr>
                <w:lang w:val="fr-CA"/>
              </w:rPr>
              <w:t xml:space="preserve"> 2024</w:t>
            </w:r>
          </w:p>
          <w:p w14:paraId="314E518B" w14:textId="77777777" w:rsidR="00103AB1" w:rsidRDefault="00103AB1" w:rsidP="00AA523A">
            <w:pPr>
              <w:rPr>
                <w:caps/>
                <w:lang w:val="fr-FR"/>
              </w:rPr>
            </w:pPr>
            <w:r w:rsidRPr="00DB2922">
              <w:rPr>
                <w:caps/>
                <w:lang w:val="fr-CA"/>
              </w:rPr>
              <w:br/>
            </w:r>
            <w:r>
              <w:rPr>
                <w:caps/>
                <w:lang w:val="fr-FR"/>
              </w:rPr>
              <w:t>FRANÇAIS</w:t>
            </w:r>
          </w:p>
          <w:p w14:paraId="249B162B" w14:textId="62BD0D7C" w:rsidR="00103AB1" w:rsidRPr="00E5237E" w:rsidRDefault="00103AB1" w:rsidP="00AA523A">
            <w:pPr>
              <w:rPr>
                <w:lang w:val="fr-CA"/>
              </w:rPr>
            </w:pPr>
            <w:r w:rsidRPr="00E5237E">
              <w:rPr>
                <w:lang w:val="fr-CA"/>
              </w:rPr>
              <w:t>ORIGINAL</w:t>
            </w:r>
            <w:r w:rsidR="002E6AF4">
              <w:rPr>
                <w:lang w:val="fr-CA"/>
              </w:rPr>
              <w:t> </w:t>
            </w:r>
            <w:r w:rsidRPr="00E5237E">
              <w:rPr>
                <w:lang w:val="fr-CA"/>
              </w:rPr>
              <w:t>: ANGLAIS</w:t>
            </w:r>
          </w:p>
        </w:tc>
      </w:tr>
    </w:tbl>
    <w:p w14:paraId="70FAF6F0" w14:textId="77777777" w:rsidR="00103AB1" w:rsidRDefault="00103AB1" w:rsidP="00103AB1">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103AB1">
        <w:rPr>
          <w:lang w:val="fr-CA"/>
        </w:rPr>
        <w:t>Quatre-vingt-quinzième réunion</w:t>
      </w:r>
    </w:p>
    <w:p w14:paraId="66E05649" w14:textId="77777777" w:rsidR="00103AB1" w:rsidRPr="00FE1FA0" w:rsidRDefault="00103AB1" w:rsidP="00103AB1">
      <w:pPr>
        <w:jc w:val="left"/>
        <w:rPr>
          <w:lang w:val="fr-CA"/>
        </w:rPr>
      </w:pPr>
      <w:r w:rsidRPr="008A4946">
        <w:rPr>
          <w:lang w:val="fr-CA"/>
        </w:rPr>
        <w:t xml:space="preserve">Montréal, 4 - </w:t>
      </w:r>
      <w:r w:rsidR="00DD3B37" w:rsidRPr="008A4946">
        <w:rPr>
          <w:lang w:val="fr-CA"/>
        </w:rPr>
        <w:t>8</w:t>
      </w:r>
      <w:r w:rsidRPr="008A4946">
        <w:rPr>
          <w:lang w:val="fr-CA"/>
        </w:rPr>
        <w:t xml:space="preserve"> </w:t>
      </w:r>
      <w:r w:rsidR="00FE1FA0" w:rsidRPr="008A4946">
        <w:rPr>
          <w:lang w:val="fr-CA"/>
        </w:rPr>
        <w:t xml:space="preserve">décembre </w:t>
      </w:r>
      <w:r w:rsidRPr="008A4946">
        <w:rPr>
          <w:lang w:val="fr-CA"/>
        </w:rPr>
        <w:t>2024</w:t>
      </w:r>
    </w:p>
    <w:p w14:paraId="475B2D86" w14:textId="262DBC8A" w:rsidR="00103AB1" w:rsidRPr="00550019" w:rsidRDefault="00103AB1" w:rsidP="00103AB1">
      <w:pPr>
        <w:jc w:val="left"/>
        <w:rPr>
          <w:lang w:val="fr-FR"/>
        </w:rPr>
      </w:pPr>
      <w:r w:rsidRPr="00550019">
        <w:rPr>
          <w:lang w:val="fr-FR"/>
        </w:rPr>
        <w:t xml:space="preserve">Point </w:t>
      </w:r>
      <w:r w:rsidR="00A828F9">
        <w:rPr>
          <w:lang w:val="fr-FR"/>
        </w:rPr>
        <w:t>11(d)</w:t>
      </w:r>
      <w:r w:rsidRPr="00550019">
        <w:rPr>
          <w:lang w:val="fr-FR"/>
        </w:rPr>
        <w:t xml:space="preserve"> de l'ordre du jour provisoire</w:t>
      </w:r>
      <w:r w:rsidRPr="00550019">
        <w:rPr>
          <w:rStyle w:val="Rimandonotaapidipagina"/>
          <w:lang w:val="fr-FR"/>
        </w:rPr>
        <w:footnoteReference w:id="1"/>
      </w:r>
    </w:p>
    <w:p w14:paraId="712BA9F7" w14:textId="77777777" w:rsidR="00066CE8" w:rsidRPr="00103AB1" w:rsidRDefault="00066CE8" w:rsidP="00857077">
      <w:pPr>
        <w:jc w:val="left"/>
        <w:rPr>
          <w:lang w:val="fr-CA"/>
        </w:rPr>
      </w:pPr>
    </w:p>
    <w:p w14:paraId="33246CD5" w14:textId="77777777" w:rsidR="004E7F9C" w:rsidRPr="00103AB1" w:rsidRDefault="004E7F9C" w:rsidP="00BB23D4">
      <w:pPr>
        <w:pStyle w:val="Title1"/>
        <w:jc w:val="both"/>
        <w:rPr>
          <w:b w:val="0"/>
          <w:lang w:val="fr-CA"/>
        </w:rPr>
      </w:pPr>
    </w:p>
    <w:p w14:paraId="11FAF140" w14:textId="77777777" w:rsidR="00A828F9" w:rsidRPr="00017FF9" w:rsidRDefault="00A828F9" w:rsidP="004E7F9C">
      <w:pPr>
        <w:pStyle w:val="Title1"/>
        <w:rPr>
          <w:lang w:val="fr-CA"/>
        </w:rPr>
      </w:pPr>
      <w:r w:rsidRPr="00017FF9">
        <w:rPr>
          <w:lang w:val="fr-CA"/>
        </w:rPr>
        <w:t xml:space="preserve">COMPTE RENDU DU SOUS-SECTEUR DE L’INSTALLATION </w:t>
      </w:r>
    </w:p>
    <w:p w14:paraId="176FE3D9" w14:textId="26659A22" w:rsidR="004E7F9C" w:rsidRPr="00017FF9" w:rsidRDefault="00A828F9" w:rsidP="00017FF9">
      <w:pPr>
        <w:jc w:val="center"/>
        <w:rPr>
          <w:b/>
          <w:lang w:val="fr-CA"/>
        </w:rPr>
      </w:pPr>
      <w:r w:rsidRPr="00017FF9">
        <w:rPr>
          <w:b/>
          <w:lang w:val="fr-CA"/>
        </w:rPr>
        <w:t>ET D</w:t>
      </w:r>
      <w:r w:rsidR="0076382E" w:rsidRPr="00017FF9">
        <w:rPr>
          <w:b/>
          <w:lang w:val="fr-CA"/>
        </w:rPr>
        <w:t>U MONTAG</w:t>
      </w:r>
      <w:r w:rsidRPr="00017FF9">
        <w:rPr>
          <w:b/>
          <w:lang w:val="fr-CA"/>
        </w:rPr>
        <w:t>E L</w:t>
      </w:r>
      <w:r w:rsidR="0076382E" w:rsidRPr="00017FF9">
        <w:rPr>
          <w:b/>
          <w:lang w:val="fr-CA"/>
        </w:rPr>
        <w:t xml:space="preserve">OCAUX </w:t>
      </w:r>
      <w:r w:rsidRPr="00017FF9">
        <w:rPr>
          <w:b/>
          <w:lang w:val="fr-CA"/>
        </w:rPr>
        <w:t>(</w:t>
      </w:r>
      <w:r w:rsidRPr="00017FF9">
        <w:rPr>
          <w:b/>
          <w:lang w:val="fr-CH"/>
        </w:rPr>
        <w:t>D</w:t>
      </w:r>
      <w:r w:rsidR="00017FF9" w:rsidRPr="00017FF9">
        <w:rPr>
          <w:b/>
          <w:lang w:val="fr-CH"/>
        </w:rPr>
        <w:t>écision</w:t>
      </w:r>
      <w:r w:rsidRPr="00017FF9">
        <w:rPr>
          <w:b/>
          <w:lang w:val="fr-CA"/>
        </w:rPr>
        <w:t xml:space="preserve"> 93/94(d))</w:t>
      </w:r>
    </w:p>
    <w:p w14:paraId="5FFC7ECB" w14:textId="77777777" w:rsidR="001F58FF" w:rsidRDefault="001F58FF" w:rsidP="00BB2764">
      <w:pPr>
        <w:rPr>
          <w:b/>
          <w:bCs/>
          <w:lang w:val="fr-CA"/>
        </w:rPr>
      </w:pPr>
    </w:p>
    <w:p w14:paraId="48865367" w14:textId="77777777" w:rsidR="00BB23D4" w:rsidRDefault="00BB23D4" w:rsidP="00BB2764">
      <w:pPr>
        <w:rPr>
          <w:b/>
          <w:bCs/>
          <w:lang w:val="fr-CA"/>
        </w:rPr>
      </w:pPr>
    </w:p>
    <w:p w14:paraId="12A1B4B5" w14:textId="1543AACF" w:rsidR="00BB2764" w:rsidRDefault="00A828F9" w:rsidP="00BB2764">
      <w:pPr>
        <w:rPr>
          <w:b/>
          <w:bCs/>
          <w:lang w:val="fr-CA"/>
        </w:rPr>
      </w:pPr>
      <w:r>
        <w:rPr>
          <w:b/>
          <w:bCs/>
          <w:lang w:val="fr-CA"/>
        </w:rPr>
        <w:t>Introduction</w:t>
      </w:r>
    </w:p>
    <w:p w14:paraId="040897F2" w14:textId="77777777" w:rsidR="00A828F9" w:rsidRDefault="00A828F9" w:rsidP="00BB2764">
      <w:pPr>
        <w:rPr>
          <w:b/>
          <w:bCs/>
          <w:lang w:val="fr-CA"/>
        </w:rPr>
      </w:pPr>
    </w:p>
    <w:p w14:paraId="0FB1C158" w14:textId="2CD31EEA" w:rsidR="00DC68CC" w:rsidRDefault="00A4687D" w:rsidP="00BB2764">
      <w:pPr>
        <w:rPr>
          <w:lang w:val="fr-CA"/>
        </w:rPr>
      </w:pPr>
      <w:r>
        <w:rPr>
          <w:lang w:val="fr-CA"/>
        </w:rPr>
        <w:t>1.</w:t>
      </w:r>
      <w:r>
        <w:rPr>
          <w:lang w:val="fr-CA"/>
        </w:rPr>
        <w:tab/>
        <w:t>À la 91</w:t>
      </w:r>
      <w:r w:rsidRPr="00A4687D">
        <w:rPr>
          <w:vertAlign w:val="superscript"/>
          <w:lang w:val="fr-CA"/>
        </w:rPr>
        <w:t>e</w:t>
      </w:r>
      <w:r>
        <w:rPr>
          <w:lang w:val="fr-CA"/>
        </w:rPr>
        <w:t xml:space="preserve"> réunion, </w:t>
      </w:r>
      <w:r w:rsidR="0076382E">
        <w:rPr>
          <w:lang w:val="fr-CA"/>
        </w:rPr>
        <w:t xml:space="preserve">en examinant le </w:t>
      </w:r>
      <w:r>
        <w:rPr>
          <w:lang w:val="fr-CA"/>
        </w:rPr>
        <w:t xml:space="preserve">plan de mise en œuvre de l’Amendement de Kigali </w:t>
      </w:r>
      <w:r w:rsidR="0076382E">
        <w:rPr>
          <w:lang w:val="fr-CA"/>
        </w:rPr>
        <w:t>s</w:t>
      </w:r>
      <w:r>
        <w:rPr>
          <w:lang w:val="fr-CA"/>
        </w:rPr>
        <w:t>ur les HFC (KIP) pour le Niger, le Comité exécutif a reconnu qu</w:t>
      </w:r>
      <w:r w:rsidR="0076382E">
        <w:rPr>
          <w:lang w:val="fr-CA"/>
        </w:rPr>
        <w:t xml:space="preserve">e </w:t>
      </w:r>
      <w:r>
        <w:rPr>
          <w:lang w:val="fr-CA"/>
        </w:rPr>
        <w:t xml:space="preserve">des données supplémentaires sur le sous-secteur de l’installation et de l’assemblage </w:t>
      </w:r>
      <w:r w:rsidR="0076382E">
        <w:rPr>
          <w:lang w:val="fr-CA"/>
        </w:rPr>
        <w:t>sur place</w:t>
      </w:r>
      <w:r>
        <w:rPr>
          <w:lang w:val="fr-CA"/>
        </w:rPr>
        <w:t xml:space="preserve"> de</w:t>
      </w:r>
      <w:r w:rsidR="0076382E">
        <w:rPr>
          <w:lang w:val="fr-CA"/>
        </w:rPr>
        <w:t>s</w:t>
      </w:r>
      <w:r>
        <w:rPr>
          <w:lang w:val="fr-CA"/>
        </w:rPr>
        <w:t xml:space="preserve"> systèmes de réfrigération et de climatisation (RAC)</w:t>
      </w:r>
      <w:r w:rsidR="0076382E">
        <w:rPr>
          <w:lang w:val="fr-CA"/>
        </w:rPr>
        <w:t xml:space="preserve"> devaient être recueillies</w:t>
      </w:r>
      <w:r>
        <w:rPr>
          <w:lang w:val="fr-CA"/>
        </w:rPr>
        <w:t xml:space="preserve">.  En effet, </w:t>
      </w:r>
      <w:r w:rsidR="001805DB">
        <w:rPr>
          <w:lang w:val="fr-CA"/>
        </w:rPr>
        <w:t xml:space="preserve">la </w:t>
      </w:r>
      <w:r>
        <w:rPr>
          <w:lang w:val="fr-CA"/>
        </w:rPr>
        <w:t xml:space="preserve">consommation de HFC dans ce secteur </w:t>
      </w:r>
      <w:r w:rsidR="001805DB">
        <w:rPr>
          <w:lang w:val="fr-CA"/>
        </w:rPr>
        <w:t xml:space="preserve">semblait importante </w:t>
      </w:r>
      <w:r>
        <w:rPr>
          <w:lang w:val="fr-CA"/>
        </w:rPr>
        <w:t>au Niger</w:t>
      </w:r>
      <w:r w:rsidR="0076382E">
        <w:rPr>
          <w:lang w:val="fr-CA"/>
        </w:rPr>
        <w:t>,</w:t>
      </w:r>
      <w:r>
        <w:rPr>
          <w:lang w:val="fr-CA"/>
        </w:rPr>
        <w:t xml:space="preserve"> </w:t>
      </w:r>
      <w:r w:rsidR="001805DB">
        <w:rPr>
          <w:lang w:val="fr-CA"/>
        </w:rPr>
        <w:t xml:space="preserve">sans </w:t>
      </w:r>
      <w:r w:rsidR="008C55C4">
        <w:rPr>
          <w:lang w:val="fr-CA"/>
        </w:rPr>
        <w:t xml:space="preserve">toutefois </w:t>
      </w:r>
      <w:r w:rsidR="001805DB">
        <w:rPr>
          <w:lang w:val="fr-CA"/>
        </w:rPr>
        <w:t xml:space="preserve">avoir été </w:t>
      </w:r>
      <w:r>
        <w:rPr>
          <w:lang w:val="fr-CA"/>
        </w:rPr>
        <w:t>identifié</w:t>
      </w:r>
      <w:r w:rsidR="0076382E">
        <w:rPr>
          <w:lang w:val="fr-CA"/>
        </w:rPr>
        <w:t>e</w:t>
      </w:r>
      <w:r>
        <w:rPr>
          <w:lang w:val="fr-CA"/>
        </w:rPr>
        <w:t xml:space="preserve"> séparément de la consommation pour l’entretien</w:t>
      </w:r>
      <w:r w:rsidR="001805DB">
        <w:rPr>
          <w:lang w:val="fr-CA"/>
        </w:rPr>
        <w:t xml:space="preserve"> dans la proposition de projet</w:t>
      </w:r>
      <w:r w:rsidR="00900CE0">
        <w:rPr>
          <w:lang w:val="fr-CA"/>
        </w:rPr>
        <w:t>.</w:t>
      </w:r>
      <w:r w:rsidR="0076382E">
        <w:rPr>
          <w:lang w:val="fr-CA"/>
        </w:rPr>
        <w:t xml:space="preserve">  </w:t>
      </w:r>
      <w:r>
        <w:rPr>
          <w:lang w:val="fr-CA"/>
        </w:rPr>
        <w:t xml:space="preserve">Par conséquent, le Comité a demandé </w:t>
      </w:r>
      <w:r w:rsidR="00900CE0">
        <w:rPr>
          <w:lang w:val="fr-CA"/>
        </w:rPr>
        <w:t xml:space="preserve">au Secrétariat </w:t>
      </w:r>
      <w:r>
        <w:rPr>
          <w:lang w:val="fr-CA"/>
        </w:rPr>
        <w:t>de préparer</w:t>
      </w:r>
      <w:r w:rsidR="00DC68CC">
        <w:rPr>
          <w:lang w:val="fr-CA"/>
        </w:rPr>
        <w:t xml:space="preserve"> un document, pour </w:t>
      </w:r>
      <w:r>
        <w:rPr>
          <w:lang w:val="fr-CA"/>
        </w:rPr>
        <w:t>examen à la 92</w:t>
      </w:r>
      <w:r w:rsidRPr="00A4687D">
        <w:rPr>
          <w:vertAlign w:val="superscript"/>
          <w:lang w:val="fr-CA"/>
        </w:rPr>
        <w:t>e</w:t>
      </w:r>
      <w:r>
        <w:rPr>
          <w:lang w:val="fr-CA"/>
        </w:rPr>
        <w:t xml:space="preserve"> réunion, </w:t>
      </w:r>
      <w:r w:rsidR="00DC68CC">
        <w:rPr>
          <w:lang w:val="fr-CA"/>
        </w:rPr>
        <w:t>q</w:t>
      </w:r>
      <w:r>
        <w:rPr>
          <w:lang w:val="fr-CA"/>
        </w:rPr>
        <w:t>u</w:t>
      </w:r>
      <w:r w:rsidR="00DC68CC">
        <w:rPr>
          <w:lang w:val="fr-CA"/>
        </w:rPr>
        <w:t>i fournirait u</w:t>
      </w:r>
      <w:r>
        <w:rPr>
          <w:lang w:val="fr-CA"/>
        </w:rPr>
        <w:t>n</w:t>
      </w:r>
      <w:r w:rsidR="00DC68CC">
        <w:rPr>
          <w:lang w:val="fr-CA"/>
        </w:rPr>
        <w:t>e</w:t>
      </w:r>
      <w:r>
        <w:rPr>
          <w:lang w:val="fr-CA"/>
        </w:rPr>
        <w:t xml:space="preserve"> d</w:t>
      </w:r>
      <w:r w:rsidR="00DC68CC">
        <w:rPr>
          <w:lang w:val="fr-CA"/>
        </w:rPr>
        <w:t>escription du sous-secteur de l’installation et de l’assemblage</w:t>
      </w:r>
      <w:r w:rsidR="00900CE0">
        <w:rPr>
          <w:lang w:val="fr-CA"/>
        </w:rPr>
        <w:t xml:space="preserve"> sur place</w:t>
      </w:r>
      <w:r w:rsidR="00DC68CC">
        <w:rPr>
          <w:lang w:val="fr-CA"/>
        </w:rPr>
        <w:t>, identifiant, dans la mesure du possible, les types d’équipements et de frig</w:t>
      </w:r>
      <w:r>
        <w:rPr>
          <w:lang w:val="fr-CA"/>
        </w:rPr>
        <w:t>o</w:t>
      </w:r>
      <w:r w:rsidR="00DC68CC">
        <w:rPr>
          <w:lang w:val="fr-CA"/>
        </w:rPr>
        <w:t>rigènes qui caractérisent ce sous-secteur et les défis de la transition vers des solutions de remplacement à faible potentiel de ré</w:t>
      </w:r>
      <w:r>
        <w:rPr>
          <w:lang w:val="fr-CA"/>
        </w:rPr>
        <w:t>c</w:t>
      </w:r>
      <w:r w:rsidR="00DC68CC">
        <w:rPr>
          <w:lang w:val="fr-CA"/>
        </w:rPr>
        <w:t>ha</w:t>
      </w:r>
      <w:r>
        <w:rPr>
          <w:lang w:val="fr-CA"/>
        </w:rPr>
        <w:t>u</w:t>
      </w:r>
      <w:r w:rsidR="00DC68CC">
        <w:rPr>
          <w:lang w:val="fr-CA"/>
        </w:rPr>
        <w:t>ffe</w:t>
      </w:r>
      <w:r>
        <w:rPr>
          <w:lang w:val="fr-CA"/>
        </w:rPr>
        <w:t>ment</w:t>
      </w:r>
      <w:r w:rsidR="00DC68CC">
        <w:rPr>
          <w:lang w:val="fr-CA"/>
        </w:rPr>
        <w:t xml:space="preserve"> de la planète (PRP) (décision 91/39(b)).</w:t>
      </w:r>
    </w:p>
    <w:p w14:paraId="5AC30A60" w14:textId="77777777" w:rsidR="00DC68CC" w:rsidRDefault="00DC68CC" w:rsidP="00BB2764">
      <w:pPr>
        <w:rPr>
          <w:lang w:val="fr-CA"/>
        </w:rPr>
      </w:pPr>
    </w:p>
    <w:p w14:paraId="7C7BB64F" w14:textId="5B1A6949" w:rsidR="00900CE0" w:rsidRDefault="00DC68CC" w:rsidP="00BB2764">
      <w:pPr>
        <w:rPr>
          <w:lang w:val="fr-CA"/>
        </w:rPr>
      </w:pPr>
      <w:r>
        <w:rPr>
          <w:lang w:val="fr-CA"/>
        </w:rPr>
        <w:t>2.</w:t>
      </w:r>
      <w:r>
        <w:rPr>
          <w:lang w:val="fr-CA"/>
        </w:rPr>
        <w:tab/>
        <w:t>À la 92</w:t>
      </w:r>
      <w:r w:rsidRPr="00DC68CC">
        <w:rPr>
          <w:vertAlign w:val="superscript"/>
          <w:lang w:val="fr-CA"/>
        </w:rPr>
        <w:t>e</w:t>
      </w:r>
      <w:r>
        <w:rPr>
          <w:lang w:val="fr-CA"/>
        </w:rPr>
        <w:t xml:space="preserve"> réunion, </w:t>
      </w:r>
      <w:r w:rsidR="0076382E">
        <w:rPr>
          <w:lang w:val="fr-CA"/>
        </w:rPr>
        <w:t>en examinant le</w:t>
      </w:r>
      <w:r>
        <w:rPr>
          <w:lang w:val="fr-CA"/>
        </w:rPr>
        <w:t xml:space="preserve"> document UNEP/</w:t>
      </w:r>
      <w:proofErr w:type="spellStart"/>
      <w:r>
        <w:rPr>
          <w:lang w:val="fr-CA"/>
        </w:rPr>
        <w:t>OzL.Pro</w:t>
      </w:r>
      <w:proofErr w:type="spellEnd"/>
      <w:r>
        <w:rPr>
          <w:lang w:val="fr-CA"/>
        </w:rPr>
        <w:t>/</w:t>
      </w:r>
      <w:proofErr w:type="spellStart"/>
      <w:r>
        <w:rPr>
          <w:lang w:val="fr-CA"/>
        </w:rPr>
        <w:t>ExCom</w:t>
      </w:r>
      <w:proofErr w:type="spellEnd"/>
      <w:r>
        <w:rPr>
          <w:lang w:val="fr-CA"/>
        </w:rPr>
        <w:t>/92/49</w:t>
      </w:r>
      <w:r w:rsidR="0076382E">
        <w:rPr>
          <w:lang w:val="fr-CA"/>
        </w:rPr>
        <w:t xml:space="preserve"> </w:t>
      </w:r>
      <w:r>
        <w:rPr>
          <w:lang w:val="fr-CA"/>
        </w:rPr>
        <w:t xml:space="preserve">préparé par le Secrétariat, le Comité exécutif a reconnu que </w:t>
      </w:r>
      <w:r w:rsidR="008C55C4">
        <w:rPr>
          <w:lang w:val="fr-CA"/>
        </w:rPr>
        <w:t>l</w:t>
      </w:r>
      <w:r>
        <w:rPr>
          <w:lang w:val="fr-CA"/>
        </w:rPr>
        <w:t>e sous-secteur pou</w:t>
      </w:r>
      <w:r w:rsidR="005D009D">
        <w:rPr>
          <w:lang w:val="fr-CA"/>
        </w:rPr>
        <w:t>rr</w:t>
      </w:r>
      <w:r>
        <w:rPr>
          <w:lang w:val="fr-CA"/>
        </w:rPr>
        <w:t xml:space="preserve">ait jouer un rôle </w:t>
      </w:r>
      <w:r w:rsidR="00900CE0">
        <w:rPr>
          <w:lang w:val="fr-CA"/>
        </w:rPr>
        <w:t>crucia</w:t>
      </w:r>
      <w:r w:rsidR="005D009D">
        <w:rPr>
          <w:lang w:val="fr-CA"/>
        </w:rPr>
        <w:t>l</w:t>
      </w:r>
      <w:r w:rsidR="00A4687D">
        <w:rPr>
          <w:lang w:val="fr-CA"/>
        </w:rPr>
        <w:t xml:space="preserve"> </w:t>
      </w:r>
      <w:r w:rsidR="005D009D">
        <w:rPr>
          <w:lang w:val="fr-CA"/>
        </w:rPr>
        <w:t>pour soutenir la transition vers des technologies à faible PRP</w:t>
      </w:r>
      <w:r w:rsidR="008C55C4">
        <w:rPr>
          <w:lang w:val="fr-CA"/>
        </w:rPr>
        <w:t>,</w:t>
      </w:r>
      <w:r w:rsidR="005D009D">
        <w:rPr>
          <w:lang w:val="fr-CA"/>
        </w:rPr>
        <w:t xml:space="preserve"> mais il a indiqué que des données supplémentaires étaient requises</w:t>
      </w:r>
      <w:r w:rsidR="00EA270D">
        <w:rPr>
          <w:lang w:val="fr-CA"/>
        </w:rPr>
        <w:t xml:space="preserve"> </w:t>
      </w:r>
      <w:r w:rsidR="005D009D">
        <w:rPr>
          <w:lang w:val="fr-CA"/>
        </w:rPr>
        <w:t xml:space="preserve">et </w:t>
      </w:r>
      <w:r w:rsidR="00900CE0">
        <w:rPr>
          <w:lang w:val="fr-CA"/>
        </w:rPr>
        <w:t xml:space="preserve">d’autres </w:t>
      </w:r>
      <w:r w:rsidR="005D009D">
        <w:rPr>
          <w:lang w:val="fr-CA"/>
        </w:rPr>
        <w:t xml:space="preserve">discussions </w:t>
      </w:r>
      <w:r w:rsidR="00900CE0">
        <w:rPr>
          <w:lang w:val="fr-CA"/>
        </w:rPr>
        <w:t xml:space="preserve">nécessaires, </w:t>
      </w:r>
      <w:r w:rsidR="00EA270D">
        <w:rPr>
          <w:lang w:val="fr-CA"/>
        </w:rPr>
        <w:t>entre autres</w:t>
      </w:r>
      <w:r w:rsidR="005D009D">
        <w:rPr>
          <w:lang w:val="fr-CA"/>
        </w:rPr>
        <w:t xml:space="preserve"> sur la nécessité d’a</w:t>
      </w:r>
      <w:r w:rsidR="008C55C4">
        <w:rPr>
          <w:lang w:val="fr-CA"/>
        </w:rPr>
        <w:t>ccroît</w:t>
      </w:r>
      <w:r w:rsidR="00EA270D">
        <w:rPr>
          <w:lang w:val="fr-CA"/>
        </w:rPr>
        <w:t>r</w:t>
      </w:r>
      <w:r w:rsidR="008C55C4">
        <w:rPr>
          <w:lang w:val="fr-CA"/>
        </w:rPr>
        <w:t>e</w:t>
      </w:r>
      <w:r w:rsidR="005D009D">
        <w:rPr>
          <w:lang w:val="fr-CA"/>
        </w:rPr>
        <w:t xml:space="preserve"> la capacité technique des assembleurs locaux</w:t>
      </w:r>
      <w:r w:rsidR="008C55C4">
        <w:rPr>
          <w:lang w:val="fr-CA"/>
        </w:rPr>
        <w:t xml:space="preserve"> et</w:t>
      </w:r>
      <w:r w:rsidR="005D009D">
        <w:rPr>
          <w:lang w:val="fr-CA"/>
        </w:rPr>
        <w:t xml:space="preserve"> la pérennité des conversions dans </w:t>
      </w:r>
      <w:r w:rsidR="008C55C4">
        <w:rPr>
          <w:lang w:val="fr-CA"/>
        </w:rPr>
        <w:t>l</w:t>
      </w:r>
      <w:r w:rsidR="005D009D">
        <w:rPr>
          <w:lang w:val="fr-CA"/>
        </w:rPr>
        <w:t>e sous-secteur,</w:t>
      </w:r>
      <w:r w:rsidR="00900CE0">
        <w:rPr>
          <w:lang w:val="fr-CA"/>
        </w:rPr>
        <w:t xml:space="preserve"> l</w:t>
      </w:r>
      <w:r w:rsidR="00EA270D">
        <w:rPr>
          <w:lang w:val="fr-CA"/>
        </w:rPr>
        <w:t>a nécessité d</w:t>
      </w:r>
      <w:r w:rsidR="008C55C4">
        <w:rPr>
          <w:lang w:val="fr-CA"/>
        </w:rPr>
        <w:t>’</w:t>
      </w:r>
      <w:r w:rsidR="00EA270D">
        <w:rPr>
          <w:lang w:val="fr-CA"/>
        </w:rPr>
        <w:t>e</w:t>
      </w:r>
      <w:r w:rsidR="008C55C4">
        <w:rPr>
          <w:lang w:val="fr-CA"/>
        </w:rPr>
        <w:t>xaminer</w:t>
      </w:r>
      <w:r w:rsidR="00EA270D">
        <w:rPr>
          <w:lang w:val="fr-CA"/>
        </w:rPr>
        <w:t xml:space="preserve"> les questions</w:t>
      </w:r>
      <w:r w:rsidR="00900CE0">
        <w:rPr>
          <w:lang w:val="fr-CA"/>
        </w:rPr>
        <w:t xml:space="preserve"> de chaine d’approvisionnement, la possibilité de financer </w:t>
      </w:r>
      <w:r w:rsidR="008C55C4">
        <w:rPr>
          <w:lang w:val="fr-CA"/>
        </w:rPr>
        <w:t>l</w:t>
      </w:r>
      <w:r w:rsidR="00900CE0">
        <w:rPr>
          <w:lang w:val="fr-CA"/>
        </w:rPr>
        <w:t xml:space="preserve">e sous-secteur séparément du secteur de l’entretien et le risque associé de double comptage; et </w:t>
      </w:r>
      <w:r w:rsidR="008C55C4">
        <w:rPr>
          <w:lang w:val="fr-CA"/>
        </w:rPr>
        <w:t>sur l</w:t>
      </w:r>
      <w:r w:rsidR="00900CE0">
        <w:rPr>
          <w:lang w:val="fr-CA"/>
        </w:rPr>
        <w:t>e rôle des utilisateurs finaux et des normes pour garantir l’adoption de technologies à faible PRP.  À l’issue des discussions, le Comité exécutif a décidé, entre autres (décision 92/39) :</w:t>
      </w:r>
    </w:p>
    <w:p w14:paraId="011CC0CA" w14:textId="77777777" w:rsidR="00900CE0" w:rsidRDefault="00900CE0" w:rsidP="00BB2764">
      <w:pPr>
        <w:rPr>
          <w:lang w:val="fr-CA"/>
        </w:rPr>
      </w:pPr>
    </w:p>
    <w:p w14:paraId="3F2D3EB4" w14:textId="53699FD0" w:rsidR="001F58FF" w:rsidRDefault="001F58FF" w:rsidP="001F58FF">
      <w:pPr>
        <w:pStyle w:val="Paragrafoelenco"/>
        <w:numPr>
          <w:ilvl w:val="0"/>
          <w:numId w:val="21"/>
        </w:numPr>
        <w:ind w:left="1418" w:hanging="698"/>
        <w:rPr>
          <w:lang w:val="fr-CA"/>
        </w:rPr>
      </w:pPr>
      <w:r>
        <w:rPr>
          <w:lang w:val="fr-CA"/>
        </w:rPr>
        <w:t>D’inviter les pays visés à l’article 5, par l’entremise des agences bilatérales et d’exécution, à fournir au Secrétariat, sur une base volontaire, d’ici le 20 septembre 2023, des informations sur le sous-secteur de l’installation et l’assemblage local;</w:t>
      </w:r>
    </w:p>
    <w:p w14:paraId="25983931" w14:textId="77777777" w:rsidR="001F58FF" w:rsidRDefault="001F58FF" w:rsidP="001F58FF">
      <w:pPr>
        <w:pStyle w:val="Paragrafoelenco"/>
        <w:ind w:left="1276"/>
        <w:rPr>
          <w:lang w:val="fr-CA"/>
        </w:rPr>
      </w:pPr>
    </w:p>
    <w:p w14:paraId="778125C1" w14:textId="56A48A4D" w:rsidR="001F58FF" w:rsidRDefault="001F58FF" w:rsidP="001F58FF">
      <w:pPr>
        <w:pStyle w:val="Paragrafoelenco"/>
        <w:numPr>
          <w:ilvl w:val="0"/>
          <w:numId w:val="21"/>
        </w:numPr>
        <w:ind w:left="1418" w:hanging="698"/>
        <w:rPr>
          <w:lang w:val="fr-CA"/>
        </w:rPr>
      </w:pPr>
      <w:r>
        <w:rPr>
          <w:lang w:val="fr-CA"/>
        </w:rPr>
        <w:lastRenderedPageBreak/>
        <w:t>De charger le Secrétariat de préparer un document pour examen par le Comité exécutif à la 93</w:t>
      </w:r>
      <w:r w:rsidRPr="001F58FF">
        <w:rPr>
          <w:vertAlign w:val="superscript"/>
          <w:lang w:val="fr-CA"/>
        </w:rPr>
        <w:t>e</w:t>
      </w:r>
      <w:r>
        <w:rPr>
          <w:lang w:val="fr-CA"/>
        </w:rPr>
        <w:t xml:space="preserve"> réunion, qui tiendrait compte des informations fournies par les pays visés à l’article 5</w:t>
      </w:r>
      <w:r w:rsidR="00334B92">
        <w:rPr>
          <w:lang w:val="fr-CA"/>
        </w:rPr>
        <w:t>,</w:t>
      </w:r>
      <w:r>
        <w:rPr>
          <w:lang w:val="fr-CA"/>
        </w:rPr>
        <w:t xml:space="preserve"> contenant des informations sur les types d’activités que les pays visés à l’article 5 pourraient entreprendre, sur la nature de l’assistance requise et sur les questions de chaine d’approvisionnement à régler afin de réduire la consommation </w:t>
      </w:r>
      <w:r w:rsidR="00334B92">
        <w:rPr>
          <w:lang w:val="fr-CA"/>
        </w:rPr>
        <w:t>du</w:t>
      </w:r>
      <w:r>
        <w:rPr>
          <w:lang w:val="fr-CA"/>
        </w:rPr>
        <w:t xml:space="preserve"> sous-secteur de l’installation et </w:t>
      </w:r>
      <w:r w:rsidR="00EA270D">
        <w:rPr>
          <w:lang w:val="fr-CA"/>
        </w:rPr>
        <w:t xml:space="preserve">de </w:t>
      </w:r>
      <w:r>
        <w:rPr>
          <w:lang w:val="fr-CA"/>
        </w:rPr>
        <w:t xml:space="preserve">l’assemblage local dans leurs </w:t>
      </w:r>
      <w:r w:rsidR="00334B92">
        <w:rPr>
          <w:lang w:val="fr-CA"/>
        </w:rPr>
        <w:t>KIP</w:t>
      </w:r>
      <w:r>
        <w:rPr>
          <w:lang w:val="fr-CA"/>
        </w:rPr>
        <w:t>;</w:t>
      </w:r>
      <w:r w:rsidR="00334B92">
        <w:rPr>
          <w:lang w:val="fr-CA"/>
        </w:rPr>
        <w:t xml:space="preserve"> et</w:t>
      </w:r>
    </w:p>
    <w:p w14:paraId="30926376" w14:textId="77777777" w:rsidR="001F58FF" w:rsidRPr="001F58FF" w:rsidRDefault="001F58FF" w:rsidP="001F58FF">
      <w:pPr>
        <w:pStyle w:val="Paragrafoelenco"/>
        <w:rPr>
          <w:lang w:val="fr-CA"/>
        </w:rPr>
      </w:pPr>
    </w:p>
    <w:p w14:paraId="6C6CF0A0" w14:textId="352517D5" w:rsidR="00A828F9" w:rsidRDefault="001F58FF" w:rsidP="001F58FF">
      <w:pPr>
        <w:pStyle w:val="Paragrafoelenco"/>
        <w:numPr>
          <w:ilvl w:val="0"/>
          <w:numId w:val="21"/>
        </w:numPr>
        <w:ind w:left="1418" w:hanging="698"/>
        <w:rPr>
          <w:lang w:val="fr-CA"/>
        </w:rPr>
      </w:pPr>
      <w:r>
        <w:rPr>
          <w:lang w:val="fr-CA"/>
        </w:rPr>
        <w:t xml:space="preserve">D’examiner des projets dans le sous-secteur de l’installation et de l’assemblage local dans le contexte des </w:t>
      </w:r>
      <w:r w:rsidR="00334B92">
        <w:rPr>
          <w:lang w:val="fr-CA"/>
        </w:rPr>
        <w:t xml:space="preserve">KIP, </w:t>
      </w:r>
      <w:r>
        <w:rPr>
          <w:lang w:val="fr-CA"/>
        </w:rPr>
        <w:t>au cas par cas.</w:t>
      </w:r>
    </w:p>
    <w:p w14:paraId="20CB825E" w14:textId="77777777" w:rsidR="00334B92" w:rsidRPr="00334B92" w:rsidRDefault="00334B92" w:rsidP="00334B92">
      <w:pPr>
        <w:pStyle w:val="Paragrafoelenco"/>
        <w:rPr>
          <w:lang w:val="fr-CA"/>
        </w:rPr>
      </w:pPr>
    </w:p>
    <w:p w14:paraId="61A8B8EF" w14:textId="065B5682" w:rsidR="00334B92" w:rsidRDefault="00334B92" w:rsidP="00334B92">
      <w:pPr>
        <w:rPr>
          <w:lang w:val="fr-CA"/>
        </w:rPr>
      </w:pPr>
      <w:r>
        <w:rPr>
          <w:lang w:val="fr-CA"/>
        </w:rPr>
        <w:t>3.</w:t>
      </w:r>
      <w:r>
        <w:rPr>
          <w:lang w:val="fr-CA"/>
        </w:rPr>
        <w:tab/>
        <w:t>À la 93</w:t>
      </w:r>
      <w:r w:rsidRPr="00334B92">
        <w:rPr>
          <w:vertAlign w:val="superscript"/>
          <w:lang w:val="fr-CA"/>
        </w:rPr>
        <w:t>e</w:t>
      </w:r>
      <w:r>
        <w:rPr>
          <w:lang w:val="fr-CA"/>
        </w:rPr>
        <w:t xml:space="preserve"> réunion, le Comité exécutif a discuté de l</w:t>
      </w:r>
      <w:r w:rsidR="00C429B7">
        <w:rPr>
          <w:lang w:val="fr-CA"/>
        </w:rPr>
        <w:t>’enjeu</w:t>
      </w:r>
      <w:r>
        <w:rPr>
          <w:lang w:val="fr-CA"/>
        </w:rPr>
        <w:t xml:space="preserve"> du secteur de l’assemblage à la lumière du document UNEP/</w:t>
      </w:r>
      <w:proofErr w:type="spellStart"/>
      <w:r>
        <w:rPr>
          <w:lang w:val="fr-CA"/>
        </w:rPr>
        <w:t>OzL.Pro</w:t>
      </w:r>
      <w:proofErr w:type="spellEnd"/>
      <w:r>
        <w:rPr>
          <w:lang w:val="fr-CA"/>
        </w:rPr>
        <w:t>/</w:t>
      </w:r>
      <w:proofErr w:type="spellStart"/>
      <w:r>
        <w:rPr>
          <w:lang w:val="fr-CA"/>
        </w:rPr>
        <w:t>ExCom</w:t>
      </w:r>
      <w:proofErr w:type="spellEnd"/>
      <w:r>
        <w:rPr>
          <w:lang w:val="fr-CA"/>
        </w:rPr>
        <w:t>/93/99</w:t>
      </w:r>
      <w:r w:rsidR="00C429B7">
        <w:rPr>
          <w:lang w:val="fr-CA"/>
        </w:rPr>
        <w:t>,</w:t>
      </w:r>
      <w:r>
        <w:rPr>
          <w:lang w:val="fr-CA"/>
        </w:rPr>
        <w:t xml:space="preserve"> préparé par le Secrétariat en réponse à la décision 92/39(b).  Un membre a souligné l’importance de rejoindre les utilisateurs finaux à travers des projets de démonstration; la nécessité de règlements et d’incitatifs propices pour ré</w:t>
      </w:r>
      <w:r w:rsidR="00A81B5C">
        <w:rPr>
          <w:lang w:val="fr-CA"/>
        </w:rPr>
        <w:t>soudre</w:t>
      </w:r>
      <w:r>
        <w:rPr>
          <w:lang w:val="fr-CA"/>
        </w:rPr>
        <w:t xml:space="preserve"> les défis auxquels </w:t>
      </w:r>
      <w:r w:rsidR="00A81B5C">
        <w:rPr>
          <w:lang w:val="fr-CA"/>
        </w:rPr>
        <w:t xml:space="preserve">se heurtent </w:t>
      </w:r>
      <w:r>
        <w:rPr>
          <w:lang w:val="fr-CA"/>
        </w:rPr>
        <w:t>les utilisateurs finaux; et l’</w:t>
      </w:r>
      <w:r w:rsidR="00A81B5C">
        <w:rPr>
          <w:lang w:val="fr-CA"/>
        </w:rPr>
        <w:t>occasion</w:t>
      </w:r>
      <w:r>
        <w:rPr>
          <w:lang w:val="fr-CA"/>
        </w:rPr>
        <w:t xml:space="preserve"> de cibler des sous-secteurs </w:t>
      </w:r>
      <w:r w:rsidR="00A81B5C">
        <w:rPr>
          <w:lang w:val="fr-CA"/>
        </w:rPr>
        <w:t xml:space="preserve">hautement prioritaires où des gains pourraient plus facilement être réalisés, comme la réfrigération des supermarchés.  Des projets dans le sous-secteur de l’installation et de l’assemblage local dans le contexte des KIP seraient examinés au cas par cas, conformément à la décision 92/39(d), et devraient </w:t>
      </w:r>
      <w:r w:rsidR="00C429B7">
        <w:rPr>
          <w:lang w:val="fr-CA"/>
        </w:rPr>
        <w:t>viser l’adoption d’</w:t>
      </w:r>
      <w:r w:rsidR="00A81B5C">
        <w:rPr>
          <w:lang w:val="fr-CA"/>
        </w:rPr>
        <w:t>une approche stratégique, en tenant compte des activités suggérées dans le document UNEP/</w:t>
      </w:r>
      <w:proofErr w:type="spellStart"/>
      <w:r w:rsidR="00A81B5C">
        <w:rPr>
          <w:lang w:val="fr-CA"/>
        </w:rPr>
        <w:t>OzL.Pro</w:t>
      </w:r>
      <w:proofErr w:type="spellEnd"/>
      <w:r w:rsidR="00A81B5C">
        <w:rPr>
          <w:lang w:val="fr-CA"/>
        </w:rPr>
        <w:t>/</w:t>
      </w:r>
      <w:proofErr w:type="spellStart"/>
      <w:r w:rsidR="00A81B5C">
        <w:rPr>
          <w:lang w:val="fr-CA"/>
        </w:rPr>
        <w:t>ExCom</w:t>
      </w:r>
      <w:proofErr w:type="spellEnd"/>
      <w:r w:rsidR="00A81B5C">
        <w:rPr>
          <w:lang w:val="fr-CA"/>
        </w:rPr>
        <w:t xml:space="preserve">/93/99.  D’autres membres ont </w:t>
      </w:r>
      <w:r w:rsidR="00BC1517">
        <w:rPr>
          <w:lang w:val="fr-CA"/>
        </w:rPr>
        <w:t xml:space="preserve">souligné l’importance de recueillir davantage d’informations avant d’accepter de fournir un financement supplémentaire et ont déclaré qu’une approche utile consisterait à tenir compte des enseignements tirés et de l’expertise acquise, </w:t>
      </w:r>
      <w:r w:rsidR="00EA270D">
        <w:rPr>
          <w:lang w:val="fr-CA"/>
        </w:rPr>
        <w:t>provenant aussi</w:t>
      </w:r>
      <w:r w:rsidR="00BC1517">
        <w:rPr>
          <w:lang w:val="fr-CA"/>
        </w:rPr>
        <w:t xml:space="preserve"> de pays non visés à l’article 5.  Par conséquent, le Comité exécutif a décidé, entre autres </w:t>
      </w:r>
      <w:r w:rsidR="007D57F2">
        <w:rPr>
          <w:lang w:val="fr-CA"/>
        </w:rPr>
        <w:t xml:space="preserve">(décision 93/94) </w:t>
      </w:r>
      <w:r w:rsidR="00BC1517">
        <w:rPr>
          <w:lang w:val="fr-CA"/>
        </w:rPr>
        <w:t>:</w:t>
      </w:r>
    </w:p>
    <w:p w14:paraId="2973F20D" w14:textId="0147EB4D" w:rsidR="00A81B5C" w:rsidRDefault="00A81B5C" w:rsidP="00334B92">
      <w:pPr>
        <w:rPr>
          <w:lang w:val="fr-CA"/>
        </w:rPr>
      </w:pPr>
    </w:p>
    <w:p w14:paraId="06E0C335" w14:textId="1DA3912A" w:rsidR="00BC1517" w:rsidRDefault="00BC1517" w:rsidP="00BC1517">
      <w:pPr>
        <w:pStyle w:val="Paragrafoelenco"/>
        <w:numPr>
          <w:ilvl w:val="0"/>
          <w:numId w:val="22"/>
        </w:numPr>
        <w:tabs>
          <w:tab w:val="left" w:pos="1418"/>
        </w:tabs>
        <w:ind w:left="1418" w:hanging="698"/>
        <w:rPr>
          <w:lang w:val="fr-CA"/>
        </w:rPr>
      </w:pPr>
      <w:r>
        <w:rPr>
          <w:lang w:val="fr-CA"/>
        </w:rPr>
        <w:tab/>
        <w:t>D’inviter les pays visés à l’article 5, par l’entremise des agences bilatérales et d’exécution ou de leurs KIP,</w:t>
      </w:r>
      <w:r>
        <w:rPr>
          <w:lang w:val="fr-CA"/>
        </w:rPr>
        <w:tab/>
        <w:t xml:space="preserve">à continuer de fournir volontairement au Secrétariat des informations sur leur sous-secteur de l’installation et de l’assemblage </w:t>
      </w:r>
      <w:r w:rsidR="007D57F2">
        <w:rPr>
          <w:lang w:val="fr-CA"/>
        </w:rPr>
        <w:t>sur place</w:t>
      </w:r>
      <w:r>
        <w:rPr>
          <w:lang w:val="fr-CA"/>
        </w:rPr>
        <w:t>;</w:t>
      </w:r>
    </w:p>
    <w:p w14:paraId="77AD7EF3" w14:textId="77777777" w:rsidR="00BC1517" w:rsidRDefault="00BC1517" w:rsidP="00BC1517">
      <w:pPr>
        <w:pStyle w:val="Paragrafoelenco"/>
        <w:ind w:left="1276"/>
        <w:rPr>
          <w:lang w:val="fr-CA"/>
        </w:rPr>
      </w:pPr>
    </w:p>
    <w:p w14:paraId="0FD44208" w14:textId="7233D16F" w:rsidR="002335F7" w:rsidRDefault="00BC1517" w:rsidP="00BC1517">
      <w:pPr>
        <w:pStyle w:val="Paragrafoelenco"/>
        <w:numPr>
          <w:ilvl w:val="0"/>
          <w:numId w:val="22"/>
        </w:numPr>
        <w:ind w:left="1418" w:hanging="698"/>
        <w:rPr>
          <w:lang w:val="fr-CA"/>
        </w:rPr>
      </w:pPr>
      <w:r>
        <w:rPr>
          <w:lang w:val="fr-CA"/>
        </w:rPr>
        <w:t xml:space="preserve">De charger le Secrétariat de fournir une mise à jour du document </w:t>
      </w:r>
      <w:r w:rsidR="002335F7">
        <w:rPr>
          <w:lang w:val="fr-CA"/>
        </w:rPr>
        <w:t>UNEP/</w:t>
      </w:r>
      <w:proofErr w:type="spellStart"/>
      <w:r w:rsidR="002335F7">
        <w:rPr>
          <w:lang w:val="fr-CA"/>
        </w:rPr>
        <w:t>OzL.Pro</w:t>
      </w:r>
      <w:proofErr w:type="spellEnd"/>
      <w:r w:rsidR="002335F7">
        <w:rPr>
          <w:lang w:val="fr-CA"/>
        </w:rPr>
        <w:t>/</w:t>
      </w:r>
      <w:proofErr w:type="spellStart"/>
      <w:r w:rsidR="002335F7">
        <w:rPr>
          <w:lang w:val="fr-CA"/>
        </w:rPr>
        <w:t>ExCom</w:t>
      </w:r>
      <w:proofErr w:type="spellEnd"/>
      <w:r w:rsidR="002335F7">
        <w:rPr>
          <w:lang w:val="fr-CA"/>
        </w:rPr>
        <w:t xml:space="preserve">/93/99, en tenant compte </w:t>
      </w:r>
      <w:r>
        <w:rPr>
          <w:lang w:val="fr-CA"/>
        </w:rPr>
        <w:t xml:space="preserve">des informations </w:t>
      </w:r>
      <w:r w:rsidR="002335F7">
        <w:rPr>
          <w:lang w:val="fr-CA"/>
        </w:rPr>
        <w:t xml:space="preserve">supplémentaires </w:t>
      </w:r>
      <w:r>
        <w:rPr>
          <w:lang w:val="fr-CA"/>
        </w:rPr>
        <w:t xml:space="preserve">fournies </w:t>
      </w:r>
      <w:r w:rsidR="002335F7">
        <w:rPr>
          <w:lang w:val="fr-CA"/>
        </w:rPr>
        <w:t xml:space="preserve">sur le sous-secteur de l’installation et de l’assemblage </w:t>
      </w:r>
      <w:r w:rsidR="007D57F2">
        <w:rPr>
          <w:lang w:val="fr-CA"/>
        </w:rPr>
        <w:t>sur place</w:t>
      </w:r>
      <w:r w:rsidR="002335F7">
        <w:rPr>
          <w:lang w:val="fr-CA"/>
        </w:rPr>
        <w:t xml:space="preserve"> </w:t>
      </w:r>
      <w:r>
        <w:rPr>
          <w:lang w:val="fr-CA"/>
        </w:rPr>
        <w:t xml:space="preserve">par les pays visés à l’article 5, </w:t>
      </w:r>
      <w:r w:rsidR="002335F7">
        <w:rPr>
          <w:lang w:val="fr-CA"/>
        </w:rPr>
        <w:t>pour examen à la 95</w:t>
      </w:r>
      <w:r w:rsidR="002335F7" w:rsidRPr="002335F7">
        <w:rPr>
          <w:vertAlign w:val="superscript"/>
          <w:lang w:val="fr-CA"/>
        </w:rPr>
        <w:t>e</w:t>
      </w:r>
      <w:r w:rsidR="002335F7">
        <w:rPr>
          <w:lang w:val="fr-CA"/>
        </w:rPr>
        <w:t xml:space="preserve"> réunion; et</w:t>
      </w:r>
    </w:p>
    <w:p w14:paraId="5CF5F3DD" w14:textId="77777777" w:rsidR="002335F7" w:rsidRPr="002335F7" w:rsidRDefault="002335F7" w:rsidP="002335F7">
      <w:pPr>
        <w:pStyle w:val="Paragrafoelenco"/>
        <w:rPr>
          <w:lang w:val="fr-CA"/>
        </w:rPr>
      </w:pPr>
    </w:p>
    <w:p w14:paraId="66C4DE24" w14:textId="2579323B" w:rsidR="00BC1517" w:rsidRDefault="002335F7" w:rsidP="00BC1517">
      <w:pPr>
        <w:pStyle w:val="Paragrafoelenco"/>
        <w:numPr>
          <w:ilvl w:val="0"/>
          <w:numId w:val="22"/>
        </w:numPr>
        <w:ind w:left="1418" w:hanging="698"/>
        <w:rPr>
          <w:lang w:val="fr-CA"/>
        </w:rPr>
      </w:pPr>
      <w:r>
        <w:rPr>
          <w:lang w:val="fr-CA"/>
        </w:rPr>
        <w:t xml:space="preserve">D’encourager </w:t>
      </w:r>
      <w:r w:rsidR="00BC1517" w:rsidRPr="002335F7">
        <w:rPr>
          <w:lang w:val="fr-CA"/>
        </w:rPr>
        <w:t xml:space="preserve">les agences bilatérales et d’exécution et les pays visés à l’article 5, lors de l’élaboration de projets dans le sous-secteur de l’installation et de l’assemblage </w:t>
      </w:r>
      <w:r w:rsidR="007D57F2">
        <w:rPr>
          <w:lang w:val="fr-CA"/>
        </w:rPr>
        <w:t xml:space="preserve">sur place </w:t>
      </w:r>
      <w:r w:rsidR="00BC1517" w:rsidRPr="002335F7">
        <w:rPr>
          <w:lang w:val="fr-CA"/>
        </w:rPr>
        <w:t xml:space="preserve">dans le cadre de la phase I de leurs </w:t>
      </w:r>
      <w:r>
        <w:rPr>
          <w:lang w:val="fr-CA"/>
        </w:rPr>
        <w:t>KIP,</w:t>
      </w:r>
      <w:r w:rsidR="00BC1517" w:rsidRPr="002335F7">
        <w:rPr>
          <w:lang w:val="fr-CA"/>
        </w:rPr>
        <w:t xml:space="preserve"> à veiller à ce que ces projets adoptent une approche stratégique pour faciliter la réduction progressive durable des HFC dans les applications ciblées par le projet, en tenant compte des suggestions et des activités proposées dans le document UNEP/</w:t>
      </w:r>
      <w:proofErr w:type="spellStart"/>
      <w:r w:rsidR="00BC1517" w:rsidRPr="002335F7">
        <w:rPr>
          <w:lang w:val="fr-CA"/>
        </w:rPr>
        <w:t>OzL.Pro</w:t>
      </w:r>
      <w:proofErr w:type="spellEnd"/>
      <w:r w:rsidR="00BC1517" w:rsidRPr="002335F7">
        <w:rPr>
          <w:lang w:val="fr-CA"/>
        </w:rPr>
        <w:t>/</w:t>
      </w:r>
      <w:proofErr w:type="spellStart"/>
      <w:r w:rsidR="00BC1517" w:rsidRPr="002335F7">
        <w:rPr>
          <w:lang w:val="fr-CA"/>
        </w:rPr>
        <w:t>ExCom</w:t>
      </w:r>
      <w:proofErr w:type="spellEnd"/>
      <w:r w:rsidR="00BC1517" w:rsidRPr="002335F7">
        <w:rPr>
          <w:lang w:val="fr-CA"/>
        </w:rPr>
        <w:t>/93/99.</w:t>
      </w:r>
    </w:p>
    <w:p w14:paraId="790CECD2" w14:textId="77777777" w:rsidR="002335F7" w:rsidRPr="002335F7" w:rsidRDefault="002335F7" w:rsidP="002335F7">
      <w:pPr>
        <w:pStyle w:val="Paragrafoelenco"/>
        <w:rPr>
          <w:lang w:val="fr-CA"/>
        </w:rPr>
      </w:pPr>
    </w:p>
    <w:p w14:paraId="3B63A710" w14:textId="78A7A8AD" w:rsidR="002335F7" w:rsidRDefault="002335F7" w:rsidP="002335F7">
      <w:pPr>
        <w:rPr>
          <w:lang w:val="fr-CA"/>
        </w:rPr>
      </w:pPr>
      <w:r>
        <w:rPr>
          <w:lang w:val="fr-CA"/>
        </w:rPr>
        <w:t>4.</w:t>
      </w:r>
      <w:r>
        <w:rPr>
          <w:lang w:val="fr-CA"/>
        </w:rPr>
        <w:tab/>
        <w:t xml:space="preserve">En réponse à la décision 93/94, le Secrétariat a préparé le présent document à partir des informations supplémentaires </w:t>
      </w:r>
      <w:r w:rsidR="00C2377F">
        <w:rPr>
          <w:lang w:val="fr-CA"/>
        </w:rPr>
        <w:t>sur le</w:t>
      </w:r>
      <w:r>
        <w:rPr>
          <w:lang w:val="fr-CA"/>
        </w:rPr>
        <w:t xml:space="preserve"> sous-secteur de l’installation et de l’assemblage </w:t>
      </w:r>
      <w:r w:rsidR="007D57F2">
        <w:rPr>
          <w:lang w:val="fr-CA"/>
        </w:rPr>
        <w:t>sur place</w:t>
      </w:r>
      <w:r w:rsidR="00C2377F">
        <w:rPr>
          <w:lang w:val="fr-CA"/>
        </w:rPr>
        <w:t>, fournies par les pays visés à l’article 5 dans leurs KIP</w:t>
      </w:r>
      <w:r>
        <w:rPr>
          <w:lang w:val="fr-CA"/>
        </w:rPr>
        <w:t>.</w:t>
      </w:r>
    </w:p>
    <w:p w14:paraId="2EE75F21" w14:textId="77777777" w:rsidR="002335F7" w:rsidRDefault="002335F7" w:rsidP="002335F7">
      <w:pPr>
        <w:rPr>
          <w:lang w:val="fr-CA"/>
        </w:rPr>
      </w:pPr>
    </w:p>
    <w:p w14:paraId="19361C57" w14:textId="46BDEDB5" w:rsidR="002335F7" w:rsidRDefault="007D57F2" w:rsidP="002335F7">
      <w:pPr>
        <w:rPr>
          <w:b/>
          <w:bCs/>
          <w:lang w:val="fr-CA"/>
        </w:rPr>
      </w:pPr>
      <w:r>
        <w:rPr>
          <w:b/>
          <w:bCs/>
          <w:lang w:val="fr-CA"/>
        </w:rPr>
        <w:t>Compte rendu des i</w:t>
      </w:r>
      <w:r w:rsidR="002335F7">
        <w:rPr>
          <w:b/>
          <w:bCs/>
          <w:lang w:val="fr-CA"/>
        </w:rPr>
        <w:t xml:space="preserve">nformations </w:t>
      </w:r>
      <w:r>
        <w:rPr>
          <w:b/>
          <w:bCs/>
          <w:lang w:val="fr-CA"/>
        </w:rPr>
        <w:t>sur</w:t>
      </w:r>
      <w:r w:rsidR="002335F7">
        <w:rPr>
          <w:b/>
          <w:bCs/>
          <w:lang w:val="fr-CA"/>
        </w:rPr>
        <w:t xml:space="preserve"> le sous-secteur de l’installation et de l’assemblage loca</w:t>
      </w:r>
      <w:r w:rsidR="00E26B7B">
        <w:rPr>
          <w:b/>
          <w:bCs/>
          <w:lang w:val="fr-CA"/>
        </w:rPr>
        <w:t>ux</w:t>
      </w:r>
    </w:p>
    <w:p w14:paraId="6E7EA284" w14:textId="77777777" w:rsidR="002335F7" w:rsidRDefault="002335F7" w:rsidP="002335F7">
      <w:pPr>
        <w:rPr>
          <w:b/>
          <w:bCs/>
          <w:lang w:val="fr-CA"/>
        </w:rPr>
      </w:pPr>
    </w:p>
    <w:p w14:paraId="711745AD" w14:textId="02FB6740" w:rsidR="002335F7" w:rsidRDefault="002335F7" w:rsidP="002335F7">
      <w:pPr>
        <w:rPr>
          <w:lang w:val="fr-CA"/>
        </w:rPr>
      </w:pPr>
      <w:r>
        <w:rPr>
          <w:lang w:val="fr-CA"/>
        </w:rPr>
        <w:t>5.</w:t>
      </w:r>
      <w:r>
        <w:rPr>
          <w:lang w:val="fr-CA"/>
        </w:rPr>
        <w:tab/>
        <w:t>En date du 25 novembre 2024, les pays n’avaient fourni aucune information sur le sous-secteur de l’installation et de l’assemblage loca</w:t>
      </w:r>
      <w:r w:rsidR="00E26B7B">
        <w:rPr>
          <w:lang w:val="fr-CA"/>
        </w:rPr>
        <w:t>ux</w:t>
      </w:r>
      <w:r>
        <w:rPr>
          <w:lang w:val="fr-CA"/>
        </w:rPr>
        <w:t xml:space="preserve"> par l’entremise des agences d’exécution</w:t>
      </w:r>
      <w:r w:rsidR="00E26B7B">
        <w:rPr>
          <w:lang w:val="fr-CA"/>
        </w:rPr>
        <w:t xml:space="preserve">, </w:t>
      </w:r>
      <w:r w:rsidR="00C2377F">
        <w:rPr>
          <w:lang w:val="fr-CA"/>
        </w:rPr>
        <w:t>selon</w:t>
      </w:r>
      <w:r>
        <w:rPr>
          <w:lang w:val="fr-CA"/>
        </w:rPr>
        <w:t xml:space="preserve"> la décision 93/93(c).  Toutefois, plusieurs KIP contenaient des informations sur </w:t>
      </w:r>
      <w:r w:rsidR="00E26B7B">
        <w:rPr>
          <w:lang w:val="fr-CA"/>
        </w:rPr>
        <w:t>l</w:t>
      </w:r>
      <w:r>
        <w:rPr>
          <w:lang w:val="fr-CA"/>
        </w:rPr>
        <w:t>e sous-secteur.</w:t>
      </w:r>
    </w:p>
    <w:p w14:paraId="6207AA48" w14:textId="77777777" w:rsidR="002335F7" w:rsidRDefault="002335F7" w:rsidP="002335F7">
      <w:pPr>
        <w:rPr>
          <w:lang w:val="fr-CA"/>
        </w:rPr>
      </w:pPr>
    </w:p>
    <w:p w14:paraId="2C0FFDC4" w14:textId="51916C3F" w:rsidR="00F47B17" w:rsidRDefault="002335F7" w:rsidP="002335F7">
      <w:pPr>
        <w:rPr>
          <w:lang w:val="fr-CA"/>
        </w:rPr>
      </w:pPr>
      <w:r>
        <w:rPr>
          <w:lang w:val="fr-CA"/>
        </w:rPr>
        <w:t>6.</w:t>
      </w:r>
      <w:r>
        <w:rPr>
          <w:lang w:val="fr-CA"/>
        </w:rPr>
        <w:tab/>
        <w:t>Jusqu’à présent, un total de 40 KIP ont été approuvés entre la 91</w:t>
      </w:r>
      <w:r w:rsidRPr="002335F7">
        <w:rPr>
          <w:vertAlign w:val="superscript"/>
          <w:lang w:val="fr-CA"/>
        </w:rPr>
        <w:t>e</w:t>
      </w:r>
      <w:r>
        <w:rPr>
          <w:lang w:val="fr-CA"/>
        </w:rPr>
        <w:t xml:space="preserve"> et la 94</w:t>
      </w:r>
      <w:r w:rsidRPr="002335F7">
        <w:rPr>
          <w:vertAlign w:val="superscript"/>
          <w:lang w:val="fr-CA"/>
        </w:rPr>
        <w:t>e</w:t>
      </w:r>
      <w:r>
        <w:rPr>
          <w:lang w:val="fr-CA"/>
        </w:rPr>
        <w:t xml:space="preserve"> réunion; </w:t>
      </w:r>
      <w:r w:rsidR="00F47B17">
        <w:rPr>
          <w:lang w:val="fr-CA"/>
        </w:rPr>
        <w:t>et des KIP pour 26 pays (14 nationaux et un régional pour les 12 Pays insulaires du Pacifique) ont été soumis à la 95</w:t>
      </w:r>
      <w:r w:rsidR="00F47B17" w:rsidRPr="00F47B17">
        <w:rPr>
          <w:vertAlign w:val="superscript"/>
          <w:lang w:val="fr-CA"/>
        </w:rPr>
        <w:t>e</w:t>
      </w:r>
      <w:r w:rsidR="00F47B17">
        <w:rPr>
          <w:lang w:val="fr-CA"/>
        </w:rPr>
        <w:t xml:space="preserve"> réunion pour examen par le Comité exécutif.  À partir des informations </w:t>
      </w:r>
      <w:r w:rsidR="00E26B7B">
        <w:rPr>
          <w:lang w:val="fr-CA"/>
        </w:rPr>
        <w:t>sur le</w:t>
      </w:r>
      <w:r w:rsidR="00F47B17">
        <w:rPr>
          <w:lang w:val="fr-CA"/>
        </w:rPr>
        <w:t xml:space="preserve"> sous-secteur de l’installation et de </w:t>
      </w:r>
      <w:r w:rsidR="00F47B17">
        <w:rPr>
          <w:lang w:val="fr-CA"/>
        </w:rPr>
        <w:lastRenderedPageBreak/>
        <w:t>l’assemblage loca</w:t>
      </w:r>
      <w:r w:rsidR="00E26B7B">
        <w:rPr>
          <w:lang w:val="fr-CA"/>
        </w:rPr>
        <w:t xml:space="preserve">ux contenues dans ces KIP, </w:t>
      </w:r>
      <w:r w:rsidR="00F47B17">
        <w:rPr>
          <w:lang w:val="fr-CA"/>
        </w:rPr>
        <w:t>le Secrétariat a effectué une analyse dont les résultats sont résumés ci-dessous.</w:t>
      </w:r>
    </w:p>
    <w:p w14:paraId="646331FF" w14:textId="77777777" w:rsidR="00F47B17" w:rsidRDefault="00F47B17" w:rsidP="002335F7">
      <w:pPr>
        <w:rPr>
          <w:lang w:val="fr-CA"/>
        </w:rPr>
      </w:pPr>
    </w:p>
    <w:p w14:paraId="6FB4C8F0" w14:textId="3922790E" w:rsidR="002335F7" w:rsidRDefault="00F47B17" w:rsidP="002335F7">
      <w:pPr>
        <w:rPr>
          <w:lang w:val="fr-CA"/>
        </w:rPr>
      </w:pPr>
      <w:r>
        <w:rPr>
          <w:lang w:val="fr-CA"/>
        </w:rPr>
        <w:t>7.</w:t>
      </w:r>
      <w:r>
        <w:rPr>
          <w:lang w:val="fr-CA"/>
        </w:rPr>
        <w:tab/>
        <w:t>Tandis que l’on s’attendait à ce que davantage d’informations sur</w:t>
      </w:r>
      <w:r w:rsidR="00E26B7B">
        <w:rPr>
          <w:lang w:val="fr-CA"/>
        </w:rPr>
        <w:t xml:space="preserve"> </w:t>
      </w:r>
      <w:r w:rsidR="00942FCC">
        <w:rPr>
          <w:lang w:val="fr-CA"/>
        </w:rPr>
        <w:t>l</w:t>
      </w:r>
      <w:r>
        <w:rPr>
          <w:lang w:val="fr-CA"/>
        </w:rPr>
        <w:t>e sous-secteur deviennent disponibles lorsque les pays visés à l’article 5 recueill</w:t>
      </w:r>
      <w:r w:rsidR="00C2377F">
        <w:rPr>
          <w:lang w:val="fr-CA"/>
        </w:rPr>
        <w:t>er</w:t>
      </w:r>
      <w:r>
        <w:rPr>
          <w:lang w:val="fr-CA"/>
        </w:rPr>
        <w:t>aient des données sur la consommation de HFC durant la préparation de leurs KIP</w:t>
      </w:r>
      <w:r>
        <w:rPr>
          <w:rStyle w:val="Rimandonotaapidipagina"/>
          <w:lang w:val="fr-CA"/>
        </w:rPr>
        <w:footnoteReference w:id="2"/>
      </w:r>
      <w:r>
        <w:rPr>
          <w:lang w:val="fr-CA"/>
        </w:rPr>
        <w:t xml:space="preserve">, les informations recueillies jusqu’à présent sont limitées. </w:t>
      </w:r>
    </w:p>
    <w:p w14:paraId="6359077B" w14:textId="77777777" w:rsidR="00A84CFC" w:rsidRDefault="00A84CFC" w:rsidP="002335F7">
      <w:pPr>
        <w:rPr>
          <w:lang w:val="fr-CA"/>
        </w:rPr>
      </w:pPr>
    </w:p>
    <w:p w14:paraId="1002D90D" w14:textId="4F410C5F" w:rsidR="00A84CFC" w:rsidRDefault="00A84CFC" w:rsidP="002335F7">
      <w:pPr>
        <w:rPr>
          <w:lang w:val="fr-CA"/>
        </w:rPr>
      </w:pPr>
      <w:r>
        <w:rPr>
          <w:lang w:val="fr-CA"/>
        </w:rPr>
        <w:t>8.</w:t>
      </w:r>
      <w:r>
        <w:rPr>
          <w:lang w:val="fr-CA"/>
        </w:rPr>
        <w:tab/>
        <w:t>La plupart des KIP soumis n</w:t>
      </w:r>
      <w:r w:rsidR="00E26B7B">
        <w:rPr>
          <w:lang w:val="fr-CA"/>
        </w:rPr>
        <w:t xml:space="preserve">’ont pas </w:t>
      </w:r>
      <w:r>
        <w:rPr>
          <w:lang w:val="fr-CA"/>
        </w:rPr>
        <w:t>sépar</w:t>
      </w:r>
      <w:r w:rsidR="00E26B7B">
        <w:rPr>
          <w:lang w:val="fr-CA"/>
        </w:rPr>
        <w:t>é</w:t>
      </w:r>
      <w:r>
        <w:rPr>
          <w:lang w:val="fr-CA"/>
        </w:rPr>
        <w:t xml:space="preserve"> la consommation de HFC associée à l’installation et à l’assemblage des systèmes de RAC </w:t>
      </w:r>
      <w:r w:rsidR="00E26B7B">
        <w:rPr>
          <w:lang w:val="fr-CA"/>
        </w:rPr>
        <w:t>sur place (première charge), de</w:t>
      </w:r>
      <w:r>
        <w:rPr>
          <w:lang w:val="fr-CA"/>
        </w:rPr>
        <w:t xml:space="preserve"> celle du secteur de l’entretien de l’équipement de réfrigération, reconnaissant qu’il était difficile d’obtenir </w:t>
      </w:r>
      <w:r w:rsidR="00E26B7B">
        <w:rPr>
          <w:lang w:val="fr-CA"/>
        </w:rPr>
        <w:t>l</w:t>
      </w:r>
      <w:r>
        <w:rPr>
          <w:lang w:val="fr-CA"/>
        </w:rPr>
        <w:t xml:space="preserve">es données. </w:t>
      </w:r>
      <w:r w:rsidR="00E26B7B">
        <w:rPr>
          <w:lang w:val="fr-CA"/>
        </w:rPr>
        <w:t xml:space="preserve"> </w:t>
      </w:r>
      <w:r>
        <w:rPr>
          <w:lang w:val="fr-CA"/>
        </w:rPr>
        <w:t>Toutefois, 18 pays (27 pour cent des pays qui ont soumis des KIP) ont fourni des estimations préliminaires de l</w:t>
      </w:r>
      <w:r w:rsidR="00E26B7B">
        <w:rPr>
          <w:lang w:val="fr-CA"/>
        </w:rPr>
        <w:t>a</w:t>
      </w:r>
      <w:r>
        <w:rPr>
          <w:lang w:val="fr-CA"/>
        </w:rPr>
        <w:t xml:space="preserve"> consommation de HFC dans le sous-secteur, </w:t>
      </w:r>
      <w:r w:rsidR="00E26B7B">
        <w:rPr>
          <w:lang w:val="fr-CA"/>
        </w:rPr>
        <w:t>du nombre de</w:t>
      </w:r>
      <w:r>
        <w:rPr>
          <w:lang w:val="fr-CA"/>
        </w:rPr>
        <w:t xml:space="preserve"> systèmes installés et </w:t>
      </w:r>
      <w:r w:rsidR="00E26B7B">
        <w:rPr>
          <w:lang w:val="fr-CA"/>
        </w:rPr>
        <w:t>d</w:t>
      </w:r>
      <w:r>
        <w:rPr>
          <w:lang w:val="fr-CA"/>
        </w:rPr>
        <w:t xml:space="preserve">es types d’applications.  Plusieurs pays ont indiqué aussi qu’ils entreprendraient du travail supplémentaire durant la phase I de leur KIP pour </w:t>
      </w:r>
      <w:r w:rsidR="00C2377F">
        <w:rPr>
          <w:lang w:val="fr-CA"/>
        </w:rPr>
        <w:t>parven</w:t>
      </w:r>
      <w:r>
        <w:rPr>
          <w:lang w:val="fr-CA"/>
        </w:rPr>
        <w:t xml:space="preserve">ir </w:t>
      </w:r>
      <w:r w:rsidR="00C2377F">
        <w:rPr>
          <w:lang w:val="fr-CA"/>
        </w:rPr>
        <w:t xml:space="preserve">à </w:t>
      </w:r>
      <w:r>
        <w:rPr>
          <w:lang w:val="fr-CA"/>
        </w:rPr>
        <w:t xml:space="preserve">une meilleure compréhension </w:t>
      </w:r>
      <w:r w:rsidR="00E26B7B">
        <w:rPr>
          <w:lang w:val="fr-CA"/>
        </w:rPr>
        <w:t>du</w:t>
      </w:r>
      <w:r>
        <w:rPr>
          <w:lang w:val="fr-CA"/>
        </w:rPr>
        <w:t xml:space="preserve"> sous-secteur.</w:t>
      </w:r>
    </w:p>
    <w:p w14:paraId="662F2D9F" w14:textId="77777777" w:rsidR="00A84CFC" w:rsidRDefault="00A84CFC" w:rsidP="002335F7">
      <w:pPr>
        <w:rPr>
          <w:lang w:val="fr-CA"/>
        </w:rPr>
      </w:pPr>
    </w:p>
    <w:p w14:paraId="0F81446B" w14:textId="4DF89D60" w:rsidR="00A84CFC" w:rsidRDefault="00A84CFC" w:rsidP="002335F7">
      <w:pPr>
        <w:rPr>
          <w:lang w:val="fr-CA"/>
        </w:rPr>
      </w:pPr>
      <w:r>
        <w:rPr>
          <w:lang w:val="fr-CA"/>
        </w:rPr>
        <w:t>9.</w:t>
      </w:r>
      <w:r>
        <w:rPr>
          <w:lang w:val="fr-CA"/>
        </w:rPr>
        <w:tab/>
        <w:t xml:space="preserve">Un pays (Costa Rica) a identifié la consommation dans le sous-secteur de l’installation et de l’assemblage </w:t>
      </w:r>
      <w:r w:rsidR="006E5B8B">
        <w:rPr>
          <w:lang w:val="fr-CA"/>
        </w:rPr>
        <w:t>sur place</w:t>
      </w:r>
      <w:r w:rsidR="00C2377F">
        <w:rPr>
          <w:lang w:val="fr-CA"/>
        </w:rPr>
        <w:t>,</w:t>
      </w:r>
      <w:r w:rsidR="006E5B8B">
        <w:rPr>
          <w:lang w:val="fr-CA"/>
        </w:rPr>
        <w:t xml:space="preserve"> sans la distinguer </w:t>
      </w:r>
      <w:r>
        <w:rPr>
          <w:lang w:val="fr-CA"/>
        </w:rPr>
        <w:t xml:space="preserve">de l’utilisation par le secteur de l’entretien de RAC dans les données </w:t>
      </w:r>
      <w:r w:rsidR="006E5B8B">
        <w:rPr>
          <w:lang w:val="fr-CA"/>
        </w:rPr>
        <w:t>du</w:t>
      </w:r>
      <w:r>
        <w:rPr>
          <w:lang w:val="fr-CA"/>
        </w:rPr>
        <w:t xml:space="preserve"> programme de pays (PP) puisqu’il n’y a pas de colonne spécifique pour ce sous-secteur dans le format de rapport pour le PP.  À la suggestion du Secrétariat, le gouvernement a révisé les données du PP pour in</w:t>
      </w:r>
      <w:r w:rsidR="006E5B8B">
        <w:rPr>
          <w:lang w:val="fr-CA"/>
        </w:rPr>
        <w:t>scrire,</w:t>
      </w:r>
      <w:r>
        <w:rPr>
          <w:lang w:val="fr-CA"/>
        </w:rPr>
        <w:t xml:space="preserve"> dans la colonne "Autres"</w:t>
      </w:r>
      <w:r w:rsidR="006E5B8B">
        <w:rPr>
          <w:lang w:val="fr-CA"/>
        </w:rPr>
        <w:t>,</w:t>
      </w:r>
      <w:r>
        <w:rPr>
          <w:lang w:val="fr-CA"/>
        </w:rPr>
        <w:t xml:space="preserve"> </w:t>
      </w:r>
      <w:r w:rsidR="006E5B8B">
        <w:rPr>
          <w:lang w:val="fr-CA"/>
        </w:rPr>
        <w:t xml:space="preserve">l’utilisation de HFC dans ce sous-secteur </w:t>
      </w:r>
      <w:r>
        <w:rPr>
          <w:lang w:val="fr-CA"/>
        </w:rPr>
        <w:t xml:space="preserve">et mentionner le sous-secteur dans </w:t>
      </w:r>
      <w:r w:rsidR="006E5B8B">
        <w:rPr>
          <w:lang w:val="fr-CA"/>
        </w:rPr>
        <w:t>l</w:t>
      </w:r>
      <w:r w:rsidR="00C2377F">
        <w:rPr>
          <w:lang w:val="fr-CA"/>
        </w:rPr>
        <w:t>a colonne d</w:t>
      </w:r>
      <w:r>
        <w:rPr>
          <w:lang w:val="fr-CA"/>
        </w:rPr>
        <w:t xml:space="preserve">es </w:t>
      </w:r>
      <w:r w:rsidR="006E5B8B">
        <w:rPr>
          <w:lang w:val="fr-CA"/>
        </w:rPr>
        <w:t>Re</w:t>
      </w:r>
      <w:r>
        <w:rPr>
          <w:lang w:val="fr-CA"/>
        </w:rPr>
        <w:t>marques.</w:t>
      </w:r>
    </w:p>
    <w:p w14:paraId="5A967073" w14:textId="77777777" w:rsidR="00A84CFC" w:rsidRDefault="00A84CFC" w:rsidP="002335F7">
      <w:pPr>
        <w:rPr>
          <w:lang w:val="fr-CA"/>
        </w:rPr>
      </w:pPr>
    </w:p>
    <w:p w14:paraId="30D243F9" w14:textId="536CF3DF" w:rsidR="00A84CFC" w:rsidRDefault="00A84CFC" w:rsidP="002335F7">
      <w:pPr>
        <w:rPr>
          <w:lang w:val="fr-CA"/>
        </w:rPr>
      </w:pPr>
      <w:r>
        <w:rPr>
          <w:lang w:val="fr-CA"/>
        </w:rPr>
        <w:t>10.</w:t>
      </w:r>
      <w:r>
        <w:rPr>
          <w:lang w:val="fr-CA"/>
        </w:rPr>
        <w:tab/>
        <w:t xml:space="preserve">La consommation de HFC dans le sous-secteur de l’installation et de l’assemblage </w:t>
      </w:r>
      <w:r w:rsidR="006E5B8B">
        <w:rPr>
          <w:lang w:val="fr-CA"/>
        </w:rPr>
        <w:t>sur place</w:t>
      </w:r>
      <w:r>
        <w:rPr>
          <w:lang w:val="fr-CA"/>
        </w:rPr>
        <w:t xml:space="preserve"> varie beaucoup</w:t>
      </w:r>
      <w:r w:rsidR="00241FCF">
        <w:rPr>
          <w:lang w:val="fr-CA"/>
        </w:rPr>
        <w:t>, de 4,1 à 143,94 t</w:t>
      </w:r>
      <w:r w:rsidR="006E5B8B">
        <w:rPr>
          <w:lang w:val="fr-CA"/>
        </w:rPr>
        <w:t xml:space="preserve">onnes </w:t>
      </w:r>
      <w:r w:rsidR="00241FCF">
        <w:rPr>
          <w:lang w:val="fr-CA"/>
        </w:rPr>
        <w:t>m</w:t>
      </w:r>
      <w:r w:rsidR="006E5B8B">
        <w:rPr>
          <w:lang w:val="fr-CA"/>
        </w:rPr>
        <w:t>étriques</w:t>
      </w:r>
      <w:r w:rsidR="00241FCF">
        <w:rPr>
          <w:lang w:val="fr-CA"/>
        </w:rPr>
        <w:t xml:space="preserve">. Cette consommation, en termes de pourcentage de la consommation totale de HFC dans le secteur de l’entretien des RAC, fluctue aussi grandement, de 1 à 21 pour cent.  Le Secrétariat a </w:t>
      </w:r>
      <w:r w:rsidR="006E5B8B">
        <w:rPr>
          <w:lang w:val="fr-CA"/>
        </w:rPr>
        <w:t>constaté</w:t>
      </w:r>
      <w:r w:rsidR="00241FCF">
        <w:rPr>
          <w:lang w:val="fr-CA"/>
        </w:rPr>
        <w:t xml:space="preserve"> que la consommation dans ce sous-secteur </w:t>
      </w:r>
      <w:r w:rsidR="00090B55">
        <w:rPr>
          <w:lang w:val="fr-CA"/>
        </w:rPr>
        <w:t xml:space="preserve">varie considérablement selon le développement économique du pays, car de grands projets de développement dans le secteur de la construction ou de la chaine du froid peuvent créer une forte demande de HFC pour </w:t>
      </w:r>
      <w:r w:rsidR="006E5B8B">
        <w:rPr>
          <w:lang w:val="fr-CA"/>
        </w:rPr>
        <w:t xml:space="preserve">le </w:t>
      </w:r>
      <w:r w:rsidR="00090B55">
        <w:rPr>
          <w:lang w:val="fr-CA"/>
        </w:rPr>
        <w:t>charge</w:t>
      </w:r>
      <w:r w:rsidR="006E5B8B">
        <w:rPr>
          <w:lang w:val="fr-CA"/>
        </w:rPr>
        <w:t>ment de</w:t>
      </w:r>
      <w:r w:rsidR="00090B55">
        <w:rPr>
          <w:lang w:val="fr-CA"/>
        </w:rPr>
        <w:t xml:space="preserve"> l’équipement de RAC nouvellement installé au cours d’une même année, ce qui n’est pas représentatif des tendances à long terme, notamment dans les pays à faible volume de consommation (PFV).</w:t>
      </w:r>
    </w:p>
    <w:p w14:paraId="69A1E8D5" w14:textId="77777777" w:rsidR="00090B55" w:rsidRDefault="00090B55" w:rsidP="002335F7">
      <w:pPr>
        <w:rPr>
          <w:lang w:val="fr-CA"/>
        </w:rPr>
      </w:pPr>
    </w:p>
    <w:p w14:paraId="5EB78B9D" w14:textId="0C138DEC" w:rsidR="004635E6" w:rsidRDefault="00090B55" w:rsidP="002335F7">
      <w:pPr>
        <w:rPr>
          <w:lang w:val="fr-CA"/>
        </w:rPr>
      </w:pPr>
      <w:r>
        <w:rPr>
          <w:lang w:val="fr-CA"/>
        </w:rPr>
        <w:t>11.</w:t>
      </w:r>
      <w:r>
        <w:rPr>
          <w:lang w:val="fr-CA"/>
        </w:rPr>
        <w:tab/>
        <w:t xml:space="preserve">D’après les informations préliminaires provenant de 18 KIP, le sous-secteur consomme surtout du HFC-134a, du R-404A et du R-507A pour </w:t>
      </w:r>
      <w:r w:rsidR="006E5B8B">
        <w:rPr>
          <w:lang w:val="fr-CA"/>
        </w:rPr>
        <w:t xml:space="preserve">le </w:t>
      </w:r>
      <w:r>
        <w:rPr>
          <w:lang w:val="fr-CA"/>
        </w:rPr>
        <w:t>charge</w:t>
      </w:r>
      <w:r w:rsidR="006E5B8B">
        <w:rPr>
          <w:lang w:val="fr-CA"/>
        </w:rPr>
        <w:t>ment</w:t>
      </w:r>
      <w:r>
        <w:rPr>
          <w:lang w:val="fr-CA"/>
        </w:rPr>
        <w:t xml:space="preserve"> de l’équipement de réfrigération commerciale et industrielle à température moyenne et faible, comme des condenseurs et des systèmes centralisés; et dans une moindre mesure, du R-410A, du R407C et du HFC-32 pour </w:t>
      </w:r>
      <w:r w:rsidR="006E5B8B">
        <w:rPr>
          <w:lang w:val="fr-CA"/>
        </w:rPr>
        <w:t xml:space="preserve">le </w:t>
      </w:r>
      <w:r>
        <w:rPr>
          <w:lang w:val="fr-CA"/>
        </w:rPr>
        <w:t>charge</w:t>
      </w:r>
      <w:r w:rsidR="006E5B8B">
        <w:rPr>
          <w:lang w:val="fr-CA"/>
        </w:rPr>
        <w:t>ment</w:t>
      </w:r>
      <w:r>
        <w:rPr>
          <w:lang w:val="fr-CA"/>
        </w:rPr>
        <w:t xml:space="preserve"> de gros systèmes de climatisation stationnaires (climatiseurs </w:t>
      </w:r>
      <w:proofErr w:type="spellStart"/>
      <w:r>
        <w:rPr>
          <w:lang w:val="fr-CA"/>
        </w:rPr>
        <w:t>biblocs</w:t>
      </w:r>
      <w:proofErr w:type="spellEnd"/>
      <w:r>
        <w:rPr>
          <w:lang w:val="fr-CA"/>
        </w:rPr>
        <w:t xml:space="preserve">, systèmes </w:t>
      </w:r>
      <w:r w:rsidR="0099673E">
        <w:rPr>
          <w:lang w:val="fr-CA"/>
        </w:rPr>
        <w:t>à débit de réfrigérant variable (</w:t>
      </w:r>
      <w:r w:rsidR="004635E6">
        <w:rPr>
          <w:lang w:val="fr-CA"/>
        </w:rPr>
        <w:t>DRV</w:t>
      </w:r>
      <w:r w:rsidR="0099673E">
        <w:rPr>
          <w:lang w:val="fr-CA"/>
        </w:rPr>
        <w:t>)</w:t>
      </w:r>
      <w:r w:rsidR="004635E6">
        <w:rPr>
          <w:lang w:val="fr-CA"/>
        </w:rPr>
        <w:t xml:space="preserve">, systèmes avec conduits et unités de toiture autonomes) et de refroidisseurs.  Certains de ces systèmes utilisent aussi du HCFC-22.  Ces systèmes sont installés dans des supermarchés, des magasins de détail, des hôtels et des chambres froides pour </w:t>
      </w:r>
      <w:r w:rsidR="00A1068F">
        <w:rPr>
          <w:lang w:val="fr-CA"/>
        </w:rPr>
        <w:t>l’entreposage et la transformation</w:t>
      </w:r>
      <w:r w:rsidR="004635E6">
        <w:rPr>
          <w:lang w:val="fr-CA"/>
        </w:rPr>
        <w:t xml:space="preserve"> d</w:t>
      </w:r>
      <w:r w:rsidR="00A1068F">
        <w:rPr>
          <w:lang w:val="fr-CA"/>
        </w:rPr>
        <w:t>’</w:t>
      </w:r>
      <w:r w:rsidR="004635E6">
        <w:rPr>
          <w:lang w:val="fr-CA"/>
        </w:rPr>
        <w:t>aliments, de boissons, de produits médicaux et agricoles.  L’équipement autonome préchargé est exclu du sous-secteur.</w:t>
      </w:r>
    </w:p>
    <w:p w14:paraId="73465BB3" w14:textId="77777777" w:rsidR="004635E6" w:rsidRDefault="004635E6" w:rsidP="002335F7">
      <w:pPr>
        <w:rPr>
          <w:lang w:val="fr-CA"/>
        </w:rPr>
      </w:pPr>
    </w:p>
    <w:p w14:paraId="17CAECC3" w14:textId="295E766A" w:rsidR="004635E6" w:rsidRDefault="004635E6" w:rsidP="002335F7">
      <w:pPr>
        <w:rPr>
          <w:lang w:val="fr-CA"/>
        </w:rPr>
      </w:pPr>
      <w:r>
        <w:rPr>
          <w:lang w:val="fr-CA"/>
        </w:rPr>
        <w:t>12.</w:t>
      </w:r>
      <w:r>
        <w:rPr>
          <w:lang w:val="fr-CA"/>
        </w:rPr>
        <w:tab/>
        <w:t>Tandis qu’une bonne part des 18 KIP pouvaient estimer la consommation de HFC et les principales applications, il était difficile de fournir le nombre exact de systèmes de RAC assemblés et installés.  Trois pays (Albanie, Monténégro et Macédoine du Nord) ont fourni des informations détaillées sur le nombre de systèmes de RAC assemblés et installés dans le pays, les substances utilisées et les entreprises actives dans le sous-secteur.  Toutefois, la phase I de</w:t>
      </w:r>
      <w:r w:rsidR="00953B39">
        <w:rPr>
          <w:lang w:val="fr-CA"/>
        </w:rPr>
        <w:t xml:space="preserve"> leur</w:t>
      </w:r>
      <w:r>
        <w:rPr>
          <w:lang w:val="fr-CA"/>
        </w:rPr>
        <w:t xml:space="preserve">s KIP n’incluait aucune activité spécifique pour le sous-secteur.  </w:t>
      </w:r>
      <w:r w:rsidR="00C2377F">
        <w:rPr>
          <w:lang w:val="fr-CA"/>
        </w:rPr>
        <w:t>L</w:t>
      </w:r>
      <w:r>
        <w:rPr>
          <w:lang w:val="fr-CA"/>
        </w:rPr>
        <w:t xml:space="preserve">es KIP incluaient </w:t>
      </w:r>
      <w:r w:rsidR="00C2377F">
        <w:rPr>
          <w:lang w:val="fr-CA"/>
        </w:rPr>
        <w:t xml:space="preserve">plutôt </w:t>
      </w:r>
      <w:r>
        <w:rPr>
          <w:lang w:val="fr-CA"/>
        </w:rPr>
        <w:t xml:space="preserve">du soutien </w:t>
      </w:r>
      <w:r w:rsidR="00A1068F">
        <w:rPr>
          <w:lang w:val="fr-CA"/>
        </w:rPr>
        <w:t>po</w:t>
      </w:r>
      <w:r>
        <w:rPr>
          <w:lang w:val="fr-CA"/>
        </w:rPr>
        <w:t xml:space="preserve">ur des études sectorielles </w:t>
      </w:r>
      <w:r w:rsidR="00A1068F">
        <w:rPr>
          <w:lang w:val="fr-CA"/>
        </w:rPr>
        <w:t>sur</w:t>
      </w:r>
      <w:r>
        <w:rPr>
          <w:lang w:val="fr-CA"/>
        </w:rPr>
        <w:t xml:space="preserve"> la consommation et </w:t>
      </w:r>
      <w:r w:rsidR="00A1068F">
        <w:rPr>
          <w:lang w:val="fr-CA"/>
        </w:rPr>
        <w:t>l</w:t>
      </w:r>
      <w:r>
        <w:rPr>
          <w:lang w:val="fr-CA"/>
        </w:rPr>
        <w:t xml:space="preserve">es utilisations des </w:t>
      </w:r>
      <w:r>
        <w:rPr>
          <w:lang w:val="fr-CA"/>
        </w:rPr>
        <w:lastRenderedPageBreak/>
        <w:t xml:space="preserve">HFC pour </w:t>
      </w:r>
      <w:r w:rsidR="00C2377F">
        <w:rPr>
          <w:lang w:val="fr-CA"/>
        </w:rPr>
        <w:t>d</w:t>
      </w:r>
      <w:r>
        <w:rPr>
          <w:lang w:val="fr-CA"/>
        </w:rPr>
        <w:t xml:space="preserve">es secteurs autres que </w:t>
      </w:r>
      <w:r w:rsidR="000436E7">
        <w:rPr>
          <w:lang w:val="fr-CA"/>
        </w:rPr>
        <w:t xml:space="preserve">l’entretien de </w:t>
      </w:r>
      <w:r>
        <w:rPr>
          <w:lang w:val="fr-CA"/>
        </w:rPr>
        <w:t xml:space="preserve">RAC, incluant le sous-secteur de l’installation et de l’assemblage </w:t>
      </w:r>
      <w:r w:rsidR="00A1068F">
        <w:rPr>
          <w:lang w:val="fr-CA"/>
        </w:rPr>
        <w:t xml:space="preserve">sur place </w:t>
      </w:r>
      <w:r>
        <w:rPr>
          <w:lang w:val="fr-CA"/>
        </w:rPr>
        <w:t xml:space="preserve">pour mieux le comprendre et explorer les options pour éliminer les HFC.  </w:t>
      </w:r>
    </w:p>
    <w:p w14:paraId="45EDB175" w14:textId="77777777" w:rsidR="004635E6" w:rsidRDefault="004635E6" w:rsidP="002335F7">
      <w:pPr>
        <w:rPr>
          <w:lang w:val="fr-CA"/>
        </w:rPr>
      </w:pPr>
    </w:p>
    <w:p w14:paraId="34AF78F5" w14:textId="66E8AA37" w:rsidR="00090B55" w:rsidRDefault="004635E6" w:rsidP="002335F7">
      <w:pPr>
        <w:rPr>
          <w:lang w:val="fr-CA"/>
        </w:rPr>
      </w:pPr>
      <w:r>
        <w:rPr>
          <w:lang w:val="fr-CA"/>
        </w:rPr>
        <w:t>13.</w:t>
      </w:r>
      <w:r>
        <w:rPr>
          <w:lang w:val="fr-CA"/>
        </w:rPr>
        <w:tab/>
        <w:t xml:space="preserve">Pour plusieurs pays, il était difficile de faire une distinction claire entre le sous-secteur de l’installation et de l’assemblage </w:t>
      </w:r>
      <w:r w:rsidR="00A1068F">
        <w:rPr>
          <w:lang w:val="fr-CA"/>
        </w:rPr>
        <w:t>sur place</w:t>
      </w:r>
      <w:r>
        <w:rPr>
          <w:lang w:val="fr-CA"/>
        </w:rPr>
        <w:t xml:space="preserve"> et le secteur de l’entretien de RAC.  En outre, pour </w:t>
      </w:r>
      <w:r w:rsidR="00A1068F">
        <w:rPr>
          <w:lang w:val="fr-CA"/>
        </w:rPr>
        <w:t>différentes</w:t>
      </w:r>
      <w:r>
        <w:rPr>
          <w:lang w:val="fr-CA"/>
        </w:rPr>
        <w:t xml:space="preserve"> applications</w:t>
      </w:r>
      <w:r w:rsidR="00507653">
        <w:rPr>
          <w:lang w:val="fr-CA"/>
        </w:rPr>
        <w:t>, il peut y avoir différents m</w:t>
      </w:r>
      <w:r w:rsidR="00953B39">
        <w:rPr>
          <w:lang w:val="fr-CA"/>
        </w:rPr>
        <w:t>odes</w:t>
      </w:r>
      <w:r w:rsidR="00507653">
        <w:rPr>
          <w:lang w:val="fr-CA"/>
        </w:rPr>
        <w:t xml:space="preserve"> d’assembl</w:t>
      </w:r>
      <w:r w:rsidR="00953B39">
        <w:rPr>
          <w:lang w:val="fr-CA"/>
        </w:rPr>
        <w:t>age d</w:t>
      </w:r>
      <w:r w:rsidR="00507653">
        <w:rPr>
          <w:lang w:val="fr-CA"/>
        </w:rPr>
        <w:t xml:space="preserve">e l’équipement. </w:t>
      </w:r>
      <w:r>
        <w:rPr>
          <w:lang w:val="fr-CA"/>
        </w:rPr>
        <w:t xml:space="preserve"> </w:t>
      </w:r>
      <w:r w:rsidR="00507653">
        <w:rPr>
          <w:lang w:val="fr-CA"/>
        </w:rPr>
        <w:t>Par exemple, en Turquie, l’installation et l’assemblage de l’équipement dans le sous-secteur de la réfrigération commerciale et du commerce de détail s</w:t>
      </w:r>
      <w:r>
        <w:rPr>
          <w:lang w:val="fr-CA"/>
        </w:rPr>
        <w:t xml:space="preserve">ont </w:t>
      </w:r>
      <w:r w:rsidR="00507653">
        <w:rPr>
          <w:lang w:val="fr-CA"/>
        </w:rPr>
        <w:t xml:space="preserve">effectuées habituellement par des entreprises d’entretien général, tandis que les systèmes de réfrigération industrielle de grande capacité sont installés par des services dédiés ou des représentants d’entretien des fabricants d’équipement.  Les systèmes de climatisation commerciale et les refroidisseurs sont assemblés par les services d’installation des fabricants ou des représentants d’entretien. </w:t>
      </w:r>
    </w:p>
    <w:p w14:paraId="5AF37CEC" w14:textId="77777777" w:rsidR="00507653" w:rsidRDefault="00507653" w:rsidP="002335F7">
      <w:pPr>
        <w:rPr>
          <w:lang w:val="fr-CA"/>
        </w:rPr>
      </w:pPr>
    </w:p>
    <w:p w14:paraId="6DFBF4E2" w14:textId="39EAA5E8" w:rsidR="00C50E63" w:rsidRDefault="00507653" w:rsidP="002335F7">
      <w:pPr>
        <w:rPr>
          <w:lang w:val="fr-CA"/>
        </w:rPr>
      </w:pPr>
      <w:r>
        <w:rPr>
          <w:lang w:val="fr-CA"/>
        </w:rPr>
        <w:t>14.</w:t>
      </w:r>
      <w:r>
        <w:rPr>
          <w:lang w:val="fr-CA"/>
        </w:rPr>
        <w:tab/>
      </w:r>
      <w:r w:rsidR="000E3C20">
        <w:rPr>
          <w:lang w:val="fr-CA"/>
        </w:rPr>
        <w:t xml:space="preserve">Bien que la plupart des KIP reconnaissaient l’existence d’entreprises locales </w:t>
      </w:r>
      <w:r w:rsidR="00953B39">
        <w:rPr>
          <w:lang w:val="fr-CA"/>
        </w:rPr>
        <w:t>d</w:t>
      </w:r>
      <w:r w:rsidR="000E3C20">
        <w:rPr>
          <w:lang w:val="fr-CA"/>
        </w:rPr>
        <w:t xml:space="preserve">’assemblage, </w:t>
      </w:r>
      <w:r w:rsidR="00953B39">
        <w:rPr>
          <w:lang w:val="fr-CA"/>
        </w:rPr>
        <w:t>d</w:t>
      </w:r>
      <w:r w:rsidR="000E3C20">
        <w:rPr>
          <w:lang w:val="fr-CA"/>
        </w:rPr>
        <w:t xml:space="preserve">’installation et </w:t>
      </w:r>
      <w:r w:rsidR="00953B39">
        <w:rPr>
          <w:lang w:val="fr-CA"/>
        </w:rPr>
        <w:t>de</w:t>
      </w:r>
      <w:r w:rsidR="000E3C20">
        <w:rPr>
          <w:lang w:val="fr-CA"/>
        </w:rPr>
        <w:t xml:space="preserve"> charge</w:t>
      </w:r>
      <w:r w:rsidR="00953B39">
        <w:rPr>
          <w:lang w:val="fr-CA"/>
        </w:rPr>
        <w:t>ment</w:t>
      </w:r>
      <w:r w:rsidR="000E3C20">
        <w:rPr>
          <w:lang w:val="fr-CA"/>
        </w:rPr>
        <w:t xml:space="preserve"> de l’équipement dans les locaux des utilisateurs finaux, 10 KIP seulement ont fourni une estimation du nombre d’entreprises dans </w:t>
      </w:r>
      <w:r w:rsidR="000436E7">
        <w:rPr>
          <w:lang w:val="fr-CA"/>
        </w:rPr>
        <w:t>c</w:t>
      </w:r>
      <w:r w:rsidR="000E3C20">
        <w:rPr>
          <w:lang w:val="fr-CA"/>
        </w:rPr>
        <w:t xml:space="preserve">e sous-secteur : État plurinational de Bolivie (3), Burkina Faso (26), Colombie (7), Costa Rica (14), Équateur (au moins une), Kirghizistan (9), Mexique (18 ont été identifiées dans la phase I mais il était mentionné que le nombre d’entreprises travaillant dans ce sous-secteur était plus élevé), Monténégro (5), Macédoine du Nord (15), et Vietnam (plus de 500).  Certains pays ont précisé que l’estimation du nombre d’entreprises était préliminaire et ils s’attendaient à identifier des entreprises supplémentaires durant la phase I. </w:t>
      </w:r>
      <w:r w:rsidR="000436E7">
        <w:rPr>
          <w:lang w:val="fr-CA"/>
        </w:rPr>
        <w:t xml:space="preserve"> </w:t>
      </w:r>
      <w:r w:rsidR="000E3C20">
        <w:rPr>
          <w:lang w:val="fr-CA"/>
        </w:rPr>
        <w:t xml:space="preserve">En outre, trois KIP (État plurinational de Bolivie, Gambie, République populaire démocratique lao) </w:t>
      </w:r>
      <w:proofErr w:type="gramStart"/>
      <w:r w:rsidR="000E3C20">
        <w:rPr>
          <w:lang w:val="fr-CA"/>
        </w:rPr>
        <w:t>ont</w:t>
      </w:r>
      <w:proofErr w:type="gramEnd"/>
      <w:r w:rsidR="000E3C20">
        <w:rPr>
          <w:lang w:val="fr-CA"/>
        </w:rPr>
        <w:t xml:space="preserve"> indiqué que les entreprises qui installaient </w:t>
      </w:r>
      <w:r w:rsidR="00C50E63">
        <w:rPr>
          <w:lang w:val="fr-CA"/>
        </w:rPr>
        <w:t>de grands systèmes réfrigérés</w:t>
      </w:r>
      <w:r w:rsidR="00942FCC">
        <w:rPr>
          <w:lang w:val="fr-CA"/>
        </w:rPr>
        <w:t>,</w:t>
      </w:r>
      <w:r w:rsidR="00C50E63">
        <w:rPr>
          <w:lang w:val="fr-CA"/>
        </w:rPr>
        <w:t xml:space="preserve"> avaient recours surtout à des techniciens contractuels étrangers</w:t>
      </w:r>
      <w:r w:rsidR="00953B39">
        <w:rPr>
          <w:lang w:val="fr-CA"/>
        </w:rPr>
        <w:t>,</w:t>
      </w:r>
      <w:r w:rsidR="00C50E63">
        <w:rPr>
          <w:lang w:val="fr-CA"/>
        </w:rPr>
        <w:t xml:space="preserve"> par l</w:t>
      </w:r>
      <w:r w:rsidR="00953B39">
        <w:rPr>
          <w:lang w:val="fr-CA"/>
        </w:rPr>
        <w:t>’intermédiaire de l</w:t>
      </w:r>
      <w:r w:rsidR="00C50E63">
        <w:rPr>
          <w:lang w:val="fr-CA"/>
        </w:rPr>
        <w:t>eur représenta</w:t>
      </w:r>
      <w:r w:rsidR="00953B39">
        <w:rPr>
          <w:lang w:val="fr-CA"/>
        </w:rPr>
        <w:t>tion</w:t>
      </w:r>
      <w:r w:rsidR="00C50E63">
        <w:rPr>
          <w:lang w:val="fr-CA"/>
        </w:rPr>
        <w:t xml:space="preserve"> local</w:t>
      </w:r>
      <w:r w:rsidR="00953B39">
        <w:rPr>
          <w:lang w:val="fr-CA"/>
        </w:rPr>
        <w:t>e dans le pays</w:t>
      </w:r>
      <w:r w:rsidR="00942FCC">
        <w:rPr>
          <w:lang w:val="fr-CA"/>
        </w:rPr>
        <w:t>;</w:t>
      </w:r>
      <w:r w:rsidR="00C50E63">
        <w:rPr>
          <w:lang w:val="fr-CA"/>
        </w:rPr>
        <w:t xml:space="preserve"> et l’équipement de réfrigération plus spécialisé était installé directement par les fabricants ou les importateurs de l’équipement.</w:t>
      </w:r>
    </w:p>
    <w:p w14:paraId="55B9EDBE" w14:textId="77777777" w:rsidR="00C50E63" w:rsidRDefault="00C50E63" w:rsidP="002335F7">
      <w:pPr>
        <w:rPr>
          <w:lang w:val="fr-CA"/>
        </w:rPr>
      </w:pPr>
    </w:p>
    <w:p w14:paraId="65D22A4C" w14:textId="79EB8DB2" w:rsidR="00B3042B" w:rsidRDefault="00C50E63" w:rsidP="002335F7">
      <w:pPr>
        <w:rPr>
          <w:lang w:val="fr-CA"/>
        </w:rPr>
      </w:pPr>
      <w:r>
        <w:rPr>
          <w:lang w:val="fr-CA"/>
        </w:rPr>
        <w:t>15.</w:t>
      </w:r>
      <w:r>
        <w:rPr>
          <w:lang w:val="fr-CA"/>
        </w:rPr>
        <w:tab/>
        <w:t xml:space="preserve">Le KIP du Honduras contient une évaluation de l’inventaire des condenseurs </w:t>
      </w:r>
      <w:r w:rsidR="000436E7">
        <w:rPr>
          <w:lang w:val="fr-CA"/>
        </w:rPr>
        <w:t xml:space="preserve">et </w:t>
      </w:r>
      <w:r w:rsidR="00131EC4">
        <w:rPr>
          <w:lang w:val="fr-CA"/>
        </w:rPr>
        <w:t xml:space="preserve">des </w:t>
      </w:r>
      <w:r>
        <w:rPr>
          <w:lang w:val="fr-CA"/>
        </w:rPr>
        <w:t xml:space="preserve">systèmes centralisés installés </w:t>
      </w:r>
      <w:r w:rsidR="000436E7">
        <w:rPr>
          <w:lang w:val="fr-CA"/>
        </w:rPr>
        <w:t>ainsi que</w:t>
      </w:r>
      <w:r>
        <w:rPr>
          <w:lang w:val="fr-CA"/>
        </w:rPr>
        <w:t xml:space="preserve"> de la pénétration </w:t>
      </w:r>
      <w:r w:rsidR="00131EC4">
        <w:rPr>
          <w:lang w:val="fr-CA"/>
        </w:rPr>
        <w:t>des technologies à faible PRP sur le</w:t>
      </w:r>
      <w:r>
        <w:rPr>
          <w:lang w:val="fr-CA"/>
        </w:rPr>
        <w:t xml:space="preserve"> marché dans ces sous-secteurs afin d’établir une consommation énergétique de référence</w:t>
      </w:r>
      <w:r w:rsidR="00131EC4">
        <w:rPr>
          <w:lang w:val="fr-CA"/>
        </w:rPr>
        <w:t xml:space="preserve"> e</w:t>
      </w:r>
      <w:r>
        <w:rPr>
          <w:lang w:val="fr-CA"/>
        </w:rPr>
        <w:t xml:space="preserve">t de diffuser de l’information sur les technologies à faible PRP et les occasions d’améliorer l’efficacité énergétique pour les grands utilisateurs finaux. Le Secrétariat a pris note que l’enregistrement des grands utilisateurs et de leurs équipements améliorera la collecte de données et fournira des </w:t>
      </w:r>
      <w:r w:rsidR="000436E7">
        <w:rPr>
          <w:lang w:val="fr-CA"/>
        </w:rPr>
        <w:t>informations plus précises</w:t>
      </w:r>
      <w:r>
        <w:rPr>
          <w:lang w:val="fr-CA"/>
        </w:rPr>
        <w:t xml:space="preserve"> sur les HFC consommés et l’équipement utilisé dans le sous-secteur.  Ce processus </w:t>
      </w:r>
      <w:r w:rsidR="00131EC4">
        <w:rPr>
          <w:lang w:val="fr-CA"/>
        </w:rPr>
        <w:t>contribuer</w:t>
      </w:r>
      <w:r>
        <w:rPr>
          <w:lang w:val="fr-CA"/>
        </w:rPr>
        <w:t xml:space="preserve">a aussi à identifier les utilisateurs finaux et les installateurs, permettant ainsi de </w:t>
      </w:r>
      <w:r w:rsidR="00B3042B">
        <w:rPr>
          <w:lang w:val="fr-CA"/>
        </w:rPr>
        <w:t xml:space="preserve">concevoir d’autres interventions pour la réduction progressive des HFC </w:t>
      </w:r>
      <w:r w:rsidR="00131EC4">
        <w:rPr>
          <w:lang w:val="fr-CA"/>
        </w:rPr>
        <w:t>par ce</w:t>
      </w:r>
      <w:r w:rsidR="00B3042B">
        <w:rPr>
          <w:lang w:val="fr-CA"/>
        </w:rPr>
        <w:t xml:space="preserve"> sous-secteur.</w:t>
      </w:r>
    </w:p>
    <w:p w14:paraId="00018DCB" w14:textId="77777777" w:rsidR="00B3042B" w:rsidRDefault="00B3042B" w:rsidP="002335F7">
      <w:pPr>
        <w:rPr>
          <w:lang w:val="fr-CA"/>
        </w:rPr>
      </w:pPr>
    </w:p>
    <w:p w14:paraId="67E5D9F5" w14:textId="614472A8" w:rsidR="00B3042B" w:rsidRDefault="00131EC4" w:rsidP="002335F7">
      <w:pPr>
        <w:rPr>
          <w:b/>
          <w:bCs/>
          <w:lang w:val="fr-CA"/>
        </w:rPr>
      </w:pPr>
      <w:r>
        <w:rPr>
          <w:b/>
          <w:bCs/>
          <w:lang w:val="fr-CA"/>
        </w:rPr>
        <w:t>Compte rendu des i</w:t>
      </w:r>
      <w:r w:rsidR="00B3042B">
        <w:rPr>
          <w:b/>
          <w:bCs/>
          <w:lang w:val="fr-CA"/>
        </w:rPr>
        <w:t xml:space="preserve">nformations sur les projets dans le sous-secteur de l’installation et de l’assemblage </w:t>
      </w:r>
      <w:r w:rsidR="00942FCC">
        <w:rPr>
          <w:b/>
          <w:bCs/>
          <w:lang w:val="fr-CA"/>
        </w:rPr>
        <w:t>locaux</w:t>
      </w:r>
      <w:r>
        <w:rPr>
          <w:b/>
          <w:bCs/>
          <w:lang w:val="fr-CA"/>
        </w:rPr>
        <w:t xml:space="preserve">, </w:t>
      </w:r>
      <w:r w:rsidR="00B3042B">
        <w:rPr>
          <w:b/>
          <w:bCs/>
          <w:lang w:val="fr-CA"/>
        </w:rPr>
        <w:t>approuvés jusqu’à présent ou soumis pour examen à la présente réunion</w:t>
      </w:r>
    </w:p>
    <w:p w14:paraId="06571D52" w14:textId="77777777" w:rsidR="00B3042B" w:rsidRDefault="00B3042B" w:rsidP="002335F7">
      <w:pPr>
        <w:rPr>
          <w:b/>
          <w:bCs/>
          <w:lang w:val="fr-CA"/>
        </w:rPr>
      </w:pPr>
    </w:p>
    <w:p w14:paraId="1CD00707" w14:textId="22D5EC54" w:rsidR="00B3042B" w:rsidRDefault="00B3042B" w:rsidP="002335F7">
      <w:pPr>
        <w:rPr>
          <w:lang w:val="fr-CA"/>
        </w:rPr>
      </w:pPr>
      <w:r>
        <w:rPr>
          <w:lang w:val="fr-CA"/>
        </w:rPr>
        <w:t>16.</w:t>
      </w:r>
      <w:r>
        <w:rPr>
          <w:lang w:val="fr-CA"/>
        </w:rPr>
        <w:tab/>
        <w:t>Les KIP suivants soumis à la 93</w:t>
      </w:r>
      <w:r w:rsidRPr="00B3042B">
        <w:rPr>
          <w:vertAlign w:val="superscript"/>
          <w:lang w:val="fr-CA"/>
        </w:rPr>
        <w:t>e</w:t>
      </w:r>
      <w:r>
        <w:rPr>
          <w:lang w:val="fr-CA"/>
        </w:rPr>
        <w:t xml:space="preserve"> réunion ont identifié des entreprises </w:t>
      </w:r>
      <w:r w:rsidR="00131EC4">
        <w:rPr>
          <w:lang w:val="fr-CA"/>
        </w:rPr>
        <w:t xml:space="preserve">spécifiques, </w:t>
      </w:r>
      <w:r>
        <w:rPr>
          <w:lang w:val="fr-CA"/>
        </w:rPr>
        <w:t xml:space="preserve">actives dans le sous-secteur et proposé des activités concrètes pour aider </w:t>
      </w:r>
      <w:r w:rsidR="00131EC4">
        <w:rPr>
          <w:lang w:val="fr-CA"/>
        </w:rPr>
        <w:t>l</w:t>
      </w:r>
      <w:r>
        <w:rPr>
          <w:lang w:val="fr-CA"/>
        </w:rPr>
        <w:t>e sous-secteur :</w:t>
      </w:r>
    </w:p>
    <w:p w14:paraId="69099998" w14:textId="77777777" w:rsidR="00B3042B" w:rsidRDefault="00B3042B" w:rsidP="002335F7">
      <w:pPr>
        <w:rPr>
          <w:lang w:val="fr-CA"/>
        </w:rPr>
      </w:pPr>
    </w:p>
    <w:p w14:paraId="2EA53309" w14:textId="09743DC4" w:rsidR="00147283" w:rsidRDefault="00B3042B" w:rsidP="00B54D9C">
      <w:pPr>
        <w:pStyle w:val="Paragrafoelenco"/>
        <w:numPr>
          <w:ilvl w:val="0"/>
          <w:numId w:val="23"/>
        </w:numPr>
        <w:ind w:left="1418" w:hanging="709"/>
        <w:rPr>
          <w:lang w:val="fr-CA"/>
        </w:rPr>
      </w:pPr>
      <w:r>
        <w:rPr>
          <w:lang w:val="fr-CA"/>
        </w:rPr>
        <w:t>Le KIP du Mexique</w:t>
      </w:r>
      <w:r w:rsidR="00C50E63" w:rsidRPr="00B3042B">
        <w:rPr>
          <w:lang w:val="fr-CA"/>
        </w:rPr>
        <w:t xml:space="preserve"> </w:t>
      </w:r>
      <w:r w:rsidR="0099673E">
        <w:rPr>
          <w:lang w:val="fr-CA"/>
        </w:rPr>
        <w:t>a identifié des entreprises actives dans le sous-secteur</w:t>
      </w:r>
      <w:r w:rsidR="00131EC4">
        <w:rPr>
          <w:lang w:val="fr-CA"/>
        </w:rPr>
        <w:t>,</w:t>
      </w:r>
      <w:r w:rsidR="00B54D9C">
        <w:rPr>
          <w:lang w:val="fr-CA"/>
        </w:rPr>
        <w:t xml:space="preserve"> </w:t>
      </w:r>
      <w:r w:rsidR="001248CD">
        <w:rPr>
          <w:lang w:val="fr-CA"/>
        </w:rPr>
        <w:t>incluant</w:t>
      </w:r>
      <w:r w:rsidR="00131EC4">
        <w:rPr>
          <w:lang w:val="fr-CA"/>
        </w:rPr>
        <w:t xml:space="preserve"> </w:t>
      </w:r>
      <w:r w:rsidR="0099673E">
        <w:rPr>
          <w:lang w:val="fr-CA"/>
        </w:rPr>
        <w:t xml:space="preserve">leurs principales activités, et </w:t>
      </w:r>
      <w:r w:rsidR="00131EC4">
        <w:rPr>
          <w:lang w:val="fr-CA"/>
        </w:rPr>
        <w:t>fourni</w:t>
      </w:r>
      <w:r w:rsidR="0099673E">
        <w:rPr>
          <w:lang w:val="fr-CA"/>
        </w:rPr>
        <w:t xml:space="preserve"> une distinction claire entre </w:t>
      </w:r>
      <w:r w:rsidR="000A072E">
        <w:rPr>
          <w:lang w:val="fr-CA"/>
        </w:rPr>
        <w:t>l</w:t>
      </w:r>
      <w:r w:rsidR="0099673E">
        <w:rPr>
          <w:lang w:val="fr-CA"/>
        </w:rPr>
        <w:t xml:space="preserve">es systèmes RAC </w:t>
      </w:r>
      <w:r w:rsidR="000A072E">
        <w:rPr>
          <w:lang w:val="fr-CA"/>
        </w:rPr>
        <w:t xml:space="preserve">identifiés  </w:t>
      </w:r>
      <w:r w:rsidR="0099673E">
        <w:rPr>
          <w:lang w:val="fr-CA"/>
        </w:rPr>
        <w:t>préchargés par les fabricants d</w:t>
      </w:r>
      <w:r w:rsidR="00B54D9C">
        <w:rPr>
          <w:lang w:val="fr-CA"/>
        </w:rPr>
        <w:t>’</w:t>
      </w:r>
      <w:r w:rsidR="0099673E">
        <w:rPr>
          <w:lang w:val="fr-CA"/>
        </w:rPr>
        <w:t xml:space="preserve">équipement original (réfrigérateurs domestiques, unités commerciales autonomes, unités de climatisation </w:t>
      </w:r>
      <w:proofErr w:type="spellStart"/>
      <w:r w:rsidR="0099673E">
        <w:rPr>
          <w:lang w:val="fr-CA"/>
        </w:rPr>
        <w:t>biblocs</w:t>
      </w:r>
      <w:proofErr w:type="spellEnd"/>
      <w:r w:rsidR="0099673E">
        <w:rPr>
          <w:lang w:val="fr-CA"/>
        </w:rPr>
        <w:t xml:space="preserve"> et unités autonomes de toiture) et les systèmes chargés sur place (condenseurs et évaporateurs pour la réfrigération, systèmes centralisés et systèmes de climatisation DRV). Le KIP</w:t>
      </w:r>
      <w:r w:rsidR="005C098D">
        <w:rPr>
          <w:rStyle w:val="Rimandonotaapidipagina"/>
          <w:lang w:val="fr-CA"/>
        </w:rPr>
        <w:footnoteReference w:id="3"/>
      </w:r>
      <w:r w:rsidR="0099673E">
        <w:rPr>
          <w:lang w:val="fr-CA"/>
        </w:rPr>
        <w:t xml:space="preserve"> pour le Mexique incluait une composante pour huit entreprises dans le sous-secteur de l’installation et de l’assemblage loca</w:t>
      </w:r>
      <w:r w:rsidR="000A072E">
        <w:rPr>
          <w:lang w:val="fr-CA"/>
        </w:rPr>
        <w:t>ux</w:t>
      </w:r>
      <w:r w:rsidR="0099673E">
        <w:rPr>
          <w:lang w:val="fr-CA"/>
        </w:rPr>
        <w:t xml:space="preserve">, comprenant de l’assistance technique pour la conception et l’optimisation des systèmes de RAC </w:t>
      </w:r>
      <w:r w:rsidR="00E743CC">
        <w:rPr>
          <w:lang w:val="fr-CA"/>
        </w:rPr>
        <w:t xml:space="preserve">en utilisant des </w:t>
      </w:r>
      <w:r w:rsidR="0099673E">
        <w:rPr>
          <w:lang w:val="fr-CA"/>
        </w:rPr>
        <w:t>solutions de remplacement à faible PRP</w:t>
      </w:r>
      <w:r w:rsidR="00B54D9C">
        <w:rPr>
          <w:lang w:val="fr-CA"/>
        </w:rPr>
        <w:t>,</w:t>
      </w:r>
      <w:r w:rsidR="0099673E">
        <w:rPr>
          <w:lang w:val="fr-CA"/>
        </w:rPr>
        <w:t xml:space="preserve"> </w:t>
      </w:r>
      <w:r w:rsidR="00B54D9C">
        <w:rPr>
          <w:lang w:val="fr-CA"/>
        </w:rPr>
        <w:t xml:space="preserve">et la fourniture d’une trousse de manipulation des frigorigènes à </w:t>
      </w:r>
      <w:r w:rsidR="00E743CC">
        <w:rPr>
          <w:lang w:val="fr-CA"/>
        </w:rPr>
        <w:t xml:space="preserve">chacune des huit </w:t>
      </w:r>
      <w:r w:rsidR="00B54D9C">
        <w:rPr>
          <w:lang w:val="fr-CA"/>
        </w:rPr>
        <w:t>entreprises</w:t>
      </w:r>
      <w:r w:rsidR="00E743CC">
        <w:rPr>
          <w:lang w:val="fr-CA"/>
        </w:rPr>
        <w:t xml:space="preserve">, </w:t>
      </w:r>
      <w:r w:rsidR="00B54D9C">
        <w:rPr>
          <w:lang w:val="fr-CA"/>
        </w:rPr>
        <w:t xml:space="preserve">combinée à </w:t>
      </w:r>
      <w:r w:rsidR="00B54D9C">
        <w:rPr>
          <w:lang w:val="fr-CA"/>
        </w:rPr>
        <w:lastRenderedPageBreak/>
        <w:t>des démonstrations d’installation</w:t>
      </w:r>
      <w:r w:rsidR="000436E7">
        <w:rPr>
          <w:lang w:val="fr-CA"/>
        </w:rPr>
        <w:t>,</w:t>
      </w:r>
      <w:r w:rsidR="00B54D9C">
        <w:rPr>
          <w:lang w:val="fr-CA"/>
        </w:rPr>
        <w:t xml:space="preserve"> chez des utilisateurs finaux, de huit systèmes centralisés, de refroidisseurs, de systèmes DRV et de chambres froides utilisant plusieurs technologies (par ex. dioxyde de carbone (CO</w:t>
      </w:r>
      <w:r w:rsidR="00B54D9C">
        <w:rPr>
          <w:vertAlign w:val="subscript"/>
          <w:lang w:val="fr-CA"/>
        </w:rPr>
        <w:t>2</w:t>
      </w:r>
      <w:r w:rsidR="00B54D9C">
        <w:rPr>
          <w:lang w:val="fr-CA"/>
        </w:rPr>
        <w:t>), ammoniac (NH</w:t>
      </w:r>
      <w:r w:rsidR="00B54D9C">
        <w:rPr>
          <w:vertAlign w:val="subscript"/>
          <w:lang w:val="fr-CA"/>
        </w:rPr>
        <w:t>3</w:t>
      </w:r>
      <w:r w:rsidR="00B54D9C">
        <w:rPr>
          <w:lang w:val="fr-CA"/>
        </w:rPr>
        <w:t xml:space="preserve">), R-290, </w:t>
      </w:r>
      <w:r w:rsidR="00147283">
        <w:rPr>
          <w:lang w:val="fr-CA"/>
        </w:rPr>
        <w:t xml:space="preserve">système en cascade à base de </w:t>
      </w:r>
      <w:r w:rsidR="00B54D9C">
        <w:rPr>
          <w:lang w:val="fr-CA"/>
        </w:rPr>
        <w:t>NH</w:t>
      </w:r>
      <w:r w:rsidR="00B54D9C">
        <w:rPr>
          <w:vertAlign w:val="subscript"/>
          <w:lang w:val="fr-CA"/>
        </w:rPr>
        <w:t>3</w:t>
      </w:r>
      <w:r w:rsidR="00B54D9C">
        <w:rPr>
          <w:lang w:val="fr-CA"/>
        </w:rPr>
        <w:t>/</w:t>
      </w:r>
      <w:r w:rsidR="00B54D9C" w:rsidRPr="00B54D9C">
        <w:rPr>
          <w:lang w:val="fr-CA"/>
        </w:rPr>
        <w:t xml:space="preserve"> </w:t>
      </w:r>
      <w:r w:rsidR="00B54D9C">
        <w:rPr>
          <w:lang w:val="fr-CA"/>
        </w:rPr>
        <w:t>CO</w:t>
      </w:r>
      <w:r w:rsidR="00B54D9C">
        <w:rPr>
          <w:vertAlign w:val="subscript"/>
          <w:lang w:val="fr-CA"/>
        </w:rPr>
        <w:t>2</w:t>
      </w:r>
      <w:r w:rsidR="00147283">
        <w:rPr>
          <w:lang w:val="fr-CA"/>
        </w:rPr>
        <w:t>,</w:t>
      </w:r>
      <w:r w:rsidR="00B54D9C">
        <w:rPr>
          <w:lang w:val="fr-CA"/>
        </w:rPr>
        <w:t xml:space="preserve"> </w:t>
      </w:r>
      <w:r w:rsidR="00147283">
        <w:rPr>
          <w:lang w:val="fr-CA"/>
        </w:rPr>
        <w:t>système en cascade à base de R-290/</w:t>
      </w:r>
      <w:r w:rsidR="00147283" w:rsidRPr="00B54D9C">
        <w:rPr>
          <w:lang w:val="fr-CA"/>
        </w:rPr>
        <w:t xml:space="preserve"> </w:t>
      </w:r>
      <w:r w:rsidR="00147283">
        <w:rPr>
          <w:lang w:val="fr-CA"/>
        </w:rPr>
        <w:t>CO</w:t>
      </w:r>
      <w:r w:rsidR="00147283">
        <w:rPr>
          <w:vertAlign w:val="subscript"/>
          <w:lang w:val="fr-CA"/>
        </w:rPr>
        <w:t>2</w:t>
      </w:r>
      <w:r w:rsidR="00147283">
        <w:rPr>
          <w:lang w:val="fr-CA"/>
        </w:rPr>
        <w:t xml:space="preserve">, HFO et HFC-32).  Toutes ces activités étaient intégrées dans les activités pour le secteur de l’entretien de l’équipement de réfrigération, avec le même seuil du ratio coût-efficacité appliqué au secteur (5,10 $US/kg); </w:t>
      </w:r>
    </w:p>
    <w:p w14:paraId="471119C1" w14:textId="77777777" w:rsidR="00147283" w:rsidRPr="00147283" w:rsidRDefault="00147283" w:rsidP="00147283">
      <w:pPr>
        <w:rPr>
          <w:bCs/>
          <w:lang w:val="fr-CA"/>
        </w:rPr>
      </w:pPr>
    </w:p>
    <w:p w14:paraId="6A1A6467" w14:textId="6283E8BD" w:rsidR="00C1436D" w:rsidRPr="00C1436D" w:rsidRDefault="00147283" w:rsidP="00C1436D">
      <w:pPr>
        <w:pStyle w:val="Paragrafoelenco"/>
        <w:numPr>
          <w:ilvl w:val="0"/>
          <w:numId w:val="23"/>
        </w:numPr>
        <w:ind w:left="1418" w:hanging="698"/>
        <w:rPr>
          <w:bCs/>
          <w:lang w:val="fr-CA"/>
        </w:rPr>
      </w:pPr>
      <w:r w:rsidRPr="00C1436D">
        <w:rPr>
          <w:bCs/>
          <w:lang w:val="fr-CA"/>
        </w:rPr>
        <w:t>Le KIP pour le Vietnam</w:t>
      </w:r>
      <w:r>
        <w:rPr>
          <w:rStyle w:val="Rimandonotaapidipagina"/>
          <w:bCs/>
          <w:lang w:val="fr-CA"/>
        </w:rPr>
        <w:footnoteReference w:id="4"/>
      </w:r>
      <w:r w:rsidRPr="00C1436D">
        <w:rPr>
          <w:bCs/>
          <w:lang w:val="fr-CA"/>
        </w:rPr>
        <w:t xml:space="preserve"> a identifié plus de 500 entrepreneurs employant de cinq à dix techniciens à travers le pays pour l’installation, l’entretien et la réparation de</w:t>
      </w:r>
      <w:r w:rsidR="000436E7">
        <w:rPr>
          <w:bCs/>
          <w:lang w:val="fr-CA"/>
        </w:rPr>
        <w:t>s</w:t>
      </w:r>
      <w:r w:rsidRPr="00C1436D">
        <w:rPr>
          <w:bCs/>
          <w:lang w:val="fr-CA"/>
        </w:rPr>
        <w:t xml:space="preserve"> systèmes de réfrigération industrielle et commerciale de grande dimension, incluant des chambres froides et de l’équipement </w:t>
      </w:r>
      <w:r w:rsidR="00E743CC">
        <w:rPr>
          <w:bCs/>
          <w:lang w:val="fr-CA"/>
        </w:rPr>
        <w:t>pour</w:t>
      </w:r>
      <w:r w:rsidRPr="00C1436D">
        <w:rPr>
          <w:bCs/>
          <w:lang w:val="fr-CA"/>
        </w:rPr>
        <w:t xml:space="preserve"> la transformation alimentaire.  Le KIP approuvé comprenait de l’assistance </w:t>
      </w:r>
      <w:r w:rsidR="00E743CC">
        <w:rPr>
          <w:bCs/>
          <w:lang w:val="fr-CA"/>
        </w:rPr>
        <w:t xml:space="preserve">pour s’attaquer à </w:t>
      </w:r>
      <w:r w:rsidRPr="00C1436D">
        <w:rPr>
          <w:bCs/>
          <w:lang w:val="fr-CA"/>
        </w:rPr>
        <w:t>la consommation dans le sous-secteur</w:t>
      </w:r>
      <w:r w:rsidR="00CF2FC9" w:rsidRPr="00C1436D">
        <w:rPr>
          <w:bCs/>
          <w:lang w:val="fr-CA"/>
        </w:rPr>
        <w:t>, notamment la conversion au NH</w:t>
      </w:r>
      <w:r w:rsidR="00CF2FC9" w:rsidRPr="00C1436D">
        <w:rPr>
          <w:bCs/>
          <w:vertAlign w:val="subscript"/>
          <w:lang w:val="fr-CA"/>
        </w:rPr>
        <w:t xml:space="preserve">3 </w:t>
      </w:r>
      <w:r w:rsidR="00CF2FC9" w:rsidRPr="00C1436D">
        <w:rPr>
          <w:bCs/>
          <w:lang w:val="fr-CA"/>
        </w:rPr>
        <w:t xml:space="preserve">d’un fabricant de composantes, et du soutien </w:t>
      </w:r>
      <w:r w:rsidR="00E743CC">
        <w:rPr>
          <w:bCs/>
          <w:lang w:val="fr-CA"/>
        </w:rPr>
        <w:t>pour</w:t>
      </w:r>
      <w:r w:rsidR="00CF2FC9" w:rsidRPr="00C1436D">
        <w:rPr>
          <w:bCs/>
          <w:lang w:val="fr-CA"/>
        </w:rPr>
        <w:t xml:space="preserve"> 11 entrepreneurs </w:t>
      </w:r>
      <w:r w:rsidR="00E743CC">
        <w:rPr>
          <w:bCs/>
          <w:lang w:val="fr-CA"/>
        </w:rPr>
        <w:t xml:space="preserve">afin de </w:t>
      </w:r>
      <w:r w:rsidR="00CF2FC9" w:rsidRPr="00C1436D">
        <w:rPr>
          <w:bCs/>
          <w:lang w:val="fr-CA"/>
        </w:rPr>
        <w:t xml:space="preserve">permettre la conception et l’installation adéquates de systèmes de réfrigération industrielle à base d’ammoniac par le biais d’une mesure incitative chez l’utilisateur final </w:t>
      </w:r>
      <w:r w:rsidR="00F66D8C">
        <w:rPr>
          <w:bCs/>
          <w:lang w:val="fr-CA"/>
        </w:rPr>
        <w:t>pour inciter les entrepreneurs</w:t>
      </w:r>
      <w:r w:rsidR="00CF2FC9" w:rsidRPr="00C1436D">
        <w:rPr>
          <w:bCs/>
          <w:lang w:val="fr-CA"/>
        </w:rPr>
        <w:t xml:space="preserve"> à promouvoir l’installation de systèmes de réfrigération à base d’ammoniac dans les installations des propriétaires inclus dans le projet (25 000 $US par entreprise).</w:t>
      </w:r>
      <w:r w:rsidR="00C1436D" w:rsidRPr="00C1436D">
        <w:rPr>
          <w:bCs/>
          <w:lang w:val="fr-CA"/>
        </w:rPr>
        <w:t xml:space="preserve">  Cette composante du projet prévoit élimin</w:t>
      </w:r>
      <w:r w:rsidR="00F66D8C">
        <w:rPr>
          <w:bCs/>
          <w:lang w:val="fr-CA"/>
        </w:rPr>
        <w:t>er</w:t>
      </w:r>
      <w:r w:rsidR="00C1436D" w:rsidRPr="00C1436D">
        <w:rPr>
          <w:bCs/>
          <w:lang w:val="fr-CA"/>
        </w:rPr>
        <w:t xml:space="preserve"> 35,06 </w:t>
      </w:r>
      <w:proofErr w:type="spellStart"/>
      <w:r w:rsidR="00C1436D" w:rsidRPr="00C1436D">
        <w:rPr>
          <w:bCs/>
          <w:lang w:val="fr-CA"/>
        </w:rPr>
        <w:t>tm</w:t>
      </w:r>
      <w:proofErr w:type="spellEnd"/>
      <w:r w:rsidR="00C1436D" w:rsidRPr="00C1436D">
        <w:rPr>
          <w:bCs/>
          <w:lang w:val="fr-CA"/>
        </w:rPr>
        <w:t xml:space="preserve"> de HFC (28,67 </w:t>
      </w:r>
      <w:proofErr w:type="spellStart"/>
      <w:r w:rsidR="00C1436D" w:rsidRPr="00C1436D">
        <w:rPr>
          <w:bCs/>
          <w:lang w:val="fr-CA"/>
        </w:rPr>
        <w:t>tm</w:t>
      </w:r>
      <w:proofErr w:type="spellEnd"/>
      <w:r w:rsidR="00C1436D" w:rsidRPr="00C1436D">
        <w:rPr>
          <w:bCs/>
          <w:lang w:val="fr-CA"/>
        </w:rPr>
        <w:t xml:space="preserve"> de R-404A et 6,39 </w:t>
      </w:r>
      <w:proofErr w:type="spellStart"/>
      <w:r w:rsidR="00C1436D" w:rsidRPr="00C1436D">
        <w:rPr>
          <w:bCs/>
          <w:lang w:val="fr-CA"/>
        </w:rPr>
        <w:t>tm</w:t>
      </w:r>
      <w:proofErr w:type="spellEnd"/>
      <w:r w:rsidR="00C1436D" w:rsidRPr="00C1436D">
        <w:rPr>
          <w:bCs/>
          <w:lang w:val="fr-CA"/>
        </w:rPr>
        <w:t xml:space="preserve"> de R-507A) plus 53,92 </w:t>
      </w:r>
      <w:proofErr w:type="spellStart"/>
      <w:r w:rsidR="00C1436D" w:rsidRPr="00C1436D">
        <w:rPr>
          <w:bCs/>
          <w:lang w:val="fr-CA"/>
        </w:rPr>
        <w:t>tm</w:t>
      </w:r>
      <w:proofErr w:type="spellEnd"/>
      <w:r w:rsidR="00C1436D" w:rsidRPr="00C1436D">
        <w:rPr>
          <w:bCs/>
          <w:lang w:val="fr-CA"/>
        </w:rPr>
        <w:t xml:space="preserve"> additionnelles de HFC</w:t>
      </w:r>
      <w:r w:rsidR="003B1CEA">
        <w:rPr>
          <w:bCs/>
          <w:lang w:val="fr-CA"/>
        </w:rPr>
        <w:t>,</w:t>
      </w:r>
      <w:r w:rsidR="00C1436D" w:rsidRPr="00C1436D">
        <w:rPr>
          <w:bCs/>
          <w:lang w:val="fr-CA"/>
        </w:rPr>
        <w:t xml:space="preserve"> avec un ratio coût-efficacité de 6,91 $US/kg.</w:t>
      </w:r>
    </w:p>
    <w:p w14:paraId="01AD2FEA" w14:textId="77777777" w:rsidR="00C1436D" w:rsidRDefault="00C1436D" w:rsidP="00C1436D">
      <w:pPr>
        <w:pStyle w:val="Paragrafoelenco"/>
        <w:rPr>
          <w:b/>
          <w:lang w:val="fr-CA"/>
        </w:rPr>
      </w:pPr>
    </w:p>
    <w:p w14:paraId="2BDDA04B" w14:textId="6C58E2EF" w:rsidR="00C1436D" w:rsidRDefault="00C1436D" w:rsidP="008E2E96">
      <w:pPr>
        <w:pStyle w:val="Paragrafoelenco"/>
        <w:ind w:left="0"/>
        <w:rPr>
          <w:bCs/>
          <w:lang w:val="fr-CA"/>
        </w:rPr>
      </w:pPr>
      <w:r>
        <w:rPr>
          <w:bCs/>
          <w:lang w:val="fr-CA"/>
        </w:rPr>
        <w:t>17.</w:t>
      </w:r>
      <w:r>
        <w:rPr>
          <w:bCs/>
          <w:lang w:val="fr-CA"/>
        </w:rPr>
        <w:tab/>
      </w:r>
      <w:r w:rsidR="008E2E96">
        <w:rPr>
          <w:bCs/>
          <w:lang w:val="fr-CA"/>
        </w:rPr>
        <w:t>Les KIP de la Colombie et du Costa Rica soumis à la 95</w:t>
      </w:r>
      <w:r w:rsidR="008E2E96" w:rsidRPr="008E2E96">
        <w:rPr>
          <w:bCs/>
          <w:vertAlign w:val="superscript"/>
          <w:lang w:val="fr-CA"/>
        </w:rPr>
        <w:t>e</w:t>
      </w:r>
      <w:r w:rsidR="008E2E96">
        <w:rPr>
          <w:bCs/>
          <w:lang w:val="fr-CA"/>
        </w:rPr>
        <w:t xml:space="preserve"> réunion ont identifié des entreprises spécifiques actives dans le sous-secteur</w:t>
      </w:r>
      <w:r w:rsidR="00F66D8C">
        <w:rPr>
          <w:bCs/>
          <w:lang w:val="fr-CA"/>
        </w:rPr>
        <w:t xml:space="preserve"> </w:t>
      </w:r>
      <w:r w:rsidR="008E2E96">
        <w:rPr>
          <w:bCs/>
          <w:lang w:val="fr-CA"/>
        </w:rPr>
        <w:t xml:space="preserve">et proposé des activités concrètes pour aider </w:t>
      </w:r>
      <w:r w:rsidR="00F66D8C">
        <w:rPr>
          <w:bCs/>
          <w:lang w:val="fr-CA"/>
        </w:rPr>
        <w:t>l</w:t>
      </w:r>
      <w:r w:rsidR="008E2E96">
        <w:rPr>
          <w:bCs/>
          <w:lang w:val="fr-CA"/>
        </w:rPr>
        <w:t>e sous-secteur, tel qu’expliqué ci-dessous.</w:t>
      </w:r>
    </w:p>
    <w:p w14:paraId="3D459D78" w14:textId="77777777" w:rsidR="008E2E96" w:rsidRDefault="008E2E96" w:rsidP="008E2E96">
      <w:pPr>
        <w:pStyle w:val="Paragrafoelenco"/>
        <w:ind w:left="0"/>
        <w:rPr>
          <w:bCs/>
          <w:lang w:val="fr-CA"/>
        </w:rPr>
      </w:pPr>
    </w:p>
    <w:p w14:paraId="2D6BCF65" w14:textId="150385A4" w:rsidR="008E2E96" w:rsidRDefault="008E2E96" w:rsidP="008E2E96">
      <w:pPr>
        <w:pStyle w:val="Paragrafoelenco"/>
        <w:ind w:left="0"/>
        <w:rPr>
          <w:bCs/>
          <w:i/>
          <w:iCs/>
          <w:lang w:val="fr-CA"/>
        </w:rPr>
      </w:pPr>
      <w:r>
        <w:rPr>
          <w:bCs/>
          <w:i/>
          <w:iCs/>
          <w:lang w:val="fr-CA"/>
        </w:rPr>
        <w:t>Colombie</w:t>
      </w:r>
    </w:p>
    <w:p w14:paraId="537A09DF" w14:textId="77777777" w:rsidR="008E2E96" w:rsidRDefault="008E2E96" w:rsidP="008E2E96">
      <w:pPr>
        <w:pStyle w:val="Paragrafoelenco"/>
        <w:ind w:left="0"/>
        <w:rPr>
          <w:bCs/>
          <w:i/>
          <w:iCs/>
          <w:lang w:val="fr-CA"/>
        </w:rPr>
      </w:pPr>
    </w:p>
    <w:p w14:paraId="32F1E8B9" w14:textId="55E1BE07" w:rsidR="008E2E96" w:rsidRDefault="008E2E96" w:rsidP="008E2E96">
      <w:pPr>
        <w:pStyle w:val="Paragrafoelenco"/>
        <w:ind w:left="0"/>
        <w:rPr>
          <w:bCs/>
          <w:lang w:val="fr-CA"/>
        </w:rPr>
      </w:pPr>
      <w:r>
        <w:rPr>
          <w:bCs/>
          <w:lang w:val="fr-CA"/>
        </w:rPr>
        <w:t>18.</w:t>
      </w:r>
      <w:r>
        <w:rPr>
          <w:bCs/>
          <w:lang w:val="fr-CA"/>
        </w:rPr>
        <w:tab/>
        <w:t>Le KIP pour la Colombie</w:t>
      </w:r>
      <w:r>
        <w:rPr>
          <w:rStyle w:val="Rimandonotaapidipagina"/>
          <w:bCs/>
          <w:lang w:val="fr-CA"/>
        </w:rPr>
        <w:footnoteReference w:id="5"/>
      </w:r>
      <w:r>
        <w:rPr>
          <w:bCs/>
          <w:lang w:val="fr-CA"/>
        </w:rPr>
        <w:t xml:space="preserve"> incluait un projet pour sept entreprises d’assemblage, les plus importantes dans la chaine d’approvisionnement en conden</w:t>
      </w:r>
      <w:r w:rsidR="003B1CEA">
        <w:rPr>
          <w:bCs/>
          <w:lang w:val="fr-CA"/>
        </w:rPr>
        <w:t>s</w:t>
      </w:r>
      <w:r>
        <w:rPr>
          <w:bCs/>
          <w:lang w:val="fr-CA"/>
        </w:rPr>
        <w:t>eurs et systèmes de réfrigération centralisée et décentralisée pour les supermarchés</w:t>
      </w:r>
      <w:r w:rsidR="00D4534C">
        <w:rPr>
          <w:bCs/>
          <w:lang w:val="fr-CA"/>
        </w:rPr>
        <w:t>.</w:t>
      </w:r>
      <w:r w:rsidR="00F66D8C">
        <w:rPr>
          <w:bCs/>
          <w:lang w:val="fr-CA"/>
        </w:rPr>
        <w:t xml:space="preserve">  L</w:t>
      </w:r>
      <w:r w:rsidR="00D4534C">
        <w:rPr>
          <w:bCs/>
          <w:lang w:val="fr-CA"/>
        </w:rPr>
        <w:t>es principaux frigorigènes utilisés par ces entreprises</w:t>
      </w:r>
      <w:r w:rsidR="00F66D8C">
        <w:rPr>
          <w:bCs/>
          <w:lang w:val="fr-CA"/>
        </w:rPr>
        <w:t xml:space="preserve"> sont le R-404A et le R-507A.</w:t>
      </w:r>
    </w:p>
    <w:p w14:paraId="67319DF9" w14:textId="77777777" w:rsidR="00D4534C" w:rsidRDefault="00D4534C" w:rsidP="008E2E96">
      <w:pPr>
        <w:pStyle w:val="Paragrafoelenco"/>
        <w:ind w:left="0"/>
        <w:rPr>
          <w:bCs/>
          <w:lang w:val="fr-CA"/>
        </w:rPr>
      </w:pPr>
    </w:p>
    <w:p w14:paraId="39761041" w14:textId="13CC758A" w:rsidR="00D4534C" w:rsidRDefault="00D4534C" w:rsidP="008E2E96">
      <w:pPr>
        <w:pStyle w:val="Paragrafoelenco"/>
        <w:ind w:left="0"/>
        <w:rPr>
          <w:bCs/>
          <w:lang w:val="fr-CA"/>
        </w:rPr>
      </w:pPr>
      <w:r>
        <w:rPr>
          <w:bCs/>
          <w:lang w:val="fr-CA"/>
        </w:rPr>
        <w:t>19.</w:t>
      </w:r>
      <w:r>
        <w:rPr>
          <w:bCs/>
          <w:lang w:val="fr-CA"/>
        </w:rPr>
        <w:tab/>
      </w:r>
      <w:r w:rsidR="00942FCC">
        <w:rPr>
          <w:bCs/>
          <w:lang w:val="fr-CA"/>
        </w:rPr>
        <w:t>C</w:t>
      </w:r>
      <w:r>
        <w:rPr>
          <w:bCs/>
          <w:lang w:val="fr-CA"/>
        </w:rPr>
        <w:t>e sous-projet vise à améliorer la pratique de ces entreprises</w:t>
      </w:r>
      <w:r w:rsidR="00F66D8C">
        <w:rPr>
          <w:bCs/>
          <w:lang w:val="fr-CA"/>
        </w:rPr>
        <w:t>,</w:t>
      </w:r>
      <w:r>
        <w:rPr>
          <w:bCs/>
          <w:lang w:val="fr-CA"/>
        </w:rPr>
        <w:t xml:space="preserve"> en leur fournissant des outils et une assistance technique. Le projet proposé éliminerait une quantité </w:t>
      </w:r>
      <w:r w:rsidR="00F66D8C">
        <w:rPr>
          <w:bCs/>
          <w:lang w:val="fr-CA"/>
        </w:rPr>
        <w:t xml:space="preserve">de HFC </w:t>
      </w:r>
      <w:r>
        <w:rPr>
          <w:bCs/>
          <w:lang w:val="fr-CA"/>
        </w:rPr>
        <w:t>estim</w:t>
      </w:r>
      <w:r w:rsidR="00F66D8C">
        <w:rPr>
          <w:bCs/>
          <w:lang w:val="fr-CA"/>
        </w:rPr>
        <w:t>é</w:t>
      </w:r>
      <w:r>
        <w:rPr>
          <w:bCs/>
          <w:lang w:val="fr-CA"/>
        </w:rPr>
        <w:t xml:space="preserve">e </w:t>
      </w:r>
      <w:r w:rsidR="00F66D8C">
        <w:rPr>
          <w:bCs/>
          <w:lang w:val="fr-CA"/>
        </w:rPr>
        <w:t xml:space="preserve">à </w:t>
      </w:r>
      <w:r>
        <w:rPr>
          <w:bCs/>
          <w:lang w:val="fr-CA"/>
        </w:rPr>
        <w:t xml:space="preserve">78 </w:t>
      </w:r>
      <w:proofErr w:type="spellStart"/>
      <w:r>
        <w:rPr>
          <w:bCs/>
          <w:lang w:val="fr-CA"/>
        </w:rPr>
        <w:t>tm</w:t>
      </w:r>
      <w:proofErr w:type="spellEnd"/>
      <w:r>
        <w:rPr>
          <w:bCs/>
          <w:lang w:val="fr-CA"/>
        </w:rPr>
        <w:t xml:space="preserve"> et cette consommation serait remplacée par du R-290 pour les systèmes de réfrigération de moins de 50kW</w:t>
      </w:r>
      <w:r w:rsidR="003B1CEA">
        <w:rPr>
          <w:bCs/>
          <w:lang w:val="fr-CA"/>
        </w:rPr>
        <w:t xml:space="preserve"> </w:t>
      </w:r>
      <w:r>
        <w:rPr>
          <w:bCs/>
          <w:lang w:val="fr-CA"/>
        </w:rPr>
        <w:t>et du CO</w:t>
      </w:r>
      <w:r>
        <w:rPr>
          <w:bCs/>
          <w:vertAlign w:val="subscript"/>
          <w:lang w:val="fr-CA"/>
        </w:rPr>
        <w:t>2</w:t>
      </w:r>
      <w:r>
        <w:rPr>
          <w:bCs/>
          <w:lang w:val="fr-CA"/>
        </w:rPr>
        <w:t xml:space="preserve"> pour les systèmes de plus de 50kW.</w:t>
      </w:r>
    </w:p>
    <w:p w14:paraId="784ABEA9" w14:textId="77777777" w:rsidR="00D4534C" w:rsidRDefault="00D4534C" w:rsidP="008E2E96">
      <w:pPr>
        <w:pStyle w:val="Paragrafoelenco"/>
        <w:ind w:left="0"/>
        <w:rPr>
          <w:bCs/>
          <w:lang w:val="fr-CA"/>
        </w:rPr>
      </w:pPr>
    </w:p>
    <w:p w14:paraId="5799E0D9" w14:textId="13DA838C" w:rsidR="00A904DA" w:rsidRDefault="00D4534C" w:rsidP="008E2E96">
      <w:pPr>
        <w:pStyle w:val="Paragrafoelenco"/>
        <w:ind w:left="0"/>
        <w:rPr>
          <w:bCs/>
          <w:lang w:val="fr-CA"/>
        </w:rPr>
      </w:pPr>
      <w:r>
        <w:rPr>
          <w:bCs/>
          <w:lang w:val="fr-CA"/>
        </w:rPr>
        <w:t>20.</w:t>
      </w:r>
      <w:r>
        <w:rPr>
          <w:bCs/>
          <w:lang w:val="fr-CA"/>
        </w:rPr>
        <w:tab/>
        <w:t>À la suite d’une discussion détaillée entre le Secrétariat et le PNUD, il a été convenu qu’il serait important de fournir de l’assistance à ces entreprises pour leur permettre de développer et d’installer des de</w:t>
      </w:r>
      <w:r w:rsidR="00A904DA">
        <w:rPr>
          <w:bCs/>
          <w:lang w:val="fr-CA"/>
        </w:rPr>
        <w:t>s</w:t>
      </w:r>
      <w:r>
        <w:rPr>
          <w:bCs/>
          <w:lang w:val="fr-CA"/>
        </w:rPr>
        <w:t xml:space="preserve"> systèmes de réfrigération </w:t>
      </w:r>
      <w:r w:rsidR="00A904DA">
        <w:rPr>
          <w:bCs/>
          <w:lang w:val="fr-CA"/>
        </w:rPr>
        <w:t xml:space="preserve">prototypes </w:t>
      </w:r>
      <w:r>
        <w:rPr>
          <w:bCs/>
          <w:lang w:val="fr-CA"/>
        </w:rPr>
        <w:t>dans un nombre limité de supermarchés, de surveiller la performance et l’efficacité énergétique, et de diffuser les résultats pour souligner les avantages de</w:t>
      </w:r>
      <w:r w:rsidR="00C227DD">
        <w:rPr>
          <w:bCs/>
          <w:lang w:val="fr-CA"/>
        </w:rPr>
        <w:t>s</w:t>
      </w:r>
      <w:r>
        <w:rPr>
          <w:bCs/>
          <w:lang w:val="fr-CA"/>
        </w:rPr>
        <w:t xml:space="preserve"> systèmes à base de R-290 et de CO</w:t>
      </w:r>
      <w:r>
        <w:rPr>
          <w:bCs/>
          <w:vertAlign w:val="subscript"/>
          <w:lang w:val="fr-CA"/>
        </w:rPr>
        <w:t>2</w:t>
      </w:r>
      <w:r>
        <w:rPr>
          <w:bCs/>
          <w:lang w:val="fr-CA"/>
        </w:rPr>
        <w:t xml:space="preserve">.  Ainsi donc, le sous-projet accepté incluait la fourniture d’équipement/d’outils à sept entreprises pour la manipulation de frigorigène inflammable, de l’assistance technique (AT) </w:t>
      </w:r>
      <w:r w:rsidR="00C227DD">
        <w:rPr>
          <w:bCs/>
          <w:lang w:val="fr-CA"/>
        </w:rPr>
        <w:t xml:space="preserve">notamment </w:t>
      </w:r>
      <w:r>
        <w:rPr>
          <w:bCs/>
          <w:lang w:val="fr-CA"/>
        </w:rPr>
        <w:t xml:space="preserve">pour le développement et l’installation de dix systèmes de réfrigération </w:t>
      </w:r>
      <w:r w:rsidR="00A904DA">
        <w:rPr>
          <w:bCs/>
          <w:lang w:val="fr-CA"/>
        </w:rPr>
        <w:t>prototypes (sept chambres froides à base de R-290 et trois systèmes de rafraichissement urbain à base de CO</w:t>
      </w:r>
      <w:r w:rsidR="00A904DA">
        <w:rPr>
          <w:bCs/>
          <w:vertAlign w:val="subscript"/>
          <w:lang w:val="fr-CA"/>
        </w:rPr>
        <w:t>2</w:t>
      </w:r>
      <w:r w:rsidR="00A904DA">
        <w:rPr>
          <w:bCs/>
          <w:lang w:val="fr-CA"/>
        </w:rPr>
        <w:t>), de la formation et de la sensibilisation.</w:t>
      </w:r>
    </w:p>
    <w:p w14:paraId="1FCB707A" w14:textId="77777777" w:rsidR="00F66D8C" w:rsidRDefault="00F66D8C" w:rsidP="008E2E96">
      <w:pPr>
        <w:pStyle w:val="Paragrafoelenco"/>
        <w:ind w:left="0"/>
        <w:rPr>
          <w:bCs/>
          <w:lang w:val="fr-CA"/>
        </w:rPr>
      </w:pPr>
    </w:p>
    <w:p w14:paraId="6F9F7196" w14:textId="77777777" w:rsidR="003A44F0" w:rsidRDefault="003A44F0" w:rsidP="008E2E96">
      <w:pPr>
        <w:pStyle w:val="Paragrafoelenco"/>
        <w:ind w:left="0"/>
        <w:rPr>
          <w:bCs/>
          <w:lang w:val="fr-CA"/>
        </w:rPr>
      </w:pPr>
    </w:p>
    <w:p w14:paraId="6508864E" w14:textId="77777777" w:rsidR="003A44F0" w:rsidRDefault="003A44F0" w:rsidP="008E2E96">
      <w:pPr>
        <w:pStyle w:val="Paragrafoelenco"/>
        <w:ind w:left="0"/>
        <w:rPr>
          <w:bCs/>
          <w:lang w:val="fr-CA"/>
        </w:rPr>
      </w:pPr>
    </w:p>
    <w:p w14:paraId="6F43AEB1" w14:textId="61B2B4B5" w:rsidR="00A904DA" w:rsidRDefault="00A904DA" w:rsidP="008E2E96">
      <w:pPr>
        <w:pStyle w:val="Paragrafoelenco"/>
        <w:ind w:left="0"/>
        <w:rPr>
          <w:bCs/>
          <w:i/>
          <w:iCs/>
          <w:lang w:val="fr-CA"/>
        </w:rPr>
      </w:pPr>
      <w:r>
        <w:rPr>
          <w:bCs/>
          <w:i/>
          <w:iCs/>
          <w:lang w:val="fr-CA"/>
        </w:rPr>
        <w:lastRenderedPageBreak/>
        <w:t>Costa Rica</w:t>
      </w:r>
    </w:p>
    <w:p w14:paraId="7BA621D2" w14:textId="77777777" w:rsidR="00A904DA" w:rsidRDefault="00A904DA" w:rsidP="008E2E96">
      <w:pPr>
        <w:pStyle w:val="Paragrafoelenco"/>
        <w:ind w:left="0"/>
        <w:rPr>
          <w:bCs/>
          <w:i/>
          <w:iCs/>
          <w:lang w:val="fr-CA"/>
        </w:rPr>
      </w:pPr>
    </w:p>
    <w:p w14:paraId="2151BD89" w14:textId="39C818F2" w:rsidR="004F122F" w:rsidRDefault="00A904DA" w:rsidP="008E2E96">
      <w:pPr>
        <w:pStyle w:val="Paragrafoelenco"/>
        <w:ind w:left="0"/>
        <w:rPr>
          <w:bCs/>
          <w:lang w:val="fr-CA"/>
        </w:rPr>
      </w:pPr>
      <w:r>
        <w:rPr>
          <w:bCs/>
          <w:lang w:val="fr-CA"/>
        </w:rPr>
        <w:t>21.</w:t>
      </w:r>
      <w:r>
        <w:rPr>
          <w:bCs/>
          <w:lang w:val="fr-CA"/>
        </w:rPr>
        <w:tab/>
        <w:t>Le KIP pour le Costa Rica</w:t>
      </w:r>
      <w:r>
        <w:rPr>
          <w:rStyle w:val="Rimandonotaapidipagina"/>
          <w:bCs/>
          <w:lang w:val="fr-CA"/>
        </w:rPr>
        <w:footnoteReference w:id="6"/>
      </w:r>
      <w:r>
        <w:rPr>
          <w:bCs/>
          <w:lang w:val="fr-CA"/>
        </w:rPr>
        <w:t xml:space="preserve"> incluait un projet pour éliminer la consommation de 16 </w:t>
      </w:r>
      <w:proofErr w:type="spellStart"/>
      <w:r>
        <w:rPr>
          <w:bCs/>
          <w:lang w:val="fr-CA"/>
        </w:rPr>
        <w:t>tm</w:t>
      </w:r>
      <w:proofErr w:type="spellEnd"/>
      <w:r>
        <w:rPr>
          <w:bCs/>
          <w:lang w:val="fr-CA"/>
        </w:rPr>
        <w:t xml:space="preserve"> de R-404</w:t>
      </w:r>
      <w:r w:rsidR="00D171B6">
        <w:rPr>
          <w:bCs/>
          <w:lang w:val="fr-CA"/>
        </w:rPr>
        <w:t>A</w:t>
      </w:r>
      <w:r>
        <w:rPr>
          <w:bCs/>
          <w:lang w:val="fr-CA"/>
        </w:rPr>
        <w:t xml:space="preserve"> et </w:t>
      </w:r>
      <w:r w:rsidR="00D171B6">
        <w:rPr>
          <w:bCs/>
          <w:lang w:val="fr-CA"/>
        </w:rPr>
        <w:t xml:space="preserve">de </w:t>
      </w:r>
      <w:r>
        <w:rPr>
          <w:bCs/>
          <w:lang w:val="fr-CA"/>
        </w:rPr>
        <w:t>R-507A par 14 entreprises d’installation et d’assemblage loca</w:t>
      </w:r>
      <w:r w:rsidR="00D171B6">
        <w:rPr>
          <w:bCs/>
          <w:lang w:val="fr-CA"/>
        </w:rPr>
        <w:t>ux</w:t>
      </w:r>
      <w:r>
        <w:rPr>
          <w:bCs/>
          <w:lang w:val="fr-CA"/>
        </w:rPr>
        <w:t xml:space="preserve">.  Ces entreprises sont associées à </w:t>
      </w:r>
      <w:r w:rsidR="004F122F">
        <w:rPr>
          <w:bCs/>
          <w:lang w:val="fr-CA"/>
        </w:rPr>
        <w:t>un fabricant</w:t>
      </w:r>
      <w:r>
        <w:rPr>
          <w:bCs/>
          <w:lang w:val="fr-CA"/>
        </w:rPr>
        <w:t xml:space="preserve"> d’équipement de réfrigération commerciale (Omega qui </w:t>
      </w:r>
      <w:r w:rsidR="003B1CEA">
        <w:rPr>
          <w:bCs/>
          <w:lang w:val="fr-CA"/>
        </w:rPr>
        <w:t>reçoit</w:t>
      </w:r>
      <w:r>
        <w:rPr>
          <w:bCs/>
          <w:lang w:val="fr-CA"/>
        </w:rPr>
        <w:t xml:space="preserve"> aussi d</w:t>
      </w:r>
      <w:r w:rsidR="003B1CEA">
        <w:rPr>
          <w:bCs/>
          <w:lang w:val="fr-CA"/>
        </w:rPr>
        <w:t>e l</w:t>
      </w:r>
      <w:r>
        <w:rPr>
          <w:bCs/>
          <w:lang w:val="fr-CA"/>
        </w:rPr>
        <w:t>’ai</w:t>
      </w:r>
      <w:r w:rsidR="003B1CEA">
        <w:rPr>
          <w:bCs/>
          <w:lang w:val="fr-CA"/>
        </w:rPr>
        <w:t>d</w:t>
      </w:r>
      <w:r>
        <w:rPr>
          <w:bCs/>
          <w:lang w:val="fr-CA"/>
        </w:rPr>
        <w:t xml:space="preserve">e </w:t>
      </w:r>
      <w:r w:rsidR="004F122F">
        <w:rPr>
          <w:bCs/>
          <w:lang w:val="fr-CA"/>
        </w:rPr>
        <w:t>pour éliminer la fabrication d’équipement</w:t>
      </w:r>
      <w:r w:rsidR="00D171B6">
        <w:rPr>
          <w:bCs/>
          <w:lang w:val="fr-CA"/>
        </w:rPr>
        <w:t>s</w:t>
      </w:r>
      <w:r w:rsidR="004F122F">
        <w:rPr>
          <w:bCs/>
          <w:lang w:val="fr-CA"/>
        </w:rPr>
        <w:t xml:space="preserve"> plus petit</w:t>
      </w:r>
      <w:r w:rsidR="00D171B6">
        <w:rPr>
          <w:bCs/>
          <w:lang w:val="fr-CA"/>
        </w:rPr>
        <w:t>s</w:t>
      </w:r>
      <w:r w:rsidR="004F122F">
        <w:rPr>
          <w:bCs/>
          <w:lang w:val="fr-CA"/>
        </w:rPr>
        <w:t>).  Les entreprises effectuent l’assemblage, l’installation et la première charge (sur place) des systèmes de réfrigération commerciale fonctionnant à température moyenne et basse.</w:t>
      </w:r>
    </w:p>
    <w:p w14:paraId="6C41B84B" w14:textId="77777777" w:rsidR="004F122F" w:rsidRDefault="004F122F" w:rsidP="008E2E96">
      <w:pPr>
        <w:pStyle w:val="Paragrafoelenco"/>
        <w:ind w:left="0"/>
        <w:rPr>
          <w:bCs/>
          <w:lang w:val="fr-CA"/>
        </w:rPr>
      </w:pPr>
    </w:p>
    <w:p w14:paraId="4B9FDE16" w14:textId="2A7ADE5D" w:rsidR="00C41CF4" w:rsidRDefault="004F122F" w:rsidP="00C41CF4">
      <w:pPr>
        <w:pStyle w:val="Paragrafoelenco"/>
        <w:ind w:left="0"/>
        <w:rPr>
          <w:bCs/>
          <w:lang w:val="fr-CA"/>
        </w:rPr>
      </w:pPr>
      <w:r>
        <w:rPr>
          <w:bCs/>
          <w:lang w:val="fr-CA"/>
        </w:rPr>
        <w:t>22.</w:t>
      </w:r>
      <w:r>
        <w:rPr>
          <w:bCs/>
          <w:lang w:val="fr-CA"/>
        </w:rPr>
        <w:tab/>
        <w:t>Le projet incluait, au niveau de</w:t>
      </w:r>
      <w:r w:rsidR="00D171B6">
        <w:rPr>
          <w:bCs/>
          <w:lang w:val="fr-CA"/>
        </w:rPr>
        <w:t>s</w:t>
      </w:r>
      <w:r>
        <w:rPr>
          <w:bCs/>
          <w:lang w:val="fr-CA"/>
        </w:rPr>
        <w:t xml:space="preserve"> entreprise</w:t>
      </w:r>
      <w:r w:rsidR="00D171B6">
        <w:rPr>
          <w:bCs/>
          <w:lang w:val="fr-CA"/>
        </w:rPr>
        <w:t>s</w:t>
      </w:r>
      <w:r>
        <w:rPr>
          <w:bCs/>
          <w:lang w:val="fr-CA"/>
        </w:rPr>
        <w:t>, la fourniture d’outils adéquats pour utilisation avec un frigorigène inflammable</w:t>
      </w:r>
      <w:r>
        <w:rPr>
          <w:rStyle w:val="Rimandonotaapidipagina"/>
          <w:bCs/>
          <w:lang w:val="fr-CA"/>
        </w:rPr>
        <w:footnoteReference w:id="7"/>
      </w:r>
      <w:r>
        <w:rPr>
          <w:bCs/>
          <w:lang w:val="fr-CA"/>
        </w:rPr>
        <w:t xml:space="preserve"> et de l’assistance technique pour la conception, l’ingénierie, l’assemblage et l’installation des trois types d’équipement</w:t>
      </w:r>
      <w:r>
        <w:rPr>
          <w:rStyle w:val="Rimandonotaapidipagina"/>
          <w:bCs/>
          <w:lang w:val="fr-CA"/>
        </w:rPr>
        <w:footnoteReference w:id="8"/>
      </w:r>
      <w:r w:rsidR="00C41CF4">
        <w:rPr>
          <w:bCs/>
          <w:lang w:val="fr-CA"/>
        </w:rPr>
        <w:t xml:space="preserve">, selon les normes internationales et régionales applicables.  Le projet incluait aussi, sur le site d’un utilisateur final, la démonstration de l’assemblage, de l’installation et du fonctionnement des trois équipements de réfrigération prototypes à base de R-290 et </w:t>
      </w:r>
      <w:r w:rsidR="00D171B6">
        <w:rPr>
          <w:bCs/>
          <w:lang w:val="fr-CA"/>
        </w:rPr>
        <w:t>des</w:t>
      </w:r>
      <w:r w:rsidR="00C41CF4">
        <w:rPr>
          <w:bCs/>
          <w:lang w:val="fr-CA"/>
        </w:rPr>
        <w:t xml:space="preserve"> mesure</w:t>
      </w:r>
      <w:r w:rsidR="00D171B6">
        <w:rPr>
          <w:bCs/>
          <w:lang w:val="fr-CA"/>
        </w:rPr>
        <w:t>s</w:t>
      </w:r>
      <w:r w:rsidR="00C41CF4">
        <w:rPr>
          <w:bCs/>
          <w:lang w:val="fr-CA"/>
        </w:rPr>
        <w:t xml:space="preserve"> de la performance et de la consommation énergétique.  Au niveau sectoriel, le projet incluait du soutien pour la révision des normes applicables à l’installation et au fonctionnement de l’équipement conçu et de la formation </w:t>
      </w:r>
      <w:r w:rsidR="00790779">
        <w:rPr>
          <w:bCs/>
          <w:lang w:val="fr-CA"/>
        </w:rPr>
        <w:t>dans le sous-secteur po</w:t>
      </w:r>
      <w:r w:rsidR="00C41CF4">
        <w:rPr>
          <w:bCs/>
          <w:lang w:val="fr-CA"/>
        </w:rPr>
        <w:t>ur l’application de cette technologie</w:t>
      </w:r>
      <w:r w:rsidR="00790779">
        <w:rPr>
          <w:bCs/>
          <w:lang w:val="fr-CA"/>
        </w:rPr>
        <w:t>.</w:t>
      </w:r>
    </w:p>
    <w:p w14:paraId="1C066D7C" w14:textId="77777777" w:rsidR="00790779" w:rsidRDefault="00790779" w:rsidP="00C41CF4">
      <w:pPr>
        <w:pStyle w:val="Paragrafoelenco"/>
        <w:ind w:left="0"/>
        <w:rPr>
          <w:bCs/>
          <w:lang w:val="fr-CA"/>
        </w:rPr>
      </w:pPr>
    </w:p>
    <w:p w14:paraId="0BC31B3B" w14:textId="1CF49259" w:rsidR="0095623A" w:rsidRDefault="00C41CF4" w:rsidP="00C41CF4">
      <w:pPr>
        <w:pStyle w:val="Paragrafoelenco"/>
        <w:ind w:left="0"/>
        <w:rPr>
          <w:bCs/>
          <w:lang w:val="fr-CA"/>
        </w:rPr>
      </w:pPr>
      <w:r>
        <w:rPr>
          <w:bCs/>
          <w:lang w:val="fr-CA"/>
        </w:rPr>
        <w:t>23.</w:t>
      </w:r>
      <w:r>
        <w:rPr>
          <w:bCs/>
          <w:lang w:val="fr-CA"/>
        </w:rPr>
        <w:tab/>
        <w:t>Le Secrétariat a pris note que la conception du projet a tenu compte des suggestions et activités proposées dans le document UNEP/</w:t>
      </w:r>
      <w:proofErr w:type="spellStart"/>
      <w:r>
        <w:rPr>
          <w:bCs/>
          <w:lang w:val="fr-CA"/>
        </w:rPr>
        <w:t>OzL.Pro</w:t>
      </w:r>
      <w:proofErr w:type="spellEnd"/>
      <w:r>
        <w:rPr>
          <w:bCs/>
          <w:lang w:val="fr-CA"/>
        </w:rPr>
        <w:t>/</w:t>
      </w:r>
      <w:proofErr w:type="spellStart"/>
      <w:r>
        <w:rPr>
          <w:bCs/>
          <w:lang w:val="fr-CA"/>
        </w:rPr>
        <w:t>ExCom</w:t>
      </w:r>
      <w:proofErr w:type="spellEnd"/>
      <w:r>
        <w:rPr>
          <w:bCs/>
          <w:lang w:val="fr-CA"/>
        </w:rPr>
        <w:t>/93/99</w:t>
      </w:r>
      <w:r w:rsidR="0095623A">
        <w:rPr>
          <w:bCs/>
          <w:lang w:val="fr-CA"/>
        </w:rPr>
        <w:t xml:space="preserve"> et inclus de l’assistance à différents niveaux dans le secteur afin de faciliter la réduction progressive des HFC dans les applications ciblées.  </w:t>
      </w:r>
      <w:r w:rsidR="00271AC0">
        <w:rPr>
          <w:bCs/>
          <w:lang w:val="fr-CA"/>
        </w:rPr>
        <w:t>Concern</w:t>
      </w:r>
      <w:r w:rsidR="0095623A">
        <w:rPr>
          <w:bCs/>
          <w:lang w:val="fr-CA"/>
        </w:rPr>
        <w:t xml:space="preserve">ant la pérennité, puisqu’il y avait </w:t>
      </w:r>
      <w:r w:rsidR="00790779">
        <w:rPr>
          <w:bCs/>
          <w:lang w:val="fr-CA"/>
        </w:rPr>
        <w:t>plus</w:t>
      </w:r>
      <w:r w:rsidR="0095623A">
        <w:rPr>
          <w:bCs/>
          <w:lang w:val="fr-CA"/>
        </w:rPr>
        <w:t xml:space="preserve"> d’entreprises dans le sous-secteur dans le pays, l’agence d’exécution a indiqué que des efforts supplémentaires demeuraient nécessaires afin de développer la capacité locale des installateurs et des techniciens pour l’utilisation des technologies inflammables avant d’interdire ou de réglementer la fabrication de chambres froides à base de HFC.  </w:t>
      </w:r>
      <w:r w:rsidR="00271AC0">
        <w:rPr>
          <w:bCs/>
          <w:lang w:val="fr-CA"/>
        </w:rPr>
        <w:t>On s’attend à ce que l</w:t>
      </w:r>
      <w:r w:rsidR="0095623A">
        <w:rPr>
          <w:bCs/>
          <w:lang w:val="fr-CA"/>
        </w:rPr>
        <w:t xml:space="preserve">a phase I du KIP contribue à identifier les aspects </w:t>
      </w:r>
      <w:r w:rsidR="00271AC0">
        <w:rPr>
          <w:bCs/>
          <w:lang w:val="fr-CA"/>
        </w:rPr>
        <w:t xml:space="preserve">clés </w:t>
      </w:r>
      <w:r w:rsidR="0095623A">
        <w:rPr>
          <w:bCs/>
          <w:lang w:val="fr-CA"/>
        </w:rPr>
        <w:t>de cette transition et à établir ensuite des politiques pour restreindre et interdire l’utilisation de HFC dans cette activité.</w:t>
      </w:r>
    </w:p>
    <w:p w14:paraId="10EE8DB3" w14:textId="77777777" w:rsidR="0095623A" w:rsidRDefault="0095623A" w:rsidP="00C41CF4">
      <w:pPr>
        <w:pStyle w:val="Paragrafoelenco"/>
        <w:ind w:left="0"/>
        <w:rPr>
          <w:bCs/>
          <w:lang w:val="fr-CA"/>
        </w:rPr>
      </w:pPr>
    </w:p>
    <w:p w14:paraId="33976538" w14:textId="77777777" w:rsidR="0095623A" w:rsidRDefault="0095623A" w:rsidP="00C41CF4">
      <w:pPr>
        <w:pStyle w:val="Paragrafoelenco"/>
        <w:ind w:left="0"/>
        <w:rPr>
          <w:b/>
          <w:lang w:val="fr-CA"/>
        </w:rPr>
      </w:pPr>
      <w:r>
        <w:rPr>
          <w:b/>
          <w:lang w:val="fr-CA"/>
        </w:rPr>
        <w:t>Observations du Secrétariat</w:t>
      </w:r>
    </w:p>
    <w:p w14:paraId="2A46786A" w14:textId="77777777" w:rsidR="0095623A" w:rsidRDefault="0095623A" w:rsidP="00C41CF4">
      <w:pPr>
        <w:pStyle w:val="Paragrafoelenco"/>
        <w:ind w:left="0"/>
        <w:rPr>
          <w:b/>
          <w:lang w:val="fr-CA"/>
        </w:rPr>
      </w:pPr>
    </w:p>
    <w:p w14:paraId="44D6952A" w14:textId="7B7B2106" w:rsidR="0095623A" w:rsidRDefault="0095623A" w:rsidP="00C41CF4">
      <w:pPr>
        <w:pStyle w:val="Paragrafoelenco"/>
        <w:ind w:left="0"/>
        <w:rPr>
          <w:bCs/>
          <w:lang w:val="fr-CA"/>
        </w:rPr>
      </w:pPr>
      <w:r>
        <w:rPr>
          <w:bCs/>
          <w:lang w:val="fr-CA"/>
        </w:rPr>
        <w:t>24.</w:t>
      </w:r>
      <w:r>
        <w:rPr>
          <w:bCs/>
          <w:lang w:val="fr-CA"/>
        </w:rPr>
        <w:tab/>
        <w:t>À partir de l’analyse des informations disponibles dans 18 KIP et des activités soumises jusqu’à présent, les observations suivantes ont été faites :</w:t>
      </w:r>
    </w:p>
    <w:p w14:paraId="6DAB4B7B" w14:textId="77777777" w:rsidR="0095623A" w:rsidRDefault="0095623A" w:rsidP="00C41CF4">
      <w:pPr>
        <w:pStyle w:val="Paragrafoelenco"/>
        <w:ind w:left="0"/>
        <w:rPr>
          <w:bCs/>
          <w:lang w:val="fr-CA"/>
        </w:rPr>
      </w:pPr>
    </w:p>
    <w:p w14:paraId="7B1C23E9" w14:textId="700BD38E" w:rsidR="0095623A" w:rsidRDefault="0095623A" w:rsidP="0095623A">
      <w:pPr>
        <w:pStyle w:val="Paragrafoelenco"/>
        <w:numPr>
          <w:ilvl w:val="0"/>
          <w:numId w:val="24"/>
        </w:numPr>
        <w:rPr>
          <w:bCs/>
          <w:lang w:val="fr-CA"/>
        </w:rPr>
      </w:pPr>
      <w:r>
        <w:rPr>
          <w:bCs/>
          <w:lang w:val="fr-CA"/>
        </w:rPr>
        <w:t xml:space="preserve">De nombreux pays </w:t>
      </w:r>
      <w:r w:rsidR="003B1CEA">
        <w:rPr>
          <w:bCs/>
          <w:lang w:val="fr-CA"/>
        </w:rPr>
        <w:t>se heurtent</w:t>
      </w:r>
      <w:r w:rsidR="00992819">
        <w:rPr>
          <w:bCs/>
          <w:lang w:val="fr-CA"/>
        </w:rPr>
        <w:t xml:space="preserve"> enco</w:t>
      </w:r>
      <w:r>
        <w:rPr>
          <w:bCs/>
          <w:lang w:val="fr-CA"/>
        </w:rPr>
        <w:t xml:space="preserve">re </w:t>
      </w:r>
      <w:r w:rsidR="003B1CEA">
        <w:rPr>
          <w:bCs/>
          <w:lang w:val="fr-CA"/>
        </w:rPr>
        <w:t xml:space="preserve">à </w:t>
      </w:r>
      <w:r>
        <w:rPr>
          <w:bCs/>
          <w:lang w:val="fr-CA"/>
        </w:rPr>
        <w:t xml:space="preserve">des défis pour définir clairement ce sous-secteur et recueillir des données pertinentes sur la consommation de HFC, les applications couvertes et les types d’entreprises impliquées.  Le Secrétariat souligne l’importance pour les agences bilatérales et d’exécution de continuer à fournir une assistance technique afin d’aider les pays à mieux comprendre </w:t>
      </w:r>
      <w:r w:rsidR="003B1CEA">
        <w:rPr>
          <w:bCs/>
          <w:lang w:val="fr-CA"/>
        </w:rPr>
        <w:t>l</w:t>
      </w:r>
      <w:r>
        <w:rPr>
          <w:bCs/>
          <w:lang w:val="fr-CA"/>
        </w:rPr>
        <w:t xml:space="preserve">e sous-secteur et à instaurer des systèmes </w:t>
      </w:r>
      <w:r w:rsidR="00992819">
        <w:rPr>
          <w:bCs/>
          <w:lang w:val="fr-CA"/>
        </w:rPr>
        <w:t>de</w:t>
      </w:r>
      <w:r>
        <w:rPr>
          <w:bCs/>
          <w:lang w:val="fr-CA"/>
        </w:rPr>
        <w:t xml:space="preserve"> collecte efficace des données;</w:t>
      </w:r>
    </w:p>
    <w:p w14:paraId="1C1C45EB" w14:textId="77777777" w:rsidR="0095623A" w:rsidRPr="0095623A" w:rsidRDefault="0095623A" w:rsidP="0095623A">
      <w:pPr>
        <w:rPr>
          <w:bCs/>
          <w:lang w:val="fr-CA"/>
        </w:rPr>
      </w:pPr>
    </w:p>
    <w:p w14:paraId="22B9D12D" w14:textId="225E4A9B" w:rsidR="00F67170" w:rsidRDefault="00992819" w:rsidP="0095623A">
      <w:pPr>
        <w:pStyle w:val="Paragrafoelenco"/>
        <w:numPr>
          <w:ilvl w:val="0"/>
          <w:numId w:val="24"/>
        </w:numPr>
        <w:rPr>
          <w:bCs/>
          <w:lang w:val="fr-CA"/>
        </w:rPr>
      </w:pPr>
      <w:r>
        <w:rPr>
          <w:bCs/>
          <w:lang w:val="fr-CA"/>
        </w:rPr>
        <w:t>Une fois</w:t>
      </w:r>
      <w:r w:rsidR="00F67170">
        <w:rPr>
          <w:bCs/>
          <w:lang w:val="fr-CA"/>
        </w:rPr>
        <w:t xml:space="preserve"> la consommation du sous-secteur de l’installation et de l’assemblage loca</w:t>
      </w:r>
      <w:r>
        <w:rPr>
          <w:bCs/>
          <w:lang w:val="fr-CA"/>
        </w:rPr>
        <w:t>ux</w:t>
      </w:r>
      <w:r w:rsidR="00790779">
        <w:rPr>
          <w:bCs/>
          <w:lang w:val="fr-CA"/>
        </w:rPr>
        <w:t xml:space="preserve"> identifiée</w:t>
      </w:r>
      <w:r w:rsidR="00F67170">
        <w:rPr>
          <w:bCs/>
          <w:lang w:val="fr-CA"/>
        </w:rPr>
        <w:t xml:space="preserve">, il est essentiel de la déclarer de manière cohérente, notamment pour les pays qui envisagent une activité </w:t>
      </w:r>
      <w:r>
        <w:rPr>
          <w:bCs/>
          <w:lang w:val="fr-CA"/>
        </w:rPr>
        <w:t>s</w:t>
      </w:r>
      <w:r w:rsidR="00F67170">
        <w:rPr>
          <w:bCs/>
          <w:lang w:val="fr-CA"/>
        </w:rPr>
        <w:t>péci</w:t>
      </w:r>
      <w:r>
        <w:rPr>
          <w:bCs/>
          <w:lang w:val="fr-CA"/>
        </w:rPr>
        <w:t>fiqu</w:t>
      </w:r>
      <w:r w:rsidR="00F67170">
        <w:rPr>
          <w:bCs/>
          <w:lang w:val="fr-CA"/>
        </w:rPr>
        <w:t>e pour ce sous-secteur.  Actuellement, dans le rapport sur les données du programme de pays</w:t>
      </w:r>
      <w:r>
        <w:rPr>
          <w:bCs/>
          <w:lang w:val="fr-CA"/>
        </w:rPr>
        <w:t xml:space="preserve"> (PP)</w:t>
      </w:r>
      <w:r w:rsidR="00F67170">
        <w:rPr>
          <w:bCs/>
          <w:lang w:val="fr-CA"/>
        </w:rPr>
        <w:t>, les pays déclarent l</w:t>
      </w:r>
      <w:r>
        <w:rPr>
          <w:bCs/>
          <w:lang w:val="fr-CA"/>
        </w:rPr>
        <w:t>’</w:t>
      </w:r>
      <w:r w:rsidR="00F67170">
        <w:rPr>
          <w:bCs/>
          <w:lang w:val="fr-CA"/>
        </w:rPr>
        <w:t xml:space="preserve">utilisation </w:t>
      </w:r>
      <w:r w:rsidR="003B1CEA">
        <w:rPr>
          <w:bCs/>
          <w:lang w:val="fr-CA"/>
        </w:rPr>
        <w:t>selon</w:t>
      </w:r>
      <w:r w:rsidR="00F67170">
        <w:rPr>
          <w:bCs/>
          <w:lang w:val="fr-CA"/>
        </w:rPr>
        <w:t xml:space="preserve"> trois catégories : entretien, fabrication ou autre</w:t>
      </w:r>
      <w:r w:rsidR="003B1CEA">
        <w:rPr>
          <w:bCs/>
          <w:lang w:val="fr-CA"/>
        </w:rPr>
        <w:t>s</w:t>
      </w:r>
      <w:r w:rsidR="00F67170">
        <w:rPr>
          <w:bCs/>
          <w:lang w:val="fr-CA"/>
        </w:rPr>
        <w:t xml:space="preserve">.  Étant donné que </w:t>
      </w:r>
      <w:r>
        <w:rPr>
          <w:bCs/>
          <w:lang w:val="fr-CA"/>
        </w:rPr>
        <w:t>l</w:t>
      </w:r>
      <w:r w:rsidR="00F67170">
        <w:rPr>
          <w:bCs/>
          <w:lang w:val="fr-CA"/>
        </w:rPr>
        <w:t xml:space="preserve">e rapport </w:t>
      </w:r>
      <w:r>
        <w:rPr>
          <w:bCs/>
          <w:lang w:val="fr-CA"/>
        </w:rPr>
        <w:t xml:space="preserve">du PP </w:t>
      </w:r>
      <w:r w:rsidR="00F67170">
        <w:rPr>
          <w:bCs/>
          <w:lang w:val="fr-CA"/>
        </w:rPr>
        <w:t xml:space="preserve">ne contient pas une colonne dédiée pour </w:t>
      </w:r>
      <w:r w:rsidR="003B1CEA">
        <w:rPr>
          <w:bCs/>
          <w:lang w:val="fr-CA"/>
        </w:rPr>
        <w:t>l</w:t>
      </w:r>
      <w:r w:rsidR="00F67170">
        <w:rPr>
          <w:bCs/>
          <w:lang w:val="fr-CA"/>
        </w:rPr>
        <w:t xml:space="preserve">e sous-secteur et qu’il serait prématuré d’envisager une modification du format du rapport, le Secrétariat encourage les pays à déclarer </w:t>
      </w:r>
      <w:r>
        <w:rPr>
          <w:bCs/>
          <w:lang w:val="fr-CA"/>
        </w:rPr>
        <w:t>cette</w:t>
      </w:r>
      <w:r w:rsidR="00F67170">
        <w:rPr>
          <w:bCs/>
          <w:lang w:val="fr-CA"/>
        </w:rPr>
        <w:t xml:space="preserve"> </w:t>
      </w:r>
      <w:r w:rsidR="00F67170">
        <w:rPr>
          <w:bCs/>
          <w:lang w:val="fr-CA"/>
        </w:rPr>
        <w:lastRenderedPageBreak/>
        <w:t>consommation dans la colonne "Autre</w:t>
      </w:r>
      <w:r w:rsidR="003B1CEA">
        <w:rPr>
          <w:bCs/>
          <w:lang w:val="fr-CA"/>
        </w:rPr>
        <w:t>s</w:t>
      </w:r>
      <w:r w:rsidR="00F67170">
        <w:rPr>
          <w:bCs/>
          <w:lang w:val="fr-CA"/>
        </w:rPr>
        <w:t>" et à préciser le sous-secteur dans la colonne des Remarques, pour assurer la clarté et éviter un éventuel double comptage;</w:t>
      </w:r>
    </w:p>
    <w:p w14:paraId="4D9A8064" w14:textId="77777777" w:rsidR="00F67170" w:rsidRPr="00F67170" w:rsidRDefault="00F67170" w:rsidP="00F67170">
      <w:pPr>
        <w:pStyle w:val="Paragrafoelenco"/>
        <w:rPr>
          <w:bCs/>
          <w:lang w:val="fr-CA"/>
        </w:rPr>
      </w:pPr>
    </w:p>
    <w:p w14:paraId="47A1D334" w14:textId="46C2726F" w:rsidR="00554CAE" w:rsidRDefault="00F67170" w:rsidP="0095623A">
      <w:pPr>
        <w:pStyle w:val="Paragrafoelenco"/>
        <w:numPr>
          <w:ilvl w:val="0"/>
          <w:numId w:val="24"/>
        </w:numPr>
        <w:rPr>
          <w:bCs/>
          <w:lang w:val="fr-CA"/>
        </w:rPr>
      </w:pPr>
      <w:r>
        <w:rPr>
          <w:bCs/>
          <w:lang w:val="fr-CA"/>
        </w:rPr>
        <w:t xml:space="preserve">De nombreux pays manquent d’informations sur les types d’équipement assemblés </w:t>
      </w:r>
      <w:r w:rsidR="00554CAE">
        <w:rPr>
          <w:bCs/>
          <w:lang w:val="fr-CA"/>
        </w:rPr>
        <w:t xml:space="preserve">dans le pays et chargés sur place, les types d’entreprise qui offrent ce service, et les HFO consommés dans </w:t>
      </w:r>
      <w:r w:rsidR="003B1CEA">
        <w:rPr>
          <w:bCs/>
          <w:lang w:val="fr-CA"/>
        </w:rPr>
        <w:t>l</w:t>
      </w:r>
      <w:r w:rsidR="00554CAE">
        <w:rPr>
          <w:bCs/>
          <w:lang w:val="fr-CA"/>
        </w:rPr>
        <w:t xml:space="preserve">e sous-secteur.  En guise de suggestion pour commencer à combler ces lacunes, les pays pourraient envisager </w:t>
      </w:r>
      <w:r w:rsidR="00992819">
        <w:rPr>
          <w:bCs/>
          <w:lang w:val="fr-CA"/>
        </w:rPr>
        <w:t xml:space="preserve">une adaptation </w:t>
      </w:r>
      <w:r w:rsidR="00554CAE">
        <w:rPr>
          <w:bCs/>
          <w:lang w:val="fr-CA"/>
        </w:rPr>
        <w:t xml:space="preserve">des systèmes </w:t>
      </w:r>
      <w:r w:rsidR="003B1CEA">
        <w:rPr>
          <w:bCs/>
          <w:lang w:val="fr-CA"/>
        </w:rPr>
        <w:t>existants pour l’enregistrement des</w:t>
      </w:r>
      <w:r w:rsidR="00554CAE">
        <w:rPr>
          <w:bCs/>
          <w:lang w:val="fr-CA"/>
        </w:rPr>
        <w:t xml:space="preserve"> techniciens</w:t>
      </w:r>
      <w:r w:rsidR="003B1CEA">
        <w:rPr>
          <w:bCs/>
          <w:lang w:val="fr-CA"/>
        </w:rPr>
        <w:t xml:space="preserve"> </w:t>
      </w:r>
      <w:r w:rsidR="00992819">
        <w:rPr>
          <w:bCs/>
          <w:lang w:val="fr-CA"/>
        </w:rPr>
        <w:t>en vue d’</w:t>
      </w:r>
      <w:r w:rsidR="00554CAE">
        <w:rPr>
          <w:bCs/>
          <w:lang w:val="fr-CA"/>
        </w:rPr>
        <w:t xml:space="preserve">inclure aussi les entreprises de ce sous-secteur et </w:t>
      </w:r>
      <w:r w:rsidR="00992819">
        <w:rPr>
          <w:bCs/>
          <w:lang w:val="fr-CA"/>
        </w:rPr>
        <w:t xml:space="preserve">de </w:t>
      </w:r>
      <w:r w:rsidR="00554CAE">
        <w:rPr>
          <w:bCs/>
          <w:lang w:val="fr-CA"/>
        </w:rPr>
        <w:t>recueillir régulièrement des données pertinentes;</w:t>
      </w:r>
    </w:p>
    <w:p w14:paraId="26303FD1" w14:textId="77777777" w:rsidR="00554CAE" w:rsidRPr="00554CAE" w:rsidRDefault="00554CAE" w:rsidP="00554CAE">
      <w:pPr>
        <w:pStyle w:val="Paragrafoelenco"/>
        <w:rPr>
          <w:bCs/>
          <w:lang w:val="fr-CA"/>
        </w:rPr>
      </w:pPr>
    </w:p>
    <w:p w14:paraId="2DF674DE" w14:textId="036DBAD8" w:rsidR="002545FC" w:rsidRDefault="00554CAE" w:rsidP="0095623A">
      <w:pPr>
        <w:pStyle w:val="Paragrafoelenco"/>
        <w:numPr>
          <w:ilvl w:val="0"/>
          <w:numId w:val="24"/>
        </w:numPr>
        <w:rPr>
          <w:bCs/>
          <w:lang w:val="fr-CA"/>
        </w:rPr>
      </w:pPr>
      <w:r>
        <w:rPr>
          <w:bCs/>
          <w:lang w:val="fr-CA"/>
        </w:rPr>
        <w:t>Tel que constaté dans l’analyse précédente</w:t>
      </w:r>
      <w:r>
        <w:rPr>
          <w:rStyle w:val="Rimandonotaapidipagina"/>
          <w:bCs/>
          <w:lang w:val="fr-CA"/>
        </w:rPr>
        <w:footnoteReference w:id="9"/>
      </w:r>
      <w:r>
        <w:rPr>
          <w:bCs/>
          <w:lang w:val="fr-CA"/>
        </w:rPr>
        <w:t xml:space="preserve"> et dans les projets soumis jusqu’à présent, étant donné la grande variété des applications de RAC dans le sous-secteur de l’installation et de l’assemblage loca</w:t>
      </w:r>
      <w:r w:rsidR="00F040F2">
        <w:rPr>
          <w:bCs/>
          <w:lang w:val="fr-CA"/>
        </w:rPr>
        <w:t>ux</w:t>
      </w:r>
      <w:r>
        <w:rPr>
          <w:bCs/>
          <w:lang w:val="fr-CA"/>
        </w:rPr>
        <w:t xml:space="preserve">, il serait impossible pour les pays visés à l’article 5 de </w:t>
      </w:r>
      <w:r w:rsidR="00790779">
        <w:rPr>
          <w:bCs/>
          <w:lang w:val="fr-CA"/>
        </w:rPr>
        <w:t>traiter</w:t>
      </w:r>
      <w:r>
        <w:rPr>
          <w:bCs/>
          <w:lang w:val="fr-CA"/>
        </w:rPr>
        <w:t xml:space="preserve"> l</w:t>
      </w:r>
      <w:r w:rsidR="00790779">
        <w:rPr>
          <w:bCs/>
          <w:lang w:val="fr-CA"/>
        </w:rPr>
        <w:t xml:space="preserve">a totalité </w:t>
      </w:r>
      <w:r>
        <w:rPr>
          <w:bCs/>
          <w:lang w:val="fr-CA"/>
        </w:rPr>
        <w:t xml:space="preserve">du sous-secteur en même temps. Les pays pourraient </w:t>
      </w:r>
      <w:r w:rsidR="00F040F2">
        <w:rPr>
          <w:bCs/>
          <w:lang w:val="fr-CA"/>
        </w:rPr>
        <w:t xml:space="preserve">envisager de </w:t>
      </w:r>
      <w:r>
        <w:rPr>
          <w:bCs/>
          <w:lang w:val="fr-CA"/>
        </w:rPr>
        <w:t xml:space="preserve">cibler l’assistance pour des applications et des technologies de RAC spécifiques </w:t>
      </w:r>
      <w:r w:rsidR="00F040F2">
        <w:rPr>
          <w:bCs/>
          <w:lang w:val="fr-CA"/>
        </w:rPr>
        <w:t xml:space="preserve">à </w:t>
      </w:r>
      <w:r>
        <w:rPr>
          <w:bCs/>
          <w:lang w:val="fr-CA"/>
        </w:rPr>
        <w:t>différentes phases de la réduction progressive des HFC, en priorisant celles où la transition vers une technologie à faible PRP est plus facile. Des efforts supplémentaires s</w:t>
      </w:r>
      <w:r w:rsidR="002545FC">
        <w:rPr>
          <w:bCs/>
          <w:lang w:val="fr-CA"/>
        </w:rPr>
        <w:t>ont requis pour trouver des manières d</w:t>
      </w:r>
      <w:r w:rsidR="00F040F2">
        <w:rPr>
          <w:bCs/>
          <w:lang w:val="fr-CA"/>
        </w:rPr>
        <w:t>’aborder</w:t>
      </w:r>
      <w:r w:rsidR="002545FC">
        <w:rPr>
          <w:bCs/>
          <w:lang w:val="fr-CA"/>
        </w:rPr>
        <w:t xml:space="preserve"> la nécessité de garantir la pérennité de la réduction progressive des HFC dans </w:t>
      </w:r>
      <w:r w:rsidR="00B028F3">
        <w:rPr>
          <w:bCs/>
          <w:lang w:val="fr-CA"/>
        </w:rPr>
        <w:t>l</w:t>
      </w:r>
      <w:r w:rsidR="002545FC">
        <w:rPr>
          <w:bCs/>
          <w:lang w:val="fr-CA"/>
        </w:rPr>
        <w:t>e sous-secteur;</w:t>
      </w:r>
      <w:r w:rsidR="00F040F2">
        <w:rPr>
          <w:bCs/>
          <w:lang w:val="fr-CA"/>
        </w:rPr>
        <w:t xml:space="preserve"> et</w:t>
      </w:r>
    </w:p>
    <w:p w14:paraId="62EE2364" w14:textId="77777777" w:rsidR="002545FC" w:rsidRPr="002545FC" w:rsidRDefault="002545FC" w:rsidP="002545FC">
      <w:pPr>
        <w:pStyle w:val="Paragrafoelenco"/>
        <w:rPr>
          <w:bCs/>
          <w:lang w:val="fr-CA"/>
        </w:rPr>
      </w:pPr>
    </w:p>
    <w:p w14:paraId="60C6BBA8" w14:textId="75A77627" w:rsidR="00987D1F" w:rsidRDefault="002545FC" w:rsidP="00987D1F">
      <w:pPr>
        <w:pStyle w:val="Paragrafoelenco"/>
        <w:numPr>
          <w:ilvl w:val="0"/>
          <w:numId w:val="24"/>
        </w:numPr>
        <w:rPr>
          <w:bCs/>
          <w:lang w:val="fr-CA"/>
        </w:rPr>
      </w:pPr>
      <w:r>
        <w:rPr>
          <w:bCs/>
          <w:lang w:val="fr-CA"/>
        </w:rPr>
        <w:t xml:space="preserve">Idéalement, il faudrait élaborer une politique complète portant sur la réduction progressive des HFC dans </w:t>
      </w:r>
      <w:r w:rsidR="00B028F3">
        <w:rPr>
          <w:bCs/>
          <w:lang w:val="fr-CA"/>
        </w:rPr>
        <w:t>l</w:t>
      </w:r>
      <w:r>
        <w:rPr>
          <w:bCs/>
          <w:lang w:val="fr-CA"/>
        </w:rPr>
        <w:t>e sous-secteur, accompagnée de mesures pour garantir la pérennité.  Toutefois, le manque de données concrètes, de méthodes fiables pour mesurer l’impact</w:t>
      </w:r>
      <w:r w:rsidR="00F040F2">
        <w:rPr>
          <w:bCs/>
          <w:lang w:val="fr-CA"/>
        </w:rPr>
        <w:t>,</w:t>
      </w:r>
      <w:r>
        <w:rPr>
          <w:bCs/>
          <w:lang w:val="fr-CA"/>
        </w:rPr>
        <w:t xml:space="preserve"> et de mécanismes de suivi de la pérennité pose</w:t>
      </w:r>
      <w:r w:rsidR="00F040F2">
        <w:rPr>
          <w:bCs/>
          <w:lang w:val="fr-CA"/>
        </w:rPr>
        <w:t xml:space="preserve"> </w:t>
      </w:r>
      <w:r>
        <w:rPr>
          <w:bCs/>
          <w:lang w:val="fr-CA"/>
        </w:rPr>
        <w:t>encore des défis importants.  C’est pourquoi</w:t>
      </w:r>
      <w:r w:rsidR="00F040F2">
        <w:rPr>
          <w:bCs/>
          <w:lang w:val="fr-CA"/>
        </w:rPr>
        <w:t xml:space="preserve">, </w:t>
      </w:r>
      <w:r>
        <w:rPr>
          <w:bCs/>
          <w:lang w:val="fr-CA"/>
        </w:rPr>
        <w:t>il est recommandé de poursuivre l’examen des projets au cas par cas afin de compiler des données supplémentaires et d’acquérir une meilleure compréhension d</w:t>
      </w:r>
      <w:r w:rsidR="00F040F2">
        <w:rPr>
          <w:bCs/>
          <w:lang w:val="fr-CA"/>
        </w:rPr>
        <w:t xml:space="preserve">u </w:t>
      </w:r>
      <w:r>
        <w:rPr>
          <w:bCs/>
          <w:lang w:val="fr-CA"/>
        </w:rPr>
        <w:t>sous-secteur et de sa contribution potentielle à la réduction progressive des HFC.</w:t>
      </w:r>
    </w:p>
    <w:p w14:paraId="472A8874" w14:textId="77777777" w:rsidR="00987D1F" w:rsidRPr="00987D1F" w:rsidRDefault="00987D1F" w:rsidP="00987D1F">
      <w:pPr>
        <w:rPr>
          <w:bCs/>
          <w:lang w:val="fr-CA"/>
        </w:rPr>
      </w:pPr>
    </w:p>
    <w:p w14:paraId="0546E5B2" w14:textId="4A32D225" w:rsidR="002545FC" w:rsidRPr="00987D1F" w:rsidRDefault="00987D1F" w:rsidP="00987D1F">
      <w:pPr>
        <w:pStyle w:val="Titolo2"/>
        <w:keepNext/>
        <w:widowControl/>
        <w:rPr>
          <w:b/>
          <w:bCs/>
          <w:sz w:val="24"/>
          <w:szCs w:val="24"/>
          <w:lang w:val="fr-CH"/>
        </w:rPr>
      </w:pPr>
      <w:r w:rsidRPr="00987D1F">
        <w:rPr>
          <w:b/>
          <w:bCs/>
          <w:lang w:val="fr-CH"/>
        </w:rPr>
        <w:t>R</w:t>
      </w:r>
      <w:r w:rsidRPr="00987D1F">
        <w:rPr>
          <w:b/>
          <w:bCs/>
          <w:lang w:val="fr-CH"/>
        </w:rPr>
        <w:t>ecommandation</w:t>
      </w:r>
    </w:p>
    <w:p w14:paraId="288346A8" w14:textId="7A736CA4" w:rsidR="002545FC" w:rsidRPr="008D2F54" w:rsidRDefault="008D2F54" w:rsidP="002545FC">
      <w:pPr>
        <w:rPr>
          <w:bCs/>
          <w:lang w:val="fr-CH"/>
        </w:rPr>
      </w:pPr>
      <w:r>
        <w:rPr>
          <w:bCs/>
          <w:lang w:val="fr-CH"/>
        </w:rPr>
        <w:t>25.</w:t>
      </w:r>
      <w:r w:rsidR="002545FC" w:rsidRPr="00987D1F">
        <w:rPr>
          <w:bCs/>
          <w:lang w:val="fr-CH"/>
        </w:rPr>
        <w:tab/>
        <w:t>Le Comité exécutif</w:t>
      </w:r>
      <w:r w:rsidR="002545FC">
        <w:rPr>
          <w:bCs/>
          <w:lang w:val="fr-CA"/>
        </w:rPr>
        <w:t xml:space="preserve"> pourrait souhaiter :</w:t>
      </w:r>
    </w:p>
    <w:p w14:paraId="0DC281CB" w14:textId="77777777" w:rsidR="002545FC" w:rsidRDefault="002545FC" w:rsidP="002545FC">
      <w:pPr>
        <w:rPr>
          <w:bCs/>
          <w:lang w:val="fr-CA"/>
        </w:rPr>
      </w:pPr>
    </w:p>
    <w:p w14:paraId="73320232" w14:textId="557E5245" w:rsidR="00E62900" w:rsidRPr="00E62900" w:rsidRDefault="002545FC" w:rsidP="00E62900">
      <w:pPr>
        <w:pStyle w:val="Paragrafoelenco"/>
        <w:numPr>
          <w:ilvl w:val="0"/>
          <w:numId w:val="25"/>
        </w:numPr>
        <w:rPr>
          <w:bCs/>
          <w:lang w:val="fr-CA"/>
        </w:rPr>
      </w:pPr>
      <w:r w:rsidRPr="00E62900">
        <w:rPr>
          <w:bCs/>
          <w:lang w:val="fr-CA"/>
        </w:rPr>
        <w:t>Prendre note</w:t>
      </w:r>
      <w:r w:rsidR="00E62900" w:rsidRPr="00E62900">
        <w:rPr>
          <w:bCs/>
          <w:lang w:val="fr-CA"/>
        </w:rPr>
        <w:t xml:space="preserve"> du document UNEP/</w:t>
      </w:r>
      <w:proofErr w:type="spellStart"/>
      <w:r w:rsidR="00E62900" w:rsidRPr="00E62900">
        <w:rPr>
          <w:bCs/>
          <w:lang w:val="fr-CA"/>
        </w:rPr>
        <w:t>OzL.Pro</w:t>
      </w:r>
      <w:proofErr w:type="spellEnd"/>
      <w:r w:rsidR="00E62900" w:rsidRPr="00E62900">
        <w:rPr>
          <w:bCs/>
          <w:lang w:val="fr-CA"/>
        </w:rPr>
        <w:t>/</w:t>
      </w:r>
      <w:proofErr w:type="spellStart"/>
      <w:r w:rsidR="00E62900" w:rsidRPr="00E62900">
        <w:rPr>
          <w:bCs/>
          <w:lang w:val="fr-CA"/>
        </w:rPr>
        <w:t>ExCom</w:t>
      </w:r>
      <w:proofErr w:type="spellEnd"/>
      <w:r w:rsidR="00E62900" w:rsidRPr="00E62900">
        <w:rPr>
          <w:bCs/>
          <w:lang w:val="fr-CA"/>
        </w:rPr>
        <w:t>/95/89</w:t>
      </w:r>
      <w:r w:rsidR="00F040F2">
        <w:rPr>
          <w:bCs/>
          <w:lang w:val="fr-CA"/>
        </w:rPr>
        <w:t>,</w:t>
      </w:r>
      <w:r w:rsidR="00E62900" w:rsidRPr="00E62900">
        <w:rPr>
          <w:bCs/>
          <w:lang w:val="fr-CA"/>
        </w:rPr>
        <w:t xml:space="preserve"> contenant </w:t>
      </w:r>
      <w:r w:rsidR="00E62900">
        <w:rPr>
          <w:bCs/>
          <w:lang w:val="fr-CA"/>
        </w:rPr>
        <w:t xml:space="preserve">un </w:t>
      </w:r>
      <w:r w:rsidR="00E62900" w:rsidRPr="00E62900">
        <w:rPr>
          <w:bCs/>
          <w:lang w:val="fr-CA"/>
        </w:rPr>
        <w:t>compte rendu du sous-secteur de l’installation et de l’assemblage loca</w:t>
      </w:r>
      <w:r w:rsidR="00F040F2">
        <w:rPr>
          <w:bCs/>
          <w:lang w:val="fr-CA"/>
        </w:rPr>
        <w:t>ux</w:t>
      </w:r>
      <w:r w:rsidR="00E62900">
        <w:rPr>
          <w:lang w:val="fr-CA"/>
        </w:rPr>
        <w:t>;</w:t>
      </w:r>
    </w:p>
    <w:p w14:paraId="396DF35A" w14:textId="77777777" w:rsidR="00E62900" w:rsidRPr="00E62900" w:rsidRDefault="00E62900" w:rsidP="00E62900">
      <w:pPr>
        <w:rPr>
          <w:bCs/>
          <w:lang w:val="fr-CA"/>
        </w:rPr>
      </w:pPr>
    </w:p>
    <w:p w14:paraId="542FCBA9" w14:textId="26A6CF2E" w:rsidR="00E62900" w:rsidRDefault="00E62900" w:rsidP="00E62900">
      <w:pPr>
        <w:pStyle w:val="Paragrafoelenco"/>
        <w:numPr>
          <w:ilvl w:val="0"/>
          <w:numId w:val="25"/>
        </w:numPr>
        <w:rPr>
          <w:bCs/>
          <w:lang w:val="fr-CA"/>
        </w:rPr>
      </w:pPr>
      <w:r>
        <w:rPr>
          <w:bCs/>
          <w:lang w:val="fr-CA"/>
        </w:rPr>
        <w:t>Continuer à examiner les projets dans le sous-secteur de l’installation et de l’assemblage loca</w:t>
      </w:r>
      <w:r w:rsidR="00F040F2">
        <w:rPr>
          <w:bCs/>
          <w:lang w:val="fr-CA"/>
        </w:rPr>
        <w:t>ux</w:t>
      </w:r>
      <w:r>
        <w:rPr>
          <w:bCs/>
          <w:lang w:val="fr-CA"/>
        </w:rPr>
        <w:t xml:space="preserve"> dans le contexte des plans de mise en œuvre de l’Amendement de Kigali sur les HFC (KIP) au cas par cas, conformément aux décisions 92/39(d)et 93/94 (e); et</w:t>
      </w:r>
    </w:p>
    <w:p w14:paraId="1E83A6BE" w14:textId="77777777" w:rsidR="00E62900" w:rsidRPr="00E62900" w:rsidRDefault="00E62900" w:rsidP="00E62900">
      <w:pPr>
        <w:pStyle w:val="Paragrafoelenco"/>
        <w:rPr>
          <w:bCs/>
          <w:lang w:val="fr-CA"/>
        </w:rPr>
      </w:pPr>
    </w:p>
    <w:p w14:paraId="35D7A74E" w14:textId="53715B3A" w:rsidR="00E85409" w:rsidRPr="00AF0395" w:rsidRDefault="00E62900" w:rsidP="00AF0395">
      <w:pPr>
        <w:pStyle w:val="Paragrafoelenco"/>
        <w:numPr>
          <w:ilvl w:val="0"/>
          <w:numId w:val="25"/>
        </w:numPr>
        <w:rPr>
          <w:bCs/>
          <w:lang w:val="fr-CA"/>
        </w:rPr>
      </w:pPr>
      <w:r>
        <w:rPr>
          <w:bCs/>
          <w:lang w:val="fr-CA"/>
        </w:rPr>
        <w:t xml:space="preserve">Charger le Secrétariat de continuer à recueillir </w:t>
      </w:r>
      <w:r w:rsidR="00790779">
        <w:rPr>
          <w:bCs/>
          <w:lang w:val="fr-CA"/>
        </w:rPr>
        <w:t>l</w:t>
      </w:r>
      <w:r>
        <w:rPr>
          <w:bCs/>
          <w:lang w:val="fr-CA"/>
        </w:rPr>
        <w:t>es informations sur le sous-secteur de l’installation et de l’assemblage loca</w:t>
      </w:r>
      <w:r w:rsidR="00F040F2">
        <w:rPr>
          <w:bCs/>
          <w:lang w:val="fr-CA"/>
        </w:rPr>
        <w:t>ux</w:t>
      </w:r>
      <w:r>
        <w:rPr>
          <w:bCs/>
          <w:lang w:val="fr-CA"/>
        </w:rPr>
        <w:t>, fournies par les pays visés à l’article 5 dans leurs KIP soumis pour examen par le Comité exécutif, et de remettre, à la 98</w:t>
      </w:r>
      <w:r w:rsidRPr="00E62900">
        <w:rPr>
          <w:bCs/>
          <w:vertAlign w:val="superscript"/>
          <w:lang w:val="fr-CA"/>
        </w:rPr>
        <w:t>e</w:t>
      </w:r>
      <w:r>
        <w:rPr>
          <w:bCs/>
          <w:lang w:val="fr-CA"/>
        </w:rPr>
        <w:t xml:space="preserve"> réunion, une mise à jour du document mentionné à l’alinéa (a) ci-dessus.</w:t>
      </w:r>
    </w:p>
    <w:p w14:paraId="2D3A3746" w14:textId="77777777" w:rsidR="00E85409" w:rsidRDefault="00E85409" w:rsidP="004E7F9C">
      <w:pPr>
        <w:rPr>
          <w:lang w:val="fr-CA"/>
        </w:rPr>
      </w:pPr>
    </w:p>
    <w:p w14:paraId="09CF5703" w14:textId="77777777" w:rsidR="0009088D" w:rsidRPr="00103AB1" w:rsidRDefault="0009088D" w:rsidP="004E7F9C">
      <w:pPr>
        <w:rPr>
          <w:lang w:val="fr-CA"/>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E62900" w14:paraId="545FADD6" w14:textId="77777777" w:rsidTr="00FB077C">
        <w:tc>
          <w:tcPr>
            <w:tcW w:w="1915" w:type="dxa"/>
          </w:tcPr>
          <w:p w14:paraId="2D674D66" w14:textId="77777777" w:rsidR="00E85409" w:rsidRPr="00103AB1" w:rsidRDefault="00E85409" w:rsidP="00FB077C">
            <w:pPr>
              <w:rPr>
                <w:lang w:val="fr-CA"/>
              </w:rPr>
            </w:pPr>
          </w:p>
        </w:tc>
        <w:tc>
          <w:tcPr>
            <w:tcW w:w="1915" w:type="dxa"/>
          </w:tcPr>
          <w:p w14:paraId="6F111B24" w14:textId="77777777" w:rsidR="00E85409" w:rsidRPr="00103AB1" w:rsidRDefault="00E85409" w:rsidP="00FB077C">
            <w:pPr>
              <w:rPr>
                <w:lang w:val="fr-CA"/>
              </w:rPr>
            </w:pPr>
          </w:p>
        </w:tc>
        <w:tc>
          <w:tcPr>
            <w:tcW w:w="1915" w:type="dxa"/>
            <w:tcBorders>
              <w:bottom w:val="single" w:sz="4" w:space="0" w:color="auto"/>
            </w:tcBorders>
          </w:tcPr>
          <w:p w14:paraId="7E4B3327" w14:textId="77777777" w:rsidR="00E85409" w:rsidRPr="00103AB1" w:rsidRDefault="00E85409" w:rsidP="00FB077C">
            <w:pPr>
              <w:rPr>
                <w:lang w:val="fr-CA"/>
              </w:rPr>
            </w:pPr>
          </w:p>
        </w:tc>
        <w:tc>
          <w:tcPr>
            <w:tcW w:w="1915" w:type="dxa"/>
          </w:tcPr>
          <w:p w14:paraId="25F661C5" w14:textId="77777777" w:rsidR="00E85409" w:rsidRPr="00103AB1" w:rsidRDefault="00E85409" w:rsidP="00FB077C">
            <w:pPr>
              <w:rPr>
                <w:lang w:val="fr-CA"/>
              </w:rPr>
            </w:pPr>
          </w:p>
        </w:tc>
        <w:tc>
          <w:tcPr>
            <w:tcW w:w="1916" w:type="dxa"/>
          </w:tcPr>
          <w:p w14:paraId="78118D1E" w14:textId="77777777" w:rsidR="00E85409" w:rsidRPr="00103AB1" w:rsidRDefault="00E85409" w:rsidP="00FB077C">
            <w:pPr>
              <w:rPr>
                <w:lang w:val="fr-CA"/>
              </w:rPr>
            </w:pPr>
          </w:p>
        </w:tc>
      </w:tr>
    </w:tbl>
    <w:p w14:paraId="759CC0D5" w14:textId="77777777" w:rsidR="00E85409" w:rsidRPr="00103AB1" w:rsidRDefault="00E85409" w:rsidP="004E7F9C">
      <w:pPr>
        <w:rPr>
          <w:lang w:val="fr-CA"/>
        </w:rPr>
      </w:pPr>
    </w:p>
    <w:sectPr w:rsidR="00E85409" w:rsidRPr="00103AB1" w:rsidSect="008A4946">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9468DB" w14:textId="77777777" w:rsidR="006E5952" w:rsidRDefault="006E5952" w:rsidP="004A504B">
      <w:r>
        <w:separator/>
      </w:r>
    </w:p>
  </w:endnote>
  <w:endnote w:type="continuationSeparator" w:id="0">
    <w:p w14:paraId="31E13087" w14:textId="77777777" w:rsidR="006E5952" w:rsidRDefault="006E595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panose1 w:val="020B0503020202020204"/>
    <w:charset w:val="00"/>
    <w:family w:val="swiss"/>
    <w:pitch w:val="variable"/>
    <w:sig w:usb0="80000287" w:usb1="00000000" w:usb2="00000000" w:usb3="00000000" w:csb0="0000000F" w:csb1="00000000"/>
  </w:font>
  <w:font w:name="Univers Bold">
    <w:altName w:val="Arial"/>
    <w:panose1 w:val="020B0604020202020204"/>
    <w:charset w:val="00"/>
    <w:family w:val="swiss"/>
    <w:notTrueType/>
    <w:pitch w:val="default"/>
    <w:sig w:usb0="00000003" w:usb1="00000000" w:usb2="00000000" w:usb3="00000000" w:csb0="00000001" w:csb1="00000000"/>
  </w:font>
  <w:font w:name="MS Serif">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umeropagina"/>
      </w:rPr>
      <w:id w:val="1498076525"/>
      <w:docPartObj>
        <w:docPartGallery w:val="Page Numbers (Bottom of Page)"/>
        <w:docPartUnique/>
      </w:docPartObj>
    </w:sdtPr>
    <w:sdtContent>
      <w:p w14:paraId="270CC081" w14:textId="71AC996E" w:rsidR="00355EC3" w:rsidRDefault="00355EC3" w:rsidP="00285D52">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6</w:t>
        </w:r>
        <w:r>
          <w:rPr>
            <w:rStyle w:val="Numeropagina"/>
          </w:rPr>
          <w:fldChar w:fldCharType="end"/>
        </w:r>
      </w:p>
    </w:sdtContent>
  </w:sdt>
  <w:p w14:paraId="52774619" w14:textId="1C3C9F08" w:rsidR="00DC6A10" w:rsidRPr="0033525D" w:rsidRDefault="00DC6A10">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umeropagina"/>
      </w:rPr>
      <w:id w:val="1253236910"/>
      <w:docPartObj>
        <w:docPartGallery w:val="Page Numbers (Bottom of Page)"/>
        <w:docPartUnique/>
      </w:docPartObj>
    </w:sdtPr>
    <w:sdtContent>
      <w:p w14:paraId="058717C3" w14:textId="5C968FBC" w:rsidR="00355EC3" w:rsidRDefault="00355EC3" w:rsidP="00285D52">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7</w:t>
        </w:r>
        <w:r>
          <w:rPr>
            <w:rStyle w:val="Numeropagina"/>
          </w:rPr>
          <w:fldChar w:fldCharType="end"/>
        </w:r>
      </w:p>
    </w:sdtContent>
  </w:sdt>
  <w:p w14:paraId="6E242887" w14:textId="5CADA88E" w:rsidR="00DC6A10" w:rsidRPr="008A4946" w:rsidRDefault="00DC6A10" w:rsidP="008A4946">
    <w:pPr>
      <w:pStyle w:val="Pidipagina"/>
      <w:jc w:val="center"/>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4AA219" w14:textId="284FD864" w:rsidR="00103AB1" w:rsidRPr="00660591" w:rsidRDefault="00103AB1" w:rsidP="00660591">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660591">
      <w:rPr>
        <w:rFonts w:cs="MS Serif"/>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p>
  <w:p w14:paraId="1C39A2F4" w14:textId="77777777" w:rsidR="004E7F9C" w:rsidRPr="00103AB1" w:rsidRDefault="004E7F9C"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016A76" w14:textId="77777777" w:rsidR="006E5952" w:rsidRDefault="006E5952" w:rsidP="004A504B">
      <w:r>
        <w:separator/>
      </w:r>
    </w:p>
  </w:footnote>
  <w:footnote w:type="continuationSeparator" w:id="0">
    <w:p w14:paraId="70D584FF" w14:textId="77777777" w:rsidR="006E5952" w:rsidRDefault="006E5952" w:rsidP="004A504B">
      <w:r>
        <w:continuationSeparator/>
      </w:r>
    </w:p>
  </w:footnote>
  <w:footnote w:id="1">
    <w:p w14:paraId="54B358E5" w14:textId="4EDA8C63" w:rsidR="00103AB1" w:rsidRPr="00564224" w:rsidRDefault="00103AB1" w:rsidP="00103AB1">
      <w:pPr>
        <w:pStyle w:val="Testonotaapidipagina"/>
        <w:rPr>
          <w:lang w:val="fr-CH"/>
        </w:rPr>
      </w:pPr>
      <w:r w:rsidRPr="001A24C6">
        <w:rPr>
          <w:rStyle w:val="Rimandonotaapidipagina"/>
        </w:rPr>
        <w:footnoteRef/>
      </w:r>
      <w:r w:rsidRPr="00564224">
        <w:rPr>
          <w:lang w:val="fr-CH"/>
        </w:rPr>
        <w:t xml:space="preserve"> UNEP/</w:t>
      </w:r>
      <w:proofErr w:type="spellStart"/>
      <w:r w:rsidRPr="00564224">
        <w:rPr>
          <w:lang w:val="fr-CH"/>
        </w:rPr>
        <w:t>OzL.Pro</w:t>
      </w:r>
      <w:proofErr w:type="spellEnd"/>
      <w:r w:rsidRPr="00564224">
        <w:rPr>
          <w:lang w:val="fr-CH"/>
        </w:rPr>
        <w:t>/</w:t>
      </w:r>
      <w:proofErr w:type="spellStart"/>
      <w:r w:rsidRPr="00564224">
        <w:rPr>
          <w:lang w:val="fr-CH"/>
        </w:rPr>
        <w:t>ExCom</w:t>
      </w:r>
      <w:proofErr w:type="spellEnd"/>
      <w:r w:rsidRPr="00564224">
        <w:rPr>
          <w:lang w:val="fr-CH"/>
        </w:rPr>
        <w:t>/9</w:t>
      </w:r>
      <w:r>
        <w:rPr>
          <w:lang w:val="fr-CH"/>
        </w:rPr>
        <w:t>5</w:t>
      </w:r>
      <w:r w:rsidRPr="00564224">
        <w:rPr>
          <w:lang w:val="fr-CH"/>
        </w:rPr>
        <w:t>/1</w:t>
      </w:r>
    </w:p>
  </w:footnote>
  <w:footnote w:id="2">
    <w:p w14:paraId="7AA6C469" w14:textId="77AE7E83" w:rsidR="00F47B17" w:rsidRPr="004C6F15" w:rsidRDefault="00F47B17" w:rsidP="00304034">
      <w:pPr>
        <w:autoSpaceDE w:val="0"/>
        <w:autoSpaceDN w:val="0"/>
        <w:adjustRightInd w:val="0"/>
        <w:rPr>
          <w:sz w:val="20"/>
          <w:szCs w:val="20"/>
          <w:lang w:val="fr-CA"/>
        </w:rPr>
      </w:pPr>
      <w:r w:rsidRPr="004C6F15">
        <w:rPr>
          <w:rStyle w:val="Rimandonotaapidipagina"/>
          <w:sz w:val="20"/>
          <w:szCs w:val="20"/>
        </w:rPr>
        <w:footnoteRef/>
      </w:r>
      <w:r w:rsidRPr="004C6F15">
        <w:rPr>
          <w:sz w:val="20"/>
          <w:szCs w:val="20"/>
          <w:lang w:val="fr-CA"/>
        </w:rPr>
        <w:t xml:space="preserve"> La décision 91/39(a) </w:t>
      </w:r>
      <w:r w:rsidR="004C6F15" w:rsidRPr="004C6F15">
        <w:rPr>
          <w:sz w:val="20"/>
          <w:szCs w:val="20"/>
          <w:lang w:val="fr-CA"/>
        </w:rPr>
        <w:t xml:space="preserve">encourageait les pays visés à l’article 5 et les agences d’exécution, dans le contexte des enquêtes sur les HFC menées durant la préparation des plans de mise en </w:t>
      </w:r>
      <w:r w:rsidR="00A84CFC" w:rsidRPr="004C6F15">
        <w:rPr>
          <w:sz w:val="20"/>
          <w:szCs w:val="20"/>
          <w:lang w:val="fr-CA"/>
        </w:rPr>
        <w:t>œuvre</w:t>
      </w:r>
      <w:r w:rsidR="004C6F15" w:rsidRPr="004C6F15">
        <w:rPr>
          <w:sz w:val="20"/>
          <w:szCs w:val="20"/>
          <w:lang w:val="fr-CA"/>
        </w:rPr>
        <w:t xml:space="preserve"> </w:t>
      </w:r>
      <w:r w:rsidR="004635E6" w:rsidRPr="004C6F15">
        <w:rPr>
          <w:sz w:val="20"/>
          <w:szCs w:val="20"/>
          <w:lang w:val="fr-CA"/>
        </w:rPr>
        <w:t>de l’Amendement</w:t>
      </w:r>
      <w:r w:rsidR="004C6F15" w:rsidRPr="004C6F15">
        <w:rPr>
          <w:sz w:val="20"/>
          <w:szCs w:val="20"/>
          <w:lang w:val="fr-CA"/>
        </w:rPr>
        <w:t xml:space="preserve"> de Kigali, à recueillir de l’information et à fournir des estimations de la consommation de HFC dans le sous-secteur de l’installation et de l’assemblage sur place, dans la mesure du possible et sur une base volontaire</w:t>
      </w:r>
      <w:r w:rsidR="00A84CFC">
        <w:rPr>
          <w:sz w:val="20"/>
          <w:szCs w:val="20"/>
          <w:lang w:val="fr-CA"/>
        </w:rPr>
        <w:t>.</w:t>
      </w:r>
    </w:p>
  </w:footnote>
  <w:footnote w:id="3">
    <w:p w14:paraId="3082AB69" w14:textId="56387056" w:rsidR="005C098D" w:rsidRPr="005C098D" w:rsidRDefault="005C098D">
      <w:pPr>
        <w:pStyle w:val="Testonotaapidipagina"/>
        <w:rPr>
          <w:lang w:val="fr-CA"/>
        </w:rPr>
      </w:pPr>
      <w:r>
        <w:rPr>
          <w:rStyle w:val="Rimandonotaapidipagina"/>
        </w:rPr>
        <w:footnoteRef/>
      </w:r>
      <w:r w:rsidRPr="00E62900">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/93/70</w:t>
      </w:r>
    </w:p>
  </w:footnote>
  <w:footnote w:id="4">
    <w:p w14:paraId="72F567CE" w14:textId="00728611" w:rsidR="00147283" w:rsidRPr="00147283" w:rsidRDefault="00147283">
      <w:pPr>
        <w:pStyle w:val="Testonotaapidipagina"/>
        <w:rPr>
          <w:lang w:val="fr-CA"/>
        </w:rPr>
      </w:pPr>
      <w:r>
        <w:rPr>
          <w:rStyle w:val="Rimandonotaapidipagina"/>
        </w:rPr>
        <w:footnoteRef/>
      </w:r>
      <w:r w:rsidRPr="00E62900">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/93/93</w:t>
      </w:r>
    </w:p>
  </w:footnote>
  <w:footnote w:id="5">
    <w:p w14:paraId="2971B78F" w14:textId="19C3D079" w:rsidR="008E2E96" w:rsidRPr="00147283" w:rsidRDefault="008E2E96" w:rsidP="008E2E96">
      <w:pPr>
        <w:pStyle w:val="Testonotaapidipagina"/>
        <w:rPr>
          <w:lang w:val="fr-CA"/>
        </w:rPr>
      </w:pPr>
      <w:r>
        <w:rPr>
          <w:rStyle w:val="Rimandonotaapidipagina"/>
        </w:rPr>
        <w:footnoteRef/>
      </w:r>
      <w:r w:rsidRPr="00E62900">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/95/48</w:t>
      </w:r>
    </w:p>
    <w:p w14:paraId="56682A90" w14:textId="0A9BB47B" w:rsidR="008E2E96" w:rsidRPr="008E2E96" w:rsidRDefault="008E2E96">
      <w:pPr>
        <w:pStyle w:val="Testonotaapidipagina"/>
        <w:rPr>
          <w:lang w:val="fr-CA"/>
        </w:rPr>
      </w:pPr>
    </w:p>
  </w:footnote>
  <w:footnote w:id="6">
    <w:p w14:paraId="0401CCB8" w14:textId="20D6FA49" w:rsidR="00A904DA" w:rsidRPr="001D0689" w:rsidRDefault="00A904DA">
      <w:pPr>
        <w:pStyle w:val="Testonotaapidipagina"/>
        <w:rPr>
          <w:lang w:val="fr-CA"/>
        </w:rPr>
      </w:pPr>
      <w:r w:rsidRPr="001D0689">
        <w:rPr>
          <w:rStyle w:val="Rimandonotaapidipagina"/>
        </w:rPr>
        <w:footnoteRef/>
      </w:r>
      <w:r w:rsidRPr="001D0689">
        <w:rPr>
          <w:lang w:val="fr-CA"/>
        </w:rPr>
        <w:t xml:space="preserve"> UNEP/</w:t>
      </w:r>
      <w:proofErr w:type="spellStart"/>
      <w:r w:rsidRPr="001D0689">
        <w:rPr>
          <w:lang w:val="fr-CA"/>
        </w:rPr>
        <w:t>OzL.Pro</w:t>
      </w:r>
      <w:proofErr w:type="spellEnd"/>
      <w:r w:rsidRPr="001D0689">
        <w:rPr>
          <w:lang w:val="fr-CA"/>
        </w:rPr>
        <w:t>/</w:t>
      </w:r>
      <w:proofErr w:type="spellStart"/>
      <w:r w:rsidRPr="001D0689">
        <w:rPr>
          <w:lang w:val="fr-CA"/>
        </w:rPr>
        <w:t>ExCom</w:t>
      </w:r>
      <w:proofErr w:type="spellEnd"/>
      <w:r w:rsidRPr="001D0689">
        <w:rPr>
          <w:lang w:val="fr-CA"/>
        </w:rPr>
        <w:t>/95/50</w:t>
      </w:r>
    </w:p>
  </w:footnote>
  <w:footnote w:id="7">
    <w:p w14:paraId="37176DDA" w14:textId="190E8EE6" w:rsidR="004F122F" w:rsidRPr="001D0689" w:rsidRDefault="004F122F">
      <w:pPr>
        <w:pStyle w:val="Testonotaapidipagina"/>
        <w:rPr>
          <w:lang w:val="fr-CA"/>
        </w:rPr>
      </w:pPr>
      <w:r w:rsidRPr="001D0689">
        <w:rPr>
          <w:rStyle w:val="Rimandonotaapidipagina"/>
        </w:rPr>
        <w:footnoteRef/>
      </w:r>
      <w:r w:rsidRPr="001D0689">
        <w:rPr>
          <w:lang w:val="fr-CA"/>
        </w:rPr>
        <w:t xml:space="preserve"> Tel que convenu : unité de récupération A3, cylindres, </w:t>
      </w:r>
      <w:r w:rsidR="00992819" w:rsidRPr="001D0689">
        <w:rPr>
          <w:lang w:val="fr-CA"/>
        </w:rPr>
        <w:t xml:space="preserve">collecteurs, </w:t>
      </w:r>
      <w:r w:rsidRPr="001D0689">
        <w:rPr>
          <w:lang w:val="fr-CA"/>
        </w:rPr>
        <w:t>détecteurs de fuite</w:t>
      </w:r>
      <w:r w:rsidR="00992819" w:rsidRPr="001D0689">
        <w:rPr>
          <w:lang w:val="fr-CA"/>
        </w:rPr>
        <w:t>s</w:t>
      </w:r>
      <w:r w:rsidRPr="001D0689">
        <w:rPr>
          <w:lang w:val="fr-CA"/>
        </w:rPr>
        <w:t>, anneau de serrage, et équipement pour mesurer la performance</w:t>
      </w:r>
    </w:p>
  </w:footnote>
  <w:footnote w:id="8">
    <w:p w14:paraId="08052D8A" w14:textId="0950BB11" w:rsidR="004F122F" w:rsidRPr="004F122F" w:rsidRDefault="004F122F">
      <w:pPr>
        <w:pStyle w:val="Testonotaapidipagina"/>
        <w:rPr>
          <w:lang w:val="fr-CA"/>
        </w:rPr>
      </w:pPr>
      <w:r w:rsidRPr="001D0689">
        <w:rPr>
          <w:rStyle w:val="Rimandonotaapidipagina"/>
        </w:rPr>
        <w:footnoteRef/>
      </w:r>
      <w:r w:rsidRPr="001D0689">
        <w:rPr>
          <w:lang w:val="fr-CA"/>
        </w:rPr>
        <w:t xml:space="preserve"> Des unités autonomes à base de R-290</w:t>
      </w:r>
      <w:r w:rsidR="00992819" w:rsidRPr="001D0689">
        <w:rPr>
          <w:lang w:val="fr-CA"/>
        </w:rPr>
        <w:t>,</w:t>
      </w:r>
      <w:r w:rsidRPr="001D0689">
        <w:rPr>
          <w:lang w:val="fr-CA"/>
        </w:rPr>
        <w:t xml:space="preserve"> de 2,50 ou 3,75 mètres de long, avec une capacité de réfrigération entre 2 et 5 HP; une unité</w:t>
      </w:r>
      <w:r w:rsidR="00C41CF4" w:rsidRPr="001D0689">
        <w:rPr>
          <w:lang w:val="fr-CA"/>
        </w:rPr>
        <w:t xml:space="preserve"> distante (refroidisseur à base de R-290); et un système de réfrigération à base de R-290 pour des chambres froides avec une capacité inférieure à 5HP.</w:t>
      </w:r>
      <w:r>
        <w:rPr>
          <w:lang w:val="fr-CA"/>
        </w:rPr>
        <w:t xml:space="preserve"> </w:t>
      </w:r>
    </w:p>
  </w:footnote>
  <w:footnote w:id="9">
    <w:p w14:paraId="5758BC14" w14:textId="0D48CC19" w:rsidR="00554CAE" w:rsidRPr="00554CAE" w:rsidRDefault="00554CAE">
      <w:pPr>
        <w:pStyle w:val="Testonotaapidipagina"/>
        <w:rPr>
          <w:lang w:val="fr-CA"/>
        </w:rPr>
      </w:pPr>
      <w:r>
        <w:rPr>
          <w:rStyle w:val="Rimandonotaapidipagina"/>
        </w:rPr>
        <w:footnoteRef/>
      </w:r>
      <w: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/93/99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76F29E" w14:textId="3B9C135E" w:rsidR="00DC6A10" w:rsidRPr="0033525D" w:rsidRDefault="00A828F9">
    <w:r>
      <w:fldChar w:fldCharType="begin"/>
    </w:r>
    <w:r>
      <w:instrText xml:space="preserve"> DOCPROPERTY "Document number"  \* MERGEFORMAT </w:instrText>
    </w:r>
    <w:r>
      <w:fldChar w:fldCharType="separate"/>
    </w:r>
    <w:r w:rsidR="003378B4">
      <w:t>UNEP/</w:t>
    </w:r>
    <w:proofErr w:type="spellStart"/>
    <w:r w:rsidR="003378B4">
      <w:t>OzL.Pro</w:t>
    </w:r>
    <w:proofErr w:type="spellEnd"/>
    <w:r w:rsidR="003378B4">
      <w:t>/ExCom/95/89</w:t>
    </w:r>
    <w:r>
      <w:fldChar w:fldCharType="end"/>
    </w:r>
  </w:p>
  <w:p w14:paraId="474662ED" w14:textId="77777777" w:rsidR="00DC6A10" w:rsidRPr="0033525D" w:rsidRDefault="00DC6A10"/>
  <w:p w14:paraId="724DFB88"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5C430F" w14:textId="28F04F1C" w:rsidR="00DC6A10" w:rsidRDefault="00A828F9">
    <w:pPr>
      <w:jc w:val="right"/>
    </w:pPr>
    <w:r>
      <w:fldChar w:fldCharType="begin"/>
    </w:r>
    <w:r>
      <w:instrText xml:space="preserve"> DOCPROPERTY "Document number"  \* MERGEFORMAT </w:instrText>
    </w:r>
    <w:r>
      <w:fldChar w:fldCharType="separate"/>
    </w:r>
    <w:r w:rsidR="003378B4">
      <w:t>UNEP/</w:t>
    </w:r>
    <w:proofErr w:type="spellStart"/>
    <w:r w:rsidR="003378B4">
      <w:t>OzL.Pro</w:t>
    </w:r>
    <w:proofErr w:type="spellEnd"/>
    <w:r w:rsidR="003378B4">
      <w:t>/ExCom/95/89</w:t>
    </w:r>
    <w:r>
      <w:fldChar w:fldCharType="end"/>
    </w:r>
  </w:p>
  <w:p w14:paraId="04E5AB5A" w14:textId="77777777" w:rsidR="00DC6A10" w:rsidRDefault="00DC6A10">
    <w:pPr>
      <w:pStyle w:val="Intestazione"/>
    </w:pPr>
  </w:p>
  <w:p w14:paraId="16200261" w14:textId="77777777" w:rsidR="00E26B7B" w:rsidRPr="0033525D" w:rsidRDefault="00E26B7B">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0F1B237D"/>
    <w:multiLevelType w:val="hybridMultilevel"/>
    <w:tmpl w:val="FBDA79EC"/>
    <w:lvl w:ilvl="0" w:tplc="55B0B270">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20920CF"/>
    <w:multiLevelType w:val="hybridMultilevel"/>
    <w:tmpl w:val="1480BF10"/>
    <w:lvl w:ilvl="0" w:tplc="BB9A746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DCF2A9E"/>
    <w:multiLevelType w:val="hybridMultilevel"/>
    <w:tmpl w:val="1480BF1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326050D8"/>
    <w:multiLevelType w:val="hybridMultilevel"/>
    <w:tmpl w:val="74DA6DBE"/>
    <w:lvl w:ilvl="0" w:tplc="47005CA4">
      <w:start w:val="1"/>
      <w:numFmt w:val="lowerRoman"/>
      <w:pStyle w:val="Titolo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oloSezione"/>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6C636736"/>
    <w:multiLevelType w:val="hybridMultilevel"/>
    <w:tmpl w:val="82E4034E"/>
    <w:lvl w:ilvl="0" w:tplc="BB9A746E">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02634E5"/>
    <w:multiLevelType w:val="hybridMultilevel"/>
    <w:tmpl w:val="E9D07BFA"/>
    <w:lvl w:ilvl="0" w:tplc="389AE7EC">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6"/>
  </w:num>
  <w:num w:numId="18" w16cid:durableId="559828470">
    <w:abstractNumId w:val="17"/>
  </w:num>
  <w:num w:numId="19" w16cid:durableId="1488010068">
    <w:abstractNumId w:val="20"/>
  </w:num>
  <w:num w:numId="20" w16cid:durableId="444007775">
    <w:abstractNumId w:val="15"/>
  </w:num>
  <w:num w:numId="21" w16cid:durableId="1055466106">
    <w:abstractNumId w:val="12"/>
  </w:num>
  <w:num w:numId="22" w16cid:durableId="986131657">
    <w:abstractNumId w:val="14"/>
  </w:num>
  <w:num w:numId="23" w16cid:durableId="455679392">
    <w:abstractNumId w:val="18"/>
  </w:num>
  <w:num w:numId="24" w16cid:durableId="1175069424">
    <w:abstractNumId w:val="19"/>
  </w:num>
  <w:num w:numId="25" w16cid:durableId="1403988745">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A828F9"/>
    <w:rsid w:val="00000FED"/>
    <w:rsid w:val="0000434E"/>
    <w:rsid w:val="00017FF9"/>
    <w:rsid w:val="000211A9"/>
    <w:rsid w:val="00021238"/>
    <w:rsid w:val="00022071"/>
    <w:rsid w:val="00024F01"/>
    <w:rsid w:val="00031260"/>
    <w:rsid w:val="0003681A"/>
    <w:rsid w:val="000372B7"/>
    <w:rsid w:val="000436E7"/>
    <w:rsid w:val="00050F6E"/>
    <w:rsid w:val="00061EC2"/>
    <w:rsid w:val="00066CE8"/>
    <w:rsid w:val="00080022"/>
    <w:rsid w:val="00080ED0"/>
    <w:rsid w:val="00085B8F"/>
    <w:rsid w:val="00090481"/>
    <w:rsid w:val="0009088D"/>
    <w:rsid w:val="00090B55"/>
    <w:rsid w:val="000A072E"/>
    <w:rsid w:val="000A3826"/>
    <w:rsid w:val="000A4BFB"/>
    <w:rsid w:val="000A6C26"/>
    <w:rsid w:val="000A797D"/>
    <w:rsid w:val="000B36C8"/>
    <w:rsid w:val="000D52A4"/>
    <w:rsid w:val="000E07BC"/>
    <w:rsid w:val="000E2E21"/>
    <w:rsid w:val="000E3C20"/>
    <w:rsid w:val="000F1CD4"/>
    <w:rsid w:val="000F4103"/>
    <w:rsid w:val="000F70A7"/>
    <w:rsid w:val="00103AB1"/>
    <w:rsid w:val="00113CCA"/>
    <w:rsid w:val="00116C16"/>
    <w:rsid w:val="00122F25"/>
    <w:rsid w:val="001248CD"/>
    <w:rsid w:val="00131EC4"/>
    <w:rsid w:val="00135980"/>
    <w:rsid w:val="00136427"/>
    <w:rsid w:val="0013786F"/>
    <w:rsid w:val="00147283"/>
    <w:rsid w:val="001613DF"/>
    <w:rsid w:val="00164719"/>
    <w:rsid w:val="00166FC4"/>
    <w:rsid w:val="001677AC"/>
    <w:rsid w:val="001804EA"/>
    <w:rsid w:val="001805DB"/>
    <w:rsid w:val="00190A61"/>
    <w:rsid w:val="00197179"/>
    <w:rsid w:val="001A2215"/>
    <w:rsid w:val="001A3342"/>
    <w:rsid w:val="001A3E3D"/>
    <w:rsid w:val="001A7049"/>
    <w:rsid w:val="001B1E40"/>
    <w:rsid w:val="001C764E"/>
    <w:rsid w:val="001D0689"/>
    <w:rsid w:val="001E1052"/>
    <w:rsid w:val="001E21B1"/>
    <w:rsid w:val="001E2F93"/>
    <w:rsid w:val="001E4554"/>
    <w:rsid w:val="001E61E5"/>
    <w:rsid w:val="001F2159"/>
    <w:rsid w:val="001F53FD"/>
    <w:rsid w:val="001F58FF"/>
    <w:rsid w:val="00210B8B"/>
    <w:rsid w:val="00214863"/>
    <w:rsid w:val="002156B4"/>
    <w:rsid w:val="00224FCD"/>
    <w:rsid w:val="002335F7"/>
    <w:rsid w:val="00241FCF"/>
    <w:rsid w:val="00253222"/>
    <w:rsid w:val="002545FC"/>
    <w:rsid w:val="00261C13"/>
    <w:rsid w:val="00262847"/>
    <w:rsid w:val="00271AC0"/>
    <w:rsid w:val="002745D0"/>
    <w:rsid w:val="00281BB2"/>
    <w:rsid w:val="00283747"/>
    <w:rsid w:val="002A03C3"/>
    <w:rsid w:val="002A3EAA"/>
    <w:rsid w:val="002B254E"/>
    <w:rsid w:val="002B4CE8"/>
    <w:rsid w:val="002B72E9"/>
    <w:rsid w:val="002B73F7"/>
    <w:rsid w:val="002C7998"/>
    <w:rsid w:val="002E6AF4"/>
    <w:rsid w:val="002F1E53"/>
    <w:rsid w:val="002F2CAA"/>
    <w:rsid w:val="0030052C"/>
    <w:rsid w:val="00304034"/>
    <w:rsid w:val="00325678"/>
    <w:rsid w:val="003306E1"/>
    <w:rsid w:val="003320E4"/>
    <w:rsid w:val="00334B92"/>
    <w:rsid w:val="0033525D"/>
    <w:rsid w:val="003378B4"/>
    <w:rsid w:val="003414F3"/>
    <w:rsid w:val="00355EC3"/>
    <w:rsid w:val="0035613E"/>
    <w:rsid w:val="00363EE9"/>
    <w:rsid w:val="0037242E"/>
    <w:rsid w:val="00376128"/>
    <w:rsid w:val="0037742E"/>
    <w:rsid w:val="00377D56"/>
    <w:rsid w:val="0038245A"/>
    <w:rsid w:val="003840E6"/>
    <w:rsid w:val="00385CFC"/>
    <w:rsid w:val="0039337A"/>
    <w:rsid w:val="003A0CD2"/>
    <w:rsid w:val="003A3189"/>
    <w:rsid w:val="003A3CA7"/>
    <w:rsid w:val="003A44F0"/>
    <w:rsid w:val="003B1CEA"/>
    <w:rsid w:val="003B33BD"/>
    <w:rsid w:val="003B569D"/>
    <w:rsid w:val="003C3C0E"/>
    <w:rsid w:val="003D155E"/>
    <w:rsid w:val="003D42A6"/>
    <w:rsid w:val="003D4F21"/>
    <w:rsid w:val="003D4FAC"/>
    <w:rsid w:val="003E1885"/>
    <w:rsid w:val="003E7906"/>
    <w:rsid w:val="003F000F"/>
    <w:rsid w:val="003F3C50"/>
    <w:rsid w:val="00406202"/>
    <w:rsid w:val="00406A6A"/>
    <w:rsid w:val="00406B22"/>
    <w:rsid w:val="00407147"/>
    <w:rsid w:val="004078FA"/>
    <w:rsid w:val="00407901"/>
    <w:rsid w:val="00431E08"/>
    <w:rsid w:val="004328A7"/>
    <w:rsid w:val="00434C74"/>
    <w:rsid w:val="00454E6A"/>
    <w:rsid w:val="00456EB4"/>
    <w:rsid w:val="00457827"/>
    <w:rsid w:val="004635E6"/>
    <w:rsid w:val="004718F3"/>
    <w:rsid w:val="00475040"/>
    <w:rsid w:val="00490C06"/>
    <w:rsid w:val="00493D40"/>
    <w:rsid w:val="00493EE3"/>
    <w:rsid w:val="004967B6"/>
    <w:rsid w:val="004A504B"/>
    <w:rsid w:val="004A6911"/>
    <w:rsid w:val="004B3652"/>
    <w:rsid w:val="004B54E0"/>
    <w:rsid w:val="004B7384"/>
    <w:rsid w:val="004C4269"/>
    <w:rsid w:val="004C6F15"/>
    <w:rsid w:val="004D6236"/>
    <w:rsid w:val="004D7F90"/>
    <w:rsid w:val="004E4DBB"/>
    <w:rsid w:val="004E4E41"/>
    <w:rsid w:val="004E73DB"/>
    <w:rsid w:val="004E7F9C"/>
    <w:rsid w:val="004F122F"/>
    <w:rsid w:val="004F3493"/>
    <w:rsid w:val="004F5143"/>
    <w:rsid w:val="00507653"/>
    <w:rsid w:val="00512B09"/>
    <w:rsid w:val="00514BBF"/>
    <w:rsid w:val="005220ED"/>
    <w:rsid w:val="00533796"/>
    <w:rsid w:val="00537343"/>
    <w:rsid w:val="005516F3"/>
    <w:rsid w:val="00554CAE"/>
    <w:rsid w:val="00555D75"/>
    <w:rsid w:val="00560DF0"/>
    <w:rsid w:val="0056759C"/>
    <w:rsid w:val="00567785"/>
    <w:rsid w:val="00586D8F"/>
    <w:rsid w:val="0059513E"/>
    <w:rsid w:val="005953E7"/>
    <w:rsid w:val="005A6AA4"/>
    <w:rsid w:val="005A6D9F"/>
    <w:rsid w:val="005B48FF"/>
    <w:rsid w:val="005C098D"/>
    <w:rsid w:val="005C1E32"/>
    <w:rsid w:val="005C670D"/>
    <w:rsid w:val="005D009D"/>
    <w:rsid w:val="005D363F"/>
    <w:rsid w:val="005F11AF"/>
    <w:rsid w:val="005F77AC"/>
    <w:rsid w:val="00602D25"/>
    <w:rsid w:val="00604C15"/>
    <w:rsid w:val="006158D5"/>
    <w:rsid w:val="00625D83"/>
    <w:rsid w:val="00645501"/>
    <w:rsid w:val="00651984"/>
    <w:rsid w:val="00660591"/>
    <w:rsid w:val="006623E7"/>
    <w:rsid w:val="00662B80"/>
    <w:rsid w:val="00663FFE"/>
    <w:rsid w:val="0066768F"/>
    <w:rsid w:val="00670F6C"/>
    <w:rsid w:val="00676E58"/>
    <w:rsid w:val="006852C7"/>
    <w:rsid w:val="006852CE"/>
    <w:rsid w:val="00692D14"/>
    <w:rsid w:val="0069692B"/>
    <w:rsid w:val="006A7A3B"/>
    <w:rsid w:val="006B65C7"/>
    <w:rsid w:val="006C1727"/>
    <w:rsid w:val="006C32FD"/>
    <w:rsid w:val="006C39CE"/>
    <w:rsid w:val="006D0FCC"/>
    <w:rsid w:val="006D21F5"/>
    <w:rsid w:val="006D3089"/>
    <w:rsid w:val="006E126D"/>
    <w:rsid w:val="006E1FC3"/>
    <w:rsid w:val="006E5952"/>
    <w:rsid w:val="006E5B8B"/>
    <w:rsid w:val="006E5F73"/>
    <w:rsid w:val="00704CE9"/>
    <w:rsid w:val="0070616B"/>
    <w:rsid w:val="00706295"/>
    <w:rsid w:val="00706FDA"/>
    <w:rsid w:val="00711F9A"/>
    <w:rsid w:val="00713810"/>
    <w:rsid w:val="007303A5"/>
    <w:rsid w:val="00730B3E"/>
    <w:rsid w:val="0073420B"/>
    <w:rsid w:val="00736367"/>
    <w:rsid w:val="0074760E"/>
    <w:rsid w:val="007548C4"/>
    <w:rsid w:val="00754ABA"/>
    <w:rsid w:val="0076382E"/>
    <w:rsid w:val="00782B0D"/>
    <w:rsid w:val="00790779"/>
    <w:rsid w:val="0079781A"/>
    <w:rsid w:val="007A05F0"/>
    <w:rsid w:val="007A1546"/>
    <w:rsid w:val="007A228C"/>
    <w:rsid w:val="007A368E"/>
    <w:rsid w:val="007A5868"/>
    <w:rsid w:val="007B01E4"/>
    <w:rsid w:val="007B04CE"/>
    <w:rsid w:val="007B6871"/>
    <w:rsid w:val="007B7A2F"/>
    <w:rsid w:val="007C32EE"/>
    <w:rsid w:val="007C3D33"/>
    <w:rsid w:val="007D0AB5"/>
    <w:rsid w:val="007D294A"/>
    <w:rsid w:val="007D47D2"/>
    <w:rsid w:val="007D57F2"/>
    <w:rsid w:val="007D6EC0"/>
    <w:rsid w:val="007D7E1D"/>
    <w:rsid w:val="007E503C"/>
    <w:rsid w:val="0080345C"/>
    <w:rsid w:val="0082522F"/>
    <w:rsid w:val="00831979"/>
    <w:rsid w:val="00851352"/>
    <w:rsid w:val="00857077"/>
    <w:rsid w:val="00863230"/>
    <w:rsid w:val="00865BD0"/>
    <w:rsid w:val="00866817"/>
    <w:rsid w:val="008717D8"/>
    <w:rsid w:val="0087215C"/>
    <w:rsid w:val="00875D25"/>
    <w:rsid w:val="00880E35"/>
    <w:rsid w:val="008875FE"/>
    <w:rsid w:val="00887F8E"/>
    <w:rsid w:val="00896234"/>
    <w:rsid w:val="00897E43"/>
    <w:rsid w:val="008A4946"/>
    <w:rsid w:val="008C222B"/>
    <w:rsid w:val="008C55C4"/>
    <w:rsid w:val="008C5738"/>
    <w:rsid w:val="008C7EAD"/>
    <w:rsid w:val="008D0CFE"/>
    <w:rsid w:val="008D2F54"/>
    <w:rsid w:val="008D6152"/>
    <w:rsid w:val="008E2E96"/>
    <w:rsid w:val="008E7BA9"/>
    <w:rsid w:val="008F0F81"/>
    <w:rsid w:val="008F27BF"/>
    <w:rsid w:val="008F2E64"/>
    <w:rsid w:val="008F52BB"/>
    <w:rsid w:val="00900CE0"/>
    <w:rsid w:val="009142EC"/>
    <w:rsid w:val="009145E4"/>
    <w:rsid w:val="009154C3"/>
    <w:rsid w:val="00915EDB"/>
    <w:rsid w:val="00923540"/>
    <w:rsid w:val="00926767"/>
    <w:rsid w:val="009361D5"/>
    <w:rsid w:val="009428A4"/>
    <w:rsid w:val="00942FCC"/>
    <w:rsid w:val="00953B39"/>
    <w:rsid w:val="0095623A"/>
    <w:rsid w:val="0096388A"/>
    <w:rsid w:val="009659F4"/>
    <w:rsid w:val="00970D60"/>
    <w:rsid w:val="009874D0"/>
    <w:rsid w:val="00987D1F"/>
    <w:rsid w:val="00992819"/>
    <w:rsid w:val="0099390E"/>
    <w:rsid w:val="009960E5"/>
    <w:rsid w:val="0099673E"/>
    <w:rsid w:val="009A7ADC"/>
    <w:rsid w:val="009B0D30"/>
    <w:rsid w:val="009C19B7"/>
    <w:rsid w:val="009C5ABB"/>
    <w:rsid w:val="009D7C51"/>
    <w:rsid w:val="009E196C"/>
    <w:rsid w:val="009E6A0A"/>
    <w:rsid w:val="009F36BF"/>
    <w:rsid w:val="009F7A3F"/>
    <w:rsid w:val="00A1068F"/>
    <w:rsid w:val="00A111B6"/>
    <w:rsid w:val="00A26D27"/>
    <w:rsid w:val="00A376EE"/>
    <w:rsid w:val="00A42A99"/>
    <w:rsid w:val="00A4687D"/>
    <w:rsid w:val="00A5151A"/>
    <w:rsid w:val="00A57E0A"/>
    <w:rsid w:val="00A60809"/>
    <w:rsid w:val="00A77919"/>
    <w:rsid w:val="00A81B5C"/>
    <w:rsid w:val="00A823F6"/>
    <w:rsid w:val="00A828F9"/>
    <w:rsid w:val="00A84CFC"/>
    <w:rsid w:val="00A8719E"/>
    <w:rsid w:val="00A904DA"/>
    <w:rsid w:val="00AA0A89"/>
    <w:rsid w:val="00AA5368"/>
    <w:rsid w:val="00AA6429"/>
    <w:rsid w:val="00AB2FF4"/>
    <w:rsid w:val="00AC01AA"/>
    <w:rsid w:val="00AC3EE9"/>
    <w:rsid w:val="00AC4F72"/>
    <w:rsid w:val="00AC5041"/>
    <w:rsid w:val="00AE482E"/>
    <w:rsid w:val="00AF0395"/>
    <w:rsid w:val="00AF1B39"/>
    <w:rsid w:val="00AF741A"/>
    <w:rsid w:val="00B01ADB"/>
    <w:rsid w:val="00B028F3"/>
    <w:rsid w:val="00B04161"/>
    <w:rsid w:val="00B056F9"/>
    <w:rsid w:val="00B11E3D"/>
    <w:rsid w:val="00B14D2C"/>
    <w:rsid w:val="00B17E82"/>
    <w:rsid w:val="00B3042B"/>
    <w:rsid w:val="00B4575A"/>
    <w:rsid w:val="00B54D9C"/>
    <w:rsid w:val="00B575BA"/>
    <w:rsid w:val="00B666E3"/>
    <w:rsid w:val="00B71144"/>
    <w:rsid w:val="00B71608"/>
    <w:rsid w:val="00B76429"/>
    <w:rsid w:val="00B86471"/>
    <w:rsid w:val="00B956D4"/>
    <w:rsid w:val="00B97446"/>
    <w:rsid w:val="00BA31A8"/>
    <w:rsid w:val="00BA7432"/>
    <w:rsid w:val="00BB23D4"/>
    <w:rsid w:val="00BB2764"/>
    <w:rsid w:val="00BB5DE3"/>
    <w:rsid w:val="00BC1517"/>
    <w:rsid w:val="00BC1AA0"/>
    <w:rsid w:val="00BC2495"/>
    <w:rsid w:val="00BC314A"/>
    <w:rsid w:val="00BC7EB9"/>
    <w:rsid w:val="00BD2643"/>
    <w:rsid w:val="00BD56B1"/>
    <w:rsid w:val="00BD6558"/>
    <w:rsid w:val="00BF2AD7"/>
    <w:rsid w:val="00BF2F76"/>
    <w:rsid w:val="00BF3022"/>
    <w:rsid w:val="00BF3214"/>
    <w:rsid w:val="00BF5573"/>
    <w:rsid w:val="00C1436D"/>
    <w:rsid w:val="00C15867"/>
    <w:rsid w:val="00C22398"/>
    <w:rsid w:val="00C227DD"/>
    <w:rsid w:val="00C2296D"/>
    <w:rsid w:val="00C23155"/>
    <w:rsid w:val="00C2377F"/>
    <w:rsid w:val="00C40C41"/>
    <w:rsid w:val="00C41CF4"/>
    <w:rsid w:val="00C429B7"/>
    <w:rsid w:val="00C45885"/>
    <w:rsid w:val="00C50E63"/>
    <w:rsid w:val="00C50F22"/>
    <w:rsid w:val="00C57971"/>
    <w:rsid w:val="00C65BD7"/>
    <w:rsid w:val="00C76BA4"/>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2FC9"/>
    <w:rsid w:val="00CF41EC"/>
    <w:rsid w:val="00CF5D04"/>
    <w:rsid w:val="00D04DE4"/>
    <w:rsid w:val="00D063F1"/>
    <w:rsid w:val="00D11735"/>
    <w:rsid w:val="00D14F22"/>
    <w:rsid w:val="00D171B6"/>
    <w:rsid w:val="00D4534C"/>
    <w:rsid w:val="00D4741C"/>
    <w:rsid w:val="00D54097"/>
    <w:rsid w:val="00D57918"/>
    <w:rsid w:val="00D73DC6"/>
    <w:rsid w:val="00D74C1A"/>
    <w:rsid w:val="00D754C1"/>
    <w:rsid w:val="00D77393"/>
    <w:rsid w:val="00D77A35"/>
    <w:rsid w:val="00D81B3E"/>
    <w:rsid w:val="00D90C70"/>
    <w:rsid w:val="00D90E49"/>
    <w:rsid w:val="00D96ADE"/>
    <w:rsid w:val="00DA0CE2"/>
    <w:rsid w:val="00DA2387"/>
    <w:rsid w:val="00DC68CC"/>
    <w:rsid w:val="00DC6A10"/>
    <w:rsid w:val="00DD3B37"/>
    <w:rsid w:val="00DE657E"/>
    <w:rsid w:val="00DF1274"/>
    <w:rsid w:val="00DF4704"/>
    <w:rsid w:val="00E024AA"/>
    <w:rsid w:val="00E15C77"/>
    <w:rsid w:val="00E1693E"/>
    <w:rsid w:val="00E21BD1"/>
    <w:rsid w:val="00E250F1"/>
    <w:rsid w:val="00E26B7B"/>
    <w:rsid w:val="00E3550D"/>
    <w:rsid w:val="00E50C3D"/>
    <w:rsid w:val="00E52838"/>
    <w:rsid w:val="00E614E0"/>
    <w:rsid w:val="00E62900"/>
    <w:rsid w:val="00E73F7F"/>
    <w:rsid w:val="00E743CC"/>
    <w:rsid w:val="00E753E8"/>
    <w:rsid w:val="00E85409"/>
    <w:rsid w:val="00E9339B"/>
    <w:rsid w:val="00EA270D"/>
    <w:rsid w:val="00EA429F"/>
    <w:rsid w:val="00EA4F9E"/>
    <w:rsid w:val="00EA63CA"/>
    <w:rsid w:val="00EA6D3B"/>
    <w:rsid w:val="00EB00AD"/>
    <w:rsid w:val="00EB136C"/>
    <w:rsid w:val="00EB480E"/>
    <w:rsid w:val="00EB5EC6"/>
    <w:rsid w:val="00EB7FC9"/>
    <w:rsid w:val="00ED27E8"/>
    <w:rsid w:val="00ED7137"/>
    <w:rsid w:val="00EE2FA2"/>
    <w:rsid w:val="00EE3A00"/>
    <w:rsid w:val="00EF06EA"/>
    <w:rsid w:val="00F040F2"/>
    <w:rsid w:val="00F07604"/>
    <w:rsid w:val="00F21088"/>
    <w:rsid w:val="00F2297D"/>
    <w:rsid w:val="00F326BF"/>
    <w:rsid w:val="00F327E7"/>
    <w:rsid w:val="00F35746"/>
    <w:rsid w:val="00F447C7"/>
    <w:rsid w:val="00F459B4"/>
    <w:rsid w:val="00F47B17"/>
    <w:rsid w:val="00F519AF"/>
    <w:rsid w:val="00F5211B"/>
    <w:rsid w:val="00F554A9"/>
    <w:rsid w:val="00F66D8C"/>
    <w:rsid w:val="00F67170"/>
    <w:rsid w:val="00F716FD"/>
    <w:rsid w:val="00F7687D"/>
    <w:rsid w:val="00F80355"/>
    <w:rsid w:val="00F87C43"/>
    <w:rsid w:val="00FA5722"/>
    <w:rsid w:val="00FB0C81"/>
    <w:rsid w:val="00FC2200"/>
    <w:rsid w:val="00FC2540"/>
    <w:rsid w:val="00FE1FA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5D6A7A"/>
  <w15:docId w15:val="{C8A32293-D39E-E94F-87E7-823487FF8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327E7"/>
    <w:pPr>
      <w:jc w:val="both"/>
    </w:pPr>
    <w:rPr>
      <w:sz w:val="22"/>
      <w:szCs w:val="22"/>
      <w:lang w:val="en-CA"/>
    </w:rPr>
  </w:style>
  <w:style w:type="paragraph" w:styleId="Titolo1">
    <w:name w:val="heading 1"/>
    <w:aliases w:val="Para (1),Heading 1 Char,Heading 1 Char3 Char,Heading 1 Char Char1 Char,Heading 1 Char1 Char Char1 Char,Heading 1 Char Char Char Char1 Char1,Para (1) Char Char Char Char1 Char,Heading 1 Char3 Char Char Char Char1 Char,Heading 1 Char3"/>
    <w:basedOn w:val="Normale"/>
    <w:next w:val="Normale"/>
    <w:link w:val="Titolo1Carattere"/>
    <w:qFormat/>
    <w:rsid w:val="0033525D"/>
    <w:pPr>
      <w:spacing w:after="240"/>
      <w:outlineLvl w:val="0"/>
    </w:pPr>
  </w:style>
  <w:style w:type="paragraph" w:styleId="Titolo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e"/>
    <w:next w:val="Normale"/>
    <w:link w:val="Titolo2Carattere"/>
    <w:qFormat/>
    <w:rsid w:val="0033525D"/>
    <w:pPr>
      <w:widowControl w:val="0"/>
      <w:spacing w:after="240"/>
      <w:outlineLvl w:val="1"/>
    </w:pPr>
  </w:style>
  <w:style w:type="paragraph" w:styleId="Titolo3">
    <w:name w:val="heading 3"/>
    <w:aliases w:val="Char"/>
    <w:basedOn w:val="Normale"/>
    <w:next w:val="Normale"/>
    <w:qFormat/>
    <w:rsid w:val="0033525D"/>
    <w:pPr>
      <w:widowControl w:val="0"/>
      <w:spacing w:after="240"/>
      <w:outlineLvl w:val="2"/>
    </w:pPr>
  </w:style>
  <w:style w:type="paragraph" w:styleId="Titolo4">
    <w:name w:val="heading 4"/>
    <w:aliases w:val="Heading 11"/>
    <w:basedOn w:val="Normale"/>
    <w:next w:val="Titolo9"/>
    <w:semiHidden/>
    <w:rsid w:val="007B6871"/>
    <w:pPr>
      <w:keepNext/>
      <w:spacing w:before="240" w:after="60"/>
      <w:outlineLvl w:val="3"/>
    </w:pPr>
  </w:style>
  <w:style w:type="paragraph" w:styleId="Titolo5">
    <w:name w:val="heading 5"/>
    <w:basedOn w:val="Normale"/>
    <w:next w:val="Normale"/>
    <w:qFormat/>
    <w:rsid w:val="00DC6A10"/>
    <w:pPr>
      <w:keepNext/>
      <w:numPr>
        <w:numId w:val="20"/>
      </w:numPr>
      <w:spacing w:after="240"/>
      <w:ind w:left="3600" w:hanging="720"/>
      <w:outlineLvl w:val="4"/>
    </w:pPr>
  </w:style>
  <w:style w:type="paragraph" w:styleId="Titolo6">
    <w:name w:val="heading 6"/>
    <w:basedOn w:val="Normale"/>
    <w:next w:val="Normale"/>
    <w:qFormat/>
    <w:rsid w:val="00A5151A"/>
    <w:pPr>
      <w:spacing w:before="240" w:after="60"/>
      <w:outlineLvl w:val="5"/>
    </w:pPr>
    <w:rPr>
      <w:rFonts w:ascii="Arial" w:hAnsi="Arial"/>
      <w:i/>
    </w:rPr>
  </w:style>
  <w:style w:type="paragraph" w:styleId="Titolo7">
    <w:name w:val="heading 7"/>
    <w:basedOn w:val="Normale"/>
    <w:next w:val="Normale"/>
    <w:qFormat/>
    <w:rsid w:val="00A5151A"/>
    <w:pPr>
      <w:spacing w:before="240" w:after="60"/>
      <w:outlineLvl w:val="6"/>
    </w:pPr>
    <w:rPr>
      <w:rFonts w:ascii="Arial" w:hAnsi="Arial"/>
    </w:rPr>
  </w:style>
  <w:style w:type="paragraph" w:styleId="Titolo8">
    <w:name w:val="heading 8"/>
    <w:basedOn w:val="Normale"/>
    <w:next w:val="Normale"/>
    <w:qFormat/>
    <w:rsid w:val="00CC6A14"/>
    <w:pPr>
      <w:outlineLvl w:val="7"/>
    </w:pPr>
    <w:rPr>
      <w:b/>
    </w:rPr>
  </w:style>
  <w:style w:type="paragraph" w:styleId="Titolo9">
    <w:name w:val="heading 9"/>
    <w:basedOn w:val="Normale"/>
    <w:next w:val="Normale"/>
    <w:qFormat/>
    <w:rsid w:val="00A5151A"/>
    <w:pPr>
      <w:spacing w:before="240" w:after="60"/>
      <w:outlineLvl w:val="8"/>
    </w:pPr>
    <w:rPr>
      <w:rFonts w:ascii="Arial" w:hAnsi="Arial"/>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numbering" w:styleId="111111">
    <w:name w:val="Outline List 2"/>
    <w:basedOn w:val="Nessunelenco"/>
    <w:semiHidden/>
    <w:rsid w:val="00493D40"/>
    <w:pPr>
      <w:numPr>
        <w:numId w:val="16"/>
      </w:numPr>
    </w:pPr>
  </w:style>
  <w:style w:type="paragraph" w:styleId="Intestazione">
    <w:name w:val="header"/>
    <w:basedOn w:val="Normale"/>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e"/>
    <w:rsid w:val="0033525D"/>
    <w:pPr>
      <w:keepLines/>
      <w:jc w:val="right"/>
    </w:pPr>
    <w:rPr>
      <w:b/>
    </w:rPr>
  </w:style>
  <w:style w:type="paragraph" w:customStyle="1" w:styleId="0Heading0">
    <w:name w:val="0 Heading 0"/>
    <w:rsid w:val="0033525D"/>
    <w:rPr>
      <w:sz w:val="22"/>
      <w:szCs w:val="22"/>
      <w:lang w:val="en-GB"/>
    </w:rPr>
  </w:style>
  <w:style w:type="paragraph" w:styleId="Pidipagina">
    <w:name w:val="footer"/>
    <w:basedOn w:val="Normale"/>
    <w:link w:val="PidipaginaCarattere"/>
    <w:uiPriority w:val="99"/>
    <w:rsid w:val="00A5151A"/>
    <w:pPr>
      <w:tabs>
        <w:tab w:val="center" w:pos="4320"/>
        <w:tab w:val="right" w:pos="8640"/>
      </w:tabs>
    </w:pPr>
  </w:style>
  <w:style w:type="numbering" w:styleId="1ai">
    <w:name w:val="Outline List 1"/>
    <w:basedOn w:val="Nessunelenco"/>
    <w:semiHidden/>
    <w:rsid w:val="00493D40"/>
    <w:pPr>
      <w:numPr>
        <w:numId w:val="17"/>
      </w:numPr>
    </w:pPr>
  </w:style>
  <w:style w:type="numbering" w:styleId="ArticoloSezione">
    <w:name w:val="Outline List 3"/>
    <w:basedOn w:val="Nessunelenco"/>
    <w:semiHidden/>
    <w:rsid w:val="00493D40"/>
    <w:pPr>
      <w:numPr>
        <w:numId w:val="18"/>
      </w:numPr>
    </w:pPr>
  </w:style>
  <w:style w:type="paragraph" w:styleId="Testodelblocco">
    <w:name w:val="Block Text"/>
    <w:basedOn w:val="Normale"/>
    <w:semiHidden/>
    <w:rsid w:val="00493D40"/>
    <w:pPr>
      <w:spacing w:after="120"/>
      <w:ind w:left="1440" w:right="1440"/>
    </w:pPr>
  </w:style>
  <w:style w:type="paragraph" w:styleId="Corpodeltesto3">
    <w:name w:val="Body Text 3"/>
    <w:basedOn w:val="Normale"/>
    <w:semiHidden/>
    <w:rsid w:val="00493D40"/>
    <w:pPr>
      <w:spacing w:after="120"/>
    </w:pPr>
    <w:rPr>
      <w:sz w:val="16"/>
      <w:szCs w:val="16"/>
    </w:rPr>
  </w:style>
  <w:style w:type="paragraph" w:styleId="Rientrocorpodeltesto3">
    <w:name w:val="Body Text Indent 3"/>
    <w:basedOn w:val="Normale"/>
    <w:semiHidden/>
    <w:rsid w:val="00493D40"/>
    <w:pPr>
      <w:spacing w:after="120"/>
      <w:ind w:left="360"/>
    </w:pPr>
    <w:rPr>
      <w:sz w:val="16"/>
      <w:szCs w:val="16"/>
    </w:rPr>
  </w:style>
  <w:style w:type="paragraph" w:styleId="Testonormale">
    <w:name w:val="Plain Text"/>
    <w:basedOn w:val="Normale"/>
    <w:semiHidden/>
    <w:rsid w:val="00493D40"/>
    <w:rPr>
      <w:rFonts w:ascii="Courier New" w:hAnsi="Courier New" w:cs="Courier New"/>
      <w:sz w:val="20"/>
    </w:rPr>
  </w:style>
  <w:style w:type="table" w:styleId="Tabellaeffetti3D1">
    <w:name w:val="Table 3D effects 1"/>
    <w:basedOn w:val="Tabellanormale"/>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aeffetti3D2">
    <w:name w:val="Table 3D effects 2"/>
    <w:basedOn w:val="Tabellanormale"/>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effetti3D3">
    <w:name w:val="Table 3D effects 3"/>
    <w:basedOn w:val="Tabellanormale"/>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lassica1">
    <w:name w:val="Table Classic 1"/>
    <w:basedOn w:val="Tabellanormale"/>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lassica2">
    <w:name w:val="Table Classic 2"/>
    <w:basedOn w:val="Tabellanormale"/>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aclassica3">
    <w:name w:val="Table Classic 3"/>
    <w:basedOn w:val="Tabellanormale"/>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aclassica4">
    <w:name w:val="Table Classic 4"/>
    <w:basedOn w:val="Tabellanormale"/>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aacolori1">
    <w:name w:val="Table Colorful 1"/>
    <w:basedOn w:val="Tabellanormale"/>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aacolori2">
    <w:name w:val="Table Colorful 2"/>
    <w:basedOn w:val="Tabellanormale"/>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aacolori3">
    <w:name w:val="Table Colorful 3"/>
    <w:basedOn w:val="Tabellanormale"/>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acolonne1">
    <w:name w:val="Table Columns 1"/>
    <w:basedOn w:val="Tabellanormale"/>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lonne2">
    <w:name w:val="Table Columns 2"/>
    <w:basedOn w:val="Tabellanormale"/>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lonne3">
    <w:name w:val="Table Columns 3"/>
    <w:basedOn w:val="Tabellanormale"/>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acolonne4">
    <w:name w:val="Table Columns 4"/>
    <w:basedOn w:val="Tabellanormale"/>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acolonne5">
    <w:name w:val="Table Columns 5"/>
    <w:basedOn w:val="Tabellanormale"/>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acontemporanea">
    <w:name w:val="Table Contemporary"/>
    <w:basedOn w:val="Tabellanormale"/>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aelegante">
    <w:name w:val="Table Elegant"/>
    <w:basedOn w:val="Tabellanormale"/>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gliatabella">
    <w:name w:val="Table Grid"/>
    <w:basedOn w:val="Tabellanormale"/>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tabella1">
    <w:name w:val="Table Grid 1"/>
    <w:basedOn w:val="Tabellanormale"/>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gliatabella2">
    <w:name w:val="Table Grid 2"/>
    <w:basedOn w:val="Tabellanormale"/>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gliatabella3">
    <w:name w:val="Table Grid 3"/>
    <w:basedOn w:val="Tabellanormale"/>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gliatabella4">
    <w:name w:val="Table Grid 4"/>
    <w:basedOn w:val="Tabellanormale"/>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gliatabella5">
    <w:name w:val="Table Grid 5"/>
    <w:basedOn w:val="Tabellanormale"/>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gliatabella6">
    <w:name w:val="Table Grid 6"/>
    <w:basedOn w:val="Tabellanormale"/>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gliatabella7">
    <w:name w:val="Table Grid 7"/>
    <w:basedOn w:val="Tabellanormale"/>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gliatabella8">
    <w:name w:val="Table Grid 8"/>
    <w:basedOn w:val="Tabellanormale"/>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Elencotabella1">
    <w:name w:val="Table List 1"/>
    <w:basedOn w:val="Tabellanormale"/>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lencotabella2">
    <w:name w:val="Table List 2"/>
    <w:basedOn w:val="Tabellanormale"/>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lencotabella3">
    <w:name w:val="Table List 3"/>
    <w:basedOn w:val="Tabellanormale"/>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Elencotabella4">
    <w:name w:val="Table List 4"/>
    <w:basedOn w:val="Tabellanormale"/>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Elencotabella5">
    <w:name w:val="Table List 5"/>
    <w:basedOn w:val="Tabellanormale"/>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Elencotabella6">
    <w:name w:val="Table List 6"/>
    <w:basedOn w:val="Tabellanormale"/>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Elencotabella7">
    <w:name w:val="Table List 7"/>
    <w:basedOn w:val="Tabellanormale"/>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Elencotabella8">
    <w:name w:val="Table List 8"/>
    <w:basedOn w:val="Tabellanormale"/>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aprofessionale">
    <w:name w:val="Table Professional"/>
    <w:basedOn w:val="Tabellanormale"/>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asemplice1">
    <w:name w:val="Table Simple 1"/>
    <w:basedOn w:val="Tabellanormale"/>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asemplice2">
    <w:name w:val="Table Simple 2"/>
    <w:basedOn w:val="Tabellanormale"/>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asemplice3">
    <w:name w:val="Table Simple 3"/>
    <w:basedOn w:val="Tabellanormale"/>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aconombreggiatura1">
    <w:name w:val="Table Subtle 1"/>
    <w:basedOn w:val="Tabellanormale"/>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nombreggiatura2">
    <w:name w:val="Table Subtle 2"/>
    <w:basedOn w:val="Tabellanormale"/>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tema">
    <w:name w:val="Table Theme"/>
    <w:basedOn w:val="Tabellanormale"/>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Web1">
    <w:name w:val="Table Web 1"/>
    <w:basedOn w:val="Tabellanormale"/>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aWeb2">
    <w:name w:val="Table Web 2"/>
    <w:basedOn w:val="Tabellanormale"/>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aWeb3">
    <w:name w:val="Table Web 3"/>
    <w:basedOn w:val="Tabellanormale"/>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Titolo1Carattere">
    <w:name w:val="Titolo 1 Carattere"/>
    <w:aliases w:val="Para (1) Carattere,Heading 1 Char Carattere,Heading 1 Char3 Char Carattere,Heading 1 Char Char1 Char Carattere,Heading 1 Char1 Char Char1 Char Carattere,Heading 1 Char Char Char Char1 Char1 Carattere,Heading 1 Char3 Carattere"/>
    <w:basedOn w:val="Carpredefinitoparagrafo"/>
    <w:link w:val="Titolo1"/>
    <w:rsid w:val="0033525D"/>
    <w:rPr>
      <w:sz w:val="22"/>
      <w:szCs w:val="22"/>
      <w:lang w:val="en-GB"/>
    </w:rPr>
  </w:style>
  <w:style w:type="paragraph" w:customStyle="1" w:styleId="Header4">
    <w:name w:val="Header4"/>
    <w:aliases w:val="Para 4"/>
    <w:basedOn w:val="Normale"/>
    <w:next w:val="Normale"/>
    <w:rsid w:val="00DC6A10"/>
    <w:pPr>
      <w:widowControl w:val="0"/>
      <w:numPr>
        <w:numId w:val="19"/>
      </w:numPr>
      <w:tabs>
        <w:tab w:val="left" w:pos="2880"/>
        <w:tab w:val="left" w:pos="5760"/>
      </w:tabs>
      <w:spacing w:after="240"/>
      <w:ind w:left="2880" w:hanging="720"/>
    </w:pPr>
  </w:style>
  <w:style w:type="character" w:styleId="Rimandocommento">
    <w:name w:val="annotation reference"/>
    <w:basedOn w:val="Carpredefinitoparagrafo"/>
    <w:uiPriority w:val="99"/>
    <w:semiHidden/>
    <w:unhideWhenUsed/>
    <w:rsid w:val="00B04161"/>
    <w:rPr>
      <w:sz w:val="16"/>
      <w:szCs w:val="16"/>
    </w:rPr>
  </w:style>
  <w:style w:type="paragraph" w:styleId="Sottotitolo">
    <w:name w:val="Subtitle"/>
    <w:basedOn w:val="Normale"/>
    <w:qFormat/>
    <w:rsid w:val="0033525D"/>
    <w:pPr>
      <w:spacing w:after="60"/>
      <w:jc w:val="center"/>
      <w:outlineLvl w:val="1"/>
    </w:pPr>
    <w:rPr>
      <w:rFonts w:ascii="Arial" w:hAnsi="Arial" w:cs="Arial"/>
    </w:rPr>
  </w:style>
  <w:style w:type="paragraph" w:styleId="Titolo">
    <w:name w:val="Title"/>
    <w:basedOn w:val="Normale"/>
    <w:qFormat/>
    <w:rsid w:val="0033525D"/>
    <w:pPr>
      <w:spacing w:before="240" w:after="60"/>
      <w:jc w:val="center"/>
      <w:outlineLvl w:val="0"/>
    </w:pPr>
    <w:rPr>
      <w:rFonts w:ascii="Arial" w:hAnsi="Arial" w:cs="Arial"/>
      <w:b/>
      <w:bCs/>
      <w:kern w:val="28"/>
    </w:rPr>
  </w:style>
  <w:style w:type="paragraph" w:styleId="Data">
    <w:name w:val="Date"/>
    <w:basedOn w:val="Normale"/>
    <w:next w:val="Normale"/>
    <w:rsid w:val="0033525D"/>
  </w:style>
  <w:style w:type="character" w:styleId="Testosegnaposto">
    <w:name w:val="Placeholder Text"/>
    <w:basedOn w:val="Carpredefinitoparagrafo"/>
    <w:uiPriority w:val="99"/>
    <w:semiHidden/>
    <w:rsid w:val="00FC2540"/>
    <w:rPr>
      <w:color w:val="808080"/>
    </w:rPr>
  </w:style>
  <w:style w:type="paragraph" w:styleId="Testofumetto">
    <w:name w:val="Balloon Text"/>
    <w:basedOn w:val="Normale"/>
    <w:link w:val="TestofumettoCarattere"/>
    <w:uiPriority w:val="99"/>
    <w:semiHidden/>
    <w:unhideWhenUsed/>
    <w:rsid w:val="00FC2540"/>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C2540"/>
    <w:rPr>
      <w:rFonts w:ascii="Tahoma" w:hAnsi="Tahoma" w:cs="Tahoma"/>
      <w:sz w:val="16"/>
      <w:szCs w:val="16"/>
      <w:lang w:val="en-GB"/>
    </w:rPr>
  </w:style>
  <w:style w:type="paragraph" w:styleId="Testocommento">
    <w:name w:val="annotation text"/>
    <w:basedOn w:val="Normale"/>
    <w:link w:val="TestocommentoCarattere"/>
    <w:uiPriority w:val="99"/>
    <w:semiHidden/>
    <w:unhideWhenUsed/>
    <w:rsid w:val="00B04161"/>
    <w:rPr>
      <w:sz w:val="20"/>
      <w:szCs w:val="20"/>
    </w:rPr>
  </w:style>
  <w:style w:type="character" w:customStyle="1" w:styleId="TestocommentoCarattere">
    <w:name w:val="Testo commento Carattere"/>
    <w:basedOn w:val="Carpredefinitoparagrafo"/>
    <w:link w:val="Testocommento"/>
    <w:uiPriority w:val="99"/>
    <w:semiHidden/>
    <w:rsid w:val="00B04161"/>
    <w:rPr>
      <w:lang w:val="en-GB"/>
    </w:rPr>
  </w:style>
  <w:style w:type="paragraph" w:styleId="Soggettocommento">
    <w:name w:val="annotation subject"/>
    <w:basedOn w:val="Testocommento"/>
    <w:next w:val="Testocommento"/>
    <w:link w:val="SoggettocommentoCarattere"/>
    <w:uiPriority w:val="99"/>
    <w:semiHidden/>
    <w:unhideWhenUsed/>
    <w:rsid w:val="00B04161"/>
    <w:rPr>
      <w:b/>
      <w:bCs/>
    </w:rPr>
  </w:style>
  <w:style w:type="character" w:customStyle="1" w:styleId="SoggettocommentoCarattere">
    <w:name w:val="Soggetto commento Carattere"/>
    <w:basedOn w:val="TestocommentoCarattere"/>
    <w:link w:val="Soggettocommento"/>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Testonotaapidipagina">
    <w:name w:val="footnote text"/>
    <w:aliases w:val="Char1,Char1 Char Char,Fußnotentextf,FOOTNOTES,fn,single space,Footnote,Footnote Text Char1 Char,Footnote Text Char Char Char,Footnote Text Char1 Char Char Char,Footnote Text Char Char Char Char Char, Char1, Char1 Char Char"/>
    <w:basedOn w:val="Normale"/>
    <w:link w:val="TestonotaapidipaginaCarattere"/>
    <w:uiPriority w:val="99"/>
    <w:unhideWhenUsed/>
    <w:qFormat/>
    <w:rsid w:val="006E126D"/>
    <w:rPr>
      <w:sz w:val="20"/>
      <w:szCs w:val="20"/>
    </w:rPr>
  </w:style>
  <w:style w:type="character" w:customStyle="1" w:styleId="TestonotaapidipaginaCarattere">
    <w:name w:val="Testo nota a piè di pagina Carattere"/>
    <w:aliases w:val="Char1 Carattere,Char1 Char Char Carattere,Fußnotentextf Carattere,FOOTNOTES Carattere,fn Carattere,single space Carattere,Footnote Carattere,Footnote Text Char1 Char Carattere,Footnote Text Char Char Char Carattere"/>
    <w:basedOn w:val="Carpredefinitoparagrafo"/>
    <w:link w:val="Testonotaapidipagina"/>
    <w:uiPriority w:val="99"/>
    <w:rsid w:val="006E126D"/>
    <w:rPr>
      <w:lang w:val="en-GB"/>
    </w:rPr>
  </w:style>
  <w:style w:type="character" w:styleId="Rimandonotaapidipagina">
    <w:name w:val="footnote reference"/>
    <w:aliases w:val="Footnote text,Footnote Text1,Footnote Text2,ftref,16 Point,Superscript 6 Point,Superscript 6 Point + 11 pt,BVI fnr,BVI fnr Car Car,BVI fnr Car,BVI fnr Car Car Car Car,number,Footnote reference number,Footnote symbol,f"/>
    <w:basedOn w:val="Carpredefinitoparagrafo"/>
    <w:link w:val="CharCharCharCharCarChar"/>
    <w:uiPriority w:val="99"/>
    <w:unhideWhenUsed/>
    <w:qFormat/>
    <w:rsid w:val="006E126D"/>
    <w:rPr>
      <w:vertAlign w:val="superscript"/>
    </w:rPr>
  </w:style>
  <w:style w:type="paragraph" w:customStyle="1" w:styleId="Newheader4">
    <w:name w:val="New header 4"/>
    <w:basedOn w:val="Titolo4"/>
    <w:next w:val="Normale"/>
    <w:qFormat/>
    <w:rsid w:val="00AC5041"/>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e"/>
    <w:next w:val="Normale"/>
    <w:link w:val="Rimandonotaapidipagina"/>
    <w:uiPriority w:val="99"/>
    <w:rsid w:val="00103AB1"/>
    <w:pPr>
      <w:spacing w:after="160" w:line="240" w:lineRule="exact"/>
    </w:pPr>
    <w:rPr>
      <w:sz w:val="20"/>
      <w:szCs w:val="20"/>
      <w:vertAlign w:val="superscript"/>
      <w:lang w:val="en-US"/>
    </w:rPr>
  </w:style>
  <w:style w:type="character" w:customStyle="1" w:styleId="PidipaginaCarattere">
    <w:name w:val="Piè di pagina Carattere"/>
    <w:basedOn w:val="Carpredefinitoparagrafo"/>
    <w:link w:val="Pidipagina"/>
    <w:uiPriority w:val="99"/>
    <w:rsid w:val="008A4946"/>
    <w:rPr>
      <w:sz w:val="22"/>
      <w:szCs w:val="22"/>
      <w:lang w:val="en-CA"/>
    </w:rPr>
  </w:style>
  <w:style w:type="paragraph" w:styleId="Paragrafoelenco">
    <w:name w:val="List Paragraph"/>
    <w:basedOn w:val="Normale"/>
    <w:uiPriority w:val="34"/>
    <w:qFormat/>
    <w:rsid w:val="00A4687D"/>
    <w:pPr>
      <w:ind w:left="720"/>
      <w:contextualSpacing/>
    </w:pPr>
  </w:style>
  <w:style w:type="paragraph" w:customStyle="1" w:styleId="Default">
    <w:name w:val="Default"/>
    <w:rsid w:val="00BC1517"/>
    <w:pPr>
      <w:autoSpaceDE w:val="0"/>
      <w:autoSpaceDN w:val="0"/>
      <w:adjustRightInd w:val="0"/>
    </w:pPr>
    <w:rPr>
      <w:rFonts w:eastAsiaTheme="minorHAnsi"/>
      <w:color w:val="000000"/>
      <w:sz w:val="24"/>
      <w:szCs w:val="24"/>
      <w14:ligatures w14:val="standardContextual"/>
    </w:rPr>
  </w:style>
  <w:style w:type="character" w:customStyle="1" w:styleId="Titolo2Carattere">
    <w:name w:val="Titolo 2 Carattere"/>
    <w:aliases w:val="SubPara (a) Carattere,Heading 2 Char3 Carattere,Heading 2 Char Char2 Carattere,Heading 2 Char1 Char Char1 Carattere,SubPara (a) Char Char Char1 Carattere,Heading 2 Char Char Char Char1 Carattere,Heading 2 Char2 Carattere"/>
    <w:basedOn w:val="Carpredefinitoparagrafo"/>
    <w:link w:val="Titolo2"/>
    <w:rsid w:val="00987D1F"/>
    <w:rPr>
      <w:sz w:val="22"/>
      <w:szCs w:val="22"/>
      <w:lang w:val="en-CA"/>
    </w:rPr>
  </w:style>
  <w:style w:type="character" w:styleId="Numeropagina">
    <w:name w:val="page number"/>
    <w:basedOn w:val="Carpredefinitoparagrafo"/>
    <w:uiPriority w:val="99"/>
    <w:semiHidden/>
    <w:unhideWhenUsed/>
    <w:rsid w:val="00355E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chrisrenaud/Desktop/F95-Gener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F95-General template.dotm</Template>
  <TotalTime>22</TotalTime>
  <Pages>7</Pages>
  <Words>3685</Words>
  <Characters>21048</Characters>
  <Application>Microsoft Office Word</Application>
  <DocSecurity>0</DocSecurity>
  <Lines>356</Lines>
  <Paragraphs>76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Compte rendu du sous-secteur de l’installation et du montage locaux (décision 93/94(d))</vt:lpstr>
      <vt:lpstr/>
    </vt:vector>
  </TitlesOfParts>
  <Manager/>
  <Company>UNMFS</Company>
  <LinksUpToDate>false</LinksUpToDate>
  <CharactersWithSpaces>24657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Compte rendu du sous-secteur de l’installation et du montage locaux (décision 93/94(d))</dc:title>
  <dc:subject/>
  <dc:creator>Renaud</dc:creator>
  <cp:keywords/>
  <dc:description/>
  <cp:lastModifiedBy>Renato Delcò</cp:lastModifiedBy>
  <cp:revision>154</cp:revision>
  <cp:lastPrinted>2024-11-29T21:15:00Z</cp:lastPrinted>
  <dcterms:created xsi:type="dcterms:W3CDTF">2024-11-29T20:21:00Z</dcterms:created>
  <dcterms:modified xsi:type="dcterms:W3CDTF">2024-11-29T21:16:00Z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UNEP/OzL.Pro/ExCom/95/89</vt:lpwstr>
  </property>
  <property fmtid="{D5CDD505-2E9C-101B-9397-08002B2CF9AE}" pid="3" name="Revision date">
    <vt:lpwstr>11/26/2024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