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4424"/>
        <w:gridCol w:w="3586"/>
      </w:tblGrid>
      <w:tr w:rsidR="002232A4" w:rsidRPr="000B2BD5" w14:paraId="6B5C2FBD" w14:textId="77777777" w:rsidTr="00751C16">
        <w:trPr>
          <w:trHeight w:val="720"/>
        </w:trPr>
        <w:tc>
          <w:tcPr>
            <w:tcW w:w="6494" w:type="dxa"/>
            <w:gridSpan w:val="2"/>
            <w:tcBorders>
              <w:bottom w:val="single" w:sz="18" w:space="0" w:color="auto"/>
            </w:tcBorders>
          </w:tcPr>
          <w:p w14:paraId="532D64EF" w14:textId="77777777" w:rsidR="002232A4" w:rsidRPr="000B2BD5" w:rsidRDefault="002232A4"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es-ES_tradnl"/>
              </w:rPr>
            </w:pPr>
            <w:r w:rsidRPr="000B2BD5">
              <w:rPr>
                <w:rFonts w:ascii="Univers" w:hAnsi="Univers"/>
                <w:b/>
                <w:sz w:val="28"/>
                <w:szCs w:val="28"/>
                <w:lang w:val="es-ES_tradnl"/>
              </w:rPr>
              <w:t>NACIONES</w:t>
            </w:r>
          </w:p>
          <w:p w14:paraId="0F85FC58" w14:textId="77777777" w:rsidR="002232A4" w:rsidRPr="000B2BD5" w:rsidRDefault="002232A4"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s-ES_tradnl"/>
              </w:rPr>
            </w:pPr>
            <w:r w:rsidRPr="000B2BD5">
              <w:rPr>
                <w:rFonts w:ascii="Univers" w:hAnsi="Univers"/>
                <w:b/>
                <w:sz w:val="28"/>
                <w:szCs w:val="28"/>
                <w:lang w:val="es-ES_tradnl"/>
              </w:rPr>
              <w:t>UNIDAS</w:t>
            </w:r>
          </w:p>
        </w:tc>
        <w:tc>
          <w:tcPr>
            <w:tcW w:w="3586" w:type="dxa"/>
            <w:tcBorders>
              <w:bottom w:val="single" w:sz="18" w:space="0" w:color="auto"/>
            </w:tcBorders>
          </w:tcPr>
          <w:p w14:paraId="222E7571" w14:textId="77777777" w:rsidR="002232A4" w:rsidRPr="000B2BD5" w:rsidRDefault="002232A4" w:rsidP="00751C16">
            <w:pPr>
              <w:jc w:val="right"/>
              <w:rPr>
                <w:sz w:val="52"/>
                <w:szCs w:val="52"/>
                <w:lang w:val="es-ES_tradnl"/>
              </w:rPr>
            </w:pPr>
            <w:r w:rsidRPr="000B2BD5">
              <w:rPr>
                <w:rFonts w:ascii="Univers Bold" w:hAnsi="Univers Bold"/>
                <w:b/>
                <w:sz w:val="72"/>
                <w:lang w:val="es-ES_tradnl"/>
              </w:rPr>
              <w:t>EP</w:t>
            </w:r>
          </w:p>
        </w:tc>
      </w:tr>
      <w:tr w:rsidR="002232A4" w:rsidRPr="00A8080E" w14:paraId="7E756E44" w14:textId="77777777" w:rsidTr="00751C16">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AA04EA2" w14:textId="77777777" w:rsidR="002232A4" w:rsidRPr="000B2BD5" w:rsidRDefault="002232A4" w:rsidP="00751C16">
            <w:pPr>
              <w:spacing w:before="120"/>
              <w:rPr>
                <w:lang w:val="es-ES_tradnl"/>
              </w:rPr>
            </w:pPr>
            <w:r w:rsidRPr="000B2BD5">
              <w:rPr>
                <w:noProof/>
                <w:lang w:val="en-US"/>
              </w:rPr>
              <mc:AlternateContent>
                <mc:Choice Requires="wpg">
                  <w:drawing>
                    <wp:anchor distT="0" distB="0" distL="114300" distR="114300" simplePos="0" relativeHeight="251658240" behindDoc="0" locked="0" layoutInCell="1" allowOverlap="1" wp14:anchorId="6CEE817A" wp14:editId="14EA1843">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524B3D3"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4424" w:type="dxa"/>
            <w:tcBorders>
              <w:top w:val="nil"/>
              <w:left w:val="nil"/>
              <w:bottom w:val="single" w:sz="36" w:space="0" w:color="auto"/>
              <w:right w:val="nil"/>
            </w:tcBorders>
          </w:tcPr>
          <w:p w14:paraId="02F58921" w14:textId="77777777" w:rsidR="002232A4" w:rsidRPr="000B2BD5" w:rsidRDefault="002232A4"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p>
          <w:p w14:paraId="209A5629" w14:textId="77777777" w:rsidR="002232A4" w:rsidRPr="000B2BD5" w:rsidRDefault="002232A4"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Programa de las</w:t>
            </w:r>
          </w:p>
          <w:p w14:paraId="5BE82BF3" w14:textId="77777777" w:rsidR="002232A4" w:rsidRPr="000B2BD5" w:rsidRDefault="002232A4"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Naciones Unidas</w:t>
            </w:r>
          </w:p>
          <w:p w14:paraId="74EAFDF0" w14:textId="77777777" w:rsidR="002232A4" w:rsidRPr="000B2BD5" w:rsidRDefault="002232A4" w:rsidP="00751C16">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ES_tradnl"/>
              </w:rPr>
            </w:pPr>
            <w:r w:rsidRPr="000B2BD5">
              <w:rPr>
                <w:rFonts w:ascii="Univers" w:hAnsi="Univers"/>
                <w:b/>
                <w:sz w:val="32"/>
                <w:lang w:val="es-ES_tradnl"/>
              </w:rPr>
              <w:t>para el Medio Ambiente</w:t>
            </w:r>
          </w:p>
          <w:p w14:paraId="761CD945" w14:textId="77777777" w:rsidR="002232A4" w:rsidRPr="000B2BD5" w:rsidRDefault="002232A4" w:rsidP="00751C16">
            <w:pPr>
              <w:spacing w:before="720"/>
              <w:ind w:left="158"/>
              <w:jc w:val="center"/>
              <w:rPr>
                <w:lang w:val="es-ES_tradnl"/>
              </w:rPr>
            </w:pPr>
          </w:p>
        </w:tc>
        <w:tc>
          <w:tcPr>
            <w:tcW w:w="3586" w:type="dxa"/>
            <w:tcBorders>
              <w:top w:val="nil"/>
              <w:left w:val="nil"/>
              <w:bottom w:val="single" w:sz="36" w:space="0" w:color="auto"/>
              <w:right w:val="nil"/>
            </w:tcBorders>
          </w:tcPr>
          <w:p w14:paraId="4BC81A49" w14:textId="77777777" w:rsidR="002232A4" w:rsidRPr="000B2BD5" w:rsidRDefault="002232A4" w:rsidP="00751C16">
            <w:pPr>
              <w:rPr>
                <w:lang w:val="es-ES_tradnl"/>
              </w:rPr>
            </w:pPr>
          </w:p>
          <w:p w14:paraId="56A543DA" w14:textId="77777777" w:rsidR="002232A4" w:rsidRPr="000B2BD5" w:rsidRDefault="002232A4" w:rsidP="00751C16">
            <w:pPr>
              <w:rPr>
                <w:lang w:val="es-ES_tradnl"/>
              </w:rPr>
            </w:pPr>
            <w:r w:rsidRPr="000B2BD5">
              <w:rPr>
                <w:lang w:val="es-ES_tradnl"/>
              </w:rPr>
              <w:t>Distr.</w:t>
            </w:r>
          </w:p>
          <w:p w14:paraId="1D28DA2A" w14:textId="77777777" w:rsidR="002232A4" w:rsidRPr="000B2BD5" w:rsidRDefault="002232A4" w:rsidP="00751C16">
            <w:pPr>
              <w:rPr>
                <w:lang w:val="es-ES_tradnl"/>
              </w:rPr>
            </w:pPr>
            <w:r w:rsidRPr="000B2BD5">
              <w:rPr>
                <w:lang w:val="es-ES_tradnl"/>
              </w:rPr>
              <w:t>GENERAL</w:t>
            </w:r>
          </w:p>
          <w:p w14:paraId="43463A2D" w14:textId="77777777" w:rsidR="002232A4" w:rsidRPr="000B2BD5" w:rsidRDefault="002232A4" w:rsidP="00751C16">
            <w:pPr>
              <w:rPr>
                <w:lang w:val="es-ES_tradnl"/>
              </w:rPr>
            </w:pPr>
          </w:p>
          <w:p w14:paraId="78329DAC" w14:textId="16338212" w:rsidR="002232A4" w:rsidRPr="000B2BD5" w:rsidRDefault="002232A4" w:rsidP="00751C16">
            <w:pPr>
              <w:rPr>
                <w:lang w:val="es-ES_tradnl"/>
              </w:rPr>
            </w:pPr>
            <w:r w:rsidRPr="000B2BD5">
              <w:rPr>
                <w:lang w:val="es-ES_tradnl"/>
              </w:rPr>
              <w:fldChar w:fldCharType="begin"/>
            </w:r>
            <w:r w:rsidRPr="000B2BD5">
              <w:rPr>
                <w:lang w:val="es-ES_tradnl"/>
              </w:rPr>
              <w:instrText xml:space="preserve"> DOCPROPERTY "Document number"  \* MERGEFORMAT </w:instrText>
            </w:r>
            <w:r w:rsidRPr="000B2BD5">
              <w:rPr>
                <w:lang w:val="es-ES_tradnl"/>
              </w:rPr>
              <w:fldChar w:fldCharType="separate"/>
            </w:r>
            <w:r>
              <w:rPr>
                <w:lang w:val="es-ES_tradnl"/>
              </w:rPr>
              <w:t>UNEP/OzL.Pro/ExCom/97/58</w:t>
            </w:r>
            <w:r w:rsidRPr="000B2BD5">
              <w:rPr>
                <w:lang w:val="es-ES_tradnl"/>
              </w:rPr>
              <w:fldChar w:fldCharType="end"/>
            </w:r>
          </w:p>
          <w:p w14:paraId="48D7BAB5" w14:textId="19E4E71A" w:rsidR="002232A4" w:rsidRPr="000B2BD5" w:rsidRDefault="002232A4" w:rsidP="00751C16">
            <w:pPr>
              <w:rPr>
                <w:lang w:val="es-ES_tradnl"/>
              </w:rPr>
            </w:pPr>
            <w:r w:rsidRPr="000B2BD5">
              <w:rPr>
                <w:lang w:val="es-ES_tradnl"/>
              </w:rPr>
              <w:fldChar w:fldCharType="begin"/>
            </w:r>
            <w:r w:rsidRPr="000B2BD5">
              <w:rPr>
                <w:lang w:val="es-ES_tradnl"/>
              </w:rPr>
              <w:instrText xml:space="preserve"> DOCPROPERTY "Revision date" \@ "d MMMM YYYY"  \* MERGEFORMAT </w:instrText>
            </w:r>
            <w:r w:rsidRPr="000B2BD5">
              <w:rPr>
                <w:lang w:val="es-ES_tradnl"/>
              </w:rPr>
              <w:fldChar w:fldCharType="separate"/>
            </w:r>
            <w:r>
              <w:rPr>
                <w:lang w:val="es-ES_tradnl"/>
              </w:rPr>
              <w:t>20</w:t>
            </w:r>
            <w:r w:rsidRPr="000B2BD5">
              <w:rPr>
                <w:lang w:val="es-ES_tradnl"/>
              </w:rPr>
              <w:t xml:space="preserve"> de octubre de 2025</w:t>
            </w:r>
            <w:r w:rsidRPr="000B2BD5">
              <w:rPr>
                <w:lang w:val="es-ES_tradnl"/>
              </w:rPr>
              <w:fldChar w:fldCharType="end"/>
            </w:r>
          </w:p>
          <w:p w14:paraId="172288E6" w14:textId="77777777" w:rsidR="002232A4" w:rsidRPr="000B2BD5" w:rsidRDefault="002232A4" w:rsidP="00751C16">
            <w:pPr>
              <w:rPr>
                <w:caps/>
                <w:lang w:val="es-ES_tradnl"/>
              </w:rPr>
            </w:pPr>
          </w:p>
          <w:p w14:paraId="22EA9C8C" w14:textId="77777777" w:rsidR="002232A4" w:rsidRPr="000B2BD5" w:rsidRDefault="002232A4" w:rsidP="00751C16">
            <w:pPr>
              <w:rPr>
                <w:lang w:val="es-ES_tradnl"/>
              </w:rPr>
            </w:pPr>
            <w:r w:rsidRPr="000B2BD5">
              <w:rPr>
                <w:lang w:val="es-ES_tradnl"/>
              </w:rPr>
              <w:t>ESPAÑOL</w:t>
            </w:r>
          </w:p>
          <w:p w14:paraId="1D847B28" w14:textId="77777777" w:rsidR="002232A4" w:rsidRPr="000B2BD5" w:rsidRDefault="002232A4" w:rsidP="00751C16">
            <w:pPr>
              <w:rPr>
                <w:lang w:val="es-ES_tradnl"/>
              </w:rPr>
            </w:pPr>
            <w:r w:rsidRPr="000B2BD5">
              <w:rPr>
                <w:lang w:val="es-ES_tradnl"/>
              </w:rPr>
              <w:t>ORIGINAL: INGLÉS</w:t>
            </w:r>
          </w:p>
        </w:tc>
      </w:tr>
    </w:tbl>
    <w:p w14:paraId="7A142481" w14:textId="77777777" w:rsidR="002232A4" w:rsidRPr="000B2BD5" w:rsidRDefault="002232A4" w:rsidP="002232A4">
      <w:pPr>
        <w:jc w:val="left"/>
        <w:rPr>
          <w:lang w:val="es-ES_tradnl"/>
        </w:rPr>
      </w:pPr>
      <w:r w:rsidRPr="000B2BD5">
        <w:rPr>
          <w:lang w:val="es-ES_tradnl"/>
        </w:rPr>
        <w:t>COMITÉ EJECUTIVO DEL FONDO MULTILATERAL</w:t>
      </w:r>
      <w:r w:rsidRPr="000B2BD5">
        <w:rPr>
          <w:lang w:val="es-ES_tradnl"/>
        </w:rPr>
        <w:br/>
        <w:t xml:space="preserve"> PARA LA APLICACIÓN DEL</w:t>
      </w:r>
      <w:r w:rsidRPr="000B2BD5">
        <w:rPr>
          <w:lang w:val="es-ES_tradnl"/>
        </w:rPr>
        <w:br/>
        <w:t xml:space="preserve"> PROTOCOLO DE MONTREAL</w:t>
      </w:r>
      <w:r w:rsidRPr="000B2BD5">
        <w:rPr>
          <w:lang w:val="es-ES_tradnl"/>
        </w:rPr>
        <w:br/>
        <w:t>Nonagésima séptima reunión</w:t>
      </w:r>
    </w:p>
    <w:p w14:paraId="71C9682A" w14:textId="77777777" w:rsidR="002232A4" w:rsidRPr="000B2BD5" w:rsidRDefault="002232A4" w:rsidP="002232A4">
      <w:pPr>
        <w:jc w:val="left"/>
        <w:rPr>
          <w:lang w:val="es-ES_tradnl"/>
        </w:rPr>
      </w:pPr>
      <w:r w:rsidRPr="000B2BD5">
        <w:rPr>
          <w:lang w:val="es-ES_tradnl"/>
        </w:rPr>
        <w:t>Montreal, 1-5 de diciembre de 2025</w:t>
      </w:r>
    </w:p>
    <w:p w14:paraId="56AE0479" w14:textId="2B98E3EA" w:rsidR="002232A4" w:rsidRPr="000B2BD5" w:rsidRDefault="002232A4" w:rsidP="002232A4">
      <w:pPr>
        <w:jc w:val="left"/>
        <w:rPr>
          <w:lang w:val="es-ES_tradnl"/>
        </w:rPr>
      </w:pPr>
      <w:r w:rsidRPr="000B2BD5">
        <w:rPr>
          <w:lang w:val="es-ES_tradnl"/>
        </w:rPr>
        <w:t xml:space="preserve">Punto </w:t>
      </w:r>
      <w:r>
        <w:rPr>
          <w:lang w:val="es-ES_tradnl"/>
        </w:rPr>
        <w:t>9</w:t>
      </w:r>
      <w:r w:rsidR="00F00731">
        <w:rPr>
          <w:lang w:val="es-ES_tradnl"/>
        </w:rPr>
        <w:t xml:space="preserve"> </w:t>
      </w:r>
      <w:r>
        <w:rPr>
          <w:lang w:val="es-ES_tradnl"/>
        </w:rPr>
        <w:t>d)</w:t>
      </w:r>
      <w:r w:rsidRPr="000B2BD5">
        <w:rPr>
          <w:lang w:val="es-ES_tradnl"/>
        </w:rPr>
        <w:t xml:space="preserve"> del orden del día provisional</w:t>
      </w:r>
      <w:r w:rsidRPr="000B2BD5">
        <w:rPr>
          <w:rStyle w:val="FootnoteReference"/>
          <w:lang w:val="es-ES_tradnl"/>
        </w:rPr>
        <w:footnoteReference w:id="2"/>
      </w:r>
    </w:p>
    <w:p w14:paraId="69842FB3" w14:textId="77777777" w:rsidR="002232A4" w:rsidRPr="002232A4" w:rsidRDefault="002232A4" w:rsidP="002232A4">
      <w:pPr>
        <w:jc w:val="left"/>
        <w:rPr>
          <w:lang w:val="es-ES_tradnl"/>
        </w:rPr>
      </w:pPr>
    </w:p>
    <w:p w14:paraId="0F26C5CA" w14:textId="77777777" w:rsidR="002232A4" w:rsidRPr="002232A4" w:rsidRDefault="002232A4" w:rsidP="002232A4">
      <w:pPr>
        <w:pStyle w:val="Title1"/>
        <w:rPr>
          <w:lang w:val="es-ES"/>
        </w:rPr>
      </w:pPr>
    </w:p>
    <w:p w14:paraId="5D7E8F1A" w14:textId="77777777" w:rsidR="002232A4" w:rsidRPr="002232A4" w:rsidRDefault="002232A4" w:rsidP="002232A4">
      <w:pPr>
        <w:jc w:val="center"/>
        <w:rPr>
          <w:b/>
          <w:lang w:val="es-ES"/>
        </w:rPr>
      </w:pPr>
    </w:p>
    <w:p w14:paraId="5B44C58A" w14:textId="77777777" w:rsidR="002232A4" w:rsidRPr="002232A4" w:rsidRDefault="002232A4" w:rsidP="002232A4">
      <w:pPr>
        <w:jc w:val="center"/>
        <w:rPr>
          <w:b/>
          <w:lang w:val="es-ES"/>
        </w:rPr>
      </w:pPr>
    </w:p>
    <w:p w14:paraId="785B2AF4" w14:textId="62FF17B7" w:rsidR="002232A4" w:rsidRPr="00F00731" w:rsidRDefault="002232A4" w:rsidP="002232A4">
      <w:pPr>
        <w:jc w:val="center"/>
        <w:rPr>
          <w:b/>
          <w:lang w:val="es-ES"/>
        </w:rPr>
      </w:pPr>
      <w:r w:rsidRPr="00F00731">
        <w:rPr>
          <w:b/>
          <w:lang w:val="es-ES"/>
        </w:rPr>
        <w:t xml:space="preserve">PROPUESTA DE PROYECTO: </w:t>
      </w:r>
      <w:r w:rsidRPr="00F00731">
        <w:rPr>
          <w:b/>
          <w:bCs/>
          <w:lang w:val="es-419"/>
        </w:rPr>
        <w:t>MALÍ</w:t>
      </w:r>
    </w:p>
    <w:p w14:paraId="5C8BBB17" w14:textId="77777777" w:rsidR="002232A4" w:rsidRPr="00F00731" w:rsidRDefault="002232A4" w:rsidP="002232A4">
      <w:pPr>
        <w:rPr>
          <w:lang w:val="es-ES"/>
        </w:rPr>
      </w:pPr>
    </w:p>
    <w:p w14:paraId="77954349" w14:textId="77777777" w:rsidR="002232A4" w:rsidRPr="00F00731" w:rsidRDefault="002232A4" w:rsidP="002232A4">
      <w:pPr>
        <w:rPr>
          <w:lang w:val="es-ES"/>
        </w:rPr>
      </w:pPr>
    </w:p>
    <w:p w14:paraId="344330DF" w14:textId="77777777" w:rsidR="002232A4" w:rsidRPr="00F00731" w:rsidRDefault="002232A4" w:rsidP="002232A4">
      <w:pPr>
        <w:ind w:firstLine="720"/>
        <w:rPr>
          <w:lang w:val="es-ES"/>
        </w:rPr>
      </w:pPr>
      <w:r w:rsidRPr="00F00731">
        <w:rPr>
          <w:lang w:val="es-ES"/>
        </w:rPr>
        <w:t>Este documento consiste en las observaciones y la recomendación de la Secretaría sobre la siguiente propuesta de proyecto:</w:t>
      </w:r>
    </w:p>
    <w:p w14:paraId="10B69D7A" w14:textId="77777777" w:rsidR="002232A4" w:rsidRPr="00F00731" w:rsidRDefault="002232A4" w:rsidP="002232A4">
      <w:pPr>
        <w:spacing w:before="240" w:after="240"/>
        <w:rPr>
          <w:u w:val="single"/>
          <w:lang w:val="es-ES"/>
        </w:rPr>
      </w:pPr>
      <w:r w:rsidRPr="00F00731">
        <w:rPr>
          <w:u w:val="single"/>
          <w:lang w:val="es-ES"/>
        </w:rPr>
        <w:t>Reducción</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71"/>
        <w:gridCol w:w="2749"/>
        <w:gridCol w:w="1440"/>
      </w:tblGrid>
      <w:tr w:rsidR="002232A4" w:rsidRPr="00F00731" w14:paraId="2C7B2F8D" w14:textId="77777777" w:rsidTr="0006511A">
        <w:trPr>
          <w:trHeight w:val="601"/>
        </w:trPr>
        <w:tc>
          <w:tcPr>
            <w:tcW w:w="5171" w:type="dxa"/>
          </w:tcPr>
          <w:p w14:paraId="48C40937" w14:textId="3576D757" w:rsidR="002232A4" w:rsidRPr="00F00731" w:rsidRDefault="00A8080E" w:rsidP="00092AB2">
            <w:pPr>
              <w:pStyle w:val="ListParagraph"/>
              <w:numPr>
                <w:ilvl w:val="0"/>
                <w:numId w:val="7"/>
              </w:numPr>
              <w:ind w:hanging="830"/>
              <w:jc w:val="left"/>
              <w:rPr>
                <w:lang w:val="fr-CA"/>
              </w:rPr>
            </w:pPr>
            <w:r>
              <w:rPr>
                <w:lang w:val="es-419"/>
              </w:rPr>
              <w:t>P</w:t>
            </w:r>
            <w:r w:rsidRPr="002232A4">
              <w:rPr>
                <w:lang w:val="es-419"/>
              </w:rPr>
              <w:t xml:space="preserve">lan de gestión de la eliminación de los HCFC </w:t>
            </w:r>
            <w:r w:rsidR="002232A4" w:rsidRPr="00F00731">
              <w:rPr>
                <w:lang w:val="fr-CA"/>
              </w:rPr>
              <w:t>(</w:t>
            </w:r>
            <w:r w:rsidR="002232A4" w:rsidRPr="00F00731">
              <w:rPr>
                <w:shd w:val="clear" w:color="auto" w:fill="FFFFFF" w:themeFill="background1"/>
                <w:lang w:val="fr-CA"/>
              </w:rPr>
              <w:t>etapa II, primer tramo</w:t>
            </w:r>
            <w:r w:rsidR="002232A4" w:rsidRPr="00F00731">
              <w:rPr>
                <w:lang w:val="fr-CA"/>
              </w:rPr>
              <w:t>)</w:t>
            </w:r>
          </w:p>
        </w:tc>
        <w:tc>
          <w:tcPr>
            <w:tcW w:w="2749" w:type="dxa"/>
          </w:tcPr>
          <w:p w14:paraId="23A27027" w14:textId="7EBE43A9" w:rsidR="002232A4" w:rsidRPr="00F00731" w:rsidRDefault="0006511A" w:rsidP="00751C16">
            <w:pPr>
              <w:ind w:left="393" w:right="345" w:hanging="363"/>
              <w:jc w:val="center"/>
              <w:rPr>
                <w:lang w:val="es-ES"/>
              </w:rPr>
            </w:pPr>
            <w:r>
              <w:rPr>
                <w:lang w:val="es-ES"/>
              </w:rPr>
              <w:t xml:space="preserve">     </w:t>
            </w:r>
            <w:r w:rsidR="002232A4" w:rsidRPr="00F00731">
              <w:rPr>
                <w:lang w:val="es-ES"/>
              </w:rPr>
              <w:t xml:space="preserve">PNUMA y PNUD </w:t>
            </w:r>
          </w:p>
        </w:tc>
        <w:tc>
          <w:tcPr>
            <w:tcW w:w="1440" w:type="dxa"/>
          </w:tcPr>
          <w:p w14:paraId="29B55499" w14:textId="77777777" w:rsidR="002232A4" w:rsidRPr="00F00731" w:rsidRDefault="002232A4" w:rsidP="00751C16">
            <w:pPr>
              <w:ind w:left="-395" w:right="-105"/>
              <w:jc w:val="right"/>
              <w:rPr>
                <w:lang w:val="es-ES"/>
              </w:rPr>
            </w:pPr>
            <w:r w:rsidRPr="00F00731">
              <w:rPr>
                <w:lang w:val="es-ES"/>
              </w:rPr>
              <w:t>Consideración individual</w:t>
            </w:r>
          </w:p>
        </w:tc>
      </w:tr>
    </w:tbl>
    <w:p w14:paraId="0CDBF005" w14:textId="77777777" w:rsidR="002232A4" w:rsidRPr="00F00731" w:rsidRDefault="002232A4" w:rsidP="002232A4">
      <w:pPr>
        <w:pStyle w:val="Heading1"/>
        <w:numPr>
          <w:ilvl w:val="0"/>
          <w:numId w:val="0"/>
        </w:numPr>
        <w:tabs>
          <w:tab w:val="left" w:pos="1280"/>
        </w:tabs>
        <w:ind w:right="-180"/>
        <w:rPr>
          <w:lang w:val="es-ES"/>
        </w:rPr>
      </w:pPr>
    </w:p>
    <w:p w14:paraId="6C93A157" w14:textId="77777777" w:rsidR="002232A4" w:rsidRPr="002232A4" w:rsidRDefault="002232A4" w:rsidP="002232A4">
      <w:pPr>
        <w:pStyle w:val="Heading1"/>
        <w:numPr>
          <w:ilvl w:val="0"/>
          <w:numId w:val="0"/>
        </w:numPr>
        <w:tabs>
          <w:tab w:val="left" w:pos="1280"/>
        </w:tabs>
      </w:pPr>
    </w:p>
    <w:p w14:paraId="76A18947" w14:textId="77777777" w:rsidR="002232A4" w:rsidRPr="002232A4" w:rsidRDefault="002232A4" w:rsidP="002232A4">
      <w:pPr>
        <w:jc w:val="center"/>
      </w:pPr>
    </w:p>
    <w:p w14:paraId="2E1C609B" w14:textId="77777777" w:rsidR="002232A4" w:rsidRPr="002232A4" w:rsidRDefault="002232A4" w:rsidP="002232A4">
      <w:pPr>
        <w:jc w:val="center"/>
      </w:pPr>
    </w:p>
    <w:p w14:paraId="11B2DEDF" w14:textId="77777777" w:rsidR="002232A4" w:rsidRPr="002232A4" w:rsidRDefault="002232A4" w:rsidP="002232A4">
      <w:pPr>
        <w:jc w:val="center"/>
      </w:pPr>
    </w:p>
    <w:p w14:paraId="161CCC35" w14:textId="77777777" w:rsidR="002232A4" w:rsidRPr="002232A4" w:rsidRDefault="002232A4" w:rsidP="002232A4">
      <w:pPr>
        <w:pStyle w:val="StyleHeader4Para4Left0Firstline0"/>
        <w:numPr>
          <w:ilvl w:val="0"/>
          <w:numId w:val="0"/>
        </w:numPr>
        <w:tabs>
          <w:tab w:val="clear" w:pos="2880"/>
          <w:tab w:val="clear" w:pos="5760"/>
        </w:tabs>
        <w:jc w:val="left"/>
        <w:rPr>
          <w:b/>
          <w:sz w:val="22"/>
        </w:rPr>
      </w:pPr>
      <w:r w:rsidRPr="002232A4">
        <w:rPr>
          <w:b/>
          <w:sz w:val="22"/>
        </w:rPr>
        <w:br w:type="page"/>
      </w:r>
    </w:p>
    <w:p w14:paraId="69D2D3C2" w14:textId="77777777" w:rsidR="002232A4" w:rsidRPr="002232A4" w:rsidRDefault="002232A4" w:rsidP="002232A4">
      <w:pPr>
        <w:spacing w:after="120"/>
        <w:jc w:val="center"/>
        <w:rPr>
          <w:b/>
          <w:lang w:val="es-ES"/>
        </w:rPr>
      </w:pPr>
      <w:r w:rsidRPr="002232A4">
        <w:rPr>
          <w:b/>
          <w:lang w:val="es-ES"/>
        </w:rPr>
        <w:lastRenderedPageBreak/>
        <w:t>HOJA DE EVALUACIÓN DE PROYECTOS – PROYECTOS PLURIANUALES</w:t>
      </w:r>
    </w:p>
    <w:p w14:paraId="5812B6C1" w14:textId="17A0AF33" w:rsidR="002232A4" w:rsidRPr="002232A4" w:rsidRDefault="002232A4" w:rsidP="00F00731">
      <w:pPr>
        <w:spacing w:after="120"/>
        <w:jc w:val="center"/>
        <w:rPr>
          <w:b/>
          <w:bCs/>
        </w:rPr>
      </w:pPr>
      <w:r w:rsidRPr="002232A4">
        <w:rPr>
          <w:b/>
          <w:bCs/>
          <w:lang w:val="es-419"/>
        </w:rPr>
        <w:t>Malí</w:t>
      </w:r>
    </w:p>
    <w:tbl>
      <w:tblPr>
        <w:tblStyle w:val="TableGrid"/>
        <w:tblW w:w="5958" w:type="pct"/>
        <w:tblInd w:w="-896" w:type="dxa"/>
        <w:tblCellMar>
          <w:top w:w="28" w:type="dxa"/>
          <w:bottom w:w="28" w:type="dxa"/>
        </w:tblCellMar>
        <w:tblLook w:val="04A0" w:firstRow="1" w:lastRow="0" w:firstColumn="1" w:lastColumn="0" w:noHBand="0" w:noVBand="1"/>
      </w:tblPr>
      <w:tblGrid>
        <w:gridCol w:w="5662"/>
        <w:gridCol w:w="5479"/>
      </w:tblGrid>
      <w:tr w:rsidR="002232A4" w:rsidRPr="002232A4" w14:paraId="61649417" w14:textId="77777777" w:rsidTr="00F00731">
        <w:trPr>
          <w:trHeight w:val="248"/>
        </w:trPr>
        <w:tc>
          <w:tcPr>
            <w:tcW w:w="2541" w:type="pct"/>
          </w:tcPr>
          <w:p w14:paraId="60F9FEED" w14:textId="77777777" w:rsidR="002232A4" w:rsidRPr="002232A4" w:rsidRDefault="002232A4" w:rsidP="00751C16">
            <w:pPr>
              <w:rPr>
                <w:b/>
                <w:sz w:val="18"/>
                <w:szCs w:val="18"/>
              </w:rPr>
            </w:pPr>
            <w:r w:rsidRPr="002232A4">
              <w:rPr>
                <w:b/>
                <w:sz w:val="18"/>
                <w:szCs w:val="18"/>
                <w:lang w:val="es-ES"/>
              </w:rPr>
              <w:t>TÍTULO DEL PROYECTO</w:t>
            </w:r>
          </w:p>
        </w:tc>
        <w:tc>
          <w:tcPr>
            <w:tcW w:w="2459" w:type="pct"/>
          </w:tcPr>
          <w:p w14:paraId="71B5AAC1" w14:textId="77777777" w:rsidR="002232A4" w:rsidRPr="002232A4" w:rsidRDefault="002232A4" w:rsidP="00751C16">
            <w:pPr>
              <w:ind w:right="-117"/>
              <w:jc w:val="center"/>
              <w:rPr>
                <w:b/>
                <w:sz w:val="18"/>
                <w:szCs w:val="18"/>
              </w:rPr>
            </w:pPr>
            <w:r w:rsidRPr="002232A4">
              <w:rPr>
                <w:b/>
                <w:sz w:val="18"/>
                <w:szCs w:val="18"/>
                <w:lang w:val="es-ES"/>
              </w:rPr>
              <w:t>ORGANISMO</w:t>
            </w:r>
          </w:p>
        </w:tc>
      </w:tr>
      <w:tr w:rsidR="002232A4" w:rsidRPr="002232A4" w14:paraId="4A07AE1B" w14:textId="77777777" w:rsidTr="00F00731">
        <w:trPr>
          <w:trHeight w:val="40"/>
        </w:trPr>
        <w:tc>
          <w:tcPr>
            <w:tcW w:w="2541" w:type="pct"/>
            <w:vAlign w:val="center"/>
          </w:tcPr>
          <w:p w14:paraId="6A92186F" w14:textId="5098C540" w:rsidR="002232A4" w:rsidRPr="002232A4" w:rsidRDefault="0006511A" w:rsidP="00751C16">
            <w:pPr>
              <w:jc w:val="center"/>
              <w:rPr>
                <w:sz w:val="18"/>
                <w:szCs w:val="18"/>
                <w:lang w:val="fr-CA"/>
              </w:rPr>
            </w:pPr>
            <w:r w:rsidRPr="0006511A">
              <w:rPr>
                <w:sz w:val="18"/>
                <w:szCs w:val="18"/>
                <w:lang w:val="es-ES"/>
              </w:rPr>
              <w:t>Plan de gestión de la eliminación de los HCFC</w:t>
            </w:r>
            <w:r w:rsidRPr="002232A4">
              <w:rPr>
                <w:lang w:val="es-419"/>
              </w:rPr>
              <w:t xml:space="preserve"> </w:t>
            </w:r>
            <w:r w:rsidR="002232A4" w:rsidRPr="002232A4">
              <w:rPr>
                <w:sz w:val="18"/>
                <w:szCs w:val="18"/>
                <w:lang w:val="es-ES"/>
              </w:rPr>
              <w:t>(etapa I</w:t>
            </w:r>
            <w:r w:rsidR="002232A4">
              <w:rPr>
                <w:sz w:val="18"/>
                <w:szCs w:val="18"/>
                <w:lang w:val="es-ES"/>
              </w:rPr>
              <w:t>I</w:t>
            </w:r>
            <w:r w:rsidR="002232A4" w:rsidRPr="002232A4">
              <w:rPr>
                <w:sz w:val="18"/>
                <w:szCs w:val="18"/>
                <w:lang w:val="es-ES"/>
              </w:rPr>
              <w:t>)</w:t>
            </w:r>
          </w:p>
        </w:tc>
        <w:tc>
          <w:tcPr>
            <w:tcW w:w="2459" w:type="pct"/>
            <w:vAlign w:val="center"/>
          </w:tcPr>
          <w:p w14:paraId="01C0519D" w14:textId="77777777" w:rsidR="002232A4" w:rsidRPr="002232A4" w:rsidRDefault="002232A4" w:rsidP="00751C16">
            <w:pPr>
              <w:jc w:val="center"/>
              <w:rPr>
                <w:sz w:val="18"/>
                <w:szCs w:val="18"/>
              </w:rPr>
            </w:pPr>
            <w:r w:rsidRPr="002232A4">
              <w:rPr>
                <w:sz w:val="18"/>
                <w:szCs w:val="18"/>
                <w:lang w:val="es-ES"/>
              </w:rPr>
              <w:t>PNUMA (principal), PNUD</w:t>
            </w:r>
          </w:p>
        </w:tc>
      </w:tr>
    </w:tbl>
    <w:p w14:paraId="23AF12E3" w14:textId="77777777" w:rsidR="002232A4" w:rsidRPr="00F00731" w:rsidRDefault="002232A4" w:rsidP="002232A4">
      <w:pPr>
        <w:jc w:val="center"/>
        <w:rPr>
          <w:sz w:val="16"/>
          <w:szCs w:val="16"/>
        </w:rPr>
      </w:pPr>
    </w:p>
    <w:tbl>
      <w:tblPr>
        <w:tblStyle w:val="TableGrid"/>
        <w:tblW w:w="5973" w:type="pct"/>
        <w:tblInd w:w="-905" w:type="dxa"/>
        <w:tblCellMar>
          <w:top w:w="28" w:type="dxa"/>
          <w:bottom w:w="28" w:type="dxa"/>
        </w:tblCellMar>
        <w:tblLook w:val="04A0" w:firstRow="1" w:lastRow="0" w:firstColumn="1" w:lastColumn="0" w:noHBand="0" w:noVBand="1"/>
      </w:tblPr>
      <w:tblGrid>
        <w:gridCol w:w="5669"/>
        <w:gridCol w:w="2612"/>
        <w:gridCol w:w="2889"/>
      </w:tblGrid>
      <w:tr w:rsidR="002232A4" w:rsidRPr="002232A4" w14:paraId="4BC027E9" w14:textId="77777777" w:rsidTr="002232A4">
        <w:trPr>
          <w:trHeight w:val="77"/>
        </w:trPr>
        <w:tc>
          <w:tcPr>
            <w:tcW w:w="2538" w:type="pct"/>
          </w:tcPr>
          <w:p w14:paraId="0E74471D" w14:textId="77777777" w:rsidR="002232A4" w:rsidRPr="002232A4" w:rsidRDefault="002232A4" w:rsidP="00751C16">
            <w:pPr>
              <w:jc w:val="left"/>
              <w:rPr>
                <w:b/>
                <w:sz w:val="18"/>
                <w:szCs w:val="18"/>
              </w:rPr>
            </w:pPr>
            <w:r w:rsidRPr="002232A4">
              <w:rPr>
                <w:b/>
                <w:sz w:val="18"/>
                <w:szCs w:val="18"/>
                <w:lang w:val="es-ES"/>
              </w:rPr>
              <w:t>DATOS MÁS RECIENTES CON ARREGLO AL ARTÍCULO 7 (Anexo F)</w:t>
            </w:r>
          </w:p>
        </w:tc>
        <w:tc>
          <w:tcPr>
            <w:tcW w:w="1169" w:type="pct"/>
          </w:tcPr>
          <w:p w14:paraId="2494CA8E" w14:textId="372E99A2" w:rsidR="002232A4" w:rsidRPr="002232A4" w:rsidRDefault="002232A4" w:rsidP="002232A4">
            <w:pPr>
              <w:ind w:left="-109"/>
              <w:jc w:val="center"/>
              <w:rPr>
                <w:sz w:val="18"/>
                <w:szCs w:val="18"/>
              </w:rPr>
            </w:pPr>
            <w:r w:rsidRPr="002232A4">
              <w:rPr>
                <w:bCs/>
                <w:sz w:val="18"/>
                <w:szCs w:val="18"/>
                <w:lang w:val="es-ES"/>
              </w:rPr>
              <w:t>Año:</w:t>
            </w:r>
            <w:r w:rsidRPr="002232A4">
              <w:rPr>
                <w:sz w:val="18"/>
                <w:szCs w:val="18"/>
                <w:lang w:val="es-ES"/>
              </w:rPr>
              <w:t xml:space="preserve"> </w:t>
            </w:r>
            <w:r w:rsidRPr="002232A4">
              <w:rPr>
                <w:sz w:val="18"/>
                <w:szCs w:val="18"/>
              </w:rPr>
              <w:t>2024</w:t>
            </w:r>
          </w:p>
        </w:tc>
        <w:tc>
          <w:tcPr>
            <w:tcW w:w="1293" w:type="pct"/>
          </w:tcPr>
          <w:p w14:paraId="7B2B6B4B" w14:textId="01C2AA8C" w:rsidR="002232A4" w:rsidRPr="002232A4" w:rsidRDefault="002232A4" w:rsidP="00751C16">
            <w:pPr>
              <w:ind w:right="-118"/>
              <w:jc w:val="center"/>
              <w:rPr>
                <w:sz w:val="18"/>
                <w:szCs w:val="18"/>
              </w:rPr>
            </w:pPr>
            <w:r>
              <w:rPr>
                <w:sz w:val="18"/>
                <w:szCs w:val="18"/>
              </w:rPr>
              <w:t>4,40</w:t>
            </w:r>
            <w:r w:rsidRPr="002232A4">
              <w:rPr>
                <w:sz w:val="18"/>
                <w:szCs w:val="18"/>
              </w:rPr>
              <w:t xml:space="preserve"> </w:t>
            </w:r>
            <w:r w:rsidRPr="002232A4">
              <w:rPr>
                <w:sz w:val="18"/>
                <w:szCs w:val="18"/>
                <w:lang w:val="es-ES"/>
              </w:rPr>
              <w:t>toneladas eq. de CO</w:t>
            </w:r>
            <w:r w:rsidRPr="002232A4">
              <w:rPr>
                <w:sz w:val="18"/>
                <w:szCs w:val="18"/>
                <w:vertAlign w:val="subscript"/>
                <w:lang w:val="es-ES"/>
              </w:rPr>
              <w:t>2</w:t>
            </w:r>
          </w:p>
        </w:tc>
      </w:tr>
    </w:tbl>
    <w:p w14:paraId="25C805AA" w14:textId="77777777" w:rsidR="002232A4" w:rsidRPr="00F00731" w:rsidRDefault="002232A4" w:rsidP="002232A4">
      <w:pPr>
        <w:jc w:val="center"/>
        <w:rPr>
          <w:sz w:val="16"/>
          <w:szCs w:val="16"/>
        </w:rPr>
      </w:pPr>
    </w:p>
    <w:tbl>
      <w:tblPr>
        <w:tblStyle w:val="TableGrid"/>
        <w:tblW w:w="5964" w:type="pct"/>
        <w:tblInd w:w="-905" w:type="dxa"/>
        <w:tblLayout w:type="fixed"/>
        <w:tblLook w:val="04A0" w:firstRow="1" w:lastRow="0" w:firstColumn="1" w:lastColumn="0" w:noHBand="0" w:noVBand="1"/>
      </w:tblPr>
      <w:tblGrid>
        <w:gridCol w:w="1925"/>
        <w:gridCol w:w="743"/>
        <w:gridCol w:w="1019"/>
        <w:gridCol w:w="1118"/>
        <w:gridCol w:w="1488"/>
        <w:gridCol w:w="1024"/>
        <w:gridCol w:w="836"/>
        <w:gridCol w:w="1031"/>
        <w:gridCol w:w="834"/>
        <w:gridCol w:w="1135"/>
      </w:tblGrid>
      <w:tr w:rsidR="000C361F" w:rsidRPr="00122AA3" w14:paraId="18207502" w14:textId="77777777" w:rsidTr="000C361F">
        <w:trPr>
          <w:trHeight w:val="129"/>
        </w:trPr>
        <w:tc>
          <w:tcPr>
            <w:tcW w:w="4116" w:type="pct"/>
            <w:gridSpan w:val="8"/>
          </w:tcPr>
          <w:p w14:paraId="2FB8CAA3" w14:textId="77777777" w:rsidR="000C361F" w:rsidRPr="0068318B" w:rsidRDefault="000C361F" w:rsidP="00751C16">
            <w:pPr>
              <w:jc w:val="left"/>
              <w:rPr>
                <w:b/>
                <w:sz w:val="20"/>
                <w:lang w:val="fr-CA"/>
              </w:rPr>
            </w:pPr>
            <w:r w:rsidRPr="0068318B">
              <w:rPr>
                <w:b/>
                <w:sz w:val="20"/>
                <w:lang w:val="fr-CA"/>
              </w:rPr>
              <w:t>III) DATOS SECTORIALES MÁS RECIENTES DEL PROGRAMA PAÍS (tons. PAO)</w:t>
            </w:r>
          </w:p>
        </w:tc>
        <w:tc>
          <w:tcPr>
            <w:tcW w:w="884" w:type="pct"/>
            <w:gridSpan w:val="2"/>
          </w:tcPr>
          <w:p w14:paraId="5F429379" w14:textId="77777777" w:rsidR="000C361F" w:rsidRPr="00122AA3" w:rsidRDefault="000C361F" w:rsidP="00751C16">
            <w:pPr>
              <w:spacing w:after="60"/>
              <w:jc w:val="right"/>
              <w:rPr>
                <w:b/>
                <w:sz w:val="20"/>
              </w:rPr>
            </w:pPr>
            <w:r w:rsidRPr="007948D7">
              <w:rPr>
                <w:b/>
                <w:sz w:val="20"/>
              </w:rPr>
              <w:t xml:space="preserve">Año: </w:t>
            </w:r>
            <w:r w:rsidRPr="007948D7">
              <w:rPr>
                <w:b/>
                <w:color w:val="000000" w:themeColor="text1"/>
                <w:sz w:val="20"/>
              </w:rPr>
              <w:t>2024</w:t>
            </w:r>
          </w:p>
        </w:tc>
      </w:tr>
      <w:tr w:rsidR="000C361F" w:rsidRPr="00122AA3" w14:paraId="3290F101" w14:textId="77777777" w:rsidTr="000C361F">
        <w:trPr>
          <w:trHeight w:val="251"/>
        </w:trPr>
        <w:tc>
          <w:tcPr>
            <w:tcW w:w="863" w:type="pct"/>
            <w:vAlign w:val="center"/>
          </w:tcPr>
          <w:p w14:paraId="30357E5B" w14:textId="77777777" w:rsidR="000C361F" w:rsidRPr="00122AA3" w:rsidRDefault="000C361F" w:rsidP="00751C16">
            <w:pPr>
              <w:spacing w:after="60"/>
              <w:jc w:val="center"/>
              <w:rPr>
                <w:sz w:val="20"/>
              </w:rPr>
            </w:pPr>
            <w:r w:rsidRPr="007948D7">
              <w:rPr>
                <w:sz w:val="20"/>
              </w:rPr>
              <w:t>Producto químico</w:t>
            </w:r>
          </w:p>
        </w:tc>
        <w:tc>
          <w:tcPr>
            <w:tcW w:w="333" w:type="pct"/>
            <w:vAlign w:val="center"/>
          </w:tcPr>
          <w:p w14:paraId="0F3D3E7B" w14:textId="77777777" w:rsidR="000C361F" w:rsidRPr="00122AA3" w:rsidRDefault="000C361F" w:rsidP="00751C16">
            <w:pPr>
              <w:spacing w:after="60"/>
              <w:ind w:left="-106" w:right="-97"/>
              <w:jc w:val="center"/>
              <w:rPr>
                <w:sz w:val="20"/>
              </w:rPr>
            </w:pPr>
            <w:r w:rsidRPr="007948D7">
              <w:rPr>
                <w:sz w:val="20"/>
              </w:rPr>
              <w:t>Aerosol</w:t>
            </w:r>
          </w:p>
        </w:tc>
        <w:tc>
          <w:tcPr>
            <w:tcW w:w="457" w:type="pct"/>
            <w:vAlign w:val="center"/>
          </w:tcPr>
          <w:p w14:paraId="3B92AADB" w14:textId="77777777" w:rsidR="000C361F" w:rsidRPr="00122AA3" w:rsidRDefault="000C361F" w:rsidP="00751C16">
            <w:pPr>
              <w:spacing w:after="60"/>
              <w:jc w:val="center"/>
              <w:rPr>
                <w:sz w:val="20"/>
              </w:rPr>
            </w:pPr>
            <w:r w:rsidRPr="007948D7">
              <w:rPr>
                <w:sz w:val="20"/>
              </w:rPr>
              <w:t>Espuma</w:t>
            </w:r>
          </w:p>
        </w:tc>
        <w:tc>
          <w:tcPr>
            <w:tcW w:w="501" w:type="pct"/>
            <w:vAlign w:val="center"/>
          </w:tcPr>
          <w:p w14:paraId="04B179EA" w14:textId="77777777" w:rsidR="000C361F" w:rsidRPr="00122AA3" w:rsidRDefault="000C361F" w:rsidP="00751C16">
            <w:pPr>
              <w:spacing w:after="60"/>
              <w:ind w:left="-106" w:right="-112"/>
              <w:jc w:val="center"/>
              <w:rPr>
                <w:sz w:val="20"/>
              </w:rPr>
            </w:pPr>
            <w:r w:rsidRPr="007948D7">
              <w:rPr>
                <w:sz w:val="20"/>
              </w:rPr>
              <w:t>Extinción de incendios</w:t>
            </w:r>
          </w:p>
        </w:tc>
        <w:tc>
          <w:tcPr>
            <w:tcW w:w="1126" w:type="pct"/>
            <w:gridSpan w:val="2"/>
            <w:vAlign w:val="center"/>
          </w:tcPr>
          <w:p w14:paraId="279EBE22" w14:textId="77777777" w:rsidR="000C361F" w:rsidRPr="00122AA3" w:rsidRDefault="000C361F" w:rsidP="00751C16">
            <w:pPr>
              <w:spacing w:after="60"/>
              <w:jc w:val="center"/>
              <w:rPr>
                <w:sz w:val="20"/>
              </w:rPr>
            </w:pPr>
            <w:r w:rsidRPr="007948D7">
              <w:rPr>
                <w:sz w:val="20"/>
              </w:rPr>
              <w:t>Refrigeración</w:t>
            </w:r>
          </w:p>
        </w:tc>
        <w:tc>
          <w:tcPr>
            <w:tcW w:w="375" w:type="pct"/>
            <w:vAlign w:val="center"/>
          </w:tcPr>
          <w:p w14:paraId="0FF0D3B4" w14:textId="77777777" w:rsidR="000C361F" w:rsidRPr="00122AA3" w:rsidRDefault="000C361F" w:rsidP="00751C16">
            <w:pPr>
              <w:spacing w:after="60"/>
              <w:ind w:left="-106" w:right="-105"/>
              <w:jc w:val="center"/>
              <w:rPr>
                <w:sz w:val="20"/>
              </w:rPr>
            </w:pPr>
            <w:r w:rsidRPr="007948D7">
              <w:rPr>
                <w:sz w:val="20"/>
              </w:rPr>
              <w:t>Solvente</w:t>
            </w:r>
          </w:p>
        </w:tc>
        <w:tc>
          <w:tcPr>
            <w:tcW w:w="462" w:type="pct"/>
            <w:vAlign w:val="center"/>
          </w:tcPr>
          <w:p w14:paraId="24F66075" w14:textId="77777777" w:rsidR="000C361F" w:rsidRPr="00122AA3" w:rsidRDefault="000C361F" w:rsidP="00751C16">
            <w:pPr>
              <w:spacing w:after="60"/>
              <w:jc w:val="center"/>
              <w:rPr>
                <w:sz w:val="20"/>
              </w:rPr>
            </w:pPr>
            <w:r w:rsidRPr="007948D7">
              <w:rPr>
                <w:sz w:val="20"/>
              </w:rPr>
              <w:t>Agente de procesos</w:t>
            </w:r>
          </w:p>
        </w:tc>
        <w:tc>
          <w:tcPr>
            <w:tcW w:w="374" w:type="pct"/>
            <w:vAlign w:val="center"/>
          </w:tcPr>
          <w:p w14:paraId="1ADF2799" w14:textId="77777777" w:rsidR="000C361F" w:rsidRPr="00122AA3" w:rsidRDefault="000C361F" w:rsidP="00751C16">
            <w:pPr>
              <w:spacing w:after="60"/>
              <w:jc w:val="center"/>
              <w:rPr>
                <w:sz w:val="20"/>
              </w:rPr>
            </w:pPr>
            <w:r w:rsidRPr="007948D7">
              <w:rPr>
                <w:sz w:val="20"/>
              </w:rPr>
              <w:t>Uso en lab.</w:t>
            </w:r>
          </w:p>
        </w:tc>
        <w:tc>
          <w:tcPr>
            <w:tcW w:w="510" w:type="pct"/>
            <w:vAlign w:val="center"/>
          </w:tcPr>
          <w:p w14:paraId="7DFEC9CE" w14:textId="77777777" w:rsidR="000C361F" w:rsidRPr="00122AA3" w:rsidRDefault="000C361F" w:rsidP="00751C16">
            <w:pPr>
              <w:spacing w:after="60"/>
              <w:jc w:val="center"/>
              <w:rPr>
                <w:sz w:val="20"/>
              </w:rPr>
            </w:pPr>
            <w:r w:rsidRPr="007948D7">
              <w:rPr>
                <w:sz w:val="20"/>
              </w:rPr>
              <w:t>Consumo total del sector</w:t>
            </w:r>
          </w:p>
        </w:tc>
      </w:tr>
      <w:tr w:rsidR="000C361F" w:rsidRPr="00122AA3" w14:paraId="676A74DB" w14:textId="77777777" w:rsidTr="000C361F">
        <w:trPr>
          <w:trHeight w:val="155"/>
        </w:trPr>
        <w:tc>
          <w:tcPr>
            <w:tcW w:w="2154" w:type="pct"/>
            <w:gridSpan w:val="4"/>
            <w:vAlign w:val="center"/>
          </w:tcPr>
          <w:p w14:paraId="7D7A6EEE" w14:textId="77777777" w:rsidR="000C361F" w:rsidRPr="00122AA3" w:rsidRDefault="000C361F" w:rsidP="00751C16">
            <w:pPr>
              <w:spacing w:after="60"/>
              <w:jc w:val="center"/>
              <w:rPr>
                <w:sz w:val="20"/>
              </w:rPr>
            </w:pPr>
          </w:p>
        </w:tc>
        <w:tc>
          <w:tcPr>
            <w:tcW w:w="667" w:type="pct"/>
            <w:vAlign w:val="center"/>
          </w:tcPr>
          <w:p w14:paraId="5CFE89CF" w14:textId="77777777" w:rsidR="000C361F" w:rsidRPr="00122AA3" w:rsidRDefault="000C361F" w:rsidP="00751C16">
            <w:pPr>
              <w:spacing w:after="60"/>
              <w:ind w:left="-83" w:right="-68"/>
              <w:jc w:val="center"/>
              <w:rPr>
                <w:sz w:val="20"/>
              </w:rPr>
            </w:pPr>
            <w:r w:rsidRPr="007948D7">
              <w:rPr>
                <w:sz w:val="20"/>
              </w:rPr>
              <w:t>Fabricación</w:t>
            </w:r>
          </w:p>
        </w:tc>
        <w:tc>
          <w:tcPr>
            <w:tcW w:w="459" w:type="pct"/>
            <w:vAlign w:val="center"/>
          </w:tcPr>
          <w:p w14:paraId="2BF9B307" w14:textId="77777777" w:rsidR="000C361F" w:rsidRPr="00122AA3" w:rsidRDefault="000C361F" w:rsidP="00751C16">
            <w:pPr>
              <w:spacing w:after="60"/>
              <w:jc w:val="center"/>
              <w:rPr>
                <w:sz w:val="20"/>
              </w:rPr>
            </w:pPr>
            <w:r w:rsidRPr="007948D7">
              <w:rPr>
                <w:sz w:val="20"/>
              </w:rPr>
              <w:t>Servicio técnico</w:t>
            </w:r>
          </w:p>
        </w:tc>
        <w:tc>
          <w:tcPr>
            <w:tcW w:w="1721" w:type="pct"/>
            <w:gridSpan w:val="4"/>
            <w:vAlign w:val="center"/>
          </w:tcPr>
          <w:p w14:paraId="2555CB71" w14:textId="77777777" w:rsidR="000C361F" w:rsidRPr="00122AA3" w:rsidRDefault="000C361F" w:rsidP="00751C16">
            <w:pPr>
              <w:spacing w:after="60"/>
              <w:jc w:val="center"/>
              <w:rPr>
                <w:sz w:val="20"/>
              </w:rPr>
            </w:pPr>
          </w:p>
        </w:tc>
      </w:tr>
      <w:tr w:rsidR="000C361F" w:rsidRPr="00122AA3" w14:paraId="6B28A003" w14:textId="77777777" w:rsidTr="000C361F">
        <w:trPr>
          <w:trHeight w:val="251"/>
        </w:trPr>
        <w:tc>
          <w:tcPr>
            <w:tcW w:w="863" w:type="pct"/>
          </w:tcPr>
          <w:p w14:paraId="7A11E858" w14:textId="77777777" w:rsidR="000C361F" w:rsidRPr="00122AA3" w:rsidRDefault="000C361F" w:rsidP="00751C16">
            <w:pPr>
              <w:spacing w:after="60"/>
              <w:jc w:val="left"/>
              <w:rPr>
                <w:sz w:val="20"/>
              </w:rPr>
            </w:pPr>
            <w:r w:rsidRPr="00122AA3">
              <w:rPr>
                <w:sz w:val="20"/>
              </w:rPr>
              <w:t>HCFC-22</w:t>
            </w:r>
          </w:p>
        </w:tc>
        <w:tc>
          <w:tcPr>
            <w:tcW w:w="333" w:type="pct"/>
          </w:tcPr>
          <w:p w14:paraId="1C0B82AA" w14:textId="77777777" w:rsidR="000C361F" w:rsidRPr="00122AA3" w:rsidRDefault="000C361F" w:rsidP="00751C16">
            <w:pPr>
              <w:spacing w:after="60"/>
              <w:jc w:val="right"/>
              <w:rPr>
                <w:sz w:val="20"/>
              </w:rPr>
            </w:pPr>
          </w:p>
        </w:tc>
        <w:tc>
          <w:tcPr>
            <w:tcW w:w="457" w:type="pct"/>
          </w:tcPr>
          <w:p w14:paraId="00A06FA1" w14:textId="77777777" w:rsidR="000C361F" w:rsidRPr="00122AA3" w:rsidRDefault="000C361F" w:rsidP="00751C16">
            <w:pPr>
              <w:spacing w:after="60"/>
              <w:jc w:val="right"/>
              <w:rPr>
                <w:sz w:val="20"/>
              </w:rPr>
            </w:pPr>
          </w:p>
        </w:tc>
        <w:tc>
          <w:tcPr>
            <w:tcW w:w="501" w:type="pct"/>
          </w:tcPr>
          <w:p w14:paraId="25E72BFC" w14:textId="77777777" w:rsidR="000C361F" w:rsidRPr="00122AA3" w:rsidRDefault="000C361F" w:rsidP="00751C16">
            <w:pPr>
              <w:spacing w:after="60"/>
              <w:jc w:val="right"/>
              <w:rPr>
                <w:sz w:val="20"/>
              </w:rPr>
            </w:pPr>
          </w:p>
        </w:tc>
        <w:tc>
          <w:tcPr>
            <w:tcW w:w="667" w:type="pct"/>
          </w:tcPr>
          <w:p w14:paraId="308F3ABD" w14:textId="77777777" w:rsidR="000C361F" w:rsidRPr="00122AA3" w:rsidRDefault="000C361F" w:rsidP="00751C16">
            <w:pPr>
              <w:spacing w:after="60"/>
              <w:jc w:val="right"/>
              <w:rPr>
                <w:sz w:val="20"/>
              </w:rPr>
            </w:pPr>
          </w:p>
        </w:tc>
        <w:tc>
          <w:tcPr>
            <w:tcW w:w="459" w:type="pct"/>
          </w:tcPr>
          <w:p w14:paraId="01CD41FD" w14:textId="15A01272" w:rsidR="000C361F" w:rsidRPr="00122AA3" w:rsidRDefault="000C361F" w:rsidP="00751C16">
            <w:pPr>
              <w:spacing w:after="60"/>
              <w:jc w:val="right"/>
              <w:rPr>
                <w:sz w:val="20"/>
              </w:rPr>
            </w:pPr>
            <w:r>
              <w:rPr>
                <w:sz w:val="20"/>
              </w:rPr>
              <w:t>4,40</w:t>
            </w:r>
          </w:p>
        </w:tc>
        <w:tc>
          <w:tcPr>
            <w:tcW w:w="375" w:type="pct"/>
          </w:tcPr>
          <w:p w14:paraId="3A693029" w14:textId="77777777" w:rsidR="000C361F" w:rsidRPr="00122AA3" w:rsidRDefault="000C361F" w:rsidP="00751C16">
            <w:pPr>
              <w:spacing w:after="60"/>
              <w:jc w:val="right"/>
              <w:rPr>
                <w:sz w:val="20"/>
              </w:rPr>
            </w:pPr>
          </w:p>
        </w:tc>
        <w:tc>
          <w:tcPr>
            <w:tcW w:w="462" w:type="pct"/>
          </w:tcPr>
          <w:p w14:paraId="70695B4A" w14:textId="77777777" w:rsidR="000C361F" w:rsidRPr="00122AA3" w:rsidRDefault="000C361F" w:rsidP="00751C16">
            <w:pPr>
              <w:spacing w:after="60"/>
              <w:jc w:val="right"/>
              <w:rPr>
                <w:sz w:val="20"/>
              </w:rPr>
            </w:pPr>
          </w:p>
        </w:tc>
        <w:tc>
          <w:tcPr>
            <w:tcW w:w="374" w:type="pct"/>
          </w:tcPr>
          <w:p w14:paraId="14E01C7F" w14:textId="77777777" w:rsidR="000C361F" w:rsidRPr="00122AA3" w:rsidRDefault="000C361F" w:rsidP="00751C16">
            <w:pPr>
              <w:spacing w:after="60"/>
              <w:jc w:val="right"/>
              <w:rPr>
                <w:sz w:val="20"/>
              </w:rPr>
            </w:pPr>
          </w:p>
        </w:tc>
        <w:tc>
          <w:tcPr>
            <w:tcW w:w="510" w:type="pct"/>
          </w:tcPr>
          <w:p w14:paraId="74B1FC4A" w14:textId="521BDB3C" w:rsidR="000C361F" w:rsidRPr="00122AA3" w:rsidRDefault="000C361F" w:rsidP="00751C16">
            <w:pPr>
              <w:spacing w:after="60"/>
              <w:jc w:val="right"/>
              <w:rPr>
                <w:sz w:val="20"/>
              </w:rPr>
            </w:pPr>
            <w:r>
              <w:rPr>
                <w:sz w:val="20"/>
              </w:rPr>
              <w:t>4,40</w:t>
            </w:r>
          </w:p>
        </w:tc>
      </w:tr>
    </w:tbl>
    <w:p w14:paraId="6455194F" w14:textId="77777777" w:rsidR="000C361F" w:rsidRPr="00F00731" w:rsidRDefault="000C361F" w:rsidP="002232A4">
      <w:pPr>
        <w:jc w:val="center"/>
        <w:rPr>
          <w:sz w:val="16"/>
          <w:szCs w:val="16"/>
        </w:rPr>
      </w:pPr>
    </w:p>
    <w:tbl>
      <w:tblPr>
        <w:tblStyle w:val="TableGrid"/>
        <w:tblW w:w="5988" w:type="pct"/>
        <w:tblInd w:w="-905" w:type="dxa"/>
        <w:tblLook w:val="04A0" w:firstRow="1" w:lastRow="0" w:firstColumn="1" w:lastColumn="0" w:noHBand="0" w:noVBand="1"/>
      </w:tblPr>
      <w:tblGrid>
        <w:gridCol w:w="3351"/>
        <w:gridCol w:w="1274"/>
        <w:gridCol w:w="5243"/>
        <w:gridCol w:w="1330"/>
      </w:tblGrid>
      <w:tr w:rsidR="000C361F" w:rsidRPr="000C361F" w14:paraId="68174CB7" w14:textId="77777777" w:rsidTr="000C361F">
        <w:trPr>
          <w:trHeight w:val="264"/>
        </w:trPr>
        <w:tc>
          <w:tcPr>
            <w:tcW w:w="5000" w:type="pct"/>
            <w:gridSpan w:val="4"/>
          </w:tcPr>
          <w:p w14:paraId="287D4045" w14:textId="77777777" w:rsidR="000C361F" w:rsidRPr="000C361F" w:rsidRDefault="000C361F" w:rsidP="00751C16">
            <w:pPr>
              <w:jc w:val="left"/>
              <w:rPr>
                <w:b/>
                <w:sz w:val="20"/>
                <w:lang w:val="fr-FR"/>
              </w:rPr>
            </w:pPr>
            <w:r w:rsidRPr="0068318B">
              <w:rPr>
                <w:b/>
                <w:sz w:val="20"/>
                <w:lang w:val="fr-CA"/>
              </w:rPr>
              <w:t xml:space="preserve">IV) DATOS DE CONSUMO (tons. </w:t>
            </w:r>
            <w:r w:rsidRPr="000C361F">
              <w:rPr>
                <w:b/>
                <w:sz w:val="20"/>
                <w:lang w:val="fr-FR"/>
              </w:rPr>
              <w:t>PAO)</w:t>
            </w:r>
            <w:r w:rsidRPr="000C361F">
              <w:rPr>
                <w:lang w:val="fr-FR"/>
              </w:rPr>
              <w:t xml:space="preserve"> </w:t>
            </w:r>
          </w:p>
        </w:tc>
      </w:tr>
      <w:tr w:rsidR="000C361F" w:rsidRPr="00122AA3" w14:paraId="7EB99FF9" w14:textId="77777777" w:rsidTr="000C361F">
        <w:trPr>
          <w:trHeight w:val="264"/>
        </w:trPr>
        <w:tc>
          <w:tcPr>
            <w:tcW w:w="1496" w:type="pct"/>
          </w:tcPr>
          <w:p w14:paraId="60E6E46A" w14:textId="77777777" w:rsidR="000C361F" w:rsidRPr="00122AA3" w:rsidRDefault="000C361F" w:rsidP="00751C16">
            <w:pPr>
              <w:spacing w:after="60"/>
              <w:jc w:val="center"/>
              <w:rPr>
                <w:sz w:val="20"/>
              </w:rPr>
            </w:pPr>
            <w:r w:rsidRPr="00CB7791">
              <w:rPr>
                <w:sz w:val="20"/>
                <w:szCs w:val="20"/>
              </w:rPr>
              <w:t xml:space="preserve">Nivel básico en </w:t>
            </w:r>
            <w:r w:rsidRPr="00CB7791">
              <w:rPr>
                <w:sz w:val="20"/>
                <w:szCs w:val="20"/>
                <w:lang w:val="en-US"/>
              </w:rPr>
              <w:t>2009-2010</w:t>
            </w:r>
            <w:r>
              <w:rPr>
                <w:sz w:val="20"/>
                <w:szCs w:val="20"/>
                <w:lang w:val="en-US"/>
              </w:rPr>
              <w:t>:</w:t>
            </w:r>
          </w:p>
        </w:tc>
        <w:tc>
          <w:tcPr>
            <w:tcW w:w="569" w:type="pct"/>
          </w:tcPr>
          <w:p w14:paraId="14D5B1D8" w14:textId="47ABE7BA" w:rsidR="000C361F" w:rsidRPr="00122AA3" w:rsidRDefault="000C361F" w:rsidP="00751C16">
            <w:pPr>
              <w:spacing w:after="60"/>
              <w:jc w:val="right"/>
              <w:rPr>
                <w:sz w:val="20"/>
              </w:rPr>
            </w:pPr>
            <w:r>
              <w:rPr>
                <w:sz w:val="20"/>
              </w:rPr>
              <w:t>15,00</w:t>
            </w:r>
          </w:p>
        </w:tc>
        <w:tc>
          <w:tcPr>
            <w:tcW w:w="2341" w:type="pct"/>
          </w:tcPr>
          <w:p w14:paraId="65145E31" w14:textId="77777777" w:rsidR="000C361F" w:rsidRPr="0068318B" w:rsidRDefault="000C361F" w:rsidP="00751C16">
            <w:pPr>
              <w:spacing w:after="60"/>
              <w:jc w:val="center"/>
              <w:rPr>
                <w:sz w:val="20"/>
                <w:lang w:val="fr-CA"/>
              </w:rPr>
            </w:pPr>
            <w:r w:rsidRPr="0068318B">
              <w:rPr>
                <w:sz w:val="20"/>
                <w:lang w:val="fr-CA"/>
              </w:rPr>
              <w:t>Punto de partida para reducciones acumulativas sostenidas:</w:t>
            </w:r>
          </w:p>
        </w:tc>
        <w:tc>
          <w:tcPr>
            <w:tcW w:w="594" w:type="pct"/>
          </w:tcPr>
          <w:p w14:paraId="596E7CE1" w14:textId="62452355" w:rsidR="000C361F" w:rsidRPr="00122AA3" w:rsidRDefault="000C361F" w:rsidP="00751C16">
            <w:pPr>
              <w:spacing w:after="60"/>
              <w:jc w:val="right"/>
              <w:rPr>
                <w:sz w:val="20"/>
              </w:rPr>
            </w:pPr>
            <w:r>
              <w:rPr>
                <w:sz w:val="20"/>
              </w:rPr>
              <w:t>15,00</w:t>
            </w:r>
          </w:p>
        </w:tc>
      </w:tr>
      <w:tr w:rsidR="000C361F" w:rsidRPr="00122AA3" w14:paraId="1D20C6BB" w14:textId="77777777" w:rsidTr="000C361F">
        <w:trPr>
          <w:trHeight w:val="158"/>
        </w:trPr>
        <w:tc>
          <w:tcPr>
            <w:tcW w:w="5000" w:type="pct"/>
            <w:gridSpan w:val="4"/>
          </w:tcPr>
          <w:p w14:paraId="323B044D" w14:textId="77777777" w:rsidR="000C361F" w:rsidRPr="00122AA3" w:rsidRDefault="000C361F" w:rsidP="00751C16">
            <w:pPr>
              <w:tabs>
                <w:tab w:val="left" w:pos="993"/>
              </w:tabs>
              <w:jc w:val="left"/>
              <w:rPr>
                <w:b/>
                <w:sz w:val="20"/>
              </w:rPr>
            </w:pPr>
            <w:r>
              <w:rPr>
                <w:b/>
                <w:sz w:val="20"/>
              </w:rPr>
              <w:t xml:space="preserve">       </w:t>
            </w:r>
            <w:r w:rsidRPr="007948D7">
              <w:rPr>
                <w:b/>
                <w:sz w:val="20"/>
              </w:rPr>
              <w:t>CONSUMO ADMISIBLE PARA FINANCIAMIENTO</w:t>
            </w:r>
          </w:p>
        </w:tc>
      </w:tr>
      <w:tr w:rsidR="000C361F" w:rsidRPr="00122AA3" w14:paraId="778CE9E5" w14:textId="77777777" w:rsidTr="000C361F">
        <w:trPr>
          <w:trHeight w:val="264"/>
        </w:trPr>
        <w:tc>
          <w:tcPr>
            <w:tcW w:w="1496" w:type="pct"/>
          </w:tcPr>
          <w:p w14:paraId="0D74B5B9" w14:textId="77777777" w:rsidR="000C361F" w:rsidRPr="00122AA3" w:rsidRDefault="000C361F" w:rsidP="00751C16">
            <w:pPr>
              <w:spacing w:after="60"/>
              <w:jc w:val="center"/>
              <w:rPr>
                <w:sz w:val="20"/>
              </w:rPr>
            </w:pPr>
            <w:r w:rsidRPr="007948D7">
              <w:rPr>
                <w:sz w:val="20"/>
              </w:rPr>
              <w:t>Ya aprobado:</w:t>
            </w:r>
          </w:p>
        </w:tc>
        <w:tc>
          <w:tcPr>
            <w:tcW w:w="569" w:type="pct"/>
          </w:tcPr>
          <w:p w14:paraId="516C401D" w14:textId="74D338D4" w:rsidR="000C361F" w:rsidRPr="00122AA3" w:rsidRDefault="000C361F" w:rsidP="00751C16">
            <w:pPr>
              <w:spacing w:after="60"/>
              <w:jc w:val="right"/>
              <w:rPr>
                <w:sz w:val="20"/>
              </w:rPr>
            </w:pPr>
            <w:r>
              <w:rPr>
                <w:sz w:val="20"/>
              </w:rPr>
              <w:t>5,20</w:t>
            </w:r>
          </w:p>
        </w:tc>
        <w:tc>
          <w:tcPr>
            <w:tcW w:w="2341" w:type="pct"/>
          </w:tcPr>
          <w:p w14:paraId="40E4846F" w14:textId="77777777" w:rsidR="000C361F" w:rsidRPr="00122AA3" w:rsidRDefault="000C361F" w:rsidP="00751C16">
            <w:pPr>
              <w:spacing w:after="60"/>
              <w:jc w:val="center"/>
              <w:rPr>
                <w:sz w:val="20"/>
              </w:rPr>
            </w:pPr>
            <w:r w:rsidRPr="007948D7">
              <w:rPr>
                <w:sz w:val="20"/>
              </w:rPr>
              <w:t>Remanente:</w:t>
            </w:r>
          </w:p>
        </w:tc>
        <w:tc>
          <w:tcPr>
            <w:tcW w:w="594" w:type="pct"/>
          </w:tcPr>
          <w:p w14:paraId="19B95F62" w14:textId="2A50F0FF" w:rsidR="000C361F" w:rsidRPr="00122AA3" w:rsidRDefault="000C361F" w:rsidP="00751C16">
            <w:pPr>
              <w:spacing w:after="60"/>
              <w:jc w:val="right"/>
              <w:rPr>
                <w:sz w:val="20"/>
              </w:rPr>
            </w:pPr>
            <w:r>
              <w:rPr>
                <w:sz w:val="20"/>
              </w:rPr>
              <w:t>9.80</w:t>
            </w:r>
          </w:p>
        </w:tc>
      </w:tr>
    </w:tbl>
    <w:p w14:paraId="73F5F857" w14:textId="77777777" w:rsidR="000C361F" w:rsidRPr="00122AA3" w:rsidRDefault="000C361F" w:rsidP="000C361F">
      <w:pPr>
        <w:jc w:val="center"/>
        <w:rPr>
          <w:sz w:val="18"/>
        </w:rPr>
      </w:pPr>
    </w:p>
    <w:tbl>
      <w:tblPr>
        <w:tblStyle w:val="TableGrid"/>
        <w:tblW w:w="5988" w:type="pct"/>
        <w:tblInd w:w="-905" w:type="dxa"/>
        <w:tblLook w:val="04A0" w:firstRow="1" w:lastRow="0" w:firstColumn="1" w:lastColumn="0" w:noHBand="0" w:noVBand="1"/>
      </w:tblPr>
      <w:tblGrid>
        <w:gridCol w:w="1712"/>
        <w:gridCol w:w="3124"/>
        <w:gridCol w:w="1592"/>
        <w:gridCol w:w="1592"/>
        <w:gridCol w:w="1592"/>
        <w:gridCol w:w="1586"/>
      </w:tblGrid>
      <w:tr w:rsidR="000C361F" w:rsidRPr="00122AA3" w14:paraId="24A5C667" w14:textId="77777777" w:rsidTr="000C361F">
        <w:trPr>
          <w:trHeight w:val="232"/>
        </w:trPr>
        <w:tc>
          <w:tcPr>
            <w:tcW w:w="2159" w:type="pct"/>
            <w:gridSpan w:val="2"/>
            <w:vAlign w:val="center"/>
          </w:tcPr>
          <w:p w14:paraId="3E450F13" w14:textId="30C467F1" w:rsidR="000C361F" w:rsidRPr="00C41665" w:rsidRDefault="000C361F" w:rsidP="00751C16">
            <w:pPr>
              <w:spacing w:after="60"/>
              <w:jc w:val="left"/>
              <w:rPr>
                <w:b/>
                <w:sz w:val="20"/>
                <w:lang w:val="fr-FR"/>
              </w:rPr>
            </w:pPr>
            <w:r w:rsidRPr="00C41665">
              <w:rPr>
                <w:b/>
                <w:sz w:val="20"/>
                <w:lang w:val="fr-FR"/>
              </w:rPr>
              <w:t xml:space="preserve">V) </w:t>
            </w:r>
            <w:r w:rsidR="00C41665" w:rsidRPr="00C41665">
              <w:rPr>
                <w:b/>
                <w:sz w:val="20"/>
                <w:lang w:val="fr-FR"/>
              </w:rPr>
              <w:t>PLAN DE NEGOCIOS RESPALDADO</w:t>
            </w:r>
          </w:p>
        </w:tc>
        <w:tc>
          <w:tcPr>
            <w:tcW w:w="711" w:type="pct"/>
            <w:vAlign w:val="center"/>
          </w:tcPr>
          <w:p w14:paraId="7A603446" w14:textId="77777777" w:rsidR="000C361F" w:rsidRPr="00122AA3" w:rsidRDefault="000C361F" w:rsidP="00751C16">
            <w:pPr>
              <w:spacing w:after="60"/>
              <w:jc w:val="center"/>
              <w:rPr>
                <w:b/>
                <w:sz w:val="20"/>
              </w:rPr>
            </w:pPr>
            <w:r w:rsidRPr="00122AA3">
              <w:rPr>
                <w:b/>
                <w:sz w:val="20"/>
              </w:rPr>
              <w:t>2025</w:t>
            </w:r>
          </w:p>
        </w:tc>
        <w:tc>
          <w:tcPr>
            <w:tcW w:w="711" w:type="pct"/>
            <w:vAlign w:val="center"/>
          </w:tcPr>
          <w:p w14:paraId="57C2629B" w14:textId="77777777" w:rsidR="000C361F" w:rsidRPr="00122AA3" w:rsidRDefault="000C361F" w:rsidP="00751C16">
            <w:pPr>
              <w:spacing w:after="60"/>
              <w:jc w:val="center"/>
              <w:rPr>
                <w:b/>
                <w:sz w:val="20"/>
              </w:rPr>
            </w:pPr>
            <w:r w:rsidRPr="00122AA3">
              <w:rPr>
                <w:b/>
                <w:sz w:val="20"/>
              </w:rPr>
              <w:t>2026</w:t>
            </w:r>
          </w:p>
        </w:tc>
        <w:tc>
          <w:tcPr>
            <w:tcW w:w="711" w:type="pct"/>
            <w:vAlign w:val="center"/>
          </w:tcPr>
          <w:p w14:paraId="574DB3D7" w14:textId="77777777" w:rsidR="000C361F" w:rsidRPr="00122AA3" w:rsidRDefault="000C361F" w:rsidP="00751C16">
            <w:pPr>
              <w:spacing w:after="60"/>
              <w:jc w:val="center"/>
              <w:rPr>
                <w:b/>
                <w:sz w:val="20"/>
              </w:rPr>
            </w:pPr>
            <w:r w:rsidRPr="00122AA3">
              <w:rPr>
                <w:b/>
                <w:sz w:val="20"/>
              </w:rPr>
              <w:t>2027</w:t>
            </w:r>
          </w:p>
        </w:tc>
        <w:tc>
          <w:tcPr>
            <w:tcW w:w="708" w:type="pct"/>
            <w:vAlign w:val="center"/>
          </w:tcPr>
          <w:p w14:paraId="5AF92FA5" w14:textId="77777777" w:rsidR="000C361F" w:rsidRPr="00122AA3" w:rsidRDefault="000C361F" w:rsidP="00751C16">
            <w:pPr>
              <w:spacing w:after="60"/>
              <w:jc w:val="center"/>
              <w:rPr>
                <w:b/>
                <w:sz w:val="20"/>
              </w:rPr>
            </w:pPr>
            <w:r w:rsidRPr="00122AA3">
              <w:rPr>
                <w:b/>
                <w:sz w:val="20"/>
              </w:rPr>
              <w:t>Total</w:t>
            </w:r>
          </w:p>
        </w:tc>
      </w:tr>
      <w:tr w:rsidR="000C361F" w:rsidRPr="00122AA3" w14:paraId="21D5A170" w14:textId="77777777" w:rsidTr="000C361F">
        <w:trPr>
          <w:trHeight w:val="232"/>
        </w:trPr>
        <w:tc>
          <w:tcPr>
            <w:tcW w:w="764" w:type="pct"/>
            <w:vMerge w:val="restart"/>
            <w:vAlign w:val="center"/>
          </w:tcPr>
          <w:p w14:paraId="06B921C2" w14:textId="2EF708DE" w:rsidR="000C361F" w:rsidRPr="00122AA3" w:rsidRDefault="000C361F" w:rsidP="000C361F">
            <w:pPr>
              <w:spacing w:after="60"/>
              <w:jc w:val="center"/>
              <w:rPr>
                <w:sz w:val="20"/>
              </w:rPr>
            </w:pPr>
            <w:r>
              <w:rPr>
                <w:color w:val="000000" w:themeColor="text1"/>
                <w:sz w:val="20"/>
              </w:rPr>
              <w:t>PNUMA</w:t>
            </w:r>
          </w:p>
        </w:tc>
        <w:tc>
          <w:tcPr>
            <w:tcW w:w="1395" w:type="pct"/>
          </w:tcPr>
          <w:p w14:paraId="0750B5C5" w14:textId="77777777" w:rsidR="000C361F" w:rsidRPr="008752EB" w:rsidRDefault="000C361F" w:rsidP="000C361F">
            <w:pPr>
              <w:spacing w:after="60"/>
              <w:jc w:val="left"/>
              <w:rPr>
                <w:sz w:val="20"/>
                <w:lang w:val="fr-CA"/>
              </w:rPr>
            </w:pPr>
            <w:r w:rsidRPr="008752EB">
              <w:rPr>
                <w:sz w:val="20"/>
                <w:lang w:val="fr-CA"/>
              </w:rPr>
              <w:t>Eliminación de SAO (tons. PAO)</w:t>
            </w:r>
          </w:p>
        </w:tc>
        <w:tc>
          <w:tcPr>
            <w:tcW w:w="711" w:type="pct"/>
          </w:tcPr>
          <w:p w14:paraId="3E59F313" w14:textId="786EE231" w:rsidR="000C361F" w:rsidRPr="00122AA3" w:rsidRDefault="000C361F" w:rsidP="000C361F">
            <w:pPr>
              <w:spacing w:after="60"/>
              <w:jc w:val="right"/>
              <w:rPr>
                <w:sz w:val="20"/>
              </w:rPr>
            </w:pPr>
            <w:r>
              <w:rPr>
                <w:sz w:val="20"/>
              </w:rPr>
              <w:t>1,36</w:t>
            </w:r>
          </w:p>
        </w:tc>
        <w:tc>
          <w:tcPr>
            <w:tcW w:w="711" w:type="pct"/>
          </w:tcPr>
          <w:p w14:paraId="1BCEF5B3" w14:textId="71510AE3" w:rsidR="000C361F" w:rsidRPr="00122AA3" w:rsidRDefault="000C361F" w:rsidP="000C361F">
            <w:pPr>
              <w:spacing w:after="60"/>
              <w:jc w:val="right"/>
              <w:rPr>
                <w:sz w:val="20"/>
              </w:rPr>
            </w:pPr>
            <w:r>
              <w:rPr>
                <w:sz w:val="20"/>
              </w:rPr>
              <w:t>0,0</w:t>
            </w:r>
          </w:p>
        </w:tc>
        <w:tc>
          <w:tcPr>
            <w:tcW w:w="711" w:type="pct"/>
          </w:tcPr>
          <w:p w14:paraId="6DB486AD" w14:textId="510E7152" w:rsidR="000C361F" w:rsidRPr="00122AA3" w:rsidRDefault="000C361F" w:rsidP="000C361F">
            <w:pPr>
              <w:spacing w:after="60"/>
              <w:jc w:val="right"/>
              <w:rPr>
                <w:sz w:val="20"/>
              </w:rPr>
            </w:pPr>
            <w:r>
              <w:rPr>
                <w:sz w:val="20"/>
              </w:rPr>
              <w:t>0,0</w:t>
            </w:r>
          </w:p>
        </w:tc>
        <w:tc>
          <w:tcPr>
            <w:tcW w:w="708" w:type="pct"/>
          </w:tcPr>
          <w:p w14:paraId="419F92F5" w14:textId="16D41DE1" w:rsidR="000C361F" w:rsidRPr="00122AA3" w:rsidRDefault="000C361F" w:rsidP="000C361F">
            <w:pPr>
              <w:spacing w:after="60"/>
              <w:jc w:val="right"/>
              <w:rPr>
                <w:sz w:val="20"/>
              </w:rPr>
            </w:pPr>
            <w:r>
              <w:rPr>
                <w:sz w:val="20"/>
              </w:rPr>
              <w:t>1,36</w:t>
            </w:r>
          </w:p>
        </w:tc>
      </w:tr>
      <w:tr w:rsidR="000C361F" w:rsidRPr="00122AA3" w14:paraId="5CA7BA19" w14:textId="77777777" w:rsidTr="000C361F">
        <w:trPr>
          <w:trHeight w:val="232"/>
        </w:trPr>
        <w:tc>
          <w:tcPr>
            <w:tcW w:w="764" w:type="pct"/>
            <w:vMerge/>
          </w:tcPr>
          <w:p w14:paraId="1B9F16C3" w14:textId="77777777" w:rsidR="000C361F" w:rsidRPr="00122AA3" w:rsidRDefault="000C361F" w:rsidP="000C361F">
            <w:pPr>
              <w:spacing w:after="60"/>
              <w:jc w:val="center"/>
              <w:rPr>
                <w:sz w:val="20"/>
              </w:rPr>
            </w:pPr>
          </w:p>
        </w:tc>
        <w:tc>
          <w:tcPr>
            <w:tcW w:w="1395" w:type="pct"/>
          </w:tcPr>
          <w:p w14:paraId="4138FED9" w14:textId="77777777" w:rsidR="000C361F" w:rsidRPr="00122AA3" w:rsidRDefault="000C361F" w:rsidP="000C361F">
            <w:pPr>
              <w:spacing w:after="60"/>
              <w:jc w:val="left"/>
              <w:rPr>
                <w:sz w:val="20"/>
              </w:rPr>
            </w:pPr>
            <w:r w:rsidRPr="007948D7">
              <w:rPr>
                <w:sz w:val="20"/>
              </w:rPr>
              <w:t>Financiamiento (USD)</w:t>
            </w:r>
          </w:p>
        </w:tc>
        <w:tc>
          <w:tcPr>
            <w:tcW w:w="711" w:type="pct"/>
          </w:tcPr>
          <w:p w14:paraId="429593AA" w14:textId="51250A26" w:rsidR="000C361F" w:rsidRPr="00122AA3" w:rsidRDefault="000C361F" w:rsidP="000C361F">
            <w:pPr>
              <w:spacing w:after="60"/>
              <w:jc w:val="right"/>
              <w:rPr>
                <w:sz w:val="20"/>
              </w:rPr>
            </w:pPr>
            <w:r>
              <w:rPr>
                <w:sz w:val="20"/>
              </w:rPr>
              <w:t>300.130</w:t>
            </w:r>
            <w:r w:rsidR="00ED0241">
              <w:rPr>
                <w:sz w:val="20"/>
              </w:rPr>
              <w:t>*</w:t>
            </w:r>
          </w:p>
        </w:tc>
        <w:tc>
          <w:tcPr>
            <w:tcW w:w="711" w:type="pct"/>
          </w:tcPr>
          <w:p w14:paraId="7F4EA982" w14:textId="0A687855" w:rsidR="000C361F" w:rsidRPr="00122AA3" w:rsidRDefault="000C361F" w:rsidP="000C361F">
            <w:pPr>
              <w:spacing w:after="60"/>
              <w:jc w:val="right"/>
              <w:rPr>
                <w:sz w:val="20"/>
              </w:rPr>
            </w:pPr>
            <w:r>
              <w:rPr>
                <w:sz w:val="20"/>
              </w:rPr>
              <w:t>0</w:t>
            </w:r>
          </w:p>
        </w:tc>
        <w:tc>
          <w:tcPr>
            <w:tcW w:w="711" w:type="pct"/>
          </w:tcPr>
          <w:p w14:paraId="07C9EEBE" w14:textId="49D51253" w:rsidR="000C361F" w:rsidRPr="00122AA3" w:rsidRDefault="000C361F" w:rsidP="000C361F">
            <w:pPr>
              <w:spacing w:after="60"/>
              <w:jc w:val="right"/>
              <w:rPr>
                <w:sz w:val="20"/>
              </w:rPr>
            </w:pPr>
            <w:r>
              <w:rPr>
                <w:sz w:val="20"/>
              </w:rPr>
              <w:t>0</w:t>
            </w:r>
          </w:p>
        </w:tc>
        <w:tc>
          <w:tcPr>
            <w:tcW w:w="708" w:type="pct"/>
          </w:tcPr>
          <w:p w14:paraId="68D8B514" w14:textId="39DD77DE" w:rsidR="000C361F" w:rsidRPr="00122AA3" w:rsidRDefault="000C361F" w:rsidP="000C361F">
            <w:pPr>
              <w:spacing w:after="60"/>
              <w:jc w:val="right"/>
              <w:rPr>
                <w:sz w:val="20"/>
              </w:rPr>
            </w:pPr>
            <w:r>
              <w:rPr>
                <w:sz w:val="20"/>
              </w:rPr>
              <w:t>300.130</w:t>
            </w:r>
            <w:r w:rsidR="00ED0241">
              <w:rPr>
                <w:sz w:val="20"/>
              </w:rPr>
              <w:t>*</w:t>
            </w:r>
          </w:p>
        </w:tc>
      </w:tr>
      <w:tr w:rsidR="000C361F" w:rsidRPr="00122AA3" w14:paraId="3271FF93" w14:textId="77777777" w:rsidTr="002D50AA">
        <w:trPr>
          <w:trHeight w:val="232"/>
        </w:trPr>
        <w:tc>
          <w:tcPr>
            <w:tcW w:w="764" w:type="pct"/>
            <w:vMerge w:val="restart"/>
            <w:vAlign w:val="center"/>
          </w:tcPr>
          <w:p w14:paraId="6E686DAE" w14:textId="62B379AB" w:rsidR="000C361F" w:rsidRPr="00122AA3" w:rsidRDefault="000C361F" w:rsidP="000C361F">
            <w:pPr>
              <w:spacing w:after="60"/>
              <w:jc w:val="center"/>
              <w:rPr>
                <w:sz w:val="20"/>
              </w:rPr>
            </w:pPr>
            <w:r>
              <w:rPr>
                <w:color w:val="000000" w:themeColor="text1"/>
                <w:sz w:val="20"/>
              </w:rPr>
              <w:t>PNUD</w:t>
            </w:r>
          </w:p>
        </w:tc>
        <w:tc>
          <w:tcPr>
            <w:tcW w:w="1395" w:type="pct"/>
          </w:tcPr>
          <w:p w14:paraId="3744AB84" w14:textId="77777777" w:rsidR="000C361F" w:rsidRPr="008752EB" w:rsidRDefault="000C361F" w:rsidP="000C361F">
            <w:pPr>
              <w:spacing w:after="60"/>
              <w:jc w:val="left"/>
              <w:rPr>
                <w:sz w:val="20"/>
                <w:lang w:val="fr-CA"/>
              </w:rPr>
            </w:pPr>
            <w:r w:rsidRPr="008752EB">
              <w:rPr>
                <w:sz w:val="20"/>
                <w:lang w:val="fr-CA"/>
              </w:rPr>
              <w:t>Eliminación de SAO (tons. PAO)</w:t>
            </w:r>
          </w:p>
        </w:tc>
        <w:tc>
          <w:tcPr>
            <w:tcW w:w="711" w:type="pct"/>
          </w:tcPr>
          <w:p w14:paraId="6074B1CE" w14:textId="540D1BEB" w:rsidR="000C361F" w:rsidRPr="00122AA3" w:rsidRDefault="000C361F" w:rsidP="000C361F">
            <w:pPr>
              <w:spacing w:after="60"/>
              <w:jc w:val="right"/>
              <w:rPr>
                <w:sz w:val="20"/>
              </w:rPr>
            </w:pPr>
            <w:r>
              <w:rPr>
                <w:sz w:val="20"/>
              </w:rPr>
              <w:t>0.0</w:t>
            </w:r>
          </w:p>
        </w:tc>
        <w:tc>
          <w:tcPr>
            <w:tcW w:w="711" w:type="pct"/>
          </w:tcPr>
          <w:p w14:paraId="77D61748" w14:textId="39349B87" w:rsidR="000C361F" w:rsidRPr="00122AA3" w:rsidRDefault="000C361F" w:rsidP="000C361F">
            <w:pPr>
              <w:spacing w:after="60"/>
              <w:jc w:val="right"/>
              <w:rPr>
                <w:sz w:val="20"/>
              </w:rPr>
            </w:pPr>
            <w:r>
              <w:rPr>
                <w:sz w:val="20"/>
              </w:rPr>
              <w:t>0,0</w:t>
            </w:r>
          </w:p>
        </w:tc>
        <w:tc>
          <w:tcPr>
            <w:tcW w:w="711" w:type="pct"/>
          </w:tcPr>
          <w:p w14:paraId="6B481120" w14:textId="6B31CD66" w:rsidR="000C361F" w:rsidRPr="00122AA3" w:rsidRDefault="000C361F" w:rsidP="000C361F">
            <w:pPr>
              <w:spacing w:after="60"/>
              <w:jc w:val="right"/>
              <w:rPr>
                <w:sz w:val="20"/>
              </w:rPr>
            </w:pPr>
            <w:r>
              <w:rPr>
                <w:sz w:val="20"/>
              </w:rPr>
              <w:t>0,0</w:t>
            </w:r>
          </w:p>
        </w:tc>
        <w:tc>
          <w:tcPr>
            <w:tcW w:w="708" w:type="pct"/>
          </w:tcPr>
          <w:p w14:paraId="46C5EF16" w14:textId="74BB8C2D" w:rsidR="000C361F" w:rsidRPr="00122AA3" w:rsidRDefault="000C361F" w:rsidP="000C361F">
            <w:pPr>
              <w:spacing w:after="60"/>
              <w:jc w:val="right"/>
              <w:rPr>
                <w:sz w:val="20"/>
              </w:rPr>
            </w:pPr>
            <w:r>
              <w:rPr>
                <w:sz w:val="20"/>
              </w:rPr>
              <w:t>0,0</w:t>
            </w:r>
          </w:p>
        </w:tc>
      </w:tr>
      <w:tr w:rsidR="000C361F" w:rsidRPr="00122AA3" w14:paraId="14161D09" w14:textId="77777777" w:rsidTr="000C361F">
        <w:trPr>
          <w:trHeight w:val="232"/>
        </w:trPr>
        <w:tc>
          <w:tcPr>
            <w:tcW w:w="764" w:type="pct"/>
            <w:vMerge/>
          </w:tcPr>
          <w:p w14:paraId="5A668969" w14:textId="77777777" w:rsidR="000C361F" w:rsidRPr="00122AA3" w:rsidRDefault="000C361F" w:rsidP="000C361F">
            <w:pPr>
              <w:spacing w:after="60"/>
              <w:jc w:val="center"/>
              <w:rPr>
                <w:sz w:val="20"/>
              </w:rPr>
            </w:pPr>
          </w:p>
        </w:tc>
        <w:tc>
          <w:tcPr>
            <w:tcW w:w="1395" w:type="pct"/>
          </w:tcPr>
          <w:p w14:paraId="2AB26746" w14:textId="77777777" w:rsidR="000C361F" w:rsidRPr="00122AA3" w:rsidRDefault="000C361F" w:rsidP="000C361F">
            <w:pPr>
              <w:spacing w:after="60"/>
              <w:jc w:val="left"/>
              <w:rPr>
                <w:sz w:val="20"/>
              </w:rPr>
            </w:pPr>
            <w:r w:rsidRPr="007948D7">
              <w:rPr>
                <w:sz w:val="20"/>
              </w:rPr>
              <w:t>Financiamiento (USD)</w:t>
            </w:r>
          </w:p>
        </w:tc>
        <w:tc>
          <w:tcPr>
            <w:tcW w:w="711" w:type="pct"/>
          </w:tcPr>
          <w:p w14:paraId="1930B203" w14:textId="138722B9" w:rsidR="000C361F" w:rsidRPr="00122AA3" w:rsidRDefault="000C361F" w:rsidP="000C361F">
            <w:pPr>
              <w:spacing w:after="60"/>
              <w:jc w:val="right"/>
              <w:rPr>
                <w:sz w:val="20"/>
              </w:rPr>
            </w:pPr>
            <w:r>
              <w:rPr>
                <w:sz w:val="20"/>
              </w:rPr>
              <w:t>200.000</w:t>
            </w:r>
          </w:p>
        </w:tc>
        <w:tc>
          <w:tcPr>
            <w:tcW w:w="711" w:type="pct"/>
          </w:tcPr>
          <w:p w14:paraId="7C29DECC" w14:textId="1B216EC5" w:rsidR="000C361F" w:rsidRPr="00122AA3" w:rsidRDefault="000C361F" w:rsidP="000C361F">
            <w:pPr>
              <w:spacing w:after="60"/>
              <w:jc w:val="right"/>
              <w:rPr>
                <w:sz w:val="20"/>
              </w:rPr>
            </w:pPr>
            <w:r>
              <w:rPr>
                <w:sz w:val="20"/>
              </w:rPr>
              <w:t>0</w:t>
            </w:r>
          </w:p>
        </w:tc>
        <w:tc>
          <w:tcPr>
            <w:tcW w:w="711" w:type="pct"/>
          </w:tcPr>
          <w:p w14:paraId="6D5543C6" w14:textId="03848AE7" w:rsidR="000C361F" w:rsidRPr="00122AA3" w:rsidRDefault="000C361F" w:rsidP="000C361F">
            <w:pPr>
              <w:spacing w:after="60"/>
              <w:jc w:val="right"/>
              <w:rPr>
                <w:sz w:val="20"/>
              </w:rPr>
            </w:pPr>
            <w:r>
              <w:rPr>
                <w:sz w:val="20"/>
              </w:rPr>
              <w:t>0</w:t>
            </w:r>
          </w:p>
        </w:tc>
        <w:tc>
          <w:tcPr>
            <w:tcW w:w="708" w:type="pct"/>
          </w:tcPr>
          <w:p w14:paraId="7B15F2F2" w14:textId="6D3691F9" w:rsidR="000C361F" w:rsidRPr="00122AA3" w:rsidRDefault="000C361F" w:rsidP="000C361F">
            <w:pPr>
              <w:spacing w:after="60"/>
              <w:jc w:val="right"/>
              <w:rPr>
                <w:sz w:val="20"/>
              </w:rPr>
            </w:pPr>
            <w:r>
              <w:rPr>
                <w:sz w:val="20"/>
              </w:rPr>
              <w:t>200.000</w:t>
            </w:r>
          </w:p>
        </w:tc>
      </w:tr>
    </w:tbl>
    <w:p w14:paraId="7DD84F55" w14:textId="29E7FF1A" w:rsidR="000C361F" w:rsidRPr="000C361F" w:rsidRDefault="000C361F" w:rsidP="00F00731">
      <w:pPr>
        <w:spacing w:after="120"/>
        <w:ind w:left="-907"/>
        <w:jc w:val="left"/>
        <w:rPr>
          <w:sz w:val="18"/>
          <w:szCs w:val="18"/>
          <w:lang w:val="fr-FR"/>
        </w:rPr>
      </w:pPr>
      <w:r w:rsidRPr="000C361F">
        <w:rPr>
          <w:sz w:val="18"/>
          <w:szCs w:val="18"/>
          <w:lang w:val="fr-FR"/>
        </w:rPr>
        <w:t>* Incluyendo USD 135.600 para actividades adicionales para mantener la eficiencia energética según la decisión 89/6.</w:t>
      </w:r>
    </w:p>
    <w:tbl>
      <w:tblPr>
        <w:tblStyle w:val="TableGrid"/>
        <w:tblW w:w="5990" w:type="pct"/>
        <w:tblInd w:w="-905" w:type="dxa"/>
        <w:tblLayout w:type="fixed"/>
        <w:tblLook w:val="04A0" w:firstRow="1" w:lastRow="0" w:firstColumn="1" w:lastColumn="0" w:noHBand="0" w:noVBand="1"/>
      </w:tblPr>
      <w:tblGrid>
        <w:gridCol w:w="1619"/>
        <w:gridCol w:w="1082"/>
        <w:gridCol w:w="1969"/>
        <w:gridCol w:w="979"/>
        <w:gridCol w:w="18"/>
        <w:gridCol w:w="789"/>
        <w:gridCol w:w="930"/>
        <w:gridCol w:w="836"/>
        <w:gridCol w:w="820"/>
        <w:gridCol w:w="16"/>
        <w:gridCol w:w="999"/>
        <w:gridCol w:w="22"/>
        <w:gridCol w:w="1122"/>
      </w:tblGrid>
      <w:tr w:rsidR="00F00731" w:rsidRPr="00223A1B" w14:paraId="60C14DE7" w14:textId="77777777" w:rsidTr="00ED0241">
        <w:trPr>
          <w:trHeight w:val="216"/>
        </w:trPr>
        <w:tc>
          <w:tcPr>
            <w:tcW w:w="2085" w:type="pct"/>
            <w:gridSpan w:val="3"/>
            <w:tcMar>
              <w:left w:w="28" w:type="dxa"/>
              <w:right w:w="28" w:type="dxa"/>
            </w:tcMar>
          </w:tcPr>
          <w:p w14:paraId="2473BE4C" w14:textId="0268B682" w:rsidR="00F00731" w:rsidRPr="00223A1B" w:rsidRDefault="00F00731" w:rsidP="00751C16">
            <w:pPr>
              <w:spacing w:before="20" w:after="20"/>
              <w:jc w:val="left"/>
              <w:rPr>
                <w:b/>
                <w:sz w:val="19"/>
                <w:szCs w:val="19"/>
              </w:rPr>
            </w:pPr>
            <w:r w:rsidRPr="007948D7">
              <w:rPr>
                <w:b/>
                <w:sz w:val="20"/>
              </w:rPr>
              <w:t>VI) DATOS DEL PROYECTO</w:t>
            </w:r>
          </w:p>
        </w:tc>
        <w:tc>
          <w:tcPr>
            <w:tcW w:w="437" w:type="pct"/>
            <w:vAlign w:val="center"/>
          </w:tcPr>
          <w:p w14:paraId="0758252E" w14:textId="507C831F" w:rsidR="00F00731" w:rsidRPr="00223A1B" w:rsidRDefault="00F00731" w:rsidP="00751C16">
            <w:pPr>
              <w:spacing w:before="20" w:after="20"/>
              <w:jc w:val="center"/>
              <w:rPr>
                <w:b/>
                <w:sz w:val="19"/>
                <w:szCs w:val="19"/>
              </w:rPr>
            </w:pPr>
            <w:r w:rsidRPr="00122AA3">
              <w:rPr>
                <w:b/>
                <w:sz w:val="20"/>
              </w:rPr>
              <w:t>2025</w:t>
            </w:r>
          </w:p>
        </w:tc>
        <w:tc>
          <w:tcPr>
            <w:tcW w:w="360" w:type="pct"/>
            <w:gridSpan w:val="2"/>
            <w:vAlign w:val="center"/>
          </w:tcPr>
          <w:p w14:paraId="5B9718B2" w14:textId="2BA2919D" w:rsidR="00F00731" w:rsidRPr="00223A1B" w:rsidRDefault="00F00731" w:rsidP="00751C16">
            <w:pPr>
              <w:spacing w:before="20" w:after="20"/>
              <w:jc w:val="center"/>
              <w:rPr>
                <w:b/>
                <w:sz w:val="19"/>
                <w:szCs w:val="19"/>
              </w:rPr>
            </w:pPr>
            <w:r w:rsidRPr="00122AA3">
              <w:rPr>
                <w:b/>
                <w:sz w:val="20"/>
              </w:rPr>
              <w:t>2026</w:t>
            </w:r>
          </w:p>
        </w:tc>
        <w:tc>
          <w:tcPr>
            <w:tcW w:w="415" w:type="pct"/>
            <w:vAlign w:val="center"/>
          </w:tcPr>
          <w:p w14:paraId="4E9B4D57" w14:textId="40B301B2" w:rsidR="00F00731" w:rsidRPr="00223A1B" w:rsidRDefault="00F00731" w:rsidP="00751C16">
            <w:pPr>
              <w:spacing w:before="20" w:after="20"/>
              <w:jc w:val="center"/>
              <w:rPr>
                <w:b/>
                <w:sz w:val="19"/>
                <w:szCs w:val="19"/>
              </w:rPr>
            </w:pPr>
            <w:r>
              <w:rPr>
                <w:b/>
                <w:sz w:val="19"/>
                <w:szCs w:val="19"/>
              </w:rPr>
              <w:t>2027</w:t>
            </w:r>
          </w:p>
        </w:tc>
        <w:tc>
          <w:tcPr>
            <w:tcW w:w="373" w:type="pct"/>
            <w:vAlign w:val="center"/>
          </w:tcPr>
          <w:p w14:paraId="36F2D2EE" w14:textId="7D7553D8" w:rsidR="00F00731" w:rsidRPr="00223A1B" w:rsidRDefault="00F00731" w:rsidP="00751C16">
            <w:pPr>
              <w:spacing w:before="20" w:after="20"/>
              <w:jc w:val="center"/>
              <w:rPr>
                <w:b/>
                <w:sz w:val="19"/>
                <w:szCs w:val="19"/>
              </w:rPr>
            </w:pPr>
            <w:r>
              <w:rPr>
                <w:b/>
                <w:sz w:val="19"/>
                <w:szCs w:val="19"/>
              </w:rPr>
              <w:t>2028</w:t>
            </w:r>
          </w:p>
        </w:tc>
        <w:tc>
          <w:tcPr>
            <w:tcW w:w="373" w:type="pct"/>
            <w:gridSpan w:val="2"/>
            <w:vAlign w:val="center"/>
          </w:tcPr>
          <w:p w14:paraId="1C92C383" w14:textId="744D3BC4" w:rsidR="00F00731" w:rsidRPr="00223A1B" w:rsidRDefault="00F00731" w:rsidP="00751C16">
            <w:pPr>
              <w:spacing w:before="20" w:after="20"/>
              <w:jc w:val="center"/>
              <w:rPr>
                <w:b/>
                <w:sz w:val="19"/>
                <w:szCs w:val="19"/>
              </w:rPr>
            </w:pPr>
            <w:r>
              <w:rPr>
                <w:b/>
                <w:sz w:val="19"/>
                <w:szCs w:val="19"/>
              </w:rPr>
              <w:t>2029</w:t>
            </w:r>
          </w:p>
        </w:tc>
        <w:tc>
          <w:tcPr>
            <w:tcW w:w="446" w:type="pct"/>
            <w:vAlign w:val="center"/>
          </w:tcPr>
          <w:p w14:paraId="45634444" w14:textId="4EA457EF" w:rsidR="00F00731" w:rsidRPr="00223A1B" w:rsidRDefault="00F00731" w:rsidP="00751C16">
            <w:pPr>
              <w:spacing w:before="20" w:after="20"/>
              <w:jc w:val="center"/>
              <w:rPr>
                <w:b/>
                <w:sz w:val="19"/>
                <w:szCs w:val="19"/>
              </w:rPr>
            </w:pPr>
            <w:r>
              <w:rPr>
                <w:b/>
                <w:sz w:val="19"/>
                <w:szCs w:val="19"/>
              </w:rPr>
              <w:t>2030</w:t>
            </w:r>
          </w:p>
        </w:tc>
        <w:tc>
          <w:tcPr>
            <w:tcW w:w="511" w:type="pct"/>
            <w:gridSpan w:val="2"/>
            <w:vAlign w:val="center"/>
          </w:tcPr>
          <w:p w14:paraId="0C3ED014" w14:textId="6AEBD58B" w:rsidR="00F00731" w:rsidRPr="00223A1B" w:rsidRDefault="00F00731" w:rsidP="00751C16">
            <w:pPr>
              <w:spacing w:before="20" w:after="20"/>
              <w:jc w:val="center"/>
              <w:rPr>
                <w:b/>
                <w:sz w:val="19"/>
                <w:szCs w:val="19"/>
              </w:rPr>
            </w:pPr>
            <w:r>
              <w:rPr>
                <w:b/>
                <w:sz w:val="19"/>
                <w:szCs w:val="19"/>
              </w:rPr>
              <w:t>Total</w:t>
            </w:r>
          </w:p>
        </w:tc>
      </w:tr>
      <w:tr w:rsidR="00F00731" w:rsidRPr="00223A1B" w14:paraId="3BDE3EBF" w14:textId="77777777" w:rsidTr="00ED0241">
        <w:trPr>
          <w:trHeight w:val="379"/>
        </w:trPr>
        <w:tc>
          <w:tcPr>
            <w:tcW w:w="2085" w:type="pct"/>
            <w:gridSpan w:val="3"/>
            <w:tcMar>
              <w:left w:w="28" w:type="dxa"/>
              <w:right w:w="28" w:type="dxa"/>
            </w:tcMar>
          </w:tcPr>
          <w:p w14:paraId="72D6916C" w14:textId="73ED2DF3" w:rsidR="00F00731" w:rsidRPr="00D07C8A" w:rsidRDefault="00F00731" w:rsidP="00092AB2">
            <w:pPr>
              <w:tabs>
                <w:tab w:val="left" w:pos="8280"/>
              </w:tabs>
              <w:spacing w:before="20" w:after="20"/>
              <w:ind w:right="-8"/>
              <w:rPr>
                <w:sz w:val="19"/>
                <w:szCs w:val="19"/>
                <w:lang w:val="fr-CA"/>
              </w:rPr>
            </w:pPr>
            <w:r w:rsidRPr="008752EB">
              <w:rPr>
                <w:sz w:val="20"/>
                <w:szCs w:val="20"/>
                <w:lang w:val="fr-CA"/>
              </w:rPr>
              <w:t xml:space="preserve">Límites de consumo del Protocolo de Montreal (tons. </w:t>
            </w:r>
            <w:r w:rsidRPr="007948D7">
              <w:rPr>
                <w:sz w:val="20"/>
                <w:szCs w:val="20"/>
              </w:rPr>
              <w:t>PAO)</w:t>
            </w:r>
          </w:p>
        </w:tc>
        <w:tc>
          <w:tcPr>
            <w:tcW w:w="437" w:type="pct"/>
            <w:tcMar>
              <w:left w:w="57" w:type="dxa"/>
              <w:right w:w="57" w:type="dxa"/>
            </w:tcMar>
          </w:tcPr>
          <w:p w14:paraId="2C95DBC4" w14:textId="77777777" w:rsidR="00F00731" w:rsidRPr="00223A1B" w:rsidRDefault="00F00731" w:rsidP="00751C16">
            <w:pPr>
              <w:tabs>
                <w:tab w:val="left" w:pos="8280"/>
              </w:tabs>
              <w:spacing w:before="20" w:after="20"/>
              <w:jc w:val="right"/>
              <w:rPr>
                <w:sz w:val="19"/>
                <w:szCs w:val="19"/>
              </w:rPr>
            </w:pPr>
            <w:r w:rsidRPr="004A4936">
              <w:rPr>
                <w:sz w:val="20"/>
              </w:rPr>
              <w:t>4</w:t>
            </w:r>
            <w:r>
              <w:rPr>
                <w:sz w:val="20"/>
              </w:rPr>
              <w:t>,</w:t>
            </w:r>
            <w:r w:rsidRPr="004A4936">
              <w:rPr>
                <w:sz w:val="20"/>
              </w:rPr>
              <w:t>88</w:t>
            </w:r>
          </w:p>
        </w:tc>
        <w:tc>
          <w:tcPr>
            <w:tcW w:w="360" w:type="pct"/>
            <w:gridSpan w:val="2"/>
            <w:tcMar>
              <w:left w:w="57" w:type="dxa"/>
              <w:right w:w="57" w:type="dxa"/>
            </w:tcMar>
          </w:tcPr>
          <w:p w14:paraId="0C1CA7AD" w14:textId="77777777" w:rsidR="00F00731" w:rsidRPr="00223A1B" w:rsidRDefault="00F00731" w:rsidP="00751C16">
            <w:pPr>
              <w:tabs>
                <w:tab w:val="left" w:pos="8280"/>
              </w:tabs>
              <w:spacing w:before="20" w:after="20"/>
              <w:jc w:val="right"/>
              <w:rPr>
                <w:sz w:val="19"/>
                <w:szCs w:val="19"/>
              </w:rPr>
            </w:pPr>
            <w:r w:rsidRPr="003F7085">
              <w:rPr>
                <w:sz w:val="20"/>
              </w:rPr>
              <w:t>4,88</w:t>
            </w:r>
          </w:p>
        </w:tc>
        <w:tc>
          <w:tcPr>
            <w:tcW w:w="415" w:type="pct"/>
            <w:tcMar>
              <w:left w:w="57" w:type="dxa"/>
              <w:right w:w="57" w:type="dxa"/>
            </w:tcMar>
          </w:tcPr>
          <w:p w14:paraId="42595789" w14:textId="77777777" w:rsidR="00F00731" w:rsidRPr="00223A1B" w:rsidRDefault="00F00731" w:rsidP="00751C16">
            <w:pPr>
              <w:tabs>
                <w:tab w:val="left" w:pos="8280"/>
              </w:tabs>
              <w:spacing w:before="20" w:after="20"/>
              <w:jc w:val="right"/>
              <w:rPr>
                <w:sz w:val="19"/>
                <w:szCs w:val="19"/>
              </w:rPr>
            </w:pPr>
            <w:r w:rsidRPr="003F7085">
              <w:rPr>
                <w:sz w:val="20"/>
              </w:rPr>
              <w:t>4,88</w:t>
            </w:r>
          </w:p>
        </w:tc>
        <w:tc>
          <w:tcPr>
            <w:tcW w:w="373" w:type="pct"/>
            <w:tcMar>
              <w:left w:w="57" w:type="dxa"/>
              <w:right w:w="57" w:type="dxa"/>
            </w:tcMar>
          </w:tcPr>
          <w:p w14:paraId="78800BBE" w14:textId="77777777" w:rsidR="00F00731" w:rsidRPr="00223A1B" w:rsidRDefault="00F00731" w:rsidP="00751C16">
            <w:pPr>
              <w:tabs>
                <w:tab w:val="left" w:pos="8280"/>
              </w:tabs>
              <w:spacing w:before="20" w:after="20"/>
              <w:jc w:val="right"/>
              <w:rPr>
                <w:sz w:val="19"/>
                <w:szCs w:val="19"/>
              </w:rPr>
            </w:pPr>
            <w:r w:rsidRPr="003F7085">
              <w:rPr>
                <w:sz w:val="20"/>
              </w:rPr>
              <w:t>4,88</w:t>
            </w:r>
          </w:p>
        </w:tc>
        <w:tc>
          <w:tcPr>
            <w:tcW w:w="373" w:type="pct"/>
            <w:gridSpan w:val="2"/>
            <w:tcMar>
              <w:left w:w="57" w:type="dxa"/>
              <w:right w:w="57" w:type="dxa"/>
            </w:tcMar>
          </w:tcPr>
          <w:p w14:paraId="634F6438" w14:textId="77777777" w:rsidR="00F00731" w:rsidRPr="00223A1B" w:rsidRDefault="00F00731" w:rsidP="00751C16">
            <w:pPr>
              <w:tabs>
                <w:tab w:val="left" w:pos="8280"/>
              </w:tabs>
              <w:spacing w:before="20" w:after="20"/>
              <w:jc w:val="right"/>
              <w:rPr>
                <w:sz w:val="19"/>
                <w:szCs w:val="19"/>
              </w:rPr>
            </w:pPr>
            <w:r w:rsidRPr="003F7085">
              <w:rPr>
                <w:sz w:val="20"/>
              </w:rPr>
              <w:t>4,88</w:t>
            </w:r>
          </w:p>
        </w:tc>
        <w:tc>
          <w:tcPr>
            <w:tcW w:w="446" w:type="pct"/>
            <w:tcMar>
              <w:left w:w="57" w:type="dxa"/>
              <w:right w:w="57" w:type="dxa"/>
            </w:tcMar>
          </w:tcPr>
          <w:p w14:paraId="77C49D45" w14:textId="77777777" w:rsidR="00F00731" w:rsidRPr="00223A1B" w:rsidRDefault="00F00731" w:rsidP="00751C16">
            <w:pPr>
              <w:tabs>
                <w:tab w:val="left" w:pos="8280"/>
              </w:tabs>
              <w:spacing w:before="20" w:after="20"/>
              <w:jc w:val="right"/>
              <w:rPr>
                <w:sz w:val="19"/>
                <w:szCs w:val="19"/>
              </w:rPr>
            </w:pPr>
            <w:r w:rsidRPr="00223A1B">
              <w:rPr>
                <w:sz w:val="19"/>
                <w:szCs w:val="19"/>
              </w:rPr>
              <w:t>0</w:t>
            </w:r>
          </w:p>
        </w:tc>
        <w:tc>
          <w:tcPr>
            <w:tcW w:w="511" w:type="pct"/>
            <w:gridSpan w:val="2"/>
            <w:tcMar>
              <w:left w:w="57" w:type="dxa"/>
              <w:right w:w="57" w:type="dxa"/>
            </w:tcMar>
          </w:tcPr>
          <w:p w14:paraId="4CD2539B" w14:textId="749B3449" w:rsidR="00F00731" w:rsidRPr="00223A1B" w:rsidRDefault="00C53CB2" w:rsidP="00751C16">
            <w:pPr>
              <w:tabs>
                <w:tab w:val="left" w:pos="8280"/>
              </w:tabs>
              <w:spacing w:before="20" w:after="20"/>
              <w:jc w:val="right"/>
              <w:rPr>
                <w:sz w:val="19"/>
                <w:szCs w:val="19"/>
              </w:rPr>
            </w:pPr>
            <w:r>
              <w:rPr>
                <w:sz w:val="19"/>
                <w:szCs w:val="19"/>
                <w:lang w:val="fr-FR"/>
              </w:rPr>
              <w:t>n.a</w:t>
            </w:r>
            <w:r w:rsidR="00F00731" w:rsidRPr="005C00BE">
              <w:rPr>
                <w:sz w:val="19"/>
                <w:szCs w:val="19"/>
                <w:lang w:val="fr-FR"/>
              </w:rPr>
              <w:t>.</w:t>
            </w:r>
          </w:p>
        </w:tc>
      </w:tr>
      <w:tr w:rsidR="00F00731" w:rsidRPr="00223A1B" w14:paraId="73181D0C" w14:textId="77777777" w:rsidTr="00ED0241">
        <w:trPr>
          <w:trHeight w:val="189"/>
        </w:trPr>
        <w:tc>
          <w:tcPr>
            <w:tcW w:w="2085" w:type="pct"/>
            <w:gridSpan w:val="3"/>
            <w:tcMar>
              <w:left w:w="28" w:type="dxa"/>
              <w:right w:w="28" w:type="dxa"/>
            </w:tcMar>
          </w:tcPr>
          <w:p w14:paraId="5819EC45" w14:textId="330DF566" w:rsidR="00F00731" w:rsidRPr="00F00731" w:rsidRDefault="00F00731" w:rsidP="00751C16">
            <w:pPr>
              <w:tabs>
                <w:tab w:val="left" w:pos="8280"/>
              </w:tabs>
              <w:spacing w:before="20" w:after="20"/>
              <w:jc w:val="left"/>
              <w:rPr>
                <w:sz w:val="19"/>
                <w:szCs w:val="19"/>
                <w:lang w:val="en-US"/>
              </w:rPr>
            </w:pPr>
            <w:r w:rsidRPr="007948D7">
              <w:rPr>
                <w:sz w:val="20"/>
                <w:szCs w:val="20"/>
              </w:rPr>
              <w:t>Consumo máximo permitido (tons. PAO)</w:t>
            </w:r>
          </w:p>
        </w:tc>
        <w:tc>
          <w:tcPr>
            <w:tcW w:w="437" w:type="pct"/>
            <w:tcMar>
              <w:left w:w="57" w:type="dxa"/>
              <w:right w:w="57" w:type="dxa"/>
            </w:tcMar>
          </w:tcPr>
          <w:p w14:paraId="7589E675" w14:textId="77777777" w:rsidR="00F00731" w:rsidRPr="00223A1B" w:rsidRDefault="00F00731" w:rsidP="00751C16">
            <w:pPr>
              <w:tabs>
                <w:tab w:val="left" w:pos="8280"/>
              </w:tabs>
              <w:spacing w:before="20" w:after="20"/>
              <w:jc w:val="right"/>
              <w:rPr>
                <w:sz w:val="19"/>
                <w:szCs w:val="19"/>
              </w:rPr>
            </w:pPr>
            <w:r w:rsidRPr="006C15CC">
              <w:rPr>
                <w:sz w:val="20"/>
              </w:rPr>
              <w:t>4,88</w:t>
            </w:r>
          </w:p>
        </w:tc>
        <w:tc>
          <w:tcPr>
            <w:tcW w:w="360" w:type="pct"/>
            <w:gridSpan w:val="2"/>
            <w:tcMar>
              <w:left w:w="57" w:type="dxa"/>
              <w:right w:w="57" w:type="dxa"/>
            </w:tcMar>
          </w:tcPr>
          <w:p w14:paraId="465B1D13" w14:textId="77777777" w:rsidR="00F00731" w:rsidRPr="00223A1B" w:rsidRDefault="00F00731" w:rsidP="00751C16">
            <w:pPr>
              <w:tabs>
                <w:tab w:val="left" w:pos="8280"/>
              </w:tabs>
              <w:spacing w:before="20" w:after="20"/>
              <w:jc w:val="right"/>
              <w:rPr>
                <w:sz w:val="19"/>
                <w:szCs w:val="19"/>
              </w:rPr>
            </w:pPr>
            <w:r w:rsidRPr="006C15CC">
              <w:rPr>
                <w:sz w:val="20"/>
              </w:rPr>
              <w:t>4,88</w:t>
            </w:r>
          </w:p>
        </w:tc>
        <w:tc>
          <w:tcPr>
            <w:tcW w:w="415" w:type="pct"/>
            <w:tcMar>
              <w:left w:w="57" w:type="dxa"/>
              <w:right w:w="57" w:type="dxa"/>
            </w:tcMar>
          </w:tcPr>
          <w:p w14:paraId="3077446F" w14:textId="77777777" w:rsidR="00F00731" w:rsidRPr="00223A1B" w:rsidRDefault="00F00731" w:rsidP="00751C16">
            <w:pPr>
              <w:tabs>
                <w:tab w:val="left" w:pos="8280"/>
              </w:tabs>
              <w:spacing w:before="20" w:after="20"/>
              <w:jc w:val="right"/>
              <w:rPr>
                <w:sz w:val="19"/>
                <w:szCs w:val="19"/>
              </w:rPr>
            </w:pPr>
            <w:r w:rsidRPr="006C15CC">
              <w:rPr>
                <w:sz w:val="20"/>
              </w:rPr>
              <w:t>4,88</w:t>
            </w:r>
          </w:p>
        </w:tc>
        <w:tc>
          <w:tcPr>
            <w:tcW w:w="373" w:type="pct"/>
            <w:tcMar>
              <w:left w:w="57" w:type="dxa"/>
              <w:right w:w="57" w:type="dxa"/>
            </w:tcMar>
          </w:tcPr>
          <w:p w14:paraId="6A892AB1" w14:textId="77777777" w:rsidR="00F00731" w:rsidRPr="00223A1B" w:rsidRDefault="00F00731" w:rsidP="00751C16">
            <w:pPr>
              <w:tabs>
                <w:tab w:val="left" w:pos="8280"/>
              </w:tabs>
              <w:spacing w:before="20" w:after="20"/>
              <w:jc w:val="right"/>
              <w:rPr>
                <w:sz w:val="19"/>
                <w:szCs w:val="19"/>
              </w:rPr>
            </w:pPr>
            <w:r w:rsidRPr="006C15CC">
              <w:rPr>
                <w:sz w:val="20"/>
              </w:rPr>
              <w:t>4,88</w:t>
            </w:r>
          </w:p>
        </w:tc>
        <w:tc>
          <w:tcPr>
            <w:tcW w:w="373" w:type="pct"/>
            <w:gridSpan w:val="2"/>
            <w:tcMar>
              <w:left w:w="57" w:type="dxa"/>
              <w:right w:w="57" w:type="dxa"/>
            </w:tcMar>
          </w:tcPr>
          <w:p w14:paraId="2B37B65F" w14:textId="77777777" w:rsidR="00F00731" w:rsidRPr="00223A1B" w:rsidRDefault="00F00731" w:rsidP="00751C16">
            <w:pPr>
              <w:tabs>
                <w:tab w:val="left" w:pos="8280"/>
              </w:tabs>
              <w:spacing w:before="20" w:after="20"/>
              <w:jc w:val="right"/>
              <w:rPr>
                <w:sz w:val="19"/>
                <w:szCs w:val="19"/>
              </w:rPr>
            </w:pPr>
            <w:r w:rsidRPr="006C15CC">
              <w:rPr>
                <w:sz w:val="20"/>
              </w:rPr>
              <w:t>4,88</w:t>
            </w:r>
          </w:p>
        </w:tc>
        <w:tc>
          <w:tcPr>
            <w:tcW w:w="446" w:type="pct"/>
            <w:tcMar>
              <w:left w:w="57" w:type="dxa"/>
              <w:right w:w="57" w:type="dxa"/>
            </w:tcMar>
          </w:tcPr>
          <w:p w14:paraId="135C2DD6" w14:textId="77777777" w:rsidR="00F00731" w:rsidRPr="00223A1B" w:rsidRDefault="00F00731" w:rsidP="00751C16">
            <w:pPr>
              <w:tabs>
                <w:tab w:val="left" w:pos="8280"/>
              </w:tabs>
              <w:spacing w:before="20" w:after="20"/>
              <w:jc w:val="right"/>
              <w:rPr>
                <w:sz w:val="19"/>
                <w:szCs w:val="19"/>
              </w:rPr>
            </w:pPr>
            <w:r w:rsidRPr="00223A1B">
              <w:rPr>
                <w:sz w:val="19"/>
                <w:szCs w:val="19"/>
              </w:rPr>
              <w:t>0</w:t>
            </w:r>
          </w:p>
        </w:tc>
        <w:tc>
          <w:tcPr>
            <w:tcW w:w="511" w:type="pct"/>
            <w:gridSpan w:val="2"/>
            <w:tcMar>
              <w:left w:w="57" w:type="dxa"/>
              <w:right w:w="57" w:type="dxa"/>
            </w:tcMar>
          </w:tcPr>
          <w:p w14:paraId="52571D9E" w14:textId="3E2A9CE3" w:rsidR="00F00731" w:rsidRPr="00223A1B" w:rsidRDefault="00C53CB2" w:rsidP="00751C16">
            <w:pPr>
              <w:tabs>
                <w:tab w:val="left" w:pos="8280"/>
              </w:tabs>
              <w:spacing w:before="20" w:after="20"/>
              <w:jc w:val="right"/>
              <w:rPr>
                <w:sz w:val="19"/>
                <w:szCs w:val="19"/>
              </w:rPr>
            </w:pPr>
            <w:r>
              <w:rPr>
                <w:sz w:val="19"/>
                <w:szCs w:val="19"/>
                <w:lang w:val="fr-FR"/>
              </w:rPr>
              <w:t>n.a</w:t>
            </w:r>
            <w:r w:rsidR="00F00731" w:rsidRPr="005C00BE">
              <w:rPr>
                <w:sz w:val="19"/>
                <w:szCs w:val="19"/>
                <w:lang w:val="fr-FR"/>
              </w:rPr>
              <w:t>.</w:t>
            </w:r>
          </w:p>
        </w:tc>
      </w:tr>
      <w:tr w:rsidR="00ED0241" w:rsidRPr="004A4936" w14:paraId="7B72E899" w14:textId="77777777" w:rsidTr="00C536B4">
        <w:trPr>
          <w:trHeight w:val="367"/>
        </w:trPr>
        <w:tc>
          <w:tcPr>
            <w:tcW w:w="723" w:type="pct"/>
            <w:vMerge w:val="restart"/>
            <w:vAlign w:val="center"/>
          </w:tcPr>
          <w:p w14:paraId="6F421125" w14:textId="71DF61E8" w:rsidR="00ED0241" w:rsidRPr="002865EE" w:rsidRDefault="00ED0241" w:rsidP="00ED0241">
            <w:pPr>
              <w:tabs>
                <w:tab w:val="left" w:pos="8280"/>
              </w:tabs>
              <w:spacing w:before="20" w:after="20"/>
              <w:jc w:val="left"/>
              <w:rPr>
                <w:sz w:val="20"/>
                <w:lang w:val="fr-FR"/>
              </w:rPr>
            </w:pPr>
            <w:r w:rsidRPr="008752EB">
              <w:rPr>
                <w:sz w:val="20"/>
                <w:szCs w:val="20"/>
                <w:lang w:val="fr-CA"/>
              </w:rPr>
              <w:t>Costos del proyecto solicitados en principio (USD)</w:t>
            </w:r>
          </w:p>
        </w:tc>
        <w:tc>
          <w:tcPr>
            <w:tcW w:w="483" w:type="pct"/>
            <w:vMerge w:val="restart"/>
            <w:vAlign w:val="center"/>
          </w:tcPr>
          <w:p w14:paraId="5498A769" w14:textId="6B04F6BF" w:rsidR="00ED0241" w:rsidRPr="000F19FF" w:rsidRDefault="00C536B4" w:rsidP="00ED0241">
            <w:pPr>
              <w:tabs>
                <w:tab w:val="left" w:pos="8280"/>
              </w:tabs>
              <w:spacing w:before="20" w:after="20"/>
              <w:jc w:val="center"/>
              <w:rPr>
                <w:sz w:val="20"/>
              </w:rPr>
            </w:pPr>
            <w:r>
              <w:rPr>
                <w:color w:val="000000" w:themeColor="text1"/>
                <w:sz w:val="20"/>
              </w:rPr>
              <w:t>PNUMA</w:t>
            </w:r>
          </w:p>
        </w:tc>
        <w:tc>
          <w:tcPr>
            <w:tcW w:w="879" w:type="pct"/>
          </w:tcPr>
          <w:p w14:paraId="7F5B416E" w14:textId="7D684EC7" w:rsidR="00ED0241" w:rsidRPr="00996241" w:rsidRDefault="00ED0241" w:rsidP="00ED0241">
            <w:pPr>
              <w:tabs>
                <w:tab w:val="left" w:pos="8280"/>
              </w:tabs>
              <w:spacing w:before="20" w:after="20"/>
              <w:jc w:val="left"/>
              <w:rPr>
                <w:sz w:val="20"/>
              </w:rPr>
            </w:pPr>
            <w:r w:rsidRPr="007948D7">
              <w:rPr>
                <w:sz w:val="20"/>
                <w:szCs w:val="20"/>
              </w:rPr>
              <w:t>Costos del proyecto</w:t>
            </w:r>
          </w:p>
        </w:tc>
        <w:tc>
          <w:tcPr>
            <w:tcW w:w="445" w:type="pct"/>
            <w:gridSpan w:val="2"/>
          </w:tcPr>
          <w:p w14:paraId="6AEA1471" w14:textId="74DB66BD" w:rsidR="00ED0241" w:rsidRPr="004A4936" w:rsidRDefault="00ED0241" w:rsidP="00ED0241">
            <w:pPr>
              <w:tabs>
                <w:tab w:val="left" w:pos="8280"/>
              </w:tabs>
              <w:spacing w:before="20" w:after="20"/>
              <w:jc w:val="right"/>
              <w:rPr>
                <w:sz w:val="20"/>
                <w:szCs w:val="20"/>
              </w:rPr>
            </w:pPr>
            <w:r w:rsidRPr="004A4936">
              <w:rPr>
                <w:sz w:val="20"/>
                <w:szCs w:val="20"/>
                <w:lang w:val="en-GB"/>
              </w:rPr>
              <w:t>276</w:t>
            </w:r>
            <w:r>
              <w:rPr>
                <w:sz w:val="20"/>
                <w:szCs w:val="20"/>
                <w:lang w:val="en-GB"/>
              </w:rPr>
              <w:t>.</w:t>
            </w:r>
            <w:r w:rsidRPr="004A4936">
              <w:rPr>
                <w:sz w:val="20"/>
                <w:szCs w:val="20"/>
                <w:lang w:val="en-GB"/>
              </w:rPr>
              <w:t>500</w:t>
            </w:r>
          </w:p>
        </w:tc>
        <w:tc>
          <w:tcPr>
            <w:tcW w:w="352" w:type="pct"/>
          </w:tcPr>
          <w:p w14:paraId="311F1A14" w14:textId="25A48C93" w:rsidR="00ED0241" w:rsidRPr="004A4936" w:rsidRDefault="00ED0241" w:rsidP="00ED0241">
            <w:pPr>
              <w:tabs>
                <w:tab w:val="left" w:pos="8280"/>
              </w:tabs>
              <w:spacing w:before="20" w:after="20"/>
              <w:jc w:val="right"/>
              <w:rPr>
                <w:sz w:val="20"/>
                <w:szCs w:val="20"/>
              </w:rPr>
            </w:pPr>
            <w:r w:rsidRPr="004A4936">
              <w:rPr>
                <w:sz w:val="20"/>
                <w:szCs w:val="20"/>
                <w:lang w:val="en-GB" w:eastAsia="en-CA"/>
              </w:rPr>
              <w:t>0</w:t>
            </w:r>
          </w:p>
        </w:tc>
        <w:tc>
          <w:tcPr>
            <w:tcW w:w="415" w:type="pct"/>
          </w:tcPr>
          <w:p w14:paraId="113841D1" w14:textId="67B974C5" w:rsidR="00ED0241" w:rsidRPr="004A4936" w:rsidRDefault="00ED0241" w:rsidP="00ED0241">
            <w:pPr>
              <w:tabs>
                <w:tab w:val="left" w:pos="8280"/>
              </w:tabs>
              <w:spacing w:before="20" w:after="20"/>
              <w:jc w:val="right"/>
              <w:rPr>
                <w:sz w:val="20"/>
                <w:szCs w:val="20"/>
              </w:rPr>
            </w:pPr>
            <w:r w:rsidRPr="004A4936">
              <w:rPr>
                <w:sz w:val="20"/>
                <w:szCs w:val="20"/>
                <w:lang w:val="en-GB"/>
              </w:rPr>
              <w:t>265</w:t>
            </w:r>
            <w:r>
              <w:rPr>
                <w:sz w:val="20"/>
                <w:szCs w:val="20"/>
                <w:lang w:val="en-GB"/>
              </w:rPr>
              <w:t>.</w:t>
            </w:r>
            <w:r w:rsidRPr="004A4936">
              <w:rPr>
                <w:sz w:val="20"/>
                <w:szCs w:val="20"/>
                <w:lang w:val="en-GB"/>
              </w:rPr>
              <w:t>500</w:t>
            </w:r>
          </w:p>
        </w:tc>
        <w:tc>
          <w:tcPr>
            <w:tcW w:w="373" w:type="pct"/>
          </w:tcPr>
          <w:p w14:paraId="3641AC85" w14:textId="724F2C51" w:rsidR="00ED0241" w:rsidRPr="004A4936" w:rsidRDefault="00ED0241" w:rsidP="00ED0241">
            <w:pPr>
              <w:tabs>
                <w:tab w:val="left" w:pos="8280"/>
              </w:tabs>
              <w:spacing w:before="20" w:after="20"/>
              <w:jc w:val="right"/>
              <w:rPr>
                <w:sz w:val="20"/>
                <w:szCs w:val="20"/>
              </w:rPr>
            </w:pPr>
            <w:r w:rsidRPr="004A4936">
              <w:rPr>
                <w:sz w:val="20"/>
                <w:szCs w:val="20"/>
                <w:lang w:val="en-GB" w:eastAsia="en-CA"/>
              </w:rPr>
              <w:t>0</w:t>
            </w:r>
          </w:p>
        </w:tc>
        <w:tc>
          <w:tcPr>
            <w:tcW w:w="366" w:type="pct"/>
          </w:tcPr>
          <w:p w14:paraId="108429A2" w14:textId="31FF44A0" w:rsidR="00ED0241" w:rsidRPr="004A4936" w:rsidRDefault="00ED0241" w:rsidP="00ED0241">
            <w:pPr>
              <w:tabs>
                <w:tab w:val="left" w:pos="8280"/>
              </w:tabs>
              <w:spacing w:before="20" w:after="20"/>
              <w:jc w:val="right"/>
              <w:rPr>
                <w:sz w:val="20"/>
                <w:szCs w:val="20"/>
              </w:rPr>
            </w:pPr>
            <w:r>
              <w:rPr>
                <w:sz w:val="20"/>
                <w:szCs w:val="20"/>
                <w:lang w:val="en-GB"/>
              </w:rPr>
              <w:t>0</w:t>
            </w:r>
          </w:p>
        </w:tc>
        <w:tc>
          <w:tcPr>
            <w:tcW w:w="463" w:type="pct"/>
            <w:gridSpan w:val="3"/>
          </w:tcPr>
          <w:p w14:paraId="393DF1FC" w14:textId="11431E48" w:rsidR="00ED0241" w:rsidRPr="00DE28CA" w:rsidRDefault="00ED0241" w:rsidP="00ED0241">
            <w:pPr>
              <w:tabs>
                <w:tab w:val="left" w:pos="8280"/>
              </w:tabs>
              <w:spacing w:before="20" w:after="20"/>
              <w:jc w:val="right"/>
              <w:rPr>
                <w:sz w:val="20"/>
                <w:szCs w:val="20"/>
              </w:rPr>
            </w:pPr>
            <w:r w:rsidRPr="00DE28CA">
              <w:rPr>
                <w:sz w:val="20"/>
                <w:szCs w:val="20"/>
                <w:lang w:val="en-GB"/>
              </w:rPr>
              <w:t>104</w:t>
            </w:r>
            <w:r>
              <w:rPr>
                <w:sz w:val="20"/>
                <w:szCs w:val="20"/>
                <w:lang w:val="en-GB"/>
              </w:rPr>
              <w:t>.</w:t>
            </w:r>
            <w:r w:rsidRPr="00DE28CA">
              <w:rPr>
                <w:sz w:val="20"/>
                <w:szCs w:val="20"/>
                <w:lang w:val="en-GB"/>
              </w:rPr>
              <w:t>000</w:t>
            </w:r>
          </w:p>
        </w:tc>
        <w:tc>
          <w:tcPr>
            <w:tcW w:w="501" w:type="pct"/>
          </w:tcPr>
          <w:p w14:paraId="18792AFD" w14:textId="42630573" w:rsidR="00ED0241" w:rsidRPr="004A4936" w:rsidRDefault="00ED0241" w:rsidP="00ED0241">
            <w:pPr>
              <w:tabs>
                <w:tab w:val="left" w:pos="8280"/>
              </w:tabs>
              <w:spacing w:before="20" w:after="20"/>
              <w:jc w:val="right"/>
              <w:rPr>
                <w:sz w:val="20"/>
                <w:szCs w:val="20"/>
              </w:rPr>
            </w:pPr>
            <w:r w:rsidRPr="004A4936">
              <w:rPr>
                <w:sz w:val="20"/>
                <w:szCs w:val="20"/>
                <w:lang w:val="en-GB"/>
              </w:rPr>
              <w:t>646</w:t>
            </w:r>
            <w:r>
              <w:rPr>
                <w:sz w:val="20"/>
                <w:szCs w:val="20"/>
                <w:lang w:val="en-GB"/>
              </w:rPr>
              <w:t>.</w:t>
            </w:r>
            <w:r w:rsidRPr="004A4936">
              <w:rPr>
                <w:sz w:val="20"/>
                <w:szCs w:val="20"/>
                <w:lang w:val="en-GB"/>
              </w:rPr>
              <w:t>000</w:t>
            </w:r>
          </w:p>
        </w:tc>
      </w:tr>
      <w:tr w:rsidR="00ED0241" w:rsidRPr="004A4936" w14:paraId="3AA6438D" w14:textId="77777777" w:rsidTr="00C536B4">
        <w:trPr>
          <w:trHeight w:val="332"/>
        </w:trPr>
        <w:tc>
          <w:tcPr>
            <w:tcW w:w="723" w:type="pct"/>
            <w:vMerge/>
          </w:tcPr>
          <w:p w14:paraId="02523ABC" w14:textId="77777777" w:rsidR="00ED0241" w:rsidRPr="000F19FF" w:rsidRDefault="00ED0241" w:rsidP="00ED0241">
            <w:pPr>
              <w:tabs>
                <w:tab w:val="left" w:pos="8280"/>
              </w:tabs>
              <w:spacing w:before="20" w:after="20"/>
              <w:jc w:val="left"/>
              <w:rPr>
                <w:sz w:val="20"/>
              </w:rPr>
            </w:pPr>
          </w:p>
        </w:tc>
        <w:tc>
          <w:tcPr>
            <w:tcW w:w="483" w:type="pct"/>
            <w:vMerge/>
            <w:vAlign w:val="center"/>
          </w:tcPr>
          <w:p w14:paraId="27A3E93C" w14:textId="77777777" w:rsidR="00ED0241" w:rsidRPr="000F19FF" w:rsidRDefault="00ED0241" w:rsidP="00ED0241">
            <w:pPr>
              <w:tabs>
                <w:tab w:val="left" w:pos="8280"/>
              </w:tabs>
              <w:spacing w:before="20" w:after="20"/>
              <w:jc w:val="left"/>
              <w:rPr>
                <w:sz w:val="20"/>
              </w:rPr>
            </w:pPr>
          </w:p>
        </w:tc>
        <w:tc>
          <w:tcPr>
            <w:tcW w:w="879" w:type="pct"/>
          </w:tcPr>
          <w:p w14:paraId="56375959" w14:textId="006675AD" w:rsidR="00ED0241" w:rsidRPr="00996241" w:rsidRDefault="00ED0241" w:rsidP="00ED0241">
            <w:pPr>
              <w:tabs>
                <w:tab w:val="left" w:pos="8280"/>
              </w:tabs>
              <w:spacing w:before="20" w:after="20"/>
              <w:jc w:val="left"/>
              <w:rPr>
                <w:sz w:val="20"/>
              </w:rPr>
            </w:pPr>
            <w:r w:rsidRPr="007948D7">
              <w:rPr>
                <w:sz w:val="20"/>
                <w:szCs w:val="20"/>
              </w:rPr>
              <w:t>Gastos de apoyo</w:t>
            </w:r>
          </w:p>
        </w:tc>
        <w:tc>
          <w:tcPr>
            <w:tcW w:w="445" w:type="pct"/>
            <w:gridSpan w:val="2"/>
          </w:tcPr>
          <w:p w14:paraId="246B7ECE" w14:textId="6C2DBB39" w:rsidR="00ED0241" w:rsidRPr="004A4936" w:rsidRDefault="00ED0241" w:rsidP="00ED0241">
            <w:pPr>
              <w:tabs>
                <w:tab w:val="left" w:pos="8280"/>
              </w:tabs>
              <w:spacing w:before="20" w:after="20"/>
              <w:jc w:val="right"/>
              <w:rPr>
                <w:sz w:val="20"/>
                <w:szCs w:val="20"/>
              </w:rPr>
            </w:pPr>
            <w:r w:rsidRPr="005430F1">
              <w:rPr>
                <w:sz w:val="20"/>
                <w:szCs w:val="20"/>
                <w:lang w:val="en-GB" w:eastAsia="en-CA"/>
              </w:rPr>
              <w:t>34</w:t>
            </w:r>
            <w:r>
              <w:rPr>
                <w:sz w:val="20"/>
                <w:szCs w:val="20"/>
                <w:lang w:val="en-GB" w:eastAsia="en-CA"/>
              </w:rPr>
              <w:t>.</w:t>
            </w:r>
            <w:r w:rsidRPr="005430F1">
              <w:rPr>
                <w:sz w:val="20"/>
                <w:szCs w:val="20"/>
                <w:lang w:val="en-GB" w:eastAsia="en-CA"/>
              </w:rPr>
              <w:t>695</w:t>
            </w:r>
          </w:p>
        </w:tc>
        <w:tc>
          <w:tcPr>
            <w:tcW w:w="352" w:type="pct"/>
          </w:tcPr>
          <w:p w14:paraId="4AEC65A6" w14:textId="315A3BD1"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15" w:type="pct"/>
          </w:tcPr>
          <w:p w14:paraId="6A046FB6" w14:textId="2E675596" w:rsidR="00ED0241" w:rsidRPr="004A4936" w:rsidRDefault="00ED0241" w:rsidP="00ED0241">
            <w:pPr>
              <w:tabs>
                <w:tab w:val="left" w:pos="8280"/>
              </w:tabs>
              <w:spacing w:before="20" w:after="20"/>
              <w:jc w:val="right"/>
              <w:rPr>
                <w:sz w:val="20"/>
                <w:szCs w:val="20"/>
              </w:rPr>
            </w:pPr>
            <w:r w:rsidRPr="005430F1">
              <w:rPr>
                <w:sz w:val="20"/>
                <w:szCs w:val="20"/>
                <w:lang w:val="en-GB" w:eastAsia="en-CA"/>
              </w:rPr>
              <w:t>33</w:t>
            </w:r>
            <w:r>
              <w:rPr>
                <w:sz w:val="20"/>
                <w:szCs w:val="20"/>
                <w:lang w:val="en-GB" w:eastAsia="en-CA"/>
              </w:rPr>
              <w:t>.</w:t>
            </w:r>
            <w:r w:rsidRPr="005430F1">
              <w:rPr>
                <w:sz w:val="20"/>
                <w:szCs w:val="20"/>
                <w:lang w:val="en-GB" w:eastAsia="en-CA"/>
              </w:rPr>
              <w:t>315</w:t>
            </w:r>
          </w:p>
        </w:tc>
        <w:tc>
          <w:tcPr>
            <w:tcW w:w="373" w:type="pct"/>
          </w:tcPr>
          <w:p w14:paraId="473E9439" w14:textId="183B626D"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366" w:type="pct"/>
          </w:tcPr>
          <w:p w14:paraId="46C93941" w14:textId="4144D20E"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63" w:type="pct"/>
            <w:gridSpan w:val="3"/>
          </w:tcPr>
          <w:p w14:paraId="30A657B1" w14:textId="6D5EA0A6" w:rsidR="00ED0241" w:rsidRPr="00DE28CA" w:rsidRDefault="00ED0241" w:rsidP="00ED0241">
            <w:pPr>
              <w:tabs>
                <w:tab w:val="left" w:pos="8280"/>
              </w:tabs>
              <w:spacing w:before="20" w:after="20"/>
              <w:jc w:val="right"/>
              <w:rPr>
                <w:sz w:val="20"/>
                <w:szCs w:val="20"/>
              </w:rPr>
            </w:pPr>
            <w:r w:rsidRPr="005430F1">
              <w:rPr>
                <w:sz w:val="20"/>
                <w:szCs w:val="20"/>
                <w:lang w:val="en-GB" w:eastAsia="en-CA"/>
              </w:rPr>
              <w:t>13</w:t>
            </w:r>
            <w:r>
              <w:rPr>
                <w:sz w:val="20"/>
                <w:szCs w:val="20"/>
                <w:lang w:val="en-GB" w:eastAsia="en-CA"/>
              </w:rPr>
              <w:t>.</w:t>
            </w:r>
            <w:r w:rsidRPr="005430F1">
              <w:rPr>
                <w:sz w:val="20"/>
                <w:szCs w:val="20"/>
                <w:lang w:val="en-GB" w:eastAsia="en-CA"/>
              </w:rPr>
              <w:t>050</w:t>
            </w:r>
          </w:p>
        </w:tc>
        <w:tc>
          <w:tcPr>
            <w:tcW w:w="501" w:type="pct"/>
          </w:tcPr>
          <w:p w14:paraId="787EFC69" w14:textId="62216740" w:rsidR="00ED0241" w:rsidRPr="004A4936" w:rsidRDefault="00ED0241" w:rsidP="00ED0241">
            <w:pPr>
              <w:tabs>
                <w:tab w:val="left" w:pos="8280"/>
              </w:tabs>
              <w:spacing w:before="20" w:after="20"/>
              <w:jc w:val="right"/>
              <w:rPr>
                <w:sz w:val="20"/>
                <w:szCs w:val="20"/>
              </w:rPr>
            </w:pPr>
            <w:r w:rsidRPr="005430F1">
              <w:rPr>
                <w:sz w:val="20"/>
                <w:szCs w:val="20"/>
                <w:lang w:val="en-GB" w:eastAsia="en-CA"/>
              </w:rPr>
              <w:t>81</w:t>
            </w:r>
            <w:r>
              <w:rPr>
                <w:sz w:val="20"/>
                <w:szCs w:val="20"/>
                <w:lang w:val="en-GB" w:eastAsia="en-CA"/>
              </w:rPr>
              <w:t>.</w:t>
            </w:r>
            <w:r w:rsidRPr="005430F1">
              <w:rPr>
                <w:sz w:val="20"/>
                <w:szCs w:val="20"/>
                <w:lang w:val="en-GB" w:eastAsia="en-CA"/>
              </w:rPr>
              <w:t>060</w:t>
            </w:r>
          </w:p>
        </w:tc>
      </w:tr>
      <w:tr w:rsidR="00ED0241" w:rsidRPr="004A4936" w14:paraId="2D4F06A8" w14:textId="77777777" w:rsidTr="00C536B4">
        <w:trPr>
          <w:trHeight w:val="349"/>
        </w:trPr>
        <w:tc>
          <w:tcPr>
            <w:tcW w:w="723" w:type="pct"/>
            <w:vMerge/>
            <w:vAlign w:val="center"/>
          </w:tcPr>
          <w:p w14:paraId="177A585C" w14:textId="77777777" w:rsidR="00ED0241" w:rsidRPr="000F19FF" w:rsidRDefault="00ED0241" w:rsidP="00ED0241">
            <w:pPr>
              <w:tabs>
                <w:tab w:val="left" w:pos="8280"/>
              </w:tabs>
              <w:spacing w:before="20" w:after="20"/>
              <w:jc w:val="left"/>
              <w:rPr>
                <w:sz w:val="20"/>
              </w:rPr>
            </w:pPr>
          </w:p>
        </w:tc>
        <w:tc>
          <w:tcPr>
            <w:tcW w:w="483" w:type="pct"/>
            <w:vMerge w:val="restart"/>
            <w:vAlign w:val="center"/>
          </w:tcPr>
          <w:p w14:paraId="4B9C769F" w14:textId="171DF29F" w:rsidR="00ED0241" w:rsidRPr="000F19FF" w:rsidRDefault="00C536B4" w:rsidP="00ED0241">
            <w:pPr>
              <w:tabs>
                <w:tab w:val="left" w:pos="8280"/>
              </w:tabs>
              <w:spacing w:before="20" w:after="20"/>
              <w:jc w:val="center"/>
              <w:rPr>
                <w:sz w:val="20"/>
              </w:rPr>
            </w:pPr>
            <w:r>
              <w:rPr>
                <w:color w:val="000000" w:themeColor="text1"/>
                <w:sz w:val="20"/>
              </w:rPr>
              <w:t>PNUD</w:t>
            </w:r>
          </w:p>
        </w:tc>
        <w:tc>
          <w:tcPr>
            <w:tcW w:w="879" w:type="pct"/>
          </w:tcPr>
          <w:p w14:paraId="4C7F8A40" w14:textId="725CE82B" w:rsidR="00ED0241" w:rsidRPr="00996241" w:rsidRDefault="00ED0241" w:rsidP="00ED0241">
            <w:pPr>
              <w:tabs>
                <w:tab w:val="left" w:pos="8280"/>
              </w:tabs>
              <w:spacing w:before="20" w:after="20"/>
              <w:jc w:val="left"/>
              <w:rPr>
                <w:sz w:val="20"/>
              </w:rPr>
            </w:pPr>
            <w:r w:rsidRPr="007948D7">
              <w:rPr>
                <w:sz w:val="20"/>
                <w:szCs w:val="20"/>
              </w:rPr>
              <w:t>Costos del proyecto</w:t>
            </w:r>
          </w:p>
        </w:tc>
        <w:tc>
          <w:tcPr>
            <w:tcW w:w="445" w:type="pct"/>
            <w:gridSpan w:val="2"/>
          </w:tcPr>
          <w:p w14:paraId="53E7A6F2" w14:textId="5CBD8E15" w:rsidR="00ED0241" w:rsidRPr="004A4936" w:rsidRDefault="00ED0241" w:rsidP="00ED0241">
            <w:pPr>
              <w:tabs>
                <w:tab w:val="left" w:pos="8280"/>
              </w:tabs>
              <w:spacing w:before="20" w:after="20"/>
              <w:jc w:val="right"/>
              <w:rPr>
                <w:sz w:val="20"/>
                <w:szCs w:val="20"/>
              </w:rPr>
            </w:pPr>
            <w:r w:rsidRPr="005430F1">
              <w:rPr>
                <w:sz w:val="20"/>
                <w:szCs w:val="20"/>
                <w:lang w:val="en-GB"/>
              </w:rPr>
              <w:t>246</w:t>
            </w:r>
            <w:r>
              <w:rPr>
                <w:sz w:val="20"/>
                <w:szCs w:val="20"/>
                <w:lang w:val="en-GB"/>
              </w:rPr>
              <w:t>.</w:t>
            </w:r>
            <w:r w:rsidRPr="005430F1">
              <w:rPr>
                <w:sz w:val="20"/>
                <w:szCs w:val="20"/>
                <w:lang w:val="en-GB"/>
              </w:rPr>
              <w:t>500</w:t>
            </w:r>
          </w:p>
        </w:tc>
        <w:tc>
          <w:tcPr>
            <w:tcW w:w="352" w:type="pct"/>
          </w:tcPr>
          <w:p w14:paraId="78FC68C1" w14:textId="63291600"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15" w:type="pct"/>
          </w:tcPr>
          <w:p w14:paraId="064BA1F6" w14:textId="59890CB4" w:rsidR="00ED0241" w:rsidRPr="004A4936" w:rsidRDefault="00ED0241" w:rsidP="00ED0241">
            <w:pPr>
              <w:tabs>
                <w:tab w:val="left" w:pos="8280"/>
              </w:tabs>
              <w:spacing w:before="20" w:after="20"/>
              <w:jc w:val="right"/>
              <w:rPr>
                <w:sz w:val="20"/>
                <w:szCs w:val="20"/>
              </w:rPr>
            </w:pPr>
            <w:r w:rsidRPr="005430F1">
              <w:rPr>
                <w:sz w:val="20"/>
                <w:szCs w:val="20"/>
                <w:lang w:val="en-GB"/>
              </w:rPr>
              <w:t>147</w:t>
            </w:r>
            <w:r>
              <w:rPr>
                <w:sz w:val="20"/>
                <w:szCs w:val="20"/>
                <w:lang w:val="en-GB"/>
              </w:rPr>
              <w:t>.</w:t>
            </w:r>
            <w:r w:rsidRPr="005430F1">
              <w:rPr>
                <w:sz w:val="20"/>
                <w:szCs w:val="20"/>
                <w:lang w:val="en-GB"/>
              </w:rPr>
              <w:t>500</w:t>
            </w:r>
          </w:p>
        </w:tc>
        <w:tc>
          <w:tcPr>
            <w:tcW w:w="373" w:type="pct"/>
          </w:tcPr>
          <w:p w14:paraId="1E9118EF" w14:textId="4FD1CA8B"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366" w:type="pct"/>
          </w:tcPr>
          <w:p w14:paraId="3F765600" w14:textId="39F52590"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63" w:type="pct"/>
            <w:gridSpan w:val="3"/>
          </w:tcPr>
          <w:p w14:paraId="39CE1B49" w14:textId="28F92C45" w:rsidR="00ED0241" w:rsidRPr="00DE28CA" w:rsidRDefault="00ED0241" w:rsidP="00ED0241">
            <w:pPr>
              <w:tabs>
                <w:tab w:val="left" w:pos="8280"/>
              </w:tabs>
              <w:spacing w:before="20" w:after="20"/>
              <w:jc w:val="right"/>
              <w:rPr>
                <w:sz w:val="20"/>
                <w:szCs w:val="20"/>
              </w:rPr>
            </w:pPr>
            <w:r w:rsidRPr="005430F1">
              <w:rPr>
                <w:sz w:val="20"/>
                <w:szCs w:val="20"/>
                <w:lang w:val="en-GB" w:eastAsia="en-CA"/>
              </w:rPr>
              <w:t>0</w:t>
            </w:r>
          </w:p>
        </w:tc>
        <w:tc>
          <w:tcPr>
            <w:tcW w:w="501" w:type="pct"/>
          </w:tcPr>
          <w:p w14:paraId="32F99ED4" w14:textId="562825AE" w:rsidR="00ED0241" w:rsidRPr="004A4936" w:rsidRDefault="00ED0241" w:rsidP="00ED0241">
            <w:pPr>
              <w:tabs>
                <w:tab w:val="left" w:pos="8280"/>
              </w:tabs>
              <w:spacing w:before="20" w:after="20"/>
              <w:jc w:val="right"/>
              <w:rPr>
                <w:sz w:val="20"/>
                <w:szCs w:val="20"/>
              </w:rPr>
            </w:pPr>
            <w:r w:rsidRPr="005430F1">
              <w:rPr>
                <w:sz w:val="20"/>
                <w:szCs w:val="20"/>
                <w:lang w:val="en-GB"/>
              </w:rPr>
              <w:t>394</w:t>
            </w:r>
            <w:r>
              <w:rPr>
                <w:sz w:val="20"/>
                <w:szCs w:val="20"/>
                <w:lang w:val="en-GB"/>
              </w:rPr>
              <w:t>.</w:t>
            </w:r>
            <w:r w:rsidRPr="005430F1">
              <w:rPr>
                <w:sz w:val="20"/>
                <w:szCs w:val="20"/>
                <w:lang w:val="en-GB"/>
              </w:rPr>
              <w:t>000</w:t>
            </w:r>
          </w:p>
        </w:tc>
      </w:tr>
      <w:tr w:rsidR="00ED0241" w:rsidRPr="004A4936" w14:paraId="3E472182" w14:textId="77777777" w:rsidTr="00C536B4">
        <w:trPr>
          <w:trHeight w:val="45"/>
        </w:trPr>
        <w:tc>
          <w:tcPr>
            <w:tcW w:w="723" w:type="pct"/>
            <w:vMerge/>
          </w:tcPr>
          <w:p w14:paraId="4BBF1420" w14:textId="77777777" w:rsidR="00ED0241" w:rsidRPr="00996241" w:rsidRDefault="00ED0241" w:rsidP="00ED0241">
            <w:pPr>
              <w:tabs>
                <w:tab w:val="left" w:pos="8280"/>
              </w:tabs>
              <w:spacing w:before="20" w:after="20"/>
              <w:jc w:val="center"/>
              <w:rPr>
                <w:sz w:val="20"/>
              </w:rPr>
            </w:pPr>
          </w:p>
        </w:tc>
        <w:tc>
          <w:tcPr>
            <w:tcW w:w="483" w:type="pct"/>
            <w:vMerge/>
          </w:tcPr>
          <w:p w14:paraId="7C73F932" w14:textId="77777777" w:rsidR="00ED0241" w:rsidRPr="00996241" w:rsidRDefault="00ED0241" w:rsidP="00ED0241">
            <w:pPr>
              <w:tabs>
                <w:tab w:val="left" w:pos="8280"/>
              </w:tabs>
              <w:spacing w:before="20" w:after="20"/>
              <w:jc w:val="center"/>
              <w:rPr>
                <w:sz w:val="20"/>
              </w:rPr>
            </w:pPr>
          </w:p>
        </w:tc>
        <w:tc>
          <w:tcPr>
            <w:tcW w:w="879" w:type="pct"/>
          </w:tcPr>
          <w:p w14:paraId="082BF0BF" w14:textId="4EE63DD8" w:rsidR="00ED0241" w:rsidRPr="00996241" w:rsidRDefault="00ED0241" w:rsidP="00ED0241">
            <w:pPr>
              <w:tabs>
                <w:tab w:val="left" w:pos="8280"/>
              </w:tabs>
              <w:spacing w:before="20" w:after="20"/>
              <w:jc w:val="left"/>
              <w:rPr>
                <w:sz w:val="20"/>
              </w:rPr>
            </w:pPr>
            <w:r w:rsidRPr="007948D7">
              <w:rPr>
                <w:sz w:val="20"/>
                <w:szCs w:val="20"/>
              </w:rPr>
              <w:t>Gastos de apoyo</w:t>
            </w:r>
          </w:p>
        </w:tc>
        <w:tc>
          <w:tcPr>
            <w:tcW w:w="445" w:type="pct"/>
            <w:gridSpan w:val="2"/>
          </w:tcPr>
          <w:p w14:paraId="18BF9359" w14:textId="06307A39" w:rsidR="00ED0241" w:rsidRPr="004A4936" w:rsidRDefault="00ED0241" w:rsidP="00ED0241">
            <w:pPr>
              <w:tabs>
                <w:tab w:val="left" w:pos="8280"/>
              </w:tabs>
              <w:spacing w:before="20" w:after="20"/>
              <w:jc w:val="right"/>
              <w:rPr>
                <w:sz w:val="20"/>
                <w:szCs w:val="20"/>
              </w:rPr>
            </w:pPr>
            <w:r w:rsidRPr="005430F1">
              <w:rPr>
                <w:sz w:val="20"/>
                <w:szCs w:val="20"/>
                <w:lang w:val="en-GB" w:eastAsia="en-CA"/>
              </w:rPr>
              <w:t>17</w:t>
            </w:r>
            <w:r>
              <w:rPr>
                <w:sz w:val="20"/>
                <w:szCs w:val="20"/>
                <w:lang w:val="en-GB" w:eastAsia="en-CA"/>
              </w:rPr>
              <w:t>.</w:t>
            </w:r>
            <w:r w:rsidRPr="005430F1">
              <w:rPr>
                <w:sz w:val="20"/>
                <w:szCs w:val="20"/>
                <w:lang w:val="en-GB" w:eastAsia="en-CA"/>
              </w:rPr>
              <w:t>255</w:t>
            </w:r>
          </w:p>
        </w:tc>
        <w:tc>
          <w:tcPr>
            <w:tcW w:w="352" w:type="pct"/>
          </w:tcPr>
          <w:p w14:paraId="08848D82" w14:textId="7110B07E"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15" w:type="pct"/>
          </w:tcPr>
          <w:p w14:paraId="60357556" w14:textId="53ED92B8" w:rsidR="00ED0241" w:rsidRPr="004A4936" w:rsidRDefault="00ED0241" w:rsidP="00ED0241">
            <w:pPr>
              <w:tabs>
                <w:tab w:val="left" w:pos="8280"/>
              </w:tabs>
              <w:spacing w:before="20" w:after="20"/>
              <w:jc w:val="right"/>
              <w:rPr>
                <w:sz w:val="20"/>
                <w:szCs w:val="20"/>
              </w:rPr>
            </w:pPr>
            <w:r w:rsidRPr="005430F1">
              <w:rPr>
                <w:sz w:val="20"/>
                <w:szCs w:val="20"/>
                <w:lang w:val="en-GB" w:eastAsia="en-CA"/>
              </w:rPr>
              <w:t>10</w:t>
            </w:r>
            <w:r>
              <w:rPr>
                <w:sz w:val="20"/>
                <w:szCs w:val="20"/>
                <w:lang w:val="en-GB" w:eastAsia="en-CA"/>
              </w:rPr>
              <w:t>.</w:t>
            </w:r>
            <w:r w:rsidRPr="005430F1">
              <w:rPr>
                <w:sz w:val="20"/>
                <w:szCs w:val="20"/>
                <w:lang w:val="en-GB" w:eastAsia="en-CA"/>
              </w:rPr>
              <w:t>325</w:t>
            </w:r>
          </w:p>
        </w:tc>
        <w:tc>
          <w:tcPr>
            <w:tcW w:w="373" w:type="pct"/>
          </w:tcPr>
          <w:p w14:paraId="7DE35E86" w14:textId="2781AFB5"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366" w:type="pct"/>
          </w:tcPr>
          <w:p w14:paraId="16AE254E" w14:textId="3893B833"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63" w:type="pct"/>
            <w:gridSpan w:val="3"/>
          </w:tcPr>
          <w:p w14:paraId="31D9E718" w14:textId="3B233337" w:rsidR="00ED0241" w:rsidRPr="00DE28CA" w:rsidRDefault="00ED0241" w:rsidP="00ED0241">
            <w:pPr>
              <w:tabs>
                <w:tab w:val="left" w:pos="8280"/>
              </w:tabs>
              <w:spacing w:before="20" w:after="20"/>
              <w:jc w:val="right"/>
              <w:rPr>
                <w:sz w:val="20"/>
                <w:szCs w:val="20"/>
              </w:rPr>
            </w:pPr>
            <w:r w:rsidRPr="005430F1">
              <w:rPr>
                <w:sz w:val="20"/>
                <w:szCs w:val="20"/>
                <w:lang w:val="en-GB" w:eastAsia="en-CA"/>
              </w:rPr>
              <w:t>0</w:t>
            </w:r>
          </w:p>
        </w:tc>
        <w:tc>
          <w:tcPr>
            <w:tcW w:w="501" w:type="pct"/>
          </w:tcPr>
          <w:p w14:paraId="0F8361AF" w14:textId="257B9046" w:rsidR="00ED0241" w:rsidRPr="004A4936" w:rsidRDefault="00ED0241" w:rsidP="00ED0241">
            <w:pPr>
              <w:tabs>
                <w:tab w:val="left" w:pos="8280"/>
              </w:tabs>
              <w:spacing w:before="20" w:after="20"/>
              <w:jc w:val="right"/>
              <w:rPr>
                <w:sz w:val="20"/>
                <w:szCs w:val="20"/>
              </w:rPr>
            </w:pPr>
            <w:r w:rsidRPr="005430F1">
              <w:rPr>
                <w:sz w:val="20"/>
                <w:szCs w:val="20"/>
                <w:lang w:val="en-GB" w:eastAsia="en-CA"/>
              </w:rPr>
              <w:t>27</w:t>
            </w:r>
            <w:r>
              <w:rPr>
                <w:sz w:val="20"/>
                <w:szCs w:val="20"/>
                <w:lang w:val="en-GB" w:eastAsia="en-CA"/>
              </w:rPr>
              <w:t>.</w:t>
            </w:r>
            <w:r w:rsidRPr="005430F1">
              <w:rPr>
                <w:sz w:val="20"/>
                <w:szCs w:val="20"/>
                <w:lang w:val="en-GB" w:eastAsia="en-CA"/>
              </w:rPr>
              <w:t>580</w:t>
            </w:r>
          </w:p>
        </w:tc>
      </w:tr>
      <w:tr w:rsidR="00ED0241" w:rsidRPr="004A4936" w14:paraId="7944EB6A" w14:textId="77777777" w:rsidTr="00C536B4">
        <w:trPr>
          <w:trHeight w:val="156"/>
        </w:trPr>
        <w:tc>
          <w:tcPr>
            <w:tcW w:w="723" w:type="pct"/>
            <w:vMerge w:val="restart"/>
          </w:tcPr>
          <w:p w14:paraId="49DD5523" w14:textId="16151B82" w:rsidR="00ED0241" w:rsidRPr="00F00731" w:rsidRDefault="00ED0241" w:rsidP="00ED0241">
            <w:pPr>
              <w:tabs>
                <w:tab w:val="left" w:pos="8280"/>
              </w:tabs>
              <w:spacing w:before="20" w:after="20"/>
              <w:jc w:val="left"/>
              <w:rPr>
                <w:sz w:val="20"/>
                <w:lang w:val="fr-FR"/>
              </w:rPr>
            </w:pPr>
            <w:r w:rsidRPr="008752EB">
              <w:rPr>
                <w:sz w:val="20"/>
                <w:szCs w:val="20"/>
                <w:lang w:val="fr-CA"/>
              </w:rPr>
              <w:t>Montos totales recomendados en principio (USD)</w:t>
            </w:r>
          </w:p>
        </w:tc>
        <w:tc>
          <w:tcPr>
            <w:tcW w:w="1362" w:type="pct"/>
            <w:gridSpan w:val="2"/>
          </w:tcPr>
          <w:p w14:paraId="4B18028B" w14:textId="6F264A1F" w:rsidR="00ED0241" w:rsidRPr="002F50A8" w:rsidRDefault="00ED0241" w:rsidP="00ED0241">
            <w:pPr>
              <w:tabs>
                <w:tab w:val="left" w:pos="8280"/>
              </w:tabs>
              <w:spacing w:before="20" w:after="20"/>
              <w:jc w:val="left"/>
              <w:rPr>
                <w:sz w:val="20"/>
              </w:rPr>
            </w:pPr>
            <w:r w:rsidRPr="007948D7">
              <w:rPr>
                <w:sz w:val="20"/>
                <w:szCs w:val="20"/>
              </w:rPr>
              <w:t>Costos del proyecto</w:t>
            </w:r>
          </w:p>
        </w:tc>
        <w:tc>
          <w:tcPr>
            <w:tcW w:w="445" w:type="pct"/>
            <w:gridSpan w:val="2"/>
          </w:tcPr>
          <w:p w14:paraId="73267EBC" w14:textId="4715563E" w:rsidR="00ED0241" w:rsidRPr="004A4936" w:rsidRDefault="00ED0241" w:rsidP="00ED0241">
            <w:pPr>
              <w:tabs>
                <w:tab w:val="left" w:pos="8280"/>
              </w:tabs>
              <w:spacing w:before="20" w:after="20"/>
              <w:jc w:val="right"/>
              <w:rPr>
                <w:sz w:val="20"/>
                <w:szCs w:val="20"/>
              </w:rPr>
            </w:pPr>
            <w:r w:rsidRPr="005430F1">
              <w:rPr>
                <w:sz w:val="20"/>
                <w:szCs w:val="20"/>
                <w:lang w:val="en-GB"/>
              </w:rPr>
              <w:t>523</w:t>
            </w:r>
            <w:r>
              <w:rPr>
                <w:sz w:val="20"/>
                <w:szCs w:val="20"/>
                <w:lang w:val="en-GB"/>
              </w:rPr>
              <w:t>.</w:t>
            </w:r>
            <w:r w:rsidRPr="005430F1">
              <w:rPr>
                <w:sz w:val="20"/>
                <w:szCs w:val="20"/>
                <w:lang w:val="en-GB"/>
              </w:rPr>
              <w:t>000</w:t>
            </w:r>
          </w:p>
        </w:tc>
        <w:tc>
          <w:tcPr>
            <w:tcW w:w="352" w:type="pct"/>
          </w:tcPr>
          <w:p w14:paraId="26D8F63F" w14:textId="278954DD"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15" w:type="pct"/>
          </w:tcPr>
          <w:p w14:paraId="6C6BA3C7" w14:textId="34BC4061" w:rsidR="00ED0241" w:rsidRPr="004A4936" w:rsidRDefault="00ED0241" w:rsidP="00ED0241">
            <w:pPr>
              <w:tabs>
                <w:tab w:val="left" w:pos="8280"/>
              </w:tabs>
              <w:spacing w:before="20" w:after="20"/>
              <w:jc w:val="right"/>
              <w:rPr>
                <w:sz w:val="20"/>
                <w:szCs w:val="20"/>
              </w:rPr>
            </w:pPr>
            <w:r w:rsidRPr="005430F1">
              <w:rPr>
                <w:sz w:val="20"/>
                <w:szCs w:val="20"/>
                <w:lang w:val="en-GB"/>
              </w:rPr>
              <w:t>413</w:t>
            </w:r>
            <w:r>
              <w:rPr>
                <w:sz w:val="20"/>
                <w:szCs w:val="20"/>
                <w:lang w:val="en-GB"/>
              </w:rPr>
              <w:t>.</w:t>
            </w:r>
            <w:r w:rsidRPr="005430F1">
              <w:rPr>
                <w:sz w:val="20"/>
                <w:szCs w:val="20"/>
                <w:lang w:val="en-GB"/>
              </w:rPr>
              <w:t>000</w:t>
            </w:r>
          </w:p>
        </w:tc>
        <w:tc>
          <w:tcPr>
            <w:tcW w:w="373" w:type="pct"/>
          </w:tcPr>
          <w:p w14:paraId="787701C6" w14:textId="1BBB35EC"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366" w:type="pct"/>
          </w:tcPr>
          <w:p w14:paraId="088C0C22" w14:textId="28EBE83A" w:rsidR="00ED0241" w:rsidRPr="004A4936" w:rsidRDefault="00ED0241" w:rsidP="00ED0241">
            <w:pPr>
              <w:tabs>
                <w:tab w:val="left" w:pos="8280"/>
              </w:tabs>
              <w:spacing w:before="20" w:after="20"/>
              <w:jc w:val="right"/>
              <w:rPr>
                <w:sz w:val="20"/>
                <w:szCs w:val="20"/>
              </w:rPr>
            </w:pPr>
            <w:r w:rsidRPr="005430F1">
              <w:rPr>
                <w:sz w:val="20"/>
                <w:szCs w:val="20"/>
                <w:lang w:val="en-GB"/>
              </w:rPr>
              <w:t>0</w:t>
            </w:r>
          </w:p>
        </w:tc>
        <w:tc>
          <w:tcPr>
            <w:tcW w:w="463" w:type="pct"/>
            <w:gridSpan w:val="3"/>
          </w:tcPr>
          <w:p w14:paraId="7FBA29EC" w14:textId="3074C515" w:rsidR="00ED0241" w:rsidRPr="00DE28CA" w:rsidRDefault="00ED0241" w:rsidP="00ED0241">
            <w:pPr>
              <w:tabs>
                <w:tab w:val="left" w:pos="8280"/>
              </w:tabs>
              <w:spacing w:before="20" w:after="20"/>
              <w:jc w:val="right"/>
              <w:rPr>
                <w:sz w:val="20"/>
                <w:szCs w:val="20"/>
              </w:rPr>
            </w:pPr>
            <w:r w:rsidRPr="005430F1">
              <w:rPr>
                <w:sz w:val="20"/>
                <w:szCs w:val="20"/>
                <w:lang w:val="en-GB"/>
              </w:rPr>
              <w:t>104</w:t>
            </w:r>
            <w:r>
              <w:rPr>
                <w:sz w:val="20"/>
                <w:szCs w:val="20"/>
                <w:lang w:val="en-GB"/>
              </w:rPr>
              <w:t>.</w:t>
            </w:r>
            <w:r w:rsidRPr="005430F1">
              <w:rPr>
                <w:sz w:val="20"/>
                <w:szCs w:val="20"/>
                <w:lang w:val="en-GB"/>
              </w:rPr>
              <w:t>000</w:t>
            </w:r>
          </w:p>
        </w:tc>
        <w:tc>
          <w:tcPr>
            <w:tcW w:w="501" w:type="pct"/>
          </w:tcPr>
          <w:p w14:paraId="23E73E12" w14:textId="63FD5E37" w:rsidR="00ED0241" w:rsidRPr="004A4936" w:rsidRDefault="00ED0241" w:rsidP="00ED0241">
            <w:pPr>
              <w:tabs>
                <w:tab w:val="left" w:pos="8280"/>
              </w:tabs>
              <w:spacing w:before="20" w:after="20"/>
              <w:jc w:val="right"/>
              <w:rPr>
                <w:sz w:val="20"/>
                <w:szCs w:val="20"/>
              </w:rPr>
            </w:pPr>
            <w:r w:rsidRPr="005430F1">
              <w:rPr>
                <w:sz w:val="20"/>
                <w:szCs w:val="20"/>
                <w:lang w:val="en-GB" w:eastAsia="en-CA"/>
              </w:rPr>
              <w:t>1</w:t>
            </w:r>
            <w:r>
              <w:rPr>
                <w:sz w:val="20"/>
                <w:szCs w:val="20"/>
                <w:lang w:val="en-GB" w:eastAsia="en-CA"/>
              </w:rPr>
              <w:t>.</w:t>
            </w:r>
            <w:r w:rsidRPr="005430F1">
              <w:rPr>
                <w:sz w:val="20"/>
                <w:szCs w:val="20"/>
                <w:lang w:val="en-GB" w:eastAsia="en-CA"/>
              </w:rPr>
              <w:t>040</w:t>
            </w:r>
            <w:r>
              <w:rPr>
                <w:sz w:val="20"/>
                <w:szCs w:val="20"/>
                <w:lang w:val="en-GB" w:eastAsia="en-CA"/>
              </w:rPr>
              <w:t>.</w:t>
            </w:r>
            <w:r w:rsidRPr="005430F1">
              <w:rPr>
                <w:sz w:val="20"/>
                <w:szCs w:val="20"/>
                <w:lang w:val="en-GB" w:eastAsia="en-CA"/>
              </w:rPr>
              <w:t>000</w:t>
            </w:r>
          </w:p>
        </w:tc>
      </w:tr>
      <w:tr w:rsidR="00ED0241" w:rsidRPr="004A4936" w14:paraId="7EC0F7F7" w14:textId="77777777" w:rsidTr="00C536B4">
        <w:trPr>
          <w:trHeight w:val="201"/>
        </w:trPr>
        <w:tc>
          <w:tcPr>
            <w:tcW w:w="723" w:type="pct"/>
            <w:vMerge/>
          </w:tcPr>
          <w:p w14:paraId="64082828" w14:textId="77777777" w:rsidR="00ED0241" w:rsidRPr="002F50A8" w:rsidRDefault="00ED0241" w:rsidP="00ED0241">
            <w:pPr>
              <w:tabs>
                <w:tab w:val="left" w:pos="8280"/>
              </w:tabs>
              <w:spacing w:before="20" w:after="20"/>
              <w:jc w:val="left"/>
              <w:rPr>
                <w:sz w:val="20"/>
              </w:rPr>
            </w:pPr>
          </w:p>
        </w:tc>
        <w:tc>
          <w:tcPr>
            <w:tcW w:w="1362" w:type="pct"/>
            <w:gridSpan w:val="2"/>
          </w:tcPr>
          <w:p w14:paraId="27F9810A" w14:textId="4A81C266" w:rsidR="00ED0241" w:rsidRPr="002F50A8" w:rsidRDefault="00ED0241" w:rsidP="00ED0241">
            <w:pPr>
              <w:tabs>
                <w:tab w:val="left" w:pos="8280"/>
              </w:tabs>
              <w:spacing w:before="20" w:after="20"/>
              <w:jc w:val="left"/>
              <w:rPr>
                <w:sz w:val="20"/>
              </w:rPr>
            </w:pPr>
            <w:r w:rsidRPr="007948D7">
              <w:rPr>
                <w:sz w:val="20"/>
                <w:szCs w:val="20"/>
              </w:rPr>
              <w:t>Gastos de apoyo</w:t>
            </w:r>
          </w:p>
        </w:tc>
        <w:tc>
          <w:tcPr>
            <w:tcW w:w="445" w:type="pct"/>
            <w:gridSpan w:val="2"/>
          </w:tcPr>
          <w:p w14:paraId="29D835CD" w14:textId="777147CC" w:rsidR="00ED0241" w:rsidRPr="004A4936" w:rsidRDefault="00ED0241" w:rsidP="00ED0241">
            <w:pPr>
              <w:tabs>
                <w:tab w:val="left" w:pos="8280"/>
              </w:tabs>
              <w:spacing w:before="20" w:after="20"/>
              <w:jc w:val="right"/>
              <w:rPr>
                <w:sz w:val="20"/>
                <w:szCs w:val="20"/>
              </w:rPr>
            </w:pPr>
            <w:r w:rsidRPr="005430F1">
              <w:rPr>
                <w:sz w:val="20"/>
                <w:szCs w:val="20"/>
                <w:lang w:val="en-GB" w:eastAsia="en-CA"/>
              </w:rPr>
              <w:t>51</w:t>
            </w:r>
            <w:r>
              <w:rPr>
                <w:sz w:val="20"/>
                <w:szCs w:val="20"/>
                <w:lang w:val="en-GB" w:eastAsia="en-CA"/>
              </w:rPr>
              <w:t>.</w:t>
            </w:r>
            <w:r w:rsidRPr="005430F1">
              <w:rPr>
                <w:sz w:val="20"/>
                <w:szCs w:val="20"/>
                <w:lang w:val="en-GB" w:eastAsia="en-CA"/>
              </w:rPr>
              <w:t>950</w:t>
            </w:r>
          </w:p>
        </w:tc>
        <w:tc>
          <w:tcPr>
            <w:tcW w:w="352" w:type="pct"/>
          </w:tcPr>
          <w:p w14:paraId="6694B2CA" w14:textId="367DB62B"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15" w:type="pct"/>
          </w:tcPr>
          <w:p w14:paraId="719BEDDC" w14:textId="28024518" w:rsidR="00ED0241" w:rsidRPr="004A4936" w:rsidRDefault="00ED0241" w:rsidP="00ED0241">
            <w:pPr>
              <w:tabs>
                <w:tab w:val="left" w:pos="8280"/>
              </w:tabs>
              <w:spacing w:before="20" w:after="20"/>
              <w:jc w:val="right"/>
              <w:rPr>
                <w:sz w:val="20"/>
                <w:szCs w:val="20"/>
              </w:rPr>
            </w:pPr>
            <w:r w:rsidRPr="005430F1">
              <w:rPr>
                <w:sz w:val="20"/>
                <w:szCs w:val="20"/>
                <w:lang w:val="en-GB" w:eastAsia="en-CA"/>
              </w:rPr>
              <w:t>43</w:t>
            </w:r>
            <w:r>
              <w:rPr>
                <w:sz w:val="20"/>
                <w:szCs w:val="20"/>
                <w:lang w:val="en-GB" w:eastAsia="en-CA"/>
              </w:rPr>
              <w:t>.</w:t>
            </w:r>
            <w:r w:rsidRPr="005430F1">
              <w:rPr>
                <w:sz w:val="20"/>
                <w:szCs w:val="20"/>
                <w:lang w:val="en-GB" w:eastAsia="en-CA"/>
              </w:rPr>
              <w:t>640</w:t>
            </w:r>
          </w:p>
        </w:tc>
        <w:tc>
          <w:tcPr>
            <w:tcW w:w="373" w:type="pct"/>
          </w:tcPr>
          <w:p w14:paraId="06010224" w14:textId="73516B70"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366" w:type="pct"/>
          </w:tcPr>
          <w:p w14:paraId="6FBBE43C" w14:textId="58F671AE"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63" w:type="pct"/>
            <w:gridSpan w:val="3"/>
          </w:tcPr>
          <w:p w14:paraId="162FC4BD" w14:textId="0C58383A" w:rsidR="00ED0241" w:rsidRPr="00DE28CA" w:rsidRDefault="00ED0241" w:rsidP="00ED0241">
            <w:pPr>
              <w:tabs>
                <w:tab w:val="left" w:pos="8280"/>
              </w:tabs>
              <w:spacing w:before="20" w:after="20"/>
              <w:jc w:val="right"/>
              <w:rPr>
                <w:sz w:val="20"/>
                <w:szCs w:val="20"/>
              </w:rPr>
            </w:pPr>
            <w:r w:rsidRPr="005430F1">
              <w:rPr>
                <w:sz w:val="20"/>
                <w:szCs w:val="20"/>
                <w:lang w:val="en-GB" w:eastAsia="en-CA"/>
              </w:rPr>
              <w:t>13</w:t>
            </w:r>
            <w:r>
              <w:rPr>
                <w:sz w:val="20"/>
                <w:szCs w:val="20"/>
                <w:lang w:val="en-GB" w:eastAsia="en-CA"/>
              </w:rPr>
              <w:t>.</w:t>
            </w:r>
            <w:r w:rsidRPr="005430F1">
              <w:rPr>
                <w:sz w:val="20"/>
                <w:szCs w:val="20"/>
                <w:lang w:val="en-GB" w:eastAsia="en-CA"/>
              </w:rPr>
              <w:t>050</w:t>
            </w:r>
          </w:p>
        </w:tc>
        <w:tc>
          <w:tcPr>
            <w:tcW w:w="501" w:type="pct"/>
          </w:tcPr>
          <w:p w14:paraId="419B52B6" w14:textId="46E7A3B3" w:rsidR="00ED0241" w:rsidRPr="004A4936" w:rsidRDefault="00ED0241" w:rsidP="00ED0241">
            <w:pPr>
              <w:tabs>
                <w:tab w:val="left" w:pos="8280"/>
              </w:tabs>
              <w:spacing w:before="20" w:after="20"/>
              <w:jc w:val="right"/>
              <w:rPr>
                <w:sz w:val="20"/>
                <w:szCs w:val="20"/>
              </w:rPr>
            </w:pPr>
            <w:r w:rsidRPr="005430F1">
              <w:rPr>
                <w:sz w:val="20"/>
                <w:szCs w:val="20"/>
                <w:lang w:val="en-GB" w:eastAsia="en-CA"/>
              </w:rPr>
              <w:t>108</w:t>
            </w:r>
            <w:r>
              <w:rPr>
                <w:sz w:val="20"/>
                <w:szCs w:val="20"/>
                <w:lang w:val="en-GB" w:eastAsia="en-CA"/>
              </w:rPr>
              <w:t>.</w:t>
            </w:r>
            <w:r w:rsidRPr="005430F1">
              <w:rPr>
                <w:sz w:val="20"/>
                <w:szCs w:val="20"/>
                <w:lang w:val="en-GB" w:eastAsia="en-CA"/>
              </w:rPr>
              <w:t>640</w:t>
            </w:r>
          </w:p>
        </w:tc>
      </w:tr>
      <w:tr w:rsidR="00ED0241" w:rsidRPr="004A4936" w14:paraId="5AF3BF31" w14:textId="77777777" w:rsidTr="00C536B4">
        <w:trPr>
          <w:trHeight w:val="45"/>
        </w:trPr>
        <w:tc>
          <w:tcPr>
            <w:tcW w:w="723" w:type="pct"/>
            <w:vMerge/>
          </w:tcPr>
          <w:p w14:paraId="4BF5B57E" w14:textId="77777777" w:rsidR="00ED0241" w:rsidRPr="002F50A8" w:rsidRDefault="00ED0241" w:rsidP="00ED0241">
            <w:pPr>
              <w:tabs>
                <w:tab w:val="left" w:pos="8280"/>
              </w:tabs>
              <w:spacing w:before="20" w:after="20"/>
              <w:jc w:val="left"/>
              <w:rPr>
                <w:sz w:val="20"/>
              </w:rPr>
            </w:pPr>
          </w:p>
        </w:tc>
        <w:tc>
          <w:tcPr>
            <w:tcW w:w="1362" w:type="pct"/>
            <w:gridSpan w:val="2"/>
          </w:tcPr>
          <w:p w14:paraId="2C4078DE" w14:textId="6B2BA020" w:rsidR="00ED0241" w:rsidRPr="002F4248" w:rsidRDefault="00ED0241" w:rsidP="00ED0241">
            <w:pPr>
              <w:tabs>
                <w:tab w:val="left" w:pos="8280"/>
              </w:tabs>
              <w:spacing w:before="20" w:after="20"/>
              <w:jc w:val="left"/>
              <w:rPr>
                <w:sz w:val="20"/>
              </w:rPr>
            </w:pPr>
            <w:r w:rsidRPr="00534D3C">
              <w:rPr>
                <w:sz w:val="19"/>
                <w:szCs w:val="19"/>
                <w:lang w:val="fr-FR"/>
              </w:rPr>
              <w:t>Total de fond</w:t>
            </w:r>
            <w:r>
              <w:rPr>
                <w:sz w:val="19"/>
                <w:szCs w:val="19"/>
                <w:lang w:val="fr-FR"/>
              </w:rPr>
              <w:t>os</w:t>
            </w:r>
          </w:p>
        </w:tc>
        <w:tc>
          <w:tcPr>
            <w:tcW w:w="445" w:type="pct"/>
            <w:gridSpan w:val="2"/>
          </w:tcPr>
          <w:p w14:paraId="4069AB2C" w14:textId="52006E50" w:rsidR="00ED0241" w:rsidRPr="004A4936" w:rsidRDefault="00ED0241" w:rsidP="00ED0241">
            <w:pPr>
              <w:tabs>
                <w:tab w:val="left" w:pos="8280"/>
              </w:tabs>
              <w:spacing w:before="20" w:after="20"/>
              <w:jc w:val="right"/>
              <w:rPr>
                <w:sz w:val="20"/>
                <w:szCs w:val="20"/>
              </w:rPr>
            </w:pPr>
            <w:r w:rsidRPr="005430F1">
              <w:rPr>
                <w:sz w:val="20"/>
                <w:szCs w:val="20"/>
                <w:lang w:val="en-GB" w:eastAsia="en-CA"/>
              </w:rPr>
              <w:t>574</w:t>
            </w:r>
            <w:r>
              <w:rPr>
                <w:sz w:val="20"/>
                <w:szCs w:val="20"/>
                <w:lang w:val="en-GB" w:eastAsia="en-CA"/>
              </w:rPr>
              <w:t>.</w:t>
            </w:r>
            <w:r w:rsidRPr="005430F1">
              <w:rPr>
                <w:sz w:val="20"/>
                <w:szCs w:val="20"/>
                <w:lang w:val="en-GB" w:eastAsia="en-CA"/>
              </w:rPr>
              <w:t>950</w:t>
            </w:r>
          </w:p>
        </w:tc>
        <w:tc>
          <w:tcPr>
            <w:tcW w:w="352" w:type="pct"/>
          </w:tcPr>
          <w:p w14:paraId="30D89E9D" w14:textId="69885B49"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15" w:type="pct"/>
          </w:tcPr>
          <w:p w14:paraId="0149A888" w14:textId="7098EF73" w:rsidR="00ED0241" w:rsidRPr="004A4936" w:rsidRDefault="00ED0241" w:rsidP="00ED0241">
            <w:pPr>
              <w:tabs>
                <w:tab w:val="left" w:pos="8280"/>
              </w:tabs>
              <w:spacing w:before="20" w:after="20"/>
              <w:jc w:val="right"/>
              <w:rPr>
                <w:sz w:val="20"/>
                <w:szCs w:val="20"/>
              </w:rPr>
            </w:pPr>
            <w:r w:rsidRPr="005430F1">
              <w:rPr>
                <w:sz w:val="20"/>
                <w:szCs w:val="20"/>
                <w:lang w:val="en-GB" w:eastAsia="en-CA"/>
              </w:rPr>
              <w:t>456</w:t>
            </w:r>
            <w:r>
              <w:rPr>
                <w:sz w:val="20"/>
                <w:szCs w:val="20"/>
                <w:lang w:val="en-GB" w:eastAsia="en-CA"/>
              </w:rPr>
              <w:t>.</w:t>
            </w:r>
            <w:r w:rsidRPr="005430F1">
              <w:rPr>
                <w:sz w:val="20"/>
                <w:szCs w:val="20"/>
                <w:lang w:val="en-GB" w:eastAsia="en-CA"/>
              </w:rPr>
              <w:t>640</w:t>
            </w:r>
          </w:p>
        </w:tc>
        <w:tc>
          <w:tcPr>
            <w:tcW w:w="373" w:type="pct"/>
          </w:tcPr>
          <w:p w14:paraId="01D3256E" w14:textId="355F9D04"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366" w:type="pct"/>
          </w:tcPr>
          <w:p w14:paraId="1C4F8D09" w14:textId="11302D9A" w:rsidR="00ED0241" w:rsidRPr="004A4936" w:rsidRDefault="00ED0241" w:rsidP="00ED0241">
            <w:pPr>
              <w:tabs>
                <w:tab w:val="left" w:pos="8280"/>
              </w:tabs>
              <w:spacing w:before="20" w:after="20"/>
              <w:jc w:val="right"/>
              <w:rPr>
                <w:sz w:val="20"/>
                <w:szCs w:val="20"/>
              </w:rPr>
            </w:pPr>
            <w:r w:rsidRPr="005430F1">
              <w:rPr>
                <w:sz w:val="20"/>
                <w:szCs w:val="20"/>
                <w:lang w:val="en-GB" w:eastAsia="en-CA"/>
              </w:rPr>
              <w:t>0</w:t>
            </w:r>
          </w:p>
        </w:tc>
        <w:tc>
          <w:tcPr>
            <w:tcW w:w="463" w:type="pct"/>
            <w:gridSpan w:val="3"/>
          </w:tcPr>
          <w:p w14:paraId="32E2475B" w14:textId="383305DA" w:rsidR="00ED0241" w:rsidRPr="00DE28CA" w:rsidRDefault="00ED0241" w:rsidP="00ED0241">
            <w:pPr>
              <w:tabs>
                <w:tab w:val="left" w:pos="8280"/>
              </w:tabs>
              <w:spacing w:before="20" w:after="20"/>
              <w:jc w:val="right"/>
              <w:rPr>
                <w:sz w:val="20"/>
                <w:szCs w:val="20"/>
              </w:rPr>
            </w:pPr>
            <w:r w:rsidRPr="005430F1">
              <w:rPr>
                <w:sz w:val="20"/>
                <w:szCs w:val="20"/>
                <w:lang w:val="en-GB" w:eastAsia="en-CA"/>
              </w:rPr>
              <w:t>117</w:t>
            </w:r>
            <w:r>
              <w:rPr>
                <w:sz w:val="20"/>
                <w:szCs w:val="20"/>
                <w:lang w:val="en-GB" w:eastAsia="en-CA"/>
              </w:rPr>
              <w:t>.</w:t>
            </w:r>
            <w:r w:rsidRPr="005430F1">
              <w:rPr>
                <w:sz w:val="20"/>
                <w:szCs w:val="20"/>
                <w:lang w:val="en-GB" w:eastAsia="en-CA"/>
              </w:rPr>
              <w:t>050</w:t>
            </w:r>
          </w:p>
        </w:tc>
        <w:tc>
          <w:tcPr>
            <w:tcW w:w="501" w:type="pct"/>
          </w:tcPr>
          <w:p w14:paraId="2DD83847" w14:textId="455E3F61" w:rsidR="00ED0241" w:rsidRPr="004A4936" w:rsidRDefault="00ED0241" w:rsidP="00ED0241">
            <w:pPr>
              <w:tabs>
                <w:tab w:val="left" w:pos="8280"/>
              </w:tabs>
              <w:spacing w:before="20" w:after="20"/>
              <w:jc w:val="right"/>
              <w:rPr>
                <w:sz w:val="20"/>
                <w:szCs w:val="20"/>
              </w:rPr>
            </w:pPr>
            <w:r w:rsidRPr="005430F1">
              <w:rPr>
                <w:sz w:val="20"/>
                <w:szCs w:val="20"/>
                <w:lang w:val="en-GB" w:eastAsia="en-CA"/>
              </w:rPr>
              <w:t>1</w:t>
            </w:r>
            <w:r>
              <w:rPr>
                <w:sz w:val="20"/>
                <w:szCs w:val="20"/>
                <w:lang w:val="en-GB" w:eastAsia="en-CA"/>
              </w:rPr>
              <w:t>.</w:t>
            </w:r>
            <w:r w:rsidRPr="005430F1">
              <w:rPr>
                <w:sz w:val="20"/>
                <w:szCs w:val="20"/>
                <w:lang w:val="en-GB" w:eastAsia="en-CA"/>
              </w:rPr>
              <w:t>148</w:t>
            </w:r>
            <w:r>
              <w:rPr>
                <w:sz w:val="20"/>
                <w:szCs w:val="20"/>
                <w:lang w:val="en-GB" w:eastAsia="en-CA"/>
              </w:rPr>
              <w:t>.</w:t>
            </w:r>
            <w:r w:rsidRPr="005430F1">
              <w:rPr>
                <w:sz w:val="20"/>
                <w:szCs w:val="20"/>
                <w:lang w:val="en-GB" w:eastAsia="en-CA"/>
              </w:rPr>
              <w:t>640</w:t>
            </w:r>
          </w:p>
        </w:tc>
      </w:tr>
    </w:tbl>
    <w:p w14:paraId="1E41EE41" w14:textId="77777777" w:rsidR="00C41665" w:rsidRPr="00F00731" w:rsidRDefault="00C41665" w:rsidP="002232A4">
      <w:pPr>
        <w:jc w:val="center"/>
        <w:rPr>
          <w:sz w:val="16"/>
          <w:szCs w:val="16"/>
        </w:rPr>
      </w:pPr>
    </w:p>
    <w:tbl>
      <w:tblPr>
        <w:tblStyle w:val="TableGrid10"/>
        <w:tblW w:w="6001" w:type="pct"/>
        <w:tblInd w:w="-905" w:type="dxa"/>
        <w:tblLook w:val="04A0" w:firstRow="1" w:lastRow="0" w:firstColumn="1" w:lastColumn="0" w:noHBand="0" w:noVBand="1"/>
      </w:tblPr>
      <w:tblGrid>
        <w:gridCol w:w="4105"/>
        <w:gridCol w:w="3824"/>
        <w:gridCol w:w="3293"/>
      </w:tblGrid>
      <w:tr w:rsidR="00C41665" w:rsidRPr="00A8080E" w14:paraId="7D6C0D8C" w14:textId="77777777" w:rsidTr="00C41665">
        <w:trPr>
          <w:trHeight w:val="256"/>
        </w:trPr>
        <w:tc>
          <w:tcPr>
            <w:tcW w:w="5000" w:type="pct"/>
            <w:gridSpan w:val="3"/>
          </w:tcPr>
          <w:p w14:paraId="0E696C4A" w14:textId="77777777" w:rsidR="00C41665" w:rsidRPr="008752EB" w:rsidRDefault="00C41665" w:rsidP="00751C16">
            <w:pPr>
              <w:spacing w:before="20" w:after="20"/>
              <w:rPr>
                <w:b/>
                <w:sz w:val="20"/>
                <w:lang w:val="fr-CA"/>
              </w:rPr>
            </w:pPr>
            <w:r w:rsidRPr="008752EB">
              <w:rPr>
                <w:b/>
                <w:bCs/>
                <w:sz w:val="20"/>
                <w:szCs w:val="20"/>
                <w:lang w:val="fr-CA"/>
              </w:rPr>
              <w:t>VII) Solicitud de aprobación del financiamiento para el primer tramo (2025)</w:t>
            </w:r>
          </w:p>
        </w:tc>
      </w:tr>
      <w:tr w:rsidR="003041C5" w:rsidRPr="00122AA3" w14:paraId="6E721B29" w14:textId="77777777" w:rsidTr="00C41665">
        <w:trPr>
          <w:trHeight w:val="256"/>
        </w:trPr>
        <w:tc>
          <w:tcPr>
            <w:tcW w:w="1829" w:type="pct"/>
          </w:tcPr>
          <w:p w14:paraId="3550BCAE" w14:textId="71B92E70" w:rsidR="003041C5" w:rsidRPr="00122AA3" w:rsidRDefault="003041C5" w:rsidP="003041C5">
            <w:pPr>
              <w:spacing w:before="20" w:after="20"/>
              <w:jc w:val="center"/>
              <w:rPr>
                <w:b/>
                <w:sz w:val="20"/>
              </w:rPr>
            </w:pPr>
            <w:r w:rsidRPr="007948D7">
              <w:rPr>
                <w:b/>
                <w:bCs/>
                <w:sz w:val="20"/>
                <w:szCs w:val="20"/>
              </w:rPr>
              <w:t>Organismo de ejecución</w:t>
            </w:r>
          </w:p>
        </w:tc>
        <w:tc>
          <w:tcPr>
            <w:tcW w:w="1704" w:type="pct"/>
          </w:tcPr>
          <w:p w14:paraId="75632CC2" w14:textId="328A93E8" w:rsidR="003041C5" w:rsidRPr="00122AA3" w:rsidRDefault="003041C5" w:rsidP="003041C5">
            <w:pPr>
              <w:spacing w:before="20" w:after="20"/>
              <w:jc w:val="center"/>
              <w:rPr>
                <w:b/>
                <w:sz w:val="20"/>
              </w:rPr>
            </w:pPr>
            <w:r w:rsidRPr="007948D7">
              <w:rPr>
                <w:b/>
                <w:bCs/>
                <w:sz w:val="20"/>
                <w:szCs w:val="20"/>
              </w:rPr>
              <w:t>Fondos recomendados (USD)</w:t>
            </w:r>
          </w:p>
        </w:tc>
        <w:tc>
          <w:tcPr>
            <w:tcW w:w="1467" w:type="pct"/>
          </w:tcPr>
          <w:p w14:paraId="78B90E9A" w14:textId="34A544C6" w:rsidR="003041C5" w:rsidRPr="00122AA3" w:rsidRDefault="003041C5" w:rsidP="003041C5">
            <w:pPr>
              <w:spacing w:before="20" w:after="20"/>
              <w:jc w:val="center"/>
              <w:rPr>
                <w:b/>
                <w:sz w:val="20"/>
              </w:rPr>
            </w:pPr>
            <w:r w:rsidRPr="007948D7">
              <w:rPr>
                <w:b/>
                <w:bCs/>
                <w:sz w:val="20"/>
                <w:szCs w:val="20"/>
              </w:rPr>
              <w:t>Gastos de apoyo (USD)</w:t>
            </w:r>
          </w:p>
        </w:tc>
      </w:tr>
      <w:tr w:rsidR="00ED0241" w:rsidRPr="00122AA3" w14:paraId="66287A03" w14:textId="77777777" w:rsidTr="00C41665">
        <w:trPr>
          <w:trHeight w:val="256"/>
        </w:trPr>
        <w:tc>
          <w:tcPr>
            <w:tcW w:w="1829" w:type="pct"/>
          </w:tcPr>
          <w:p w14:paraId="2A88DF6B" w14:textId="3C4E8BDE" w:rsidR="00ED0241" w:rsidRPr="00122AA3" w:rsidRDefault="00ED0241" w:rsidP="00ED0241">
            <w:pPr>
              <w:spacing w:before="20" w:after="20"/>
              <w:ind w:left="167"/>
              <w:rPr>
                <w:sz w:val="20"/>
              </w:rPr>
            </w:pPr>
            <w:r>
              <w:rPr>
                <w:sz w:val="20"/>
              </w:rPr>
              <w:t>PNU</w:t>
            </w:r>
            <w:r w:rsidR="00E47A5D">
              <w:rPr>
                <w:sz w:val="20"/>
              </w:rPr>
              <w:t>MA</w:t>
            </w:r>
          </w:p>
        </w:tc>
        <w:tc>
          <w:tcPr>
            <w:tcW w:w="1704" w:type="pct"/>
          </w:tcPr>
          <w:p w14:paraId="5FEFD885" w14:textId="6E2FF20F" w:rsidR="00ED0241" w:rsidRPr="00122AA3" w:rsidRDefault="00ED0241" w:rsidP="00ED0241">
            <w:pPr>
              <w:spacing w:before="20" w:after="20"/>
              <w:jc w:val="center"/>
              <w:rPr>
                <w:sz w:val="20"/>
              </w:rPr>
            </w:pPr>
            <w:r w:rsidRPr="004A4936">
              <w:rPr>
                <w:sz w:val="20"/>
              </w:rPr>
              <w:t>276</w:t>
            </w:r>
            <w:r>
              <w:rPr>
                <w:sz w:val="20"/>
              </w:rPr>
              <w:t>.</w:t>
            </w:r>
            <w:r w:rsidRPr="004A4936">
              <w:rPr>
                <w:sz w:val="20"/>
              </w:rPr>
              <w:t>500</w:t>
            </w:r>
          </w:p>
        </w:tc>
        <w:tc>
          <w:tcPr>
            <w:tcW w:w="1467" w:type="pct"/>
          </w:tcPr>
          <w:p w14:paraId="0F525F8E" w14:textId="10E6C290" w:rsidR="00ED0241" w:rsidRPr="00122AA3" w:rsidRDefault="00ED0241" w:rsidP="00ED0241">
            <w:pPr>
              <w:spacing w:before="20" w:after="20"/>
              <w:jc w:val="center"/>
              <w:rPr>
                <w:sz w:val="20"/>
              </w:rPr>
            </w:pPr>
            <w:r w:rsidRPr="005430F1">
              <w:rPr>
                <w:sz w:val="20"/>
              </w:rPr>
              <w:t>34</w:t>
            </w:r>
            <w:r>
              <w:rPr>
                <w:sz w:val="20"/>
              </w:rPr>
              <w:t>.</w:t>
            </w:r>
            <w:r w:rsidRPr="005430F1">
              <w:rPr>
                <w:sz w:val="20"/>
              </w:rPr>
              <w:t>695</w:t>
            </w:r>
          </w:p>
        </w:tc>
      </w:tr>
      <w:tr w:rsidR="00ED0241" w:rsidRPr="00122AA3" w14:paraId="78B5C909" w14:textId="77777777" w:rsidTr="00C41665">
        <w:trPr>
          <w:trHeight w:val="256"/>
        </w:trPr>
        <w:tc>
          <w:tcPr>
            <w:tcW w:w="1829" w:type="pct"/>
          </w:tcPr>
          <w:p w14:paraId="08C80DA2" w14:textId="6125CF01" w:rsidR="00ED0241" w:rsidRPr="004A4936" w:rsidRDefault="00ED0241" w:rsidP="00ED0241">
            <w:pPr>
              <w:spacing w:before="20" w:after="20"/>
              <w:ind w:left="167"/>
              <w:rPr>
                <w:sz w:val="20"/>
              </w:rPr>
            </w:pPr>
            <w:r>
              <w:rPr>
                <w:sz w:val="20"/>
              </w:rPr>
              <w:t>PNUD</w:t>
            </w:r>
          </w:p>
        </w:tc>
        <w:tc>
          <w:tcPr>
            <w:tcW w:w="1704" w:type="pct"/>
          </w:tcPr>
          <w:p w14:paraId="7DBFB13A" w14:textId="289291DA" w:rsidR="00ED0241" w:rsidRPr="004A4936" w:rsidRDefault="00ED0241" w:rsidP="00ED0241">
            <w:pPr>
              <w:spacing w:before="20" w:after="20"/>
              <w:jc w:val="center"/>
              <w:rPr>
                <w:sz w:val="20"/>
              </w:rPr>
            </w:pPr>
            <w:r w:rsidRPr="004A4936">
              <w:rPr>
                <w:sz w:val="20"/>
              </w:rPr>
              <w:t>246</w:t>
            </w:r>
            <w:r>
              <w:rPr>
                <w:sz w:val="20"/>
              </w:rPr>
              <w:t>.</w:t>
            </w:r>
            <w:r w:rsidRPr="004A4936">
              <w:rPr>
                <w:sz w:val="20"/>
              </w:rPr>
              <w:t>500</w:t>
            </w:r>
          </w:p>
        </w:tc>
        <w:tc>
          <w:tcPr>
            <w:tcW w:w="1467" w:type="pct"/>
          </w:tcPr>
          <w:p w14:paraId="3DFEF2CF" w14:textId="6D8B7450" w:rsidR="00ED0241" w:rsidRPr="004A4936" w:rsidRDefault="00ED0241" w:rsidP="00ED0241">
            <w:pPr>
              <w:spacing w:before="20" w:after="20"/>
              <w:jc w:val="center"/>
              <w:rPr>
                <w:sz w:val="20"/>
              </w:rPr>
            </w:pPr>
            <w:r w:rsidRPr="005430F1">
              <w:rPr>
                <w:sz w:val="20"/>
              </w:rPr>
              <w:t>17</w:t>
            </w:r>
            <w:r>
              <w:rPr>
                <w:sz w:val="20"/>
              </w:rPr>
              <w:t>.</w:t>
            </w:r>
            <w:r w:rsidRPr="005430F1">
              <w:rPr>
                <w:sz w:val="20"/>
              </w:rPr>
              <w:t>255</w:t>
            </w:r>
          </w:p>
        </w:tc>
      </w:tr>
      <w:tr w:rsidR="00ED0241" w:rsidRPr="00122AA3" w14:paraId="3F62F2BC" w14:textId="77777777" w:rsidTr="00C41665">
        <w:trPr>
          <w:trHeight w:val="256"/>
        </w:trPr>
        <w:tc>
          <w:tcPr>
            <w:tcW w:w="1829" w:type="pct"/>
          </w:tcPr>
          <w:p w14:paraId="4EC21AD7" w14:textId="5206EDF6" w:rsidR="00ED0241" w:rsidRPr="004A4936" w:rsidRDefault="00ED0241" w:rsidP="00ED0241">
            <w:pPr>
              <w:spacing w:before="20" w:after="20"/>
              <w:ind w:left="167"/>
              <w:rPr>
                <w:sz w:val="20"/>
              </w:rPr>
            </w:pPr>
            <w:r w:rsidRPr="004A4936">
              <w:rPr>
                <w:sz w:val="20"/>
              </w:rPr>
              <w:t>Total</w:t>
            </w:r>
          </w:p>
        </w:tc>
        <w:tc>
          <w:tcPr>
            <w:tcW w:w="1704" w:type="pct"/>
          </w:tcPr>
          <w:p w14:paraId="078C952F" w14:textId="76886DB6" w:rsidR="00ED0241" w:rsidRPr="004A4936" w:rsidRDefault="00ED0241" w:rsidP="00ED0241">
            <w:pPr>
              <w:spacing w:before="20" w:after="20"/>
              <w:jc w:val="center"/>
              <w:rPr>
                <w:sz w:val="20"/>
              </w:rPr>
            </w:pPr>
            <w:r w:rsidRPr="004A4936">
              <w:rPr>
                <w:sz w:val="20"/>
              </w:rPr>
              <w:t>523</w:t>
            </w:r>
            <w:r>
              <w:rPr>
                <w:sz w:val="20"/>
              </w:rPr>
              <w:t>.</w:t>
            </w:r>
            <w:r w:rsidRPr="004A4936">
              <w:rPr>
                <w:sz w:val="20"/>
              </w:rPr>
              <w:t>000</w:t>
            </w:r>
          </w:p>
        </w:tc>
        <w:tc>
          <w:tcPr>
            <w:tcW w:w="1467" w:type="pct"/>
          </w:tcPr>
          <w:p w14:paraId="3743CED8" w14:textId="27463437" w:rsidR="00ED0241" w:rsidRPr="004A4936" w:rsidRDefault="00ED0241" w:rsidP="00ED0241">
            <w:pPr>
              <w:spacing w:before="20" w:after="20"/>
              <w:jc w:val="center"/>
              <w:rPr>
                <w:sz w:val="20"/>
              </w:rPr>
            </w:pPr>
            <w:r w:rsidRPr="005430F1">
              <w:rPr>
                <w:sz w:val="20"/>
              </w:rPr>
              <w:t>51</w:t>
            </w:r>
            <w:r>
              <w:rPr>
                <w:sz w:val="20"/>
              </w:rPr>
              <w:t>.</w:t>
            </w:r>
            <w:r w:rsidRPr="005430F1">
              <w:rPr>
                <w:sz w:val="20"/>
              </w:rPr>
              <w:t>950</w:t>
            </w:r>
          </w:p>
        </w:tc>
      </w:tr>
    </w:tbl>
    <w:p w14:paraId="26CC8079" w14:textId="77777777" w:rsidR="00C41665" w:rsidRDefault="00C41665" w:rsidP="002232A4">
      <w:pPr>
        <w:jc w:val="center"/>
        <w:rPr>
          <w:sz w:val="18"/>
          <w:szCs w:val="18"/>
        </w:rPr>
      </w:pPr>
    </w:p>
    <w:tbl>
      <w:tblPr>
        <w:tblStyle w:val="TableGrid"/>
        <w:tblW w:w="6006" w:type="pct"/>
        <w:tblInd w:w="-941" w:type="dxa"/>
        <w:tblLook w:val="04A0" w:firstRow="1" w:lastRow="0" w:firstColumn="1" w:lastColumn="0" w:noHBand="0" w:noVBand="1"/>
      </w:tblPr>
      <w:tblGrid>
        <w:gridCol w:w="5332"/>
        <w:gridCol w:w="5899"/>
      </w:tblGrid>
      <w:tr w:rsidR="002232A4" w:rsidRPr="002232A4" w14:paraId="4F9383B8" w14:textId="77777777" w:rsidTr="00751C16">
        <w:trPr>
          <w:trHeight w:hRule="exact" w:val="238"/>
        </w:trPr>
        <w:tc>
          <w:tcPr>
            <w:tcW w:w="2374" w:type="pct"/>
          </w:tcPr>
          <w:p w14:paraId="62F991C0" w14:textId="77777777" w:rsidR="002232A4" w:rsidRPr="002232A4" w:rsidRDefault="002232A4" w:rsidP="00751C16">
            <w:pPr>
              <w:jc w:val="left"/>
              <w:rPr>
                <w:b/>
                <w:sz w:val="18"/>
                <w:szCs w:val="18"/>
              </w:rPr>
            </w:pPr>
            <w:r w:rsidRPr="002232A4">
              <w:rPr>
                <w:b/>
                <w:sz w:val="18"/>
                <w:szCs w:val="18"/>
                <w:lang w:val="es-ES"/>
              </w:rPr>
              <w:t>Recomendación de la Secretaría:</w:t>
            </w:r>
          </w:p>
        </w:tc>
        <w:tc>
          <w:tcPr>
            <w:tcW w:w="2626" w:type="pct"/>
          </w:tcPr>
          <w:p w14:paraId="1B596565" w14:textId="77777777" w:rsidR="002232A4" w:rsidRPr="002232A4" w:rsidRDefault="002232A4" w:rsidP="00751C16">
            <w:pPr>
              <w:jc w:val="center"/>
              <w:rPr>
                <w:sz w:val="18"/>
                <w:szCs w:val="18"/>
              </w:rPr>
            </w:pPr>
            <w:r w:rsidRPr="002232A4">
              <w:rPr>
                <w:sz w:val="18"/>
                <w:szCs w:val="18"/>
                <w:lang w:val="es-ES"/>
              </w:rPr>
              <w:t>Consideración individual</w:t>
            </w:r>
          </w:p>
        </w:tc>
      </w:tr>
    </w:tbl>
    <w:p w14:paraId="548ADB73" w14:textId="03D17BFF" w:rsidR="0032262C" w:rsidRPr="002232A4" w:rsidRDefault="002232A4" w:rsidP="00C53CB2">
      <w:pPr>
        <w:spacing w:after="240"/>
        <w:jc w:val="center"/>
        <w:rPr>
          <w:b/>
          <w:lang w:val="es-419"/>
        </w:rPr>
      </w:pPr>
      <w:r w:rsidRPr="002232A4">
        <w:rPr>
          <w:b/>
          <w:lang w:val="es-ES"/>
        </w:rPr>
        <w:br w:type="page"/>
      </w:r>
      <w:r w:rsidR="0032262C" w:rsidRPr="002232A4">
        <w:rPr>
          <w:b/>
          <w:lang w:val="es-419"/>
        </w:rPr>
        <w:lastRenderedPageBreak/>
        <w:t>DESCRIPCIÓN DEL PROYECTO</w:t>
      </w:r>
    </w:p>
    <w:p w14:paraId="6E11BCE4" w14:textId="77777777" w:rsidR="0032262C" w:rsidRPr="002232A4" w:rsidRDefault="0032262C" w:rsidP="0032262C">
      <w:pPr>
        <w:keepNext/>
        <w:spacing w:after="240"/>
        <w:rPr>
          <w:b/>
          <w:lang w:val="es-419"/>
        </w:rPr>
      </w:pPr>
      <w:r w:rsidRPr="002232A4">
        <w:rPr>
          <w:b/>
          <w:lang w:val="es-419"/>
        </w:rPr>
        <w:t>Antecedentes</w:t>
      </w:r>
    </w:p>
    <w:p w14:paraId="3988692B" w14:textId="77777777" w:rsidR="0032262C" w:rsidRPr="002232A4" w:rsidRDefault="0032262C" w:rsidP="0032262C">
      <w:pPr>
        <w:pStyle w:val="Heading1"/>
        <w:rPr>
          <w:lang w:val="es-419"/>
        </w:rPr>
      </w:pPr>
      <w:r w:rsidRPr="002232A4">
        <w:rPr>
          <w:lang w:val="es-419"/>
        </w:rPr>
        <w:t>En nombre del Gobierno de Malí, el PNUMA, en su calidad de organismo de ejecución principal, ha presentado una solicitud para la etapa II del plan de gestión de la eliminación de los HCFC (PGEH) con un costo total de USD 1.148.640, desglosado en USD 646.000, más unos gastos de apoyo al organismo de USD 81.060 para el PNUMA, y USD 394.000, más unos gastos de apoyo al organismo de USD 27.580 para el PNUD, como se presentó originalmente</w:t>
      </w:r>
      <w:r w:rsidRPr="002232A4">
        <w:rPr>
          <w:vertAlign w:val="superscript"/>
          <w:lang w:val="es-419"/>
        </w:rPr>
        <w:footnoteReference w:id="3"/>
      </w:r>
      <w:r w:rsidRPr="002232A4">
        <w:rPr>
          <w:lang w:val="es-419"/>
        </w:rPr>
        <w:t>. La ejecución de la etapa II del PGEH eliminará el consumo remanente de HCFC para 2030.</w:t>
      </w:r>
    </w:p>
    <w:p w14:paraId="413777A7" w14:textId="77777777" w:rsidR="0032262C" w:rsidRPr="002232A4" w:rsidRDefault="0032262C" w:rsidP="0032262C">
      <w:pPr>
        <w:pStyle w:val="Heading1"/>
        <w:rPr>
          <w:lang w:val="es-419"/>
        </w:rPr>
      </w:pPr>
      <w:r w:rsidRPr="002232A4">
        <w:rPr>
          <w:lang w:val="es-419"/>
        </w:rPr>
        <w:t>El primer tramo de la etapa II del PGEH que se está solicitando en la reunión en curso asciende a USD 574.950, que se desglosa en USD 276.500, más gastos de apoyo al organismo de USD 34.695 para el PNUMA, y USD 246.500, más gastos de apoyo al organismo de USD 17.255 para el PNUD, como se solicitó originalmente.</w:t>
      </w:r>
    </w:p>
    <w:p w14:paraId="07F62421" w14:textId="77777777" w:rsidR="0032262C" w:rsidRPr="002232A4" w:rsidRDefault="0032262C" w:rsidP="0032262C">
      <w:pPr>
        <w:keepNext/>
        <w:spacing w:after="240"/>
        <w:outlineLvl w:val="0"/>
        <w:rPr>
          <w:b/>
          <w:lang w:val="es-419"/>
        </w:rPr>
      </w:pPr>
      <w:r w:rsidRPr="002232A4">
        <w:rPr>
          <w:b/>
          <w:lang w:val="es-419"/>
        </w:rPr>
        <w:t>Estado de ejecución de la etapa I del PGEH</w:t>
      </w:r>
    </w:p>
    <w:p w14:paraId="08D4AD08" w14:textId="77777777" w:rsidR="0032262C" w:rsidRPr="002232A4" w:rsidRDefault="0032262C" w:rsidP="0032262C">
      <w:pPr>
        <w:pStyle w:val="Heading1"/>
        <w:tabs>
          <w:tab w:val="num" w:pos="709"/>
        </w:tabs>
        <w:rPr>
          <w:lang w:val="es-419"/>
        </w:rPr>
      </w:pPr>
      <w:r w:rsidRPr="002232A4">
        <w:rPr>
          <w:lang w:val="es-419"/>
        </w:rPr>
        <w:t>La etapa I del PGEH para Malí se aprobó en la 63ª reunión</w:t>
      </w:r>
      <w:r w:rsidRPr="002232A4">
        <w:rPr>
          <w:vertAlign w:val="superscript"/>
          <w:lang w:val="es-419"/>
        </w:rPr>
        <w:footnoteReference w:id="4"/>
      </w:r>
      <w:r w:rsidRPr="002232A4">
        <w:rPr>
          <w:lang w:val="es-419"/>
        </w:rPr>
        <w:t xml:space="preserve"> para eliminar 5,20 toneladas PAO de HCFC utilizadas en el sector de servicio y mantenimiento de aparatos de refrigeración y aire acondicionado (RAC), y para cumplir con la reducción del 35% con respecto al consumo básico de referencia para 2020, con un costo total de USD 560.000, más los gastos de apoyo del organismo. La etapa I del PGEH se completó en junio de 2025, tal como se estipula en la decisión 96/11.</w:t>
      </w:r>
    </w:p>
    <w:p w14:paraId="61FEB15E" w14:textId="77777777" w:rsidR="0032262C" w:rsidRPr="002232A4" w:rsidRDefault="0032262C" w:rsidP="0032262C">
      <w:pPr>
        <w:keepNext/>
        <w:spacing w:after="240"/>
        <w:rPr>
          <w:lang w:val="es-419"/>
        </w:rPr>
      </w:pPr>
      <w:r w:rsidRPr="002232A4">
        <w:rPr>
          <w:u w:val="single"/>
          <w:lang w:val="es-419"/>
        </w:rPr>
        <w:t>Informe sobre el consumo de HCFC</w:t>
      </w:r>
      <w:bookmarkStart w:id="0" w:name="_Hlk170900703"/>
    </w:p>
    <w:p w14:paraId="02E75C76" w14:textId="77777777" w:rsidR="0032262C" w:rsidRPr="002232A4" w:rsidRDefault="0032262C" w:rsidP="0032262C">
      <w:pPr>
        <w:pStyle w:val="Heading1"/>
        <w:rPr>
          <w:lang w:val="es-419"/>
        </w:rPr>
      </w:pPr>
      <w:bookmarkStart w:id="1" w:name="_Hlk141281293"/>
      <w:bookmarkEnd w:id="0"/>
      <w:r w:rsidRPr="002232A4">
        <w:rPr>
          <w:lang w:val="es-419"/>
        </w:rPr>
        <w:t>El Gobierno de Malí notificó un consumo de 4,40 toneladas PAO de HCFC en 2024, que es un 71 % inferior al consumo básico de referencia de HCFC para el cumplimiento. El consumo de HCFC en 2020-2024 se recoge en el cuadro 1.</w:t>
      </w:r>
    </w:p>
    <w:bookmarkEnd w:id="1"/>
    <w:p w14:paraId="00D2D145" w14:textId="77777777" w:rsidR="0032262C" w:rsidRPr="002232A4" w:rsidRDefault="0032262C" w:rsidP="0032262C">
      <w:pPr>
        <w:keepNext/>
        <w:rPr>
          <w:b/>
          <w:lang w:val="es-419"/>
        </w:rPr>
      </w:pPr>
      <w:r w:rsidRPr="002232A4">
        <w:rPr>
          <w:b/>
          <w:lang w:val="es-419"/>
        </w:rPr>
        <w:t>Cuadro 1. Consumo de HCFC en Malí (datos para 2020-2024 en virtud del artículo 7)</w:t>
      </w:r>
    </w:p>
    <w:tbl>
      <w:tblPr>
        <w:tblW w:w="5000" w:type="pct"/>
        <w:tblLook w:val="04A0" w:firstRow="1" w:lastRow="0" w:firstColumn="1" w:lastColumn="0" w:noHBand="0" w:noVBand="1"/>
      </w:tblPr>
      <w:tblGrid>
        <w:gridCol w:w="2164"/>
        <w:gridCol w:w="1359"/>
        <w:gridCol w:w="1001"/>
        <w:gridCol w:w="999"/>
        <w:gridCol w:w="1001"/>
        <w:gridCol w:w="999"/>
        <w:gridCol w:w="1827"/>
      </w:tblGrid>
      <w:tr w:rsidR="0032262C" w:rsidRPr="002232A4" w14:paraId="351E7CA8" w14:textId="77777777" w:rsidTr="00E734D2">
        <w:trPr>
          <w:trHeight w:val="248"/>
          <w:tblHeader/>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B2F29A" w14:textId="77777777" w:rsidR="0032262C" w:rsidRPr="002232A4" w:rsidRDefault="0032262C" w:rsidP="00E734D2">
            <w:pPr>
              <w:keepNext/>
              <w:jc w:val="left"/>
              <w:rPr>
                <w:b/>
                <w:color w:val="000000"/>
                <w:sz w:val="20"/>
                <w:lang w:val="es-419"/>
              </w:rPr>
            </w:pPr>
            <w:r w:rsidRPr="002232A4">
              <w:rPr>
                <w:b/>
                <w:color w:val="000000"/>
                <w:sz w:val="20"/>
                <w:lang w:val="es-419"/>
              </w:rPr>
              <w:t>HCFC-22</w:t>
            </w:r>
          </w:p>
        </w:tc>
        <w:tc>
          <w:tcPr>
            <w:tcW w:w="790" w:type="pct"/>
            <w:tcBorders>
              <w:top w:val="single" w:sz="4" w:space="0" w:color="auto"/>
              <w:left w:val="nil"/>
              <w:bottom w:val="single" w:sz="4" w:space="0" w:color="auto"/>
              <w:right w:val="single" w:sz="4" w:space="0" w:color="auto"/>
            </w:tcBorders>
            <w:noWrap/>
            <w:vAlign w:val="center"/>
            <w:hideMark/>
          </w:tcPr>
          <w:p w14:paraId="1611C0B4" w14:textId="77777777" w:rsidR="0032262C" w:rsidRPr="002232A4" w:rsidRDefault="0032262C" w:rsidP="00E734D2">
            <w:pPr>
              <w:keepNext/>
              <w:jc w:val="center"/>
              <w:rPr>
                <w:b/>
                <w:color w:val="000000"/>
                <w:sz w:val="20"/>
                <w:lang w:val="es-419"/>
              </w:rPr>
            </w:pPr>
            <w:r w:rsidRPr="002232A4">
              <w:rPr>
                <w:b/>
                <w:color w:val="000000"/>
                <w:sz w:val="20"/>
                <w:lang w:val="es-419"/>
              </w:rPr>
              <w:t>2020</w:t>
            </w:r>
          </w:p>
        </w:tc>
        <w:tc>
          <w:tcPr>
            <w:tcW w:w="598" w:type="pct"/>
            <w:tcBorders>
              <w:top w:val="single" w:sz="4" w:space="0" w:color="auto"/>
              <w:left w:val="nil"/>
              <w:bottom w:val="single" w:sz="4" w:space="0" w:color="auto"/>
              <w:right w:val="single" w:sz="4" w:space="0" w:color="auto"/>
            </w:tcBorders>
            <w:vAlign w:val="center"/>
          </w:tcPr>
          <w:p w14:paraId="421A7A04" w14:textId="77777777" w:rsidR="0032262C" w:rsidRPr="002232A4" w:rsidRDefault="0032262C" w:rsidP="00E734D2">
            <w:pPr>
              <w:keepNext/>
              <w:jc w:val="center"/>
              <w:rPr>
                <w:b/>
                <w:color w:val="000000"/>
                <w:sz w:val="20"/>
                <w:lang w:val="es-419"/>
              </w:rPr>
            </w:pPr>
            <w:r w:rsidRPr="002232A4">
              <w:rPr>
                <w:b/>
                <w:color w:val="000000"/>
                <w:sz w:val="20"/>
                <w:lang w:val="es-419"/>
              </w:rPr>
              <w:t>2021</w:t>
            </w:r>
          </w:p>
        </w:tc>
        <w:tc>
          <w:tcPr>
            <w:tcW w:w="597" w:type="pct"/>
            <w:tcBorders>
              <w:top w:val="single" w:sz="4" w:space="0" w:color="auto"/>
              <w:left w:val="single" w:sz="4" w:space="0" w:color="auto"/>
              <w:bottom w:val="single" w:sz="4" w:space="0" w:color="auto"/>
              <w:right w:val="single" w:sz="4" w:space="0" w:color="auto"/>
            </w:tcBorders>
            <w:vAlign w:val="center"/>
          </w:tcPr>
          <w:p w14:paraId="0CC7CBA1" w14:textId="77777777" w:rsidR="0032262C" w:rsidRPr="002232A4" w:rsidRDefault="0032262C" w:rsidP="00E734D2">
            <w:pPr>
              <w:keepNext/>
              <w:jc w:val="center"/>
              <w:rPr>
                <w:b/>
                <w:color w:val="000000"/>
                <w:sz w:val="20"/>
                <w:lang w:val="es-419"/>
              </w:rPr>
            </w:pPr>
            <w:r w:rsidRPr="002232A4">
              <w:rPr>
                <w:b/>
                <w:color w:val="000000"/>
                <w:sz w:val="20"/>
                <w:lang w:val="es-419"/>
              </w:rPr>
              <w:t>2022</w:t>
            </w:r>
          </w:p>
        </w:tc>
        <w:tc>
          <w:tcPr>
            <w:tcW w:w="598" w:type="pct"/>
            <w:tcBorders>
              <w:top w:val="single" w:sz="4" w:space="0" w:color="auto"/>
              <w:left w:val="single" w:sz="4" w:space="0" w:color="auto"/>
              <w:bottom w:val="single" w:sz="4" w:space="0" w:color="auto"/>
              <w:right w:val="single" w:sz="4" w:space="0" w:color="auto"/>
            </w:tcBorders>
            <w:vAlign w:val="center"/>
          </w:tcPr>
          <w:p w14:paraId="67DB84F3" w14:textId="77777777" w:rsidR="0032262C" w:rsidRPr="002232A4" w:rsidRDefault="0032262C" w:rsidP="00E734D2">
            <w:pPr>
              <w:keepNext/>
              <w:jc w:val="center"/>
              <w:rPr>
                <w:b/>
                <w:color w:val="000000"/>
                <w:sz w:val="20"/>
                <w:lang w:val="es-419"/>
              </w:rPr>
            </w:pPr>
            <w:r w:rsidRPr="002232A4">
              <w:rPr>
                <w:b/>
                <w:color w:val="000000"/>
                <w:sz w:val="20"/>
                <w:lang w:val="es-419"/>
              </w:rPr>
              <w:t>2023</w:t>
            </w:r>
          </w:p>
        </w:tc>
        <w:tc>
          <w:tcPr>
            <w:tcW w:w="597" w:type="pct"/>
            <w:tcBorders>
              <w:top w:val="single" w:sz="4" w:space="0" w:color="auto"/>
              <w:left w:val="single" w:sz="4" w:space="0" w:color="auto"/>
              <w:bottom w:val="single" w:sz="4" w:space="0" w:color="auto"/>
              <w:right w:val="single" w:sz="4" w:space="0" w:color="auto"/>
            </w:tcBorders>
            <w:vAlign w:val="center"/>
          </w:tcPr>
          <w:p w14:paraId="6B885795" w14:textId="77777777" w:rsidR="0032262C" w:rsidRPr="002232A4" w:rsidRDefault="0032262C" w:rsidP="00E734D2">
            <w:pPr>
              <w:keepNext/>
              <w:jc w:val="center"/>
              <w:rPr>
                <w:b/>
                <w:color w:val="000000"/>
                <w:sz w:val="20"/>
                <w:lang w:val="es-419"/>
              </w:rPr>
            </w:pPr>
            <w:r w:rsidRPr="002232A4">
              <w:rPr>
                <w:b/>
                <w:color w:val="000000"/>
                <w:sz w:val="20"/>
                <w:lang w:val="es-419"/>
              </w:rPr>
              <w:t>2024</w:t>
            </w:r>
          </w:p>
        </w:tc>
        <w:tc>
          <w:tcPr>
            <w:tcW w:w="598" w:type="pct"/>
            <w:tcBorders>
              <w:top w:val="single" w:sz="4" w:space="0" w:color="auto"/>
              <w:left w:val="single" w:sz="4" w:space="0" w:color="auto"/>
              <w:bottom w:val="single" w:sz="4" w:space="0" w:color="auto"/>
              <w:right w:val="single" w:sz="4" w:space="0" w:color="auto"/>
            </w:tcBorders>
            <w:noWrap/>
            <w:vAlign w:val="center"/>
            <w:hideMark/>
          </w:tcPr>
          <w:p w14:paraId="6894F240" w14:textId="77777777" w:rsidR="0032262C" w:rsidRPr="002232A4" w:rsidRDefault="0032262C" w:rsidP="00E734D2">
            <w:pPr>
              <w:keepNext/>
              <w:jc w:val="center"/>
              <w:rPr>
                <w:b/>
                <w:color w:val="000000"/>
                <w:sz w:val="20"/>
                <w:lang w:val="es-419"/>
              </w:rPr>
            </w:pPr>
            <w:r w:rsidRPr="002232A4">
              <w:rPr>
                <w:b/>
                <w:color w:val="000000"/>
                <w:sz w:val="20"/>
                <w:lang w:val="es-419"/>
              </w:rPr>
              <w:t>Nivel de referencia</w:t>
            </w:r>
          </w:p>
        </w:tc>
      </w:tr>
      <w:tr w:rsidR="0032262C" w:rsidRPr="002232A4" w14:paraId="51F4DE39" w14:textId="77777777" w:rsidTr="00E734D2">
        <w:trPr>
          <w:trHeight w:val="240"/>
        </w:trPr>
        <w:tc>
          <w:tcPr>
            <w:tcW w:w="1220"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DA11916" w14:textId="77777777" w:rsidR="0032262C" w:rsidRPr="002232A4" w:rsidRDefault="0032262C" w:rsidP="00E734D2">
            <w:pPr>
              <w:jc w:val="left"/>
              <w:rPr>
                <w:b/>
                <w:bCs/>
                <w:color w:val="000000"/>
                <w:sz w:val="20"/>
                <w:lang w:val="es-419"/>
              </w:rPr>
            </w:pPr>
            <w:r w:rsidRPr="002232A4">
              <w:rPr>
                <w:b/>
                <w:bCs/>
                <w:color w:val="000000"/>
                <w:sz w:val="20"/>
                <w:lang w:val="es-419"/>
              </w:rPr>
              <w:t>Toneladas métricas (tm)</w:t>
            </w:r>
          </w:p>
        </w:tc>
        <w:tc>
          <w:tcPr>
            <w:tcW w:w="790" w:type="pct"/>
            <w:tcBorders>
              <w:top w:val="nil"/>
              <w:left w:val="nil"/>
              <w:bottom w:val="single" w:sz="4" w:space="0" w:color="auto"/>
              <w:right w:val="single" w:sz="4" w:space="0" w:color="auto"/>
            </w:tcBorders>
            <w:noWrap/>
            <w:tcMar>
              <w:left w:w="115" w:type="dxa"/>
              <w:right w:w="230" w:type="dxa"/>
            </w:tcMar>
          </w:tcPr>
          <w:p w14:paraId="584C5BF3" w14:textId="77777777" w:rsidR="0032262C" w:rsidRPr="002232A4" w:rsidRDefault="0032262C" w:rsidP="00E734D2">
            <w:pPr>
              <w:ind w:right="-125"/>
              <w:jc w:val="right"/>
              <w:rPr>
                <w:sz w:val="20"/>
                <w:lang w:val="es-419"/>
              </w:rPr>
            </w:pPr>
            <w:r w:rsidRPr="002232A4">
              <w:rPr>
                <w:sz w:val="20"/>
                <w:lang w:val="es-419"/>
              </w:rPr>
              <w:t>137,00</w:t>
            </w:r>
          </w:p>
        </w:tc>
        <w:tc>
          <w:tcPr>
            <w:tcW w:w="598" w:type="pct"/>
            <w:tcBorders>
              <w:top w:val="single" w:sz="4" w:space="0" w:color="auto"/>
              <w:left w:val="nil"/>
              <w:bottom w:val="single" w:sz="4" w:space="0" w:color="auto"/>
              <w:right w:val="single" w:sz="4" w:space="0" w:color="auto"/>
            </w:tcBorders>
            <w:tcMar>
              <w:left w:w="115" w:type="dxa"/>
              <w:right w:w="230" w:type="dxa"/>
            </w:tcMar>
          </w:tcPr>
          <w:p w14:paraId="047055F8" w14:textId="77777777" w:rsidR="0032262C" w:rsidRPr="002232A4" w:rsidRDefault="0032262C" w:rsidP="00E734D2">
            <w:pPr>
              <w:ind w:right="-125"/>
              <w:jc w:val="right"/>
              <w:rPr>
                <w:sz w:val="20"/>
                <w:lang w:val="es-419"/>
              </w:rPr>
            </w:pPr>
            <w:r w:rsidRPr="002232A4">
              <w:rPr>
                <w:sz w:val="20"/>
                <w:lang w:val="es-419"/>
              </w:rPr>
              <w:t>125.00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649EB2A7" w14:textId="77777777" w:rsidR="0032262C" w:rsidRPr="002232A4" w:rsidRDefault="0032262C" w:rsidP="00E734D2">
            <w:pPr>
              <w:ind w:right="-125"/>
              <w:jc w:val="right"/>
              <w:rPr>
                <w:sz w:val="20"/>
                <w:lang w:val="es-419"/>
              </w:rPr>
            </w:pPr>
            <w:r w:rsidRPr="002232A4">
              <w:rPr>
                <w:sz w:val="20"/>
                <w:lang w:val="es-419"/>
              </w:rPr>
              <w:t>110,00</w:t>
            </w:r>
          </w:p>
        </w:tc>
        <w:tc>
          <w:tcPr>
            <w:tcW w:w="598" w:type="pct"/>
            <w:tcBorders>
              <w:top w:val="nil"/>
              <w:left w:val="single" w:sz="4" w:space="0" w:color="auto"/>
              <w:bottom w:val="single" w:sz="4" w:space="0" w:color="auto"/>
              <w:right w:val="single" w:sz="4" w:space="0" w:color="auto"/>
            </w:tcBorders>
            <w:tcMar>
              <w:left w:w="115" w:type="dxa"/>
              <w:right w:w="230" w:type="dxa"/>
            </w:tcMar>
          </w:tcPr>
          <w:p w14:paraId="3738AD46" w14:textId="77777777" w:rsidR="0032262C" w:rsidRPr="002232A4" w:rsidRDefault="0032262C" w:rsidP="00E734D2">
            <w:pPr>
              <w:ind w:right="-125"/>
              <w:jc w:val="right"/>
              <w:rPr>
                <w:rFonts w:eastAsiaTheme="minorHAnsi"/>
                <w:color w:val="000000"/>
                <w:sz w:val="20"/>
                <w:lang w:val="es-419"/>
              </w:rPr>
            </w:pPr>
            <w:r w:rsidRPr="002232A4">
              <w:rPr>
                <w:color w:val="000000"/>
                <w:sz w:val="20"/>
                <w:lang w:val="es-419"/>
              </w:rPr>
              <w:t>90,00</w:t>
            </w:r>
          </w:p>
        </w:tc>
        <w:tc>
          <w:tcPr>
            <w:tcW w:w="597" w:type="pct"/>
            <w:tcBorders>
              <w:top w:val="nil"/>
              <w:left w:val="single" w:sz="4" w:space="0" w:color="auto"/>
              <w:bottom w:val="single" w:sz="4" w:space="0" w:color="auto"/>
              <w:right w:val="single" w:sz="4" w:space="0" w:color="auto"/>
            </w:tcBorders>
            <w:tcMar>
              <w:left w:w="115" w:type="dxa"/>
              <w:right w:w="230" w:type="dxa"/>
            </w:tcMar>
          </w:tcPr>
          <w:p w14:paraId="145C32E5" w14:textId="77777777" w:rsidR="0032262C" w:rsidRPr="002232A4" w:rsidRDefault="0032262C" w:rsidP="00E734D2">
            <w:pPr>
              <w:ind w:right="-125"/>
              <w:jc w:val="right"/>
              <w:rPr>
                <w:color w:val="000000"/>
                <w:sz w:val="20"/>
                <w:lang w:val="es-419"/>
              </w:rPr>
            </w:pPr>
            <w:r w:rsidRPr="002232A4">
              <w:rPr>
                <w:sz w:val="20"/>
                <w:lang w:val="es-419"/>
              </w:rPr>
              <w:t>80,00</w:t>
            </w:r>
          </w:p>
        </w:tc>
        <w:tc>
          <w:tcPr>
            <w:tcW w:w="598" w:type="pct"/>
            <w:tcBorders>
              <w:top w:val="nil"/>
              <w:left w:val="single" w:sz="4" w:space="0" w:color="auto"/>
              <w:bottom w:val="single" w:sz="4" w:space="0" w:color="auto"/>
              <w:right w:val="single" w:sz="4" w:space="0" w:color="auto"/>
            </w:tcBorders>
            <w:noWrap/>
            <w:tcMar>
              <w:left w:w="115" w:type="dxa"/>
              <w:right w:w="230" w:type="dxa"/>
            </w:tcMar>
          </w:tcPr>
          <w:p w14:paraId="30193437" w14:textId="77777777" w:rsidR="0032262C" w:rsidRPr="002232A4" w:rsidRDefault="0032262C" w:rsidP="00E734D2">
            <w:pPr>
              <w:ind w:right="-125"/>
              <w:jc w:val="right"/>
              <w:rPr>
                <w:color w:val="000000"/>
                <w:sz w:val="20"/>
                <w:lang w:val="es-419"/>
              </w:rPr>
            </w:pPr>
            <w:r w:rsidRPr="002232A4">
              <w:rPr>
                <w:sz w:val="20"/>
                <w:lang w:val="es-419"/>
              </w:rPr>
              <w:t>272,25</w:t>
            </w:r>
          </w:p>
        </w:tc>
      </w:tr>
      <w:tr w:rsidR="0032262C" w:rsidRPr="002232A4" w14:paraId="7E8B0B2F" w14:textId="77777777" w:rsidTr="00E734D2">
        <w:trPr>
          <w:trHeight w:val="40"/>
        </w:trPr>
        <w:tc>
          <w:tcPr>
            <w:tcW w:w="1220"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9FE0C0C" w14:textId="77777777" w:rsidR="0032262C" w:rsidRPr="002232A4" w:rsidRDefault="0032262C" w:rsidP="00E734D2">
            <w:pPr>
              <w:jc w:val="left"/>
              <w:rPr>
                <w:b/>
                <w:bCs/>
                <w:color w:val="000000"/>
                <w:sz w:val="20"/>
                <w:lang w:val="es-419"/>
              </w:rPr>
            </w:pPr>
            <w:r w:rsidRPr="002232A4">
              <w:rPr>
                <w:b/>
                <w:bCs/>
                <w:color w:val="000000"/>
                <w:sz w:val="20"/>
                <w:lang w:val="es-419"/>
              </w:rPr>
              <w:t>Tons. PAO</w:t>
            </w:r>
          </w:p>
        </w:tc>
        <w:tc>
          <w:tcPr>
            <w:tcW w:w="790" w:type="pct"/>
            <w:tcBorders>
              <w:top w:val="single" w:sz="4" w:space="0" w:color="auto"/>
              <w:left w:val="nil"/>
              <w:bottom w:val="single" w:sz="4" w:space="0" w:color="auto"/>
              <w:right w:val="single" w:sz="4" w:space="0" w:color="auto"/>
            </w:tcBorders>
            <w:noWrap/>
            <w:tcMar>
              <w:left w:w="115" w:type="dxa"/>
              <w:right w:w="230" w:type="dxa"/>
            </w:tcMar>
          </w:tcPr>
          <w:p w14:paraId="6220EBF1" w14:textId="77777777" w:rsidR="0032262C" w:rsidRPr="002232A4" w:rsidRDefault="0032262C" w:rsidP="00E734D2">
            <w:pPr>
              <w:ind w:right="-125"/>
              <w:jc w:val="right"/>
              <w:rPr>
                <w:sz w:val="20"/>
                <w:lang w:val="es-419"/>
              </w:rPr>
            </w:pPr>
            <w:r w:rsidRPr="002232A4">
              <w:rPr>
                <w:sz w:val="20"/>
                <w:lang w:val="es-419"/>
              </w:rPr>
              <w:t>7,54</w:t>
            </w:r>
          </w:p>
        </w:tc>
        <w:tc>
          <w:tcPr>
            <w:tcW w:w="598" w:type="pct"/>
            <w:tcBorders>
              <w:top w:val="single" w:sz="4" w:space="0" w:color="auto"/>
              <w:left w:val="nil"/>
              <w:bottom w:val="single" w:sz="4" w:space="0" w:color="auto"/>
              <w:right w:val="single" w:sz="4" w:space="0" w:color="auto"/>
            </w:tcBorders>
            <w:tcMar>
              <w:left w:w="115" w:type="dxa"/>
              <w:right w:w="230" w:type="dxa"/>
            </w:tcMar>
          </w:tcPr>
          <w:p w14:paraId="2408769C" w14:textId="77777777" w:rsidR="0032262C" w:rsidRPr="002232A4" w:rsidRDefault="0032262C" w:rsidP="00E734D2">
            <w:pPr>
              <w:ind w:right="-125"/>
              <w:jc w:val="right"/>
              <w:rPr>
                <w:sz w:val="20"/>
                <w:lang w:val="es-419"/>
              </w:rPr>
            </w:pPr>
            <w:r w:rsidRPr="002232A4">
              <w:rPr>
                <w:sz w:val="20"/>
                <w:lang w:val="es-419"/>
              </w:rPr>
              <w:t>6,88</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73BB1463" w14:textId="77777777" w:rsidR="0032262C" w:rsidRPr="002232A4" w:rsidRDefault="0032262C" w:rsidP="00E734D2">
            <w:pPr>
              <w:ind w:right="-125"/>
              <w:jc w:val="right"/>
              <w:rPr>
                <w:sz w:val="20"/>
                <w:lang w:val="es-419"/>
              </w:rPr>
            </w:pPr>
            <w:r w:rsidRPr="002232A4">
              <w:rPr>
                <w:sz w:val="20"/>
                <w:lang w:val="es-419"/>
              </w:rPr>
              <w:t>6,05</w:t>
            </w:r>
          </w:p>
        </w:tc>
        <w:tc>
          <w:tcPr>
            <w:tcW w:w="598" w:type="pct"/>
            <w:tcBorders>
              <w:top w:val="single" w:sz="4" w:space="0" w:color="auto"/>
              <w:left w:val="single" w:sz="4" w:space="0" w:color="auto"/>
              <w:bottom w:val="single" w:sz="4" w:space="0" w:color="auto"/>
              <w:right w:val="single" w:sz="4" w:space="0" w:color="auto"/>
            </w:tcBorders>
            <w:tcMar>
              <w:left w:w="115" w:type="dxa"/>
              <w:right w:w="230" w:type="dxa"/>
            </w:tcMar>
          </w:tcPr>
          <w:p w14:paraId="6B0A125F" w14:textId="77777777" w:rsidR="0032262C" w:rsidRPr="002232A4" w:rsidRDefault="0032262C" w:rsidP="00E734D2">
            <w:pPr>
              <w:ind w:right="-125"/>
              <w:jc w:val="right"/>
              <w:rPr>
                <w:rFonts w:eastAsiaTheme="minorHAnsi"/>
                <w:color w:val="000000"/>
                <w:sz w:val="20"/>
                <w:lang w:val="es-419"/>
              </w:rPr>
            </w:pPr>
            <w:r w:rsidRPr="002232A4">
              <w:rPr>
                <w:color w:val="000000"/>
                <w:sz w:val="20"/>
                <w:lang w:val="es-419"/>
              </w:rPr>
              <w:t>4,95</w:t>
            </w:r>
          </w:p>
        </w:tc>
        <w:tc>
          <w:tcPr>
            <w:tcW w:w="597" w:type="pct"/>
            <w:tcBorders>
              <w:top w:val="single" w:sz="4" w:space="0" w:color="auto"/>
              <w:left w:val="single" w:sz="4" w:space="0" w:color="auto"/>
              <w:bottom w:val="single" w:sz="4" w:space="0" w:color="auto"/>
              <w:right w:val="single" w:sz="4" w:space="0" w:color="auto"/>
            </w:tcBorders>
            <w:tcMar>
              <w:left w:w="115" w:type="dxa"/>
              <w:right w:w="230" w:type="dxa"/>
            </w:tcMar>
          </w:tcPr>
          <w:p w14:paraId="7C6FC2D0" w14:textId="77777777" w:rsidR="0032262C" w:rsidRPr="002232A4" w:rsidRDefault="0032262C" w:rsidP="00E734D2">
            <w:pPr>
              <w:ind w:right="-125"/>
              <w:jc w:val="right"/>
              <w:rPr>
                <w:rFonts w:eastAsiaTheme="minorHAnsi"/>
                <w:color w:val="000000"/>
                <w:sz w:val="20"/>
                <w:lang w:val="es-419"/>
              </w:rPr>
            </w:pPr>
            <w:r w:rsidRPr="002232A4">
              <w:rPr>
                <w:sz w:val="20"/>
                <w:lang w:val="es-419"/>
              </w:rPr>
              <w:t>4,40</w:t>
            </w:r>
          </w:p>
        </w:tc>
        <w:tc>
          <w:tcPr>
            <w:tcW w:w="598" w:type="pct"/>
            <w:tcBorders>
              <w:top w:val="single" w:sz="4" w:space="0" w:color="auto"/>
              <w:left w:val="single" w:sz="4" w:space="0" w:color="auto"/>
              <w:bottom w:val="single" w:sz="4" w:space="0" w:color="auto"/>
              <w:right w:val="single" w:sz="4" w:space="0" w:color="auto"/>
            </w:tcBorders>
            <w:noWrap/>
            <w:tcMar>
              <w:left w:w="115" w:type="dxa"/>
              <w:right w:w="230" w:type="dxa"/>
            </w:tcMar>
          </w:tcPr>
          <w:p w14:paraId="6691B2F3" w14:textId="77777777" w:rsidR="0032262C" w:rsidRPr="002232A4" w:rsidRDefault="0032262C" w:rsidP="00E734D2">
            <w:pPr>
              <w:ind w:right="-125"/>
              <w:jc w:val="right"/>
              <w:rPr>
                <w:rFonts w:eastAsiaTheme="minorHAnsi"/>
                <w:color w:val="000000"/>
                <w:sz w:val="20"/>
                <w:lang w:val="es-419"/>
              </w:rPr>
            </w:pPr>
            <w:r w:rsidRPr="002232A4">
              <w:rPr>
                <w:sz w:val="20"/>
                <w:lang w:val="es-419"/>
              </w:rPr>
              <w:t>15,00</w:t>
            </w:r>
          </w:p>
        </w:tc>
      </w:tr>
    </w:tbl>
    <w:p w14:paraId="37391465" w14:textId="77777777" w:rsidR="0032262C" w:rsidRPr="002232A4" w:rsidRDefault="0032262C" w:rsidP="0032262C">
      <w:pPr>
        <w:pStyle w:val="Heading1"/>
        <w:spacing w:before="240"/>
        <w:rPr>
          <w:lang w:val="es-419"/>
        </w:rPr>
      </w:pPr>
      <w:r w:rsidRPr="002232A4">
        <w:rPr>
          <w:lang w:val="es-419"/>
        </w:rPr>
        <w:t>El consumo ha ido disminuyendo desde 2013, principalmente debido a la implementación de actividades del PGEH, entre otras cosas, el control del consumo de HCFC mediante cuotas de importación; la capacitación sobre buenas prácticas de mantenimiento de sistemas de refrigeración y aire acondicionado (RAC); campañas de sensibilización y divulgación sobre actividades de reducción del consumo de HCFC; y la adopción de alternativas a los HCFC en aplicaciones de RAC.</w:t>
      </w:r>
    </w:p>
    <w:p w14:paraId="23D02628" w14:textId="77777777" w:rsidR="0032262C" w:rsidRPr="002232A4" w:rsidRDefault="0032262C" w:rsidP="0032262C">
      <w:pPr>
        <w:keepNext/>
        <w:spacing w:after="240"/>
        <w:rPr>
          <w:i/>
          <w:lang w:val="es-419"/>
        </w:rPr>
      </w:pPr>
      <w:bookmarkStart w:id="2" w:name="_Hlk126915671"/>
      <w:r w:rsidRPr="002232A4">
        <w:rPr>
          <w:i/>
          <w:lang w:val="es-419"/>
        </w:rPr>
        <w:t>Informe de ejecución del programa país</w:t>
      </w:r>
    </w:p>
    <w:bookmarkEnd w:id="2"/>
    <w:p w14:paraId="0354A09B" w14:textId="77777777" w:rsidR="0032262C" w:rsidRPr="002232A4" w:rsidRDefault="0032262C" w:rsidP="0032262C">
      <w:pPr>
        <w:pStyle w:val="Heading1"/>
        <w:rPr>
          <w:lang w:val="es-419"/>
        </w:rPr>
      </w:pPr>
      <w:r w:rsidRPr="002232A4">
        <w:rPr>
          <w:lang w:val="es-419"/>
        </w:rPr>
        <w:t>El Gobierno de Malí notificó los datos de consumo del sector de los HCFC en el informe de ejecución del programa país (PP) de 2024, que son coherentes con los datos comunicados conforme al artículo 7 del Protocolo de Montreal.</w:t>
      </w:r>
    </w:p>
    <w:p w14:paraId="60A20624" w14:textId="77777777" w:rsidR="0032262C" w:rsidRPr="002232A4" w:rsidRDefault="0032262C" w:rsidP="0032262C">
      <w:pPr>
        <w:keepNext/>
        <w:spacing w:before="240" w:after="240"/>
        <w:rPr>
          <w:u w:val="single"/>
          <w:lang w:val="es-419"/>
        </w:rPr>
      </w:pPr>
      <w:bookmarkStart w:id="3" w:name="_Hlk126915699"/>
      <w:r w:rsidRPr="002232A4">
        <w:rPr>
          <w:u w:val="single"/>
          <w:lang w:val="es-419"/>
        </w:rPr>
        <w:lastRenderedPageBreak/>
        <w:t>Estado de los avances y desembolsos</w:t>
      </w:r>
    </w:p>
    <w:p w14:paraId="42D276E3" w14:textId="1064E7A6" w:rsidR="0032262C" w:rsidRPr="002232A4" w:rsidRDefault="0032262C" w:rsidP="0032262C">
      <w:pPr>
        <w:pStyle w:val="Heading1"/>
        <w:rPr>
          <w:lang w:val="es-419"/>
        </w:rPr>
      </w:pPr>
      <w:r w:rsidRPr="002232A4">
        <w:rPr>
          <w:lang w:val="es-419"/>
        </w:rPr>
        <w:t>La etapa I del PGEH avanzó a pesar de los retrasos acumulados debido a la pandemia de COVID-19 y la compleja situación política que persistió durante años en el país. La etapa I tiene una tasa de desembolso global del 96,9 % y el 3,1 % restante ya se ha devuelto al Fondo (el PNUMA devolvió USD</w:t>
      </w:r>
      <w:r w:rsidR="00C53CB2">
        <w:rPr>
          <w:lang w:val="es-419"/>
        </w:rPr>
        <w:t> </w:t>
      </w:r>
      <w:r w:rsidRPr="002232A4">
        <w:rPr>
          <w:lang w:val="es-419"/>
        </w:rPr>
        <w:t>3.170 en la 73ª reunión y el PNUD devolvió USD 14.107 en la 90ª reunión). La oficina nacional del ozono (ONO) contrató a dos consultores durante el transcurso del proyecto.</w:t>
      </w:r>
      <w:r w:rsidRPr="002232A4">
        <w:rPr>
          <w:i/>
          <w:iCs/>
          <w:lang w:val="es-419"/>
        </w:rPr>
        <w:t xml:space="preserve"> </w:t>
      </w:r>
    </w:p>
    <w:p w14:paraId="1F27AAD9" w14:textId="77777777" w:rsidR="0032262C" w:rsidRPr="002232A4" w:rsidRDefault="0032262C" w:rsidP="0032262C">
      <w:pPr>
        <w:pStyle w:val="Heading1"/>
        <w:numPr>
          <w:ilvl w:val="0"/>
          <w:numId w:val="0"/>
        </w:numPr>
        <w:rPr>
          <w:lang w:val="es-419"/>
        </w:rPr>
      </w:pPr>
      <w:r w:rsidRPr="002232A4">
        <w:rPr>
          <w:i/>
          <w:iCs/>
          <w:lang w:val="es-419"/>
        </w:rPr>
        <w:t>Fortalecimiento de las capacidades nacionales para supervisar y controlar la importación y distribución de HCFC</w:t>
      </w:r>
    </w:p>
    <w:p w14:paraId="4FD20C24" w14:textId="3313B9F7" w:rsidR="0032262C" w:rsidRPr="002232A4" w:rsidRDefault="0032262C" w:rsidP="0032262C">
      <w:pPr>
        <w:pStyle w:val="Heading1"/>
        <w:rPr>
          <w:lang w:val="es-419"/>
        </w:rPr>
      </w:pPr>
      <w:r w:rsidRPr="002232A4">
        <w:rPr>
          <w:lang w:val="es-419"/>
        </w:rPr>
        <w:t>El país organizó 15 talleres para funcionarios de aduanas, encargados de hacer cumplir la ley y del medio ambiente sobre la identificación y el control de los HCFC y los equipos que contienen HCFC, así como sobre la aplicación del sistema de cuotas para 428 funcionarios, lo que superó el objetivo de 410</w:t>
      </w:r>
      <w:r w:rsidR="00C53CB2">
        <w:rPr>
          <w:lang w:val="es-419"/>
        </w:rPr>
        <w:t> </w:t>
      </w:r>
      <w:r w:rsidRPr="002232A4">
        <w:rPr>
          <w:lang w:val="es-419"/>
        </w:rPr>
        <w:t>participantes. Se elaboró un manual de capacitación sobre la normativa relativa a las SAO y el sistema de concesión de licencias para la importación de SAO, que se presentó para la capacitación de los funcionarios de aduanas y se ha incluido en el plan de estudios de la formación habitual de la escuela de capacitación aduanera.</w:t>
      </w:r>
    </w:p>
    <w:p w14:paraId="48289B97" w14:textId="77777777" w:rsidR="0032262C" w:rsidRPr="002232A4" w:rsidRDefault="0032262C" w:rsidP="0032262C">
      <w:pPr>
        <w:pStyle w:val="Heading1"/>
        <w:numPr>
          <w:ilvl w:val="0"/>
          <w:numId w:val="0"/>
        </w:numPr>
        <w:rPr>
          <w:lang w:val="es-419"/>
        </w:rPr>
      </w:pPr>
      <w:r w:rsidRPr="002232A4">
        <w:rPr>
          <w:i/>
          <w:iCs/>
          <w:lang w:val="es-419"/>
        </w:rPr>
        <w:t>Fortalecimiento de la capacidad técnica de los expertos en RAC en buenas prácticas de mantenimiento de RAC</w:t>
      </w:r>
    </w:p>
    <w:p w14:paraId="58E5D9E1" w14:textId="24A48AF4" w:rsidR="0032262C" w:rsidRPr="002232A4" w:rsidRDefault="0032262C" w:rsidP="0032262C">
      <w:pPr>
        <w:pStyle w:val="Heading1"/>
        <w:rPr>
          <w:lang w:val="es-419"/>
        </w:rPr>
      </w:pPr>
      <w:r w:rsidRPr="002232A4">
        <w:rPr>
          <w:lang w:val="es-419"/>
        </w:rPr>
        <w:t>El país organizó más de 20 talleres de capacitación para técnicos de RAC sobre buenas prácticas en el mantenimiento de equipos de aire acondicionado, incluyendo la recuperación y el reciclaje (RR) de HCFC y la manipulación segura de refrigerantes de hidrocarburos. Se capacitó a un total de 755</w:t>
      </w:r>
      <w:r w:rsidR="00C53CB2">
        <w:rPr>
          <w:lang w:val="es-419"/>
        </w:rPr>
        <w:t> </w:t>
      </w:r>
      <w:r w:rsidRPr="002232A4">
        <w:rPr>
          <w:lang w:val="es-419"/>
        </w:rPr>
        <w:t>participantes, entre los instructores y los técnicos, lo que superó el objetivo de 620 participantes.</w:t>
      </w:r>
    </w:p>
    <w:p w14:paraId="04E46768" w14:textId="77777777" w:rsidR="0032262C" w:rsidRPr="002232A4" w:rsidRDefault="0032262C" w:rsidP="0032262C">
      <w:pPr>
        <w:pStyle w:val="Heading1"/>
        <w:numPr>
          <w:ilvl w:val="0"/>
          <w:numId w:val="0"/>
        </w:numPr>
        <w:rPr>
          <w:i/>
          <w:iCs/>
          <w:lang w:val="es-419"/>
        </w:rPr>
      </w:pPr>
      <w:r w:rsidRPr="002232A4">
        <w:rPr>
          <w:i/>
          <w:iCs/>
          <w:lang w:val="es-419"/>
        </w:rPr>
        <w:t>Fortalecimiento de los centros de excelencia y los principales talleres de mantenimiento de equipos de RAC, e introducción de incentivos para la conversión de dichos equipos</w:t>
      </w:r>
    </w:p>
    <w:p w14:paraId="495FAC04" w14:textId="562D23D8" w:rsidR="0032262C" w:rsidRPr="002232A4" w:rsidRDefault="0032262C" w:rsidP="0032262C">
      <w:pPr>
        <w:pStyle w:val="Heading1"/>
        <w:rPr>
          <w:lang w:val="es-419"/>
        </w:rPr>
      </w:pPr>
      <w:r w:rsidRPr="002232A4">
        <w:rPr>
          <w:lang w:val="es-419"/>
        </w:rPr>
        <w:t xml:space="preserve">Se adquirieron y distribuyeron tres identificadores de SAO. Se adquirieron y distribuyeron kits de herramientas y equipos de capacitación a cuatro centros de capacitación, dos centros técnicos y vocacionales, y a 12 talleres de refrigeración seleccionados. El equipo del proyecto piloto de demostración y reacondicionamiento se distribuyó a 12 grandes talleres, y se permitió el acceso a este equipo a los técnicos registrados en la Asociación RAC. También se proporcionó equipamiento a dos centros de capacitación profesional. La lista </w:t>
      </w:r>
      <w:r w:rsidR="00C53CB2" w:rsidRPr="002232A4">
        <w:rPr>
          <w:lang w:val="es-419"/>
        </w:rPr>
        <w:t>de los equipos</w:t>
      </w:r>
      <w:r w:rsidRPr="002232A4">
        <w:rPr>
          <w:lang w:val="es-419"/>
        </w:rPr>
        <w:t xml:space="preserve"> incluía, entre otros, identificadores de refrigerantes, detectores electrónicos portátiles de fugas, bombas de vacío, calibradores, unidades de recuperación y reciclaje, cilindro de recuperación, kits y accesorios de seguridad. El proyecto piloto de demostración para usuarios finales se llevó a cabo en empresas comerciales. Las cámaras frigoríficas de las escuelas profesionales y técnicas se han convertido a hidrocarburos. El Gobierno de Malí ha sido plenamente consciente de las decisiones pertinentes del Comité Ejecutivo sobre el reacondicionamiento y ha dejado de fomentar el reacondicionamiento de los equipos que utilizan HCFC con alternativas inflamables. Los programas de capacitación abarcaron el uso seguro de refrigerantes inflamables. Se sensibilizó a 50 técnicos y 40 funcionarios de aduanas y encargados de hacer cumplir la ley mediante talleres especializados durante el quinto y último tramo de la etapa I.</w:t>
      </w:r>
    </w:p>
    <w:bookmarkEnd w:id="3"/>
    <w:p w14:paraId="7656E7DF" w14:textId="77777777" w:rsidR="0032262C" w:rsidRPr="002232A4" w:rsidRDefault="0032262C" w:rsidP="0032262C">
      <w:pPr>
        <w:pStyle w:val="Heading1"/>
        <w:rPr>
          <w:lang w:val="es-419"/>
        </w:rPr>
      </w:pPr>
      <w:r w:rsidRPr="002232A4">
        <w:rPr>
          <w:lang w:val="es-419"/>
        </w:rPr>
        <w:t xml:space="preserve">En su 96ª reunión, el Comité Ejecutivo aprobó, con carácter excepcional, una prórroga hasta el 30 de junio de 2025 de la fecha de finalización de la etapa I del PGEH para Malí, a fin de permitir la finalización operativa del componente del PNUD del proyecto (MLI/PHA/92/INV/46), y solicitó al Gobierno de Malí, al PNUMA y al PNUD que presentaran el informe de finalización de la etapa I del PGEH en un plazo de </w:t>
      </w:r>
      <w:r w:rsidRPr="002232A4">
        <w:rPr>
          <w:lang w:val="es-419"/>
        </w:rPr>
        <w:lastRenderedPageBreak/>
        <w:t>seis meses a partir de la finalización operativa de los proyectos, de conformidad con las decisiones 23/8 i) y 81/29</w:t>
      </w:r>
      <w:r w:rsidRPr="002232A4">
        <w:rPr>
          <w:rStyle w:val="FootnoteReference"/>
          <w:lang w:val="es-419"/>
        </w:rPr>
        <w:footnoteReference w:id="5"/>
      </w:r>
      <w:r w:rsidRPr="002232A4">
        <w:rPr>
          <w:lang w:val="es-419"/>
        </w:rPr>
        <w:t>.</w:t>
      </w:r>
    </w:p>
    <w:p w14:paraId="7F0A4EB8" w14:textId="77777777" w:rsidR="0032262C" w:rsidRPr="002232A4" w:rsidRDefault="0032262C" w:rsidP="0032262C">
      <w:pPr>
        <w:keepNext/>
        <w:autoSpaceDE w:val="0"/>
        <w:autoSpaceDN w:val="0"/>
        <w:adjustRightInd w:val="0"/>
        <w:spacing w:after="240"/>
        <w:rPr>
          <w:b/>
          <w:lang w:val="es-419"/>
        </w:rPr>
      </w:pPr>
      <w:bookmarkStart w:id="4" w:name="_Hlk126915708"/>
      <w:r w:rsidRPr="002232A4">
        <w:rPr>
          <w:b/>
          <w:lang w:val="es-419"/>
        </w:rPr>
        <w:t>Etapa II del PGEH</w:t>
      </w:r>
    </w:p>
    <w:p w14:paraId="497ADAA9" w14:textId="77777777" w:rsidR="0032262C" w:rsidRPr="002232A4" w:rsidRDefault="0032262C" w:rsidP="0032262C">
      <w:pPr>
        <w:keepNext/>
        <w:spacing w:after="240"/>
        <w:outlineLvl w:val="0"/>
        <w:rPr>
          <w:u w:val="single"/>
          <w:lang w:val="es-419"/>
        </w:rPr>
      </w:pPr>
      <w:r w:rsidRPr="002232A4">
        <w:rPr>
          <w:u w:val="single"/>
          <w:lang w:val="es-419"/>
        </w:rPr>
        <w:t>Consumo admisible remanente para financiamiento</w:t>
      </w:r>
    </w:p>
    <w:bookmarkEnd w:id="4"/>
    <w:p w14:paraId="09235BF1" w14:textId="77777777" w:rsidR="0032262C" w:rsidRPr="002232A4" w:rsidRDefault="0032262C" w:rsidP="0032262C">
      <w:pPr>
        <w:pStyle w:val="Heading1"/>
        <w:rPr>
          <w:lang w:val="es-419"/>
        </w:rPr>
      </w:pPr>
      <w:r w:rsidRPr="002232A4">
        <w:rPr>
          <w:lang w:val="es-419"/>
        </w:rPr>
        <w:t>Después de deducir 5,2 toneladas PAO de HCFC asociadas a la etapa I del PGEH, el consumo admisible remanente para financiamiento en la etapa II asciende a 9,8 toneladas PAO de HCFC-22.</w:t>
      </w:r>
    </w:p>
    <w:p w14:paraId="2C8AD829" w14:textId="77777777" w:rsidR="0032262C" w:rsidRPr="002232A4" w:rsidRDefault="0032262C" w:rsidP="0032262C">
      <w:pPr>
        <w:keepNext/>
        <w:spacing w:after="240"/>
        <w:outlineLvl w:val="0"/>
        <w:rPr>
          <w:u w:val="single"/>
          <w:lang w:val="es-419"/>
        </w:rPr>
      </w:pPr>
      <w:bookmarkStart w:id="5" w:name="_Hlk126915728"/>
      <w:r w:rsidRPr="002232A4">
        <w:rPr>
          <w:u w:val="single"/>
          <w:lang w:val="es-419"/>
        </w:rPr>
        <w:t>Distribución sectorial de los HCFC</w:t>
      </w:r>
    </w:p>
    <w:p w14:paraId="65936BCB" w14:textId="77777777" w:rsidR="0032262C" w:rsidRPr="002232A4" w:rsidRDefault="0032262C" w:rsidP="0032262C">
      <w:pPr>
        <w:pStyle w:val="Heading1"/>
        <w:rPr>
          <w:u w:val="single"/>
          <w:lang w:val="es-419"/>
        </w:rPr>
      </w:pPr>
      <w:r w:rsidRPr="002232A4">
        <w:rPr>
          <w:lang w:val="es-419"/>
        </w:rPr>
        <w:t>Malí es un país con un bajo volumen de consumo que solo importa y exporta HCFC-22, que se utiliza exclusivamente en el sector de servicio y mantenimiento de sistemas de RAC.</w:t>
      </w:r>
    </w:p>
    <w:bookmarkEnd w:id="5"/>
    <w:p w14:paraId="639B2ED9" w14:textId="77777777" w:rsidR="0032262C" w:rsidRPr="002232A4" w:rsidRDefault="0032262C" w:rsidP="0032262C">
      <w:pPr>
        <w:pStyle w:val="Heading1"/>
        <w:rPr>
          <w:lang w:val="es-419"/>
        </w:rPr>
      </w:pPr>
      <w:r w:rsidRPr="002232A4">
        <w:rPr>
          <w:lang w:val="es-419"/>
        </w:rPr>
        <w:t>Hay aproximadamente 1.800 técnicos (más de 200 mujeres) y 230 talleres (tanto formales como informales) que operan en el sector de servicio y mantenimiento, y que consumen HCFC-22 para el mantenimiento de aparatos de aire acondicionado domésticos y comerciales, enfriadores, refrigeración comercial y refrigeración para el transporte, tal y como se muestra en el cuadro 2. El HCFC-22 representa el 100 % de los refrigerantes utilizados en el sector de servicio y mantenimiento.</w:t>
      </w:r>
    </w:p>
    <w:p w14:paraId="53612E72" w14:textId="77777777" w:rsidR="0032262C" w:rsidRPr="002232A4" w:rsidRDefault="0032262C" w:rsidP="0032262C">
      <w:pPr>
        <w:keepNext/>
        <w:spacing w:before="240"/>
        <w:rPr>
          <w:lang w:val="es-419"/>
        </w:rPr>
      </w:pPr>
      <w:r w:rsidRPr="002232A4">
        <w:rPr>
          <w:b/>
          <w:lang w:val="es-419"/>
        </w:rPr>
        <w:t>Cuadro 2. Estimación de la demanda de HCFC-22 en el sector de servicio y mantenimiento de equipos de RAC en Malí</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2" w:type="dxa"/>
          <w:right w:w="102" w:type="dxa"/>
        </w:tblCellMar>
        <w:tblLook w:val="04A0" w:firstRow="1" w:lastRow="0" w:firstColumn="1" w:lastColumn="0" w:noHBand="0" w:noVBand="1"/>
      </w:tblPr>
      <w:tblGrid>
        <w:gridCol w:w="2868"/>
        <w:gridCol w:w="1176"/>
        <w:gridCol w:w="1212"/>
        <w:gridCol w:w="1326"/>
        <w:gridCol w:w="1326"/>
        <w:gridCol w:w="1442"/>
      </w:tblGrid>
      <w:tr w:rsidR="0032262C" w:rsidRPr="002232A4" w14:paraId="65585110" w14:textId="77777777" w:rsidTr="00B66F31">
        <w:trPr>
          <w:trHeight w:val="280"/>
          <w:tblHeader/>
          <w:jc w:val="center"/>
        </w:trPr>
        <w:tc>
          <w:tcPr>
            <w:tcW w:w="1534" w:type="pct"/>
            <w:vMerge w:val="restart"/>
            <w:vAlign w:val="center"/>
            <w:hideMark/>
          </w:tcPr>
          <w:p w14:paraId="523FAFAB" w14:textId="77777777" w:rsidR="0032262C" w:rsidRPr="002232A4" w:rsidRDefault="0032262C" w:rsidP="00E734D2">
            <w:pPr>
              <w:keepNext/>
              <w:jc w:val="center"/>
              <w:rPr>
                <w:b/>
                <w:sz w:val="20"/>
                <w:lang w:val="es-419"/>
              </w:rPr>
            </w:pPr>
            <w:r w:rsidRPr="002232A4">
              <w:rPr>
                <w:b/>
                <w:sz w:val="20"/>
                <w:lang w:val="es-419"/>
              </w:rPr>
              <w:t>Sector/Aplicación</w:t>
            </w:r>
          </w:p>
        </w:tc>
        <w:tc>
          <w:tcPr>
            <w:tcW w:w="629" w:type="pct"/>
            <w:tcMar>
              <w:left w:w="0" w:type="dxa"/>
              <w:right w:w="0" w:type="dxa"/>
            </w:tcMar>
            <w:vAlign w:val="center"/>
            <w:hideMark/>
          </w:tcPr>
          <w:p w14:paraId="70430E4E" w14:textId="77777777" w:rsidR="0032262C" w:rsidRPr="002232A4" w:rsidRDefault="0032262C" w:rsidP="00E734D2">
            <w:pPr>
              <w:keepNext/>
              <w:ind w:left="83" w:right="59"/>
              <w:jc w:val="center"/>
              <w:rPr>
                <w:b/>
                <w:sz w:val="20"/>
                <w:lang w:val="es-419"/>
              </w:rPr>
            </w:pPr>
            <w:r w:rsidRPr="002232A4">
              <w:rPr>
                <w:b/>
                <w:sz w:val="20"/>
                <w:lang w:val="es-419"/>
              </w:rPr>
              <w:t>(a)</w:t>
            </w:r>
          </w:p>
        </w:tc>
        <w:tc>
          <w:tcPr>
            <w:tcW w:w="648" w:type="pct"/>
            <w:vAlign w:val="center"/>
          </w:tcPr>
          <w:p w14:paraId="5788C8B6" w14:textId="77777777" w:rsidR="0032262C" w:rsidRPr="002232A4" w:rsidRDefault="0032262C" w:rsidP="00E734D2">
            <w:pPr>
              <w:keepNext/>
              <w:ind w:left="83" w:right="59"/>
              <w:jc w:val="center"/>
              <w:rPr>
                <w:b/>
                <w:sz w:val="20"/>
                <w:lang w:val="es-419"/>
              </w:rPr>
            </w:pPr>
            <w:r w:rsidRPr="002232A4">
              <w:rPr>
                <w:b/>
                <w:sz w:val="20"/>
                <w:lang w:val="es-419"/>
              </w:rPr>
              <w:t>(b)</w:t>
            </w:r>
          </w:p>
        </w:tc>
        <w:tc>
          <w:tcPr>
            <w:tcW w:w="709" w:type="pct"/>
            <w:vAlign w:val="center"/>
          </w:tcPr>
          <w:p w14:paraId="3588CA0E" w14:textId="77777777" w:rsidR="0032262C" w:rsidRPr="002232A4" w:rsidRDefault="0032262C" w:rsidP="00E734D2">
            <w:pPr>
              <w:keepNext/>
              <w:ind w:left="83" w:right="59"/>
              <w:jc w:val="center"/>
              <w:rPr>
                <w:b/>
                <w:sz w:val="20"/>
                <w:lang w:val="es-419"/>
              </w:rPr>
            </w:pPr>
            <w:r w:rsidRPr="002232A4">
              <w:rPr>
                <w:b/>
                <w:sz w:val="20"/>
                <w:lang w:val="es-419"/>
              </w:rPr>
              <w:t>(c)</w:t>
            </w:r>
          </w:p>
        </w:tc>
        <w:tc>
          <w:tcPr>
            <w:tcW w:w="709" w:type="pct"/>
            <w:tcMar>
              <w:left w:w="0" w:type="dxa"/>
              <w:right w:w="0" w:type="dxa"/>
            </w:tcMar>
            <w:vAlign w:val="center"/>
          </w:tcPr>
          <w:p w14:paraId="5BBC500E" w14:textId="77777777" w:rsidR="0032262C" w:rsidRPr="002232A4" w:rsidRDefault="0032262C" w:rsidP="00E734D2">
            <w:pPr>
              <w:keepNext/>
              <w:ind w:left="83" w:right="59"/>
              <w:jc w:val="center"/>
              <w:rPr>
                <w:b/>
                <w:sz w:val="20"/>
                <w:lang w:val="es-419"/>
              </w:rPr>
            </w:pPr>
            <w:r w:rsidRPr="002232A4">
              <w:rPr>
                <w:b/>
                <w:sz w:val="20"/>
                <w:lang w:val="es-419"/>
              </w:rPr>
              <w:t>(d)</w:t>
            </w:r>
          </w:p>
        </w:tc>
        <w:tc>
          <w:tcPr>
            <w:tcW w:w="771" w:type="pct"/>
            <w:tcMar>
              <w:left w:w="0" w:type="dxa"/>
              <w:right w:w="0" w:type="dxa"/>
            </w:tcMar>
            <w:vAlign w:val="center"/>
          </w:tcPr>
          <w:p w14:paraId="6258022D" w14:textId="77777777" w:rsidR="0032262C" w:rsidRPr="002232A4" w:rsidRDefault="0032262C" w:rsidP="00E734D2">
            <w:pPr>
              <w:keepNext/>
              <w:ind w:left="83" w:right="59"/>
              <w:jc w:val="center"/>
              <w:rPr>
                <w:b/>
                <w:sz w:val="20"/>
                <w:lang w:val="es-419"/>
              </w:rPr>
            </w:pPr>
            <w:r w:rsidRPr="002232A4">
              <w:rPr>
                <w:b/>
                <w:sz w:val="20"/>
                <w:lang w:val="es-419"/>
              </w:rPr>
              <w:t>(a*b*c*d)</w:t>
            </w:r>
          </w:p>
        </w:tc>
      </w:tr>
      <w:tr w:rsidR="0032262C" w:rsidRPr="002232A4" w14:paraId="4DA0997F" w14:textId="77777777" w:rsidTr="00B66F31">
        <w:trPr>
          <w:trHeight w:val="385"/>
          <w:tblHeader/>
          <w:jc w:val="center"/>
        </w:trPr>
        <w:tc>
          <w:tcPr>
            <w:tcW w:w="1534" w:type="pct"/>
            <w:vMerge/>
            <w:vAlign w:val="center"/>
          </w:tcPr>
          <w:p w14:paraId="082AAF0E" w14:textId="77777777" w:rsidR="0032262C" w:rsidRPr="002232A4" w:rsidRDefault="0032262C" w:rsidP="00E734D2">
            <w:pPr>
              <w:keepNext/>
              <w:jc w:val="center"/>
              <w:rPr>
                <w:b/>
                <w:sz w:val="20"/>
                <w:lang w:val="es-419"/>
              </w:rPr>
            </w:pPr>
          </w:p>
        </w:tc>
        <w:tc>
          <w:tcPr>
            <w:tcW w:w="629" w:type="pct"/>
            <w:tcMar>
              <w:left w:w="0" w:type="dxa"/>
              <w:right w:w="0" w:type="dxa"/>
            </w:tcMar>
            <w:vAlign w:val="center"/>
          </w:tcPr>
          <w:p w14:paraId="688A5033" w14:textId="77777777" w:rsidR="0032262C" w:rsidRPr="002232A4" w:rsidRDefault="0032262C" w:rsidP="00E734D2">
            <w:pPr>
              <w:keepNext/>
              <w:ind w:left="83" w:right="59"/>
              <w:jc w:val="center"/>
              <w:rPr>
                <w:b/>
                <w:sz w:val="20"/>
                <w:lang w:val="es-419"/>
              </w:rPr>
            </w:pPr>
            <w:r w:rsidRPr="002232A4">
              <w:rPr>
                <w:b/>
                <w:sz w:val="20"/>
                <w:lang w:val="es-419"/>
              </w:rPr>
              <w:t>Inventario de equipos</w:t>
            </w:r>
          </w:p>
        </w:tc>
        <w:tc>
          <w:tcPr>
            <w:tcW w:w="648" w:type="pct"/>
            <w:vAlign w:val="center"/>
          </w:tcPr>
          <w:p w14:paraId="1D33A380" w14:textId="77777777" w:rsidR="0032262C" w:rsidRPr="002232A4" w:rsidRDefault="0032262C" w:rsidP="00E734D2">
            <w:pPr>
              <w:keepNext/>
              <w:ind w:left="83" w:right="59"/>
              <w:jc w:val="center"/>
              <w:rPr>
                <w:b/>
                <w:sz w:val="20"/>
                <w:lang w:val="es-419"/>
              </w:rPr>
            </w:pPr>
            <w:r w:rsidRPr="002232A4">
              <w:rPr>
                <w:b/>
                <w:sz w:val="20"/>
                <w:lang w:val="es-419"/>
              </w:rPr>
              <w:t>Carga media (kg)</w:t>
            </w:r>
          </w:p>
        </w:tc>
        <w:tc>
          <w:tcPr>
            <w:tcW w:w="709" w:type="pct"/>
            <w:vAlign w:val="center"/>
          </w:tcPr>
          <w:p w14:paraId="61141959" w14:textId="77777777" w:rsidR="0032262C" w:rsidRPr="002232A4" w:rsidRDefault="0032262C" w:rsidP="00E734D2">
            <w:pPr>
              <w:keepNext/>
              <w:ind w:left="83" w:right="59"/>
              <w:jc w:val="center"/>
              <w:rPr>
                <w:b/>
                <w:sz w:val="20"/>
                <w:lang w:val="es-419"/>
              </w:rPr>
            </w:pPr>
            <w:r w:rsidRPr="002232A4">
              <w:rPr>
                <w:b/>
                <w:sz w:val="20"/>
                <w:lang w:val="es-419"/>
              </w:rPr>
              <w:t>Equipos atendidos (%)</w:t>
            </w:r>
          </w:p>
        </w:tc>
        <w:tc>
          <w:tcPr>
            <w:tcW w:w="709" w:type="pct"/>
            <w:tcMar>
              <w:left w:w="0" w:type="dxa"/>
              <w:right w:w="0" w:type="dxa"/>
            </w:tcMar>
            <w:vAlign w:val="center"/>
          </w:tcPr>
          <w:p w14:paraId="5B1D5FD8" w14:textId="77777777" w:rsidR="0032262C" w:rsidRPr="002232A4" w:rsidRDefault="0032262C" w:rsidP="00E734D2">
            <w:pPr>
              <w:keepNext/>
              <w:ind w:left="83" w:right="59"/>
              <w:jc w:val="center"/>
              <w:rPr>
                <w:b/>
                <w:sz w:val="20"/>
                <w:lang w:val="es-419"/>
              </w:rPr>
            </w:pPr>
            <w:r w:rsidRPr="002232A4">
              <w:rPr>
                <w:b/>
                <w:sz w:val="20"/>
                <w:lang w:val="es-419"/>
              </w:rPr>
              <w:t>Índice de fugas estimado (%)</w:t>
            </w:r>
          </w:p>
        </w:tc>
        <w:tc>
          <w:tcPr>
            <w:tcW w:w="771" w:type="pct"/>
            <w:tcMar>
              <w:left w:w="0" w:type="dxa"/>
              <w:right w:w="0" w:type="dxa"/>
            </w:tcMar>
            <w:vAlign w:val="center"/>
          </w:tcPr>
          <w:p w14:paraId="10F2CC9F" w14:textId="77777777" w:rsidR="0032262C" w:rsidRPr="002232A4" w:rsidRDefault="0032262C" w:rsidP="00E734D2">
            <w:pPr>
              <w:keepNext/>
              <w:ind w:left="83" w:right="59"/>
              <w:jc w:val="center"/>
              <w:rPr>
                <w:b/>
                <w:sz w:val="20"/>
                <w:lang w:val="es-419"/>
              </w:rPr>
            </w:pPr>
            <w:r w:rsidRPr="002232A4">
              <w:rPr>
                <w:b/>
                <w:sz w:val="20"/>
                <w:lang w:val="es-419"/>
              </w:rPr>
              <w:t>Necesidad anual de mantenimiento (tm)</w:t>
            </w:r>
          </w:p>
        </w:tc>
      </w:tr>
      <w:tr w:rsidR="0032262C" w:rsidRPr="002232A4" w14:paraId="1007AB6A" w14:textId="77777777" w:rsidTr="00B66F31">
        <w:trPr>
          <w:jc w:val="center"/>
        </w:trPr>
        <w:tc>
          <w:tcPr>
            <w:tcW w:w="1534" w:type="pct"/>
            <w:tcBorders>
              <w:top w:val="single" w:sz="4" w:space="0" w:color="auto"/>
              <w:left w:val="single" w:sz="4" w:space="0" w:color="auto"/>
              <w:bottom w:val="single" w:sz="4" w:space="0" w:color="auto"/>
              <w:right w:val="single" w:sz="4" w:space="0" w:color="auto"/>
            </w:tcBorders>
            <w:vAlign w:val="center"/>
            <w:hideMark/>
          </w:tcPr>
          <w:p w14:paraId="252D7DA5" w14:textId="77777777" w:rsidR="0032262C" w:rsidRPr="002232A4" w:rsidRDefault="0032262C" w:rsidP="00E734D2">
            <w:pPr>
              <w:jc w:val="left"/>
              <w:rPr>
                <w:sz w:val="20"/>
                <w:lang w:val="es-419"/>
              </w:rPr>
            </w:pPr>
            <w:r w:rsidRPr="002232A4">
              <w:rPr>
                <w:color w:val="000000"/>
                <w:sz w:val="20"/>
                <w:lang w:val="es-419"/>
              </w:rPr>
              <w:t>Climat. de ambiente (ventana, portátiles y en dos bloques)</w:t>
            </w:r>
          </w:p>
        </w:tc>
        <w:tc>
          <w:tcPr>
            <w:tcW w:w="629" w:type="pct"/>
            <w:tcBorders>
              <w:top w:val="single" w:sz="4" w:space="0" w:color="auto"/>
              <w:left w:val="single" w:sz="4" w:space="0" w:color="auto"/>
              <w:bottom w:val="single" w:sz="4" w:space="0" w:color="auto"/>
              <w:right w:val="single" w:sz="4" w:space="0" w:color="auto"/>
            </w:tcBorders>
            <w:tcMar>
              <w:left w:w="115" w:type="dxa"/>
              <w:right w:w="216" w:type="dxa"/>
            </w:tcMar>
            <w:vAlign w:val="center"/>
          </w:tcPr>
          <w:p w14:paraId="5D39FAFB" w14:textId="77777777" w:rsidR="0032262C" w:rsidRPr="002232A4" w:rsidRDefault="0032262C" w:rsidP="00E734D2">
            <w:pPr>
              <w:keepNext/>
              <w:ind w:left="83" w:right="-72"/>
              <w:jc w:val="right"/>
              <w:rPr>
                <w:bCs/>
                <w:sz w:val="20"/>
                <w:lang w:val="es-419"/>
              </w:rPr>
            </w:pPr>
            <w:r w:rsidRPr="002232A4">
              <w:rPr>
                <w:bCs/>
                <w:color w:val="000000"/>
                <w:sz w:val="20"/>
                <w:lang w:val="es-419"/>
              </w:rPr>
              <w:t>971.915</w:t>
            </w:r>
          </w:p>
        </w:tc>
        <w:tc>
          <w:tcPr>
            <w:tcW w:w="648" w:type="pct"/>
            <w:tcBorders>
              <w:top w:val="single" w:sz="4" w:space="0" w:color="auto"/>
              <w:left w:val="nil"/>
              <w:bottom w:val="single" w:sz="4" w:space="0" w:color="auto"/>
              <w:right w:val="single" w:sz="4" w:space="0" w:color="auto"/>
            </w:tcBorders>
            <w:vAlign w:val="center"/>
          </w:tcPr>
          <w:p w14:paraId="145E596F" w14:textId="77777777" w:rsidR="0032262C" w:rsidRPr="002232A4" w:rsidRDefault="0032262C" w:rsidP="00E734D2">
            <w:pPr>
              <w:jc w:val="right"/>
              <w:rPr>
                <w:bCs/>
                <w:sz w:val="20"/>
                <w:lang w:val="es-419"/>
              </w:rPr>
            </w:pPr>
            <w:r w:rsidRPr="002232A4">
              <w:rPr>
                <w:bCs/>
                <w:color w:val="000000"/>
                <w:sz w:val="20"/>
                <w:lang w:val="es-419"/>
              </w:rPr>
              <w:t>0,98</w:t>
            </w:r>
          </w:p>
        </w:tc>
        <w:tc>
          <w:tcPr>
            <w:tcW w:w="709" w:type="pct"/>
            <w:tcBorders>
              <w:top w:val="single" w:sz="4" w:space="0" w:color="auto"/>
              <w:left w:val="nil"/>
              <w:bottom w:val="single" w:sz="4" w:space="0" w:color="auto"/>
              <w:right w:val="single" w:sz="4" w:space="0" w:color="auto"/>
            </w:tcBorders>
            <w:vAlign w:val="center"/>
          </w:tcPr>
          <w:p w14:paraId="0299C089" w14:textId="77777777" w:rsidR="0032262C" w:rsidRPr="002232A4" w:rsidRDefault="0032262C" w:rsidP="00E734D2">
            <w:pPr>
              <w:keepNext/>
              <w:ind w:left="83" w:right="27"/>
              <w:jc w:val="center"/>
              <w:rPr>
                <w:sz w:val="20"/>
                <w:lang w:val="es-419"/>
              </w:rPr>
            </w:pPr>
            <w:r w:rsidRPr="002232A4">
              <w:rPr>
                <w:color w:val="000000"/>
                <w:sz w:val="20"/>
                <w:lang w:val="es-419"/>
              </w:rPr>
              <w:t>30</w:t>
            </w:r>
          </w:p>
        </w:tc>
        <w:tc>
          <w:tcPr>
            <w:tcW w:w="709" w:type="pct"/>
            <w:tcBorders>
              <w:top w:val="single" w:sz="4" w:space="0" w:color="auto"/>
              <w:left w:val="nil"/>
              <w:bottom w:val="single" w:sz="4" w:space="0" w:color="auto"/>
              <w:right w:val="single" w:sz="4" w:space="0" w:color="auto"/>
            </w:tcBorders>
            <w:tcMar>
              <w:left w:w="115" w:type="dxa"/>
              <w:right w:w="216" w:type="dxa"/>
            </w:tcMar>
            <w:vAlign w:val="center"/>
          </w:tcPr>
          <w:p w14:paraId="5F7BE6A3" w14:textId="77777777" w:rsidR="0032262C" w:rsidRPr="002232A4" w:rsidRDefault="0032262C" w:rsidP="00E734D2">
            <w:pPr>
              <w:keepNext/>
              <w:ind w:left="83" w:right="-72"/>
              <w:jc w:val="center"/>
              <w:rPr>
                <w:sz w:val="20"/>
                <w:lang w:val="es-419"/>
              </w:rPr>
            </w:pPr>
            <w:r w:rsidRPr="002232A4">
              <w:rPr>
                <w:color w:val="000000"/>
                <w:sz w:val="20"/>
                <w:lang w:val="es-419"/>
              </w:rPr>
              <w:t>25</w:t>
            </w:r>
          </w:p>
        </w:tc>
        <w:tc>
          <w:tcPr>
            <w:tcW w:w="771" w:type="pct"/>
            <w:tcBorders>
              <w:top w:val="single" w:sz="4" w:space="0" w:color="auto"/>
              <w:left w:val="nil"/>
              <w:bottom w:val="single" w:sz="4" w:space="0" w:color="auto"/>
              <w:right w:val="single" w:sz="4" w:space="0" w:color="auto"/>
            </w:tcBorders>
            <w:tcMar>
              <w:left w:w="115" w:type="dxa"/>
              <w:right w:w="216" w:type="dxa"/>
            </w:tcMar>
            <w:vAlign w:val="center"/>
          </w:tcPr>
          <w:p w14:paraId="2F4BF520" w14:textId="77777777" w:rsidR="0032262C" w:rsidRPr="002232A4" w:rsidRDefault="0032262C" w:rsidP="00E734D2">
            <w:pPr>
              <w:keepNext/>
              <w:ind w:left="83" w:right="-117"/>
              <w:jc w:val="right"/>
              <w:rPr>
                <w:sz w:val="20"/>
                <w:lang w:val="es-419"/>
              </w:rPr>
            </w:pPr>
            <w:r w:rsidRPr="002232A4">
              <w:rPr>
                <w:color w:val="000000"/>
                <w:sz w:val="20"/>
                <w:lang w:val="es-419"/>
              </w:rPr>
              <w:t>71,44</w:t>
            </w:r>
          </w:p>
        </w:tc>
      </w:tr>
      <w:tr w:rsidR="0032262C" w:rsidRPr="002232A4" w14:paraId="2B7A2318" w14:textId="77777777" w:rsidTr="00B66F31">
        <w:trPr>
          <w:jc w:val="center"/>
        </w:trPr>
        <w:tc>
          <w:tcPr>
            <w:tcW w:w="1534" w:type="pct"/>
            <w:tcBorders>
              <w:top w:val="nil"/>
              <w:left w:val="single" w:sz="4" w:space="0" w:color="auto"/>
              <w:bottom w:val="single" w:sz="4" w:space="0" w:color="auto"/>
              <w:right w:val="single" w:sz="4" w:space="0" w:color="auto"/>
            </w:tcBorders>
            <w:vAlign w:val="center"/>
            <w:hideMark/>
          </w:tcPr>
          <w:p w14:paraId="1147AC5F" w14:textId="77777777" w:rsidR="0032262C" w:rsidRPr="002232A4" w:rsidRDefault="0032262C" w:rsidP="00E734D2">
            <w:pPr>
              <w:jc w:val="left"/>
              <w:rPr>
                <w:sz w:val="20"/>
                <w:lang w:val="es-419"/>
              </w:rPr>
            </w:pPr>
            <w:r w:rsidRPr="002232A4">
              <w:rPr>
                <w:color w:val="000000"/>
                <w:sz w:val="20"/>
                <w:lang w:val="es-419"/>
              </w:rPr>
              <w:t>Climatización comercial (azotea, unidades en varios bloques, de flujo variable de refrigerante)</w:t>
            </w:r>
          </w:p>
        </w:tc>
        <w:tc>
          <w:tcPr>
            <w:tcW w:w="629" w:type="pct"/>
            <w:tcBorders>
              <w:top w:val="nil"/>
              <w:left w:val="single" w:sz="4" w:space="0" w:color="auto"/>
              <w:bottom w:val="single" w:sz="4" w:space="0" w:color="auto"/>
              <w:right w:val="single" w:sz="4" w:space="0" w:color="auto"/>
            </w:tcBorders>
            <w:tcMar>
              <w:left w:w="115" w:type="dxa"/>
              <w:right w:w="216" w:type="dxa"/>
            </w:tcMar>
            <w:vAlign w:val="center"/>
          </w:tcPr>
          <w:p w14:paraId="05AC6818" w14:textId="77777777" w:rsidR="0032262C" w:rsidRPr="002232A4" w:rsidRDefault="0032262C" w:rsidP="00E734D2">
            <w:pPr>
              <w:ind w:right="-74"/>
              <w:jc w:val="right"/>
              <w:rPr>
                <w:bCs/>
                <w:sz w:val="20"/>
                <w:lang w:val="es-419"/>
              </w:rPr>
            </w:pPr>
            <w:r w:rsidRPr="002232A4">
              <w:rPr>
                <w:bCs/>
                <w:color w:val="000000"/>
                <w:sz w:val="20"/>
                <w:lang w:val="es-419"/>
              </w:rPr>
              <w:t>533</w:t>
            </w:r>
          </w:p>
        </w:tc>
        <w:tc>
          <w:tcPr>
            <w:tcW w:w="648" w:type="pct"/>
            <w:tcBorders>
              <w:top w:val="nil"/>
              <w:left w:val="nil"/>
              <w:bottom w:val="single" w:sz="4" w:space="0" w:color="auto"/>
              <w:right w:val="single" w:sz="4" w:space="0" w:color="auto"/>
            </w:tcBorders>
            <w:vAlign w:val="center"/>
          </w:tcPr>
          <w:p w14:paraId="4222214F" w14:textId="77777777" w:rsidR="0032262C" w:rsidRPr="002232A4" w:rsidRDefault="0032262C" w:rsidP="00E734D2">
            <w:pPr>
              <w:keepNext/>
              <w:ind w:left="83"/>
              <w:jc w:val="right"/>
              <w:rPr>
                <w:bCs/>
                <w:sz w:val="20"/>
                <w:lang w:val="es-419"/>
              </w:rPr>
            </w:pPr>
            <w:r w:rsidRPr="002232A4">
              <w:rPr>
                <w:color w:val="000000"/>
                <w:sz w:val="20"/>
                <w:szCs w:val="20"/>
                <w:lang w:val="es-419"/>
              </w:rPr>
              <w:t>17,35</w:t>
            </w:r>
          </w:p>
        </w:tc>
        <w:tc>
          <w:tcPr>
            <w:tcW w:w="709" w:type="pct"/>
            <w:tcBorders>
              <w:top w:val="nil"/>
              <w:left w:val="nil"/>
              <w:bottom w:val="single" w:sz="4" w:space="0" w:color="auto"/>
              <w:right w:val="single" w:sz="4" w:space="0" w:color="auto"/>
            </w:tcBorders>
            <w:vAlign w:val="center"/>
          </w:tcPr>
          <w:p w14:paraId="32649D34" w14:textId="77777777" w:rsidR="0032262C" w:rsidRPr="002232A4" w:rsidRDefault="0032262C" w:rsidP="00E734D2">
            <w:pPr>
              <w:keepNext/>
              <w:ind w:left="83" w:right="27"/>
              <w:jc w:val="center"/>
              <w:rPr>
                <w:sz w:val="20"/>
                <w:lang w:val="es-419"/>
              </w:rPr>
            </w:pPr>
            <w:r w:rsidRPr="002232A4">
              <w:rPr>
                <w:color w:val="000000"/>
                <w:sz w:val="20"/>
                <w:lang w:val="es-419"/>
              </w:rPr>
              <w:t>30</w:t>
            </w:r>
          </w:p>
        </w:tc>
        <w:tc>
          <w:tcPr>
            <w:tcW w:w="709" w:type="pct"/>
            <w:tcBorders>
              <w:top w:val="nil"/>
              <w:left w:val="nil"/>
              <w:bottom w:val="single" w:sz="4" w:space="0" w:color="auto"/>
              <w:right w:val="single" w:sz="4" w:space="0" w:color="auto"/>
            </w:tcBorders>
            <w:tcMar>
              <w:left w:w="115" w:type="dxa"/>
              <w:right w:w="216" w:type="dxa"/>
            </w:tcMar>
            <w:vAlign w:val="center"/>
          </w:tcPr>
          <w:p w14:paraId="58EFB4FF" w14:textId="77777777" w:rsidR="0032262C" w:rsidRPr="002232A4" w:rsidRDefault="0032262C" w:rsidP="00E734D2">
            <w:pPr>
              <w:keepNext/>
              <w:ind w:left="83" w:right="-72"/>
              <w:jc w:val="center"/>
              <w:rPr>
                <w:sz w:val="20"/>
                <w:lang w:val="es-419"/>
              </w:rPr>
            </w:pPr>
            <w:r w:rsidRPr="002232A4">
              <w:rPr>
                <w:color w:val="000000"/>
                <w:sz w:val="20"/>
                <w:lang w:val="es-419"/>
              </w:rPr>
              <w:t>20</w:t>
            </w:r>
          </w:p>
        </w:tc>
        <w:tc>
          <w:tcPr>
            <w:tcW w:w="771" w:type="pct"/>
            <w:tcBorders>
              <w:top w:val="nil"/>
              <w:left w:val="nil"/>
              <w:bottom w:val="single" w:sz="4" w:space="0" w:color="auto"/>
              <w:right w:val="single" w:sz="4" w:space="0" w:color="auto"/>
            </w:tcBorders>
            <w:tcMar>
              <w:left w:w="115" w:type="dxa"/>
              <w:right w:w="216" w:type="dxa"/>
            </w:tcMar>
            <w:vAlign w:val="center"/>
          </w:tcPr>
          <w:p w14:paraId="7EFF840F" w14:textId="77777777" w:rsidR="0032262C" w:rsidRPr="002232A4" w:rsidRDefault="0032262C" w:rsidP="00E734D2">
            <w:pPr>
              <w:keepNext/>
              <w:ind w:left="83" w:right="-117"/>
              <w:jc w:val="right"/>
              <w:rPr>
                <w:sz w:val="20"/>
                <w:lang w:val="es-419"/>
              </w:rPr>
            </w:pPr>
            <w:r w:rsidRPr="002232A4">
              <w:rPr>
                <w:color w:val="000000"/>
                <w:sz w:val="20"/>
                <w:lang w:val="es-419"/>
              </w:rPr>
              <w:t>0,56</w:t>
            </w:r>
          </w:p>
        </w:tc>
      </w:tr>
      <w:tr w:rsidR="0032262C" w:rsidRPr="002232A4" w14:paraId="5D082B8E" w14:textId="77777777" w:rsidTr="00B66F31">
        <w:trPr>
          <w:jc w:val="center"/>
        </w:trPr>
        <w:tc>
          <w:tcPr>
            <w:tcW w:w="1534" w:type="pct"/>
            <w:tcBorders>
              <w:top w:val="nil"/>
              <w:left w:val="single" w:sz="4" w:space="0" w:color="auto"/>
              <w:bottom w:val="single" w:sz="4" w:space="0" w:color="auto"/>
              <w:right w:val="single" w:sz="4" w:space="0" w:color="auto"/>
            </w:tcBorders>
            <w:vAlign w:val="center"/>
          </w:tcPr>
          <w:p w14:paraId="07A11C13" w14:textId="77777777" w:rsidR="0032262C" w:rsidRPr="002232A4" w:rsidRDefault="0032262C" w:rsidP="00E734D2">
            <w:pPr>
              <w:jc w:val="left"/>
              <w:rPr>
                <w:sz w:val="20"/>
                <w:lang w:val="es-419"/>
              </w:rPr>
            </w:pPr>
            <w:r w:rsidRPr="002232A4">
              <w:rPr>
                <w:color w:val="000000"/>
                <w:sz w:val="20"/>
                <w:lang w:val="es-419"/>
              </w:rPr>
              <w:t>Enfriadores</w:t>
            </w:r>
          </w:p>
        </w:tc>
        <w:tc>
          <w:tcPr>
            <w:tcW w:w="629" w:type="pct"/>
            <w:tcBorders>
              <w:top w:val="nil"/>
              <w:left w:val="single" w:sz="4" w:space="0" w:color="auto"/>
              <w:bottom w:val="single" w:sz="4" w:space="0" w:color="auto"/>
              <w:right w:val="single" w:sz="4" w:space="0" w:color="auto"/>
            </w:tcBorders>
            <w:tcMar>
              <w:left w:w="115" w:type="dxa"/>
              <w:right w:w="216" w:type="dxa"/>
            </w:tcMar>
            <w:vAlign w:val="center"/>
          </w:tcPr>
          <w:p w14:paraId="4ABEBBE6" w14:textId="77777777" w:rsidR="0032262C" w:rsidRPr="002232A4" w:rsidRDefault="0032262C" w:rsidP="00E734D2">
            <w:pPr>
              <w:keepNext/>
              <w:ind w:left="83" w:right="-72"/>
              <w:jc w:val="right"/>
              <w:rPr>
                <w:bCs/>
                <w:sz w:val="20"/>
                <w:lang w:val="es-419"/>
              </w:rPr>
            </w:pPr>
            <w:r w:rsidRPr="002232A4">
              <w:rPr>
                <w:bCs/>
                <w:color w:val="000000"/>
                <w:sz w:val="20"/>
                <w:lang w:val="es-419"/>
              </w:rPr>
              <w:t>5</w:t>
            </w:r>
          </w:p>
        </w:tc>
        <w:tc>
          <w:tcPr>
            <w:tcW w:w="648" w:type="pct"/>
            <w:tcBorders>
              <w:top w:val="nil"/>
              <w:left w:val="nil"/>
              <w:bottom w:val="single" w:sz="4" w:space="0" w:color="auto"/>
              <w:right w:val="single" w:sz="4" w:space="0" w:color="auto"/>
            </w:tcBorders>
            <w:vAlign w:val="center"/>
          </w:tcPr>
          <w:p w14:paraId="123B4CD6" w14:textId="77777777" w:rsidR="0032262C" w:rsidRPr="002232A4" w:rsidRDefault="0032262C" w:rsidP="00E734D2">
            <w:pPr>
              <w:keepNext/>
              <w:ind w:left="83"/>
              <w:jc w:val="right"/>
              <w:rPr>
                <w:bCs/>
                <w:sz w:val="20"/>
                <w:lang w:val="es-419"/>
              </w:rPr>
            </w:pPr>
            <w:r w:rsidRPr="002232A4">
              <w:rPr>
                <w:bCs/>
                <w:color w:val="000000"/>
                <w:sz w:val="20"/>
                <w:lang w:val="es-419"/>
              </w:rPr>
              <w:t>40,00</w:t>
            </w:r>
          </w:p>
        </w:tc>
        <w:tc>
          <w:tcPr>
            <w:tcW w:w="709" w:type="pct"/>
            <w:tcBorders>
              <w:top w:val="nil"/>
              <w:left w:val="nil"/>
              <w:bottom w:val="single" w:sz="4" w:space="0" w:color="auto"/>
              <w:right w:val="single" w:sz="4" w:space="0" w:color="auto"/>
            </w:tcBorders>
            <w:vAlign w:val="center"/>
          </w:tcPr>
          <w:p w14:paraId="07FF5EE6" w14:textId="77777777" w:rsidR="0032262C" w:rsidRPr="002232A4" w:rsidRDefault="0032262C" w:rsidP="00E734D2">
            <w:pPr>
              <w:keepNext/>
              <w:ind w:left="83" w:right="27"/>
              <w:jc w:val="center"/>
              <w:rPr>
                <w:sz w:val="20"/>
                <w:lang w:val="es-419"/>
              </w:rPr>
            </w:pPr>
            <w:r w:rsidRPr="002232A4">
              <w:rPr>
                <w:color w:val="000000"/>
                <w:sz w:val="20"/>
                <w:lang w:val="es-419"/>
              </w:rPr>
              <w:t>30</w:t>
            </w:r>
          </w:p>
        </w:tc>
        <w:tc>
          <w:tcPr>
            <w:tcW w:w="709" w:type="pct"/>
            <w:tcBorders>
              <w:top w:val="nil"/>
              <w:left w:val="nil"/>
              <w:bottom w:val="single" w:sz="4" w:space="0" w:color="auto"/>
              <w:right w:val="single" w:sz="4" w:space="0" w:color="auto"/>
            </w:tcBorders>
            <w:tcMar>
              <w:left w:w="115" w:type="dxa"/>
              <w:right w:w="216" w:type="dxa"/>
            </w:tcMar>
            <w:vAlign w:val="center"/>
          </w:tcPr>
          <w:p w14:paraId="6AE85706" w14:textId="77777777" w:rsidR="0032262C" w:rsidRPr="002232A4" w:rsidRDefault="0032262C" w:rsidP="00E734D2">
            <w:pPr>
              <w:keepNext/>
              <w:ind w:left="83" w:right="-72"/>
              <w:jc w:val="center"/>
              <w:rPr>
                <w:sz w:val="20"/>
                <w:lang w:val="es-419"/>
              </w:rPr>
            </w:pPr>
            <w:r w:rsidRPr="002232A4">
              <w:rPr>
                <w:color w:val="000000"/>
                <w:sz w:val="20"/>
                <w:lang w:val="es-419"/>
              </w:rPr>
              <w:t>15</w:t>
            </w:r>
          </w:p>
        </w:tc>
        <w:tc>
          <w:tcPr>
            <w:tcW w:w="771" w:type="pct"/>
            <w:tcBorders>
              <w:top w:val="nil"/>
              <w:left w:val="nil"/>
              <w:bottom w:val="single" w:sz="4" w:space="0" w:color="auto"/>
              <w:right w:val="single" w:sz="4" w:space="0" w:color="auto"/>
            </w:tcBorders>
            <w:tcMar>
              <w:left w:w="115" w:type="dxa"/>
              <w:right w:w="216" w:type="dxa"/>
            </w:tcMar>
            <w:vAlign w:val="center"/>
          </w:tcPr>
          <w:p w14:paraId="6E5F673B" w14:textId="77777777" w:rsidR="0032262C" w:rsidRPr="002232A4" w:rsidRDefault="0032262C" w:rsidP="00E734D2">
            <w:pPr>
              <w:keepNext/>
              <w:ind w:left="83" w:right="-117"/>
              <w:jc w:val="right"/>
              <w:rPr>
                <w:sz w:val="20"/>
                <w:lang w:val="es-419"/>
              </w:rPr>
            </w:pPr>
            <w:r w:rsidRPr="002232A4">
              <w:rPr>
                <w:color w:val="000000"/>
                <w:sz w:val="20"/>
                <w:szCs w:val="20"/>
                <w:lang w:val="es-419"/>
              </w:rPr>
              <w:t>0,01</w:t>
            </w:r>
          </w:p>
        </w:tc>
      </w:tr>
      <w:tr w:rsidR="0032262C" w:rsidRPr="002232A4" w14:paraId="20E6A59E" w14:textId="77777777" w:rsidTr="00B66F31">
        <w:trPr>
          <w:jc w:val="center"/>
        </w:trPr>
        <w:tc>
          <w:tcPr>
            <w:tcW w:w="1534" w:type="pct"/>
            <w:tcBorders>
              <w:top w:val="nil"/>
              <w:left w:val="single" w:sz="4" w:space="0" w:color="auto"/>
              <w:bottom w:val="single" w:sz="4" w:space="0" w:color="auto"/>
              <w:right w:val="single" w:sz="4" w:space="0" w:color="auto"/>
            </w:tcBorders>
            <w:vAlign w:val="center"/>
            <w:hideMark/>
          </w:tcPr>
          <w:p w14:paraId="1D7BE0CC" w14:textId="77777777" w:rsidR="0032262C" w:rsidRPr="002232A4" w:rsidRDefault="0032262C" w:rsidP="00E734D2">
            <w:pPr>
              <w:jc w:val="left"/>
              <w:rPr>
                <w:sz w:val="20"/>
                <w:lang w:val="es-419"/>
              </w:rPr>
            </w:pPr>
            <w:r w:rsidRPr="002232A4">
              <w:rPr>
                <w:color w:val="000000"/>
                <w:sz w:val="20"/>
                <w:lang w:val="es-419"/>
              </w:rPr>
              <w:t>Refrigeración comercial (pequeños sistemas autónomos, unidades condensadoras, sistemas centralizados pequeños y grandes)</w:t>
            </w:r>
          </w:p>
        </w:tc>
        <w:tc>
          <w:tcPr>
            <w:tcW w:w="629" w:type="pct"/>
            <w:tcBorders>
              <w:top w:val="nil"/>
              <w:left w:val="single" w:sz="4" w:space="0" w:color="auto"/>
              <w:bottom w:val="single" w:sz="4" w:space="0" w:color="auto"/>
              <w:right w:val="single" w:sz="4" w:space="0" w:color="auto"/>
            </w:tcBorders>
            <w:tcMar>
              <w:left w:w="115" w:type="dxa"/>
              <w:right w:w="216" w:type="dxa"/>
            </w:tcMar>
            <w:vAlign w:val="center"/>
          </w:tcPr>
          <w:p w14:paraId="346BAF67" w14:textId="77777777" w:rsidR="0032262C" w:rsidRPr="002232A4" w:rsidRDefault="0032262C" w:rsidP="00E734D2">
            <w:pPr>
              <w:keepNext/>
              <w:ind w:left="83" w:right="-72"/>
              <w:jc w:val="right"/>
              <w:rPr>
                <w:bCs/>
                <w:sz w:val="20"/>
                <w:lang w:val="es-419"/>
              </w:rPr>
            </w:pPr>
            <w:r w:rsidRPr="002232A4">
              <w:rPr>
                <w:bCs/>
                <w:color w:val="000000"/>
                <w:sz w:val="20"/>
                <w:lang w:val="es-419"/>
              </w:rPr>
              <w:t>2.510</w:t>
            </w:r>
          </w:p>
        </w:tc>
        <w:tc>
          <w:tcPr>
            <w:tcW w:w="648" w:type="pct"/>
            <w:tcBorders>
              <w:top w:val="nil"/>
              <w:left w:val="nil"/>
              <w:bottom w:val="single" w:sz="4" w:space="0" w:color="auto"/>
              <w:right w:val="single" w:sz="4" w:space="0" w:color="auto"/>
            </w:tcBorders>
            <w:vAlign w:val="center"/>
          </w:tcPr>
          <w:p w14:paraId="2234CC39" w14:textId="77777777" w:rsidR="0032262C" w:rsidRPr="002232A4" w:rsidRDefault="0032262C" w:rsidP="00E734D2">
            <w:pPr>
              <w:keepNext/>
              <w:ind w:left="83"/>
              <w:jc w:val="right"/>
              <w:rPr>
                <w:bCs/>
                <w:sz w:val="20"/>
                <w:lang w:val="es-419"/>
              </w:rPr>
            </w:pPr>
            <w:r w:rsidRPr="002232A4">
              <w:rPr>
                <w:color w:val="000000"/>
                <w:sz w:val="20"/>
                <w:szCs w:val="20"/>
                <w:lang w:val="es-419"/>
              </w:rPr>
              <w:t>4,58</w:t>
            </w:r>
          </w:p>
        </w:tc>
        <w:tc>
          <w:tcPr>
            <w:tcW w:w="709" w:type="pct"/>
            <w:tcBorders>
              <w:top w:val="nil"/>
              <w:left w:val="nil"/>
              <w:bottom w:val="single" w:sz="4" w:space="0" w:color="auto"/>
              <w:right w:val="single" w:sz="4" w:space="0" w:color="auto"/>
            </w:tcBorders>
            <w:vAlign w:val="center"/>
          </w:tcPr>
          <w:p w14:paraId="5E8B7D53" w14:textId="77777777" w:rsidR="0032262C" w:rsidRPr="002232A4" w:rsidRDefault="0032262C" w:rsidP="00E734D2">
            <w:pPr>
              <w:keepNext/>
              <w:ind w:left="83" w:right="27"/>
              <w:jc w:val="center"/>
              <w:rPr>
                <w:sz w:val="20"/>
                <w:lang w:val="es-419"/>
              </w:rPr>
            </w:pPr>
            <w:r w:rsidRPr="002232A4">
              <w:rPr>
                <w:color w:val="000000"/>
                <w:sz w:val="20"/>
                <w:szCs w:val="20"/>
                <w:lang w:val="es-419"/>
              </w:rPr>
              <w:t>20-50</w:t>
            </w:r>
          </w:p>
        </w:tc>
        <w:tc>
          <w:tcPr>
            <w:tcW w:w="709" w:type="pct"/>
            <w:tcBorders>
              <w:top w:val="nil"/>
              <w:left w:val="nil"/>
              <w:bottom w:val="single" w:sz="4" w:space="0" w:color="auto"/>
              <w:right w:val="single" w:sz="4" w:space="0" w:color="auto"/>
            </w:tcBorders>
            <w:tcMar>
              <w:left w:w="115" w:type="dxa"/>
              <w:right w:w="216" w:type="dxa"/>
            </w:tcMar>
            <w:vAlign w:val="center"/>
          </w:tcPr>
          <w:p w14:paraId="2853B218" w14:textId="77777777" w:rsidR="0032262C" w:rsidRPr="002232A4" w:rsidRDefault="0032262C" w:rsidP="00E734D2">
            <w:pPr>
              <w:keepNext/>
              <w:ind w:left="83" w:right="-72"/>
              <w:jc w:val="center"/>
              <w:rPr>
                <w:sz w:val="20"/>
                <w:lang w:val="es-419"/>
              </w:rPr>
            </w:pPr>
            <w:r w:rsidRPr="002232A4">
              <w:rPr>
                <w:color w:val="000000"/>
                <w:sz w:val="20"/>
                <w:lang w:val="es-419"/>
              </w:rPr>
              <w:t>10</w:t>
            </w:r>
          </w:p>
        </w:tc>
        <w:tc>
          <w:tcPr>
            <w:tcW w:w="771" w:type="pct"/>
            <w:tcBorders>
              <w:top w:val="nil"/>
              <w:left w:val="nil"/>
              <w:bottom w:val="single" w:sz="4" w:space="0" w:color="auto"/>
              <w:right w:val="single" w:sz="4" w:space="0" w:color="auto"/>
            </w:tcBorders>
            <w:tcMar>
              <w:left w:w="115" w:type="dxa"/>
              <w:right w:w="216" w:type="dxa"/>
            </w:tcMar>
            <w:vAlign w:val="center"/>
          </w:tcPr>
          <w:p w14:paraId="2DE40D80" w14:textId="77777777" w:rsidR="0032262C" w:rsidRPr="002232A4" w:rsidRDefault="0032262C" w:rsidP="00E734D2">
            <w:pPr>
              <w:keepNext/>
              <w:ind w:left="83" w:right="-117"/>
              <w:jc w:val="right"/>
              <w:rPr>
                <w:sz w:val="20"/>
                <w:lang w:val="es-419"/>
              </w:rPr>
            </w:pPr>
            <w:r w:rsidRPr="002232A4">
              <w:rPr>
                <w:color w:val="000000"/>
                <w:sz w:val="20"/>
                <w:szCs w:val="20"/>
                <w:lang w:val="es-419"/>
              </w:rPr>
              <w:t>0,45</w:t>
            </w:r>
          </w:p>
        </w:tc>
      </w:tr>
      <w:tr w:rsidR="0032262C" w:rsidRPr="002232A4" w14:paraId="4EA65EE2" w14:textId="77777777" w:rsidTr="00B66F31">
        <w:trPr>
          <w:jc w:val="center"/>
        </w:trPr>
        <w:tc>
          <w:tcPr>
            <w:tcW w:w="1534" w:type="pct"/>
            <w:tcBorders>
              <w:top w:val="nil"/>
              <w:left w:val="single" w:sz="4" w:space="0" w:color="auto"/>
              <w:bottom w:val="single" w:sz="4" w:space="0" w:color="auto"/>
              <w:right w:val="single" w:sz="4" w:space="0" w:color="auto"/>
            </w:tcBorders>
            <w:vAlign w:val="center"/>
            <w:hideMark/>
          </w:tcPr>
          <w:p w14:paraId="4B6C6821" w14:textId="77777777" w:rsidR="0032262C" w:rsidRPr="002232A4" w:rsidRDefault="0032262C" w:rsidP="00E734D2">
            <w:pPr>
              <w:jc w:val="left"/>
              <w:rPr>
                <w:sz w:val="20"/>
                <w:lang w:val="es-419"/>
              </w:rPr>
            </w:pPr>
            <w:r w:rsidRPr="002232A4">
              <w:rPr>
                <w:color w:val="000000"/>
                <w:sz w:val="20"/>
                <w:szCs w:val="20"/>
                <w:lang w:val="es-419"/>
              </w:rPr>
              <w:t>Refrigeración en el transporte</w:t>
            </w:r>
          </w:p>
        </w:tc>
        <w:tc>
          <w:tcPr>
            <w:tcW w:w="629" w:type="pct"/>
            <w:tcBorders>
              <w:top w:val="nil"/>
              <w:left w:val="single" w:sz="4" w:space="0" w:color="auto"/>
              <w:bottom w:val="single" w:sz="4" w:space="0" w:color="auto"/>
              <w:right w:val="single" w:sz="4" w:space="0" w:color="auto"/>
            </w:tcBorders>
            <w:tcMar>
              <w:left w:w="115" w:type="dxa"/>
              <w:right w:w="216" w:type="dxa"/>
            </w:tcMar>
            <w:vAlign w:val="center"/>
          </w:tcPr>
          <w:p w14:paraId="18E389A4" w14:textId="77777777" w:rsidR="0032262C" w:rsidRPr="002232A4" w:rsidRDefault="0032262C" w:rsidP="00E734D2">
            <w:pPr>
              <w:keepNext/>
              <w:ind w:left="83" w:right="-72"/>
              <w:jc w:val="right"/>
              <w:rPr>
                <w:bCs/>
                <w:sz w:val="20"/>
                <w:lang w:val="es-419"/>
              </w:rPr>
            </w:pPr>
            <w:r w:rsidRPr="002232A4">
              <w:rPr>
                <w:bCs/>
                <w:color w:val="000000"/>
                <w:sz w:val="20"/>
                <w:szCs w:val="20"/>
                <w:lang w:val="es-419"/>
              </w:rPr>
              <w:t>1.460</w:t>
            </w:r>
          </w:p>
        </w:tc>
        <w:tc>
          <w:tcPr>
            <w:tcW w:w="648" w:type="pct"/>
            <w:tcBorders>
              <w:top w:val="nil"/>
              <w:left w:val="nil"/>
              <w:bottom w:val="single" w:sz="4" w:space="0" w:color="auto"/>
              <w:right w:val="single" w:sz="4" w:space="0" w:color="auto"/>
            </w:tcBorders>
            <w:vAlign w:val="center"/>
          </w:tcPr>
          <w:p w14:paraId="6C240F46" w14:textId="77777777" w:rsidR="0032262C" w:rsidRPr="002232A4" w:rsidRDefault="0032262C" w:rsidP="00E734D2">
            <w:pPr>
              <w:keepNext/>
              <w:ind w:left="83"/>
              <w:jc w:val="right"/>
              <w:rPr>
                <w:bCs/>
                <w:sz w:val="20"/>
                <w:lang w:val="es-419"/>
              </w:rPr>
            </w:pPr>
            <w:r w:rsidRPr="002232A4">
              <w:rPr>
                <w:color w:val="000000"/>
                <w:sz w:val="20"/>
                <w:szCs w:val="20"/>
                <w:lang w:val="es-419"/>
              </w:rPr>
              <w:t>5,47</w:t>
            </w:r>
          </w:p>
        </w:tc>
        <w:tc>
          <w:tcPr>
            <w:tcW w:w="709" w:type="pct"/>
            <w:tcBorders>
              <w:top w:val="nil"/>
              <w:left w:val="nil"/>
              <w:bottom w:val="single" w:sz="4" w:space="0" w:color="auto"/>
              <w:right w:val="single" w:sz="4" w:space="0" w:color="auto"/>
            </w:tcBorders>
            <w:vAlign w:val="center"/>
          </w:tcPr>
          <w:p w14:paraId="3E6AE132" w14:textId="77777777" w:rsidR="0032262C" w:rsidRPr="002232A4" w:rsidRDefault="0032262C" w:rsidP="00E734D2">
            <w:pPr>
              <w:keepNext/>
              <w:ind w:left="83" w:right="27"/>
              <w:jc w:val="center"/>
              <w:rPr>
                <w:sz w:val="20"/>
                <w:lang w:val="es-419"/>
              </w:rPr>
            </w:pPr>
            <w:r w:rsidRPr="002232A4">
              <w:rPr>
                <w:color w:val="000000"/>
                <w:sz w:val="20"/>
                <w:szCs w:val="20"/>
                <w:lang w:val="es-419"/>
              </w:rPr>
              <w:t>30</w:t>
            </w:r>
          </w:p>
        </w:tc>
        <w:tc>
          <w:tcPr>
            <w:tcW w:w="709" w:type="pct"/>
            <w:tcBorders>
              <w:top w:val="nil"/>
              <w:left w:val="nil"/>
              <w:bottom w:val="single" w:sz="4" w:space="0" w:color="auto"/>
              <w:right w:val="single" w:sz="4" w:space="0" w:color="auto"/>
            </w:tcBorders>
            <w:tcMar>
              <w:left w:w="115" w:type="dxa"/>
              <w:right w:w="216" w:type="dxa"/>
            </w:tcMar>
            <w:vAlign w:val="center"/>
          </w:tcPr>
          <w:p w14:paraId="254E233E" w14:textId="77777777" w:rsidR="0032262C" w:rsidRPr="002232A4" w:rsidRDefault="0032262C" w:rsidP="00E734D2">
            <w:pPr>
              <w:keepNext/>
              <w:ind w:left="83" w:right="-72"/>
              <w:jc w:val="center"/>
              <w:rPr>
                <w:sz w:val="20"/>
                <w:lang w:val="es-419"/>
              </w:rPr>
            </w:pPr>
            <w:r w:rsidRPr="002232A4">
              <w:rPr>
                <w:color w:val="000000"/>
                <w:sz w:val="20"/>
                <w:szCs w:val="20"/>
                <w:lang w:val="es-419"/>
              </w:rPr>
              <w:t>10</w:t>
            </w:r>
          </w:p>
        </w:tc>
        <w:tc>
          <w:tcPr>
            <w:tcW w:w="771" w:type="pct"/>
            <w:tcBorders>
              <w:top w:val="nil"/>
              <w:left w:val="nil"/>
              <w:bottom w:val="single" w:sz="4" w:space="0" w:color="auto"/>
              <w:right w:val="single" w:sz="4" w:space="0" w:color="auto"/>
            </w:tcBorders>
            <w:tcMar>
              <w:left w:w="115" w:type="dxa"/>
              <w:right w:w="216" w:type="dxa"/>
            </w:tcMar>
            <w:vAlign w:val="center"/>
          </w:tcPr>
          <w:p w14:paraId="41AAC077" w14:textId="77777777" w:rsidR="0032262C" w:rsidRPr="002232A4" w:rsidRDefault="0032262C" w:rsidP="00E734D2">
            <w:pPr>
              <w:keepNext/>
              <w:ind w:left="83" w:right="-117"/>
              <w:jc w:val="right"/>
              <w:rPr>
                <w:sz w:val="20"/>
                <w:lang w:val="es-419"/>
              </w:rPr>
            </w:pPr>
            <w:r w:rsidRPr="002232A4">
              <w:rPr>
                <w:color w:val="000000"/>
                <w:sz w:val="20"/>
                <w:szCs w:val="20"/>
                <w:lang w:val="es-419"/>
              </w:rPr>
              <w:t>0,24</w:t>
            </w:r>
          </w:p>
        </w:tc>
      </w:tr>
      <w:tr w:rsidR="0032262C" w:rsidRPr="002232A4" w14:paraId="415BBCB5" w14:textId="77777777" w:rsidTr="00B66F31">
        <w:trPr>
          <w:jc w:val="center"/>
        </w:trPr>
        <w:tc>
          <w:tcPr>
            <w:tcW w:w="1534" w:type="pct"/>
            <w:hideMark/>
          </w:tcPr>
          <w:p w14:paraId="5F92F325" w14:textId="77777777" w:rsidR="0032262C" w:rsidRPr="002232A4" w:rsidRDefault="0032262C" w:rsidP="00E734D2">
            <w:pPr>
              <w:jc w:val="left"/>
              <w:rPr>
                <w:bCs/>
                <w:sz w:val="20"/>
                <w:lang w:val="es-419"/>
              </w:rPr>
            </w:pPr>
            <w:r w:rsidRPr="002232A4">
              <w:rPr>
                <w:bCs/>
                <w:sz w:val="20"/>
                <w:lang w:val="es-419"/>
              </w:rPr>
              <w:t>Total</w:t>
            </w:r>
          </w:p>
        </w:tc>
        <w:tc>
          <w:tcPr>
            <w:tcW w:w="629" w:type="pct"/>
            <w:tcMar>
              <w:left w:w="115" w:type="dxa"/>
              <w:right w:w="216" w:type="dxa"/>
            </w:tcMar>
          </w:tcPr>
          <w:p w14:paraId="2386B3A0" w14:textId="77777777" w:rsidR="0032262C" w:rsidRPr="002232A4" w:rsidRDefault="0032262C" w:rsidP="00E734D2">
            <w:pPr>
              <w:keepNext/>
              <w:ind w:left="83" w:right="-72"/>
              <w:jc w:val="right"/>
              <w:rPr>
                <w:bCs/>
                <w:sz w:val="20"/>
                <w:lang w:val="es-419"/>
              </w:rPr>
            </w:pPr>
            <w:r w:rsidRPr="002232A4">
              <w:rPr>
                <w:bCs/>
                <w:sz w:val="20"/>
                <w:lang w:val="es-419"/>
              </w:rPr>
              <w:t>976.423</w:t>
            </w:r>
          </w:p>
        </w:tc>
        <w:tc>
          <w:tcPr>
            <w:tcW w:w="648" w:type="pct"/>
          </w:tcPr>
          <w:p w14:paraId="01A5CB29" w14:textId="77777777" w:rsidR="0032262C" w:rsidRPr="002232A4" w:rsidRDefault="0032262C" w:rsidP="00E734D2">
            <w:pPr>
              <w:keepNext/>
              <w:ind w:left="83"/>
              <w:jc w:val="right"/>
              <w:rPr>
                <w:bCs/>
                <w:sz w:val="20"/>
                <w:lang w:val="es-419"/>
              </w:rPr>
            </w:pPr>
            <w:r w:rsidRPr="002232A4">
              <w:rPr>
                <w:bCs/>
                <w:sz w:val="20"/>
                <w:lang w:val="es-419"/>
              </w:rPr>
              <w:t>n/a</w:t>
            </w:r>
          </w:p>
        </w:tc>
        <w:tc>
          <w:tcPr>
            <w:tcW w:w="709" w:type="pct"/>
          </w:tcPr>
          <w:p w14:paraId="506F82B0" w14:textId="77777777" w:rsidR="0032262C" w:rsidRPr="002232A4" w:rsidRDefault="0032262C" w:rsidP="00E734D2">
            <w:pPr>
              <w:keepNext/>
              <w:ind w:left="83" w:right="27"/>
              <w:jc w:val="right"/>
              <w:rPr>
                <w:bCs/>
                <w:sz w:val="20"/>
                <w:lang w:val="es-419"/>
              </w:rPr>
            </w:pPr>
            <w:r w:rsidRPr="002232A4">
              <w:rPr>
                <w:bCs/>
                <w:sz w:val="20"/>
                <w:lang w:val="es-419"/>
              </w:rPr>
              <w:t>n/a</w:t>
            </w:r>
          </w:p>
        </w:tc>
        <w:tc>
          <w:tcPr>
            <w:tcW w:w="709" w:type="pct"/>
            <w:tcMar>
              <w:left w:w="115" w:type="dxa"/>
              <w:right w:w="216" w:type="dxa"/>
            </w:tcMar>
          </w:tcPr>
          <w:p w14:paraId="60F58CE1" w14:textId="77777777" w:rsidR="0032262C" w:rsidRPr="002232A4" w:rsidRDefault="0032262C" w:rsidP="00E734D2">
            <w:pPr>
              <w:keepNext/>
              <w:ind w:left="83" w:right="-72"/>
              <w:jc w:val="right"/>
              <w:rPr>
                <w:bCs/>
                <w:sz w:val="20"/>
                <w:lang w:val="es-419"/>
              </w:rPr>
            </w:pPr>
            <w:r w:rsidRPr="002232A4">
              <w:rPr>
                <w:bCs/>
                <w:sz w:val="20"/>
                <w:lang w:val="es-419"/>
              </w:rPr>
              <w:t>n/a</w:t>
            </w:r>
          </w:p>
        </w:tc>
        <w:tc>
          <w:tcPr>
            <w:tcW w:w="771" w:type="pct"/>
            <w:tcMar>
              <w:left w:w="115" w:type="dxa"/>
              <w:right w:w="216" w:type="dxa"/>
            </w:tcMar>
          </w:tcPr>
          <w:p w14:paraId="472A6B1B" w14:textId="77777777" w:rsidR="0032262C" w:rsidRPr="002232A4" w:rsidRDefault="0032262C" w:rsidP="00E734D2">
            <w:pPr>
              <w:keepNext/>
              <w:ind w:left="83" w:right="-117"/>
              <w:jc w:val="right"/>
              <w:rPr>
                <w:bCs/>
                <w:sz w:val="20"/>
                <w:lang w:val="es-419"/>
              </w:rPr>
            </w:pPr>
            <w:r w:rsidRPr="002232A4">
              <w:rPr>
                <w:bCs/>
                <w:sz w:val="20"/>
                <w:lang w:val="es-419"/>
              </w:rPr>
              <w:t>72,69</w:t>
            </w:r>
          </w:p>
        </w:tc>
      </w:tr>
    </w:tbl>
    <w:p w14:paraId="776333AF" w14:textId="77777777" w:rsidR="0032262C" w:rsidRPr="002232A4" w:rsidRDefault="0032262C" w:rsidP="0032262C">
      <w:pPr>
        <w:keepNext/>
        <w:spacing w:before="240" w:after="240"/>
        <w:rPr>
          <w:b/>
          <w:lang w:val="es-419"/>
        </w:rPr>
      </w:pPr>
      <w:bookmarkStart w:id="6" w:name="_Hlk126915738"/>
      <w:r w:rsidRPr="002232A4">
        <w:rPr>
          <w:u w:val="single"/>
          <w:lang w:val="es-419"/>
        </w:rPr>
        <w:t>Estrategia de eliminación</w:t>
      </w:r>
    </w:p>
    <w:p w14:paraId="33C2A8CD" w14:textId="77777777" w:rsidR="0032262C" w:rsidRPr="002232A4" w:rsidRDefault="0032262C" w:rsidP="0032262C">
      <w:pPr>
        <w:pStyle w:val="Heading1"/>
        <w:rPr>
          <w:lang w:val="es-419"/>
        </w:rPr>
      </w:pPr>
      <w:bookmarkStart w:id="7" w:name="_Hlk125636542"/>
      <w:bookmarkEnd w:id="6"/>
      <w:bookmarkEnd w:id="7"/>
      <w:r w:rsidRPr="002232A4">
        <w:rPr>
          <w:lang w:val="es-419"/>
        </w:rPr>
        <w:t xml:space="preserve">La etapa II del PGEH se centrará en fortalecer el sistema de licencias y cuotas de HCFC, incluido el marco jurídico y normativo, promover la transición a tecnologías con bajo potencial de calentamiento atmosférico (PCA) en el sector de RAC, aplicar instrumentos jurídicos relacionados con el uso seguro de las nuevas tecnologías, seguir fortaleciendo la capacidad del sector de servicios, incluidos los técnicos y los centros de formación, fortalecer la capacidad de los funcionarios de aduanas y de aplicación de la ley, establecer un sistema de certificación para los técnicos y el fortalecimiento de la gestión de refrigerantes mediante el establecimiento de un sistema de recuperación y reciclaje. </w:t>
      </w:r>
    </w:p>
    <w:p w14:paraId="4DD28D6C" w14:textId="77777777" w:rsidR="0032262C" w:rsidRPr="002232A4" w:rsidRDefault="0032262C" w:rsidP="0032262C">
      <w:pPr>
        <w:keepNext/>
        <w:spacing w:after="240"/>
        <w:rPr>
          <w:i/>
          <w:iCs/>
          <w:lang w:val="es-419"/>
        </w:rPr>
      </w:pPr>
      <w:r w:rsidRPr="002232A4">
        <w:rPr>
          <w:i/>
          <w:iCs/>
          <w:lang w:val="es-419"/>
        </w:rPr>
        <w:lastRenderedPageBreak/>
        <w:t>Actividades propuestas</w:t>
      </w:r>
    </w:p>
    <w:p w14:paraId="218856FB" w14:textId="77777777" w:rsidR="0032262C" w:rsidRPr="002232A4" w:rsidRDefault="0032262C" w:rsidP="0032262C">
      <w:pPr>
        <w:numPr>
          <w:ilvl w:val="0"/>
          <w:numId w:val="1"/>
        </w:numPr>
        <w:shd w:val="clear" w:color="auto" w:fill="FFFFFF" w:themeFill="background1"/>
        <w:spacing w:after="240"/>
        <w:outlineLvl w:val="0"/>
        <w:rPr>
          <w:lang w:val="es-419"/>
        </w:rPr>
      </w:pPr>
      <w:bookmarkStart w:id="8" w:name="_Hlk126915743"/>
      <w:r w:rsidRPr="002232A4">
        <w:rPr>
          <w:lang w:val="es-419"/>
        </w:rPr>
        <w:t>Las actividades propuestas para su implementación en el sector de servicio y mantenimiento en la etapa II y su desglose de costos se presentan en el cuadro 3.</w:t>
      </w:r>
    </w:p>
    <w:p w14:paraId="067DA07F" w14:textId="77777777" w:rsidR="0032262C" w:rsidRPr="002232A4" w:rsidRDefault="0032262C" w:rsidP="0032262C">
      <w:pPr>
        <w:keepNext/>
        <w:shd w:val="clear" w:color="auto" w:fill="FFFFFF" w:themeFill="background1"/>
        <w:rPr>
          <w:b/>
          <w:bCs/>
          <w:lang w:val="es-419"/>
        </w:rPr>
      </w:pPr>
      <w:r w:rsidRPr="002232A4">
        <w:rPr>
          <w:b/>
          <w:bCs/>
          <w:lang w:val="es-419"/>
        </w:rPr>
        <w:t xml:space="preserve">Cuadro 3. </w:t>
      </w:r>
      <w:r w:rsidRPr="002232A4">
        <w:rPr>
          <w:b/>
          <w:lang w:val="es-419"/>
        </w:rPr>
        <w:t>Actividades del sector de servicio y mantenimiento y sus costos en la etapa II del PGEH para Malí, según lo presentado</w:t>
      </w:r>
      <w:r w:rsidRPr="002232A4">
        <w:rPr>
          <w:b/>
          <w:bCs/>
          <w:lang w:val="es-419"/>
        </w:rPr>
        <w:t xml:space="preserve"> </w:t>
      </w:r>
    </w:p>
    <w:tbl>
      <w:tblPr>
        <w:tblStyle w:val="TableGrid"/>
        <w:tblW w:w="9351" w:type="dxa"/>
        <w:tblLayout w:type="fixed"/>
        <w:tblLook w:val="04A0" w:firstRow="1" w:lastRow="0" w:firstColumn="1" w:lastColumn="0" w:noHBand="0" w:noVBand="1"/>
      </w:tblPr>
      <w:tblGrid>
        <w:gridCol w:w="6374"/>
        <w:gridCol w:w="851"/>
        <w:gridCol w:w="1134"/>
        <w:gridCol w:w="992"/>
      </w:tblGrid>
      <w:tr w:rsidR="0032262C" w:rsidRPr="002232A4" w14:paraId="1C63FF7E" w14:textId="77777777" w:rsidTr="00E734D2">
        <w:trPr>
          <w:trHeight w:val="53"/>
          <w:tblHeader/>
        </w:trPr>
        <w:tc>
          <w:tcPr>
            <w:tcW w:w="6374" w:type="dxa"/>
            <w:vMerge w:val="restart"/>
            <w:vAlign w:val="center"/>
          </w:tcPr>
          <w:p w14:paraId="1C82DC4A" w14:textId="77777777" w:rsidR="0032262C" w:rsidRPr="002232A4" w:rsidRDefault="0032262C" w:rsidP="00E734D2">
            <w:pPr>
              <w:shd w:val="clear" w:color="auto" w:fill="FFFFFF" w:themeFill="background1"/>
              <w:jc w:val="center"/>
              <w:rPr>
                <w:b/>
                <w:bCs/>
                <w:sz w:val="20"/>
                <w:szCs w:val="20"/>
                <w:lang w:val="es-419"/>
              </w:rPr>
            </w:pPr>
            <w:r w:rsidRPr="002232A4">
              <w:rPr>
                <w:b/>
                <w:bCs/>
                <w:sz w:val="20"/>
                <w:szCs w:val="20"/>
                <w:lang w:val="es-419"/>
              </w:rPr>
              <w:t>Actividad</w:t>
            </w:r>
          </w:p>
        </w:tc>
        <w:tc>
          <w:tcPr>
            <w:tcW w:w="851" w:type="dxa"/>
            <w:vMerge w:val="restart"/>
            <w:vAlign w:val="center"/>
          </w:tcPr>
          <w:p w14:paraId="6349C68B" w14:textId="77777777" w:rsidR="0032262C" w:rsidRPr="002232A4" w:rsidRDefault="0032262C" w:rsidP="00E734D2">
            <w:pPr>
              <w:shd w:val="clear" w:color="auto" w:fill="FFFFFF" w:themeFill="background1"/>
              <w:jc w:val="center"/>
              <w:rPr>
                <w:b/>
                <w:bCs/>
                <w:sz w:val="20"/>
                <w:szCs w:val="20"/>
                <w:lang w:val="es-419"/>
              </w:rPr>
            </w:pPr>
            <w:r w:rsidRPr="002232A4">
              <w:rPr>
                <w:b/>
                <w:bCs/>
                <w:sz w:val="20"/>
                <w:szCs w:val="20"/>
                <w:lang w:val="es-419"/>
              </w:rPr>
              <w:t>Organismo</w:t>
            </w:r>
          </w:p>
        </w:tc>
        <w:tc>
          <w:tcPr>
            <w:tcW w:w="2126" w:type="dxa"/>
            <w:gridSpan w:val="2"/>
            <w:vAlign w:val="center"/>
          </w:tcPr>
          <w:p w14:paraId="20529D29" w14:textId="77777777" w:rsidR="0032262C" w:rsidRPr="002232A4" w:rsidRDefault="0032262C" w:rsidP="00E734D2">
            <w:pPr>
              <w:shd w:val="clear" w:color="auto" w:fill="FFFFFF" w:themeFill="background1"/>
              <w:jc w:val="center"/>
              <w:rPr>
                <w:b/>
                <w:bCs/>
                <w:sz w:val="20"/>
                <w:szCs w:val="20"/>
                <w:lang w:val="es-419"/>
              </w:rPr>
            </w:pPr>
            <w:r w:rsidRPr="002232A4">
              <w:rPr>
                <w:b/>
                <w:bCs/>
                <w:sz w:val="20"/>
                <w:szCs w:val="20"/>
                <w:lang w:val="es-419"/>
              </w:rPr>
              <w:t>Costo (USD)</w:t>
            </w:r>
          </w:p>
        </w:tc>
      </w:tr>
      <w:tr w:rsidR="0032262C" w:rsidRPr="002232A4" w14:paraId="7D7C6E57" w14:textId="77777777" w:rsidTr="00E734D2">
        <w:trPr>
          <w:trHeight w:val="98"/>
        </w:trPr>
        <w:tc>
          <w:tcPr>
            <w:tcW w:w="6374" w:type="dxa"/>
            <w:vMerge/>
            <w:vAlign w:val="center"/>
          </w:tcPr>
          <w:p w14:paraId="434D5732" w14:textId="77777777" w:rsidR="0032262C" w:rsidRPr="002232A4" w:rsidRDefault="0032262C" w:rsidP="00E734D2">
            <w:pPr>
              <w:shd w:val="clear" w:color="auto" w:fill="FFFFFF" w:themeFill="background1"/>
              <w:jc w:val="center"/>
              <w:rPr>
                <w:b/>
                <w:bCs/>
                <w:sz w:val="20"/>
                <w:szCs w:val="20"/>
                <w:lang w:val="es-419"/>
              </w:rPr>
            </w:pPr>
          </w:p>
        </w:tc>
        <w:tc>
          <w:tcPr>
            <w:tcW w:w="851" w:type="dxa"/>
            <w:vMerge/>
            <w:vAlign w:val="center"/>
          </w:tcPr>
          <w:p w14:paraId="0916EB84" w14:textId="77777777" w:rsidR="0032262C" w:rsidRPr="002232A4" w:rsidRDefault="0032262C" w:rsidP="00E734D2">
            <w:pPr>
              <w:shd w:val="clear" w:color="auto" w:fill="FFFFFF" w:themeFill="background1"/>
              <w:jc w:val="center"/>
              <w:rPr>
                <w:b/>
                <w:bCs/>
                <w:sz w:val="20"/>
                <w:szCs w:val="20"/>
                <w:lang w:val="es-419"/>
              </w:rPr>
            </w:pPr>
          </w:p>
        </w:tc>
        <w:tc>
          <w:tcPr>
            <w:tcW w:w="1134" w:type="dxa"/>
            <w:vAlign w:val="center"/>
          </w:tcPr>
          <w:p w14:paraId="4F55CBF8" w14:textId="77777777" w:rsidR="0032262C" w:rsidRPr="002232A4" w:rsidRDefault="0032262C" w:rsidP="00E734D2">
            <w:pPr>
              <w:shd w:val="clear" w:color="auto" w:fill="FFFFFF" w:themeFill="background1"/>
              <w:jc w:val="center"/>
              <w:rPr>
                <w:b/>
                <w:bCs/>
                <w:sz w:val="20"/>
                <w:szCs w:val="20"/>
                <w:lang w:val="es-419"/>
              </w:rPr>
            </w:pPr>
            <w:r w:rsidRPr="002232A4">
              <w:rPr>
                <w:b/>
                <w:bCs/>
                <w:sz w:val="20"/>
                <w:szCs w:val="20"/>
                <w:lang w:val="es-419"/>
              </w:rPr>
              <w:t>Etapa II</w:t>
            </w:r>
          </w:p>
        </w:tc>
        <w:tc>
          <w:tcPr>
            <w:tcW w:w="992" w:type="dxa"/>
            <w:vAlign w:val="center"/>
          </w:tcPr>
          <w:p w14:paraId="297EB898" w14:textId="77777777" w:rsidR="0032262C" w:rsidRPr="002232A4" w:rsidRDefault="0032262C" w:rsidP="00E734D2">
            <w:pPr>
              <w:shd w:val="clear" w:color="auto" w:fill="FFFFFF" w:themeFill="background1"/>
              <w:jc w:val="center"/>
              <w:rPr>
                <w:b/>
                <w:bCs/>
                <w:sz w:val="20"/>
                <w:szCs w:val="20"/>
                <w:lang w:val="es-419"/>
              </w:rPr>
            </w:pPr>
            <w:r w:rsidRPr="002232A4">
              <w:rPr>
                <w:b/>
                <w:bCs/>
                <w:sz w:val="20"/>
                <w:szCs w:val="20"/>
                <w:lang w:val="es-419"/>
              </w:rPr>
              <w:t>Primer tramo</w:t>
            </w:r>
          </w:p>
        </w:tc>
      </w:tr>
      <w:tr w:rsidR="0032262C" w:rsidRPr="002232A4" w14:paraId="15F1F3B1" w14:textId="77777777" w:rsidTr="00E734D2">
        <w:trPr>
          <w:trHeight w:val="217"/>
        </w:trPr>
        <w:tc>
          <w:tcPr>
            <w:tcW w:w="6374" w:type="dxa"/>
          </w:tcPr>
          <w:p w14:paraId="29A1F89E" w14:textId="77777777" w:rsidR="0032262C" w:rsidRPr="002232A4" w:rsidRDefault="0032262C" w:rsidP="00E734D2">
            <w:pPr>
              <w:shd w:val="clear" w:color="auto" w:fill="FFFFFF" w:themeFill="background1"/>
              <w:jc w:val="left"/>
              <w:rPr>
                <w:b/>
                <w:bCs/>
                <w:sz w:val="20"/>
                <w:szCs w:val="20"/>
                <w:lang w:val="es-419"/>
              </w:rPr>
            </w:pPr>
            <w:r w:rsidRPr="002232A4">
              <w:rPr>
                <w:sz w:val="20"/>
                <w:szCs w:val="20"/>
                <w:lang w:val="es-419"/>
              </w:rPr>
              <w:t>1.</w:t>
            </w:r>
            <w:r w:rsidRPr="002232A4">
              <w:rPr>
                <w:b/>
                <w:bCs/>
                <w:sz w:val="20"/>
                <w:szCs w:val="20"/>
                <w:lang w:val="es-419"/>
              </w:rPr>
              <w:t xml:space="preserve"> Fortalecimiento del marco jurídico y normativo para apoyar la eliminación de los HCFC:</w:t>
            </w:r>
          </w:p>
          <w:p w14:paraId="45CB865C"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1.1. Actualizar y mejorar el sistema de licencias y cuotas de HCFC para la expedición de licencias y cuotas de importación, y organizar tres talleres con los importadores sobre los ajustes del sistema de licencias y cuotas y la distribución de cuotas (USD 19.000);</w:t>
            </w:r>
          </w:p>
          <w:p w14:paraId="2BEE63C5"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1.2. Desarrollar una base de datos sobre HCFC, supervisar y evaluar la presentación de informes sobre HCFC, organizar seis talleres con las partes interesadas en la presentación de informes (USD 48.000);</w:t>
            </w:r>
          </w:p>
          <w:p w14:paraId="73764911"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1.3.</w:t>
            </w:r>
            <w:r w:rsidRPr="002232A4">
              <w:rPr>
                <w:sz w:val="18"/>
                <w:szCs w:val="18"/>
                <w:lang w:val="es-419"/>
              </w:rPr>
              <w:t xml:space="preserve"> </w:t>
            </w:r>
            <w:r w:rsidRPr="002232A4">
              <w:rPr>
                <w:sz w:val="20"/>
                <w:szCs w:val="20"/>
                <w:lang w:val="es-419"/>
              </w:rPr>
              <w:t>Introducción y aplicación de prohibiciones de importación y restricciones a la instalación de equipos que utilizan HCFC, prohibición de la importación de sustancias controladas en cilindros no recargables para enero de 2028, consultas sobre la introducción de prohibiciones y reuniones de sensibilización (USD 7.000);</w:t>
            </w:r>
          </w:p>
          <w:p w14:paraId="1BDDFC7A"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1.4. Preparación y difusión de la guía sobre la legislación relativa a las SAO y los HFC, realización de tres seminarios con las partes interesadas sobre la guía (USD 20.000);</w:t>
            </w:r>
          </w:p>
          <w:p w14:paraId="2E2B8BFE"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1.5. Creación de un registro electrónico para talleres y técnicos de servicio y mantenimiento de sistemas de RAC formales e informales, incluyendo la elaboración de los términos de referencia, la selección de la empresa y la elaboración del software del registro electrónico, y tres talleres para técnicos de RAC, propietarios y operadores de equipos sobre las directrices para el registro y el uso del sistema (USD 49.000);</w:t>
            </w:r>
          </w:p>
          <w:p w14:paraId="57A6678A"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1.6. Creación y mantenimiento de un sitio web con la legislación pertinente, incluidos formularios y traducciones (USD 15.000);</w:t>
            </w:r>
          </w:p>
          <w:p w14:paraId="25DEF1ED"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1.7. Desarrollo de normas y protocolos para el uso de sustancias inflamables/tóxicas en equipos de RAC, incluida la publicación y el desarrollo de capacidades de los técnicos de RAC, los importadores y otras partes interesadas clave para la aplicación de normas técnicas en el sector de RAC. Esta actividad incluye la contratación de un consultor internacional y consultas con las partes interesadas para revisar el borrador de las normas (USD 60.000).</w:t>
            </w:r>
          </w:p>
        </w:tc>
        <w:tc>
          <w:tcPr>
            <w:tcW w:w="851" w:type="dxa"/>
          </w:tcPr>
          <w:p w14:paraId="74F3CDF0" w14:textId="77777777" w:rsidR="0032262C" w:rsidRPr="002232A4" w:rsidRDefault="0032262C" w:rsidP="00E734D2">
            <w:pPr>
              <w:jc w:val="center"/>
              <w:rPr>
                <w:sz w:val="20"/>
                <w:szCs w:val="20"/>
                <w:lang w:val="es-419"/>
              </w:rPr>
            </w:pPr>
            <w:r w:rsidRPr="002232A4">
              <w:rPr>
                <w:sz w:val="20"/>
                <w:szCs w:val="20"/>
                <w:lang w:val="es-419"/>
              </w:rPr>
              <w:t>PNUMA</w:t>
            </w:r>
          </w:p>
        </w:tc>
        <w:tc>
          <w:tcPr>
            <w:tcW w:w="1134" w:type="dxa"/>
          </w:tcPr>
          <w:p w14:paraId="48305CE9"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218.000</w:t>
            </w:r>
          </w:p>
        </w:tc>
        <w:tc>
          <w:tcPr>
            <w:tcW w:w="992" w:type="dxa"/>
          </w:tcPr>
          <w:p w14:paraId="02691FB4"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100.000</w:t>
            </w:r>
          </w:p>
        </w:tc>
      </w:tr>
      <w:tr w:rsidR="0032262C" w:rsidRPr="002232A4" w14:paraId="6E252337" w14:textId="77777777" w:rsidTr="00E734D2">
        <w:trPr>
          <w:trHeight w:val="225"/>
        </w:trPr>
        <w:tc>
          <w:tcPr>
            <w:tcW w:w="6374" w:type="dxa"/>
          </w:tcPr>
          <w:p w14:paraId="7E1E82B9" w14:textId="77777777" w:rsidR="0032262C" w:rsidRPr="002232A4" w:rsidRDefault="0032262C" w:rsidP="00E734D2">
            <w:pPr>
              <w:shd w:val="clear" w:color="auto" w:fill="FFFFFF" w:themeFill="background1"/>
              <w:jc w:val="left"/>
              <w:rPr>
                <w:b/>
                <w:bCs/>
                <w:sz w:val="20"/>
                <w:szCs w:val="20"/>
                <w:lang w:val="es-419"/>
              </w:rPr>
            </w:pPr>
            <w:r w:rsidRPr="002232A4">
              <w:rPr>
                <w:b/>
                <w:bCs/>
                <w:sz w:val="20"/>
                <w:szCs w:val="20"/>
                <w:lang w:val="es-419"/>
              </w:rPr>
              <w:t>2. Mejora de la capacidad de los técnicos de RAC</w:t>
            </w:r>
          </w:p>
          <w:p w14:paraId="7389F79A"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2.1. Actualización de los planes de estudios de las escuelas vocacionales (USD 10.000);</w:t>
            </w:r>
          </w:p>
          <w:p w14:paraId="0EECCDA7" w14:textId="77777777" w:rsidR="0032262C" w:rsidRPr="002232A4" w:rsidRDefault="0032262C" w:rsidP="00E734D2">
            <w:pPr>
              <w:shd w:val="clear" w:color="auto" w:fill="FFFFFF" w:themeFill="background1"/>
              <w:ind w:left="337" w:hanging="337"/>
              <w:jc w:val="left"/>
              <w:rPr>
                <w:sz w:val="20"/>
                <w:szCs w:val="20"/>
                <w:lang w:val="es-419"/>
              </w:rPr>
            </w:pPr>
            <w:r w:rsidRPr="002232A4">
              <w:rPr>
                <w:sz w:val="20"/>
                <w:szCs w:val="20"/>
                <w:lang w:val="es-419"/>
              </w:rPr>
              <w:t>2.2. Capacitación de 500 técnicos de RAC en buenas prácticas de servicio y mantenimiento (USD 100.000);</w:t>
            </w:r>
          </w:p>
          <w:p w14:paraId="2D9A3924"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2.3. Establecimiento de un programa piloto de certificación para 25 técnicos de RAC e implementación de la certificación nacional en el sector de RAC (se estima que más de 400 técnicos de RAC estarán certificados al final de la etapa II) (USD 110.000);</w:t>
            </w:r>
          </w:p>
          <w:p w14:paraId="108ED9C5"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2.4. Programa de capacitación para técnicos del sector informal, que incluye un programa de mentoría y campañas de sensibilización (USD 18.000);</w:t>
            </w:r>
          </w:p>
          <w:p w14:paraId="53451D2D"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2.5. Campaña específica para estudiar en institutos de capacitación en RAC (USD 15.000)</w:t>
            </w:r>
          </w:p>
        </w:tc>
        <w:tc>
          <w:tcPr>
            <w:tcW w:w="851" w:type="dxa"/>
          </w:tcPr>
          <w:p w14:paraId="1D7D338C" w14:textId="77777777" w:rsidR="0032262C" w:rsidRPr="002232A4" w:rsidRDefault="0032262C" w:rsidP="00E734D2">
            <w:pPr>
              <w:jc w:val="center"/>
              <w:rPr>
                <w:sz w:val="20"/>
                <w:szCs w:val="20"/>
                <w:lang w:val="es-419"/>
              </w:rPr>
            </w:pPr>
            <w:r w:rsidRPr="002232A4">
              <w:rPr>
                <w:sz w:val="20"/>
                <w:szCs w:val="20"/>
                <w:lang w:val="es-419"/>
              </w:rPr>
              <w:t>PNUMA</w:t>
            </w:r>
          </w:p>
        </w:tc>
        <w:tc>
          <w:tcPr>
            <w:tcW w:w="1134" w:type="dxa"/>
          </w:tcPr>
          <w:p w14:paraId="672F406C"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253.000</w:t>
            </w:r>
          </w:p>
        </w:tc>
        <w:tc>
          <w:tcPr>
            <w:tcW w:w="992" w:type="dxa"/>
          </w:tcPr>
          <w:p w14:paraId="1AC762C7"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96.500</w:t>
            </w:r>
          </w:p>
        </w:tc>
      </w:tr>
      <w:tr w:rsidR="0032262C" w:rsidRPr="002232A4" w14:paraId="6927B7DF" w14:textId="77777777" w:rsidTr="00E734D2">
        <w:trPr>
          <w:trHeight w:val="225"/>
        </w:trPr>
        <w:tc>
          <w:tcPr>
            <w:tcW w:w="6374" w:type="dxa"/>
          </w:tcPr>
          <w:p w14:paraId="21C4D44B" w14:textId="77777777" w:rsidR="0032262C" w:rsidRPr="002232A4" w:rsidRDefault="0032262C" w:rsidP="00E734D2">
            <w:pPr>
              <w:shd w:val="clear" w:color="auto" w:fill="FFFFFF" w:themeFill="background1"/>
              <w:jc w:val="left"/>
              <w:rPr>
                <w:b/>
                <w:bCs/>
                <w:sz w:val="20"/>
                <w:szCs w:val="20"/>
                <w:lang w:val="es-419"/>
              </w:rPr>
            </w:pPr>
            <w:r w:rsidRPr="002232A4">
              <w:rPr>
                <w:b/>
                <w:bCs/>
                <w:sz w:val="20"/>
                <w:szCs w:val="20"/>
                <w:lang w:val="es-419"/>
              </w:rPr>
              <w:t>3. Capacitación de funcionarios de aduanas y agentes encargados de hacer cumplir la ley</w:t>
            </w:r>
          </w:p>
          <w:p w14:paraId="1710F686"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lastRenderedPageBreak/>
              <w:t>3.1. Capacitación de 400 funcionarios de aduanas (40 funcionarios por sesión) sobre mejores prácticas (USD 95.000);</w:t>
            </w:r>
          </w:p>
          <w:p w14:paraId="00CE2BC7"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3.2. Preparación y distribución de carteles y otro material informativo con las principales normas y reglamentos sobre la importación de sustancias controladas y una indicación clara de los códigos aduaneros (USD 5.000);</w:t>
            </w:r>
          </w:p>
          <w:p w14:paraId="00723482"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3.3. Reuniones para fortalecer la colaboración transfronteriza en la subregión de la Unión Económica y Monetaria de África Occidental (USD 30.000)</w:t>
            </w:r>
          </w:p>
        </w:tc>
        <w:tc>
          <w:tcPr>
            <w:tcW w:w="851" w:type="dxa"/>
          </w:tcPr>
          <w:p w14:paraId="38551015" w14:textId="77777777" w:rsidR="0032262C" w:rsidRPr="002232A4" w:rsidRDefault="0032262C" w:rsidP="00E734D2">
            <w:pPr>
              <w:jc w:val="center"/>
              <w:rPr>
                <w:sz w:val="20"/>
                <w:szCs w:val="20"/>
                <w:lang w:val="es-419"/>
              </w:rPr>
            </w:pPr>
            <w:r w:rsidRPr="002232A4">
              <w:rPr>
                <w:sz w:val="20"/>
                <w:szCs w:val="20"/>
                <w:lang w:val="es-419"/>
              </w:rPr>
              <w:lastRenderedPageBreak/>
              <w:t>PNUMA</w:t>
            </w:r>
          </w:p>
        </w:tc>
        <w:tc>
          <w:tcPr>
            <w:tcW w:w="1134" w:type="dxa"/>
          </w:tcPr>
          <w:p w14:paraId="3256C517"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130.000</w:t>
            </w:r>
          </w:p>
        </w:tc>
        <w:tc>
          <w:tcPr>
            <w:tcW w:w="992" w:type="dxa"/>
          </w:tcPr>
          <w:p w14:paraId="45D3CB36"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60.000</w:t>
            </w:r>
          </w:p>
        </w:tc>
      </w:tr>
      <w:tr w:rsidR="0032262C" w:rsidRPr="002232A4" w14:paraId="3835A165" w14:textId="77777777" w:rsidTr="00E734D2">
        <w:trPr>
          <w:trHeight w:val="225"/>
        </w:trPr>
        <w:tc>
          <w:tcPr>
            <w:tcW w:w="6374" w:type="dxa"/>
          </w:tcPr>
          <w:p w14:paraId="33C5DD60" w14:textId="77777777" w:rsidR="0032262C" w:rsidRPr="002232A4" w:rsidRDefault="0032262C" w:rsidP="00E734D2">
            <w:pPr>
              <w:shd w:val="clear" w:color="auto" w:fill="FFFFFF" w:themeFill="background1"/>
              <w:ind w:left="335" w:hanging="335"/>
              <w:jc w:val="left"/>
              <w:rPr>
                <w:b/>
                <w:bCs/>
                <w:sz w:val="20"/>
                <w:szCs w:val="20"/>
                <w:lang w:val="es-419"/>
              </w:rPr>
            </w:pPr>
            <w:r w:rsidRPr="002232A4">
              <w:rPr>
                <w:b/>
                <w:bCs/>
                <w:sz w:val="20"/>
                <w:szCs w:val="20"/>
                <w:lang w:val="es-419"/>
              </w:rPr>
              <w:t>4. Fortalecimiento de las capacidades técnicas para la gestión de la refrigeración</w:t>
            </w:r>
          </w:p>
          <w:p w14:paraId="48CA6CEA"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4.1. Fortalecimiento de las capacidades técnicas de los centros de capacitación en refrigerantes alternativos, incluida la adquisición de equipos para dos centros de capacitación</w:t>
            </w:r>
            <w:r w:rsidRPr="002232A4">
              <w:rPr>
                <w:rStyle w:val="FootnoteReference"/>
                <w:sz w:val="20"/>
                <w:szCs w:val="20"/>
                <w:lang w:val="es-419"/>
              </w:rPr>
              <w:footnoteReference w:id="6"/>
            </w:r>
            <w:r w:rsidRPr="002232A4">
              <w:rPr>
                <w:sz w:val="20"/>
                <w:szCs w:val="20"/>
                <w:lang w:val="es-419"/>
              </w:rPr>
              <w:t xml:space="preserve"> y 50 juegos de herramientas</w:t>
            </w:r>
            <w:r w:rsidRPr="002232A4">
              <w:rPr>
                <w:rStyle w:val="FootnoteReference"/>
                <w:sz w:val="20"/>
                <w:szCs w:val="20"/>
                <w:lang w:val="es-419"/>
              </w:rPr>
              <w:footnoteReference w:id="7"/>
            </w:r>
            <w:r w:rsidRPr="002232A4">
              <w:rPr>
                <w:sz w:val="20"/>
                <w:szCs w:val="20"/>
                <w:lang w:val="es-419"/>
              </w:rPr>
              <w:t xml:space="preserve"> para técnicos capacitados en sistemas de RAC basados en HC, desarrollo de un nuevo curso de capacitación tanto en sistemas de baja carga como en sistemas de gran carga y bajas temperaturas (sistemas de CO2) con dos cursos de capacitación de instructores, realización de 15 cursos de capacitación en sistemas de HC de baja carga (300 técnicos de RAC en total) y cinco cursos de capacitación sobre sistemas de RAC de gran carga y baja temperatura (100 técnicos de RAC en total), incluido un curso con un módulo sobre CO2 para 20 técnicos de RAC (USD 258.700);</w:t>
            </w:r>
          </w:p>
          <w:p w14:paraId="18C119F6" w14:textId="77777777" w:rsidR="0032262C" w:rsidRPr="002232A4" w:rsidRDefault="0032262C" w:rsidP="00E734D2">
            <w:pPr>
              <w:shd w:val="clear" w:color="auto" w:fill="FFFFFF" w:themeFill="background1"/>
              <w:jc w:val="left"/>
              <w:rPr>
                <w:sz w:val="20"/>
                <w:szCs w:val="20"/>
                <w:lang w:val="es-419"/>
              </w:rPr>
            </w:pPr>
            <w:r w:rsidRPr="002232A4">
              <w:rPr>
                <w:sz w:val="20"/>
                <w:szCs w:val="20"/>
                <w:lang w:val="es-419"/>
              </w:rPr>
              <w:t>4.2. Establecimiento de un sistema de recuperación y reciclaje (RR) que consiste en la consultoría nacional para diseñar, supervisar y apoyar la instalación del centro de RR, la compra e instalación de un centro de RR y tres centros de apoyo a la recuperación</w:t>
            </w:r>
            <w:r w:rsidRPr="002232A4">
              <w:rPr>
                <w:rStyle w:val="FootnoteReference"/>
                <w:sz w:val="20"/>
                <w:szCs w:val="20"/>
                <w:lang w:val="es-419"/>
              </w:rPr>
              <w:footnoteReference w:id="8"/>
            </w:r>
            <w:r w:rsidRPr="002232A4">
              <w:rPr>
                <w:sz w:val="20"/>
                <w:szCs w:val="20"/>
                <w:lang w:val="es-419"/>
              </w:rPr>
              <w:t>, la compra de equipos y un conjunto de herramientas</w:t>
            </w:r>
            <w:r w:rsidRPr="002232A4">
              <w:rPr>
                <w:rStyle w:val="FootnoteReference"/>
                <w:sz w:val="20"/>
                <w:szCs w:val="20"/>
                <w:lang w:val="es-419"/>
              </w:rPr>
              <w:footnoteReference w:id="9"/>
            </w:r>
            <w:r w:rsidRPr="002232A4">
              <w:rPr>
                <w:sz w:val="20"/>
                <w:szCs w:val="20"/>
                <w:lang w:val="es-419"/>
              </w:rPr>
              <w:t xml:space="preserve"> para que las brigadas técnicas recuperen los refrigerantes, capacitación de técnicos para la gestión de equipos de RR y brigadas técnicas de recuperación, diseño de un control electrónico para las actividades de RR y diseño de un modelo de nicho de mercado para los refrigerantes recuperados, y campaña de sensibilización pública para promover el programa de RR (USD 135.300).</w:t>
            </w:r>
          </w:p>
        </w:tc>
        <w:tc>
          <w:tcPr>
            <w:tcW w:w="851" w:type="dxa"/>
          </w:tcPr>
          <w:p w14:paraId="430DBAC0" w14:textId="77777777" w:rsidR="0032262C" w:rsidRPr="002232A4" w:rsidRDefault="0032262C" w:rsidP="00E734D2">
            <w:pPr>
              <w:jc w:val="center"/>
              <w:rPr>
                <w:sz w:val="20"/>
                <w:szCs w:val="20"/>
                <w:lang w:val="es-419"/>
              </w:rPr>
            </w:pPr>
            <w:r w:rsidRPr="002232A4">
              <w:rPr>
                <w:sz w:val="20"/>
                <w:szCs w:val="20"/>
                <w:lang w:val="es-419"/>
              </w:rPr>
              <w:t>PNUD</w:t>
            </w:r>
          </w:p>
        </w:tc>
        <w:tc>
          <w:tcPr>
            <w:tcW w:w="1134" w:type="dxa"/>
          </w:tcPr>
          <w:p w14:paraId="00C21D10"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394.000</w:t>
            </w:r>
          </w:p>
        </w:tc>
        <w:tc>
          <w:tcPr>
            <w:tcW w:w="992" w:type="dxa"/>
          </w:tcPr>
          <w:p w14:paraId="31E1A2F7" w14:textId="77777777" w:rsidR="0032262C" w:rsidRPr="002232A4" w:rsidRDefault="0032262C" w:rsidP="00E734D2">
            <w:pPr>
              <w:shd w:val="clear" w:color="auto" w:fill="FFFFFF" w:themeFill="background1"/>
              <w:jc w:val="right"/>
              <w:rPr>
                <w:sz w:val="20"/>
                <w:szCs w:val="20"/>
                <w:lang w:val="es-419"/>
              </w:rPr>
            </w:pPr>
            <w:r w:rsidRPr="002232A4">
              <w:rPr>
                <w:sz w:val="20"/>
                <w:szCs w:val="20"/>
                <w:lang w:val="es-419"/>
              </w:rPr>
              <w:t>246.500</w:t>
            </w:r>
          </w:p>
        </w:tc>
      </w:tr>
      <w:tr w:rsidR="0032262C" w:rsidRPr="002232A4" w14:paraId="32B29DC6" w14:textId="77777777" w:rsidTr="00E734D2">
        <w:trPr>
          <w:trHeight w:val="366"/>
        </w:trPr>
        <w:tc>
          <w:tcPr>
            <w:tcW w:w="6374" w:type="dxa"/>
          </w:tcPr>
          <w:p w14:paraId="7C7D5F7D" w14:textId="77777777" w:rsidR="0032262C" w:rsidRPr="002232A4" w:rsidRDefault="0032262C" w:rsidP="00E734D2">
            <w:pPr>
              <w:jc w:val="left"/>
              <w:rPr>
                <w:sz w:val="20"/>
                <w:szCs w:val="20"/>
                <w:lang w:val="es-419"/>
              </w:rPr>
            </w:pPr>
            <w:r w:rsidRPr="002232A4">
              <w:rPr>
                <w:b/>
                <w:bCs/>
                <w:sz w:val="18"/>
                <w:szCs w:val="18"/>
                <w:lang w:val="es-419"/>
              </w:rPr>
              <w:t xml:space="preserve">5. </w:t>
            </w:r>
            <w:r w:rsidRPr="002232A4">
              <w:rPr>
                <w:lang w:val="es-419"/>
              </w:rPr>
              <w:t>Seguimiento, evaluación y presentación de informes (véase el párrafo 17)</w:t>
            </w:r>
          </w:p>
        </w:tc>
        <w:tc>
          <w:tcPr>
            <w:tcW w:w="851" w:type="dxa"/>
          </w:tcPr>
          <w:p w14:paraId="70C544FB" w14:textId="77777777" w:rsidR="0032262C" w:rsidRPr="002232A4" w:rsidRDefault="0032262C" w:rsidP="00E734D2">
            <w:pPr>
              <w:jc w:val="center"/>
              <w:rPr>
                <w:sz w:val="20"/>
                <w:szCs w:val="20"/>
                <w:lang w:val="es-419"/>
              </w:rPr>
            </w:pPr>
            <w:r w:rsidRPr="002232A4">
              <w:rPr>
                <w:sz w:val="20"/>
                <w:szCs w:val="20"/>
                <w:lang w:val="es-419"/>
              </w:rPr>
              <w:t>PNUMA</w:t>
            </w:r>
          </w:p>
        </w:tc>
        <w:tc>
          <w:tcPr>
            <w:tcW w:w="1134" w:type="dxa"/>
          </w:tcPr>
          <w:p w14:paraId="5AF433B7" w14:textId="77777777" w:rsidR="0032262C" w:rsidRPr="002232A4" w:rsidRDefault="0032262C" w:rsidP="00E734D2">
            <w:pPr>
              <w:jc w:val="right"/>
              <w:rPr>
                <w:sz w:val="20"/>
                <w:szCs w:val="20"/>
                <w:lang w:val="es-419"/>
              </w:rPr>
            </w:pPr>
            <w:r w:rsidRPr="002232A4">
              <w:rPr>
                <w:sz w:val="20"/>
                <w:szCs w:val="20"/>
                <w:lang w:val="es-419"/>
              </w:rPr>
              <w:t>45.000</w:t>
            </w:r>
          </w:p>
        </w:tc>
        <w:tc>
          <w:tcPr>
            <w:tcW w:w="992" w:type="dxa"/>
          </w:tcPr>
          <w:p w14:paraId="6570C7EC" w14:textId="77777777" w:rsidR="0032262C" w:rsidRPr="002232A4" w:rsidRDefault="0032262C" w:rsidP="00E734D2">
            <w:pPr>
              <w:jc w:val="right"/>
              <w:rPr>
                <w:sz w:val="20"/>
                <w:szCs w:val="20"/>
                <w:lang w:val="es-419"/>
              </w:rPr>
            </w:pPr>
            <w:r w:rsidRPr="002232A4">
              <w:rPr>
                <w:sz w:val="20"/>
                <w:szCs w:val="20"/>
                <w:lang w:val="es-419"/>
              </w:rPr>
              <w:t>20.000</w:t>
            </w:r>
          </w:p>
        </w:tc>
      </w:tr>
      <w:tr w:rsidR="0032262C" w:rsidRPr="002232A4" w14:paraId="208B70A8" w14:textId="77777777" w:rsidTr="00E734D2">
        <w:trPr>
          <w:trHeight w:val="225"/>
        </w:trPr>
        <w:tc>
          <w:tcPr>
            <w:tcW w:w="7225" w:type="dxa"/>
            <w:gridSpan w:val="2"/>
          </w:tcPr>
          <w:p w14:paraId="095B8422" w14:textId="77777777" w:rsidR="0032262C" w:rsidRPr="002232A4" w:rsidRDefault="0032262C" w:rsidP="00E734D2">
            <w:pPr>
              <w:jc w:val="left"/>
              <w:rPr>
                <w:b/>
                <w:bCs/>
                <w:sz w:val="20"/>
                <w:szCs w:val="20"/>
                <w:lang w:val="es-419"/>
              </w:rPr>
            </w:pPr>
            <w:r w:rsidRPr="002232A4">
              <w:rPr>
                <w:b/>
                <w:bCs/>
                <w:sz w:val="20"/>
                <w:szCs w:val="20"/>
                <w:lang w:val="es-419"/>
              </w:rPr>
              <w:t>Subtotal para el PNUMA</w:t>
            </w:r>
          </w:p>
        </w:tc>
        <w:tc>
          <w:tcPr>
            <w:tcW w:w="1134" w:type="dxa"/>
          </w:tcPr>
          <w:p w14:paraId="16E8BF9B" w14:textId="77777777" w:rsidR="0032262C" w:rsidRPr="002232A4" w:rsidRDefault="0032262C" w:rsidP="00E734D2">
            <w:pPr>
              <w:jc w:val="right"/>
              <w:rPr>
                <w:b/>
                <w:bCs/>
                <w:sz w:val="20"/>
                <w:szCs w:val="20"/>
                <w:lang w:val="es-419"/>
              </w:rPr>
            </w:pPr>
            <w:r w:rsidRPr="002232A4">
              <w:rPr>
                <w:b/>
                <w:bCs/>
                <w:sz w:val="20"/>
                <w:szCs w:val="20"/>
                <w:lang w:val="es-419"/>
              </w:rPr>
              <w:t>646.000</w:t>
            </w:r>
          </w:p>
        </w:tc>
        <w:tc>
          <w:tcPr>
            <w:tcW w:w="992" w:type="dxa"/>
          </w:tcPr>
          <w:p w14:paraId="7A0B5A12" w14:textId="77777777" w:rsidR="0032262C" w:rsidRPr="002232A4" w:rsidRDefault="0032262C" w:rsidP="00E734D2">
            <w:pPr>
              <w:jc w:val="right"/>
              <w:rPr>
                <w:b/>
                <w:bCs/>
                <w:sz w:val="20"/>
                <w:szCs w:val="20"/>
                <w:lang w:val="es-419"/>
              </w:rPr>
            </w:pPr>
            <w:r w:rsidRPr="002232A4">
              <w:rPr>
                <w:b/>
                <w:bCs/>
                <w:sz w:val="20"/>
                <w:szCs w:val="20"/>
                <w:lang w:val="es-419"/>
              </w:rPr>
              <w:t>276.500</w:t>
            </w:r>
          </w:p>
        </w:tc>
      </w:tr>
      <w:tr w:rsidR="0032262C" w:rsidRPr="002232A4" w14:paraId="32E863E4" w14:textId="77777777" w:rsidTr="00E734D2">
        <w:trPr>
          <w:trHeight w:val="225"/>
        </w:trPr>
        <w:tc>
          <w:tcPr>
            <w:tcW w:w="7225" w:type="dxa"/>
            <w:gridSpan w:val="2"/>
          </w:tcPr>
          <w:p w14:paraId="206DAA49" w14:textId="77777777" w:rsidR="0032262C" w:rsidRPr="002232A4" w:rsidRDefault="0032262C" w:rsidP="00E734D2">
            <w:pPr>
              <w:jc w:val="left"/>
              <w:rPr>
                <w:b/>
                <w:bCs/>
                <w:sz w:val="20"/>
                <w:szCs w:val="20"/>
                <w:lang w:val="es-419"/>
              </w:rPr>
            </w:pPr>
            <w:r w:rsidRPr="002232A4">
              <w:rPr>
                <w:b/>
                <w:bCs/>
                <w:sz w:val="20"/>
                <w:szCs w:val="20"/>
                <w:lang w:val="es-419"/>
              </w:rPr>
              <w:t>Subtotal para el PNUD</w:t>
            </w:r>
          </w:p>
        </w:tc>
        <w:tc>
          <w:tcPr>
            <w:tcW w:w="1134" w:type="dxa"/>
          </w:tcPr>
          <w:p w14:paraId="2A2A7069" w14:textId="77777777" w:rsidR="0032262C" w:rsidRPr="002232A4" w:rsidRDefault="0032262C" w:rsidP="00E734D2">
            <w:pPr>
              <w:jc w:val="right"/>
              <w:rPr>
                <w:b/>
                <w:bCs/>
                <w:sz w:val="20"/>
                <w:szCs w:val="20"/>
                <w:lang w:val="es-419"/>
              </w:rPr>
            </w:pPr>
            <w:r w:rsidRPr="002232A4">
              <w:rPr>
                <w:b/>
                <w:bCs/>
                <w:sz w:val="20"/>
                <w:szCs w:val="20"/>
                <w:lang w:val="es-419"/>
              </w:rPr>
              <w:t>394.000</w:t>
            </w:r>
          </w:p>
        </w:tc>
        <w:tc>
          <w:tcPr>
            <w:tcW w:w="992" w:type="dxa"/>
          </w:tcPr>
          <w:p w14:paraId="39274755" w14:textId="77777777" w:rsidR="0032262C" w:rsidRPr="002232A4" w:rsidRDefault="0032262C" w:rsidP="00E734D2">
            <w:pPr>
              <w:jc w:val="right"/>
              <w:rPr>
                <w:b/>
                <w:bCs/>
                <w:sz w:val="20"/>
                <w:szCs w:val="20"/>
                <w:lang w:val="es-419"/>
              </w:rPr>
            </w:pPr>
            <w:r w:rsidRPr="002232A4">
              <w:rPr>
                <w:b/>
                <w:bCs/>
                <w:sz w:val="20"/>
                <w:szCs w:val="20"/>
                <w:lang w:val="es-419"/>
              </w:rPr>
              <w:t>246.500</w:t>
            </w:r>
          </w:p>
        </w:tc>
      </w:tr>
      <w:tr w:rsidR="0032262C" w:rsidRPr="002232A4" w14:paraId="4295839E" w14:textId="77777777" w:rsidTr="00E734D2">
        <w:trPr>
          <w:trHeight w:val="225"/>
        </w:trPr>
        <w:tc>
          <w:tcPr>
            <w:tcW w:w="7225" w:type="dxa"/>
            <w:gridSpan w:val="2"/>
          </w:tcPr>
          <w:p w14:paraId="184CFDC5" w14:textId="77777777" w:rsidR="0032262C" w:rsidRPr="002232A4" w:rsidRDefault="0032262C" w:rsidP="00E734D2">
            <w:pPr>
              <w:jc w:val="left"/>
              <w:rPr>
                <w:b/>
                <w:sz w:val="20"/>
                <w:lang w:val="es-419"/>
              </w:rPr>
            </w:pPr>
            <w:r w:rsidRPr="002232A4">
              <w:rPr>
                <w:b/>
                <w:bCs/>
                <w:sz w:val="20"/>
                <w:szCs w:val="20"/>
                <w:lang w:val="es-419"/>
              </w:rPr>
              <w:t>Total</w:t>
            </w:r>
          </w:p>
        </w:tc>
        <w:tc>
          <w:tcPr>
            <w:tcW w:w="1134" w:type="dxa"/>
          </w:tcPr>
          <w:p w14:paraId="5CB01D2C" w14:textId="77777777" w:rsidR="0032262C" w:rsidRPr="002232A4" w:rsidRDefault="0032262C" w:rsidP="00E734D2">
            <w:pPr>
              <w:shd w:val="clear" w:color="auto" w:fill="FFFFFF" w:themeFill="background1"/>
              <w:jc w:val="right"/>
              <w:rPr>
                <w:b/>
                <w:bCs/>
                <w:sz w:val="20"/>
                <w:szCs w:val="20"/>
                <w:lang w:val="es-419"/>
              </w:rPr>
            </w:pPr>
            <w:r w:rsidRPr="002232A4">
              <w:rPr>
                <w:b/>
                <w:bCs/>
                <w:sz w:val="20"/>
                <w:szCs w:val="20"/>
                <w:lang w:val="es-419"/>
              </w:rPr>
              <w:t>1.040.000</w:t>
            </w:r>
          </w:p>
        </w:tc>
        <w:tc>
          <w:tcPr>
            <w:tcW w:w="992" w:type="dxa"/>
          </w:tcPr>
          <w:p w14:paraId="6B5BFA12" w14:textId="77777777" w:rsidR="0032262C" w:rsidRPr="002232A4" w:rsidRDefault="0032262C" w:rsidP="00E734D2">
            <w:pPr>
              <w:shd w:val="clear" w:color="auto" w:fill="FFFFFF" w:themeFill="background1"/>
              <w:jc w:val="right"/>
              <w:rPr>
                <w:b/>
                <w:bCs/>
                <w:sz w:val="20"/>
                <w:szCs w:val="20"/>
                <w:lang w:val="es-419"/>
              </w:rPr>
            </w:pPr>
            <w:r w:rsidRPr="002232A4">
              <w:rPr>
                <w:b/>
                <w:bCs/>
                <w:sz w:val="20"/>
                <w:szCs w:val="20"/>
                <w:lang w:val="es-419"/>
              </w:rPr>
              <w:t>523.000</w:t>
            </w:r>
          </w:p>
        </w:tc>
      </w:tr>
    </w:tbl>
    <w:p w14:paraId="7CE720A2" w14:textId="77777777" w:rsidR="0032262C" w:rsidRPr="002232A4" w:rsidRDefault="0032262C" w:rsidP="0032262C">
      <w:pPr>
        <w:keepNext/>
        <w:spacing w:before="240" w:after="240"/>
        <w:rPr>
          <w:i/>
          <w:iCs/>
          <w:lang w:val="es-419"/>
        </w:rPr>
      </w:pPr>
      <w:bookmarkStart w:id="9" w:name="_Hlk126915749"/>
      <w:bookmarkEnd w:id="8"/>
      <w:r w:rsidRPr="002232A4">
        <w:rPr>
          <w:i/>
          <w:iCs/>
          <w:lang w:val="es-419"/>
        </w:rPr>
        <w:t>Aplicación y supervisión del proyecto</w:t>
      </w:r>
      <w:bookmarkEnd w:id="9"/>
    </w:p>
    <w:p w14:paraId="49DBD7B1" w14:textId="77777777" w:rsidR="0032262C" w:rsidRPr="002232A4" w:rsidRDefault="0032262C" w:rsidP="0032262C">
      <w:pPr>
        <w:pStyle w:val="Heading1"/>
        <w:rPr>
          <w:lang w:val="es-419"/>
        </w:rPr>
      </w:pPr>
      <w:r w:rsidRPr="002232A4">
        <w:rPr>
          <w:lang w:val="es-419"/>
        </w:rPr>
        <w:t xml:space="preserve">El sistema establecido en la etapa I del PGEH continuará en la etapa II, en la que la ONO y el PNUMA supervisarán las actividades, informarán sobre los avances y colaborarán con las partes interesadas para eliminar los HCFC. El costo de esas actividades asciende a USD 45.000 para el PNUMA, incluidos el personal y los consultores del proyecto (USD 32.500) y los viajes nacionales (USD 12.500). </w:t>
      </w:r>
    </w:p>
    <w:p w14:paraId="11EE906C" w14:textId="77777777" w:rsidR="0032262C" w:rsidRPr="002232A4" w:rsidRDefault="0032262C" w:rsidP="0032262C">
      <w:pPr>
        <w:keepNext/>
        <w:spacing w:after="240"/>
        <w:outlineLvl w:val="0"/>
        <w:rPr>
          <w:u w:val="single"/>
          <w:lang w:val="es-419"/>
        </w:rPr>
      </w:pPr>
      <w:bookmarkStart w:id="10" w:name="_Hlk126915819"/>
      <w:r w:rsidRPr="002232A4">
        <w:rPr>
          <w:u w:val="single"/>
          <w:lang w:val="es-419"/>
        </w:rPr>
        <w:lastRenderedPageBreak/>
        <w:t>Costo total de la etapa II del PGEH</w:t>
      </w:r>
    </w:p>
    <w:bookmarkEnd w:id="10"/>
    <w:p w14:paraId="08274106" w14:textId="77777777" w:rsidR="0032262C" w:rsidRPr="002232A4" w:rsidRDefault="0032262C" w:rsidP="0032262C">
      <w:pPr>
        <w:pStyle w:val="Heading1"/>
        <w:rPr>
          <w:lang w:val="es-419"/>
        </w:rPr>
      </w:pPr>
      <w:r w:rsidRPr="002232A4">
        <w:rPr>
          <w:lang w:val="es-419"/>
        </w:rPr>
        <w:t>El costo total de la etapa II del PGEH para Malí se ha estimado en USD 1.040.000 (más los gastos de apoyo a los organismos), tal como se presentó originalmente, para lograr una reducción del 100 % para 2030. Las actividades propuestas y el desglose de los costos se resumen en el cuadro 3 anterior.</w:t>
      </w:r>
    </w:p>
    <w:p w14:paraId="64F64916" w14:textId="77777777" w:rsidR="0032262C" w:rsidRPr="002232A4" w:rsidRDefault="0032262C" w:rsidP="0032262C">
      <w:pPr>
        <w:keepNext/>
        <w:spacing w:before="240" w:after="240"/>
        <w:rPr>
          <w:lang w:val="es-419"/>
        </w:rPr>
      </w:pPr>
      <w:bookmarkStart w:id="11" w:name="_Hlk126915832"/>
      <w:r w:rsidRPr="002232A4">
        <w:rPr>
          <w:u w:val="single"/>
          <w:lang w:val="es-419"/>
        </w:rPr>
        <w:t>Plan de ejecución del primer tramo de la etapa II del PGEH</w:t>
      </w:r>
    </w:p>
    <w:bookmarkEnd w:id="11"/>
    <w:p w14:paraId="575EBCE3" w14:textId="77777777" w:rsidR="0032262C" w:rsidRPr="002232A4" w:rsidRDefault="0032262C" w:rsidP="0032262C">
      <w:pPr>
        <w:pStyle w:val="Heading1"/>
        <w:rPr>
          <w:lang w:val="es-419"/>
        </w:rPr>
      </w:pPr>
      <w:r w:rsidRPr="002232A4">
        <w:rPr>
          <w:lang w:val="es-419"/>
        </w:rPr>
        <w:t xml:space="preserve">El primer tramo de financiación de la etapa II del PGEH, por un importe total de USD 523.000, se ejecutará entre enero de 2026 y diciembre de 2027. En el párrafo 27 se presenta información detallada sobre las actividades incluidas en el primer tramo, indicándose los ajustes realizados y el nivel de fondos acordado. </w:t>
      </w:r>
    </w:p>
    <w:p w14:paraId="68813FE2" w14:textId="77777777" w:rsidR="0032262C" w:rsidRPr="002232A4" w:rsidRDefault="0032262C" w:rsidP="0032262C">
      <w:pPr>
        <w:spacing w:before="360" w:after="240"/>
        <w:jc w:val="center"/>
        <w:rPr>
          <w:b/>
          <w:lang w:val="es-419"/>
        </w:rPr>
      </w:pPr>
      <w:bookmarkStart w:id="12" w:name="_Hlk126916095"/>
      <w:r w:rsidRPr="002232A4">
        <w:rPr>
          <w:b/>
          <w:lang w:val="es-419"/>
        </w:rPr>
        <w:t>OBSERVACIONES Y RECOMENDACIÓN DE LA SECRETARÍA</w:t>
      </w:r>
    </w:p>
    <w:p w14:paraId="417C9EC3" w14:textId="77777777" w:rsidR="0032262C" w:rsidRPr="002232A4" w:rsidRDefault="0032262C" w:rsidP="0032262C">
      <w:pPr>
        <w:spacing w:after="240"/>
        <w:rPr>
          <w:b/>
          <w:lang w:val="es-419"/>
        </w:rPr>
      </w:pPr>
      <w:r w:rsidRPr="002232A4">
        <w:rPr>
          <w:b/>
          <w:lang w:val="es-419"/>
        </w:rPr>
        <w:t>OBSERVACIONES</w:t>
      </w:r>
    </w:p>
    <w:bookmarkEnd w:id="12"/>
    <w:p w14:paraId="64E37AA0" w14:textId="77777777" w:rsidR="0032262C" w:rsidRPr="002232A4" w:rsidRDefault="0032262C" w:rsidP="0032262C">
      <w:pPr>
        <w:pStyle w:val="Heading1"/>
        <w:rPr>
          <w:lang w:val="es-419"/>
        </w:rPr>
      </w:pPr>
      <w:r w:rsidRPr="002232A4">
        <w:rPr>
          <w:lang w:val="es-419"/>
        </w:rPr>
        <w:t>La Secretaría examinó la etapa II del PGEH a la luz de la etapa I, las políticas y directrices del Fondo Multilateral, incluidos los criterios para financiar la eliminación de HCFC en el sector de consumo para la etapa II del PGEH (decisiones 74/50 y 90/31), y el plan administrativo de 2025-2027 del Fondo Multilateral.</w:t>
      </w:r>
    </w:p>
    <w:p w14:paraId="05E43986" w14:textId="77777777" w:rsidR="0032262C" w:rsidRPr="002232A4" w:rsidRDefault="0032262C" w:rsidP="0032262C">
      <w:pPr>
        <w:keepNext/>
        <w:spacing w:after="240"/>
        <w:rPr>
          <w:u w:val="single"/>
          <w:lang w:val="es-419"/>
        </w:rPr>
      </w:pPr>
      <w:bookmarkStart w:id="13" w:name="_Hlk126916105"/>
      <w:r w:rsidRPr="002232A4">
        <w:rPr>
          <w:u w:val="single"/>
          <w:lang w:val="es-419"/>
        </w:rPr>
        <w:t>Estrategia general</w:t>
      </w:r>
    </w:p>
    <w:bookmarkEnd w:id="13"/>
    <w:p w14:paraId="1F7F84A7" w14:textId="77777777" w:rsidR="0032262C" w:rsidRPr="002232A4" w:rsidRDefault="0032262C" w:rsidP="0032262C">
      <w:pPr>
        <w:pStyle w:val="Heading1"/>
        <w:rPr>
          <w:lang w:val="es-419"/>
        </w:rPr>
      </w:pPr>
      <w:r w:rsidRPr="002232A4">
        <w:rPr>
          <w:lang w:val="es-419"/>
        </w:rPr>
        <w:t xml:space="preserve"> El Gobierno de Malí propone cumplir con la reducción del 100 % de su consumo básico de referencia de HCFC para 2030 y mantener un consumo anual máximo de HCFC en el período de 2030 a 2040 en consonancia con el artículo 5, párrafo 8 ter (e) i) del Protocolo de Montreal</w:t>
      </w:r>
      <w:r w:rsidRPr="002232A4">
        <w:rPr>
          <w:vertAlign w:val="superscript"/>
          <w:lang w:val="es-419"/>
        </w:rPr>
        <w:footnoteReference w:id="10"/>
      </w:r>
      <w:r w:rsidRPr="002232A4">
        <w:rPr>
          <w:lang w:val="es-419"/>
        </w:rPr>
        <w:t>. La etapa II del PGEH comprende medidas tales como la elaboración más detallada del marco jurídico y normativo para la reducción de los HCFC y la transición hacia tecnologías alternativas, incluida la prohibición de la importación de equipos que utilicen HCFC; la prohibición de la importación de sustancias controladas en cilindros no recargables a partir de enero de 2028; un estudio para abordar los calendarios de importación y los usos de los HCFC importados entre 2030 y 2040; y el compromiso del Gobierno de seguir estableciendo métodos estrictos de importación y control para supervisar los niveles de importación y los usos de los HCFC durante ese período, a fin de garantizar que se limiten a las condiciones establecidas por el Protocolo de Montreal, se llevará a cabo en el segundo tramo y se introducirán las regulaciones necesarias en el tercer tramo. La etapa II también incluye actividades para la puesta en marcha del programa de recuperación y reciclaje (RR), así como actividades de sensibilización y difusión de información. Los esfuerzos en materia de RR seguirán siendo esenciales para responder a las necesidades de refrigerantes durante el período 2030-2040.</w:t>
      </w:r>
    </w:p>
    <w:p w14:paraId="7A10AC44" w14:textId="77777777" w:rsidR="0032262C" w:rsidRPr="002232A4" w:rsidRDefault="0032262C" w:rsidP="0032262C">
      <w:pPr>
        <w:pStyle w:val="Heading1"/>
        <w:rPr>
          <w:lang w:val="es-419"/>
        </w:rPr>
      </w:pPr>
      <w:r w:rsidRPr="002232A4">
        <w:rPr>
          <w:lang w:val="es-419"/>
        </w:rPr>
        <w:t xml:space="preserve">En consonancia con la decisión 86/51, para permitir el examen del tramo final de su PGEH, el Gobierno de Malí acordó presentar una descripción detallada del marco normativo y de políticas en vigor para aplicar medidas que garanticen que el consumo de HCFC se ajusta a lo dispuesto en el párrafo 8 ter (e) i) del artículo 5 del Protocolo de Montreal para el período 2030-2040, y el consumo anual de HCFC previsto en el país para el período 2030-2040. </w:t>
      </w:r>
    </w:p>
    <w:p w14:paraId="6CADB658" w14:textId="77777777" w:rsidR="0032262C" w:rsidRPr="002232A4" w:rsidRDefault="0032262C" w:rsidP="0032262C">
      <w:pPr>
        <w:pStyle w:val="Heading1"/>
        <w:keepNext/>
        <w:numPr>
          <w:ilvl w:val="0"/>
          <w:numId w:val="0"/>
        </w:numPr>
        <w:spacing w:before="240"/>
        <w:rPr>
          <w:highlight w:val="magenta"/>
          <w:lang w:val="es-419"/>
        </w:rPr>
      </w:pPr>
      <w:bookmarkStart w:id="14" w:name="_Hlk126916111"/>
      <w:r w:rsidRPr="002232A4">
        <w:rPr>
          <w:u w:val="single"/>
          <w:lang w:val="es-419"/>
        </w:rPr>
        <w:lastRenderedPageBreak/>
        <w:t>Marco jurídico</w:t>
      </w:r>
      <w:r w:rsidRPr="002232A4">
        <w:rPr>
          <w:lang w:val="es-419"/>
        </w:rPr>
        <w:t xml:space="preserve"> </w:t>
      </w:r>
    </w:p>
    <w:p w14:paraId="5F3941BB" w14:textId="77777777" w:rsidR="0032262C" w:rsidRPr="002232A4" w:rsidRDefault="0032262C" w:rsidP="0032262C">
      <w:pPr>
        <w:pStyle w:val="Heading1"/>
        <w:rPr>
          <w:lang w:val="es-419"/>
        </w:rPr>
      </w:pPr>
      <w:r w:rsidRPr="002232A4">
        <w:rPr>
          <w:lang w:val="es-419"/>
        </w:rPr>
        <w:t xml:space="preserve">La Secretaría preguntó por las cuotas asignadas entre 2020 y 2025, que han ido disminuyendo gradualmente desde 2020. Todas las cuotas entre 2020 y 2024 están muy por debajo del objetivo de cumplimiento de 9,8 toneladas PAO establecido en el Protocolo de Montreal. El Gobierno de Malí ha fijado las cuotas de importación de HCFC para 2025 en 4,40 toneladas PAO, cantidad inferior al objetivo de cumplimiento de 4,88 toneladas PAO establecido en el Protocolo de Montreal. Las cuotas para los años siguientes se seguirán asignando de acuerdo con los objetivos establecidos en el acuerdo del país con el Comité Ejecutivo en el marco de la etapa II del PGEH. </w:t>
      </w:r>
    </w:p>
    <w:p w14:paraId="329B9533" w14:textId="77777777" w:rsidR="0032262C" w:rsidRPr="002232A4" w:rsidRDefault="0032262C" w:rsidP="0032262C">
      <w:pPr>
        <w:pStyle w:val="Heading1"/>
        <w:rPr>
          <w:lang w:val="es-419"/>
        </w:rPr>
      </w:pPr>
      <w:r w:rsidRPr="002232A4">
        <w:rPr>
          <w:lang w:val="es-419"/>
        </w:rPr>
        <w:t>En cuanto a la normativa sobre equipos que utilizan HCFC y cilindros no recargables, el PNUMA confirmó que el país prohibirá la importación de equipos que utilizan HCFC y la importación de sustancias controladas en cilindros no recargables a partir de enero de 2028. Malí ratificó la Enmienda de Kigali el 31 de marzo de 2017.</w:t>
      </w:r>
    </w:p>
    <w:bookmarkEnd w:id="14"/>
    <w:p w14:paraId="15B79F72" w14:textId="77777777" w:rsidR="0032262C" w:rsidRPr="002232A4" w:rsidRDefault="0032262C" w:rsidP="0032262C">
      <w:pPr>
        <w:keepNext/>
        <w:spacing w:before="240" w:after="240"/>
        <w:outlineLvl w:val="0"/>
        <w:rPr>
          <w:u w:val="single"/>
          <w:lang w:val="es-419"/>
        </w:rPr>
      </w:pPr>
      <w:r w:rsidRPr="002232A4">
        <w:rPr>
          <w:u w:val="single"/>
          <w:lang w:val="es-419"/>
        </w:rPr>
        <w:t xml:space="preserve">Cuestiones técnicas y de costos  </w:t>
      </w:r>
    </w:p>
    <w:p w14:paraId="406C8AB1" w14:textId="77777777" w:rsidR="0032262C" w:rsidRPr="002232A4" w:rsidRDefault="0032262C" w:rsidP="0032262C">
      <w:pPr>
        <w:pStyle w:val="Heading1"/>
        <w:rPr>
          <w:lang w:val="es-419"/>
        </w:rPr>
      </w:pPr>
      <w:r w:rsidRPr="002232A4">
        <w:rPr>
          <w:lang w:val="es-419"/>
        </w:rPr>
        <w:t xml:space="preserve">La Secretaría solicitó información adicional sobre la manera de hacer más completo el programa de capacitación, ya que hay 1.800 técnicos en el país, y el PNUMA aclaró que 730 de los 1.800 técnicos del país recibieron capacitación durante la etapa I, por lo que este proyecto tendría como objetivo capacitar a otros 500 técnicos, lo que constituiría la mayoría de los técnicos existentes. El PNUMA también aclaró que se espera que el sistema de certificación acabe siendo obligatorio y que el estudio prestará especial atención a proponer un sistema que sea sostenible más allá del final del PGEH (por ejemplo, las instituciones implicadas y su función, la fuente de financiación de los gastos recurrentes, como los evaluadores, la creación de niveles adicionales de certificación y los posibles costos para los técnicos). El PNUMA revisó la actividad 1.1 para incluir un estudio sobre el marco jurídico y normativo para la reserva para servicio técnico, que se describía en la descripción de la propuesta, pero no se incluía en el presupuesto. El presupuesto revisado no modificó ninguna de las demás actividades, sino que se ajustó a ellas y redujo el número de talleres de tres a dos, y se realizó un pequeño ajuste en la actualización del sistema de expedición de licencias y cuotas de importación para dar cabida al estudio de la reserva para servicio técnico. La distribución de los tramos se revisó de modo que el último tramo se produzca en 2030, según la decisión 62/17, en lugar de en 2029 como se había presentado inicialmente.  </w:t>
      </w:r>
    </w:p>
    <w:p w14:paraId="1F117D92" w14:textId="77777777" w:rsidR="0032262C" w:rsidRPr="002232A4" w:rsidRDefault="0032262C" w:rsidP="0032262C">
      <w:pPr>
        <w:keepNext/>
        <w:spacing w:before="240" w:after="240"/>
        <w:outlineLvl w:val="0"/>
        <w:rPr>
          <w:u w:val="single"/>
          <w:lang w:val="es-419"/>
        </w:rPr>
      </w:pPr>
      <w:r w:rsidRPr="002232A4">
        <w:rPr>
          <w:u w:val="single"/>
          <w:lang w:val="es-419"/>
        </w:rPr>
        <w:t>Costo total del proyecto</w:t>
      </w:r>
    </w:p>
    <w:p w14:paraId="7D0B18A3" w14:textId="77777777" w:rsidR="0032262C" w:rsidRPr="002232A4" w:rsidRDefault="0032262C" w:rsidP="0032262C">
      <w:pPr>
        <w:pStyle w:val="Heading1"/>
        <w:rPr>
          <w:lang w:val="es-419"/>
        </w:rPr>
      </w:pPr>
      <w:r w:rsidRPr="002232A4">
        <w:rPr>
          <w:lang w:val="es-419"/>
        </w:rPr>
        <w:t>El costo total de la etapa II del PGEH asciende a USD 1.040.000, de acuerdo con la decisión 74/50(c)(xii) sobre el nivel de financiación admisible para un país de bajo consumo y la decisión 96/23. La financiación del primer tramo se acordó tal y como se presentó.</w:t>
      </w:r>
    </w:p>
    <w:p w14:paraId="2DBD13CF" w14:textId="77777777" w:rsidR="0032262C" w:rsidRPr="002232A4" w:rsidRDefault="0032262C" w:rsidP="0032262C">
      <w:pPr>
        <w:keepNext/>
        <w:spacing w:before="240" w:after="240"/>
        <w:rPr>
          <w:lang w:val="es-419"/>
        </w:rPr>
      </w:pPr>
      <w:bookmarkStart w:id="15" w:name="_Hlk126916178"/>
      <w:r w:rsidRPr="002232A4">
        <w:rPr>
          <w:u w:val="single"/>
          <w:lang w:val="es-419"/>
        </w:rPr>
        <w:t>Plan de implementación acordado para el primer tramo de la etapa II del PGEH</w:t>
      </w:r>
    </w:p>
    <w:p w14:paraId="49ADC9EF" w14:textId="77777777" w:rsidR="0032262C" w:rsidRPr="002232A4" w:rsidRDefault="0032262C" w:rsidP="0032262C">
      <w:pPr>
        <w:pStyle w:val="Heading1"/>
        <w:rPr>
          <w:lang w:val="es-419"/>
        </w:rPr>
      </w:pPr>
      <w:r w:rsidRPr="002232A4">
        <w:rPr>
          <w:lang w:val="es-419"/>
        </w:rPr>
        <w:t xml:space="preserve">El plan de acción acordado incluirá las siguientes actividades: </w:t>
      </w:r>
    </w:p>
    <w:p w14:paraId="2B28B895" w14:textId="77777777" w:rsidR="0032262C" w:rsidRPr="002232A4" w:rsidRDefault="0032262C" w:rsidP="0032262C">
      <w:pPr>
        <w:pStyle w:val="Heading2"/>
        <w:widowControl/>
        <w:numPr>
          <w:ilvl w:val="1"/>
          <w:numId w:val="1"/>
        </w:numPr>
        <w:ind w:left="1440" w:hanging="720"/>
        <w:rPr>
          <w:lang w:val="es-419"/>
        </w:rPr>
      </w:pPr>
      <w:r w:rsidRPr="002232A4">
        <w:rPr>
          <w:i/>
          <w:iCs/>
          <w:lang w:val="es-419"/>
        </w:rPr>
        <w:t>Fortalecimiento del marco jurídico y normativo para apoyar la eliminación de los HCFC:</w:t>
      </w:r>
      <w:r w:rsidRPr="002232A4">
        <w:rPr>
          <w:lang w:val="es-419"/>
        </w:rPr>
        <w:t xml:space="preserve"> </w:t>
      </w:r>
      <w:r w:rsidRPr="002232A4">
        <w:rPr>
          <w:i/>
          <w:lang w:val="es-419"/>
        </w:rPr>
        <w:t>(PNUMA) (USD 100.000)</w:t>
      </w:r>
      <w:r w:rsidRPr="002232A4">
        <w:rPr>
          <w:lang w:val="es-419"/>
        </w:rPr>
        <w:t xml:space="preserve"> Actualización del sistema de emisión de licencias y cuotas de importación de HCFC con un taller (USD 13.000); mejora de la presentación de informes de datos (USD 18.000); introducción y aplicación de prohibiciones de importación y restricciones a la instalación de equipos que utilizan HCFC y prohibición de la importación de sustancias controladas en cilindros no recargables (USD 2.000); preparación y difusión de la guía sobre la legislación relativa a las SAO y los HFC con un seminario de sensibilización (USD 14.000); recopilación de información sobre talleres y técnicos de servicio y mantenimiento de RAC, incluido el sector informal (USD 23.000); creación y mantenimiento de un sitio web con la legislación pertinente y explicaciones para cada </w:t>
      </w:r>
      <w:r w:rsidRPr="002232A4">
        <w:rPr>
          <w:lang w:val="es-419"/>
        </w:rPr>
        <w:lastRenderedPageBreak/>
        <w:t>grupo de partes interesadas (USD 10.000); y elaboración de normas y protocolos sobre el uso de sustancias inflamables y/o tóxicas en equipos de RAC (USD 20.000);</w:t>
      </w:r>
    </w:p>
    <w:p w14:paraId="543DEF0A" w14:textId="77777777" w:rsidR="0032262C" w:rsidRPr="002232A4" w:rsidRDefault="0032262C" w:rsidP="0032262C">
      <w:pPr>
        <w:pStyle w:val="Heading2"/>
        <w:widowControl/>
        <w:numPr>
          <w:ilvl w:val="1"/>
          <w:numId w:val="1"/>
        </w:numPr>
        <w:ind w:left="1440" w:hanging="720"/>
        <w:rPr>
          <w:lang w:val="es-419"/>
        </w:rPr>
      </w:pPr>
      <w:r w:rsidRPr="002232A4">
        <w:rPr>
          <w:i/>
          <w:iCs/>
          <w:lang w:val="es-419"/>
        </w:rPr>
        <w:t xml:space="preserve">Mejora de la capacidad de los técnicos de RAC: </w:t>
      </w:r>
      <w:r w:rsidRPr="002232A4">
        <w:rPr>
          <w:i/>
          <w:lang w:val="es-419"/>
        </w:rPr>
        <w:t>(PNUMA) (USD 96.500)</w:t>
      </w:r>
      <w:r w:rsidRPr="002232A4">
        <w:rPr>
          <w:lang w:val="es-419"/>
        </w:rPr>
        <w:t xml:space="preserve"> Actualización del plan de estudios de las escuelas de formación profesional (USD 5.000); capacitación de 225 técnicos de RAC en buenas prácticas de servicio y mantenimiento (USD 45.000); establecimiento de un sistema de certificación para técnicos de RAC y aplicación de la certificación nacional en el sector de RAC (USD 30.000); programa de desarrollo de capacidades para técnicos del sector informal (USD 9.000); y campaña específica para estudiar en institutos de capacitación de RAC (USD 7.500);</w:t>
      </w:r>
    </w:p>
    <w:p w14:paraId="67083456" w14:textId="77777777" w:rsidR="0032262C" w:rsidRPr="002232A4" w:rsidRDefault="0032262C" w:rsidP="0032262C">
      <w:pPr>
        <w:pStyle w:val="Heading2"/>
        <w:widowControl/>
        <w:numPr>
          <w:ilvl w:val="1"/>
          <w:numId w:val="1"/>
        </w:numPr>
        <w:ind w:left="1440" w:hanging="720"/>
        <w:rPr>
          <w:lang w:val="es-419"/>
        </w:rPr>
      </w:pPr>
      <w:r w:rsidRPr="002232A4">
        <w:rPr>
          <w:i/>
          <w:iCs/>
          <w:lang w:val="es-419"/>
        </w:rPr>
        <w:t xml:space="preserve">Capacitación de funcionarios de aduanas y agentes encargados de hacer cumplir la ley: </w:t>
      </w:r>
      <w:r w:rsidRPr="002232A4">
        <w:rPr>
          <w:i/>
          <w:lang w:val="es-419"/>
        </w:rPr>
        <w:t>(PNUMA) (USD 60.000)</w:t>
      </w:r>
      <w:r w:rsidRPr="002232A4">
        <w:rPr>
          <w:lang w:val="es-419"/>
        </w:rPr>
        <w:t xml:space="preserve"> Capacitación de 180 funcionarios de aduanas (USD 43.000); preparación y distribución de carteles y otro material informativo con las principales normas y reglamentos sobre la importación de sustancias controladas y una indicación clara de los códigos aduaneros (USD 2.000); y reuniones para fortalecer la colaboración transfronteriza en la subregión de la UEMOA entre funcionarios de aduanas y de aplicación de la ley (USD 15.000);</w:t>
      </w:r>
    </w:p>
    <w:p w14:paraId="40CCC20D" w14:textId="77777777" w:rsidR="0032262C" w:rsidRPr="002232A4" w:rsidRDefault="0032262C" w:rsidP="0032262C">
      <w:pPr>
        <w:pStyle w:val="Heading2"/>
        <w:widowControl/>
        <w:numPr>
          <w:ilvl w:val="1"/>
          <w:numId w:val="1"/>
        </w:numPr>
        <w:tabs>
          <w:tab w:val="left" w:pos="720"/>
        </w:tabs>
        <w:ind w:left="1440" w:hanging="720"/>
        <w:rPr>
          <w:b/>
          <w:bCs/>
          <w:lang w:val="es-419"/>
        </w:rPr>
      </w:pPr>
      <w:r w:rsidRPr="002232A4">
        <w:rPr>
          <w:i/>
          <w:iCs/>
          <w:lang w:val="es-419"/>
        </w:rPr>
        <w:t xml:space="preserve">Fortalecimiento de las capacidades técnicas para la gestión de la refrigeración: </w:t>
      </w:r>
      <w:r w:rsidRPr="002232A4">
        <w:rPr>
          <w:i/>
          <w:lang w:val="es-419"/>
        </w:rPr>
        <w:t>(PNUD) (USD 246.500)</w:t>
      </w:r>
      <w:r w:rsidRPr="002232A4">
        <w:rPr>
          <w:lang w:val="es-419"/>
        </w:rPr>
        <w:t xml:space="preserve"> Fortalecimiento de las capacidades técnicas de los centros de capacitación en refrigerantes alternativos mediante la adquisición de todo el equipo para los centros de capacitación y la capacitación de 200 técnicos (USD 126.200); y establecimiento de un sistema de recuperación y reciclaje (USD 120.300); y</w:t>
      </w:r>
    </w:p>
    <w:p w14:paraId="0A3D3B67" w14:textId="77777777" w:rsidR="0032262C" w:rsidRPr="002232A4" w:rsidRDefault="0032262C" w:rsidP="0032262C">
      <w:pPr>
        <w:pStyle w:val="Heading2"/>
        <w:widowControl/>
        <w:numPr>
          <w:ilvl w:val="1"/>
          <w:numId w:val="1"/>
        </w:numPr>
        <w:ind w:left="1440" w:hanging="720"/>
        <w:rPr>
          <w:lang w:val="es-419"/>
        </w:rPr>
      </w:pPr>
      <w:r w:rsidRPr="002232A4">
        <w:rPr>
          <w:i/>
          <w:iCs/>
          <w:lang w:val="es-419"/>
        </w:rPr>
        <w:t xml:space="preserve">Supervisión del proyecto: </w:t>
      </w:r>
      <w:r w:rsidRPr="002232A4">
        <w:rPr>
          <w:i/>
          <w:lang w:val="es-419"/>
        </w:rPr>
        <w:t>(PNUMA) (USD 20.000)</w:t>
      </w:r>
      <w:r w:rsidRPr="002232A4">
        <w:rPr>
          <w:lang w:val="es-419"/>
        </w:rPr>
        <w:t xml:space="preserve"> Honorarios de dos consultores contratados localmente (USD 15.000) y gastos de viaje (USD 5.000).</w:t>
      </w:r>
    </w:p>
    <w:p w14:paraId="6A1C8740" w14:textId="77777777" w:rsidR="0032262C" w:rsidRPr="002232A4" w:rsidRDefault="0032262C" w:rsidP="0032262C">
      <w:pPr>
        <w:keepNext/>
        <w:spacing w:after="240"/>
        <w:outlineLvl w:val="0"/>
        <w:rPr>
          <w:bCs/>
          <w:u w:val="single"/>
          <w:lang w:val="es-419"/>
        </w:rPr>
      </w:pPr>
      <w:r w:rsidRPr="002232A4">
        <w:rPr>
          <w:bCs/>
          <w:u w:val="single"/>
          <w:lang w:val="es-419"/>
        </w:rPr>
        <w:t>Cofinanciación</w:t>
      </w:r>
    </w:p>
    <w:p w14:paraId="637DA23A" w14:textId="77777777" w:rsidR="0032262C" w:rsidRPr="002232A4" w:rsidRDefault="0032262C" w:rsidP="0032262C">
      <w:pPr>
        <w:pStyle w:val="Heading1"/>
        <w:rPr>
          <w:lang w:val="es-419"/>
        </w:rPr>
      </w:pPr>
      <w:r w:rsidRPr="002232A4">
        <w:rPr>
          <w:lang w:val="es-419"/>
        </w:rPr>
        <w:t>El Gobierno aportará contribuciones en especie mediante el apoyo a la coordinación y gestión del PGEH, la provisión de oficinas, la asignación de personal local temporal para ayudar en las reuniones y talleres, y la organización del transporte para los participantes en las reuniones y talleres.</w:t>
      </w:r>
    </w:p>
    <w:p w14:paraId="65C56E33" w14:textId="77777777" w:rsidR="0032262C" w:rsidRPr="002232A4" w:rsidRDefault="0032262C" w:rsidP="0032262C">
      <w:pPr>
        <w:keepNext/>
        <w:spacing w:after="240"/>
        <w:outlineLvl w:val="0"/>
        <w:rPr>
          <w:bCs/>
          <w:u w:val="single"/>
          <w:lang w:val="es-419"/>
        </w:rPr>
      </w:pPr>
      <w:r w:rsidRPr="002232A4">
        <w:rPr>
          <w:bCs/>
          <w:u w:val="single"/>
          <w:lang w:val="es-419"/>
        </w:rPr>
        <w:t>Borrador del plan administrativo 2025-2027 del Fondo Multilateral</w:t>
      </w:r>
    </w:p>
    <w:p w14:paraId="62218047" w14:textId="77777777" w:rsidR="0032262C" w:rsidRPr="002232A4" w:rsidRDefault="0032262C" w:rsidP="0032262C">
      <w:pPr>
        <w:pStyle w:val="Heading1"/>
        <w:rPr>
          <w:lang w:val="es-419"/>
        </w:rPr>
      </w:pPr>
      <w:r w:rsidRPr="002232A4">
        <w:rPr>
          <w:lang w:val="es-419"/>
        </w:rPr>
        <w:t>El PNUMA y el PNUD solicitan USD 1.040.000, más los costos de apoyo del organismo, para la ejecución de la etapa II del PGEH de Malí. El valor total solicitado de USD 1.031.590, que incluye los gastos de apoyo de los organismos para el período de 2025-2027, es superior en USD 531.460 a la cantidad indicada en el plan administrativo. El plan administrativo incluía USD 135.600 para actividades adicionales destinadas a mantener la eficiencia energética de conformidad con la decisión 89/6, que no se presentó a esta reunión.</w:t>
      </w:r>
    </w:p>
    <w:p w14:paraId="3A431742" w14:textId="77777777" w:rsidR="0032262C" w:rsidRPr="002232A4" w:rsidRDefault="0032262C" w:rsidP="0032262C">
      <w:pPr>
        <w:keepNext/>
        <w:spacing w:after="240"/>
        <w:rPr>
          <w:iCs/>
          <w:u w:val="single"/>
          <w:lang w:val="es-419"/>
        </w:rPr>
      </w:pPr>
      <w:r w:rsidRPr="002232A4">
        <w:rPr>
          <w:iCs/>
          <w:u w:val="single"/>
          <w:lang w:val="es-419"/>
        </w:rPr>
        <w:t>Aplicación de la política de género</w:t>
      </w:r>
    </w:p>
    <w:p w14:paraId="3AE0154B" w14:textId="77777777" w:rsidR="0032262C" w:rsidRPr="002232A4" w:rsidRDefault="0032262C" w:rsidP="0032262C">
      <w:pPr>
        <w:pStyle w:val="Heading1"/>
        <w:rPr>
          <w:lang w:val="es-419"/>
        </w:rPr>
      </w:pPr>
      <w:r w:rsidRPr="002232A4">
        <w:rPr>
          <w:lang w:val="es-419"/>
        </w:rPr>
        <w:t xml:space="preserve">De conformidad con las decisiones 84/92(d), 90/48(c) y 92/40(b), el Gobierno de Malí ha incorporado la política de género del Fondo Multilateral en la preparación y formulación del proyecto de la etapa II del PGEH. Durante la preparación del proyecto, se llevó a cabo una evaluación y las recomendaciones de esta evaluación se han incorporado a las actividades del proyecto en la etapa II. De los consultores contratados durante la ejecución del proyecto, el 15 % eran mujeres, y el 25 % del personal de la ONO estaba compuesto por mujeres. Durante la etapa II, la ONO seguirá recopilando y comunicando datos desglosados, velando por que todos los materiales de capacitación e información alienten a las mujeres a participar en las sesiones de capacitación y las consultas, organizando o añadiendo sesiones de </w:t>
      </w:r>
      <w:r w:rsidRPr="002232A4">
        <w:rPr>
          <w:lang w:val="es-419"/>
        </w:rPr>
        <w:lastRenderedPageBreak/>
        <w:t>capacitación específicas y haciendo un seguimiento del número de mujeres y hombres que participan en la ejecución del proyecto. La organización de una campaña específica para fomentar la elección de la profesión de técnico de RAC se incluye como actividad en la etapa II del PGEH.</w:t>
      </w:r>
    </w:p>
    <w:p w14:paraId="419DC1AD" w14:textId="77777777" w:rsidR="0032262C" w:rsidRPr="002232A4" w:rsidRDefault="0032262C" w:rsidP="0032262C">
      <w:pPr>
        <w:keepNext/>
        <w:spacing w:after="240"/>
        <w:rPr>
          <w:u w:val="single"/>
          <w:lang w:val="es-419"/>
        </w:rPr>
      </w:pPr>
      <w:r w:rsidRPr="002232A4">
        <w:rPr>
          <w:u w:val="single"/>
          <w:lang w:val="es-419"/>
        </w:rPr>
        <w:t>Sostenibilidad de la eliminación de los HCFC y evaluación de los riesgos</w:t>
      </w:r>
    </w:p>
    <w:p w14:paraId="5C1BE51C" w14:textId="77777777" w:rsidR="0032262C" w:rsidRPr="002232A4" w:rsidRDefault="0032262C" w:rsidP="0032262C">
      <w:pPr>
        <w:pStyle w:val="Heading1"/>
        <w:rPr>
          <w:lang w:val="es-419"/>
        </w:rPr>
      </w:pPr>
      <w:r w:rsidRPr="002232A4">
        <w:rPr>
          <w:lang w:val="es-419"/>
        </w:rPr>
        <w:t>Los principales riesgos para la implementación exitosa del proyecto y su sostenibilidad incluyen la inestabilidad política, la disminución de la capacidad de la ONO y la inestabilidad en la ONO, la disminución de la participación de las partes interesadas, la disminución del mantenimiento de los mecanismos de aplicación y la falta de capacidad moderna de servicio y mantenimiento. Estos riesgos se han abordado satisfactoriamente mediante las actividades, que son más exhaustivas y están mejor diseñadas en comparación con la etapa I del PGEH. El Gobierno de Malí seguirá aplicando medidas para controlar y supervisar el consumo de HCFC a través de su sistema nacional de cuotas de HCFC, al tiempo que promoverá la adopción de alternativas mediante las diferentes actividades previstas en la etapa II del PGEH, así como la introducción de una prohibición de la importación de equipos que utilicen HCFC y una prohibición de la importación de sustancias controladas en cilindros no recargables a partir de enero de 2028. Entre las iniciativas adicionales se incluyen la capacitación continua de técnicos, el suministro de equipos a instituciones de capacitación para formar a técnicos en buenas prácticas de servicio y mantenimiento y aspectos de seguridad en el uso de refrigerantes inflamables, la promoción de técnicos capacitados para el mantenimiento de equipos de refrigeración, aire acondicionado y bombas de calor, así como el establecimiento de un sistema de certificación, la creación del sistema RR y la aplicación de medidas para apoyar la adopción segura de alternativas inflamables en diversas aplicaciones. Estas iniciativas se basarán en las actividades implementadas en la etapa anterior del PGEH. La gestión y supervisión de las actividades de la etapa II se llevarán a cabo bajo la supervisión de la ONO, en colaboración con el Ministerio de Medio Ambiente, Saneamiento y Desarrollo Sostenible, con el fin de garantizar una implementación puntual y eficaz. Mediante este enfoque integral, el Gobierno minimizará los riesgos de incumplimiento de los objetivos de consumo de HCFC y garantizará la sostenibilidad de la eliminación de los HCFC.</w:t>
      </w:r>
    </w:p>
    <w:p w14:paraId="35314627" w14:textId="77777777" w:rsidR="0032262C" w:rsidRPr="002232A4" w:rsidRDefault="0032262C" w:rsidP="0032262C">
      <w:pPr>
        <w:keepNext/>
        <w:spacing w:after="240"/>
        <w:rPr>
          <w:u w:val="single"/>
          <w:lang w:val="es-419"/>
        </w:rPr>
      </w:pPr>
      <w:r w:rsidRPr="002232A4">
        <w:rPr>
          <w:u w:val="single"/>
          <w:lang w:val="es-419"/>
        </w:rPr>
        <w:t>Impacto sobre el clima</w:t>
      </w:r>
    </w:p>
    <w:bookmarkEnd w:id="15"/>
    <w:p w14:paraId="3E5D1DFC" w14:textId="77777777" w:rsidR="0032262C" w:rsidRPr="002232A4" w:rsidRDefault="0032262C" w:rsidP="0032262C">
      <w:pPr>
        <w:pStyle w:val="Heading1"/>
        <w:rPr>
          <w:lang w:val="es-419"/>
        </w:rPr>
      </w:pPr>
      <w:r w:rsidRPr="002232A4">
        <w:rPr>
          <w:lang w:val="es-419"/>
        </w:rPr>
        <w:t>Las actividades propuestas en el sector de servicio y mantenimiento, que incluyen una mejor contención de refrigerantes mediante la capacitación y el suministro de equipos, reducirán el uso de HCFC-22 en las tareas de servicio y mantenimiento. Cada kilogramo de HCFC-22 no emitido debido a mejores prácticas de refrigeración permite economizar unas 1,8 toneladas equivalentes de CO</w:t>
      </w:r>
      <w:r w:rsidRPr="002232A4">
        <w:rPr>
          <w:vertAlign w:val="subscript"/>
          <w:lang w:val="es-419"/>
        </w:rPr>
        <w:t>2</w:t>
      </w:r>
      <w:r w:rsidRPr="002232A4">
        <w:rPr>
          <w:lang w:val="es-419"/>
        </w:rPr>
        <w:t xml:space="preserve">. Si bien en el PGEH no se incluyó un cálculo de la repercusión en el clima, las actividades planificadas por Malí, especialmente sus esfuerzos por promover alternativas de bajo PCA, y la recuperación y reutilización de refrigerantes, indican que la ejecución de la etapa II del PGEH reducirá la emisión de refrigerantes a la atmósfera, lo que, en consecuencia, beneficiará al clima.  </w:t>
      </w:r>
    </w:p>
    <w:p w14:paraId="155421E5" w14:textId="77777777" w:rsidR="0032262C" w:rsidRPr="002232A4" w:rsidRDefault="0032262C" w:rsidP="0032262C">
      <w:pPr>
        <w:keepNext/>
        <w:spacing w:after="240"/>
        <w:outlineLvl w:val="0"/>
        <w:rPr>
          <w:bCs/>
          <w:u w:val="single"/>
          <w:lang w:val="es-419"/>
        </w:rPr>
      </w:pPr>
      <w:bookmarkStart w:id="16" w:name="_Hlk126916245"/>
      <w:r w:rsidRPr="002232A4">
        <w:rPr>
          <w:bCs/>
          <w:u w:val="single"/>
          <w:lang w:val="es-419"/>
        </w:rPr>
        <w:t>Proyecto de Acuerdo</w:t>
      </w:r>
    </w:p>
    <w:bookmarkEnd w:id="16"/>
    <w:p w14:paraId="57A4FD65" w14:textId="77777777" w:rsidR="0032262C" w:rsidRPr="002232A4" w:rsidRDefault="0032262C" w:rsidP="0032262C">
      <w:pPr>
        <w:pStyle w:val="Heading1"/>
        <w:rPr>
          <w:lang w:val="es-419"/>
        </w:rPr>
      </w:pPr>
      <w:r w:rsidRPr="002232A4">
        <w:rPr>
          <w:lang w:val="es-419"/>
        </w:rPr>
        <w:t>Un proyecto de acuerdo entre el Gobierno de Malí y el Comité Ejecutivo para la etapa II del PGEH se incluye en el anexo I del presente documento.</w:t>
      </w:r>
    </w:p>
    <w:p w14:paraId="6F99F629" w14:textId="77777777" w:rsidR="0032262C" w:rsidRPr="002232A4" w:rsidRDefault="0032262C" w:rsidP="0032262C">
      <w:pPr>
        <w:keepNext/>
        <w:autoSpaceDE w:val="0"/>
        <w:autoSpaceDN w:val="0"/>
        <w:adjustRightInd w:val="0"/>
        <w:spacing w:before="360" w:after="240"/>
        <w:outlineLvl w:val="0"/>
        <w:rPr>
          <w:b/>
          <w:lang w:val="es-419"/>
        </w:rPr>
      </w:pPr>
      <w:bookmarkStart w:id="17" w:name="_Hlk126916251"/>
      <w:r w:rsidRPr="002232A4">
        <w:rPr>
          <w:b/>
          <w:lang w:val="es-419"/>
        </w:rPr>
        <w:t>RECOMENDACIÓN</w:t>
      </w:r>
    </w:p>
    <w:bookmarkEnd w:id="17"/>
    <w:p w14:paraId="0085875F" w14:textId="77777777" w:rsidR="0032262C" w:rsidRPr="002232A4" w:rsidRDefault="0032262C" w:rsidP="0032262C">
      <w:pPr>
        <w:pStyle w:val="Heading1"/>
        <w:rPr>
          <w:lang w:val="es-419"/>
        </w:rPr>
      </w:pPr>
      <w:r w:rsidRPr="002232A4">
        <w:rPr>
          <w:lang w:val="es-419"/>
        </w:rPr>
        <w:t>El Comité Ejecutivo puede considerar oportuno:</w:t>
      </w:r>
    </w:p>
    <w:p w14:paraId="1DA70062" w14:textId="77777777" w:rsidR="0032262C" w:rsidRPr="002232A4" w:rsidRDefault="0032262C" w:rsidP="0032262C">
      <w:pPr>
        <w:numPr>
          <w:ilvl w:val="1"/>
          <w:numId w:val="1"/>
        </w:numPr>
        <w:spacing w:after="240"/>
        <w:ind w:left="1440" w:hanging="720"/>
        <w:outlineLvl w:val="1"/>
        <w:rPr>
          <w:lang w:val="es-419"/>
        </w:rPr>
      </w:pPr>
      <w:r w:rsidRPr="002232A4">
        <w:rPr>
          <w:lang w:val="es-419"/>
        </w:rPr>
        <w:t xml:space="preserve">Aprobar, en principio, la etapa II del PGEH de Malí, para el período comprendido entre 2025 y 2030, destinado a la eliminación completa del consumo de HCFC, por un monto de USD 1.148.640, que se desglosa en: USD 646.000, más los gastos de apoyo del organismo de USD 81.060 para el PNUMA, y USD 394.000, más los gastos de apoyo del organismo </w:t>
      </w:r>
      <w:r w:rsidRPr="002232A4">
        <w:rPr>
          <w:lang w:val="es-419"/>
        </w:rPr>
        <w:lastRenderedPageBreak/>
        <w:t>de USD 27.580 para el PNUD, a condición de que el Fondo Multilateral no proporcione más financiación para la eliminación de los HCFC;</w:t>
      </w:r>
    </w:p>
    <w:p w14:paraId="2AC68446" w14:textId="77777777" w:rsidR="0032262C" w:rsidRPr="002232A4" w:rsidRDefault="0032262C" w:rsidP="0032262C">
      <w:pPr>
        <w:numPr>
          <w:ilvl w:val="1"/>
          <w:numId w:val="1"/>
        </w:numPr>
        <w:spacing w:after="240"/>
        <w:ind w:left="1440" w:hanging="720"/>
        <w:outlineLvl w:val="1"/>
        <w:rPr>
          <w:lang w:val="es-419"/>
        </w:rPr>
      </w:pPr>
      <w:r w:rsidRPr="002232A4">
        <w:rPr>
          <w:lang w:val="es-419"/>
        </w:rPr>
        <w:t>Tomar nota del compromiso del Gobierno de Malí de eliminar completamente los HCFC para el 1º de enero de 2030 y de que no se importarían HCFC después de esa fecha, salvo la reserva para servicio técnico entre 2030 y 2040 cuando sea necesario, y de conformidad con las disposiciones del Protocolo de Montreal;</w:t>
      </w:r>
    </w:p>
    <w:p w14:paraId="1CCD3A26" w14:textId="77777777" w:rsidR="0032262C" w:rsidRPr="002232A4" w:rsidRDefault="0032262C" w:rsidP="0032262C">
      <w:pPr>
        <w:numPr>
          <w:ilvl w:val="1"/>
          <w:numId w:val="1"/>
        </w:numPr>
        <w:spacing w:after="240"/>
        <w:ind w:left="1440" w:hanging="720"/>
        <w:outlineLvl w:val="1"/>
        <w:rPr>
          <w:lang w:val="es-419"/>
        </w:rPr>
      </w:pPr>
      <w:r w:rsidRPr="002232A4">
        <w:rPr>
          <w:lang w:val="es-419"/>
        </w:rPr>
        <w:t>Tomar nota también de que el Gobierno de Malí prohibirá la importación de equipos que contengan HCFC y la importación de sustancias controladas en cilindros no recargables a partir del 1 de enero de 2028;</w:t>
      </w:r>
    </w:p>
    <w:p w14:paraId="083C954B" w14:textId="77777777" w:rsidR="0032262C" w:rsidRPr="002232A4" w:rsidRDefault="0032262C" w:rsidP="0032262C">
      <w:pPr>
        <w:numPr>
          <w:ilvl w:val="1"/>
          <w:numId w:val="1"/>
        </w:numPr>
        <w:spacing w:after="240"/>
        <w:ind w:left="1440" w:hanging="720"/>
        <w:outlineLvl w:val="1"/>
        <w:rPr>
          <w:lang w:val="es-419"/>
        </w:rPr>
      </w:pPr>
      <w:r w:rsidRPr="002232A4">
        <w:rPr>
          <w:lang w:val="es-419"/>
        </w:rPr>
        <w:t>Deducir 9,80 toneladas PAO de HCFC del consumo de HCFC remanente admisible para financiamiento;</w:t>
      </w:r>
    </w:p>
    <w:p w14:paraId="17381309" w14:textId="77777777" w:rsidR="0032262C" w:rsidRPr="002232A4" w:rsidRDefault="0032262C" w:rsidP="0032262C">
      <w:pPr>
        <w:numPr>
          <w:ilvl w:val="1"/>
          <w:numId w:val="1"/>
        </w:numPr>
        <w:spacing w:after="240"/>
        <w:ind w:left="1440" w:hanging="720"/>
        <w:outlineLvl w:val="1"/>
        <w:rPr>
          <w:lang w:val="es-419"/>
        </w:rPr>
      </w:pPr>
      <w:r w:rsidRPr="002232A4">
        <w:rPr>
          <w:lang w:val="es-419"/>
        </w:rPr>
        <w:t>Aprobar el proyecto de Acuerdo entre el Gobierno de Malí y el Comité Ejecutivo para la reducción en el consumo de HCFC, de conformidad con la etapa II del PGEH, como figura en el anexo I del presente documento;</w:t>
      </w:r>
    </w:p>
    <w:p w14:paraId="5D3F059D" w14:textId="77777777" w:rsidR="0032262C" w:rsidRPr="002232A4" w:rsidRDefault="0032262C" w:rsidP="0032262C">
      <w:pPr>
        <w:pStyle w:val="Heading2"/>
        <w:widowControl/>
        <w:numPr>
          <w:ilvl w:val="1"/>
          <w:numId w:val="1"/>
        </w:numPr>
        <w:ind w:left="1440" w:hanging="720"/>
        <w:rPr>
          <w:lang w:val="es-419"/>
        </w:rPr>
      </w:pPr>
      <w:r w:rsidRPr="002232A4">
        <w:rPr>
          <w:lang w:val="es-419"/>
        </w:rPr>
        <w:t>Que, para permitir el examen del tramo final de su PGEH, el Gobierno de Malí presente:</w:t>
      </w:r>
    </w:p>
    <w:p w14:paraId="55C74937" w14:textId="77777777" w:rsidR="0032262C" w:rsidRPr="0063408E" w:rsidRDefault="0032262C" w:rsidP="0063408E">
      <w:pPr>
        <w:pStyle w:val="ListParagraph"/>
        <w:numPr>
          <w:ilvl w:val="0"/>
          <w:numId w:val="16"/>
        </w:numPr>
        <w:spacing w:after="240"/>
        <w:ind w:left="2160" w:hanging="720"/>
        <w:outlineLvl w:val="2"/>
        <w:rPr>
          <w:lang w:val="es-419"/>
        </w:rPr>
      </w:pPr>
      <w:r w:rsidRPr="0063408E">
        <w:rPr>
          <w:lang w:val="es-419"/>
        </w:rPr>
        <w:t>Una descripción detallada del marco normativo y de políticas sectoriales que regula las medidas orientadas a garantizar que el consumo de HCFC en el período 2030-2040 cumpla con lo dispuesto en el párrafo 8 ter e) i) del artículo 5 del Protocolo de Montreal;</w:t>
      </w:r>
    </w:p>
    <w:p w14:paraId="595097CC" w14:textId="77777777" w:rsidR="0032262C" w:rsidRPr="002232A4" w:rsidRDefault="0032262C" w:rsidP="0063408E">
      <w:pPr>
        <w:pStyle w:val="Heading3"/>
        <w:widowControl/>
        <w:numPr>
          <w:ilvl w:val="0"/>
          <w:numId w:val="16"/>
        </w:numPr>
        <w:ind w:left="2160" w:hanging="720"/>
        <w:rPr>
          <w:lang w:val="es-419"/>
        </w:rPr>
      </w:pPr>
      <w:r w:rsidRPr="002232A4">
        <w:rPr>
          <w:lang w:val="es-419"/>
        </w:rPr>
        <w:t>El consumo anual de HCFC previsto en Malí para el período 2030-2040; y</w:t>
      </w:r>
    </w:p>
    <w:p w14:paraId="6106B66A" w14:textId="03DC5EA1" w:rsidR="002928B7" w:rsidRPr="002232A4" w:rsidRDefault="0032262C" w:rsidP="0032262C">
      <w:pPr>
        <w:numPr>
          <w:ilvl w:val="1"/>
          <w:numId w:val="1"/>
        </w:numPr>
        <w:spacing w:after="240"/>
        <w:ind w:left="1418" w:hanging="698"/>
        <w:outlineLvl w:val="1"/>
        <w:rPr>
          <w:lang w:val="es-419"/>
        </w:rPr>
      </w:pPr>
      <w:r w:rsidRPr="002232A4">
        <w:rPr>
          <w:lang w:val="es-419"/>
        </w:rPr>
        <w:t>Aprobar el primer tramo de la etapa II del PGEH de Malí, y el correspondiente plan de ejecución de tramos, por un monto de USD 574.950, que comprenden USD 276.500, más los gastos de apoyo del organismo de USD 34.695 para el PNUMA, y USD 246.500, más los gastos de apoyo del organismo de USD 17.255 para el PNUD</w:t>
      </w:r>
      <w:r w:rsidR="00563DA8" w:rsidRPr="002232A4">
        <w:rPr>
          <w:lang w:val="es-419"/>
        </w:rPr>
        <w:t>.</w:t>
      </w:r>
    </w:p>
    <w:p w14:paraId="4CDCE14D" w14:textId="77777777" w:rsidR="00FE237B" w:rsidRPr="002232A4" w:rsidRDefault="002928B7" w:rsidP="002928B7">
      <w:pPr>
        <w:jc w:val="left"/>
        <w:rPr>
          <w:lang w:val="es-419"/>
        </w:rPr>
        <w:sectPr w:rsidR="00FE237B" w:rsidRPr="002232A4" w:rsidSect="00321E96">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pgNumType w:start="1"/>
          <w:cols w:space="720"/>
          <w:titlePg/>
          <w:docGrid w:linePitch="299"/>
        </w:sectPr>
      </w:pPr>
      <w:r w:rsidRPr="002232A4">
        <w:rPr>
          <w:lang w:val="es-419"/>
        </w:rPr>
        <w:br w:type="page"/>
      </w:r>
    </w:p>
    <w:p w14:paraId="3182AB10" w14:textId="5AB50023" w:rsidR="00563DA8" w:rsidRPr="002232A4" w:rsidRDefault="00563DA8" w:rsidP="004A4122">
      <w:pPr>
        <w:spacing w:after="240"/>
        <w:jc w:val="center"/>
        <w:rPr>
          <w:b/>
          <w:bCs/>
          <w:lang w:val="es-419"/>
        </w:rPr>
      </w:pPr>
      <w:r w:rsidRPr="002232A4">
        <w:rPr>
          <w:b/>
          <w:bCs/>
          <w:lang w:val="es-419"/>
        </w:rPr>
        <w:lastRenderedPageBreak/>
        <w:t>An</w:t>
      </w:r>
      <w:r w:rsidR="00E62F88" w:rsidRPr="002232A4">
        <w:rPr>
          <w:b/>
          <w:bCs/>
          <w:lang w:val="es-419"/>
        </w:rPr>
        <w:t>exo</w:t>
      </w:r>
      <w:r w:rsidRPr="002232A4">
        <w:rPr>
          <w:b/>
          <w:bCs/>
          <w:lang w:val="es-419"/>
        </w:rPr>
        <w:t xml:space="preserve"> I</w:t>
      </w:r>
    </w:p>
    <w:p w14:paraId="7CE95D99" w14:textId="6F6C7335" w:rsidR="00563DA8" w:rsidRPr="002232A4" w:rsidRDefault="00B91761" w:rsidP="004A4122">
      <w:pPr>
        <w:jc w:val="center"/>
        <w:rPr>
          <w:b/>
          <w:lang w:val="es-419"/>
        </w:rPr>
      </w:pPr>
      <w:r w:rsidRPr="002232A4">
        <w:rPr>
          <w:b/>
          <w:caps/>
          <w:lang w:val="es-419"/>
        </w:rPr>
        <w:t>PROYECTO DE ACUERDO ENTRE EL GOBIERNO DE MALÍ Y EL COMITÉ EJECUTIVO DEL FONDO MULTILATERAL PARA LA REDUCCIÓN DEL CONSUMO DE HIDROCLOROFLUOROCARBUROS, DE CONFORMIDAD CON la ETAPA II DEL plan de gestión para la eliminación de LOS HCFC</w:t>
      </w:r>
    </w:p>
    <w:p w14:paraId="1FB8C027" w14:textId="228C34ED" w:rsidR="00563DA8" w:rsidRPr="002232A4" w:rsidRDefault="00345B9B" w:rsidP="004A4122">
      <w:pPr>
        <w:keepNext/>
        <w:spacing w:before="240" w:after="240"/>
        <w:rPr>
          <w:b/>
          <w:lang w:val="es-419"/>
        </w:rPr>
      </w:pPr>
      <w:r w:rsidRPr="002232A4">
        <w:rPr>
          <w:b/>
          <w:lang w:val="es-419"/>
        </w:rPr>
        <w:t>Objetivo</w:t>
      </w:r>
    </w:p>
    <w:p w14:paraId="099898DE" w14:textId="77777777" w:rsidR="00345B9B" w:rsidRPr="002232A4" w:rsidRDefault="00345B9B" w:rsidP="00DE7B81">
      <w:pPr>
        <w:pStyle w:val="Heading1"/>
        <w:numPr>
          <w:ilvl w:val="0"/>
          <w:numId w:val="8"/>
        </w:numPr>
        <w:tabs>
          <w:tab w:val="clear" w:pos="0"/>
        </w:tabs>
        <w:spacing w:before="240"/>
        <w:rPr>
          <w:lang w:val="es-419"/>
        </w:rPr>
      </w:pPr>
      <w:r w:rsidRPr="002232A4">
        <w:rPr>
          <w:lang w:val="es-419"/>
        </w:rPr>
        <w:t>El presente Acuerdo representa el entendimiento alcanzado entre el Gobierno de Malí (el País) y el Comité Ejecutivo respecto a la reducción del uso controlado de las sustancias que agotan la capa de ozono (SAO) indicadas en el Apéndice 1-A (Sustancias) hasta un nivel sostenido de cero toneladas PAO al 1º de enero de 2030, en cumplimiento con el calendario del Protocolo de Montreal.</w:t>
      </w:r>
    </w:p>
    <w:p w14:paraId="4710A29C" w14:textId="3EA26BBA" w:rsidR="00345B9B" w:rsidRPr="002232A4" w:rsidRDefault="00345B9B" w:rsidP="00DE7B81">
      <w:pPr>
        <w:pStyle w:val="Heading1"/>
        <w:numPr>
          <w:ilvl w:val="0"/>
          <w:numId w:val="8"/>
        </w:numPr>
        <w:tabs>
          <w:tab w:val="clear" w:pos="0"/>
        </w:tabs>
        <w:spacing w:before="240"/>
        <w:rPr>
          <w:lang w:val="es-419"/>
        </w:rPr>
      </w:pPr>
      <w:r w:rsidRPr="002232A4">
        <w:rPr>
          <w:lang w:val="es-419"/>
        </w:rPr>
        <w:t xml:space="preserve">El País conviene en ceñirse a los límites anuales de consumo que fijan el renglón 1.2 del Apéndice 2-A (Metas y financiamiento) y el calendario de reducción establecido en el Protocolo de Montreal para todas las Sustancias del Apéndice 1-A. Conviene asimismo en que, una vez aceptado el presente Acuerdo y cumplido el Comité Ejecutivo con las obligaciones de financiamiento del párrafo 3, el País no podrá solicitar ni recibir recursos adicionales del Fondo Multilateral respecto de consumos que excedan lo establecido en el renglón 1.2 del Apéndice 2-A como medida final de reducción para todas las Sustancias del Apéndice 1-A, como tampoco respecto del consumo individual de Sustancias que supere lo establecido en </w:t>
      </w:r>
      <w:r w:rsidR="002C0DF3">
        <w:rPr>
          <w:lang w:val="es-419"/>
        </w:rPr>
        <w:t>el</w:t>
      </w:r>
      <w:r w:rsidRPr="002232A4">
        <w:rPr>
          <w:lang w:val="es-419"/>
        </w:rPr>
        <w:t xml:space="preserve"> </w:t>
      </w:r>
      <w:r w:rsidR="00E47A5D" w:rsidRPr="002232A4">
        <w:rPr>
          <w:lang w:val="es-419"/>
        </w:rPr>
        <w:t>renglón</w:t>
      </w:r>
      <w:r w:rsidRPr="002232A4">
        <w:rPr>
          <w:lang w:val="es-419"/>
        </w:rPr>
        <w:t xml:space="preserve"> 4.1.3 (consumo remanente admisible para financiamiento).</w:t>
      </w:r>
    </w:p>
    <w:p w14:paraId="7CB462CE" w14:textId="77777777" w:rsidR="00345B9B" w:rsidRPr="002232A4" w:rsidRDefault="00345B9B" w:rsidP="00DE7B81">
      <w:pPr>
        <w:pStyle w:val="Heading1"/>
        <w:numPr>
          <w:ilvl w:val="0"/>
          <w:numId w:val="8"/>
        </w:numPr>
        <w:tabs>
          <w:tab w:val="clear" w:pos="0"/>
        </w:tabs>
        <w:spacing w:before="240"/>
        <w:rPr>
          <w:lang w:val="es-419"/>
        </w:rPr>
      </w:pPr>
      <w:r w:rsidRPr="002232A4">
        <w:rPr>
          <w:lang w:val="es-419"/>
        </w:rPr>
        <w:t>En tanto el País cumpla con lo aquí estipulado, el Comité Ejecutivo conviene, en principio, en otorgarle el financiamiento indicado en el renglón 3.1 del Apéndice 2-A. Ello se materializará, en principio, durante las reuniones del Comité que señala el Apéndice 3-A (Calendario de aprobación del financiamiento).</w:t>
      </w:r>
    </w:p>
    <w:p w14:paraId="29D590EC" w14:textId="2DA70D42" w:rsidR="00563DA8" w:rsidRPr="002232A4" w:rsidRDefault="00345B9B" w:rsidP="00DE7B81">
      <w:pPr>
        <w:pStyle w:val="Heading1"/>
        <w:numPr>
          <w:ilvl w:val="0"/>
          <w:numId w:val="8"/>
        </w:numPr>
        <w:tabs>
          <w:tab w:val="clear" w:pos="0"/>
        </w:tabs>
        <w:spacing w:before="240"/>
        <w:rPr>
          <w:lang w:val="es-419"/>
        </w:rPr>
      </w:pPr>
      <w:r w:rsidRPr="002232A4">
        <w:rPr>
          <w:lang w:val="es-419"/>
        </w:rPr>
        <w:t>El País acepta implementar el presente Acuerdo en el marco de la etapa II del plan de gestión para la eliminación de los HCFC aprobado (el Plan). Conforme al párrafo 5 b), acepta además que el correspondiente organismo bilateral o de ejecución encomiende a un ente independiente la verificación de los límites anuales de consumo que estipula el renglón 1.2 del Apéndice 2-A. La verificación mencionada anteriormente será encargada por el organismo bilateral o de ejecución pertinente</w:t>
      </w:r>
      <w:r w:rsidR="00563DA8" w:rsidRPr="002232A4">
        <w:rPr>
          <w:lang w:val="es-419"/>
        </w:rPr>
        <w:t>.</w:t>
      </w:r>
    </w:p>
    <w:p w14:paraId="01257465" w14:textId="6A9D30B1" w:rsidR="00563DA8" w:rsidRPr="002232A4" w:rsidRDefault="00345B9B" w:rsidP="004A4122">
      <w:pPr>
        <w:keepNext/>
        <w:spacing w:after="240"/>
        <w:rPr>
          <w:b/>
          <w:lang w:val="es-419"/>
        </w:rPr>
      </w:pPr>
      <w:r w:rsidRPr="002232A4">
        <w:rPr>
          <w:b/>
          <w:lang w:val="es-419"/>
        </w:rPr>
        <w:t>Condiciones para la entrega de los fondos</w:t>
      </w:r>
    </w:p>
    <w:p w14:paraId="14EF052F" w14:textId="47EBF5BD" w:rsidR="00563DA8" w:rsidRPr="002232A4" w:rsidRDefault="00345B9B" w:rsidP="004A4122">
      <w:pPr>
        <w:pStyle w:val="Heading1"/>
        <w:rPr>
          <w:lang w:val="es-419"/>
        </w:rPr>
      </w:pPr>
      <w:r w:rsidRPr="002232A4">
        <w:rPr>
          <w:lang w:val="es-419"/>
        </w:rPr>
        <w:t>El Comité Ejecutivo dispondrá la entrega del financiamiento previsto en el calendario de aprobación siempre que el País satisfaga las siguientes condiciones con al menos ocho semanas de antelación respecto de la reunión del Comité que corresponda según dicho calendario</w:t>
      </w:r>
      <w:r w:rsidR="00563DA8" w:rsidRPr="002232A4">
        <w:rPr>
          <w:lang w:val="es-419"/>
        </w:rPr>
        <w:t>:</w:t>
      </w:r>
    </w:p>
    <w:p w14:paraId="30A6A249" w14:textId="14467353" w:rsidR="00563DA8" w:rsidRPr="002232A4" w:rsidRDefault="00345B9B" w:rsidP="00A2075F">
      <w:pPr>
        <w:pStyle w:val="Heading2"/>
        <w:widowControl/>
        <w:numPr>
          <w:ilvl w:val="1"/>
          <w:numId w:val="1"/>
        </w:numPr>
        <w:tabs>
          <w:tab w:val="num" w:pos="-720"/>
        </w:tabs>
        <w:ind w:left="1440" w:hanging="720"/>
        <w:rPr>
          <w:lang w:val="es-419"/>
        </w:rPr>
      </w:pPr>
      <w:r w:rsidRPr="002232A4">
        <w:rPr>
          <w:lang w:val="es-419"/>
        </w:rPr>
        <w:t>Cumplir con las metas estipuladas en el renglón 1.2 del Apéndice 2-A para los años en cuestión, es decir, todos los transcurridos desde la aprobación del presente Acuerdo, salvo aquellos en que no existan informes de ejecución del programa país pendientes a la fecha de la reunión del Comité Ejecutivo en que se presente la solicitud de financiamiento</w:t>
      </w:r>
      <w:r w:rsidR="00563DA8" w:rsidRPr="002232A4">
        <w:rPr>
          <w:lang w:val="es-419"/>
        </w:rPr>
        <w:t>;</w:t>
      </w:r>
    </w:p>
    <w:p w14:paraId="03AC9112" w14:textId="31DA5B36" w:rsidR="00563DA8" w:rsidRPr="002232A4" w:rsidRDefault="00345B9B" w:rsidP="00A2075F">
      <w:pPr>
        <w:pStyle w:val="Heading2"/>
        <w:widowControl/>
        <w:numPr>
          <w:ilvl w:val="1"/>
          <w:numId w:val="1"/>
        </w:numPr>
        <w:tabs>
          <w:tab w:val="num" w:pos="-720"/>
        </w:tabs>
        <w:ind w:left="1440" w:hanging="720"/>
        <w:rPr>
          <w:lang w:val="es-419"/>
        </w:rPr>
      </w:pPr>
      <w:r w:rsidRPr="002232A4">
        <w:rPr>
          <w:lang w:val="es-419"/>
        </w:rPr>
        <w:t>Que salvo indicación en contrario del Comité Ejecutivo, una entidad independiente haya verificado el cumplimiento de las metas para todos los años de que se trate</w:t>
      </w:r>
      <w:r w:rsidR="00563DA8" w:rsidRPr="002232A4">
        <w:rPr>
          <w:lang w:val="es-419"/>
        </w:rPr>
        <w:t>;</w:t>
      </w:r>
    </w:p>
    <w:p w14:paraId="0E460066" w14:textId="6EDE926E" w:rsidR="00563DA8" w:rsidRPr="002232A4" w:rsidRDefault="00345B9B" w:rsidP="00A2075F">
      <w:pPr>
        <w:pStyle w:val="Heading2"/>
        <w:widowControl/>
        <w:numPr>
          <w:ilvl w:val="1"/>
          <w:numId w:val="1"/>
        </w:numPr>
        <w:tabs>
          <w:tab w:val="num" w:pos="-720"/>
        </w:tabs>
        <w:ind w:left="1440" w:hanging="720"/>
        <w:rPr>
          <w:lang w:val="es-419"/>
        </w:rPr>
      </w:pPr>
      <w:r w:rsidRPr="002232A4">
        <w:rPr>
          <w:lang w:val="es-419"/>
        </w:rPr>
        <w:t>Que el País presente para cada ejercicio anterior el informe de ejecución de tramo previsto en el Apéndice 4-A (Formato de informes y planes de ejecución de tramos); que las actividades iniciadas con cargo a tramos anteriormente aprobados muestren un nivel importante de ejecución, y que se haya desembolsado más del 20 por ciento de los recursos procedentes de dichos tramos; y</w:t>
      </w:r>
    </w:p>
    <w:p w14:paraId="2E8A0244" w14:textId="522CA639" w:rsidR="00563DA8" w:rsidRPr="002232A4" w:rsidRDefault="00345B9B" w:rsidP="00A2075F">
      <w:pPr>
        <w:pStyle w:val="Heading2"/>
        <w:widowControl/>
        <w:numPr>
          <w:ilvl w:val="1"/>
          <w:numId w:val="1"/>
        </w:numPr>
        <w:tabs>
          <w:tab w:val="num" w:pos="-720"/>
        </w:tabs>
        <w:ind w:left="1440" w:hanging="720"/>
        <w:rPr>
          <w:lang w:val="es-419"/>
        </w:rPr>
      </w:pPr>
      <w:r w:rsidRPr="002232A4">
        <w:rPr>
          <w:lang w:val="es-419"/>
        </w:rPr>
        <w:lastRenderedPageBreak/>
        <w:t>Que el País haya presentado para todos los ejercicios el plan de ejecución del tramo previsto en el Apéndice 4-A, inclusive el año en que el calendario de financiamiento contemple la presentación del tramo siguiente. Cuando se trate del último tramo, el plan deberá abarcar hasta el término de todas las actividades previstas</w:t>
      </w:r>
      <w:r w:rsidR="00563DA8" w:rsidRPr="002232A4">
        <w:rPr>
          <w:lang w:val="es-419"/>
        </w:rPr>
        <w:t>.</w:t>
      </w:r>
    </w:p>
    <w:p w14:paraId="7F85A52E" w14:textId="7847B3BB" w:rsidR="00563DA8" w:rsidRPr="002232A4" w:rsidRDefault="00345B9B" w:rsidP="004A4122">
      <w:pPr>
        <w:keepNext/>
        <w:spacing w:before="240" w:after="240"/>
        <w:rPr>
          <w:b/>
          <w:lang w:val="es-419"/>
        </w:rPr>
      </w:pPr>
      <w:r w:rsidRPr="002232A4">
        <w:rPr>
          <w:b/>
          <w:lang w:val="es-419"/>
        </w:rPr>
        <w:t>Supervisión</w:t>
      </w:r>
    </w:p>
    <w:p w14:paraId="451EE04A" w14:textId="136F81E3" w:rsidR="00563DA8" w:rsidRPr="002232A4" w:rsidRDefault="00345B9B" w:rsidP="004A4122">
      <w:pPr>
        <w:pStyle w:val="Heading1"/>
        <w:rPr>
          <w:lang w:val="es-419"/>
        </w:rPr>
      </w:pPr>
      <w:r w:rsidRPr="002232A4">
        <w:rPr>
          <w:lang w:val="es-419"/>
        </w:rPr>
        <w:t>El País se compromete a llevar un riguroso control de las actividades convenidas en el presente Acuerdo. En virtud de las funciones y responsabilidades contenidas en el Apéndice 5-A (Instituciones y funciones de supervisión), las entidades allí indicadas controlarán e informarán sobre la ejecución de las actividades previstas en los anteriores planes de ejecución de tramos</w:t>
      </w:r>
      <w:r w:rsidR="00563DA8" w:rsidRPr="002232A4">
        <w:rPr>
          <w:lang w:val="es-419"/>
        </w:rPr>
        <w:t>.</w:t>
      </w:r>
    </w:p>
    <w:p w14:paraId="4C8F61CE" w14:textId="21F6302F" w:rsidR="00563DA8" w:rsidRPr="002232A4" w:rsidRDefault="00DD4EE2" w:rsidP="004A4122">
      <w:pPr>
        <w:keepNext/>
        <w:spacing w:before="240" w:after="240"/>
        <w:rPr>
          <w:b/>
          <w:lang w:val="es-419"/>
        </w:rPr>
      </w:pPr>
      <w:r w:rsidRPr="002232A4">
        <w:rPr>
          <w:b/>
          <w:lang w:val="es-419"/>
        </w:rPr>
        <w:t>Flexibilidad en la reasignación de fondos</w:t>
      </w:r>
    </w:p>
    <w:p w14:paraId="33A7FD65" w14:textId="4839F78C" w:rsidR="00563DA8" w:rsidRPr="002232A4" w:rsidRDefault="00DD4EE2" w:rsidP="004A4122">
      <w:pPr>
        <w:pStyle w:val="Heading1"/>
        <w:rPr>
          <w:lang w:val="es-419"/>
        </w:rPr>
      </w:pPr>
      <w:r w:rsidRPr="002232A4">
        <w:rPr>
          <w:lang w:val="es-419"/>
        </w:rPr>
        <w:t>El Comité Ejecutivo acepta que, de convenir a la mejor reducción del consumo y eliminación de las Sustancias indicadas en el Apéndice 1-A, el País dispondrá de flexibilidad para reasignar total o parcialmente los fondos aprobados, como sigue</w:t>
      </w:r>
      <w:r w:rsidR="00563DA8" w:rsidRPr="002232A4">
        <w:rPr>
          <w:lang w:val="es-419"/>
        </w:rPr>
        <w:t>:</w:t>
      </w:r>
    </w:p>
    <w:p w14:paraId="4EB0D233" w14:textId="21B38B9B" w:rsidR="00563DA8" w:rsidRPr="002232A4" w:rsidRDefault="00DD4EE2" w:rsidP="00A2075F">
      <w:pPr>
        <w:pStyle w:val="Heading2"/>
        <w:widowControl/>
        <w:numPr>
          <w:ilvl w:val="1"/>
          <w:numId w:val="1"/>
        </w:numPr>
        <w:tabs>
          <w:tab w:val="num" w:pos="-720"/>
        </w:tabs>
        <w:ind w:left="1440" w:hanging="720"/>
        <w:rPr>
          <w:lang w:val="es-419"/>
        </w:rPr>
      </w:pPr>
      <w:r w:rsidRPr="002232A4">
        <w:rPr>
          <w:lang w:val="es-419"/>
        </w:rPr>
        <w:t>Las reasignaciones que supongan cambios significativos deberán documentarse por anticipado en el plan de ejecución del tramo previsto en el párrafo 5 d), o bien como ajuste a un plan existente que deberá presentarse a aprobación ocho semanas antes de la correspondiente sesión del Comité Ejecutivo. Por cambios significativos se entienden</w:t>
      </w:r>
      <w:r w:rsidR="00563DA8" w:rsidRPr="002232A4">
        <w:rPr>
          <w:lang w:val="es-419"/>
        </w:rPr>
        <w:t>:</w:t>
      </w:r>
    </w:p>
    <w:p w14:paraId="707CC571" w14:textId="0FDA84E1" w:rsidR="00563DA8" w:rsidRPr="002232A4" w:rsidRDefault="00DD4EE2" w:rsidP="004A4122">
      <w:pPr>
        <w:pStyle w:val="Heading3"/>
        <w:widowControl/>
        <w:rPr>
          <w:lang w:val="es-419"/>
        </w:rPr>
      </w:pPr>
      <w:r w:rsidRPr="002232A4">
        <w:rPr>
          <w:lang w:val="es-419"/>
        </w:rPr>
        <w:t>Materias que pudieran afectar al reglamento y las políticas del Fondo Multilateral</w:t>
      </w:r>
      <w:r w:rsidR="00563DA8" w:rsidRPr="002232A4">
        <w:rPr>
          <w:lang w:val="es-419"/>
        </w:rPr>
        <w:t>;</w:t>
      </w:r>
    </w:p>
    <w:p w14:paraId="7DAF74DC" w14:textId="373C6203" w:rsidR="00563DA8" w:rsidRPr="002232A4" w:rsidRDefault="00DD4EE2" w:rsidP="004A4122">
      <w:pPr>
        <w:pStyle w:val="Heading3"/>
        <w:widowControl/>
        <w:rPr>
          <w:lang w:val="es-419"/>
        </w:rPr>
      </w:pPr>
      <w:r w:rsidRPr="002232A4">
        <w:rPr>
          <w:lang w:val="es-419"/>
        </w:rPr>
        <w:t>Los que modifiquen las cláusulas de este Acuerdo</w:t>
      </w:r>
      <w:r w:rsidR="00563DA8" w:rsidRPr="002232A4">
        <w:rPr>
          <w:lang w:val="es-419"/>
        </w:rPr>
        <w:t>;</w:t>
      </w:r>
    </w:p>
    <w:p w14:paraId="4F232304" w14:textId="1B82905B" w:rsidR="00563DA8" w:rsidRPr="002232A4" w:rsidRDefault="00DD4EE2" w:rsidP="004A4122">
      <w:pPr>
        <w:pStyle w:val="Heading3"/>
        <w:widowControl/>
        <w:rPr>
          <w:lang w:val="es-419"/>
        </w:rPr>
      </w:pPr>
      <w:r w:rsidRPr="002232A4">
        <w:rPr>
          <w:lang w:val="es-419"/>
        </w:rPr>
        <w:t>Cambios en el nivel anual de financiamiento asignado a cada organismo bilateral o de ejecución para los distintos tramos</w:t>
      </w:r>
      <w:r w:rsidR="00563DA8" w:rsidRPr="002232A4">
        <w:rPr>
          <w:lang w:val="es-419"/>
        </w:rPr>
        <w:t>;</w:t>
      </w:r>
    </w:p>
    <w:p w14:paraId="12033D7A" w14:textId="0E039D02" w:rsidR="00563DA8" w:rsidRPr="002232A4" w:rsidRDefault="00DD4EE2" w:rsidP="004A4122">
      <w:pPr>
        <w:pStyle w:val="Heading3"/>
        <w:widowControl/>
        <w:rPr>
          <w:lang w:val="es-419"/>
        </w:rPr>
      </w:pPr>
      <w:r w:rsidRPr="002232A4">
        <w:rPr>
          <w:lang w:val="es-419"/>
        </w:rPr>
        <w:t>La entrega de recursos a actividades no contempladas en el plan de ejecución en curso o la eliminación de una actividad que sí lo esté, con un costo mayor al 30 por ciento del costo total del último tramo aprobado; y</w:t>
      </w:r>
    </w:p>
    <w:p w14:paraId="215A2FD0" w14:textId="26904FC1" w:rsidR="00563DA8" w:rsidRPr="002232A4" w:rsidRDefault="00DD4EE2" w:rsidP="004A4122">
      <w:pPr>
        <w:pStyle w:val="Heading3"/>
        <w:widowControl/>
        <w:rPr>
          <w:lang w:val="es-419"/>
        </w:rPr>
      </w:pPr>
      <w:r w:rsidRPr="002232A4">
        <w:rPr>
          <w:lang w:val="es-419"/>
        </w:rPr>
        <w:t xml:space="preserve">Cambios en las alternativas tecnológicas, en cuyo caso las solicitudes resultantes deberán precisar los respectivos sobrecostos, potencial impacto climático y diferencia en toneladas </w:t>
      </w:r>
      <w:r w:rsidRPr="002232A4">
        <w:rPr>
          <w:caps/>
          <w:lang w:val="es-419"/>
        </w:rPr>
        <w:t xml:space="preserve">pao </w:t>
      </w:r>
      <w:r w:rsidRPr="002232A4">
        <w:rPr>
          <w:lang w:val="es-419"/>
        </w:rPr>
        <w:t>a eliminar, de haberla, y confirmar que el País conviene en que un posible menor costo de la tecnología redundará en una disminución equivalente en el nivel general de financiamiento previsto en el Acuerdo</w:t>
      </w:r>
      <w:r w:rsidR="00563DA8" w:rsidRPr="002232A4">
        <w:rPr>
          <w:lang w:val="es-419"/>
        </w:rPr>
        <w:t>;</w:t>
      </w:r>
    </w:p>
    <w:p w14:paraId="1BE904C6" w14:textId="0FFA4653" w:rsidR="00563DA8" w:rsidRPr="002232A4" w:rsidRDefault="00DD4EE2" w:rsidP="00A2075F">
      <w:pPr>
        <w:pStyle w:val="Heading2"/>
        <w:widowControl/>
        <w:numPr>
          <w:ilvl w:val="1"/>
          <w:numId w:val="1"/>
        </w:numPr>
        <w:tabs>
          <w:tab w:val="num" w:pos="-720"/>
        </w:tabs>
        <w:ind w:left="1440" w:hanging="720"/>
        <w:rPr>
          <w:lang w:val="es-419"/>
        </w:rPr>
      </w:pPr>
      <w:r w:rsidRPr="002232A4">
        <w:rPr>
          <w:lang w:val="es-419"/>
        </w:rPr>
        <w:t>Las reasignaciones que no supongan cambios significativos podrán incorporarse al plan de ejecución en curso y notificarse al Comité Ejecutivo en el siguiente informe de ejecución del tramo; y</w:t>
      </w:r>
    </w:p>
    <w:p w14:paraId="5236411C" w14:textId="3F8E0F92" w:rsidR="00563DA8" w:rsidRPr="002232A4" w:rsidRDefault="00DD4EE2" w:rsidP="00A2075F">
      <w:pPr>
        <w:pStyle w:val="Heading2"/>
        <w:widowControl/>
        <w:numPr>
          <w:ilvl w:val="1"/>
          <w:numId w:val="1"/>
        </w:numPr>
        <w:tabs>
          <w:tab w:val="num" w:pos="-720"/>
        </w:tabs>
        <w:ind w:left="1440" w:hanging="720"/>
        <w:rPr>
          <w:lang w:val="es-419"/>
        </w:rPr>
      </w:pPr>
      <w:r w:rsidRPr="002232A4">
        <w:rPr>
          <w:lang w:val="es-419"/>
        </w:rPr>
        <w:t>Todo saldo que obre en poder de los organismos bilaterales o de ejecución o del País al concluir el último tramo previsto en este Acuerdo deberá ser reintegrado al Fondo Multilateral</w:t>
      </w:r>
      <w:r w:rsidR="00563DA8" w:rsidRPr="002232A4">
        <w:rPr>
          <w:lang w:val="es-419"/>
        </w:rPr>
        <w:t>.</w:t>
      </w:r>
    </w:p>
    <w:p w14:paraId="066CB6E0" w14:textId="7D4F9A3C" w:rsidR="00563DA8" w:rsidRPr="002232A4" w:rsidRDefault="00F93ED9" w:rsidP="004A4122">
      <w:pPr>
        <w:keepNext/>
        <w:spacing w:before="240" w:after="240"/>
        <w:rPr>
          <w:b/>
          <w:lang w:val="es-419"/>
        </w:rPr>
      </w:pPr>
      <w:r w:rsidRPr="002232A4">
        <w:rPr>
          <w:b/>
          <w:lang w:val="es-419"/>
        </w:rPr>
        <w:t>Consideraciones sobre el sector de servicio técnico de equipos de refrigeración</w:t>
      </w:r>
    </w:p>
    <w:p w14:paraId="13B071D7" w14:textId="7ACC67D0" w:rsidR="00563DA8" w:rsidRPr="002232A4" w:rsidRDefault="00F93ED9" w:rsidP="004A4122">
      <w:pPr>
        <w:pStyle w:val="Heading1"/>
        <w:rPr>
          <w:lang w:val="es-419"/>
        </w:rPr>
      </w:pPr>
      <w:r w:rsidRPr="002232A4">
        <w:rPr>
          <w:lang w:val="es-419"/>
        </w:rPr>
        <w:t>Se dará especial atención a la ejecución de las actividades contempladas en el Plan para el sector de servicio técnico de equipos de refrigeración, en particular</w:t>
      </w:r>
      <w:r w:rsidR="00563DA8" w:rsidRPr="002232A4">
        <w:rPr>
          <w:lang w:val="es-419"/>
        </w:rPr>
        <w:t>:</w:t>
      </w:r>
    </w:p>
    <w:p w14:paraId="730BFD00" w14:textId="35D5EA43" w:rsidR="00563DA8" w:rsidRPr="002232A4" w:rsidRDefault="00F93ED9" w:rsidP="00A2075F">
      <w:pPr>
        <w:pStyle w:val="Heading2"/>
        <w:widowControl/>
        <w:numPr>
          <w:ilvl w:val="1"/>
          <w:numId w:val="1"/>
        </w:numPr>
        <w:tabs>
          <w:tab w:val="num" w:pos="-720"/>
        </w:tabs>
        <w:ind w:left="1440" w:hanging="720"/>
        <w:rPr>
          <w:lang w:val="es-419"/>
        </w:rPr>
      </w:pPr>
      <w:r w:rsidRPr="002232A4">
        <w:rPr>
          <w:lang w:val="es-419"/>
        </w:rPr>
        <w:lastRenderedPageBreak/>
        <w:t>Si el País recurre a la flexibilidad que le concede el presente Acuerdo para atender necesidades específicas que pudieran presentarse durante la ejecución; y</w:t>
      </w:r>
    </w:p>
    <w:p w14:paraId="2DF5D62C" w14:textId="0DF733C4" w:rsidR="00563DA8" w:rsidRPr="002232A4" w:rsidRDefault="00F93ED9" w:rsidP="00A2075F">
      <w:pPr>
        <w:pStyle w:val="Heading2"/>
        <w:widowControl/>
        <w:numPr>
          <w:ilvl w:val="1"/>
          <w:numId w:val="1"/>
        </w:numPr>
        <w:tabs>
          <w:tab w:val="num" w:pos="-720"/>
        </w:tabs>
        <w:ind w:left="1440" w:hanging="720"/>
        <w:rPr>
          <w:lang w:val="es-419"/>
        </w:rPr>
      </w:pPr>
      <w:r w:rsidRPr="002232A4">
        <w:rPr>
          <w:lang w:val="es-419"/>
        </w:rPr>
        <w:t>Que durante la ejecución del Plan, el País y los organismos bilaterales y/o de ejecución tomen en consideración las decisiones aplicables al sector de servicio técnico de equipos de refrigeración</w:t>
      </w:r>
      <w:r w:rsidR="00563DA8" w:rsidRPr="002232A4">
        <w:rPr>
          <w:lang w:val="es-419"/>
        </w:rPr>
        <w:t>.</w:t>
      </w:r>
    </w:p>
    <w:p w14:paraId="4B26227C" w14:textId="3336B41E" w:rsidR="00563DA8" w:rsidRPr="002232A4" w:rsidRDefault="002A79D4" w:rsidP="004A4122">
      <w:pPr>
        <w:keepNext/>
        <w:spacing w:before="240" w:after="240"/>
        <w:rPr>
          <w:b/>
          <w:lang w:val="es-419"/>
        </w:rPr>
      </w:pPr>
      <w:r w:rsidRPr="002232A4">
        <w:rPr>
          <w:b/>
          <w:lang w:val="es-419"/>
        </w:rPr>
        <w:t>Organismos bilaterales y de ejecución</w:t>
      </w:r>
    </w:p>
    <w:p w14:paraId="1105DA59" w14:textId="010F5105" w:rsidR="00563DA8" w:rsidRPr="002232A4" w:rsidRDefault="002A79D4" w:rsidP="004A4122">
      <w:pPr>
        <w:pStyle w:val="Heading1"/>
        <w:rPr>
          <w:lang w:val="es-419"/>
        </w:rPr>
      </w:pPr>
      <w:r w:rsidRPr="002232A4">
        <w:rPr>
          <w:lang w:val="es-419"/>
        </w:rPr>
        <w:t xml:space="preserve">El País asume la responsabilidad general por la gestión y ejecución del presente Acuerdo y de toda actividad que, en cumplimiento de las obligaciones aquí contraídas, emprenda por sí o por terceros en su representación. El </w:t>
      </w:r>
      <w:r w:rsidR="006A51ED" w:rsidRPr="002232A4">
        <w:rPr>
          <w:lang w:val="es-419"/>
        </w:rPr>
        <w:t xml:space="preserve">PNUMA </w:t>
      </w:r>
      <w:r w:rsidRPr="002232A4">
        <w:rPr>
          <w:lang w:val="es-419"/>
        </w:rPr>
        <w:t xml:space="preserve">asume la función de principal organismo de ejecución y el </w:t>
      </w:r>
      <w:r w:rsidR="006A51ED" w:rsidRPr="002232A4">
        <w:rPr>
          <w:lang w:val="es-419"/>
        </w:rPr>
        <w:t xml:space="preserve">PNUD </w:t>
      </w:r>
      <w:r w:rsidRPr="002232A4">
        <w:rPr>
          <w:lang w:val="es-419"/>
        </w:rPr>
        <w:t>la de organismos cooperantes, bajo la dirección del primero en todo lo relativo a las actividades aquí contempladas. El País acepta asimismo someterse a evaluaciones, las que podrán hacerse en el marco de los programas de supervisión y evaluación del Fondo Multilateral o de los programas de evaluación de los organismos principal y/o cooperantes</w:t>
      </w:r>
      <w:r w:rsidR="00563DA8" w:rsidRPr="002232A4">
        <w:rPr>
          <w:lang w:val="es-419"/>
        </w:rPr>
        <w:t>.</w:t>
      </w:r>
    </w:p>
    <w:p w14:paraId="28964001" w14:textId="127D8865" w:rsidR="00563DA8" w:rsidRPr="002232A4" w:rsidRDefault="002A79D4" w:rsidP="004A4122">
      <w:pPr>
        <w:pStyle w:val="Heading1"/>
        <w:rPr>
          <w:lang w:val="es-419"/>
        </w:rPr>
      </w:pPr>
      <w:r w:rsidRPr="002232A4">
        <w:rPr>
          <w:lang w:val="es-419"/>
        </w:rPr>
        <w:t>El organismo principal velará por la correcta planificación, ejecución y notificación de toda actividad comprendida en el presente Acuerdo, incluyendo, sólo a título ilustrativo, la verificación independiente contemplada en el párrafo 5 b). Los organismos cooperantes apoyarán al principal a través de ejecutar el Plan bajo la coordinación general de este último. Las funciones de los organismos principal y cooperantes se describen en los apéndices 6-A y 6-B, respectivamente. El Comité Ejecutivo acuerda, en principio, pagar a los organismos principal y cooperantes los honorarios que indican los renglones 2.2 y 2.</w:t>
      </w:r>
      <w:r w:rsidR="00AC2E75">
        <w:rPr>
          <w:lang w:val="es-419"/>
        </w:rPr>
        <w:t>4</w:t>
      </w:r>
      <w:r w:rsidRPr="002232A4">
        <w:rPr>
          <w:lang w:val="es-419"/>
        </w:rPr>
        <w:t xml:space="preserve"> del Apéndice 2-A</w:t>
      </w:r>
      <w:r w:rsidR="00563DA8" w:rsidRPr="002232A4">
        <w:rPr>
          <w:lang w:val="es-419"/>
        </w:rPr>
        <w:t>.</w:t>
      </w:r>
    </w:p>
    <w:p w14:paraId="27223EA1" w14:textId="1074ADB9" w:rsidR="00563DA8" w:rsidRPr="002232A4" w:rsidRDefault="002A79D4" w:rsidP="004A4122">
      <w:pPr>
        <w:keepNext/>
        <w:spacing w:before="240" w:after="240"/>
        <w:rPr>
          <w:b/>
          <w:lang w:val="es-419"/>
        </w:rPr>
      </w:pPr>
      <w:r w:rsidRPr="002232A4">
        <w:rPr>
          <w:b/>
          <w:lang w:val="es-419"/>
        </w:rPr>
        <w:t>Incumplimiento</w:t>
      </w:r>
    </w:p>
    <w:p w14:paraId="67C97F47" w14:textId="0668DC35" w:rsidR="00563DA8" w:rsidRPr="002232A4" w:rsidRDefault="002A79D4" w:rsidP="004A4122">
      <w:pPr>
        <w:pStyle w:val="Heading1"/>
        <w:spacing w:before="240"/>
        <w:rPr>
          <w:lang w:val="es-419"/>
        </w:rPr>
      </w:pPr>
      <w:r w:rsidRPr="002232A4">
        <w:rPr>
          <w:lang w:val="es-419"/>
        </w:rPr>
        <w:t>Si por cualquier motivo el País no logra las metas de eliminación de Sustancias que fija el renglón 1.2 del Apéndice 2-A, o si de cualquier otra forma incumple lo estipulado en el presente Acuerdo, éste acepta que no podrá recibir el financiamiento previsto en el calendario de aprobación. El Comité Ejecutivo, a su exclusivo criterio, podrá restablecerlo sobre la base de un calendario modificado que estará facultado a determinar una vez que el País demuestre haber cumplido con todas las condiciones que le eran exigibles para recibir el siguiente tramo de financiamiento previsto en el calendario. El País reconoce y acepta que el Comité podrá reducir el financiamiento en el monto previsto en el Apéndice 7-A (Reducción del financiamiento en caso de incumplimiento) por kg de PAO de reducción del consumo no alcanzado en cualquier año. El Comité analizará los incumplimientos caso a caso y resolverá en consecuencia; una vez adoptada una decisión, el caso específico no obstará para la entrega de fondos para futuros tramos conforme al párrafo 5 anterior</w:t>
      </w:r>
      <w:r w:rsidR="00563DA8" w:rsidRPr="002232A4">
        <w:rPr>
          <w:lang w:val="es-419"/>
        </w:rPr>
        <w:t>.</w:t>
      </w:r>
    </w:p>
    <w:p w14:paraId="3824AA00" w14:textId="523FCFD1" w:rsidR="00563DA8" w:rsidRPr="002232A4" w:rsidRDefault="002A79D4" w:rsidP="004A4122">
      <w:pPr>
        <w:pStyle w:val="Heading1"/>
        <w:rPr>
          <w:lang w:val="es-419"/>
        </w:rPr>
      </w:pPr>
      <w:r w:rsidRPr="002232A4">
        <w:rPr>
          <w:lang w:val="es-419"/>
        </w:rPr>
        <w:t>Las futuras decisiones del Comité Ejecutivo sobre financiamiento de proyectos del sector consumo o de actividades conexas en el País no incidirán sobre los recursos contemplados en el presente Acuerdo</w:t>
      </w:r>
      <w:r w:rsidR="00563DA8" w:rsidRPr="002232A4">
        <w:rPr>
          <w:lang w:val="es-419"/>
        </w:rPr>
        <w:t>.</w:t>
      </w:r>
    </w:p>
    <w:p w14:paraId="719A885B" w14:textId="2D6FC693" w:rsidR="00563DA8" w:rsidRPr="002232A4" w:rsidRDefault="002A79D4" w:rsidP="004A4122">
      <w:pPr>
        <w:pStyle w:val="Heading1"/>
        <w:rPr>
          <w:lang w:val="es-419"/>
        </w:rPr>
      </w:pPr>
      <w:r w:rsidRPr="002232A4">
        <w:rPr>
          <w:lang w:val="es-419"/>
        </w:rPr>
        <w:t xml:space="preserve">El País acatará cualquier petición razonable que realicen el Comité Ejecutivo y los </w:t>
      </w:r>
      <w:r w:rsidR="00927339" w:rsidRPr="002232A4">
        <w:rPr>
          <w:lang w:val="es-419"/>
        </w:rPr>
        <w:t>organismos principales</w:t>
      </w:r>
      <w:r w:rsidRPr="002232A4">
        <w:rPr>
          <w:lang w:val="es-419"/>
        </w:rPr>
        <w:t xml:space="preserve"> o cooperantes con vistas a facilitar la ejecución del Acuerdo. En particular, deberá procurar que todos los organismos cuenten con pleno acceso a la información necesaria para verificar el cumplimiento del mismo.</w:t>
      </w:r>
    </w:p>
    <w:p w14:paraId="506DFA67" w14:textId="379060B3" w:rsidR="00563DA8" w:rsidRPr="002232A4" w:rsidRDefault="002A79D4" w:rsidP="004A4122">
      <w:pPr>
        <w:keepNext/>
        <w:spacing w:before="240" w:after="240"/>
        <w:rPr>
          <w:b/>
          <w:lang w:val="es-419"/>
        </w:rPr>
      </w:pPr>
      <w:r w:rsidRPr="002232A4">
        <w:rPr>
          <w:b/>
          <w:lang w:val="es-419"/>
        </w:rPr>
        <w:t>Fecha de término</w:t>
      </w:r>
    </w:p>
    <w:p w14:paraId="262C1843" w14:textId="26482B20" w:rsidR="00563DA8" w:rsidRPr="002232A4" w:rsidRDefault="002A79D4" w:rsidP="004A4122">
      <w:pPr>
        <w:pStyle w:val="Heading1"/>
        <w:spacing w:before="240"/>
        <w:rPr>
          <w:lang w:val="es-419"/>
        </w:rPr>
      </w:pPr>
      <w:r w:rsidRPr="002232A4">
        <w:rPr>
          <w:lang w:val="es-419"/>
        </w:rPr>
        <w:t xml:space="preserve">El Plan y el respectivo Acuerdo concluirán al término del año siguiente al último ejercicio para el cual el Apéndice 2-A establezca un consumo total máximo permitido. Si a ese entonces siguen pendientes actividades previstas en el último plan de ejecución del tramo y sus modificaciones según el párrafo 5 d) y el párrafo 7, la conclusión del Plan se aplazará hasta el término del año que siga a la ejecución de las </w:t>
      </w:r>
      <w:r w:rsidRPr="002232A4">
        <w:rPr>
          <w:lang w:val="es-419"/>
        </w:rPr>
        <w:lastRenderedPageBreak/>
        <w:t>actividades pendientes. Salvo indicación en contrario del Comité Ejecutivo, la obligación de informar conforme a lo previsto en los párrafos 1 a), 1 b), 1 d) y 1 e) del Apéndice 4-A se mantendrá vigente hasta la conclusión del Plan</w:t>
      </w:r>
      <w:r w:rsidR="00563DA8" w:rsidRPr="002232A4">
        <w:rPr>
          <w:lang w:val="es-419"/>
        </w:rPr>
        <w:t>.</w:t>
      </w:r>
    </w:p>
    <w:p w14:paraId="04AB89D3" w14:textId="1B763D4F" w:rsidR="00563DA8" w:rsidRPr="002232A4" w:rsidRDefault="00563DA8" w:rsidP="004A4122">
      <w:pPr>
        <w:keepNext/>
        <w:spacing w:before="240" w:after="240"/>
        <w:rPr>
          <w:lang w:val="es-419"/>
        </w:rPr>
      </w:pPr>
      <w:r w:rsidRPr="002232A4">
        <w:rPr>
          <w:b/>
          <w:lang w:val="es-419"/>
        </w:rPr>
        <w:t>Valid</w:t>
      </w:r>
      <w:r w:rsidR="002A79D4" w:rsidRPr="002232A4">
        <w:rPr>
          <w:b/>
          <w:lang w:val="es-419"/>
        </w:rPr>
        <w:t>ez</w:t>
      </w:r>
    </w:p>
    <w:p w14:paraId="43D32211" w14:textId="2C921377" w:rsidR="00563DA8" w:rsidRPr="002232A4" w:rsidRDefault="002A79D4" w:rsidP="004A4122">
      <w:pPr>
        <w:pStyle w:val="Heading1"/>
        <w:spacing w:before="240"/>
        <w:rPr>
          <w:lang w:val="es-419"/>
        </w:rPr>
      </w:pPr>
      <w:r w:rsidRPr="002232A4">
        <w:rPr>
          <w:lang w:val="es-419"/>
        </w:rPr>
        <w:t>Las condiciones del presente Acuerdo rigen exclusivamente en el marco del Protocolo de Montreal y conforme a lo aquí estipulado. Salvo indicación en contrario, los términos utilizados tendrán el significado que les asigne el Protocolo</w:t>
      </w:r>
      <w:r w:rsidR="00563DA8" w:rsidRPr="002232A4">
        <w:rPr>
          <w:lang w:val="es-419"/>
        </w:rPr>
        <w:t>.</w:t>
      </w:r>
    </w:p>
    <w:p w14:paraId="15CECBC8" w14:textId="52D1AA4B" w:rsidR="00563DA8" w:rsidRPr="002232A4" w:rsidRDefault="002A79D4" w:rsidP="004A4122">
      <w:pPr>
        <w:pStyle w:val="Heading1"/>
        <w:rPr>
          <w:lang w:val="es-419"/>
        </w:rPr>
      </w:pPr>
      <w:r w:rsidRPr="002232A4">
        <w:rPr>
          <w:lang w:val="es-419"/>
        </w:rPr>
        <w:t>El presente Acuerdo sólo podrá modificarse o extinguirse por la voluntad escrita del País y del Comité Ejecutivo del Fondo Multilateral</w:t>
      </w:r>
      <w:r w:rsidR="00563DA8" w:rsidRPr="002232A4">
        <w:rPr>
          <w:lang w:val="es-419"/>
        </w:rPr>
        <w:t>.</w:t>
      </w:r>
    </w:p>
    <w:p w14:paraId="01EA8C36" w14:textId="77777777" w:rsidR="000F7EE0" w:rsidRPr="002232A4" w:rsidRDefault="000F7EE0" w:rsidP="000F7EE0">
      <w:pPr>
        <w:pStyle w:val="Heading1"/>
        <w:widowControl w:val="0"/>
        <w:numPr>
          <w:ilvl w:val="0"/>
          <w:numId w:val="0"/>
        </w:numPr>
        <w:spacing w:before="360" w:after="360"/>
        <w:rPr>
          <w:b/>
          <w:sz w:val="24"/>
          <w:szCs w:val="24"/>
          <w:lang w:val="es-419"/>
        </w:rPr>
      </w:pPr>
      <w:r w:rsidRPr="002232A4">
        <w:rPr>
          <w:b/>
          <w:sz w:val="24"/>
          <w:szCs w:val="24"/>
          <w:lang w:val="es-419"/>
        </w:rPr>
        <w:t>APÉNDICES</w:t>
      </w:r>
    </w:p>
    <w:p w14:paraId="1E119E67" w14:textId="77777777" w:rsidR="000F7EE0" w:rsidRPr="002232A4" w:rsidRDefault="000F7EE0" w:rsidP="000F7EE0">
      <w:pPr>
        <w:pStyle w:val="Heading1"/>
        <w:widowControl w:val="0"/>
        <w:numPr>
          <w:ilvl w:val="0"/>
          <w:numId w:val="0"/>
        </w:numPr>
        <w:spacing w:before="360" w:after="60"/>
        <w:rPr>
          <w:b/>
          <w:lang w:val="es-419"/>
        </w:rPr>
      </w:pPr>
      <w:r w:rsidRPr="002232A4">
        <w:rPr>
          <w:b/>
          <w:lang w:val="es-419"/>
        </w:rPr>
        <w:t>APÉNDICE 1-A: SUSTANCIAS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1"/>
        <w:gridCol w:w="1406"/>
        <w:gridCol w:w="2126"/>
        <w:gridCol w:w="3977"/>
      </w:tblGrid>
      <w:tr w:rsidR="000F7EE0" w:rsidRPr="002232A4" w14:paraId="7AE72353" w14:textId="77777777" w:rsidTr="00E734D2">
        <w:trPr>
          <w:trHeight w:val="413"/>
          <w:tblHeader/>
        </w:trPr>
        <w:tc>
          <w:tcPr>
            <w:tcW w:w="984" w:type="pct"/>
            <w:vAlign w:val="center"/>
          </w:tcPr>
          <w:p w14:paraId="24F6A466" w14:textId="77777777" w:rsidR="000F7EE0" w:rsidRPr="002232A4" w:rsidRDefault="000F7EE0" w:rsidP="00E734D2">
            <w:pPr>
              <w:widowControl w:val="0"/>
              <w:jc w:val="center"/>
              <w:rPr>
                <w:b/>
                <w:sz w:val="20"/>
                <w:szCs w:val="20"/>
                <w:lang w:val="es-419"/>
              </w:rPr>
            </w:pPr>
            <w:r w:rsidRPr="002232A4">
              <w:rPr>
                <w:b/>
                <w:sz w:val="20"/>
                <w:szCs w:val="20"/>
                <w:lang w:val="es-419"/>
              </w:rPr>
              <w:t>Sustancia</w:t>
            </w:r>
          </w:p>
        </w:tc>
        <w:tc>
          <w:tcPr>
            <w:tcW w:w="752" w:type="pct"/>
            <w:vAlign w:val="center"/>
          </w:tcPr>
          <w:p w14:paraId="250D9268" w14:textId="77777777" w:rsidR="000F7EE0" w:rsidRPr="002232A4" w:rsidRDefault="000F7EE0" w:rsidP="00E734D2">
            <w:pPr>
              <w:widowControl w:val="0"/>
              <w:jc w:val="center"/>
              <w:rPr>
                <w:b/>
                <w:sz w:val="20"/>
                <w:szCs w:val="20"/>
                <w:lang w:val="es-419"/>
              </w:rPr>
            </w:pPr>
            <w:r w:rsidRPr="002232A4">
              <w:rPr>
                <w:b/>
                <w:sz w:val="20"/>
                <w:szCs w:val="20"/>
                <w:lang w:val="es-419"/>
              </w:rPr>
              <w:t>Anexo</w:t>
            </w:r>
          </w:p>
        </w:tc>
        <w:tc>
          <w:tcPr>
            <w:tcW w:w="1137" w:type="pct"/>
            <w:vAlign w:val="center"/>
          </w:tcPr>
          <w:p w14:paraId="14B65FD9" w14:textId="77777777" w:rsidR="000F7EE0" w:rsidRPr="002232A4" w:rsidRDefault="000F7EE0" w:rsidP="00E734D2">
            <w:pPr>
              <w:widowControl w:val="0"/>
              <w:jc w:val="center"/>
              <w:rPr>
                <w:b/>
                <w:sz w:val="20"/>
                <w:szCs w:val="20"/>
                <w:lang w:val="es-419"/>
              </w:rPr>
            </w:pPr>
            <w:r w:rsidRPr="002232A4">
              <w:rPr>
                <w:b/>
                <w:sz w:val="20"/>
                <w:szCs w:val="20"/>
                <w:lang w:val="es-419"/>
              </w:rPr>
              <w:t>Grupo</w:t>
            </w:r>
          </w:p>
        </w:tc>
        <w:tc>
          <w:tcPr>
            <w:tcW w:w="2127" w:type="pct"/>
            <w:vAlign w:val="center"/>
          </w:tcPr>
          <w:p w14:paraId="3387C6EC" w14:textId="77777777" w:rsidR="000F7EE0" w:rsidRPr="002232A4" w:rsidRDefault="000F7EE0" w:rsidP="00E734D2">
            <w:pPr>
              <w:widowControl w:val="0"/>
              <w:jc w:val="center"/>
              <w:rPr>
                <w:b/>
                <w:sz w:val="20"/>
                <w:szCs w:val="20"/>
                <w:lang w:val="es-419"/>
              </w:rPr>
            </w:pPr>
            <w:r w:rsidRPr="002232A4">
              <w:rPr>
                <w:b/>
                <w:sz w:val="20"/>
                <w:szCs w:val="20"/>
                <w:lang w:val="es-419"/>
              </w:rPr>
              <w:t>Punto de partida para reducciones acumulativas en el consumo (tons. PAO)</w:t>
            </w:r>
          </w:p>
        </w:tc>
      </w:tr>
      <w:tr w:rsidR="000F7EE0" w:rsidRPr="002232A4" w14:paraId="45E59AA5" w14:textId="77777777" w:rsidTr="00E734D2">
        <w:tc>
          <w:tcPr>
            <w:tcW w:w="984" w:type="pct"/>
          </w:tcPr>
          <w:p w14:paraId="10430DF5" w14:textId="77777777" w:rsidR="000F7EE0" w:rsidRPr="002232A4" w:rsidRDefault="000F7EE0" w:rsidP="00E734D2">
            <w:pPr>
              <w:widowControl w:val="0"/>
              <w:rPr>
                <w:sz w:val="20"/>
                <w:szCs w:val="20"/>
                <w:highlight w:val="yellow"/>
                <w:lang w:val="es-419"/>
              </w:rPr>
            </w:pPr>
            <w:r w:rsidRPr="002232A4">
              <w:rPr>
                <w:sz w:val="20"/>
                <w:szCs w:val="20"/>
                <w:lang w:val="es-419"/>
              </w:rPr>
              <w:t>HCFC-22</w:t>
            </w:r>
          </w:p>
        </w:tc>
        <w:tc>
          <w:tcPr>
            <w:tcW w:w="752" w:type="pct"/>
            <w:vAlign w:val="center"/>
          </w:tcPr>
          <w:p w14:paraId="777B2B92" w14:textId="77777777" w:rsidR="000F7EE0" w:rsidRPr="002232A4" w:rsidRDefault="000F7EE0" w:rsidP="00E734D2">
            <w:pPr>
              <w:widowControl w:val="0"/>
              <w:jc w:val="center"/>
              <w:rPr>
                <w:sz w:val="20"/>
                <w:szCs w:val="20"/>
                <w:lang w:val="es-419"/>
              </w:rPr>
            </w:pPr>
            <w:r w:rsidRPr="002232A4">
              <w:rPr>
                <w:sz w:val="20"/>
                <w:szCs w:val="20"/>
                <w:lang w:val="es-419"/>
              </w:rPr>
              <w:t>C</w:t>
            </w:r>
          </w:p>
        </w:tc>
        <w:tc>
          <w:tcPr>
            <w:tcW w:w="1137" w:type="pct"/>
            <w:vAlign w:val="center"/>
          </w:tcPr>
          <w:p w14:paraId="4B436963" w14:textId="77777777" w:rsidR="000F7EE0" w:rsidRPr="002232A4" w:rsidRDefault="000F7EE0" w:rsidP="00E734D2">
            <w:pPr>
              <w:widowControl w:val="0"/>
              <w:jc w:val="center"/>
              <w:rPr>
                <w:sz w:val="20"/>
                <w:szCs w:val="20"/>
                <w:lang w:val="es-419"/>
              </w:rPr>
            </w:pPr>
            <w:r w:rsidRPr="002232A4">
              <w:rPr>
                <w:sz w:val="20"/>
                <w:szCs w:val="20"/>
                <w:lang w:val="es-419"/>
              </w:rPr>
              <w:t>I</w:t>
            </w:r>
          </w:p>
        </w:tc>
        <w:tc>
          <w:tcPr>
            <w:tcW w:w="2127" w:type="pct"/>
          </w:tcPr>
          <w:p w14:paraId="742EE3C9" w14:textId="03ED182F" w:rsidR="000F7EE0" w:rsidRPr="002232A4" w:rsidRDefault="000F7EE0" w:rsidP="00E734D2">
            <w:pPr>
              <w:widowControl w:val="0"/>
              <w:jc w:val="right"/>
              <w:rPr>
                <w:sz w:val="20"/>
                <w:lang w:val="es-419"/>
              </w:rPr>
            </w:pPr>
            <w:r w:rsidRPr="002232A4">
              <w:rPr>
                <w:sz w:val="20"/>
                <w:szCs w:val="20"/>
                <w:lang w:val="es-419"/>
              </w:rPr>
              <w:t>1</w:t>
            </w:r>
            <w:r w:rsidR="00C53CB2">
              <w:rPr>
                <w:sz w:val="20"/>
                <w:szCs w:val="20"/>
                <w:lang w:val="es-419"/>
              </w:rPr>
              <w:t>5,00</w:t>
            </w:r>
          </w:p>
        </w:tc>
      </w:tr>
    </w:tbl>
    <w:p w14:paraId="599D4073" w14:textId="146A72E7" w:rsidR="00563DA8" w:rsidRDefault="000F7EE0" w:rsidP="004A4122">
      <w:pPr>
        <w:pStyle w:val="Heading1"/>
        <w:keepNext/>
        <w:numPr>
          <w:ilvl w:val="0"/>
          <w:numId w:val="0"/>
        </w:numPr>
        <w:spacing w:before="360"/>
        <w:rPr>
          <w:b/>
          <w:lang w:val="es-419"/>
        </w:rPr>
      </w:pPr>
      <w:r w:rsidRPr="002232A4">
        <w:rPr>
          <w:b/>
          <w:lang w:val="es-419"/>
        </w:rPr>
        <w:t>APÉNDICE 2-A: METAS Y FINANCIAMIENTO</w:t>
      </w:r>
    </w:p>
    <w:tbl>
      <w:tblPr>
        <w:tblW w:w="5000" w:type="pct"/>
        <w:jc w:val="center"/>
        <w:tblLayout w:type="fixed"/>
        <w:tblCellMar>
          <w:left w:w="85" w:type="dxa"/>
          <w:right w:w="85" w:type="dxa"/>
        </w:tblCellMar>
        <w:tblLook w:val="04A0" w:firstRow="1" w:lastRow="0" w:firstColumn="1" w:lastColumn="0" w:noHBand="0" w:noVBand="1"/>
      </w:tblPr>
      <w:tblGrid>
        <w:gridCol w:w="846"/>
        <w:gridCol w:w="3073"/>
        <w:gridCol w:w="756"/>
        <w:gridCol w:w="757"/>
        <w:gridCol w:w="755"/>
        <w:gridCol w:w="757"/>
        <w:gridCol w:w="755"/>
        <w:gridCol w:w="757"/>
        <w:gridCol w:w="894"/>
      </w:tblGrid>
      <w:tr w:rsidR="00493480" w:rsidRPr="00CA4BD5" w14:paraId="2AC9E0D0" w14:textId="77777777" w:rsidTr="00A3710D">
        <w:trPr>
          <w:cantSplit/>
          <w:trHeight w:val="98"/>
          <w:tblHeader/>
          <w:jc w:val="center"/>
        </w:trPr>
        <w:tc>
          <w:tcPr>
            <w:tcW w:w="452" w:type="pct"/>
            <w:tcBorders>
              <w:top w:val="single" w:sz="4" w:space="0" w:color="auto"/>
              <w:left w:val="single" w:sz="4" w:space="0" w:color="auto"/>
              <w:bottom w:val="single" w:sz="4" w:space="0" w:color="auto"/>
              <w:right w:val="single" w:sz="4" w:space="0" w:color="auto"/>
            </w:tcBorders>
            <w:hideMark/>
          </w:tcPr>
          <w:p w14:paraId="319814AA"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Renglón</w:t>
            </w:r>
          </w:p>
        </w:tc>
        <w:tc>
          <w:tcPr>
            <w:tcW w:w="1643" w:type="pct"/>
            <w:tcBorders>
              <w:top w:val="single" w:sz="4" w:space="0" w:color="auto"/>
              <w:left w:val="nil"/>
              <w:bottom w:val="single" w:sz="4" w:space="0" w:color="auto"/>
              <w:right w:val="single" w:sz="4" w:space="0" w:color="auto"/>
            </w:tcBorders>
            <w:hideMark/>
          </w:tcPr>
          <w:p w14:paraId="325D91FA"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Detalle</w:t>
            </w:r>
          </w:p>
        </w:tc>
        <w:tc>
          <w:tcPr>
            <w:tcW w:w="404" w:type="pct"/>
            <w:tcBorders>
              <w:top w:val="single" w:sz="4" w:space="0" w:color="auto"/>
              <w:left w:val="nil"/>
              <w:bottom w:val="single" w:sz="4" w:space="0" w:color="auto"/>
              <w:right w:val="single" w:sz="4" w:space="0" w:color="auto"/>
            </w:tcBorders>
            <w:hideMark/>
          </w:tcPr>
          <w:p w14:paraId="4AB603F4"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2025</w:t>
            </w:r>
          </w:p>
        </w:tc>
        <w:tc>
          <w:tcPr>
            <w:tcW w:w="405" w:type="pct"/>
            <w:tcBorders>
              <w:top w:val="single" w:sz="4" w:space="0" w:color="auto"/>
              <w:left w:val="nil"/>
              <w:bottom w:val="single" w:sz="4" w:space="0" w:color="auto"/>
              <w:right w:val="single" w:sz="4" w:space="0" w:color="auto"/>
            </w:tcBorders>
            <w:hideMark/>
          </w:tcPr>
          <w:p w14:paraId="43C28334"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2026</w:t>
            </w:r>
          </w:p>
        </w:tc>
        <w:tc>
          <w:tcPr>
            <w:tcW w:w="404" w:type="pct"/>
            <w:tcBorders>
              <w:top w:val="single" w:sz="4" w:space="0" w:color="auto"/>
              <w:left w:val="nil"/>
              <w:bottom w:val="single" w:sz="4" w:space="0" w:color="auto"/>
              <w:right w:val="single" w:sz="4" w:space="0" w:color="auto"/>
            </w:tcBorders>
            <w:hideMark/>
          </w:tcPr>
          <w:p w14:paraId="18303A62"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2027</w:t>
            </w:r>
          </w:p>
        </w:tc>
        <w:tc>
          <w:tcPr>
            <w:tcW w:w="405" w:type="pct"/>
            <w:tcBorders>
              <w:top w:val="single" w:sz="4" w:space="0" w:color="auto"/>
              <w:left w:val="nil"/>
              <w:bottom w:val="single" w:sz="4" w:space="0" w:color="auto"/>
              <w:right w:val="single" w:sz="4" w:space="0" w:color="auto"/>
            </w:tcBorders>
            <w:hideMark/>
          </w:tcPr>
          <w:p w14:paraId="0D3C88F0"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2028</w:t>
            </w:r>
          </w:p>
        </w:tc>
        <w:tc>
          <w:tcPr>
            <w:tcW w:w="404" w:type="pct"/>
            <w:tcBorders>
              <w:top w:val="single" w:sz="4" w:space="0" w:color="auto"/>
              <w:left w:val="nil"/>
              <w:bottom w:val="single" w:sz="4" w:space="0" w:color="auto"/>
              <w:right w:val="single" w:sz="4" w:space="0" w:color="auto"/>
            </w:tcBorders>
          </w:tcPr>
          <w:p w14:paraId="665E0FAA"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2029</w:t>
            </w:r>
          </w:p>
        </w:tc>
        <w:tc>
          <w:tcPr>
            <w:tcW w:w="405" w:type="pct"/>
            <w:tcBorders>
              <w:top w:val="single" w:sz="4" w:space="0" w:color="auto"/>
              <w:left w:val="single" w:sz="4" w:space="0" w:color="auto"/>
              <w:bottom w:val="single" w:sz="4" w:space="0" w:color="auto"/>
              <w:right w:val="single" w:sz="4" w:space="0" w:color="auto"/>
            </w:tcBorders>
            <w:hideMark/>
          </w:tcPr>
          <w:p w14:paraId="418BDA9A"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2030</w:t>
            </w:r>
          </w:p>
        </w:tc>
        <w:tc>
          <w:tcPr>
            <w:tcW w:w="478" w:type="pct"/>
            <w:tcBorders>
              <w:top w:val="single" w:sz="4" w:space="0" w:color="auto"/>
              <w:left w:val="nil"/>
              <w:bottom w:val="single" w:sz="4" w:space="0" w:color="auto"/>
              <w:right w:val="single" w:sz="4" w:space="0" w:color="auto"/>
            </w:tcBorders>
            <w:hideMark/>
          </w:tcPr>
          <w:p w14:paraId="2D4E2ABA" w14:textId="77777777" w:rsidR="00493480" w:rsidRPr="00CA4BD5" w:rsidRDefault="00493480" w:rsidP="00A3710D">
            <w:pPr>
              <w:keepNext/>
              <w:keepLines/>
              <w:jc w:val="center"/>
              <w:rPr>
                <w:b/>
                <w:bCs/>
                <w:color w:val="000000"/>
                <w:sz w:val="18"/>
                <w:szCs w:val="18"/>
                <w:lang w:val="es-419" w:eastAsia="en-CA"/>
              </w:rPr>
            </w:pPr>
            <w:r w:rsidRPr="00CA4BD5">
              <w:rPr>
                <w:b/>
                <w:bCs/>
                <w:color w:val="000000"/>
                <w:sz w:val="18"/>
                <w:szCs w:val="18"/>
                <w:lang w:val="es-419" w:eastAsia="en-CA"/>
              </w:rPr>
              <w:t>Total</w:t>
            </w:r>
          </w:p>
        </w:tc>
      </w:tr>
      <w:tr w:rsidR="00493480" w:rsidRPr="00CA4BD5" w14:paraId="22DC4721" w14:textId="77777777" w:rsidTr="00A3710D">
        <w:trPr>
          <w:trHeight w:val="408"/>
          <w:jc w:val="center"/>
        </w:trPr>
        <w:tc>
          <w:tcPr>
            <w:tcW w:w="452" w:type="pct"/>
            <w:tcBorders>
              <w:top w:val="nil"/>
              <w:left w:val="single" w:sz="4" w:space="0" w:color="auto"/>
              <w:bottom w:val="single" w:sz="4" w:space="0" w:color="auto"/>
              <w:right w:val="single" w:sz="4" w:space="0" w:color="auto"/>
            </w:tcBorders>
            <w:hideMark/>
          </w:tcPr>
          <w:p w14:paraId="1DC24ABB" w14:textId="77777777" w:rsidR="00493480" w:rsidRPr="00CA4BD5" w:rsidRDefault="00493480" w:rsidP="00A3710D">
            <w:pPr>
              <w:keepNext/>
              <w:keepLines/>
              <w:jc w:val="left"/>
              <w:rPr>
                <w:color w:val="000000"/>
                <w:sz w:val="18"/>
                <w:szCs w:val="18"/>
                <w:lang w:val="es-419" w:eastAsia="en-CA"/>
              </w:rPr>
            </w:pPr>
            <w:r w:rsidRPr="00CA4BD5">
              <w:rPr>
                <w:color w:val="000000"/>
                <w:sz w:val="18"/>
                <w:szCs w:val="18"/>
                <w:lang w:val="es-419" w:eastAsia="en-CA"/>
              </w:rPr>
              <w:t>1.1</w:t>
            </w:r>
          </w:p>
        </w:tc>
        <w:tc>
          <w:tcPr>
            <w:tcW w:w="1643" w:type="pct"/>
            <w:tcBorders>
              <w:top w:val="nil"/>
              <w:left w:val="nil"/>
              <w:bottom w:val="single" w:sz="4" w:space="0" w:color="auto"/>
              <w:right w:val="single" w:sz="4" w:space="0" w:color="auto"/>
            </w:tcBorders>
            <w:hideMark/>
          </w:tcPr>
          <w:p w14:paraId="41B9A021" w14:textId="77777777" w:rsidR="00493480" w:rsidRPr="00CA4BD5" w:rsidRDefault="00493480" w:rsidP="00A3710D">
            <w:pPr>
              <w:keepNext/>
              <w:keepLines/>
              <w:jc w:val="left"/>
              <w:rPr>
                <w:color w:val="000000"/>
                <w:sz w:val="18"/>
                <w:szCs w:val="18"/>
                <w:lang w:val="es-419" w:eastAsia="en-CA"/>
              </w:rPr>
            </w:pPr>
            <w:r w:rsidRPr="00CA4BD5">
              <w:rPr>
                <w:color w:val="000000"/>
                <w:sz w:val="19"/>
                <w:szCs w:val="19"/>
                <w:lang w:val="es-419" w:eastAsia="en-CA"/>
              </w:rPr>
              <w:t>Calendario del Protocolo de Montreal para la reducción de las sustancias del Anexo C, Grupo I (tons. PAO)</w:t>
            </w:r>
          </w:p>
        </w:tc>
        <w:tc>
          <w:tcPr>
            <w:tcW w:w="404" w:type="pct"/>
            <w:tcBorders>
              <w:top w:val="nil"/>
              <w:left w:val="nil"/>
              <w:bottom w:val="single" w:sz="4" w:space="0" w:color="auto"/>
              <w:right w:val="single" w:sz="4" w:space="0" w:color="auto"/>
            </w:tcBorders>
            <w:shd w:val="clear" w:color="auto" w:fill="FFFFFF" w:themeFill="background1"/>
            <w:vAlign w:val="center"/>
          </w:tcPr>
          <w:p w14:paraId="0940F4AC" w14:textId="77777777"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1BF7266E" w14:textId="77777777"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4,88</w:t>
            </w:r>
          </w:p>
        </w:tc>
        <w:tc>
          <w:tcPr>
            <w:tcW w:w="404" w:type="pct"/>
            <w:tcBorders>
              <w:top w:val="nil"/>
              <w:left w:val="nil"/>
              <w:bottom w:val="single" w:sz="4" w:space="0" w:color="auto"/>
              <w:right w:val="single" w:sz="4" w:space="0" w:color="auto"/>
            </w:tcBorders>
            <w:shd w:val="clear" w:color="auto" w:fill="FFFFFF" w:themeFill="background1"/>
            <w:vAlign w:val="center"/>
          </w:tcPr>
          <w:p w14:paraId="738A096C" w14:textId="77777777"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11986EAC" w14:textId="77777777"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4,88</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1FDA6878" w14:textId="77777777"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4,88</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18E68EF9" w14:textId="77777777"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0,00</w:t>
            </w:r>
          </w:p>
        </w:tc>
        <w:tc>
          <w:tcPr>
            <w:tcW w:w="478" w:type="pct"/>
            <w:tcBorders>
              <w:top w:val="nil"/>
              <w:left w:val="nil"/>
              <w:bottom w:val="single" w:sz="4" w:space="0" w:color="auto"/>
              <w:right w:val="single" w:sz="4" w:space="0" w:color="auto"/>
            </w:tcBorders>
            <w:shd w:val="clear" w:color="auto" w:fill="FFFFFF" w:themeFill="background1"/>
            <w:vAlign w:val="center"/>
          </w:tcPr>
          <w:p w14:paraId="6007B5F4" w14:textId="47EDFAF2" w:rsidR="00493480" w:rsidRPr="00CA4BD5" w:rsidRDefault="00493480" w:rsidP="00A3710D">
            <w:pPr>
              <w:keepNext/>
              <w:keepLines/>
              <w:jc w:val="right"/>
              <w:rPr>
                <w:color w:val="000000"/>
                <w:sz w:val="18"/>
                <w:szCs w:val="18"/>
                <w:lang w:val="es-419" w:eastAsia="en-CA"/>
              </w:rPr>
            </w:pPr>
            <w:r w:rsidRPr="00CA4BD5">
              <w:rPr>
                <w:color w:val="000000"/>
                <w:sz w:val="18"/>
                <w:szCs w:val="18"/>
                <w:lang w:val="es-419" w:eastAsia="en-CA"/>
              </w:rPr>
              <w:t>n</w:t>
            </w:r>
            <w:r>
              <w:rPr>
                <w:color w:val="000000"/>
                <w:sz w:val="18"/>
                <w:szCs w:val="18"/>
                <w:lang w:val="es-419" w:eastAsia="en-CA"/>
              </w:rPr>
              <w:t>.a.</w:t>
            </w:r>
          </w:p>
        </w:tc>
      </w:tr>
      <w:tr w:rsidR="00493480" w:rsidRPr="00CA4BD5" w14:paraId="03BA29FC" w14:textId="77777777" w:rsidTr="00A3710D">
        <w:trPr>
          <w:trHeight w:val="408"/>
          <w:jc w:val="center"/>
        </w:trPr>
        <w:tc>
          <w:tcPr>
            <w:tcW w:w="452" w:type="pct"/>
            <w:tcBorders>
              <w:top w:val="nil"/>
              <w:left w:val="single" w:sz="4" w:space="0" w:color="auto"/>
              <w:bottom w:val="single" w:sz="4" w:space="0" w:color="auto"/>
              <w:right w:val="single" w:sz="4" w:space="0" w:color="auto"/>
            </w:tcBorders>
            <w:hideMark/>
          </w:tcPr>
          <w:p w14:paraId="77A18FA2"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1.2</w:t>
            </w:r>
          </w:p>
        </w:tc>
        <w:tc>
          <w:tcPr>
            <w:tcW w:w="1643" w:type="pct"/>
            <w:tcBorders>
              <w:top w:val="nil"/>
              <w:left w:val="nil"/>
              <w:bottom w:val="single" w:sz="4" w:space="0" w:color="auto"/>
              <w:right w:val="single" w:sz="4" w:space="0" w:color="auto"/>
            </w:tcBorders>
            <w:hideMark/>
          </w:tcPr>
          <w:p w14:paraId="0C10211B"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Consumo total máximo permitido de sustancias del Anexo C, Grupo I (tons. PAO)</w:t>
            </w:r>
          </w:p>
        </w:tc>
        <w:tc>
          <w:tcPr>
            <w:tcW w:w="404" w:type="pct"/>
            <w:tcBorders>
              <w:top w:val="nil"/>
              <w:left w:val="nil"/>
              <w:bottom w:val="single" w:sz="4" w:space="0" w:color="auto"/>
              <w:right w:val="single" w:sz="4" w:space="0" w:color="auto"/>
            </w:tcBorders>
            <w:shd w:val="clear" w:color="auto" w:fill="FFFFFF" w:themeFill="background1"/>
            <w:vAlign w:val="center"/>
          </w:tcPr>
          <w:p w14:paraId="61D2C7F9"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6E4E7A04"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4,88</w:t>
            </w:r>
          </w:p>
        </w:tc>
        <w:tc>
          <w:tcPr>
            <w:tcW w:w="404" w:type="pct"/>
            <w:tcBorders>
              <w:top w:val="nil"/>
              <w:left w:val="nil"/>
              <w:bottom w:val="single" w:sz="4" w:space="0" w:color="auto"/>
              <w:right w:val="single" w:sz="4" w:space="0" w:color="auto"/>
            </w:tcBorders>
            <w:shd w:val="clear" w:color="auto" w:fill="FFFFFF" w:themeFill="background1"/>
            <w:vAlign w:val="center"/>
          </w:tcPr>
          <w:p w14:paraId="53ABCE22"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4,88</w:t>
            </w:r>
          </w:p>
        </w:tc>
        <w:tc>
          <w:tcPr>
            <w:tcW w:w="405" w:type="pct"/>
            <w:tcBorders>
              <w:top w:val="nil"/>
              <w:left w:val="nil"/>
              <w:bottom w:val="single" w:sz="4" w:space="0" w:color="auto"/>
              <w:right w:val="single" w:sz="4" w:space="0" w:color="auto"/>
            </w:tcBorders>
            <w:shd w:val="clear" w:color="auto" w:fill="FFFFFF" w:themeFill="background1"/>
            <w:vAlign w:val="center"/>
          </w:tcPr>
          <w:p w14:paraId="010FD0BD"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4,88</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56C782BA"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4,88</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3EEF0FE2"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0,00</w:t>
            </w:r>
          </w:p>
        </w:tc>
        <w:tc>
          <w:tcPr>
            <w:tcW w:w="478" w:type="pct"/>
            <w:tcBorders>
              <w:top w:val="nil"/>
              <w:left w:val="nil"/>
              <w:bottom w:val="single" w:sz="4" w:space="0" w:color="auto"/>
              <w:right w:val="single" w:sz="4" w:space="0" w:color="auto"/>
            </w:tcBorders>
            <w:shd w:val="clear" w:color="auto" w:fill="FFFFFF" w:themeFill="background1"/>
            <w:vAlign w:val="center"/>
          </w:tcPr>
          <w:p w14:paraId="74412F22" w14:textId="715B50CC"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n</w:t>
            </w:r>
            <w:r>
              <w:rPr>
                <w:color w:val="000000"/>
                <w:sz w:val="18"/>
                <w:szCs w:val="18"/>
                <w:lang w:val="es-419" w:eastAsia="en-CA"/>
              </w:rPr>
              <w:t>.a.</w:t>
            </w:r>
          </w:p>
        </w:tc>
      </w:tr>
      <w:tr w:rsidR="00493480" w:rsidRPr="00CA4BD5" w14:paraId="4B52ACDF" w14:textId="77777777" w:rsidTr="00A3710D">
        <w:trPr>
          <w:trHeight w:val="116"/>
          <w:jc w:val="center"/>
        </w:trPr>
        <w:tc>
          <w:tcPr>
            <w:tcW w:w="452" w:type="pct"/>
            <w:tcBorders>
              <w:top w:val="nil"/>
              <w:left w:val="single" w:sz="4" w:space="0" w:color="auto"/>
              <w:bottom w:val="single" w:sz="4" w:space="0" w:color="auto"/>
              <w:right w:val="single" w:sz="4" w:space="0" w:color="auto"/>
            </w:tcBorders>
            <w:hideMark/>
          </w:tcPr>
          <w:p w14:paraId="17E95B20"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2.1</w:t>
            </w:r>
          </w:p>
        </w:tc>
        <w:tc>
          <w:tcPr>
            <w:tcW w:w="1643" w:type="pct"/>
            <w:tcBorders>
              <w:top w:val="nil"/>
              <w:left w:val="nil"/>
              <w:bottom w:val="single" w:sz="4" w:space="0" w:color="auto"/>
              <w:right w:val="single" w:sz="4" w:space="0" w:color="auto"/>
            </w:tcBorders>
            <w:hideMark/>
          </w:tcPr>
          <w:p w14:paraId="6E59A567"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Financiamiento convenido para el organismo principal (PNUMA) (USD)</w:t>
            </w:r>
          </w:p>
        </w:tc>
        <w:tc>
          <w:tcPr>
            <w:tcW w:w="404" w:type="pct"/>
            <w:tcBorders>
              <w:top w:val="nil"/>
              <w:left w:val="nil"/>
              <w:bottom w:val="single" w:sz="4" w:space="0" w:color="auto"/>
              <w:right w:val="single" w:sz="4" w:space="0" w:color="auto"/>
            </w:tcBorders>
            <w:shd w:val="clear" w:color="auto" w:fill="FFFFFF" w:themeFill="background1"/>
            <w:vAlign w:val="center"/>
          </w:tcPr>
          <w:p w14:paraId="002B44E7"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276.500</w:t>
            </w:r>
          </w:p>
        </w:tc>
        <w:tc>
          <w:tcPr>
            <w:tcW w:w="405" w:type="pct"/>
            <w:tcBorders>
              <w:top w:val="nil"/>
              <w:left w:val="nil"/>
              <w:bottom w:val="single" w:sz="4" w:space="0" w:color="auto"/>
              <w:right w:val="single" w:sz="4" w:space="0" w:color="auto"/>
            </w:tcBorders>
            <w:shd w:val="clear" w:color="auto" w:fill="FFFFFF" w:themeFill="background1"/>
            <w:vAlign w:val="center"/>
          </w:tcPr>
          <w:p w14:paraId="16FEF55D"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4E17A10A"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265.500</w:t>
            </w:r>
          </w:p>
        </w:tc>
        <w:tc>
          <w:tcPr>
            <w:tcW w:w="405" w:type="pct"/>
            <w:tcBorders>
              <w:top w:val="nil"/>
              <w:left w:val="nil"/>
              <w:bottom w:val="single" w:sz="4" w:space="0" w:color="auto"/>
              <w:right w:val="single" w:sz="4" w:space="0" w:color="auto"/>
            </w:tcBorders>
            <w:shd w:val="clear" w:color="auto" w:fill="FFFFFF" w:themeFill="background1"/>
            <w:vAlign w:val="center"/>
          </w:tcPr>
          <w:p w14:paraId="7B89E3F0"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73FA6266"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679DD8C4"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104.000</w:t>
            </w:r>
          </w:p>
        </w:tc>
        <w:tc>
          <w:tcPr>
            <w:tcW w:w="478" w:type="pct"/>
            <w:tcBorders>
              <w:top w:val="nil"/>
              <w:left w:val="nil"/>
              <w:bottom w:val="single" w:sz="4" w:space="0" w:color="auto"/>
              <w:right w:val="single" w:sz="4" w:space="0" w:color="auto"/>
            </w:tcBorders>
            <w:shd w:val="clear" w:color="auto" w:fill="FFFFFF" w:themeFill="background1"/>
            <w:vAlign w:val="center"/>
          </w:tcPr>
          <w:p w14:paraId="2D91BED5"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646.000</w:t>
            </w:r>
          </w:p>
        </w:tc>
      </w:tr>
      <w:tr w:rsidR="00493480" w:rsidRPr="00CA4BD5" w14:paraId="0582FD52" w14:textId="77777777" w:rsidTr="00A3710D">
        <w:trPr>
          <w:trHeight w:val="56"/>
          <w:jc w:val="center"/>
        </w:trPr>
        <w:tc>
          <w:tcPr>
            <w:tcW w:w="452" w:type="pct"/>
            <w:tcBorders>
              <w:top w:val="nil"/>
              <w:left w:val="single" w:sz="4" w:space="0" w:color="auto"/>
              <w:bottom w:val="single" w:sz="4" w:space="0" w:color="auto"/>
              <w:right w:val="single" w:sz="4" w:space="0" w:color="auto"/>
            </w:tcBorders>
            <w:hideMark/>
          </w:tcPr>
          <w:p w14:paraId="3DBEC965"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2.2</w:t>
            </w:r>
          </w:p>
        </w:tc>
        <w:tc>
          <w:tcPr>
            <w:tcW w:w="1643" w:type="pct"/>
            <w:tcBorders>
              <w:top w:val="nil"/>
              <w:left w:val="nil"/>
              <w:bottom w:val="single" w:sz="4" w:space="0" w:color="auto"/>
              <w:right w:val="single" w:sz="4" w:space="0" w:color="auto"/>
            </w:tcBorders>
            <w:hideMark/>
          </w:tcPr>
          <w:p w14:paraId="5B40EE1F"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Gastos de apoyo para el organismo principal (USD)</w:t>
            </w:r>
          </w:p>
        </w:tc>
        <w:tc>
          <w:tcPr>
            <w:tcW w:w="404" w:type="pct"/>
            <w:tcBorders>
              <w:top w:val="nil"/>
              <w:left w:val="nil"/>
              <w:bottom w:val="single" w:sz="4" w:space="0" w:color="auto"/>
              <w:right w:val="single" w:sz="4" w:space="0" w:color="auto"/>
            </w:tcBorders>
            <w:shd w:val="clear" w:color="auto" w:fill="FFFFFF" w:themeFill="background1"/>
            <w:vAlign w:val="center"/>
          </w:tcPr>
          <w:p w14:paraId="64FC1192"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34.695</w:t>
            </w:r>
          </w:p>
        </w:tc>
        <w:tc>
          <w:tcPr>
            <w:tcW w:w="405" w:type="pct"/>
            <w:tcBorders>
              <w:top w:val="nil"/>
              <w:left w:val="nil"/>
              <w:bottom w:val="single" w:sz="4" w:space="0" w:color="auto"/>
              <w:right w:val="single" w:sz="4" w:space="0" w:color="auto"/>
            </w:tcBorders>
            <w:shd w:val="clear" w:color="auto" w:fill="FFFFFF" w:themeFill="background1"/>
            <w:vAlign w:val="center"/>
          </w:tcPr>
          <w:p w14:paraId="353B06F9"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34875EBE"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33.315</w:t>
            </w:r>
          </w:p>
        </w:tc>
        <w:tc>
          <w:tcPr>
            <w:tcW w:w="405" w:type="pct"/>
            <w:tcBorders>
              <w:top w:val="nil"/>
              <w:left w:val="nil"/>
              <w:bottom w:val="single" w:sz="4" w:space="0" w:color="auto"/>
              <w:right w:val="single" w:sz="4" w:space="0" w:color="auto"/>
            </w:tcBorders>
            <w:shd w:val="clear" w:color="auto" w:fill="FFFFFF" w:themeFill="background1"/>
            <w:vAlign w:val="center"/>
          </w:tcPr>
          <w:p w14:paraId="484A6229"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68A48F24"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C144687"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13.050</w:t>
            </w:r>
          </w:p>
        </w:tc>
        <w:tc>
          <w:tcPr>
            <w:tcW w:w="478" w:type="pct"/>
            <w:tcBorders>
              <w:top w:val="nil"/>
              <w:left w:val="nil"/>
              <w:bottom w:val="single" w:sz="4" w:space="0" w:color="auto"/>
              <w:right w:val="single" w:sz="4" w:space="0" w:color="auto"/>
            </w:tcBorders>
            <w:shd w:val="clear" w:color="auto" w:fill="FFFFFF" w:themeFill="background1"/>
            <w:vAlign w:val="center"/>
          </w:tcPr>
          <w:p w14:paraId="00E2527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81.060</w:t>
            </w:r>
          </w:p>
        </w:tc>
      </w:tr>
      <w:tr w:rsidR="00493480" w:rsidRPr="00CA4BD5" w14:paraId="236BD7A9" w14:textId="77777777" w:rsidTr="00A3710D">
        <w:trPr>
          <w:trHeight w:val="161"/>
          <w:jc w:val="center"/>
        </w:trPr>
        <w:tc>
          <w:tcPr>
            <w:tcW w:w="452" w:type="pct"/>
            <w:tcBorders>
              <w:top w:val="nil"/>
              <w:left w:val="single" w:sz="4" w:space="0" w:color="auto"/>
              <w:bottom w:val="single" w:sz="4" w:space="0" w:color="auto"/>
              <w:right w:val="single" w:sz="4" w:space="0" w:color="auto"/>
            </w:tcBorders>
            <w:shd w:val="clear" w:color="auto" w:fill="FFFFFF" w:themeFill="background1"/>
            <w:hideMark/>
          </w:tcPr>
          <w:p w14:paraId="0D3CF4F5"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2.3</w:t>
            </w:r>
          </w:p>
        </w:tc>
        <w:tc>
          <w:tcPr>
            <w:tcW w:w="1643" w:type="pct"/>
            <w:tcBorders>
              <w:top w:val="nil"/>
              <w:left w:val="nil"/>
              <w:bottom w:val="single" w:sz="4" w:space="0" w:color="auto"/>
              <w:right w:val="single" w:sz="4" w:space="0" w:color="auto"/>
            </w:tcBorders>
            <w:hideMark/>
          </w:tcPr>
          <w:p w14:paraId="768E0285"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Financiamiento convenido para el organismo cooperante ((PNUD) (USD)</w:t>
            </w:r>
          </w:p>
        </w:tc>
        <w:tc>
          <w:tcPr>
            <w:tcW w:w="404" w:type="pct"/>
            <w:tcBorders>
              <w:top w:val="nil"/>
              <w:left w:val="nil"/>
              <w:bottom w:val="single" w:sz="4" w:space="0" w:color="auto"/>
              <w:right w:val="single" w:sz="4" w:space="0" w:color="auto"/>
            </w:tcBorders>
            <w:shd w:val="clear" w:color="auto" w:fill="FFFFFF" w:themeFill="background1"/>
            <w:vAlign w:val="center"/>
          </w:tcPr>
          <w:p w14:paraId="4103ACFF"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246.500</w:t>
            </w:r>
          </w:p>
        </w:tc>
        <w:tc>
          <w:tcPr>
            <w:tcW w:w="405" w:type="pct"/>
            <w:tcBorders>
              <w:top w:val="nil"/>
              <w:left w:val="nil"/>
              <w:bottom w:val="single" w:sz="4" w:space="0" w:color="auto"/>
              <w:right w:val="single" w:sz="4" w:space="0" w:color="auto"/>
            </w:tcBorders>
            <w:shd w:val="clear" w:color="auto" w:fill="FFFFFF" w:themeFill="background1"/>
            <w:vAlign w:val="center"/>
          </w:tcPr>
          <w:p w14:paraId="45108848"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2648FD3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147.500</w:t>
            </w:r>
          </w:p>
        </w:tc>
        <w:tc>
          <w:tcPr>
            <w:tcW w:w="405" w:type="pct"/>
            <w:tcBorders>
              <w:top w:val="nil"/>
              <w:left w:val="nil"/>
              <w:bottom w:val="single" w:sz="4" w:space="0" w:color="auto"/>
              <w:right w:val="single" w:sz="4" w:space="0" w:color="auto"/>
            </w:tcBorders>
            <w:shd w:val="clear" w:color="auto" w:fill="FFFFFF" w:themeFill="background1"/>
            <w:vAlign w:val="center"/>
          </w:tcPr>
          <w:p w14:paraId="5927C0C9"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651BBEA0"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746CF7A2"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1364F731"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394.000</w:t>
            </w:r>
          </w:p>
        </w:tc>
      </w:tr>
      <w:tr w:rsidR="00493480" w:rsidRPr="00CA4BD5" w14:paraId="47E933BD" w14:textId="77777777" w:rsidTr="00A3710D">
        <w:trPr>
          <w:trHeight w:val="60"/>
          <w:jc w:val="center"/>
        </w:trPr>
        <w:tc>
          <w:tcPr>
            <w:tcW w:w="452" w:type="pct"/>
            <w:tcBorders>
              <w:top w:val="nil"/>
              <w:left w:val="single" w:sz="4" w:space="0" w:color="auto"/>
              <w:bottom w:val="single" w:sz="4" w:space="0" w:color="auto"/>
              <w:right w:val="single" w:sz="4" w:space="0" w:color="auto"/>
            </w:tcBorders>
            <w:shd w:val="clear" w:color="auto" w:fill="FFFFFF" w:themeFill="background1"/>
            <w:hideMark/>
          </w:tcPr>
          <w:p w14:paraId="7B3D4575"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2.4</w:t>
            </w:r>
          </w:p>
        </w:tc>
        <w:tc>
          <w:tcPr>
            <w:tcW w:w="1643" w:type="pct"/>
            <w:tcBorders>
              <w:top w:val="nil"/>
              <w:left w:val="nil"/>
              <w:bottom w:val="single" w:sz="4" w:space="0" w:color="auto"/>
              <w:right w:val="single" w:sz="4" w:space="0" w:color="auto"/>
            </w:tcBorders>
            <w:shd w:val="clear" w:color="auto" w:fill="FFFFFF" w:themeFill="background1"/>
            <w:hideMark/>
          </w:tcPr>
          <w:p w14:paraId="789E9C40"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Gastos de apoyo para el organismo cooperante (USD)</w:t>
            </w:r>
          </w:p>
        </w:tc>
        <w:tc>
          <w:tcPr>
            <w:tcW w:w="404" w:type="pct"/>
            <w:tcBorders>
              <w:top w:val="nil"/>
              <w:left w:val="nil"/>
              <w:bottom w:val="single" w:sz="4" w:space="0" w:color="auto"/>
              <w:right w:val="single" w:sz="4" w:space="0" w:color="auto"/>
            </w:tcBorders>
            <w:shd w:val="clear" w:color="auto" w:fill="FFFFFF" w:themeFill="background1"/>
            <w:vAlign w:val="center"/>
          </w:tcPr>
          <w:p w14:paraId="77DD421A"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17.255</w:t>
            </w:r>
          </w:p>
        </w:tc>
        <w:tc>
          <w:tcPr>
            <w:tcW w:w="405" w:type="pct"/>
            <w:tcBorders>
              <w:top w:val="nil"/>
              <w:left w:val="nil"/>
              <w:bottom w:val="single" w:sz="4" w:space="0" w:color="auto"/>
              <w:right w:val="single" w:sz="4" w:space="0" w:color="auto"/>
            </w:tcBorders>
            <w:shd w:val="clear" w:color="auto" w:fill="FFFFFF" w:themeFill="background1"/>
            <w:vAlign w:val="center"/>
          </w:tcPr>
          <w:p w14:paraId="7E3DCD36"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23F694DE"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10.325</w:t>
            </w:r>
          </w:p>
        </w:tc>
        <w:tc>
          <w:tcPr>
            <w:tcW w:w="405" w:type="pct"/>
            <w:tcBorders>
              <w:top w:val="nil"/>
              <w:left w:val="nil"/>
              <w:bottom w:val="single" w:sz="4" w:space="0" w:color="auto"/>
              <w:right w:val="single" w:sz="4" w:space="0" w:color="auto"/>
            </w:tcBorders>
            <w:shd w:val="clear" w:color="auto" w:fill="FFFFFF" w:themeFill="background1"/>
            <w:vAlign w:val="center"/>
          </w:tcPr>
          <w:p w14:paraId="45B9D30D"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04E281BA"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097748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78" w:type="pct"/>
            <w:tcBorders>
              <w:top w:val="nil"/>
              <w:left w:val="nil"/>
              <w:bottom w:val="single" w:sz="4" w:space="0" w:color="auto"/>
              <w:right w:val="single" w:sz="4" w:space="0" w:color="auto"/>
            </w:tcBorders>
            <w:shd w:val="clear" w:color="auto" w:fill="FFFFFF" w:themeFill="background1"/>
            <w:vAlign w:val="center"/>
          </w:tcPr>
          <w:p w14:paraId="4D5EC645"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27.580</w:t>
            </w:r>
          </w:p>
        </w:tc>
      </w:tr>
      <w:tr w:rsidR="00493480" w:rsidRPr="00CA4BD5" w14:paraId="43BD7654" w14:textId="77777777" w:rsidTr="00A3710D">
        <w:trPr>
          <w:trHeight w:val="62"/>
          <w:jc w:val="center"/>
        </w:trPr>
        <w:tc>
          <w:tcPr>
            <w:tcW w:w="452" w:type="pct"/>
            <w:tcBorders>
              <w:top w:val="nil"/>
              <w:left w:val="single" w:sz="4" w:space="0" w:color="auto"/>
              <w:bottom w:val="single" w:sz="4" w:space="0" w:color="auto"/>
              <w:right w:val="single" w:sz="4" w:space="0" w:color="auto"/>
            </w:tcBorders>
            <w:hideMark/>
          </w:tcPr>
          <w:p w14:paraId="5872A377"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3.1</w:t>
            </w:r>
          </w:p>
        </w:tc>
        <w:tc>
          <w:tcPr>
            <w:tcW w:w="1643" w:type="pct"/>
            <w:tcBorders>
              <w:top w:val="nil"/>
              <w:left w:val="nil"/>
              <w:bottom w:val="single" w:sz="4" w:space="0" w:color="auto"/>
              <w:right w:val="single" w:sz="4" w:space="0" w:color="auto"/>
            </w:tcBorders>
            <w:shd w:val="clear" w:color="auto" w:fill="FFFFFF" w:themeFill="background1"/>
            <w:hideMark/>
          </w:tcPr>
          <w:p w14:paraId="40F5E2D9"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Financiamiento convenido total (USD)</w:t>
            </w:r>
          </w:p>
        </w:tc>
        <w:tc>
          <w:tcPr>
            <w:tcW w:w="404" w:type="pct"/>
            <w:tcBorders>
              <w:top w:val="nil"/>
              <w:left w:val="nil"/>
              <w:bottom w:val="single" w:sz="4" w:space="0" w:color="auto"/>
              <w:right w:val="single" w:sz="4" w:space="0" w:color="auto"/>
            </w:tcBorders>
            <w:shd w:val="clear" w:color="auto" w:fill="FFFFFF" w:themeFill="background1"/>
            <w:vAlign w:val="center"/>
          </w:tcPr>
          <w:p w14:paraId="340C77C6"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523.200</w:t>
            </w:r>
          </w:p>
        </w:tc>
        <w:tc>
          <w:tcPr>
            <w:tcW w:w="405" w:type="pct"/>
            <w:tcBorders>
              <w:top w:val="nil"/>
              <w:left w:val="nil"/>
              <w:bottom w:val="single" w:sz="4" w:space="0" w:color="auto"/>
              <w:right w:val="single" w:sz="4" w:space="0" w:color="auto"/>
            </w:tcBorders>
            <w:shd w:val="clear" w:color="auto" w:fill="FFFFFF" w:themeFill="background1"/>
            <w:vAlign w:val="center"/>
          </w:tcPr>
          <w:p w14:paraId="5D5BB1B5"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21BD513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413.000</w:t>
            </w:r>
          </w:p>
        </w:tc>
        <w:tc>
          <w:tcPr>
            <w:tcW w:w="405" w:type="pct"/>
            <w:tcBorders>
              <w:top w:val="nil"/>
              <w:left w:val="nil"/>
              <w:bottom w:val="single" w:sz="4" w:space="0" w:color="auto"/>
              <w:right w:val="single" w:sz="4" w:space="0" w:color="auto"/>
            </w:tcBorders>
            <w:shd w:val="clear" w:color="auto" w:fill="FFFFFF" w:themeFill="background1"/>
            <w:vAlign w:val="center"/>
          </w:tcPr>
          <w:p w14:paraId="76E23486"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5F05EEB1"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01A2D971"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104.000</w:t>
            </w:r>
          </w:p>
        </w:tc>
        <w:tc>
          <w:tcPr>
            <w:tcW w:w="478" w:type="pct"/>
            <w:tcBorders>
              <w:top w:val="nil"/>
              <w:left w:val="nil"/>
              <w:bottom w:val="single" w:sz="4" w:space="0" w:color="auto"/>
              <w:right w:val="single" w:sz="4" w:space="0" w:color="auto"/>
            </w:tcBorders>
            <w:shd w:val="clear" w:color="auto" w:fill="FFFFFF" w:themeFill="background1"/>
            <w:vAlign w:val="center"/>
          </w:tcPr>
          <w:p w14:paraId="5F7C6F0F"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1.040.000</w:t>
            </w:r>
          </w:p>
        </w:tc>
      </w:tr>
      <w:tr w:rsidR="00493480" w:rsidRPr="00CA4BD5" w14:paraId="536409FE" w14:textId="77777777" w:rsidTr="00A3710D">
        <w:trPr>
          <w:trHeight w:val="62"/>
          <w:jc w:val="center"/>
        </w:trPr>
        <w:tc>
          <w:tcPr>
            <w:tcW w:w="452" w:type="pct"/>
            <w:tcBorders>
              <w:top w:val="nil"/>
              <w:left w:val="single" w:sz="4" w:space="0" w:color="auto"/>
              <w:bottom w:val="single" w:sz="4" w:space="0" w:color="auto"/>
              <w:right w:val="single" w:sz="4" w:space="0" w:color="auto"/>
            </w:tcBorders>
            <w:hideMark/>
          </w:tcPr>
          <w:p w14:paraId="56715EB0"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3.2</w:t>
            </w:r>
          </w:p>
        </w:tc>
        <w:tc>
          <w:tcPr>
            <w:tcW w:w="1643" w:type="pct"/>
            <w:tcBorders>
              <w:top w:val="nil"/>
              <w:left w:val="nil"/>
              <w:bottom w:val="single" w:sz="4" w:space="0" w:color="auto"/>
              <w:right w:val="single" w:sz="4" w:space="0" w:color="auto"/>
            </w:tcBorders>
            <w:shd w:val="clear" w:color="auto" w:fill="FFFFFF" w:themeFill="background1"/>
            <w:hideMark/>
          </w:tcPr>
          <w:p w14:paraId="564A6E89"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Total gastos de apoyo (USD)</w:t>
            </w:r>
          </w:p>
        </w:tc>
        <w:tc>
          <w:tcPr>
            <w:tcW w:w="404" w:type="pct"/>
            <w:tcBorders>
              <w:top w:val="nil"/>
              <w:left w:val="nil"/>
              <w:bottom w:val="single" w:sz="4" w:space="0" w:color="auto"/>
              <w:right w:val="single" w:sz="4" w:space="0" w:color="auto"/>
            </w:tcBorders>
            <w:shd w:val="clear" w:color="auto" w:fill="FFFFFF" w:themeFill="background1"/>
            <w:vAlign w:val="center"/>
          </w:tcPr>
          <w:p w14:paraId="007F6D7E"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51.950</w:t>
            </w:r>
          </w:p>
        </w:tc>
        <w:tc>
          <w:tcPr>
            <w:tcW w:w="405" w:type="pct"/>
            <w:tcBorders>
              <w:top w:val="nil"/>
              <w:left w:val="nil"/>
              <w:bottom w:val="single" w:sz="4" w:space="0" w:color="auto"/>
              <w:right w:val="single" w:sz="4" w:space="0" w:color="auto"/>
            </w:tcBorders>
            <w:shd w:val="clear" w:color="auto" w:fill="FFFFFF" w:themeFill="background1"/>
            <w:vAlign w:val="center"/>
          </w:tcPr>
          <w:p w14:paraId="33982795"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6F334A6E"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43.640</w:t>
            </w:r>
          </w:p>
        </w:tc>
        <w:tc>
          <w:tcPr>
            <w:tcW w:w="405" w:type="pct"/>
            <w:tcBorders>
              <w:top w:val="nil"/>
              <w:left w:val="nil"/>
              <w:bottom w:val="single" w:sz="4" w:space="0" w:color="auto"/>
              <w:right w:val="single" w:sz="4" w:space="0" w:color="auto"/>
            </w:tcBorders>
            <w:shd w:val="clear" w:color="auto" w:fill="FFFFFF" w:themeFill="background1"/>
            <w:vAlign w:val="center"/>
          </w:tcPr>
          <w:p w14:paraId="1DBB585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37397CFE"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337CDF43"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13.050</w:t>
            </w:r>
          </w:p>
        </w:tc>
        <w:tc>
          <w:tcPr>
            <w:tcW w:w="478" w:type="pct"/>
            <w:tcBorders>
              <w:top w:val="nil"/>
              <w:left w:val="nil"/>
              <w:bottom w:val="single" w:sz="4" w:space="0" w:color="auto"/>
              <w:right w:val="single" w:sz="4" w:space="0" w:color="auto"/>
            </w:tcBorders>
            <w:shd w:val="clear" w:color="auto" w:fill="FFFFFF" w:themeFill="background1"/>
            <w:vAlign w:val="center"/>
          </w:tcPr>
          <w:p w14:paraId="588DCFA6"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108.640</w:t>
            </w:r>
          </w:p>
        </w:tc>
      </w:tr>
      <w:tr w:rsidR="00493480" w:rsidRPr="00CA4BD5" w14:paraId="1FEA8961" w14:textId="77777777" w:rsidTr="00A3710D">
        <w:trPr>
          <w:trHeight w:val="53"/>
          <w:jc w:val="center"/>
        </w:trPr>
        <w:tc>
          <w:tcPr>
            <w:tcW w:w="452" w:type="pct"/>
            <w:tcBorders>
              <w:top w:val="nil"/>
              <w:left w:val="single" w:sz="4" w:space="0" w:color="auto"/>
              <w:bottom w:val="single" w:sz="4" w:space="0" w:color="auto"/>
              <w:right w:val="single" w:sz="4" w:space="0" w:color="auto"/>
            </w:tcBorders>
            <w:hideMark/>
          </w:tcPr>
          <w:p w14:paraId="3FE02453"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3.3</w:t>
            </w:r>
          </w:p>
        </w:tc>
        <w:tc>
          <w:tcPr>
            <w:tcW w:w="1643" w:type="pct"/>
            <w:tcBorders>
              <w:top w:val="nil"/>
              <w:left w:val="nil"/>
              <w:bottom w:val="single" w:sz="4" w:space="0" w:color="auto"/>
              <w:right w:val="single" w:sz="4" w:space="0" w:color="auto"/>
            </w:tcBorders>
            <w:shd w:val="clear" w:color="auto" w:fill="FFFFFF" w:themeFill="background1"/>
            <w:hideMark/>
          </w:tcPr>
          <w:p w14:paraId="14DE4FD5"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Total costos convenidos (USD)</w:t>
            </w:r>
          </w:p>
        </w:tc>
        <w:tc>
          <w:tcPr>
            <w:tcW w:w="404" w:type="pct"/>
            <w:tcBorders>
              <w:top w:val="nil"/>
              <w:left w:val="nil"/>
              <w:bottom w:val="single" w:sz="4" w:space="0" w:color="auto"/>
              <w:right w:val="single" w:sz="4" w:space="0" w:color="auto"/>
            </w:tcBorders>
            <w:shd w:val="clear" w:color="auto" w:fill="FFFFFF" w:themeFill="background1"/>
            <w:vAlign w:val="center"/>
          </w:tcPr>
          <w:p w14:paraId="2FA96364"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574.950</w:t>
            </w:r>
          </w:p>
        </w:tc>
        <w:tc>
          <w:tcPr>
            <w:tcW w:w="405" w:type="pct"/>
            <w:tcBorders>
              <w:top w:val="nil"/>
              <w:left w:val="nil"/>
              <w:bottom w:val="single" w:sz="4" w:space="0" w:color="auto"/>
              <w:right w:val="single" w:sz="4" w:space="0" w:color="auto"/>
            </w:tcBorders>
            <w:shd w:val="clear" w:color="auto" w:fill="FFFFFF" w:themeFill="background1"/>
            <w:vAlign w:val="center"/>
          </w:tcPr>
          <w:p w14:paraId="1056B1F9"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nil"/>
              <w:left w:val="nil"/>
              <w:bottom w:val="single" w:sz="4" w:space="0" w:color="auto"/>
              <w:right w:val="single" w:sz="4" w:space="0" w:color="auto"/>
            </w:tcBorders>
            <w:shd w:val="clear" w:color="auto" w:fill="FFFFFF" w:themeFill="background1"/>
            <w:vAlign w:val="center"/>
          </w:tcPr>
          <w:p w14:paraId="68F64B3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456.640</w:t>
            </w:r>
          </w:p>
        </w:tc>
        <w:tc>
          <w:tcPr>
            <w:tcW w:w="405" w:type="pct"/>
            <w:tcBorders>
              <w:top w:val="nil"/>
              <w:left w:val="nil"/>
              <w:bottom w:val="single" w:sz="4" w:space="0" w:color="auto"/>
              <w:right w:val="single" w:sz="4" w:space="0" w:color="auto"/>
            </w:tcBorders>
            <w:shd w:val="clear" w:color="auto" w:fill="FFFFFF" w:themeFill="background1"/>
            <w:vAlign w:val="center"/>
          </w:tcPr>
          <w:p w14:paraId="4BB13C53"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4" w:type="pct"/>
            <w:tcBorders>
              <w:top w:val="single" w:sz="4" w:space="0" w:color="auto"/>
              <w:left w:val="nil"/>
              <w:bottom w:val="single" w:sz="4" w:space="0" w:color="auto"/>
              <w:right w:val="single" w:sz="4" w:space="0" w:color="auto"/>
            </w:tcBorders>
            <w:shd w:val="clear" w:color="auto" w:fill="FFFFFF" w:themeFill="background1"/>
            <w:vAlign w:val="center"/>
          </w:tcPr>
          <w:p w14:paraId="69641BD5"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c>
          <w:tcPr>
            <w:tcW w:w="405" w:type="pct"/>
            <w:tcBorders>
              <w:top w:val="nil"/>
              <w:left w:val="single" w:sz="4" w:space="0" w:color="auto"/>
              <w:bottom w:val="single" w:sz="4" w:space="0" w:color="auto"/>
              <w:right w:val="single" w:sz="4" w:space="0" w:color="auto"/>
            </w:tcBorders>
            <w:shd w:val="clear" w:color="auto" w:fill="FFFFFF" w:themeFill="background1"/>
            <w:vAlign w:val="center"/>
          </w:tcPr>
          <w:p w14:paraId="408CB8DC"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117.050</w:t>
            </w:r>
          </w:p>
        </w:tc>
        <w:tc>
          <w:tcPr>
            <w:tcW w:w="478" w:type="pct"/>
            <w:tcBorders>
              <w:top w:val="nil"/>
              <w:left w:val="nil"/>
              <w:bottom w:val="single" w:sz="4" w:space="0" w:color="auto"/>
              <w:right w:val="single" w:sz="4" w:space="0" w:color="auto"/>
            </w:tcBorders>
            <w:shd w:val="clear" w:color="auto" w:fill="FFFFFF" w:themeFill="background1"/>
            <w:vAlign w:val="center"/>
          </w:tcPr>
          <w:p w14:paraId="719C9AC6"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1.148.640</w:t>
            </w:r>
          </w:p>
        </w:tc>
      </w:tr>
      <w:tr w:rsidR="00493480" w:rsidRPr="00CA4BD5" w14:paraId="744EADB9" w14:textId="77777777" w:rsidTr="00A3710D">
        <w:trPr>
          <w:trHeight w:val="53"/>
          <w:jc w:val="center"/>
        </w:trPr>
        <w:tc>
          <w:tcPr>
            <w:tcW w:w="452" w:type="pct"/>
            <w:tcBorders>
              <w:top w:val="single" w:sz="4" w:space="0" w:color="auto"/>
              <w:left w:val="single" w:sz="4" w:space="0" w:color="auto"/>
              <w:bottom w:val="single" w:sz="4" w:space="0" w:color="auto"/>
              <w:right w:val="single" w:sz="4" w:space="0" w:color="auto"/>
            </w:tcBorders>
            <w:hideMark/>
          </w:tcPr>
          <w:p w14:paraId="03A51400"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4.1.1</w:t>
            </w:r>
          </w:p>
        </w:tc>
        <w:tc>
          <w:tcPr>
            <w:tcW w:w="4070" w:type="pct"/>
            <w:gridSpan w:val="7"/>
            <w:tcBorders>
              <w:top w:val="single" w:sz="4" w:space="0" w:color="auto"/>
              <w:left w:val="nil"/>
              <w:bottom w:val="single" w:sz="4" w:space="0" w:color="auto"/>
              <w:right w:val="single" w:sz="4" w:space="0" w:color="000000"/>
            </w:tcBorders>
          </w:tcPr>
          <w:p w14:paraId="6EFCFB98"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Eliminación total de HCFC-22 convenida en el presente Acuerdo (tons. PAO)</w:t>
            </w:r>
          </w:p>
        </w:tc>
        <w:tc>
          <w:tcPr>
            <w:tcW w:w="478" w:type="pct"/>
            <w:tcBorders>
              <w:top w:val="single" w:sz="4" w:space="0" w:color="auto"/>
              <w:left w:val="nil"/>
              <w:bottom w:val="single" w:sz="4" w:space="0" w:color="auto"/>
              <w:right w:val="single" w:sz="4" w:space="0" w:color="auto"/>
            </w:tcBorders>
            <w:shd w:val="clear" w:color="auto" w:fill="FFFFFF" w:themeFill="background1"/>
          </w:tcPr>
          <w:p w14:paraId="7A4CEDE0"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9,80</w:t>
            </w:r>
          </w:p>
        </w:tc>
      </w:tr>
      <w:tr w:rsidR="00493480" w:rsidRPr="00CA4BD5" w14:paraId="3FA52D1E" w14:textId="77777777" w:rsidTr="00A3710D">
        <w:trPr>
          <w:trHeight w:val="116"/>
          <w:jc w:val="center"/>
        </w:trPr>
        <w:tc>
          <w:tcPr>
            <w:tcW w:w="452" w:type="pct"/>
            <w:tcBorders>
              <w:top w:val="nil"/>
              <w:left w:val="single" w:sz="4" w:space="0" w:color="auto"/>
              <w:bottom w:val="single" w:sz="4" w:space="0" w:color="auto"/>
              <w:right w:val="single" w:sz="4" w:space="0" w:color="auto"/>
            </w:tcBorders>
            <w:hideMark/>
          </w:tcPr>
          <w:p w14:paraId="096B7C16"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4.1.2</w:t>
            </w:r>
          </w:p>
        </w:tc>
        <w:tc>
          <w:tcPr>
            <w:tcW w:w="4070" w:type="pct"/>
            <w:gridSpan w:val="7"/>
            <w:tcBorders>
              <w:top w:val="single" w:sz="4" w:space="0" w:color="auto"/>
              <w:left w:val="nil"/>
              <w:bottom w:val="single" w:sz="4" w:space="0" w:color="auto"/>
              <w:right w:val="single" w:sz="4" w:space="0" w:color="000000"/>
            </w:tcBorders>
          </w:tcPr>
          <w:p w14:paraId="7B83FE6D"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Eliminación de HCFC-22 prevista en proyectos previamente aprobados (tons. PAO)</w:t>
            </w:r>
          </w:p>
        </w:tc>
        <w:tc>
          <w:tcPr>
            <w:tcW w:w="478" w:type="pct"/>
            <w:tcBorders>
              <w:top w:val="nil"/>
              <w:left w:val="nil"/>
              <w:bottom w:val="single" w:sz="4" w:space="0" w:color="auto"/>
              <w:right w:val="single" w:sz="4" w:space="0" w:color="auto"/>
            </w:tcBorders>
            <w:shd w:val="clear" w:color="auto" w:fill="FFFFFF" w:themeFill="background1"/>
          </w:tcPr>
          <w:p w14:paraId="11C4A2C5"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5,20</w:t>
            </w:r>
          </w:p>
        </w:tc>
      </w:tr>
      <w:tr w:rsidR="00493480" w:rsidRPr="00CA4BD5" w14:paraId="72470C16" w14:textId="77777777" w:rsidTr="00A3710D">
        <w:trPr>
          <w:trHeight w:val="98"/>
          <w:jc w:val="center"/>
        </w:trPr>
        <w:tc>
          <w:tcPr>
            <w:tcW w:w="452" w:type="pct"/>
            <w:tcBorders>
              <w:top w:val="nil"/>
              <w:left w:val="single" w:sz="4" w:space="0" w:color="auto"/>
              <w:bottom w:val="single" w:sz="4" w:space="0" w:color="auto"/>
              <w:right w:val="single" w:sz="4" w:space="0" w:color="auto"/>
            </w:tcBorders>
            <w:hideMark/>
          </w:tcPr>
          <w:p w14:paraId="3EC0B1AA" w14:textId="77777777" w:rsidR="00493480" w:rsidRPr="00CA4BD5" w:rsidRDefault="00493480" w:rsidP="00A3710D">
            <w:pPr>
              <w:jc w:val="left"/>
              <w:rPr>
                <w:color w:val="000000"/>
                <w:sz w:val="18"/>
                <w:szCs w:val="18"/>
                <w:lang w:val="es-419" w:eastAsia="en-CA"/>
              </w:rPr>
            </w:pPr>
            <w:r w:rsidRPr="00CA4BD5">
              <w:rPr>
                <w:color w:val="000000"/>
                <w:sz w:val="18"/>
                <w:szCs w:val="18"/>
                <w:lang w:val="es-419" w:eastAsia="en-CA"/>
              </w:rPr>
              <w:t>4.1.3</w:t>
            </w:r>
          </w:p>
        </w:tc>
        <w:tc>
          <w:tcPr>
            <w:tcW w:w="4070" w:type="pct"/>
            <w:gridSpan w:val="7"/>
            <w:tcBorders>
              <w:top w:val="single" w:sz="4" w:space="0" w:color="auto"/>
              <w:left w:val="nil"/>
              <w:bottom w:val="single" w:sz="4" w:space="0" w:color="auto"/>
              <w:right w:val="single" w:sz="4" w:space="0" w:color="000000"/>
            </w:tcBorders>
          </w:tcPr>
          <w:p w14:paraId="016C9177" w14:textId="77777777" w:rsidR="00493480" w:rsidRPr="00CA4BD5" w:rsidRDefault="00493480" w:rsidP="00A3710D">
            <w:pPr>
              <w:jc w:val="left"/>
              <w:rPr>
                <w:color w:val="000000"/>
                <w:sz w:val="18"/>
                <w:szCs w:val="18"/>
                <w:lang w:val="es-419" w:eastAsia="en-CA"/>
              </w:rPr>
            </w:pPr>
            <w:r w:rsidRPr="00CA4BD5">
              <w:rPr>
                <w:color w:val="000000"/>
                <w:sz w:val="19"/>
                <w:szCs w:val="19"/>
                <w:lang w:val="es-419" w:eastAsia="en-CA"/>
              </w:rPr>
              <w:t>Consumo admisible remanente de HCFC-22 (tons. PAO)</w:t>
            </w:r>
          </w:p>
        </w:tc>
        <w:tc>
          <w:tcPr>
            <w:tcW w:w="478" w:type="pct"/>
            <w:tcBorders>
              <w:top w:val="nil"/>
              <w:left w:val="nil"/>
              <w:bottom w:val="single" w:sz="4" w:space="0" w:color="auto"/>
              <w:right w:val="single" w:sz="4" w:space="0" w:color="auto"/>
            </w:tcBorders>
            <w:shd w:val="clear" w:color="auto" w:fill="FFFFFF" w:themeFill="background1"/>
          </w:tcPr>
          <w:p w14:paraId="3D153961" w14:textId="77777777" w:rsidR="00493480" w:rsidRPr="00CA4BD5" w:rsidRDefault="00493480" w:rsidP="00A3710D">
            <w:pPr>
              <w:jc w:val="right"/>
              <w:rPr>
                <w:color w:val="000000"/>
                <w:sz w:val="18"/>
                <w:szCs w:val="18"/>
                <w:lang w:val="es-419" w:eastAsia="en-CA"/>
              </w:rPr>
            </w:pPr>
            <w:r w:rsidRPr="00CA4BD5">
              <w:rPr>
                <w:color w:val="000000"/>
                <w:sz w:val="18"/>
                <w:szCs w:val="18"/>
                <w:lang w:val="es-419" w:eastAsia="en-CA"/>
              </w:rPr>
              <w:t>0</w:t>
            </w:r>
          </w:p>
        </w:tc>
      </w:tr>
    </w:tbl>
    <w:p w14:paraId="4713714C" w14:textId="7FB7D296" w:rsidR="0045500D" w:rsidRPr="002232A4" w:rsidRDefault="00563DA8" w:rsidP="0045500D">
      <w:pPr>
        <w:pStyle w:val="Heading1"/>
        <w:numPr>
          <w:ilvl w:val="0"/>
          <w:numId w:val="0"/>
        </w:numPr>
        <w:rPr>
          <w:sz w:val="18"/>
          <w:szCs w:val="16"/>
          <w:lang w:val="es-419"/>
        </w:rPr>
      </w:pPr>
      <w:r w:rsidRPr="002232A4">
        <w:rPr>
          <w:sz w:val="18"/>
          <w:szCs w:val="16"/>
          <w:lang w:val="es-419"/>
        </w:rPr>
        <w:t xml:space="preserve">* </w:t>
      </w:r>
      <w:r w:rsidR="0045500D" w:rsidRPr="002232A4">
        <w:rPr>
          <w:sz w:val="18"/>
          <w:szCs w:val="16"/>
          <w:lang w:val="es-419"/>
        </w:rPr>
        <w:t>La fecha de terminación de la etapa I es el 30 de junio de 2025, según la decisión 96/11.</w:t>
      </w:r>
    </w:p>
    <w:p w14:paraId="0F356E84" w14:textId="77777777" w:rsidR="00096356" w:rsidRPr="002232A4" w:rsidRDefault="00096356" w:rsidP="00096356">
      <w:pPr>
        <w:keepNext/>
        <w:spacing w:before="360" w:after="240"/>
        <w:rPr>
          <w:b/>
          <w:lang w:val="es-419"/>
        </w:rPr>
      </w:pPr>
      <w:r w:rsidRPr="002232A4">
        <w:rPr>
          <w:b/>
          <w:lang w:val="es-419"/>
        </w:rPr>
        <w:t>APÉNDICE 3-A: CALENDARIO DE APROBACIÓN DEL FINANCIAMIENTO</w:t>
      </w:r>
    </w:p>
    <w:p w14:paraId="3B1134CD" w14:textId="0FDD657B" w:rsidR="00563DA8" w:rsidRPr="002232A4" w:rsidRDefault="00096356" w:rsidP="00092AB2">
      <w:pPr>
        <w:pStyle w:val="Heading1"/>
        <w:numPr>
          <w:ilvl w:val="0"/>
          <w:numId w:val="11"/>
        </w:numPr>
        <w:rPr>
          <w:lang w:val="es-419"/>
        </w:rPr>
      </w:pPr>
      <w:r w:rsidRPr="002232A4">
        <w:rPr>
          <w:lang w:val="es-419"/>
        </w:rPr>
        <w:t>La aprobación del financiamiento de tramos futuros se someterá a consideración en la segunda reunión del año que indica el Apéndice 2-A</w:t>
      </w:r>
      <w:r w:rsidR="00563DA8" w:rsidRPr="002232A4">
        <w:rPr>
          <w:lang w:val="es-419"/>
        </w:rPr>
        <w:t>.</w:t>
      </w:r>
    </w:p>
    <w:p w14:paraId="1E236229" w14:textId="457C7C74" w:rsidR="00563DA8" w:rsidRPr="002232A4" w:rsidRDefault="00096356" w:rsidP="004A4122">
      <w:pPr>
        <w:keepNext/>
        <w:spacing w:before="360" w:after="240"/>
        <w:rPr>
          <w:b/>
          <w:lang w:val="es-419"/>
        </w:rPr>
      </w:pPr>
      <w:r w:rsidRPr="002232A4">
        <w:rPr>
          <w:b/>
          <w:lang w:val="es-419"/>
        </w:rPr>
        <w:lastRenderedPageBreak/>
        <w:t>APÉNDICE 4-A: FORMATO DE INFORMES Y PLANES DE EJECUCIÓN DE TRAMOS</w:t>
      </w:r>
    </w:p>
    <w:p w14:paraId="4E796F86" w14:textId="1A9ABDDE" w:rsidR="00563DA8" w:rsidRPr="002232A4" w:rsidRDefault="00096356" w:rsidP="00092AB2">
      <w:pPr>
        <w:pStyle w:val="Heading1"/>
        <w:numPr>
          <w:ilvl w:val="0"/>
          <w:numId w:val="12"/>
        </w:numPr>
        <w:rPr>
          <w:lang w:val="es-419"/>
        </w:rPr>
      </w:pPr>
      <w:r w:rsidRPr="002232A4">
        <w:rPr>
          <w:lang w:val="es-419"/>
        </w:rPr>
        <w:t>Los informes y planes de ejecución de cada solicitud de tramo constarán de cinco partes</w:t>
      </w:r>
      <w:r w:rsidR="00563DA8" w:rsidRPr="002232A4">
        <w:rPr>
          <w:lang w:val="es-419"/>
        </w:rPr>
        <w:t>:</w:t>
      </w:r>
    </w:p>
    <w:p w14:paraId="23B83D1A" w14:textId="47969AB5" w:rsidR="00563DA8" w:rsidRPr="002232A4" w:rsidRDefault="00096356" w:rsidP="00AE18D6">
      <w:pPr>
        <w:pStyle w:val="Heading2"/>
        <w:widowControl/>
        <w:numPr>
          <w:ilvl w:val="1"/>
          <w:numId w:val="1"/>
        </w:numPr>
        <w:ind w:left="1440" w:hanging="720"/>
        <w:rPr>
          <w:lang w:val="es-419"/>
        </w:rPr>
      </w:pPr>
      <w:r w:rsidRPr="002232A4">
        <w:rPr>
          <w:lang w:val="es-419"/>
        </w:rPr>
        <w:t>Un informe descriptivo de los avances por tramo logrados desde el informe anterior que refleje el estado de situación del País en cuanto a la eliminación de las Sustancias, la contribución de las distintas actividades, y cómo éstas se relacionan entre sí. Debe incluir la eliminación de SAO lograda como resultado directo de la ejecución de las actividades, por sustancia, así como la tecnología alternativa utilizada y su introducción gradual a fin de que la Secretaría pueda informar al Comité Ejecutivo sobre el consiguiente cambio en las emisiones que afectan al clima. El informe debe además destacar los logros, experiencias y problemas relativos a las actividades contempladas en el Plan, haciendo constar los cambios que pudieran haberse operado en las circunstancias del País y otros antecedentes relevantes. El informe también deberá notificar y justificar los cambios respecto de los planes de ejecución de tramos anteriores, tales como retrasos, reasignación de fondos durante la ejecución conforme lo permite el párrafo 7, y otros</w:t>
      </w:r>
      <w:r w:rsidR="00563DA8" w:rsidRPr="002232A4">
        <w:rPr>
          <w:lang w:val="es-419"/>
        </w:rPr>
        <w:t>;</w:t>
      </w:r>
    </w:p>
    <w:p w14:paraId="6E0CC49E" w14:textId="17561638" w:rsidR="00563DA8" w:rsidRPr="002232A4" w:rsidRDefault="00096356" w:rsidP="00AE18D6">
      <w:pPr>
        <w:pStyle w:val="Heading2"/>
        <w:widowControl/>
        <w:numPr>
          <w:ilvl w:val="1"/>
          <w:numId w:val="1"/>
        </w:numPr>
        <w:tabs>
          <w:tab w:val="num" w:pos="-720"/>
        </w:tabs>
        <w:ind w:left="1440" w:hanging="720"/>
        <w:rPr>
          <w:lang w:val="es-419"/>
        </w:rPr>
      </w:pPr>
      <w:r w:rsidRPr="002232A4">
        <w:rPr>
          <w:lang w:val="es-419"/>
        </w:rPr>
        <w:t>Una verificación independiente de los resultados del Plan y del consumo de las Sustancias, según lo previsto en el párrafo 5 b) del Acuerdo. Salvo indicación en contrario del Comité Ejecutivo, este informe de verificación se deberá acompañar a cada solicitud de tramo y deberá abarcar el consumo de todos los años especificados en el párrafo 5 a) para los que el Comité manifieste no haber recibido aún el informe de verificación</w:t>
      </w:r>
      <w:r w:rsidR="00563DA8" w:rsidRPr="002232A4">
        <w:rPr>
          <w:lang w:val="es-419"/>
        </w:rPr>
        <w:t>;</w:t>
      </w:r>
    </w:p>
    <w:p w14:paraId="7ADFC7BF" w14:textId="495C0AA2" w:rsidR="00563DA8" w:rsidRPr="002232A4" w:rsidRDefault="00096356" w:rsidP="00AE18D6">
      <w:pPr>
        <w:pStyle w:val="Heading2"/>
        <w:widowControl/>
        <w:numPr>
          <w:ilvl w:val="1"/>
          <w:numId w:val="1"/>
        </w:numPr>
        <w:tabs>
          <w:tab w:val="num" w:pos="-720"/>
        </w:tabs>
        <w:ind w:left="1440" w:hanging="720"/>
        <w:rPr>
          <w:lang w:val="es-419"/>
        </w:rPr>
      </w:pPr>
      <w:r w:rsidRPr="002232A4">
        <w:rPr>
          <w:lang w:val="es-419"/>
        </w:rPr>
        <w:t>Una descripción escrita de las actividades de cada ejercicio contemplado en el período de la solicitud, destacando los plazos programados, fecha de término e interdependencia entre actividades e incorporando las experiencias adquiridas y avances logrados en la ejecución de tramos anteriores. Debe asimismo contener una referencia general al Plan, a los avances logrados y a los posibles cambios previstos en el plan general, especificando y explicando en detalle cualquier cambio. La descripción de futuras actividades se podrá presentar como parte del informe descriptivo previsto en el párrafo a) anterior</w:t>
      </w:r>
      <w:r w:rsidR="00563DA8" w:rsidRPr="002232A4">
        <w:rPr>
          <w:lang w:val="es-419"/>
        </w:rPr>
        <w:t>;</w:t>
      </w:r>
    </w:p>
    <w:p w14:paraId="75FEEF62" w14:textId="5572C86C" w:rsidR="00563DA8" w:rsidRPr="002232A4" w:rsidRDefault="00096356" w:rsidP="00AE18D6">
      <w:pPr>
        <w:pStyle w:val="Heading2"/>
        <w:widowControl/>
        <w:numPr>
          <w:ilvl w:val="1"/>
          <w:numId w:val="1"/>
        </w:numPr>
        <w:tabs>
          <w:tab w:val="num" w:pos="-720"/>
        </w:tabs>
        <w:ind w:left="1440" w:hanging="720"/>
        <w:rPr>
          <w:lang w:val="es-419"/>
        </w:rPr>
      </w:pPr>
      <w:r w:rsidRPr="002232A4">
        <w:rPr>
          <w:lang w:val="es-419"/>
        </w:rPr>
        <w:t>Una matriz de datos cuantitativos sobre todos los informes y planes de ejecución de tramos, a presentar a través de una base de datos en línea; y</w:t>
      </w:r>
    </w:p>
    <w:p w14:paraId="50326C53" w14:textId="52EA1F14" w:rsidR="00563DA8" w:rsidRPr="002232A4" w:rsidRDefault="00096356" w:rsidP="00AE18D6">
      <w:pPr>
        <w:pStyle w:val="Heading2"/>
        <w:widowControl/>
        <w:numPr>
          <w:ilvl w:val="1"/>
          <w:numId w:val="1"/>
        </w:numPr>
        <w:tabs>
          <w:tab w:val="num" w:pos="-720"/>
        </w:tabs>
        <w:ind w:left="1440" w:hanging="720"/>
        <w:rPr>
          <w:lang w:val="es-419"/>
        </w:rPr>
      </w:pPr>
      <w:r w:rsidRPr="002232A4">
        <w:rPr>
          <w:lang w:val="es-419"/>
        </w:rPr>
        <w:t>Un resumen ejecutivo de unos cinco párrafos con una síntesis de la información estipulada en los párrafos 1 a) a 1 d) anteriores</w:t>
      </w:r>
      <w:r w:rsidR="00563DA8" w:rsidRPr="002232A4">
        <w:rPr>
          <w:lang w:val="es-419"/>
        </w:rPr>
        <w:t>.</w:t>
      </w:r>
    </w:p>
    <w:p w14:paraId="39729162" w14:textId="05B1E31D" w:rsidR="00563DA8" w:rsidRPr="002232A4" w:rsidRDefault="00096356" w:rsidP="008B7359">
      <w:pPr>
        <w:pStyle w:val="Heading1"/>
        <w:rPr>
          <w:lang w:val="es-419"/>
        </w:rPr>
      </w:pPr>
      <w:r w:rsidRPr="002232A4">
        <w:rPr>
          <w:lang w:val="es-419"/>
        </w:rPr>
        <w:t>Cuando en un mismo año se estén ejecutando en paralelo dos etapas del Plan, al elaborar los informes y planes de ejecución de tramos se deberá tener en cuenta lo siguiente</w:t>
      </w:r>
      <w:r w:rsidR="00563DA8" w:rsidRPr="002232A4">
        <w:rPr>
          <w:lang w:val="es-419"/>
        </w:rPr>
        <w:t>:</w:t>
      </w:r>
    </w:p>
    <w:p w14:paraId="7B401F49" w14:textId="787AF3A2" w:rsidR="00563DA8" w:rsidRPr="002232A4" w:rsidRDefault="00096356" w:rsidP="00F2629E">
      <w:pPr>
        <w:pStyle w:val="Heading2"/>
        <w:widowControl/>
        <w:numPr>
          <w:ilvl w:val="1"/>
          <w:numId w:val="1"/>
        </w:numPr>
        <w:tabs>
          <w:tab w:val="num" w:pos="-720"/>
        </w:tabs>
        <w:ind w:left="1440" w:hanging="720"/>
        <w:rPr>
          <w:lang w:val="es-419"/>
        </w:rPr>
      </w:pPr>
      <w:r w:rsidRPr="002232A4">
        <w:rPr>
          <w:lang w:val="es-419"/>
        </w:rPr>
        <w:t>Los informes y planes de ejecución de tramos previstos en el presente Acuerdo deberán abarcar únicamente las actividades y fondos aquí contemplados; y</w:t>
      </w:r>
    </w:p>
    <w:p w14:paraId="65FD26AF" w14:textId="29760844" w:rsidR="00563DA8" w:rsidRPr="002232A4" w:rsidRDefault="00096356" w:rsidP="00F2629E">
      <w:pPr>
        <w:pStyle w:val="Heading2"/>
        <w:widowControl/>
        <w:numPr>
          <w:ilvl w:val="1"/>
          <w:numId w:val="1"/>
        </w:numPr>
        <w:tabs>
          <w:tab w:val="num" w:pos="-720"/>
        </w:tabs>
        <w:ind w:left="1440" w:hanging="720"/>
        <w:rPr>
          <w:lang w:val="es-419"/>
        </w:rPr>
      </w:pPr>
      <w:r w:rsidRPr="002232A4">
        <w:rPr>
          <w:lang w:val="es-419"/>
        </w:rPr>
        <w:t>Cuando el Apéndice 2-A de cada Acuerdo contemple distintas metas de consumo de HCFC para etapas en curso en un mismo año, servirá de referencia para el cumplimiento de dichos Acuerdos y como base para la verificación independiente la que resulte menor</w:t>
      </w:r>
      <w:r w:rsidR="00563DA8" w:rsidRPr="002232A4">
        <w:rPr>
          <w:lang w:val="es-419"/>
        </w:rPr>
        <w:t>.</w:t>
      </w:r>
    </w:p>
    <w:p w14:paraId="3BC1E875" w14:textId="2FCFE1D1" w:rsidR="00563DA8" w:rsidRPr="002232A4" w:rsidRDefault="00630A91" w:rsidP="00251AD6">
      <w:pPr>
        <w:keepNext/>
        <w:spacing w:before="360" w:after="240"/>
        <w:rPr>
          <w:b/>
          <w:lang w:val="es-419"/>
        </w:rPr>
      </w:pPr>
      <w:r w:rsidRPr="002232A4">
        <w:rPr>
          <w:b/>
          <w:lang w:val="es-419"/>
        </w:rPr>
        <w:t>APÉNDICE 5-A: INSTITUCIONES Y FUNCIONES DE SUPERVISIÓN</w:t>
      </w:r>
    </w:p>
    <w:p w14:paraId="6029203F" w14:textId="24C6F9CA" w:rsidR="00630A91" w:rsidRPr="00AB4DD3" w:rsidRDefault="00630A91" w:rsidP="00092AB2">
      <w:pPr>
        <w:pStyle w:val="ListParagraph"/>
        <w:numPr>
          <w:ilvl w:val="0"/>
          <w:numId w:val="13"/>
        </w:numPr>
        <w:spacing w:before="100" w:beforeAutospacing="1" w:after="100" w:afterAutospacing="1"/>
        <w:ind w:left="90" w:firstLine="0"/>
        <w:rPr>
          <w:lang w:val="es-419" w:eastAsia="en-CA"/>
        </w:rPr>
      </w:pPr>
      <w:r w:rsidRPr="00AB4DD3">
        <w:rPr>
          <w:lang w:val="es-419" w:eastAsia="en-CA"/>
        </w:rPr>
        <w:t xml:space="preserve">El Gobierno se encargará de la supervisión general a través de la Oficina Nacional del Ozono (ONO), dependiente de la Dirección Nacional de Saneamiento y Control de la Contaminación y las Molestias del Ministerio de Medio Ambiente, Saneamiento y Desarrollo Sostenible, con la asistencia del </w:t>
      </w:r>
      <w:r w:rsidRPr="00AB4DD3">
        <w:rPr>
          <w:lang w:val="es-419" w:eastAsia="en-CA"/>
        </w:rPr>
        <w:lastRenderedPageBreak/>
        <w:t>organismo principal. La ONO presentará informes anuales sobre los avances en la ejecución del Plan al organismo principal.</w:t>
      </w:r>
    </w:p>
    <w:p w14:paraId="050EBF2D" w14:textId="77777777" w:rsidR="00630A91" w:rsidRPr="00AB4DD3" w:rsidRDefault="00630A91" w:rsidP="00AB4DD3">
      <w:pPr>
        <w:pStyle w:val="ListParagraph"/>
        <w:spacing w:before="100" w:beforeAutospacing="1" w:after="100" w:afterAutospacing="1"/>
        <w:ind w:left="630" w:hanging="630"/>
        <w:rPr>
          <w:lang w:val="es-419" w:eastAsia="en-CA"/>
        </w:rPr>
      </w:pPr>
    </w:p>
    <w:p w14:paraId="29BA779F" w14:textId="1BEA42BB" w:rsidR="00251AD6" w:rsidRPr="00AB4DD3" w:rsidRDefault="00630A91" w:rsidP="00092AB2">
      <w:pPr>
        <w:pStyle w:val="ListParagraph"/>
        <w:numPr>
          <w:ilvl w:val="0"/>
          <w:numId w:val="13"/>
        </w:numPr>
        <w:spacing w:before="100" w:beforeAutospacing="1" w:after="100" w:afterAutospacing="1"/>
        <w:ind w:left="90" w:firstLine="0"/>
        <w:rPr>
          <w:lang w:val="es-419" w:eastAsia="en-CA"/>
        </w:rPr>
      </w:pPr>
      <w:r w:rsidRPr="00AB4DD3">
        <w:rPr>
          <w:lang w:val="es-419"/>
        </w:rPr>
        <w:t>El consumo se supervisará y determinará a partir de los datos oficiales de importación y exportación de sustancias registrados por los departamentos gubernamentales pertinentes. La ONO recopilará y comunicará los siguientes datos e información cada año, en las fechas límite pertinentes o antes de ellas</w:t>
      </w:r>
      <w:r w:rsidR="00251AD6" w:rsidRPr="00AB4DD3">
        <w:rPr>
          <w:lang w:val="es-419"/>
        </w:rPr>
        <w:t>:</w:t>
      </w:r>
    </w:p>
    <w:p w14:paraId="57D1988A" w14:textId="38267A08" w:rsidR="00AB4DD3" w:rsidRDefault="00630A91" w:rsidP="00AB4DD3">
      <w:pPr>
        <w:pStyle w:val="Heading4"/>
        <w:ind w:left="1710" w:hanging="990"/>
        <w:rPr>
          <w:lang w:val="es-419"/>
        </w:rPr>
      </w:pPr>
      <w:r w:rsidRPr="002232A4">
        <w:rPr>
          <w:lang w:val="es-419"/>
        </w:rPr>
        <w:t>Informes sobre el consumo de las sustancias que se presentarán a la Secretaría del Protocolo de Montreal de conformidad con el artículo 7 del Protocolo de Montreal; y</w:t>
      </w:r>
    </w:p>
    <w:p w14:paraId="1CA6ED4E" w14:textId="372462A4" w:rsidR="00251AD6" w:rsidRPr="00AB4DD3" w:rsidRDefault="00636207" w:rsidP="00AB4DD3">
      <w:pPr>
        <w:pStyle w:val="Heading4"/>
        <w:tabs>
          <w:tab w:val="clear" w:pos="-90"/>
          <w:tab w:val="num" w:pos="720"/>
        </w:tabs>
        <w:ind w:left="1710" w:hanging="990"/>
        <w:rPr>
          <w:lang w:val="es-419"/>
        </w:rPr>
      </w:pPr>
      <w:r w:rsidRPr="00AB4DD3">
        <w:rPr>
          <w:lang w:val="es-419"/>
        </w:rPr>
        <w:t>Informes sobre los datos del programa país que se presentarán a la Secretaría del Fondo Multilateral.</w:t>
      </w:r>
    </w:p>
    <w:p w14:paraId="4AEA88A6" w14:textId="63ACC8AF" w:rsidR="00251AD6" w:rsidRPr="00AB4DD3" w:rsidRDefault="00636207" w:rsidP="00AB4DD3">
      <w:pPr>
        <w:pStyle w:val="Heading1"/>
        <w:ind w:left="90"/>
        <w:rPr>
          <w:kern w:val="36"/>
          <w:lang w:val="es-419"/>
        </w:rPr>
      </w:pPr>
      <w:r w:rsidRPr="002232A4">
        <w:rPr>
          <w:kern w:val="36"/>
          <w:lang w:val="es-419"/>
        </w:rPr>
        <w:t xml:space="preserve">La supervisión del desarrollo del Plan y la verificación del cumplimiento de los objetivos de rendimiento se asignarán a una empresa local independiente o a consultores locales independientes por parte del organismo principal. La empresa o los consultores responsables de la verificación tendrán pleno acceso a la información técnica y financiera pertinente relacionada con la implementación </w:t>
      </w:r>
      <w:r w:rsidRPr="00AB4DD3">
        <w:rPr>
          <w:kern w:val="36"/>
          <w:lang w:val="es-419"/>
        </w:rPr>
        <w:t>del Plan</w:t>
      </w:r>
      <w:r w:rsidR="00B23892" w:rsidRPr="00AB4DD3">
        <w:rPr>
          <w:kern w:val="36"/>
          <w:lang w:val="es-419"/>
        </w:rPr>
        <w:t>.</w:t>
      </w:r>
    </w:p>
    <w:p w14:paraId="6D0AE633" w14:textId="77777777" w:rsidR="00B23892" w:rsidRPr="002232A4" w:rsidRDefault="00B23892" w:rsidP="00B23892">
      <w:pPr>
        <w:spacing w:before="360" w:after="240"/>
        <w:rPr>
          <w:b/>
          <w:caps/>
          <w:lang w:val="es-419"/>
        </w:rPr>
      </w:pPr>
      <w:r w:rsidRPr="002232A4">
        <w:rPr>
          <w:b/>
          <w:caps/>
          <w:lang w:val="es-419"/>
        </w:rPr>
        <w:t>APÉNDICE 6-A: FUNCIONES DEL ORGANISMO PRINCIPAL</w:t>
      </w:r>
    </w:p>
    <w:p w14:paraId="562E2F22" w14:textId="77777777" w:rsidR="00B23892" w:rsidRPr="00AB4DD3" w:rsidRDefault="00B23892" w:rsidP="00092AB2">
      <w:pPr>
        <w:pStyle w:val="Heading1"/>
        <w:numPr>
          <w:ilvl w:val="0"/>
          <w:numId w:val="15"/>
        </w:numPr>
        <w:rPr>
          <w:lang w:val="es-419"/>
        </w:rPr>
      </w:pPr>
      <w:r w:rsidRPr="00AB4DD3">
        <w:rPr>
          <w:lang w:val="es-419"/>
        </w:rPr>
        <w:t>El organismo principal tendrá, como mínimo, las siguientes responsabilidades:</w:t>
      </w:r>
    </w:p>
    <w:p w14:paraId="31F8CD38" w14:textId="77777777" w:rsidR="00B23892" w:rsidRPr="002232A4" w:rsidRDefault="00B23892" w:rsidP="0055607C">
      <w:pPr>
        <w:pStyle w:val="Heading2"/>
        <w:numPr>
          <w:ilvl w:val="1"/>
          <w:numId w:val="1"/>
        </w:numPr>
        <w:ind w:left="1440" w:hanging="720"/>
        <w:rPr>
          <w:lang w:val="es-419"/>
        </w:rPr>
      </w:pPr>
      <w:r w:rsidRPr="002232A4">
        <w:rPr>
          <w:lang w:val="es-419"/>
        </w:rPr>
        <w:t>Velar por que el desempeño y la gestión financiera se verifiquen según lo previsto en el presente Acuerdo y en los procedimientos y requisitos internos específicos establecidos en el Plan para el País;</w:t>
      </w:r>
    </w:p>
    <w:p w14:paraId="318AA939" w14:textId="77777777" w:rsidR="00B23892" w:rsidRPr="002232A4" w:rsidRDefault="00B23892" w:rsidP="0055607C">
      <w:pPr>
        <w:pStyle w:val="Heading2"/>
        <w:numPr>
          <w:ilvl w:val="1"/>
          <w:numId w:val="1"/>
        </w:numPr>
        <w:ind w:left="1440" w:hanging="720"/>
        <w:rPr>
          <w:lang w:val="es-419"/>
        </w:rPr>
      </w:pPr>
      <w:r w:rsidRPr="002232A4">
        <w:rPr>
          <w:lang w:val="es-419"/>
        </w:rPr>
        <w:t>Colaborar con el País en la elaboración de los informes y planes de ejecución de tramos previstos en el Apéndice 4-A;</w:t>
      </w:r>
    </w:p>
    <w:p w14:paraId="02F4E4F9" w14:textId="77777777" w:rsidR="00B23892" w:rsidRPr="002232A4" w:rsidRDefault="00B23892" w:rsidP="0055607C">
      <w:pPr>
        <w:pStyle w:val="Heading2"/>
        <w:numPr>
          <w:ilvl w:val="1"/>
          <w:numId w:val="1"/>
        </w:numPr>
        <w:ind w:left="1440" w:hanging="720"/>
        <w:rPr>
          <w:lang w:val="es-419"/>
        </w:rPr>
      </w:pPr>
      <w:r w:rsidRPr="002232A4">
        <w:rPr>
          <w:lang w:val="es-419"/>
        </w:rPr>
        <w:t>Proporcionar al Comité Ejecutivo verificación independiente de haberse alcanzado las metas y completado las actividades previstas en el plan de ejecución del tramo, de conformidad con el Apéndice 4-A;</w:t>
      </w:r>
    </w:p>
    <w:p w14:paraId="1B9796DA" w14:textId="77777777" w:rsidR="00B23892" w:rsidRPr="002232A4" w:rsidRDefault="00B23892" w:rsidP="0055607C">
      <w:pPr>
        <w:pStyle w:val="Heading2"/>
        <w:numPr>
          <w:ilvl w:val="1"/>
          <w:numId w:val="1"/>
        </w:numPr>
        <w:ind w:left="1440" w:hanging="720"/>
        <w:rPr>
          <w:lang w:val="es-419"/>
        </w:rPr>
      </w:pPr>
      <w:r w:rsidRPr="002232A4">
        <w:rPr>
          <w:lang w:val="es-419"/>
        </w:rPr>
        <w:t>Actualizar el plan general y los futuros planes de ejecución de tramos de modo que reflejen las experiencias y avances logrados, conforme a los párrafos 1 c) y 1 d) del Apéndice 4-A;</w:t>
      </w:r>
    </w:p>
    <w:p w14:paraId="53118C09" w14:textId="77777777" w:rsidR="00B23892" w:rsidRPr="002232A4" w:rsidRDefault="00B23892" w:rsidP="0055607C">
      <w:pPr>
        <w:pStyle w:val="Heading2"/>
        <w:numPr>
          <w:ilvl w:val="1"/>
          <w:numId w:val="1"/>
        </w:numPr>
        <w:ind w:left="1440" w:hanging="720"/>
        <w:rPr>
          <w:lang w:val="es-419"/>
        </w:rPr>
      </w:pPr>
      <w:r w:rsidRPr="002232A4">
        <w:rPr>
          <w:lang w:val="es-419"/>
        </w:rPr>
        <w:t>Presentar al Comité Ejecutivo los informes y planes de ejecución de tramos y los informes sobre el Plan general especificados en el Apéndice 4-A, los que deberán incluir las actividades que ejecuten los organismos cooperantes;</w:t>
      </w:r>
    </w:p>
    <w:p w14:paraId="43E30924" w14:textId="77777777" w:rsidR="00B23892" w:rsidRPr="002232A4" w:rsidRDefault="00B23892" w:rsidP="0055607C">
      <w:pPr>
        <w:pStyle w:val="Heading2"/>
        <w:numPr>
          <w:ilvl w:val="1"/>
          <w:numId w:val="1"/>
        </w:numPr>
        <w:ind w:left="1440" w:hanging="720"/>
        <w:rPr>
          <w:lang w:val="es-419"/>
        </w:rPr>
      </w:pPr>
      <w:r w:rsidRPr="002232A4">
        <w:rPr>
          <w:lang w:val="es-419"/>
        </w:rPr>
        <w:t>Cuando el tramo final de financiamiento se solicite uno o más ejercicios antes del último año para el cual se haya fijado una meta de consumo, los informes anuales de ejecución de tramos y, cuando corresponda, de verificación de la etapa en curso del Plan, deberán seguirse presentando hasta el término de las actividades previstas y el logro de las metas de consumo;</w:t>
      </w:r>
    </w:p>
    <w:p w14:paraId="246827C2" w14:textId="77777777" w:rsidR="00B23892" w:rsidRPr="002232A4" w:rsidRDefault="00B23892" w:rsidP="0055607C">
      <w:pPr>
        <w:pStyle w:val="Heading2"/>
        <w:numPr>
          <w:ilvl w:val="1"/>
          <w:numId w:val="1"/>
        </w:numPr>
        <w:ind w:left="1440" w:hanging="720"/>
        <w:rPr>
          <w:lang w:val="es-419"/>
        </w:rPr>
      </w:pPr>
      <w:r w:rsidRPr="002232A4">
        <w:rPr>
          <w:lang w:val="es-419"/>
        </w:rPr>
        <w:t>Velar por que las evaluaciones técnicas las realicen expertos independientes calificados;</w:t>
      </w:r>
    </w:p>
    <w:p w14:paraId="207D0C8C" w14:textId="77777777" w:rsidR="00B23892" w:rsidRPr="002232A4" w:rsidRDefault="00B23892" w:rsidP="0055607C">
      <w:pPr>
        <w:pStyle w:val="Heading2"/>
        <w:numPr>
          <w:ilvl w:val="1"/>
          <w:numId w:val="1"/>
        </w:numPr>
        <w:ind w:left="1440" w:hanging="720"/>
        <w:rPr>
          <w:lang w:val="es-419"/>
        </w:rPr>
      </w:pPr>
      <w:r w:rsidRPr="002232A4">
        <w:rPr>
          <w:lang w:val="es-419"/>
        </w:rPr>
        <w:t>Llevar a cabo las labores de supervisión necesarias;</w:t>
      </w:r>
    </w:p>
    <w:p w14:paraId="3CC89051" w14:textId="77777777" w:rsidR="00B23892" w:rsidRPr="002232A4" w:rsidRDefault="00B23892" w:rsidP="00E8699C">
      <w:pPr>
        <w:pStyle w:val="Heading2"/>
        <w:numPr>
          <w:ilvl w:val="1"/>
          <w:numId w:val="1"/>
        </w:numPr>
        <w:ind w:left="1440" w:hanging="720"/>
        <w:rPr>
          <w:lang w:val="es-419"/>
        </w:rPr>
      </w:pPr>
      <w:r w:rsidRPr="002232A4">
        <w:rPr>
          <w:lang w:val="es-419"/>
        </w:rPr>
        <w:t>Cerciorarse de que exista un mecanismo operativo que permita una ejecución eficaz y transparente del plan de ejecución del tramo y la obtención de datos fidedignos;</w:t>
      </w:r>
    </w:p>
    <w:p w14:paraId="464D9746" w14:textId="77777777" w:rsidR="00B23892" w:rsidRPr="002232A4" w:rsidRDefault="00B23892" w:rsidP="00E8699C">
      <w:pPr>
        <w:pStyle w:val="Heading2"/>
        <w:numPr>
          <w:ilvl w:val="1"/>
          <w:numId w:val="1"/>
        </w:numPr>
        <w:ind w:left="1440" w:hanging="720"/>
        <w:rPr>
          <w:lang w:val="es-419"/>
        </w:rPr>
      </w:pPr>
      <w:r w:rsidRPr="002232A4">
        <w:rPr>
          <w:lang w:val="es-419"/>
        </w:rPr>
        <w:t xml:space="preserve">Coordinar las actividades de los organismos cooperantes y garantizar una adecuada </w:t>
      </w:r>
      <w:r w:rsidRPr="002232A4">
        <w:rPr>
          <w:lang w:val="es-419"/>
        </w:rPr>
        <w:lastRenderedPageBreak/>
        <w:t>secuencia de actividades;</w:t>
      </w:r>
    </w:p>
    <w:p w14:paraId="2EA3E43D" w14:textId="77777777" w:rsidR="00B23892" w:rsidRPr="002232A4" w:rsidRDefault="00B23892" w:rsidP="00E8699C">
      <w:pPr>
        <w:pStyle w:val="Heading2"/>
        <w:numPr>
          <w:ilvl w:val="1"/>
          <w:numId w:val="1"/>
        </w:numPr>
        <w:ind w:left="1440" w:hanging="720"/>
        <w:rPr>
          <w:lang w:val="es-419"/>
        </w:rPr>
      </w:pPr>
      <w:r w:rsidRPr="002232A4">
        <w:rPr>
          <w:lang w:val="es-419"/>
        </w:rPr>
        <w:t>De reducirse los fondos en razón del incumplimiento previsto en el párrafo 11 del Acuerdo, asignar las reducciones a las distintas partidas presupuestarias y financiamiento del organismo principal y de cada organismo cooperante, en consulta con el País y con los organismos cooperantes;</w:t>
      </w:r>
    </w:p>
    <w:p w14:paraId="73B671B4" w14:textId="77777777" w:rsidR="00B23892" w:rsidRPr="002232A4" w:rsidRDefault="00B23892" w:rsidP="00E8699C">
      <w:pPr>
        <w:pStyle w:val="Heading2"/>
        <w:numPr>
          <w:ilvl w:val="1"/>
          <w:numId w:val="1"/>
        </w:numPr>
        <w:ind w:left="1440" w:hanging="720"/>
        <w:rPr>
          <w:lang w:val="es-419"/>
        </w:rPr>
      </w:pPr>
      <w:r w:rsidRPr="002232A4">
        <w:rPr>
          <w:lang w:val="es-419"/>
        </w:rPr>
        <w:t>Procurar que los desembolsos a la cuenta del País se hagan en base al uso de indicadores;</w:t>
      </w:r>
    </w:p>
    <w:p w14:paraId="2594356E" w14:textId="77777777" w:rsidR="00B23892" w:rsidRPr="002232A4" w:rsidRDefault="00B23892" w:rsidP="00E8699C">
      <w:pPr>
        <w:pStyle w:val="Heading2"/>
        <w:numPr>
          <w:ilvl w:val="1"/>
          <w:numId w:val="1"/>
        </w:numPr>
        <w:ind w:left="1440" w:hanging="720"/>
        <w:rPr>
          <w:lang w:val="es-419"/>
        </w:rPr>
      </w:pPr>
      <w:r w:rsidRPr="002232A4">
        <w:rPr>
          <w:lang w:val="es-419"/>
        </w:rPr>
        <w:t>Colaborar en materia de gestión, apoyo técnico y desarrollo de políticas, según sea necesario;</w:t>
      </w:r>
    </w:p>
    <w:p w14:paraId="7D4D45CF" w14:textId="77777777" w:rsidR="00B23892" w:rsidRPr="002232A4" w:rsidRDefault="00B23892" w:rsidP="00E8699C">
      <w:pPr>
        <w:pStyle w:val="Heading2"/>
        <w:numPr>
          <w:ilvl w:val="1"/>
          <w:numId w:val="1"/>
        </w:numPr>
        <w:ind w:left="1440" w:hanging="720"/>
        <w:rPr>
          <w:lang w:val="es-419"/>
        </w:rPr>
      </w:pPr>
      <w:r w:rsidRPr="002232A4">
        <w:rPr>
          <w:lang w:val="es-419"/>
        </w:rPr>
        <w:t>Consensuar con los organismos cooperantes las medidas de planificación, coordinación y presentación de informes que faciliten la ejecución del Plan; y</w:t>
      </w:r>
    </w:p>
    <w:p w14:paraId="20CFE576" w14:textId="2F1CC20D" w:rsidR="00563DA8" w:rsidRPr="002232A4" w:rsidRDefault="00B23892" w:rsidP="00E8699C">
      <w:pPr>
        <w:pStyle w:val="Heading2"/>
        <w:numPr>
          <w:ilvl w:val="1"/>
          <w:numId w:val="1"/>
        </w:numPr>
        <w:ind w:left="1440" w:hanging="720"/>
        <w:rPr>
          <w:lang w:val="es-419"/>
        </w:rPr>
      </w:pPr>
      <w:r w:rsidRPr="002232A4">
        <w:rPr>
          <w:lang w:val="es-419"/>
        </w:rPr>
        <w:t>Transferir oportunamente al País y a las empresas respectivas los fondos necesarios para la ejecución de las actividades contempladas en el proyecto</w:t>
      </w:r>
      <w:r w:rsidR="00563DA8" w:rsidRPr="002232A4">
        <w:rPr>
          <w:lang w:val="es-419"/>
        </w:rPr>
        <w:t>.</w:t>
      </w:r>
    </w:p>
    <w:p w14:paraId="62A2AF5D" w14:textId="65007B18" w:rsidR="00563DA8" w:rsidRPr="002232A4" w:rsidRDefault="00F858C0" w:rsidP="004A4122">
      <w:pPr>
        <w:pStyle w:val="Heading1"/>
        <w:rPr>
          <w:lang w:val="es-419"/>
        </w:rPr>
      </w:pPr>
      <w:r w:rsidRPr="002232A4">
        <w:rPr>
          <w:lang w:val="es-419"/>
        </w:rPr>
        <w:t>En consulta con el País, y tomando en cuenta sus puntos de vista, el organismo principal seleccionará a una entidad independiente para realizar la verificación de los resultados del Plan y del consumo de las Sustancias indicadas en el Apéndice 1-A, según lo previsto en los párrafos 5 b) del Acuerdo y 1 b) del Apéndice 4-A</w:t>
      </w:r>
      <w:r w:rsidR="00563DA8" w:rsidRPr="002232A4">
        <w:rPr>
          <w:lang w:val="es-419"/>
        </w:rPr>
        <w:t>.</w:t>
      </w:r>
    </w:p>
    <w:p w14:paraId="32C86C7D" w14:textId="77777777" w:rsidR="00F858C0" w:rsidRPr="002232A4" w:rsidRDefault="00F858C0" w:rsidP="00F858C0">
      <w:pPr>
        <w:widowControl w:val="0"/>
        <w:spacing w:before="360" w:after="240"/>
        <w:rPr>
          <w:b/>
          <w:caps/>
          <w:lang w:val="es-419"/>
        </w:rPr>
      </w:pPr>
      <w:r w:rsidRPr="002232A4">
        <w:rPr>
          <w:b/>
          <w:caps/>
          <w:lang w:val="es-419"/>
        </w:rPr>
        <w:t>APÉNDICE 6-B: FUNCIONES de los ORGANISMOs COOPERANTEs</w:t>
      </w:r>
    </w:p>
    <w:p w14:paraId="0FC8E814" w14:textId="59FC8AAC" w:rsidR="00563DA8" w:rsidRPr="002232A4" w:rsidRDefault="00F858C0" w:rsidP="00092AB2">
      <w:pPr>
        <w:pStyle w:val="Heading1"/>
        <w:numPr>
          <w:ilvl w:val="0"/>
          <w:numId w:val="10"/>
        </w:numPr>
        <w:rPr>
          <w:lang w:val="es-419"/>
        </w:rPr>
      </w:pPr>
      <w:r w:rsidRPr="002232A4">
        <w:rPr>
          <w:lang w:val="es-419"/>
        </w:rPr>
        <w:t>Además de las que se especifican en el Plan, los organismos cooperantes tendrán como mínimo las siguientes responsabilidades</w:t>
      </w:r>
      <w:r w:rsidR="00563DA8" w:rsidRPr="002232A4">
        <w:rPr>
          <w:lang w:val="es-419"/>
        </w:rPr>
        <w:t xml:space="preserve">: </w:t>
      </w:r>
    </w:p>
    <w:p w14:paraId="7725B4D7" w14:textId="77777777" w:rsidR="00F858C0" w:rsidRPr="002232A4" w:rsidRDefault="00F858C0" w:rsidP="00092AB2">
      <w:pPr>
        <w:widowControl w:val="0"/>
        <w:numPr>
          <w:ilvl w:val="1"/>
          <w:numId w:val="14"/>
        </w:numPr>
        <w:spacing w:after="240"/>
        <w:ind w:left="1276" w:hanging="556"/>
        <w:outlineLvl w:val="1"/>
        <w:rPr>
          <w:lang w:val="es-419"/>
        </w:rPr>
      </w:pPr>
      <w:r w:rsidRPr="002232A4">
        <w:rPr>
          <w:lang w:val="es-419"/>
        </w:rPr>
        <w:t>Aportar al desarrollo de políticas públicas, cuando sea necesario;</w:t>
      </w:r>
    </w:p>
    <w:p w14:paraId="7C97A60C" w14:textId="77777777" w:rsidR="00F858C0" w:rsidRPr="002232A4" w:rsidRDefault="00F858C0" w:rsidP="00092AB2">
      <w:pPr>
        <w:widowControl w:val="0"/>
        <w:numPr>
          <w:ilvl w:val="1"/>
          <w:numId w:val="14"/>
        </w:numPr>
        <w:spacing w:after="240"/>
        <w:ind w:left="1276" w:hanging="556"/>
        <w:outlineLvl w:val="1"/>
        <w:rPr>
          <w:lang w:val="es-419"/>
        </w:rPr>
      </w:pPr>
      <w:r w:rsidRPr="002232A4">
        <w:rPr>
          <w:lang w:val="es-419"/>
        </w:rPr>
        <w:t>Colaborar con el País en la ejecución y evaluación de las actividades que financien en calidad de organismos cooperantes, remitiéndose al organismo principal para garantizar una secuencia coordinada de actividades;</w:t>
      </w:r>
    </w:p>
    <w:p w14:paraId="78D81006" w14:textId="77777777" w:rsidR="00F858C0" w:rsidRPr="002232A4" w:rsidRDefault="00F858C0" w:rsidP="00092AB2">
      <w:pPr>
        <w:widowControl w:val="0"/>
        <w:numPr>
          <w:ilvl w:val="1"/>
          <w:numId w:val="14"/>
        </w:numPr>
        <w:spacing w:after="240"/>
        <w:ind w:left="1276" w:hanging="556"/>
        <w:outlineLvl w:val="1"/>
        <w:rPr>
          <w:lang w:val="es-419"/>
        </w:rPr>
      </w:pPr>
      <w:r w:rsidRPr="002232A4">
        <w:rPr>
          <w:lang w:val="es-419"/>
        </w:rPr>
        <w:t>Informar al organismo principal sobre estas actividades para su inclusión en los informes consolidados a presentar conforme al Apéndice 4-A; y</w:t>
      </w:r>
    </w:p>
    <w:p w14:paraId="6273A59B" w14:textId="3CD60058" w:rsidR="00563DA8" w:rsidRPr="002232A4" w:rsidRDefault="00F858C0" w:rsidP="00092AB2">
      <w:pPr>
        <w:widowControl w:val="0"/>
        <w:numPr>
          <w:ilvl w:val="1"/>
          <w:numId w:val="14"/>
        </w:numPr>
        <w:spacing w:after="240"/>
        <w:ind w:left="1276" w:hanging="556"/>
        <w:outlineLvl w:val="1"/>
        <w:rPr>
          <w:lang w:val="es-419"/>
        </w:rPr>
      </w:pPr>
      <w:r w:rsidRPr="002232A4">
        <w:rPr>
          <w:lang w:val="es-419"/>
        </w:rPr>
        <w:t>Consensuar con el organismo principal las medidas de planificación, coordinación y presentación de informes que faciliten la ejecución del Plan</w:t>
      </w:r>
      <w:r w:rsidR="00563DA8" w:rsidRPr="002232A4">
        <w:rPr>
          <w:lang w:val="es-419"/>
        </w:rPr>
        <w:t>.</w:t>
      </w:r>
    </w:p>
    <w:p w14:paraId="09A50CDE" w14:textId="729142BA" w:rsidR="00563DA8" w:rsidRPr="002232A4" w:rsidRDefault="00452A84" w:rsidP="004A4122">
      <w:pPr>
        <w:keepNext/>
        <w:spacing w:before="360" w:after="240"/>
        <w:rPr>
          <w:b/>
          <w:lang w:val="es-419"/>
        </w:rPr>
      </w:pPr>
      <w:r w:rsidRPr="002232A4">
        <w:rPr>
          <w:b/>
          <w:lang w:val="es-419"/>
        </w:rPr>
        <w:t>APÉNDICE 7-A: REDUCCIÓN DEL FINANCIAMIENTO EN CASO DE INCUMPLIMIENTO</w:t>
      </w:r>
    </w:p>
    <w:p w14:paraId="1BEB6729" w14:textId="0687C635" w:rsidR="00563DA8" w:rsidRPr="002232A4" w:rsidRDefault="00452A84" w:rsidP="00092AB2">
      <w:pPr>
        <w:pStyle w:val="Heading1"/>
        <w:numPr>
          <w:ilvl w:val="0"/>
          <w:numId w:val="9"/>
        </w:numPr>
        <w:rPr>
          <w:lang w:val="es-419"/>
        </w:rPr>
      </w:pPr>
      <w:r w:rsidRPr="002232A4">
        <w:rPr>
          <w:lang w:val="es-419"/>
        </w:rPr>
        <w:t>De conformidad con el párrafo 11 del Acuerdo, el monto de la financiación proporcionada podrá reducirse en USD 180 por cada kg PAO de consumo que supere el nivel definido en el renglón 1.2 del Apéndice 2-A por cada año en que no se haya cumplido la meta especificada en el renglón 1.2 del Apéndice 2-A, en el entendimiento de que la reducción máxima de la financiación no excederá el nivel de financiación del tramo solicitado. Se podrían considerar medidas adicionales en los casos en que el incumplimiento se prolongue durante dos años consecutivos.</w:t>
      </w:r>
    </w:p>
    <w:p w14:paraId="579673BA" w14:textId="01F4CE6A" w:rsidR="00563DA8" w:rsidRPr="002232A4" w:rsidRDefault="00452A84" w:rsidP="00452A84">
      <w:pPr>
        <w:pStyle w:val="Heading1"/>
        <w:rPr>
          <w:lang w:val="es-419"/>
        </w:rPr>
      </w:pPr>
      <w:r w:rsidRPr="002232A4">
        <w:rPr>
          <w:lang w:val="es-419"/>
        </w:rPr>
        <w:t xml:space="preserve">En caso de que sea necesario aplicar la sanción en un año en el que haya dos acuerdos en vigor (dos etapas del plan que se aplican en paralelo) con diferentes niveles de sanción, la aplicación de la sanción se determinará caso por caso, teniendo en cuenta los sectores específicos que dan lugar al incumplimiento. Si </w:t>
      </w:r>
      <w:r w:rsidRPr="002232A4">
        <w:rPr>
          <w:lang w:val="es-419"/>
        </w:rPr>
        <w:lastRenderedPageBreak/>
        <w:t>no es posible determinar un sector, o si ambas etapas se refieren al mismo sector, se aplicará el nivel de penalización más alto.</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0"/>
        <w:gridCol w:w="1870"/>
        <w:gridCol w:w="1870"/>
        <w:gridCol w:w="1870"/>
        <w:gridCol w:w="1870"/>
      </w:tblGrid>
      <w:tr w:rsidR="00447104" w:rsidRPr="00A8080E" w14:paraId="284570D3" w14:textId="77777777">
        <w:tc>
          <w:tcPr>
            <w:tcW w:w="1870" w:type="dxa"/>
          </w:tcPr>
          <w:p w14:paraId="26B95016" w14:textId="77777777" w:rsidR="00447104" w:rsidRPr="002232A4" w:rsidRDefault="00447104">
            <w:pPr>
              <w:rPr>
                <w:lang w:val="es-419"/>
              </w:rPr>
            </w:pPr>
          </w:p>
        </w:tc>
        <w:tc>
          <w:tcPr>
            <w:tcW w:w="1870" w:type="dxa"/>
          </w:tcPr>
          <w:p w14:paraId="2E421324" w14:textId="77777777" w:rsidR="00447104" w:rsidRPr="002232A4" w:rsidRDefault="00447104">
            <w:pPr>
              <w:rPr>
                <w:lang w:val="es-419"/>
              </w:rPr>
            </w:pPr>
          </w:p>
        </w:tc>
        <w:tc>
          <w:tcPr>
            <w:tcW w:w="1870" w:type="dxa"/>
            <w:tcBorders>
              <w:bottom w:val="single" w:sz="4" w:space="0" w:color="auto"/>
            </w:tcBorders>
          </w:tcPr>
          <w:p w14:paraId="37E519EE" w14:textId="77777777" w:rsidR="00447104" w:rsidRPr="002232A4" w:rsidRDefault="00447104">
            <w:pPr>
              <w:rPr>
                <w:lang w:val="es-419"/>
              </w:rPr>
            </w:pPr>
          </w:p>
        </w:tc>
        <w:tc>
          <w:tcPr>
            <w:tcW w:w="1870" w:type="dxa"/>
          </w:tcPr>
          <w:p w14:paraId="6B208EBC" w14:textId="77777777" w:rsidR="00447104" w:rsidRPr="002232A4" w:rsidRDefault="00447104">
            <w:pPr>
              <w:rPr>
                <w:lang w:val="es-419"/>
              </w:rPr>
            </w:pPr>
          </w:p>
        </w:tc>
        <w:tc>
          <w:tcPr>
            <w:tcW w:w="1870" w:type="dxa"/>
          </w:tcPr>
          <w:p w14:paraId="5B10A2E1" w14:textId="77777777" w:rsidR="00447104" w:rsidRPr="002232A4" w:rsidRDefault="00447104">
            <w:pPr>
              <w:rPr>
                <w:lang w:val="es-419"/>
              </w:rPr>
            </w:pPr>
          </w:p>
        </w:tc>
      </w:tr>
    </w:tbl>
    <w:p w14:paraId="7CA6D724" w14:textId="77777777" w:rsidR="00854DB7" w:rsidRPr="002232A4" w:rsidRDefault="00854DB7" w:rsidP="00A42354">
      <w:pPr>
        <w:jc w:val="left"/>
        <w:rPr>
          <w:b/>
          <w:bCs/>
          <w:sz w:val="16"/>
          <w:lang w:val="es-419"/>
        </w:rPr>
      </w:pPr>
    </w:p>
    <w:sectPr w:rsidR="00854DB7" w:rsidRPr="002232A4" w:rsidSect="00FE237B">
      <w:headerReference w:type="even" r:id="rId20"/>
      <w:headerReference w:type="default" r:id="rId21"/>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C9C641" w14:textId="77777777" w:rsidR="00766E26" w:rsidRDefault="00766E26" w:rsidP="004A504B">
      <w:r>
        <w:separator/>
      </w:r>
    </w:p>
  </w:endnote>
  <w:endnote w:type="continuationSeparator" w:id="0">
    <w:p w14:paraId="5E940D9B" w14:textId="77777777" w:rsidR="00766E26" w:rsidRDefault="00766E26" w:rsidP="004A504B">
      <w:r>
        <w:continuationSeparator/>
      </w:r>
    </w:p>
  </w:endnote>
  <w:endnote w:type="continuationNotice" w:id="1">
    <w:p w14:paraId="16B1E8D2" w14:textId="77777777" w:rsidR="00766E26" w:rsidRDefault="00766E2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B5A3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9C695B"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F880D" w14:textId="1C8F0218" w:rsidR="002232A4" w:rsidRPr="00DD429C" w:rsidRDefault="002232A4" w:rsidP="002232A4">
    <w:pPr>
      <w:pBdr>
        <w:top w:val="single" w:sz="4" w:space="1" w:color="auto"/>
        <w:left w:val="single" w:sz="4" w:space="4" w:color="auto"/>
        <w:bottom w:val="single" w:sz="4" w:space="1" w:color="auto"/>
        <w:right w:val="single" w:sz="4" w:space="4" w:color="auto"/>
      </w:pBdr>
      <w:jc w:val="center"/>
      <w:rPr>
        <w:sz w:val="18"/>
        <w:szCs w:val="18"/>
        <w:lang w:val="es-ES"/>
      </w:rPr>
    </w:pPr>
    <w:r w:rsidRPr="00DD429C">
      <w:rPr>
        <w:sz w:val="18"/>
        <w:szCs w:val="18"/>
        <w:lang w:val="es-ES"/>
      </w:rPr>
      <w:t>Los documentos previos al período de sesiones del Comité Ejecutivo del Fondo Multilateral para la Aplicación del Protocolo de Montreal no van en perjuicio de las decisiones que el Comité pudiera adoptar después de la emisión de los mismos.</w:t>
    </w:r>
  </w:p>
  <w:p w14:paraId="306F00AF" w14:textId="77777777" w:rsidR="004E7F9C" w:rsidRPr="002232A4" w:rsidRDefault="004E7F9C" w:rsidP="002232A4">
    <w:pPr>
      <w:pStyle w:val="Foo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049D25" w14:textId="77777777" w:rsidR="00766E26" w:rsidRDefault="00766E26" w:rsidP="004A504B">
      <w:r>
        <w:separator/>
      </w:r>
    </w:p>
  </w:footnote>
  <w:footnote w:type="continuationSeparator" w:id="0">
    <w:p w14:paraId="67B5123B" w14:textId="77777777" w:rsidR="00766E26" w:rsidRDefault="00766E26" w:rsidP="004A504B">
      <w:r>
        <w:continuationSeparator/>
      </w:r>
    </w:p>
  </w:footnote>
  <w:footnote w:type="continuationNotice" w:id="1">
    <w:p w14:paraId="367C9E08" w14:textId="77777777" w:rsidR="00766E26" w:rsidRDefault="00766E26"/>
  </w:footnote>
  <w:footnote w:id="2">
    <w:p w14:paraId="73B18E64" w14:textId="234B7343" w:rsidR="002232A4" w:rsidRDefault="002232A4" w:rsidP="002232A4">
      <w:pPr>
        <w:pStyle w:val="FootnoteText"/>
        <w:rPr>
          <w:lang w:val="es-ES_tradnl"/>
        </w:rPr>
      </w:pPr>
      <w:r w:rsidRPr="00D73CE3">
        <w:rPr>
          <w:rStyle w:val="FootnoteReference"/>
          <w:lang w:val="es-ES_tradnl"/>
        </w:rPr>
        <w:footnoteRef/>
      </w:r>
      <w:r w:rsidRPr="00D73CE3">
        <w:rPr>
          <w:lang w:val="es-ES_tradnl"/>
        </w:rPr>
        <w:t xml:space="preserve"> UNEP/OzL.Pro/ExCom/97/1</w:t>
      </w:r>
    </w:p>
    <w:p w14:paraId="0CE2B219" w14:textId="77777777" w:rsidR="00B475AF" w:rsidRPr="00D73CE3" w:rsidRDefault="00B475AF" w:rsidP="002232A4">
      <w:pPr>
        <w:pStyle w:val="FootnoteText"/>
        <w:rPr>
          <w:lang w:val="es-ES_tradnl"/>
        </w:rPr>
      </w:pPr>
    </w:p>
  </w:footnote>
  <w:footnote w:id="3">
    <w:p w14:paraId="38270115" w14:textId="77777777" w:rsidR="0032262C" w:rsidRPr="00E62F88" w:rsidRDefault="0032262C" w:rsidP="0032262C">
      <w:pPr>
        <w:pStyle w:val="FootnoteText"/>
        <w:rPr>
          <w:lang w:val="es-ES"/>
        </w:rPr>
      </w:pPr>
      <w:r>
        <w:rPr>
          <w:rStyle w:val="FootnoteReference"/>
        </w:rPr>
        <w:footnoteRef/>
      </w:r>
      <w:r w:rsidRPr="00E62F88">
        <w:rPr>
          <w:lang w:val="es-ES"/>
        </w:rPr>
        <w:t xml:space="preserve"> Según la carta de fecha 7 de agosto de 2025 dirigida a la Secretaría por el Ministerio de Medio Ambiente, Saneamiento y Desarrollo Sostenible de Malí.</w:t>
      </w:r>
    </w:p>
  </w:footnote>
  <w:footnote w:id="4">
    <w:p w14:paraId="4B615E1E" w14:textId="77777777" w:rsidR="0032262C" w:rsidRPr="00E62F88" w:rsidRDefault="0032262C" w:rsidP="0032262C">
      <w:pPr>
        <w:pStyle w:val="FootnoteText"/>
        <w:rPr>
          <w:lang w:val="es-ES"/>
        </w:rPr>
      </w:pPr>
      <w:r>
        <w:rPr>
          <w:rStyle w:val="FootnoteReference"/>
        </w:rPr>
        <w:footnoteRef/>
      </w:r>
      <w:r w:rsidRPr="00E62F88">
        <w:rPr>
          <w:lang w:val="es-ES"/>
        </w:rPr>
        <w:t xml:space="preserve"> Decisión 63/37</w:t>
      </w:r>
    </w:p>
  </w:footnote>
  <w:footnote w:id="5">
    <w:p w14:paraId="7164766B" w14:textId="77777777" w:rsidR="0032262C" w:rsidRPr="00E62F88" w:rsidRDefault="0032262C" w:rsidP="0032262C">
      <w:pPr>
        <w:pStyle w:val="FootnoteText"/>
        <w:rPr>
          <w:lang w:val="es-ES"/>
        </w:rPr>
      </w:pPr>
      <w:r>
        <w:rPr>
          <w:rStyle w:val="FootnoteReference"/>
        </w:rPr>
        <w:footnoteRef/>
      </w:r>
      <w:r w:rsidRPr="00E62F88">
        <w:rPr>
          <w:lang w:val="es-ES"/>
        </w:rPr>
        <w:t xml:space="preserve"> Decisión 96/11</w:t>
      </w:r>
    </w:p>
  </w:footnote>
  <w:footnote w:id="6">
    <w:p w14:paraId="361FD8B0" w14:textId="77777777" w:rsidR="0032262C" w:rsidRPr="00E62F88" w:rsidRDefault="0032262C" w:rsidP="0032262C">
      <w:pPr>
        <w:pStyle w:val="FootnoteText"/>
        <w:rPr>
          <w:lang w:val="es-ES"/>
        </w:rPr>
      </w:pPr>
      <w:r>
        <w:rPr>
          <w:rStyle w:val="FootnoteReference"/>
        </w:rPr>
        <w:footnoteRef/>
      </w:r>
      <w:r w:rsidRPr="00E62F88">
        <w:rPr>
          <w:lang w:val="es-ES"/>
        </w:rPr>
        <w:t xml:space="preserve">Unidades de capacitación en aire acondicionado R-290, unidades de refrigeración doméstica R-600a con doble puerta y sistema inversor, unidades de refrigeración comercial R-290 de temperatura media y baja, y módulo pequeño de bomba de calor de CO2 que incluye tuberías y equipo de vacío y carga. </w:t>
      </w:r>
    </w:p>
  </w:footnote>
  <w:footnote w:id="7">
    <w:p w14:paraId="7EC8AE7A" w14:textId="77777777" w:rsidR="0032262C" w:rsidRPr="00E62F88" w:rsidRDefault="0032262C" w:rsidP="0032262C">
      <w:pPr>
        <w:pStyle w:val="FootnoteText"/>
        <w:rPr>
          <w:lang w:val="es-ES"/>
        </w:rPr>
      </w:pPr>
      <w:r>
        <w:rPr>
          <w:rStyle w:val="FootnoteReference"/>
        </w:rPr>
        <w:footnoteRef/>
      </w:r>
      <w:r w:rsidRPr="00E62F88">
        <w:rPr>
          <w:lang w:val="es-ES"/>
        </w:rPr>
        <w:t xml:space="preserve"> Bomba de vacío, colector, juego de mangueras con válvulas de bola, escala, detector de fugas, vacuómetro digital.</w:t>
      </w:r>
    </w:p>
  </w:footnote>
  <w:footnote w:id="8">
    <w:p w14:paraId="73DA76A7" w14:textId="77777777" w:rsidR="0032262C" w:rsidRPr="00E62F88" w:rsidRDefault="0032262C" w:rsidP="0032262C">
      <w:pPr>
        <w:pStyle w:val="FootnoteText"/>
        <w:rPr>
          <w:lang w:val="es-ES"/>
        </w:rPr>
      </w:pPr>
      <w:r>
        <w:rPr>
          <w:rStyle w:val="FootnoteReference"/>
        </w:rPr>
        <w:footnoteRef/>
      </w:r>
      <w:r w:rsidRPr="00E62F88">
        <w:rPr>
          <w:lang w:val="es-ES"/>
        </w:rPr>
        <w:t>Tanques de almacenamiento, básculas, equipos de recuperación, equipos de limpieza de cilindros, identificador de refrigerantes, detectores de fugas, manómetro de servicio, herramientas manuales y equipo de seguridad.</w:t>
      </w:r>
    </w:p>
  </w:footnote>
  <w:footnote w:id="9">
    <w:p w14:paraId="1F06DA15" w14:textId="77777777" w:rsidR="0032262C" w:rsidRPr="00E62F88" w:rsidRDefault="0032262C" w:rsidP="0032262C">
      <w:pPr>
        <w:pStyle w:val="FootnoteText"/>
        <w:rPr>
          <w:lang w:val="es-ES"/>
        </w:rPr>
      </w:pPr>
      <w:r>
        <w:rPr>
          <w:rStyle w:val="FootnoteReference"/>
        </w:rPr>
        <w:footnoteRef/>
      </w:r>
      <w:r w:rsidRPr="00E62F88">
        <w:rPr>
          <w:lang w:val="es-ES"/>
        </w:rPr>
        <w:t>Cilindros, detector de fugas, sistema de reciclaje con mangueras con válvula de bola, balanzas, herramientas manuales y equipo de seguridad, y herramientas de diagnóstico eléctrico.</w:t>
      </w:r>
    </w:p>
  </w:footnote>
  <w:footnote w:id="10">
    <w:p w14:paraId="64E92361" w14:textId="77777777" w:rsidR="0032262C" w:rsidRPr="00E62F88" w:rsidRDefault="0032262C" w:rsidP="0032262C">
      <w:pPr>
        <w:pStyle w:val="FootnoteText"/>
        <w:rPr>
          <w:lang w:val="es-ES"/>
        </w:rPr>
      </w:pPr>
      <w:r>
        <w:rPr>
          <w:rStyle w:val="FootnoteReference"/>
        </w:rPr>
        <w:footnoteRef/>
      </w:r>
      <w:r w:rsidRPr="00E62F88">
        <w:rPr>
          <w:lang w:val="es-ES"/>
        </w:rPr>
        <w:t xml:space="preserve"> El consumo de HCFC puede ser superior a cero en cualquier año siempre que la suma de sus niveles de consumo calculados durante el período de diez años comprendido entre el 1 de enero de 2030 y el 1 de enero de 2040, dividida por 10, no supere el 2,5 % del consumo básico de referencia de HCFC.</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9E775D" w14:textId="627D36DD" w:rsidR="00DC6A10" w:rsidRPr="0033525D" w:rsidRDefault="002232A4">
    <w:fldSimple w:instr="DOCPROPERTY &quot;Document number&quot;  \* MERGEFORMAT">
      <w:r>
        <w:t>UNEP/OzL.Pro/ExCom/97/58</w:t>
      </w:r>
    </w:fldSimple>
  </w:p>
  <w:p w14:paraId="1958DBD6" w14:textId="77777777" w:rsidR="00306817" w:rsidRDefault="00306817"/>
  <w:p w14:paraId="4BEDB5A3" w14:textId="77777777" w:rsidR="003C4325" w:rsidRPr="0033525D" w:rsidRDefault="003C4325"/>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AAB14" w14:textId="67386C38" w:rsidR="00DC6A10" w:rsidRPr="0033525D" w:rsidRDefault="003C4325" w:rsidP="003C4325">
    <w:pPr>
      <w:tabs>
        <w:tab w:val="left" w:pos="6436"/>
        <w:tab w:val="right" w:pos="9360"/>
      </w:tabs>
      <w:jc w:val="left"/>
    </w:pPr>
    <w:r>
      <w:tab/>
    </w:r>
    <w:r>
      <w:tab/>
    </w:r>
    <w:fldSimple w:instr="DOCPROPERTY &quot;Document number&quot;  \* MERGEFORMAT">
      <w:r w:rsidR="002232A4">
        <w:t>UNEP/OzL.Pro/ExCom/97/58</w:t>
      </w:r>
    </w:fldSimple>
  </w:p>
  <w:p w14:paraId="4B892868" w14:textId="77777777" w:rsidR="00306817" w:rsidRDefault="00306817" w:rsidP="00563DA8">
    <w:pPr>
      <w:pStyle w:val="Header"/>
      <w:jc w:val="right"/>
    </w:pPr>
  </w:p>
  <w:p w14:paraId="0569B059" w14:textId="77777777" w:rsidR="003C4325" w:rsidRPr="0033525D" w:rsidRDefault="003C4325" w:rsidP="00563DA8">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67116B" w14:textId="0C48411B" w:rsidR="00854DB7" w:rsidRPr="0033525D" w:rsidRDefault="00927339">
    <w:fldSimple w:instr="DOCPROPERTY &quot;Document number&quot;  \* MERGEFORMAT">
      <w:r>
        <w:t>UNEP/OzL.Pro/ExCom/97/58</w:t>
      </w:r>
    </w:fldSimple>
  </w:p>
  <w:p w14:paraId="08140ED1" w14:textId="7E65B485" w:rsidR="00854DB7" w:rsidRDefault="00854DB7">
    <w:r>
      <w:t>An</w:t>
    </w:r>
    <w:r w:rsidR="00E62F88">
      <w:t>exo</w:t>
    </w:r>
    <w:r>
      <w:t xml:space="preserve"> I</w:t>
    </w:r>
  </w:p>
  <w:p w14:paraId="04890C58" w14:textId="77777777" w:rsidR="00854DB7" w:rsidRPr="0033525D" w:rsidRDefault="00854DB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5CA00D" w14:textId="406D5F2A" w:rsidR="00835330" w:rsidRPr="0033525D" w:rsidRDefault="00835330" w:rsidP="003C4325">
    <w:pPr>
      <w:tabs>
        <w:tab w:val="left" w:pos="6436"/>
        <w:tab w:val="right" w:pos="9360"/>
      </w:tabs>
      <w:jc w:val="left"/>
    </w:pPr>
    <w:r>
      <w:tab/>
    </w:r>
    <w:r>
      <w:tab/>
    </w:r>
    <w:fldSimple w:instr="DOCPROPERTY &quot;Document number&quot;  \* MERGEFORMAT">
      <w:r w:rsidR="00927339">
        <w:t>UNEP/OzL.Pro/ExCom/97/58</w:t>
      </w:r>
    </w:fldSimple>
  </w:p>
  <w:p w14:paraId="3374E36C" w14:textId="3619A65A" w:rsidR="00835330" w:rsidRDefault="00835330" w:rsidP="00563DA8">
    <w:pPr>
      <w:pStyle w:val="Header"/>
      <w:jc w:val="right"/>
    </w:pPr>
    <w:r>
      <w:t>An</w:t>
    </w:r>
    <w:r w:rsidR="00E62F88">
      <w:t>exo</w:t>
    </w:r>
    <w:r>
      <w:t xml:space="preserve"> I</w:t>
    </w:r>
  </w:p>
  <w:p w14:paraId="264571C4" w14:textId="77777777" w:rsidR="00835330" w:rsidRPr="0033525D" w:rsidRDefault="00835330" w:rsidP="00563DA8">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77D0CC7C"/>
    <w:lvl w:ilvl="0">
      <w:start w:val="1"/>
      <w:numFmt w:val="decimal"/>
      <w:pStyle w:val="Heading1"/>
      <w:lvlText w:val="%1."/>
      <w:lvlJc w:val="left"/>
      <w:pPr>
        <w:tabs>
          <w:tab w:val="num" w:pos="0"/>
        </w:tabs>
        <w:ind w:left="0" w:firstLine="0"/>
      </w:pPr>
      <w:rPr>
        <w:rFonts w:hint="default"/>
        <w:i w:val="0"/>
        <w:iCs w:val="0"/>
      </w:rPr>
    </w:lvl>
    <w:lvl w:ilvl="1">
      <w:start w:val="1"/>
      <w:numFmt w:val="lowerLetter"/>
      <w:lvlText w:val="%2)"/>
      <w:lvlJc w:val="left"/>
      <w:pPr>
        <w:ind w:left="1080" w:hanging="360"/>
      </w:pPr>
      <w:rPr>
        <w:rFonts w:hint="default"/>
        <w:b w:val="0"/>
        <w:bCs w:val="0"/>
      </w:r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3" w15:restartNumberingAfterBreak="0">
    <w:nsid w:val="440A78E2"/>
    <w:multiLevelType w:val="hybridMultilevel"/>
    <w:tmpl w:val="6ECE69A8"/>
    <w:lvl w:ilvl="0" w:tplc="BA2CC1FC">
      <w:start w:val="1"/>
      <w:numFmt w:val="lowerRoman"/>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7" w15:restartNumberingAfterBreak="0">
    <w:nsid w:val="62E36416"/>
    <w:multiLevelType w:val="multilevel"/>
    <w:tmpl w:val="2280DBEC"/>
    <w:lvl w:ilvl="0">
      <w:start w:val="1"/>
      <w:numFmt w:val="decimal"/>
      <w:lvlRestart w:val="0"/>
      <w:lvlText w:val="%1)"/>
      <w:lvlJc w:val="left"/>
      <w:pPr>
        <w:ind w:left="357" w:hanging="357"/>
      </w:pPr>
    </w:lvl>
    <w:lvl w:ilvl="1">
      <w:start w:val="1"/>
      <w:numFmt w:val="lowerLetter"/>
      <w:lvlText w:val="%2)"/>
      <w:lvlJc w:val="left"/>
      <w:pPr>
        <w:ind w:left="720" w:firstLine="130"/>
      </w:pPr>
    </w:lvl>
    <w:lvl w:ilvl="2">
      <w:start w:val="1"/>
      <w:numFmt w:val="lowerRoman"/>
      <w:lvlText w:val="%3)"/>
      <w:lvlJc w:val="left"/>
      <w:pPr>
        <w:ind w:left="1077" w:hanging="357"/>
      </w:pPr>
    </w:lvl>
    <w:lvl w:ilvl="3">
      <w:start w:val="1"/>
      <w:numFmt w:val="decimal"/>
      <w:lvlText w:val="(%4)"/>
      <w:lvlJc w:val="left"/>
      <w:pPr>
        <w:ind w:left="1440" w:hanging="363"/>
      </w:pPr>
    </w:lvl>
    <w:lvl w:ilvl="4">
      <w:start w:val="1"/>
      <w:numFmt w:val="lowerLetter"/>
      <w:lvlText w:val="(%5)"/>
      <w:lvlJc w:val="left"/>
      <w:pPr>
        <w:ind w:left="1797" w:hanging="357"/>
      </w:pPr>
    </w:lvl>
    <w:lvl w:ilvl="5">
      <w:start w:val="1"/>
      <w:numFmt w:val="lowerRoman"/>
      <w:lvlText w:val="(%6)"/>
      <w:lvlJc w:val="left"/>
      <w:pPr>
        <w:ind w:left="2160" w:hanging="363"/>
      </w:pPr>
    </w:lvl>
    <w:lvl w:ilvl="6">
      <w:start w:val="1"/>
      <w:numFmt w:val="decimal"/>
      <w:lvlText w:val="%7."/>
      <w:lvlJc w:val="left"/>
      <w:pPr>
        <w:ind w:left="2517" w:hanging="357"/>
      </w:pPr>
    </w:lvl>
    <w:lvl w:ilvl="7">
      <w:start w:val="1"/>
      <w:numFmt w:val="lowerLetter"/>
      <w:lvlText w:val="%8."/>
      <w:lvlJc w:val="left"/>
      <w:pPr>
        <w:ind w:left="2880" w:hanging="363"/>
      </w:pPr>
    </w:lvl>
    <w:lvl w:ilvl="8">
      <w:start w:val="1"/>
      <w:numFmt w:val="lowerRoman"/>
      <w:lvlText w:val="%9."/>
      <w:lvlJc w:val="left"/>
      <w:pPr>
        <w:ind w:left="3237" w:hanging="357"/>
      </w:pPr>
    </w:lvl>
  </w:abstractNum>
  <w:abstractNum w:abstractNumId="8" w15:restartNumberingAfterBreak="0">
    <w:nsid w:val="67C965D8"/>
    <w:multiLevelType w:val="hybridMultilevel"/>
    <w:tmpl w:val="23222D3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0"/>
  </w:num>
  <w:num w:numId="2" w16cid:durableId="462847601">
    <w:abstractNumId w:val="1"/>
  </w:num>
  <w:num w:numId="3" w16cid:durableId="299306927">
    <w:abstractNumId w:val="4"/>
  </w:num>
  <w:num w:numId="4" w16cid:durableId="559828470">
    <w:abstractNumId w:val="5"/>
  </w:num>
  <w:num w:numId="5" w16cid:durableId="1488010068">
    <w:abstractNumId w:val="9"/>
  </w:num>
  <w:num w:numId="6" w16cid:durableId="444007775">
    <w:abstractNumId w:val="2"/>
  </w:num>
  <w:num w:numId="7" w16cid:durableId="2081637436">
    <w:abstractNumId w:val="6"/>
  </w:num>
  <w:num w:numId="8" w16cid:durableId="309213599">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9800393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4684025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9305085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821186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497067624">
    <w:abstractNumId w:val="8"/>
  </w:num>
  <w:num w:numId="14" w16cid:durableId="771318789">
    <w:abstractNumId w:val="7"/>
  </w:num>
  <w:num w:numId="15" w16cid:durableId="145949557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95454879">
    <w:abstractNumId w:val="3"/>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563DA8"/>
    <w:rsid w:val="00000FED"/>
    <w:rsid w:val="00001C97"/>
    <w:rsid w:val="000023CF"/>
    <w:rsid w:val="00003926"/>
    <w:rsid w:val="0000434E"/>
    <w:rsid w:val="00004627"/>
    <w:rsid w:val="00007B5C"/>
    <w:rsid w:val="00010FEC"/>
    <w:rsid w:val="000115B8"/>
    <w:rsid w:val="00014DAE"/>
    <w:rsid w:val="00016584"/>
    <w:rsid w:val="00020B01"/>
    <w:rsid w:val="000211A9"/>
    <w:rsid w:val="00021238"/>
    <w:rsid w:val="0002205B"/>
    <w:rsid w:val="00022071"/>
    <w:rsid w:val="00022241"/>
    <w:rsid w:val="00022B68"/>
    <w:rsid w:val="00022F94"/>
    <w:rsid w:val="000233D1"/>
    <w:rsid w:val="00023A7A"/>
    <w:rsid w:val="00023D09"/>
    <w:rsid w:val="00024D5D"/>
    <w:rsid w:val="00026546"/>
    <w:rsid w:val="00027AAC"/>
    <w:rsid w:val="00031260"/>
    <w:rsid w:val="000315BA"/>
    <w:rsid w:val="000319BF"/>
    <w:rsid w:val="0003241D"/>
    <w:rsid w:val="0003297B"/>
    <w:rsid w:val="00033599"/>
    <w:rsid w:val="000341C1"/>
    <w:rsid w:val="00034DF6"/>
    <w:rsid w:val="000351D8"/>
    <w:rsid w:val="00035533"/>
    <w:rsid w:val="000355C1"/>
    <w:rsid w:val="000359A7"/>
    <w:rsid w:val="00035CD7"/>
    <w:rsid w:val="00035D03"/>
    <w:rsid w:val="0003681A"/>
    <w:rsid w:val="000372B7"/>
    <w:rsid w:val="0004096B"/>
    <w:rsid w:val="00042E62"/>
    <w:rsid w:val="00044702"/>
    <w:rsid w:val="00045681"/>
    <w:rsid w:val="00045819"/>
    <w:rsid w:val="000458BA"/>
    <w:rsid w:val="00047CBF"/>
    <w:rsid w:val="000500AA"/>
    <w:rsid w:val="000506F4"/>
    <w:rsid w:val="00050F6E"/>
    <w:rsid w:val="00052416"/>
    <w:rsid w:val="0005318D"/>
    <w:rsid w:val="0005739E"/>
    <w:rsid w:val="00060682"/>
    <w:rsid w:val="00061EC2"/>
    <w:rsid w:val="000621AC"/>
    <w:rsid w:val="00062FEB"/>
    <w:rsid w:val="000633D6"/>
    <w:rsid w:val="000646DE"/>
    <w:rsid w:val="00064B69"/>
    <w:rsid w:val="0006511A"/>
    <w:rsid w:val="00066CE8"/>
    <w:rsid w:val="000706BB"/>
    <w:rsid w:val="00071248"/>
    <w:rsid w:val="000731F8"/>
    <w:rsid w:val="00073230"/>
    <w:rsid w:val="00074D6C"/>
    <w:rsid w:val="000762D1"/>
    <w:rsid w:val="000766EA"/>
    <w:rsid w:val="000809DB"/>
    <w:rsid w:val="00080ED0"/>
    <w:rsid w:val="0008205C"/>
    <w:rsid w:val="000824D5"/>
    <w:rsid w:val="000827B6"/>
    <w:rsid w:val="00083129"/>
    <w:rsid w:val="00085B8F"/>
    <w:rsid w:val="00085C09"/>
    <w:rsid w:val="000868B1"/>
    <w:rsid w:val="00086B2E"/>
    <w:rsid w:val="0008782F"/>
    <w:rsid w:val="00087EDE"/>
    <w:rsid w:val="00090481"/>
    <w:rsid w:val="00090B12"/>
    <w:rsid w:val="00091C5A"/>
    <w:rsid w:val="00092AB2"/>
    <w:rsid w:val="00094BD1"/>
    <w:rsid w:val="00094DC1"/>
    <w:rsid w:val="00096356"/>
    <w:rsid w:val="00097D0E"/>
    <w:rsid w:val="000A2911"/>
    <w:rsid w:val="000A2E6A"/>
    <w:rsid w:val="000A2E82"/>
    <w:rsid w:val="000A3826"/>
    <w:rsid w:val="000A6C26"/>
    <w:rsid w:val="000B36C8"/>
    <w:rsid w:val="000B3763"/>
    <w:rsid w:val="000B785B"/>
    <w:rsid w:val="000C361F"/>
    <w:rsid w:val="000C547B"/>
    <w:rsid w:val="000C66B8"/>
    <w:rsid w:val="000C7F0F"/>
    <w:rsid w:val="000D1C56"/>
    <w:rsid w:val="000D3AFE"/>
    <w:rsid w:val="000D52A4"/>
    <w:rsid w:val="000D5E93"/>
    <w:rsid w:val="000D62AD"/>
    <w:rsid w:val="000D6C25"/>
    <w:rsid w:val="000E07BC"/>
    <w:rsid w:val="000E0844"/>
    <w:rsid w:val="000E2E21"/>
    <w:rsid w:val="000E6A18"/>
    <w:rsid w:val="000E7CF5"/>
    <w:rsid w:val="000F009F"/>
    <w:rsid w:val="000F1105"/>
    <w:rsid w:val="000F19FF"/>
    <w:rsid w:val="000F1CD4"/>
    <w:rsid w:val="000F32A0"/>
    <w:rsid w:val="000F367F"/>
    <w:rsid w:val="000F3C51"/>
    <w:rsid w:val="000F4103"/>
    <w:rsid w:val="000F70A7"/>
    <w:rsid w:val="000F7EE0"/>
    <w:rsid w:val="00101A02"/>
    <w:rsid w:val="00102F45"/>
    <w:rsid w:val="001040FE"/>
    <w:rsid w:val="0010452B"/>
    <w:rsid w:val="00104D9B"/>
    <w:rsid w:val="00104F69"/>
    <w:rsid w:val="00105651"/>
    <w:rsid w:val="00105765"/>
    <w:rsid w:val="00105CEB"/>
    <w:rsid w:val="0010732B"/>
    <w:rsid w:val="00107FB4"/>
    <w:rsid w:val="001118B6"/>
    <w:rsid w:val="00112F65"/>
    <w:rsid w:val="00113CCA"/>
    <w:rsid w:val="0011648A"/>
    <w:rsid w:val="001164D9"/>
    <w:rsid w:val="00116A81"/>
    <w:rsid w:val="00116CFE"/>
    <w:rsid w:val="00122CE6"/>
    <w:rsid w:val="00122F25"/>
    <w:rsid w:val="00124499"/>
    <w:rsid w:val="00124E62"/>
    <w:rsid w:val="00125350"/>
    <w:rsid w:val="001256D6"/>
    <w:rsid w:val="0012624A"/>
    <w:rsid w:val="00127C86"/>
    <w:rsid w:val="00131C01"/>
    <w:rsid w:val="00133063"/>
    <w:rsid w:val="00133851"/>
    <w:rsid w:val="00133D0A"/>
    <w:rsid w:val="00135980"/>
    <w:rsid w:val="0013786F"/>
    <w:rsid w:val="001378E6"/>
    <w:rsid w:val="00141572"/>
    <w:rsid w:val="00142E4A"/>
    <w:rsid w:val="00143BF4"/>
    <w:rsid w:val="00144E69"/>
    <w:rsid w:val="00147DC9"/>
    <w:rsid w:val="00151B1B"/>
    <w:rsid w:val="0015242C"/>
    <w:rsid w:val="0015444A"/>
    <w:rsid w:val="001548F4"/>
    <w:rsid w:val="001549CA"/>
    <w:rsid w:val="00154B57"/>
    <w:rsid w:val="001550B6"/>
    <w:rsid w:val="001617B8"/>
    <w:rsid w:val="001624C3"/>
    <w:rsid w:val="001641FD"/>
    <w:rsid w:val="00164719"/>
    <w:rsid w:val="00165F55"/>
    <w:rsid w:val="001660E7"/>
    <w:rsid w:val="00166FC4"/>
    <w:rsid w:val="0016748A"/>
    <w:rsid w:val="001677AC"/>
    <w:rsid w:val="0017213C"/>
    <w:rsid w:val="00176B46"/>
    <w:rsid w:val="001774FD"/>
    <w:rsid w:val="00177B31"/>
    <w:rsid w:val="001804EA"/>
    <w:rsid w:val="00182D37"/>
    <w:rsid w:val="00186088"/>
    <w:rsid w:val="00186682"/>
    <w:rsid w:val="001874AC"/>
    <w:rsid w:val="00190A61"/>
    <w:rsid w:val="001913F2"/>
    <w:rsid w:val="0019363B"/>
    <w:rsid w:val="00196904"/>
    <w:rsid w:val="00197179"/>
    <w:rsid w:val="001A103B"/>
    <w:rsid w:val="001A2215"/>
    <w:rsid w:val="001A25EE"/>
    <w:rsid w:val="001A3342"/>
    <w:rsid w:val="001A3772"/>
    <w:rsid w:val="001A3E3D"/>
    <w:rsid w:val="001A7049"/>
    <w:rsid w:val="001A70FD"/>
    <w:rsid w:val="001A76EB"/>
    <w:rsid w:val="001A7708"/>
    <w:rsid w:val="001B045B"/>
    <w:rsid w:val="001B05F0"/>
    <w:rsid w:val="001B1E40"/>
    <w:rsid w:val="001B2A51"/>
    <w:rsid w:val="001B37D9"/>
    <w:rsid w:val="001B489C"/>
    <w:rsid w:val="001B49C9"/>
    <w:rsid w:val="001B66C3"/>
    <w:rsid w:val="001C0A6B"/>
    <w:rsid w:val="001C2CF8"/>
    <w:rsid w:val="001C4416"/>
    <w:rsid w:val="001C764E"/>
    <w:rsid w:val="001D122A"/>
    <w:rsid w:val="001D421A"/>
    <w:rsid w:val="001D6AE8"/>
    <w:rsid w:val="001E1052"/>
    <w:rsid w:val="001E21B1"/>
    <w:rsid w:val="001E23A9"/>
    <w:rsid w:val="001E2433"/>
    <w:rsid w:val="001E2D3C"/>
    <w:rsid w:val="001E2F62"/>
    <w:rsid w:val="001E2F93"/>
    <w:rsid w:val="001E31F4"/>
    <w:rsid w:val="001E32C1"/>
    <w:rsid w:val="001E4554"/>
    <w:rsid w:val="001E5177"/>
    <w:rsid w:val="001E5FC0"/>
    <w:rsid w:val="001E61E5"/>
    <w:rsid w:val="001E64D7"/>
    <w:rsid w:val="001E72A9"/>
    <w:rsid w:val="001E74BF"/>
    <w:rsid w:val="001F00D4"/>
    <w:rsid w:val="001F2159"/>
    <w:rsid w:val="001F2CC3"/>
    <w:rsid w:val="001F4F65"/>
    <w:rsid w:val="001F53FD"/>
    <w:rsid w:val="001F7285"/>
    <w:rsid w:val="001F73D2"/>
    <w:rsid w:val="001F7B0F"/>
    <w:rsid w:val="00200D14"/>
    <w:rsid w:val="00202D68"/>
    <w:rsid w:val="002034D9"/>
    <w:rsid w:val="00205EF6"/>
    <w:rsid w:val="002060DF"/>
    <w:rsid w:val="00206A00"/>
    <w:rsid w:val="00206ADB"/>
    <w:rsid w:val="00207CD0"/>
    <w:rsid w:val="00210B48"/>
    <w:rsid w:val="00210B8B"/>
    <w:rsid w:val="00211E0E"/>
    <w:rsid w:val="002128E2"/>
    <w:rsid w:val="00212DFA"/>
    <w:rsid w:val="00214863"/>
    <w:rsid w:val="002152F6"/>
    <w:rsid w:val="002156B4"/>
    <w:rsid w:val="00215C4E"/>
    <w:rsid w:val="00215C82"/>
    <w:rsid w:val="00216DF3"/>
    <w:rsid w:val="002208D6"/>
    <w:rsid w:val="00222642"/>
    <w:rsid w:val="002229C4"/>
    <w:rsid w:val="002232A4"/>
    <w:rsid w:val="002234EF"/>
    <w:rsid w:val="00224FCD"/>
    <w:rsid w:val="0022502D"/>
    <w:rsid w:val="00231B27"/>
    <w:rsid w:val="0023211E"/>
    <w:rsid w:val="00232A8F"/>
    <w:rsid w:val="00233A71"/>
    <w:rsid w:val="00233FFC"/>
    <w:rsid w:val="00234966"/>
    <w:rsid w:val="00234E04"/>
    <w:rsid w:val="0023768A"/>
    <w:rsid w:val="002403CD"/>
    <w:rsid w:val="00240999"/>
    <w:rsid w:val="00242347"/>
    <w:rsid w:val="0024456A"/>
    <w:rsid w:val="00245146"/>
    <w:rsid w:val="00246350"/>
    <w:rsid w:val="00250C6F"/>
    <w:rsid w:val="00251AD6"/>
    <w:rsid w:val="00253222"/>
    <w:rsid w:val="002532ED"/>
    <w:rsid w:val="0025400C"/>
    <w:rsid w:val="00256CAF"/>
    <w:rsid w:val="002614F2"/>
    <w:rsid w:val="002614FE"/>
    <w:rsid w:val="00261C13"/>
    <w:rsid w:val="00262847"/>
    <w:rsid w:val="00262E48"/>
    <w:rsid w:val="002635E7"/>
    <w:rsid w:val="00265721"/>
    <w:rsid w:val="00272559"/>
    <w:rsid w:val="00274958"/>
    <w:rsid w:val="00276384"/>
    <w:rsid w:val="00277B31"/>
    <w:rsid w:val="00281BB2"/>
    <w:rsid w:val="00283A7C"/>
    <w:rsid w:val="00284A3B"/>
    <w:rsid w:val="00284C01"/>
    <w:rsid w:val="0028670C"/>
    <w:rsid w:val="002928B7"/>
    <w:rsid w:val="00292C2B"/>
    <w:rsid w:val="00294709"/>
    <w:rsid w:val="00295AFE"/>
    <w:rsid w:val="00296847"/>
    <w:rsid w:val="002A01ED"/>
    <w:rsid w:val="002A03C3"/>
    <w:rsid w:val="002A42C2"/>
    <w:rsid w:val="002A539A"/>
    <w:rsid w:val="002A541F"/>
    <w:rsid w:val="002A5C8A"/>
    <w:rsid w:val="002A60BF"/>
    <w:rsid w:val="002A642B"/>
    <w:rsid w:val="002A6D12"/>
    <w:rsid w:val="002A79D4"/>
    <w:rsid w:val="002A7B18"/>
    <w:rsid w:val="002B1F7B"/>
    <w:rsid w:val="002B254E"/>
    <w:rsid w:val="002B3523"/>
    <w:rsid w:val="002B418B"/>
    <w:rsid w:val="002B4CE8"/>
    <w:rsid w:val="002B5126"/>
    <w:rsid w:val="002B72E9"/>
    <w:rsid w:val="002B7375"/>
    <w:rsid w:val="002C0D84"/>
    <w:rsid w:val="002C0DF3"/>
    <w:rsid w:val="002C14F1"/>
    <w:rsid w:val="002C1B61"/>
    <w:rsid w:val="002C2221"/>
    <w:rsid w:val="002C2510"/>
    <w:rsid w:val="002C32FC"/>
    <w:rsid w:val="002C4D7B"/>
    <w:rsid w:val="002C4FDE"/>
    <w:rsid w:val="002C7998"/>
    <w:rsid w:val="002D0183"/>
    <w:rsid w:val="002D18E2"/>
    <w:rsid w:val="002D2ED4"/>
    <w:rsid w:val="002D3425"/>
    <w:rsid w:val="002D50AA"/>
    <w:rsid w:val="002D67C9"/>
    <w:rsid w:val="002D723B"/>
    <w:rsid w:val="002E057F"/>
    <w:rsid w:val="002E0A99"/>
    <w:rsid w:val="002E27CC"/>
    <w:rsid w:val="002E38C6"/>
    <w:rsid w:val="002E5A07"/>
    <w:rsid w:val="002E7B21"/>
    <w:rsid w:val="002F0168"/>
    <w:rsid w:val="002F1D93"/>
    <w:rsid w:val="002F1E53"/>
    <w:rsid w:val="002F2C87"/>
    <w:rsid w:val="002F2CAA"/>
    <w:rsid w:val="002F412F"/>
    <w:rsid w:val="002F4248"/>
    <w:rsid w:val="002F7F97"/>
    <w:rsid w:val="0030052C"/>
    <w:rsid w:val="00301EF3"/>
    <w:rsid w:val="003041C5"/>
    <w:rsid w:val="00306817"/>
    <w:rsid w:val="0030698E"/>
    <w:rsid w:val="003070BB"/>
    <w:rsid w:val="003076FD"/>
    <w:rsid w:val="00311E25"/>
    <w:rsid w:val="00314A02"/>
    <w:rsid w:val="00316947"/>
    <w:rsid w:val="00321E96"/>
    <w:rsid w:val="0032221F"/>
    <w:rsid w:val="003223AB"/>
    <w:rsid w:val="0032262C"/>
    <w:rsid w:val="00324164"/>
    <w:rsid w:val="003244FB"/>
    <w:rsid w:val="00326217"/>
    <w:rsid w:val="00330523"/>
    <w:rsid w:val="003306E1"/>
    <w:rsid w:val="003320E4"/>
    <w:rsid w:val="00333367"/>
    <w:rsid w:val="003334B3"/>
    <w:rsid w:val="00334D16"/>
    <w:rsid w:val="00334FE3"/>
    <w:rsid w:val="0033525D"/>
    <w:rsid w:val="00335F6D"/>
    <w:rsid w:val="00336436"/>
    <w:rsid w:val="00337359"/>
    <w:rsid w:val="00337A18"/>
    <w:rsid w:val="003414F3"/>
    <w:rsid w:val="00341B14"/>
    <w:rsid w:val="003429CE"/>
    <w:rsid w:val="00343522"/>
    <w:rsid w:val="00344C5D"/>
    <w:rsid w:val="00345B9B"/>
    <w:rsid w:val="00345DE6"/>
    <w:rsid w:val="00346453"/>
    <w:rsid w:val="00346579"/>
    <w:rsid w:val="00346624"/>
    <w:rsid w:val="00346873"/>
    <w:rsid w:val="00351A9E"/>
    <w:rsid w:val="00353A04"/>
    <w:rsid w:val="003549A9"/>
    <w:rsid w:val="00354AD9"/>
    <w:rsid w:val="00355847"/>
    <w:rsid w:val="0035613E"/>
    <w:rsid w:val="00357957"/>
    <w:rsid w:val="00360E9D"/>
    <w:rsid w:val="00361A8A"/>
    <w:rsid w:val="00362D54"/>
    <w:rsid w:val="003632A5"/>
    <w:rsid w:val="00363EE9"/>
    <w:rsid w:val="00364FF0"/>
    <w:rsid w:val="0036762A"/>
    <w:rsid w:val="00367C5C"/>
    <w:rsid w:val="00370AF4"/>
    <w:rsid w:val="00371252"/>
    <w:rsid w:val="00371433"/>
    <w:rsid w:val="003733AB"/>
    <w:rsid w:val="003741EC"/>
    <w:rsid w:val="00374BB4"/>
    <w:rsid w:val="003757B4"/>
    <w:rsid w:val="00376128"/>
    <w:rsid w:val="003770CC"/>
    <w:rsid w:val="0037742E"/>
    <w:rsid w:val="00377D56"/>
    <w:rsid w:val="00377DD9"/>
    <w:rsid w:val="00381014"/>
    <w:rsid w:val="0038245A"/>
    <w:rsid w:val="00383F31"/>
    <w:rsid w:val="003840E6"/>
    <w:rsid w:val="0038539A"/>
    <w:rsid w:val="00385CFC"/>
    <w:rsid w:val="00386B1D"/>
    <w:rsid w:val="00387DCF"/>
    <w:rsid w:val="00387F60"/>
    <w:rsid w:val="00390319"/>
    <w:rsid w:val="003908C7"/>
    <w:rsid w:val="0039337A"/>
    <w:rsid w:val="00393960"/>
    <w:rsid w:val="00394078"/>
    <w:rsid w:val="003958C7"/>
    <w:rsid w:val="0039764E"/>
    <w:rsid w:val="003A100F"/>
    <w:rsid w:val="003A15FF"/>
    <w:rsid w:val="003A2008"/>
    <w:rsid w:val="003A255F"/>
    <w:rsid w:val="003A2DBC"/>
    <w:rsid w:val="003A3189"/>
    <w:rsid w:val="003A3CA7"/>
    <w:rsid w:val="003A3F7E"/>
    <w:rsid w:val="003A44FB"/>
    <w:rsid w:val="003A51EE"/>
    <w:rsid w:val="003A76E1"/>
    <w:rsid w:val="003A78CF"/>
    <w:rsid w:val="003B1B3E"/>
    <w:rsid w:val="003B33BD"/>
    <w:rsid w:val="003B355E"/>
    <w:rsid w:val="003B36FF"/>
    <w:rsid w:val="003B3AA6"/>
    <w:rsid w:val="003B4D20"/>
    <w:rsid w:val="003B569D"/>
    <w:rsid w:val="003B613A"/>
    <w:rsid w:val="003B6CD1"/>
    <w:rsid w:val="003B717D"/>
    <w:rsid w:val="003C16A5"/>
    <w:rsid w:val="003C2AFA"/>
    <w:rsid w:val="003C398E"/>
    <w:rsid w:val="003C3C0E"/>
    <w:rsid w:val="003C4064"/>
    <w:rsid w:val="003C4325"/>
    <w:rsid w:val="003C4766"/>
    <w:rsid w:val="003C4A0B"/>
    <w:rsid w:val="003C71E7"/>
    <w:rsid w:val="003C748B"/>
    <w:rsid w:val="003C7AE3"/>
    <w:rsid w:val="003D37C3"/>
    <w:rsid w:val="003D42A6"/>
    <w:rsid w:val="003D4F21"/>
    <w:rsid w:val="003D4FAC"/>
    <w:rsid w:val="003D5F5C"/>
    <w:rsid w:val="003D693B"/>
    <w:rsid w:val="003D7C85"/>
    <w:rsid w:val="003E1397"/>
    <w:rsid w:val="003E1885"/>
    <w:rsid w:val="003E7906"/>
    <w:rsid w:val="003F000F"/>
    <w:rsid w:val="003F047B"/>
    <w:rsid w:val="003F0566"/>
    <w:rsid w:val="003F0AC8"/>
    <w:rsid w:val="003F0E1F"/>
    <w:rsid w:val="003F2ADC"/>
    <w:rsid w:val="003F3C50"/>
    <w:rsid w:val="003F46B6"/>
    <w:rsid w:val="003F50FB"/>
    <w:rsid w:val="003F7CB0"/>
    <w:rsid w:val="004001AC"/>
    <w:rsid w:val="00400D03"/>
    <w:rsid w:val="00406202"/>
    <w:rsid w:val="00406A6A"/>
    <w:rsid w:val="00406B22"/>
    <w:rsid w:val="00407147"/>
    <w:rsid w:val="004078FA"/>
    <w:rsid w:val="00407BC8"/>
    <w:rsid w:val="004126DC"/>
    <w:rsid w:val="00413472"/>
    <w:rsid w:val="00414E91"/>
    <w:rsid w:val="00416AF6"/>
    <w:rsid w:val="00417C92"/>
    <w:rsid w:val="00420169"/>
    <w:rsid w:val="00423D1A"/>
    <w:rsid w:val="00425CA5"/>
    <w:rsid w:val="0042632B"/>
    <w:rsid w:val="004273DE"/>
    <w:rsid w:val="0042743F"/>
    <w:rsid w:val="00430550"/>
    <w:rsid w:val="004305B9"/>
    <w:rsid w:val="00430701"/>
    <w:rsid w:val="00431E08"/>
    <w:rsid w:val="004328A7"/>
    <w:rsid w:val="00434C74"/>
    <w:rsid w:val="004356DF"/>
    <w:rsid w:val="00435D7C"/>
    <w:rsid w:val="0043648A"/>
    <w:rsid w:val="0043760B"/>
    <w:rsid w:val="00437A2C"/>
    <w:rsid w:val="00440773"/>
    <w:rsid w:val="0044520F"/>
    <w:rsid w:val="0044531C"/>
    <w:rsid w:val="004454C1"/>
    <w:rsid w:val="00447104"/>
    <w:rsid w:val="00447B0E"/>
    <w:rsid w:val="00450FDC"/>
    <w:rsid w:val="00451214"/>
    <w:rsid w:val="00451808"/>
    <w:rsid w:val="00451F21"/>
    <w:rsid w:val="00452A84"/>
    <w:rsid w:val="0045500D"/>
    <w:rsid w:val="0045546E"/>
    <w:rsid w:val="00455A3C"/>
    <w:rsid w:val="00456EB4"/>
    <w:rsid w:val="00457827"/>
    <w:rsid w:val="004579FB"/>
    <w:rsid w:val="0046527B"/>
    <w:rsid w:val="004703B5"/>
    <w:rsid w:val="004705C5"/>
    <w:rsid w:val="004718F3"/>
    <w:rsid w:val="0047393A"/>
    <w:rsid w:val="00474BD8"/>
    <w:rsid w:val="00475040"/>
    <w:rsid w:val="004765DB"/>
    <w:rsid w:val="00480140"/>
    <w:rsid w:val="00480804"/>
    <w:rsid w:val="00480DAB"/>
    <w:rsid w:val="004821EC"/>
    <w:rsid w:val="0048235B"/>
    <w:rsid w:val="004824A7"/>
    <w:rsid w:val="004829FA"/>
    <w:rsid w:val="00485621"/>
    <w:rsid w:val="004860A7"/>
    <w:rsid w:val="00490C06"/>
    <w:rsid w:val="00490F64"/>
    <w:rsid w:val="0049304B"/>
    <w:rsid w:val="00493480"/>
    <w:rsid w:val="00493967"/>
    <w:rsid w:val="00493D40"/>
    <w:rsid w:val="00493EE3"/>
    <w:rsid w:val="004942D7"/>
    <w:rsid w:val="004967B6"/>
    <w:rsid w:val="00497EC5"/>
    <w:rsid w:val="004A020C"/>
    <w:rsid w:val="004A0642"/>
    <w:rsid w:val="004A12D0"/>
    <w:rsid w:val="004A2CB2"/>
    <w:rsid w:val="004A352E"/>
    <w:rsid w:val="004A4122"/>
    <w:rsid w:val="004A4936"/>
    <w:rsid w:val="004A504B"/>
    <w:rsid w:val="004A6911"/>
    <w:rsid w:val="004A7EE7"/>
    <w:rsid w:val="004A7F52"/>
    <w:rsid w:val="004B3652"/>
    <w:rsid w:val="004B3F41"/>
    <w:rsid w:val="004B54E0"/>
    <w:rsid w:val="004B684F"/>
    <w:rsid w:val="004B7384"/>
    <w:rsid w:val="004B7C99"/>
    <w:rsid w:val="004C26AB"/>
    <w:rsid w:val="004C36C3"/>
    <w:rsid w:val="004C4269"/>
    <w:rsid w:val="004C7CFB"/>
    <w:rsid w:val="004D41FD"/>
    <w:rsid w:val="004D4843"/>
    <w:rsid w:val="004D61E0"/>
    <w:rsid w:val="004D6236"/>
    <w:rsid w:val="004D7788"/>
    <w:rsid w:val="004D7CBD"/>
    <w:rsid w:val="004D7F27"/>
    <w:rsid w:val="004D7F90"/>
    <w:rsid w:val="004E2A6C"/>
    <w:rsid w:val="004E4257"/>
    <w:rsid w:val="004E4DBB"/>
    <w:rsid w:val="004E4E41"/>
    <w:rsid w:val="004E73DB"/>
    <w:rsid w:val="004E7F9C"/>
    <w:rsid w:val="004F0722"/>
    <w:rsid w:val="004F3493"/>
    <w:rsid w:val="004F46F5"/>
    <w:rsid w:val="004F5143"/>
    <w:rsid w:val="004F5296"/>
    <w:rsid w:val="004F56CC"/>
    <w:rsid w:val="004F650F"/>
    <w:rsid w:val="004F75A5"/>
    <w:rsid w:val="005004A6"/>
    <w:rsid w:val="00502A6F"/>
    <w:rsid w:val="005056D0"/>
    <w:rsid w:val="005067BC"/>
    <w:rsid w:val="00506EAF"/>
    <w:rsid w:val="005071BE"/>
    <w:rsid w:val="00507ED8"/>
    <w:rsid w:val="00512B09"/>
    <w:rsid w:val="005134AF"/>
    <w:rsid w:val="00514835"/>
    <w:rsid w:val="00515035"/>
    <w:rsid w:val="005151F4"/>
    <w:rsid w:val="00515680"/>
    <w:rsid w:val="0051665B"/>
    <w:rsid w:val="005166C8"/>
    <w:rsid w:val="00520C88"/>
    <w:rsid w:val="00521A21"/>
    <w:rsid w:val="00521AE8"/>
    <w:rsid w:val="005220ED"/>
    <w:rsid w:val="00524CCC"/>
    <w:rsid w:val="00524DFF"/>
    <w:rsid w:val="00525ED7"/>
    <w:rsid w:val="00526CEB"/>
    <w:rsid w:val="005273A6"/>
    <w:rsid w:val="0053152F"/>
    <w:rsid w:val="00531E04"/>
    <w:rsid w:val="0053265A"/>
    <w:rsid w:val="00533128"/>
    <w:rsid w:val="00533796"/>
    <w:rsid w:val="0053477E"/>
    <w:rsid w:val="00537343"/>
    <w:rsid w:val="005376B6"/>
    <w:rsid w:val="00537989"/>
    <w:rsid w:val="005410EE"/>
    <w:rsid w:val="00541CD4"/>
    <w:rsid w:val="005430F1"/>
    <w:rsid w:val="005462F5"/>
    <w:rsid w:val="00550173"/>
    <w:rsid w:val="005516F3"/>
    <w:rsid w:val="0055297D"/>
    <w:rsid w:val="00552C54"/>
    <w:rsid w:val="00553C5A"/>
    <w:rsid w:val="00555D75"/>
    <w:rsid w:val="0055607C"/>
    <w:rsid w:val="00556428"/>
    <w:rsid w:val="005564E2"/>
    <w:rsid w:val="0055664A"/>
    <w:rsid w:val="00556662"/>
    <w:rsid w:val="0055776D"/>
    <w:rsid w:val="00560DF0"/>
    <w:rsid w:val="00561720"/>
    <w:rsid w:val="0056190B"/>
    <w:rsid w:val="00562B8C"/>
    <w:rsid w:val="00563DA8"/>
    <w:rsid w:val="00564733"/>
    <w:rsid w:val="00564A7B"/>
    <w:rsid w:val="00565A94"/>
    <w:rsid w:val="00565E8A"/>
    <w:rsid w:val="0056759C"/>
    <w:rsid w:val="00567BF7"/>
    <w:rsid w:val="005720BB"/>
    <w:rsid w:val="00572F72"/>
    <w:rsid w:val="00573D2E"/>
    <w:rsid w:val="0057483F"/>
    <w:rsid w:val="00574A13"/>
    <w:rsid w:val="00574D74"/>
    <w:rsid w:val="00581E30"/>
    <w:rsid w:val="00582020"/>
    <w:rsid w:val="00582786"/>
    <w:rsid w:val="00582B6B"/>
    <w:rsid w:val="00582E77"/>
    <w:rsid w:val="00583DD0"/>
    <w:rsid w:val="00584A72"/>
    <w:rsid w:val="00584BF9"/>
    <w:rsid w:val="00585081"/>
    <w:rsid w:val="00585C48"/>
    <w:rsid w:val="00585F53"/>
    <w:rsid w:val="00586C28"/>
    <w:rsid w:val="00586F01"/>
    <w:rsid w:val="00587249"/>
    <w:rsid w:val="00587F90"/>
    <w:rsid w:val="00590538"/>
    <w:rsid w:val="00591CF1"/>
    <w:rsid w:val="00593F02"/>
    <w:rsid w:val="005946EB"/>
    <w:rsid w:val="005948CA"/>
    <w:rsid w:val="00594A9D"/>
    <w:rsid w:val="0059513E"/>
    <w:rsid w:val="00595C97"/>
    <w:rsid w:val="005963E5"/>
    <w:rsid w:val="0059780E"/>
    <w:rsid w:val="005A0157"/>
    <w:rsid w:val="005A0CE4"/>
    <w:rsid w:val="005A1CDC"/>
    <w:rsid w:val="005A6AA4"/>
    <w:rsid w:val="005A6D9F"/>
    <w:rsid w:val="005A7241"/>
    <w:rsid w:val="005B0852"/>
    <w:rsid w:val="005B08F6"/>
    <w:rsid w:val="005B119A"/>
    <w:rsid w:val="005B1694"/>
    <w:rsid w:val="005B355A"/>
    <w:rsid w:val="005B3C6E"/>
    <w:rsid w:val="005B48FF"/>
    <w:rsid w:val="005B5382"/>
    <w:rsid w:val="005B563F"/>
    <w:rsid w:val="005C13C5"/>
    <w:rsid w:val="005C1E32"/>
    <w:rsid w:val="005C2ABD"/>
    <w:rsid w:val="005C3E19"/>
    <w:rsid w:val="005C552F"/>
    <w:rsid w:val="005C6014"/>
    <w:rsid w:val="005C670D"/>
    <w:rsid w:val="005C6894"/>
    <w:rsid w:val="005D0B66"/>
    <w:rsid w:val="005D363F"/>
    <w:rsid w:val="005D6E9E"/>
    <w:rsid w:val="005D753A"/>
    <w:rsid w:val="005D7966"/>
    <w:rsid w:val="005E0CB0"/>
    <w:rsid w:val="005E2A0A"/>
    <w:rsid w:val="005E3E14"/>
    <w:rsid w:val="005E5F9A"/>
    <w:rsid w:val="005E6A18"/>
    <w:rsid w:val="005E6DE5"/>
    <w:rsid w:val="005E7A15"/>
    <w:rsid w:val="005E7CC1"/>
    <w:rsid w:val="005F0426"/>
    <w:rsid w:val="005F12D1"/>
    <w:rsid w:val="005F35C5"/>
    <w:rsid w:val="005F40EB"/>
    <w:rsid w:val="005F4278"/>
    <w:rsid w:val="005F6049"/>
    <w:rsid w:val="005F717B"/>
    <w:rsid w:val="005F797A"/>
    <w:rsid w:val="00600C6A"/>
    <w:rsid w:val="006014C7"/>
    <w:rsid w:val="00602816"/>
    <w:rsid w:val="00602F2A"/>
    <w:rsid w:val="0060468F"/>
    <w:rsid w:val="00604C15"/>
    <w:rsid w:val="00604EFE"/>
    <w:rsid w:val="00607069"/>
    <w:rsid w:val="00611EBE"/>
    <w:rsid w:val="006128D8"/>
    <w:rsid w:val="006145FB"/>
    <w:rsid w:val="00615284"/>
    <w:rsid w:val="006152DC"/>
    <w:rsid w:val="006158D5"/>
    <w:rsid w:val="00617C8A"/>
    <w:rsid w:val="00625616"/>
    <w:rsid w:val="00625D83"/>
    <w:rsid w:val="006277BF"/>
    <w:rsid w:val="00630A91"/>
    <w:rsid w:val="00631E92"/>
    <w:rsid w:val="0063408E"/>
    <w:rsid w:val="006357B6"/>
    <w:rsid w:val="00635EBF"/>
    <w:rsid w:val="00636207"/>
    <w:rsid w:val="006364F9"/>
    <w:rsid w:val="00640382"/>
    <w:rsid w:val="006405CE"/>
    <w:rsid w:val="006428F0"/>
    <w:rsid w:val="00643C48"/>
    <w:rsid w:val="00644E5D"/>
    <w:rsid w:val="00646D72"/>
    <w:rsid w:val="00646E12"/>
    <w:rsid w:val="0064789D"/>
    <w:rsid w:val="0065027F"/>
    <w:rsid w:val="00651984"/>
    <w:rsid w:val="006522C4"/>
    <w:rsid w:val="006524DF"/>
    <w:rsid w:val="00653FC5"/>
    <w:rsid w:val="006540F3"/>
    <w:rsid w:val="006561F2"/>
    <w:rsid w:val="006623E7"/>
    <w:rsid w:val="006629BD"/>
    <w:rsid w:val="00662B80"/>
    <w:rsid w:val="00662BAB"/>
    <w:rsid w:val="0066438E"/>
    <w:rsid w:val="006656E2"/>
    <w:rsid w:val="00665801"/>
    <w:rsid w:val="00666202"/>
    <w:rsid w:val="0066761B"/>
    <w:rsid w:val="0066768F"/>
    <w:rsid w:val="00667B0F"/>
    <w:rsid w:val="006702B7"/>
    <w:rsid w:val="00670F6C"/>
    <w:rsid w:val="006711E2"/>
    <w:rsid w:val="006716C6"/>
    <w:rsid w:val="00671F7B"/>
    <w:rsid w:val="006754E2"/>
    <w:rsid w:val="00675516"/>
    <w:rsid w:val="00676E58"/>
    <w:rsid w:val="00677011"/>
    <w:rsid w:val="0067704A"/>
    <w:rsid w:val="00677A2B"/>
    <w:rsid w:val="00681B02"/>
    <w:rsid w:val="00682395"/>
    <w:rsid w:val="00684EAE"/>
    <w:rsid w:val="006852C7"/>
    <w:rsid w:val="006852CE"/>
    <w:rsid w:val="00685E63"/>
    <w:rsid w:val="006871E6"/>
    <w:rsid w:val="00687779"/>
    <w:rsid w:val="00687F77"/>
    <w:rsid w:val="00690DB1"/>
    <w:rsid w:val="00692D14"/>
    <w:rsid w:val="0069384A"/>
    <w:rsid w:val="00694D0E"/>
    <w:rsid w:val="006A2412"/>
    <w:rsid w:val="006A3A1B"/>
    <w:rsid w:val="006A50A0"/>
    <w:rsid w:val="006A51ED"/>
    <w:rsid w:val="006A7A3B"/>
    <w:rsid w:val="006B199C"/>
    <w:rsid w:val="006B313B"/>
    <w:rsid w:val="006B3DE0"/>
    <w:rsid w:val="006B4CBF"/>
    <w:rsid w:val="006B4E6C"/>
    <w:rsid w:val="006B59CE"/>
    <w:rsid w:val="006B65C7"/>
    <w:rsid w:val="006B6E3D"/>
    <w:rsid w:val="006C0647"/>
    <w:rsid w:val="006C07F5"/>
    <w:rsid w:val="006C1727"/>
    <w:rsid w:val="006C201B"/>
    <w:rsid w:val="006C2E1D"/>
    <w:rsid w:val="006C32FD"/>
    <w:rsid w:val="006C39CE"/>
    <w:rsid w:val="006C4816"/>
    <w:rsid w:val="006C5600"/>
    <w:rsid w:val="006C62EB"/>
    <w:rsid w:val="006D03D1"/>
    <w:rsid w:val="006D0FCC"/>
    <w:rsid w:val="006D21F5"/>
    <w:rsid w:val="006D3089"/>
    <w:rsid w:val="006D3399"/>
    <w:rsid w:val="006D3A30"/>
    <w:rsid w:val="006D57A4"/>
    <w:rsid w:val="006D64F8"/>
    <w:rsid w:val="006E126D"/>
    <w:rsid w:val="006E1FC3"/>
    <w:rsid w:val="006E4411"/>
    <w:rsid w:val="006E4769"/>
    <w:rsid w:val="006E48EC"/>
    <w:rsid w:val="006E5575"/>
    <w:rsid w:val="006E5F5E"/>
    <w:rsid w:val="006E73D7"/>
    <w:rsid w:val="006E7A72"/>
    <w:rsid w:val="006F043C"/>
    <w:rsid w:val="006F50D8"/>
    <w:rsid w:val="006F6506"/>
    <w:rsid w:val="006F6AFA"/>
    <w:rsid w:val="006F731E"/>
    <w:rsid w:val="00702D23"/>
    <w:rsid w:val="00702EE7"/>
    <w:rsid w:val="00704CE9"/>
    <w:rsid w:val="0070606E"/>
    <w:rsid w:val="0070616B"/>
    <w:rsid w:val="00706295"/>
    <w:rsid w:val="00706FDA"/>
    <w:rsid w:val="0071058F"/>
    <w:rsid w:val="00711F9A"/>
    <w:rsid w:val="00713810"/>
    <w:rsid w:val="007143ED"/>
    <w:rsid w:val="00716544"/>
    <w:rsid w:val="007167AB"/>
    <w:rsid w:val="00720B38"/>
    <w:rsid w:val="0072338F"/>
    <w:rsid w:val="00724701"/>
    <w:rsid w:val="00725D04"/>
    <w:rsid w:val="007303A5"/>
    <w:rsid w:val="00730763"/>
    <w:rsid w:val="00730B3E"/>
    <w:rsid w:val="00731F8D"/>
    <w:rsid w:val="007320C0"/>
    <w:rsid w:val="007332A3"/>
    <w:rsid w:val="007339F1"/>
    <w:rsid w:val="00734005"/>
    <w:rsid w:val="0073420B"/>
    <w:rsid w:val="00736367"/>
    <w:rsid w:val="0074760E"/>
    <w:rsid w:val="00750387"/>
    <w:rsid w:val="00751B2A"/>
    <w:rsid w:val="00752F03"/>
    <w:rsid w:val="007548C4"/>
    <w:rsid w:val="00754ABA"/>
    <w:rsid w:val="00754F8E"/>
    <w:rsid w:val="007576E9"/>
    <w:rsid w:val="00761ABB"/>
    <w:rsid w:val="007624A2"/>
    <w:rsid w:val="00763A9A"/>
    <w:rsid w:val="0076590D"/>
    <w:rsid w:val="00766E26"/>
    <w:rsid w:val="00770D51"/>
    <w:rsid w:val="00770D9C"/>
    <w:rsid w:val="0077289D"/>
    <w:rsid w:val="00774223"/>
    <w:rsid w:val="00774AD1"/>
    <w:rsid w:val="00775B59"/>
    <w:rsid w:val="0077727D"/>
    <w:rsid w:val="0077794E"/>
    <w:rsid w:val="00777ABB"/>
    <w:rsid w:val="00777F83"/>
    <w:rsid w:val="00781B96"/>
    <w:rsid w:val="0078218C"/>
    <w:rsid w:val="00782B0D"/>
    <w:rsid w:val="00786B53"/>
    <w:rsid w:val="00790F8E"/>
    <w:rsid w:val="0079164D"/>
    <w:rsid w:val="00791D07"/>
    <w:rsid w:val="00794048"/>
    <w:rsid w:val="0079689F"/>
    <w:rsid w:val="00796DAE"/>
    <w:rsid w:val="0079781A"/>
    <w:rsid w:val="007A0CA2"/>
    <w:rsid w:val="007A1546"/>
    <w:rsid w:val="007A228C"/>
    <w:rsid w:val="007A2408"/>
    <w:rsid w:val="007A26B7"/>
    <w:rsid w:val="007A3133"/>
    <w:rsid w:val="007A368E"/>
    <w:rsid w:val="007A442D"/>
    <w:rsid w:val="007A5868"/>
    <w:rsid w:val="007A5991"/>
    <w:rsid w:val="007A62B6"/>
    <w:rsid w:val="007A699A"/>
    <w:rsid w:val="007B02F9"/>
    <w:rsid w:val="007B04CE"/>
    <w:rsid w:val="007B2017"/>
    <w:rsid w:val="007B2497"/>
    <w:rsid w:val="007B2E81"/>
    <w:rsid w:val="007B550A"/>
    <w:rsid w:val="007B5CC7"/>
    <w:rsid w:val="007B6871"/>
    <w:rsid w:val="007B7A2F"/>
    <w:rsid w:val="007C0EEF"/>
    <w:rsid w:val="007C2B69"/>
    <w:rsid w:val="007C2BFC"/>
    <w:rsid w:val="007C32EE"/>
    <w:rsid w:val="007C3D33"/>
    <w:rsid w:val="007C43CB"/>
    <w:rsid w:val="007C643B"/>
    <w:rsid w:val="007D148F"/>
    <w:rsid w:val="007D294A"/>
    <w:rsid w:val="007D3399"/>
    <w:rsid w:val="007D47D2"/>
    <w:rsid w:val="007D68DF"/>
    <w:rsid w:val="007D6EC0"/>
    <w:rsid w:val="007D7E1D"/>
    <w:rsid w:val="007E1337"/>
    <w:rsid w:val="007E2218"/>
    <w:rsid w:val="007E3072"/>
    <w:rsid w:val="007E31A9"/>
    <w:rsid w:val="007E3FE4"/>
    <w:rsid w:val="007E503C"/>
    <w:rsid w:val="007E56E0"/>
    <w:rsid w:val="007E687A"/>
    <w:rsid w:val="007E6BD7"/>
    <w:rsid w:val="007F0B11"/>
    <w:rsid w:val="007F3658"/>
    <w:rsid w:val="007F3EEA"/>
    <w:rsid w:val="007F48A4"/>
    <w:rsid w:val="007F4FCA"/>
    <w:rsid w:val="007F7394"/>
    <w:rsid w:val="00800207"/>
    <w:rsid w:val="00801330"/>
    <w:rsid w:val="00802470"/>
    <w:rsid w:val="00802849"/>
    <w:rsid w:val="008030A2"/>
    <w:rsid w:val="0080345C"/>
    <w:rsid w:val="00804CBE"/>
    <w:rsid w:val="00805885"/>
    <w:rsid w:val="00807D6B"/>
    <w:rsid w:val="008103AE"/>
    <w:rsid w:val="008111AD"/>
    <w:rsid w:val="008156D7"/>
    <w:rsid w:val="00815A40"/>
    <w:rsid w:val="00816198"/>
    <w:rsid w:val="00817C9F"/>
    <w:rsid w:val="00820AD5"/>
    <w:rsid w:val="008222C0"/>
    <w:rsid w:val="008225C1"/>
    <w:rsid w:val="00823386"/>
    <w:rsid w:val="0082341F"/>
    <w:rsid w:val="00824722"/>
    <w:rsid w:val="0082522F"/>
    <w:rsid w:val="00825A9F"/>
    <w:rsid w:val="00826C64"/>
    <w:rsid w:val="00830521"/>
    <w:rsid w:val="00831979"/>
    <w:rsid w:val="00831CFF"/>
    <w:rsid w:val="00831E33"/>
    <w:rsid w:val="00835330"/>
    <w:rsid w:val="0083583C"/>
    <w:rsid w:val="008359CD"/>
    <w:rsid w:val="00836730"/>
    <w:rsid w:val="00841A55"/>
    <w:rsid w:val="008445DC"/>
    <w:rsid w:val="00844B73"/>
    <w:rsid w:val="00846A08"/>
    <w:rsid w:val="00847DB8"/>
    <w:rsid w:val="00851352"/>
    <w:rsid w:val="00851E28"/>
    <w:rsid w:val="0085417C"/>
    <w:rsid w:val="00854DB7"/>
    <w:rsid w:val="00856A9C"/>
    <w:rsid w:val="00857077"/>
    <w:rsid w:val="00860929"/>
    <w:rsid w:val="00863230"/>
    <w:rsid w:val="00863FB6"/>
    <w:rsid w:val="00864DA2"/>
    <w:rsid w:val="00865BD0"/>
    <w:rsid w:val="0086617F"/>
    <w:rsid w:val="00866E17"/>
    <w:rsid w:val="008675B7"/>
    <w:rsid w:val="00867C68"/>
    <w:rsid w:val="00870E11"/>
    <w:rsid w:val="00871245"/>
    <w:rsid w:val="008717D8"/>
    <w:rsid w:val="0087215C"/>
    <w:rsid w:val="008735E6"/>
    <w:rsid w:val="008737EA"/>
    <w:rsid w:val="00874A28"/>
    <w:rsid w:val="0087586C"/>
    <w:rsid w:val="00875D25"/>
    <w:rsid w:val="0087729B"/>
    <w:rsid w:val="00877C2C"/>
    <w:rsid w:val="00877E1A"/>
    <w:rsid w:val="00880E35"/>
    <w:rsid w:val="00880F08"/>
    <w:rsid w:val="00880FF7"/>
    <w:rsid w:val="00882001"/>
    <w:rsid w:val="008845AF"/>
    <w:rsid w:val="00884ACD"/>
    <w:rsid w:val="008851B7"/>
    <w:rsid w:val="00886C3F"/>
    <w:rsid w:val="008875FE"/>
    <w:rsid w:val="00887F8E"/>
    <w:rsid w:val="008902BD"/>
    <w:rsid w:val="008907AE"/>
    <w:rsid w:val="008910DA"/>
    <w:rsid w:val="00894D2F"/>
    <w:rsid w:val="00894E8D"/>
    <w:rsid w:val="0089527B"/>
    <w:rsid w:val="00896234"/>
    <w:rsid w:val="00896AA9"/>
    <w:rsid w:val="00897870"/>
    <w:rsid w:val="00897E43"/>
    <w:rsid w:val="00897F24"/>
    <w:rsid w:val="008A0BBA"/>
    <w:rsid w:val="008A24EF"/>
    <w:rsid w:val="008A2F2B"/>
    <w:rsid w:val="008A32F0"/>
    <w:rsid w:val="008A4572"/>
    <w:rsid w:val="008A4CF1"/>
    <w:rsid w:val="008A4FD0"/>
    <w:rsid w:val="008A5A1B"/>
    <w:rsid w:val="008A5A62"/>
    <w:rsid w:val="008A5F93"/>
    <w:rsid w:val="008A675E"/>
    <w:rsid w:val="008A6DA3"/>
    <w:rsid w:val="008A6DFC"/>
    <w:rsid w:val="008A779B"/>
    <w:rsid w:val="008B2EE5"/>
    <w:rsid w:val="008B5714"/>
    <w:rsid w:val="008B5A54"/>
    <w:rsid w:val="008B7359"/>
    <w:rsid w:val="008B7607"/>
    <w:rsid w:val="008C01D4"/>
    <w:rsid w:val="008C0584"/>
    <w:rsid w:val="008C079F"/>
    <w:rsid w:val="008C1524"/>
    <w:rsid w:val="008C222B"/>
    <w:rsid w:val="008C50EB"/>
    <w:rsid w:val="008C5738"/>
    <w:rsid w:val="008C7EAD"/>
    <w:rsid w:val="008D0CFE"/>
    <w:rsid w:val="008D168F"/>
    <w:rsid w:val="008D45FF"/>
    <w:rsid w:val="008D5C60"/>
    <w:rsid w:val="008D5E05"/>
    <w:rsid w:val="008D6152"/>
    <w:rsid w:val="008D6F9E"/>
    <w:rsid w:val="008D7173"/>
    <w:rsid w:val="008D75EF"/>
    <w:rsid w:val="008E0D11"/>
    <w:rsid w:val="008E0DA0"/>
    <w:rsid w:val="008E0FBE"/>
    <w:rsid w:val="008E156E"/>
    <w:rsid w:val="008E3B36"/>
    <w:rsid w:val="008E3BEB"/>
    <w:rsid w:val="008E3D84"/>
    <w:rsid w:val="008E3FA3"/>
    <w:rsid w:val="008E4905"/>
    <w:rsid w:val="008E57E1"/>
    <w:rsid w:val="008E5E27"/>
    <w:rsid w:val="008E7BA9"/>
    <w:rsid w:val="008F0626"/>
    <w:rsid w:val="008F0B39"/>
    <w:rsid w:val="008F0F81"/>
    <w:rsid w:val="008F1103"/>
    <w:rsid w:val="008F27BF"/>
    <w:rsid w:val="008F2E64"/>
    <w:rsid w:val="008F3D5D"/>
    <w:rsid w:val="008F43AC"/>
    <w:rsid w:val="008F517A"/>
    <w:rsid w:val="008F5EC3"/>
    <w:rsid w:val="008F625F"/>
    <w:rsid w:val="008F6B81"/>
    <w:rsid w:val="008F6F4E"/>
    <w:rsid w:val="008F748A"/>
    <w:rsid w:val="008F76E1"/>
    <w:rsid w:val="00901451"/>
    <w:rsid w:val="009051ED"/>
    <w:rsid w:val="009057E6"/>
    <w:rsid w:val="0090720D"/>
    <w:rsid w:val="00907716"/>
    <w:rsid w:val="00912CC2"/>
    <w:rsid w:val="009142EC"/>
    <w:rsid w:val="009145E4"/>
    <w:rsid w:val="009154C3"/>
    <w:rsid w:val="00916CFA"/>
    <w:rsid w:val="00923540"/>
    <w:rsid w:val="00926619"/>
    <w:rsid w:val="00926767"/>
    <w:rsid w:val="00927339"/>
    <w:rsid w:val="009302AE"/>
    <w:rsid w:val="009310D8"/>
    <w:rsid w:val="00932276"/>
    <w:rsid w:val="009340AF"/>
    <w:rsid w:val="009361D5"/>
    <w:rsid w:val="00936BCD"/>
    <w:rsid w:val="00937781"/>
    <w:rsid w:val="0094072D"/>
    <w:rsid w:val="00940CBA"/>
    <w:rsid w:val="00942820"/>
    <w:rsid w:val="009428A4"/>
    <w:rsid w:val="009430CB"/>
    <w:rsid w:val="00943C22"/>
    <w:rsid w:val="00944DB4"/>
    <w:rsid w:val="00944E38"/>
    <w:rsid w:val="009504B6"/>
    <w:rsid w:val="0095051B"/>
    <w:rsid w:val="0095071D"/>
    <w:rsid w:val="0095116E"/>
    <w:rsid w:val="00951AE4"/>
    <w:rsid w:val="0095254D"/>
    <w:rsid w:val="00957706"/>
    <w:rsid w:val="009625BC"/>
    <w:rsid w:val="009641DC"/>
    <w:rsid w:val="009659F4"/>
    <w:rsid w:val="00966784"/>
    <w:rsid w:val="00966AE1"/>
    <w:rsid w:val="00970444"/>
    <w:rsid w:val="00970D60"/>
    <w:rsid w:val="00971DA6"/>
    <w:rsid w:val="00972574"/>
    <w:rsid w:val="00972CC6"/>
    <w:rsid w:val="0097382C"/>
    <w:rsid w:val="00974102"/>
    <w:rsid w:val="00974D14"/>
    <w:rsid w:val="009758EA"/>
    <w:rsid w:val="00977EDA"/>
    <w:rsid w:val="0098027B"/>
    <w:rsid w:val="0098049A"/>
    <w:rsid w:val="009816BD"/>
    <w:rsid w:val="00981C96"/>
    <w:rsid w:val="0098252F"/>
    <w:rsid w:val="00985184"/>
    <w:rsid w:val="009860B6"/>
    <w:rsid w:val="009874D0"/>
    <w:rsid w:val="0098778F"/>
    <w:rsid w:val="00990A0E"/>
    <w:rsid w:val="00991574"/>
    <w:rsid w:val="00991E9B"/>
    <w:rsid w:val="00992038"/>
    <w:rsid w:val="0099390E"/>
    <w:rsid w:val="009946D5"/>
    <w:rsid w:val="009953C0"/>
    <w:rsid w:val="009960E5"/>
    <w:rsid w:val="009961F2"/>
    <w:rsid w:val="009971A6"/>
    <w:rsid w:val="00997D6F"/>
    <w:rsid w:val="009A0BFB"/>
    <w:rsid w:val="009A22CA"/>
    <w:rsid w:val="009A3B05"/>
    <w:rsid w:val="009A46DB"/>
    <w:rsid w:val="009A6D6E"/>
    <w:rsid w:val="009A7ADC"/>
    <w:rsid w:val="009B0336"/>
    <w:rsid w:val="009B094B"/>
    <w:rsid w:val="009B0D30"/>
    <w:rsid w:val="009B1A93"/>
    <w:rsid w:val="009B4CB8"/>
    <w:rsid w:val="009B5DB8"/>
    <w:rsid w:val="009B70C4"/>
    <w:rsid w:val="009B7993"/>
    <w:rsid w:val="009C04B6"/>
    <w:rsid w:val="009C0755"/>
    <w:rsid w:val="009C0DA3"/>
    <w:rsid w:val="009C19B7"/>
    <w:rsid w:val="009C49FF"/>
    <w:rsid w:val="009C5ABB"/>
    <w:rsid w:val="009C793E"/>
    <w:rsid w:val="009C7E48"/>
    <w:rsid w:val="009D4E08"/>
    <w:rsid w:val="009D6754"/>
    <w:rsid w:val="009D75B7"/>
    <w:rsid w:val="009D7C51"/>
    <w:rsid w:val="009E0205"/>
    <w:rsid w:val="009E14D1"/>
    <w:rsid w:val="009E196C"/>
    <w:rsid w:val="009E2EB0"/>
    <w:rsid w:val="009E34CB"/>
    <w:rsid w:val="009E3A86"/>
    <w:rsid w:val="009E3D96"/>
    <w:rsid w:val="009E4589"/>
    <w:rsid w:val="009E4CE6"/>
    <w:rsid w:val="009E509A"/>
    <w:rsid w:val="009E550F"/>
    <w:rsid w:val="009E6A0A"/>
    <w:rsid w:val="009E72D3"/>
    <w:rsid w:val="009F0332"/>
    <w:rsid w:val="009F1F01"/>
    <w:rsid w:val="009F36BF"/>
    <w:rsid w:val="009F3AAB"/>
    <w:rsid w:val="009F4039"/>
    <w:rsid w:val="009F48B6"/>
    <w:rsid w:val="009F6FFE"/>
    <w:rsid w:val="00A00A9A"/>
    <w:rsid w:val="00A042F2"/>
    <w:rsid w:val="00A04BF6"/>
    <w:rsid w:val="00A0595B"/>
    <w:rsid w:val="00A07500"/>
    <w:rsid w:val="00A111B6"/>
    <w:rsid w:val="00A149F4"/>
    <w:rsid w:val="00A16110"/>
    <w:rsid w:val="00A17A8F"/>
    <w:rsid w:val="00A20453"/>
    <w:rsid w:val="00A2075F"/>
    <w:rsid w:val="00A23D06"/>
    <w:rsid w:val="00A2432C"/>
    <w:rsid w:val="00A24622"/>
    <w:rsid w:val="00A26CAE"/>
    <w:rsid w:val="00A26D27"/>
    <w:rsid w:val="00A31AF0"/>
    <w:rsid w:val="00A326C5"/>
    <w:rsid w:val="00A335E5"/>
    <w:rsid w:val="00A376EE"/>
    <w:rsid w:val="00A40396"/>
    <w:rsid w:val="00A40C08"/>
    <w:rsid w:val="00A40D7F"/>
    <w:rsid w:val="00A42354"/>
    <w:rsid w:val="00A42A3A"/>
    <w:rsid w:val="00A42A42"/>
    <w:rsid w:val="00A42A99"/>
    <w:rsid w:val="00A43905"/>
    <w:rsid w:val="00A43B9A"/>
    <w:rsid w:val="00A4461E"/>
    <w:rsid w:val="00A44ED1"/>
    <w:rsid w:val="00A46C28"/>
    <w:rsid w:val="00A5075B"/>
    <w:rsid w:val="00A50C94"/>
    <w:rsid w:val="00A5151A"/>
    <w:rsid w:val="00A523B5"/>
    <w:rsid w:val="00A53447"/>
    <w:rsid w:val="00A5356F"/>
    <w:rsid w:val="00A55193"/>
    <w:rsid w:val="00A5555E"/>
    <w:rsid w:val="00A55C25"/>
    <w:rsid w:val="00A56E62"/>
    <w:rsid w:val="00A56E81"/>
    <w:rsid w:val="00A57E0A"/>
    <w:rsid w:val="00A61226"/>
    <w:rsid w:val="00A668E2"/>
    <w:rsid w:val="00A6783C"/>
    <w:rsid w:val="00A67909"/>
    <w:rsid w:val="00A67C77"/>
    <w:rsid w:val="00A720C8"/>
    <w:rsid w:val="00A74AEB"/>
    <w:rsid w:val="00A75ED9"/>
    <w:rsid w:val="00A77919"/>
    <w:rsid w:val="00A77EEA"/>
    <w:rsid w:val="00A8080E"/>
    <w:rsid w:val="00A809BF"/>
    <w:rsid w:val="00A823F6"/>
    <w:rsid w:val="00A8303E"/>
    <w:rsid w:val="00A8368E"/>
    <w:rsid w:val="00A83891"/>
    <w:rsid w:val="00A8434A"/>
    <w:rsid w:val="00A84CAB"/>
    <w:rsid w:val="00A86CCB"/>
    <w:rsid w:val="00A8719E"/>
    <w:rsid w:val="00A87E44"/>
    <w:rsid w:val="00A93275"/>
    <w:rsid w:val="00A96764"/>
    <w:rsid w:val="00A96A12"/>
    <w:rsid w:val="00A96B59"/>
    <w:rsid w:val="00AA030F"/>
    <w:rsid w:val="00AA0A89"/>
    <w:rsid w:val="00AA0B5B"/>
    <w:rsid w:val="00AA2391"/>
    <w:rsid w:val="00AA23DA"/>
    <w:rsid w:val="00AA3D63"/>
    <w:rsid w:val="00AA5368"/>
    <w:rsid w:val="00AA54A5"/>
    <w:rsid w:val="00AA6429"/>
    <w:rsid w:val="00AA7F9A"/>
    <w:rsid w:val="00AB0E38"/>
    <w:rsid w:val="00AB42F1"/>
    <w:rsid w:val="00AB4DD3"/>
    <w:rsid w:val="00AB571E"/>
    <w:rsid w:val="00AB6491"/>
    <w:rsid w:val="00AB6A85"/>
    <w:rsid w:val="00AB6A8A"/>
    <w:rsid w:val="00AB75F2"/>
    <w:rsid w:val="00AC01AA"/>
    <w:rsid w:val="00AC22AC"/>
    <w:rsid w:val="00AC2E75"/>
    <w:rsid w:val="00AC34BD"/>
    <w:rsid w:val="00AC3C1D"/>
    <w:rsid w:val="00AC3EE9"/>
    <w:rsid w:val="00AC463F"/>
    <w:rsid w:val="00AC4F72"/>
    <w:rsid w:val="00AC5041"/>
    <w:rsid w:val="00AC670F"/>
    <w:rsid w:val="00AC681E"/>
    <w:rsid w:val="00AC72C8"/>
    <w:rsid w:val="00AC734A"/>
    <w:rsid w:val="00AD0557"/>
    <w:rsid w:val="00AD0A5B"/>
    <w:rsid w:val="00AD1271"/>
    <w:rsid w:val="00AD1909"/>
    <w:rsid w:val="00AD411A"/>
    <w:rsid w:val="00AD4707"/>
    <w:rsid w:val="00AD614C"/>
    <w:rsid w:val="00AD652F"/>
    <w:rsid w:val="00AD6E28"/>
    <w:rsid w:val="00AD6F9A"/>
    <w:rsid w:val="00AE18D6"/>
    <w:rsid w:val="00AE39C6"/>
    <w:rsid w:val="00AE482E"/>
    <w:rsid w:val="00AE4F17"/>
    <w:rsid w:val="00AE5216"/>
    <w:rsid w:val="00AE57A5"/>
    <w:rsid w:val="00AE5DBB"/>
    <w:rsid w:val="00AE71C2"/>
    <w:rsid w:val="00AF0C09"/>
    <w:rsid w:val="00AF1B39"/>
    <w:rsid w:val="00AF4EE5"/>
    <w:rsid w:val="00AF6019"/>
    <w:rsid w:val="00AF6585"/>
    <w:rsid w:val="00AF741A"/>
    <w:rsid w:val="00AF7624"/>
    <w:rsid w:val="00B00187"/>
    <w:rsid w:val="00B0112E"/>
    <w:rsid w:val="00B01ADB"/>
    <w:rsid w:val="00B03035"/>
    <w:rsid w:val="00B03941"/>
    <w:rsid w:val="00B04161"/>
    <w:rsid w:val="00B056F9"/>
    <w:rsid w:val="00B0659E"/>
    <w:rsid w:val="00B0724B"/>
    <w:rsid w:val="00B10007"/>
    <w:rsid w:val="00B11A05"/>
    <w:rsid w:val="00B11B30"/>
    <w:rsid w:val="00B11BFA"/>
    <w:rsid w:val="00B11E3D"/>
    <w:rsid w:val="00B13BD0"/>
    <w:rsid w:val="00B14548"/>
    <w:rsid w:val="00B14681"/>
    <w:rsid w:val="00B14C97"/>
    <w:rsid w:val="00B14D2C"/>
    <w:rsid w:val="00B15885"/>
    <w:rsid w:val="00B15EB4"/>
    <w:rsid w:val="00B15EE1"/>
    <w:rsid w:val="00B17E82"/>
    <w:rsid w:val="00B20868"/>
    <w:rsid w:val="00B21A3E"/>
    <w:rsid w:val="00B22661"/>
    <w:rsid w:val="00B23892"/>
    <w:rsid w:val="00B257D0"/>
    <w:rsid w:val="00B31B37"/>
    <w:rsid w:val="00B3385E"/>
    <w:rsid w:val="00B35FCB"/>
    <w:rsid w:val="00B40028"/>
    <w:rsid w:val="00B40355"/>
    <w:rsid w:val="00B407A0"/>
    <w:rsid w:val="00B40A23"/>
    <w:rsid w:val="00B41C9A"/>
    <w:rsid w:val="00B42E6D"/>
    <w:rsid w:val="00B448E8"/>
    <w:rsid w:val="00B4575A"/>
    <w:rsid w:val="00B468AA"/>
    <w:rsid w:val="00B46F5B"/>
    <w:rsid w:val="00B475AF"/>
    <w:rsid w:val="00B513D5"/>
    <w:rsid w:val="00B51605"/>
    <w:rsid w:val="00B51C5B"/>
    <w:rsid w:val="00B51D38"/>
    <w:rsid w:val="00B52B5B"/>
    <w:rsid w:val="00B53491"/>
    <w:rsid w:val="00B540D2"/>
    <w:rsid w:val="00B55794"/>
    <w:rsid w:val="00B575BA"/>
    <w:rsid w:val="00B57A6D"/>
    <w:rsid w:val="00B63A95"/>
    <w:rsid w:val="00B64C2D"/>
    <w:rsid w:val="00B664BC"/>
    <w:rsid w:val="00B66F31"/>
    <w:rsid w:val="00B701A0"/>
    <w:rsid w:val="00B71608"/>
    <w:rsid w:val="00B73388"/>
    <w:rsid w:val="00B76429"/>
    <w:rsid w:val="00B77565"/>
    <w:rsid w:val="00B813C9"/>
    <w:rsid w:val="00B85776"/>
    <w:rsid w:val="00B86471"/>
    <w:rsid w:val="00B90536"/>
    <w:rsid w:val="00B91761"/>
    <w:rsid w:val="00B9192F"/>
    <w:rsid w:val="00B92EF4"/>
    <w:rsid w:val="00B956D4"/>
    <w:rsid w:val="00B95B9F"/>
    <w:rsid w:val="00B96470"/>
    <w:rsid w:val="00B97446"/>
    <w:rsid w:val="00BA030D"/>
    <w:rsid w:val="00BA06E9"/>
    <w:rsid w:val="00BA1162"/>
    <w:rsid w:val="00BA2B55"/>
    <w:rsid w:val="00BA7432"/>
    <w:rsid w:val="00BA7B14"/>
    <w:rsid w:val="00BB2764"/>
    <w:rsid w:val="00BB34B4"/>
    <w:rsid w:val="00BB6880"/>
    <w:rsid w:val="00BB6C8B"/>
    <w:rsid w:val="00BC0C28"/>
    <w:rsid w:val="00BC0D7E"/>
    <w:rsid w:val="00BC1AA0"/>
    <w:rsid w:val="00BC2495"/>
    <w:rsid w:val="00BC314A"/>
    <w:rsid w:val="00BC3E26"/>
    <w:rsid w:val="00BC6837"/>
    <w:rsid w:val="00BC7EB9"/>
    <w:rsid w:val="00BD2643"/>
    <w:rsid w:val="00BD304B"/>
    <w:rsid w:val="00BD47BE"/>
    <w:rsid w:val="00BD4AB3"/>
    <w:rsid w:val="00BD56B1"/>
    <w:rsid w:val="00BD61A0"/>
    <w:rsid w:val="00BD6558"/>
    <w:rsid w:val="00BD7E75"/>
    <w:rsid w:val="00BE0629"/>
    <w:rsid w:val="00BE0BA9"/>
    <w:rsid w:val="00BE0F4E"/>
    <w:rsid w:val="00BE2169"/>
    <w:rsid w:val="00BE24E8"/>
    <w:rsid w:val="00BE2DAA"/>
    <w:rsid w:val="00BE459A"/>
    <w:rsid w:val="00BE46D7"/>
    <w:rsid w:val="00BE51CE"/>
    <w:rsid w:val="00BF0EAF"/>
    <w:rsid w:val="00BF1905"/>
    <w:rsid w:val="00BF2AD7"/>
    <w:rsid w:val="00BF2F76"/>
    <w:rsid w:val="00BF3022"/>
    <w:rsid w:val="00BF3211"/>
    <w:rsid w:val="00BF3214"/>
    <w:rsid w:val="00BF49A5"/>
    <w:rsid w:val="00BF4E5B"/>
    <w:rsid w:val="00BF5573"/>
    <w:rsid w:val="00BF5794"/>
    <w:rsid w:val="00BF6359"/>
    <w:rsid w:val="00C02717"/>
    <w:rsid w:val="00C02789"/>
    <w:rsid w:val="00C03595"/>
    <w:rsid w:val="00C03742"/>
    <w:rsid w:val="00C127C6"/>
    <w:rsid w:val="00C13006"/>
    <w:rsid w:val="00C1434F"/>
    <w:rsid w:val="00C15867"/>
    <w:rsid w:val="00C16686"/>
    <w:rsid w:val="00C16B0D"/>
    <w:rsid w:val="00C176EB"/>
    <w:rsid w:val="00C17E9E"/>
    <w:rsid w:val="00C20164"/>
    <w:rsid w:val="00C201A5"/>
    <w:rsid w:val="00C20D41"/>
    <w:rsid w:val="00C21F09"/>
    <w:rsid w:val="00C22398"/>
    <w:rsid w:val="00C2296D"/>
    <w:rsid w:val="00C23155"/>
    <w:rsid w:val="00C2332E"/>
    <w:rsid w:val="00C2374A"/>
    <w:rsid w:val="00C23DA2"/>
    <w:rsid w:val="00C2416F"/>
    <w:rsid w:val="00C24276"/>
    <w:rsid w:val="00C244E9"/>
    <w:rsid w:val="00C25EA1"/>
    <w:rsid w:val="00C26FD0"/>
    <w:rsid w:val="00C27836"/>
    <w:rsid w:val="00C27BE8"/>
    <w:rsid w:val="00C30E96"/>
    <w:rsid w:val="00C31AFF"/>
    <w:rsid w:val="00C3306A"/>
    <w:rsid w:val="00C35486"/>
    <w:rsid w:val="00C40365"/>
    <w:rsid w:val="00C40C41"/>
    <w:rsid w:val="00C41665"/>
    <w:rsid w:val="00C43111"/>
    <w:rsid w:val="00C448A4"/>
    <w:rsid w:val="00C45885"/>
    <w:rsid w:val="00C461C9"/>
    <w:rsid w:val="00C472EA"/>
    <w:rsid w:val="00C47538"/>
    <w:rsid w:val="00C50CDF"/>
    <w:rsid w:val="00C50F22"/>
    <w:rsid w:val="00C51D19"/>
    <w:rsid w:val="00C5241E"/>
    <w:rsid w:val="00C536B4"/>
    <w:rsid w:val="00C53947"/>
    <w:rsid w:val="00C53CB2"/>
    <w:rsid w:val="00C54971"/>
    <w:rsid w:val="00C54FA6"/>
    <w:rsid w:val="00C55222"/>
    <w:rsid w:val="00C56812"/>
    <w:rsid w:val="00C574F6"/>
    <w:rsid w:val="00C57971"/>
    <w:rsid w:val="00C618AC"/>
    <w:rsid w:val="00C62ED3"/>
    <w:rsid w:val="00C62F4E"/>
    <w:rsid w:val="00C65BD7"/>
    <w:rsid w:val="00C679DE"/>
    <w:rsid w:val="00C70DA0"/>
    <w:rsid w:val="00C7126E"/>
    <w:rsid w:val="00C71A85"/>
    <w:rsid w:val="00C73754"/>
    <w:rsid w:val="00C751D1"/>
    <w:rsid w:val="00C75F11"/>
    <w:rsid w:val="00C76BA4"/>
    <w:rsid w:val="00C8283E"/>
    <w:rsid w:val="00C8341E"/>
    <w:rsid w:val="00C83A48"/>
    <w:rsid w:val="00C84597"/>
    <w:rsid w:val="00C854B7"/>
    <w:rsid w:val="00C85865"/>
    <w:rsid w:val="00C85E85"/>
    <w:rsid w:val="00C87E05"/>
    <w:rsid w:val="00C9181A"/>
    <w:rsid w:val="00C926C8"/>
    <w:rsid w:val="00C92E79"/>
    <w:rsid w:val="00C93DFE"/>
    <w:rsid w:val="00C94C31"/>
    <w:rsid w:val="00C94E2E"/>
    <w:rsid w:val="00C953BF"/>
    <w:rsid w:val="00C97239"/>
    <w:rsid w:val="00C97E18"/>
    <w:rsid w:val="00CA2EAE"/>
    <w:rsid w:val="00CA39EB"/>
    <w:rsid w:val="00CA4AC1"/>
    <w:rsid w:val="00CA4BD5"/>
    <w:rsid w:val="00CA5833"/>
    <w:rsid w:val="00CA59FB"/>
    <w:rsid w:val="00CA6A2B"/>
    <w:rsid w:val="00CB0316"/>
    <w:rsid w:val="00CB0B11"/>
    <w:rsid w:val="00CB1DBA"/>
    <w:rsid w:val="00CB1ED7"/>
    <w:rsid w:val="00CB2284"/>
    <w:rsid w:val="00CB2292"/>
    <w:rsid w:val="00CB426A"/>
    <w:rsid w:val="00CB5354"/>
    <w:rsid w:val="00CB589C"/>
    <w:rsid w:val="00CB5AF6"/>
    <w:rsid w:val="00CB67A2"/>
    <w:rsid w:val="00CB6963"/>
    <w:rsid w:val="00CB70ED"/>
    <w:rsid w:val="00CC01D5"/>
    <w:rsid w:val="00CC0D58"/>
    <w:rsid w:val="00CC1BB0"/>
    <w:rsid w:val="00CC1FE7"/>
    <w:rsid w:val="00CC2435"/>
    <w:rsid w:val="00CC34DD"/>
    <w:rsid w:val="00CC3578"/>
    <w:rsid w:val="00CC3C9E"/>
    <w:rsid w:val="00CC6A14"/>
    <w:rsid w:val="00CC70A3"/>
    <w:rsid w:val="00CC7DF7"/>
    <w:rsid w:val="00CD1F00"/>
    <w:rsid w:val="00CD2612"/>
    <w:rsid w:val="00CD33F3"/>
    <w:rsid w:val="00CD4442"/>
    <w:rsid w:val="00CD5307"/>
    <w:rsid w:val="00CD53C3"/>
    <w:rsid w:val="00CD5461"/>
    <w:rsid w:val="00CD574E"/>
    <w:rsid w:val="00CD63A4"/>
    <w:rsid w:val="00CD6907"/>
    <w:rsid w:val="00CE1703"/>
    <w:rsid w:val="00CE1851"/>
    <w:rsid w:val="00CE2367"/>
    <w:rsid w:val="00CE4C22"/>
    <w:rsid w:val="00CE529E"/>
    <w:rsid w:val="00CE76E5"/>
    <w:rsid w:val="00CE7C1C"/>
    <w:rsid w:val="00CF0275"/>
    <w:rsid w:val="00CF1233"/>
    <w:rsid w:val="00CF169C"/>
    <w:rsid w:val="00CF2C89"/>
    <w:rsid w:val="00CF3D6F"/>
    <w:rsid w:val="00CF3F5A"/>
    <w:rsid w:val="00CF41EC"/>
    <w:rsid w:val="00CF4B3D"/>
    <w:rsid w:val="00CF53B3"/>
    <w:rsid w:val="00CF5D04"/>
    <w:rsid w:val="00CF735C"/>
    <w:rsid w:val="00D0016E"/>
    <w:rsid w:val="00D00FE3"/>
    <w:rsid w:val="00D01C0F"/>
    <w:rsid w:val="00D030C9"/>
    <w:rsid w:val="00D04187"/>
    <w:rsid w:val="00D04DE4"/>
    <w:rsid w:val="00D05B16"/>
    <w:rsid w:val="00D05FBE"/>
    <w:rsid w:val="00D063F1"/>
    <w:rsid w:val="00D065DD"/>
    <w:rsid w:val="00D06EC8"/>
    <w:rsid w:val="00D079E1"/>
    <w:rsid w:val="00D07A3C"/>
    <w:rsid w:val="00D11735"/>
    <w:rsid w:val="00D13948"/>
    <w:rsid w:val="00D14457"/>
    <w:rsid w:val="00D14F22"/>
    <w:rsid w:val="00D2194B"/>
    <w:rsid w:val="00D2231F"/>
    <w:rsid w:val="00D26D68"/>
    <w:rsid w:val="00D3001A"/>
    <w:rsid w:val="00D41AC4"/>
    <w:rsid w:val="00D43D4E"/>
    <w:rsid w:val="00D44B8C"/>
    <w:rsid w:val="00D4512A"/>
    <w:rsid w:val="00D46353"/>
    <w:rsid w:val="00D4741C"/>
    <w:rsid w:val="00D4744F"/>
    <w:rsid w:val="00D522F7"/>
    <w:rsid w:val="00D551A4"/>
    <w:rsid w:val="00D55EA9"/>
    <w:rsid w:val="00D57918"/>
    <w:rsid w:val="00D613B3"/>
    <w:rsid w:val="00D61A08"/>
    <w:rsid w:val="00D63FE2"/>
    <w:rsid w:val="00D64B8F"/>
    <w:rsid w:val="00D664DC"/>
    <w:rsid w:val="00D66A78"/>
    <w:rsid w:val="00D673C8"/>
    <w:rsid w:val="00D67BDD"/>
    <w:rsid w:val="00D67C3B"/>
    <w:rsid w:val="00D717B6"/>
    <w:rsid w:val="00D72B2C"/>
    <w:rsid w:val="00D7355B"/>
    <w:rsid w:val="00D73DC6"/>
    <w:rsid w:val="00D74C1A"/>
    <w:rsid w:val="00D754C1"/>
    <w:rsid w:val="00D77393"/>
    <w:rsid w:val="00D77A35"/>
    <w:rsid w:val="00D77F6E"/>
    <w:rsid w:val="00D80192"/>
    <w:rsid w:val="00D80EA8"/>
    <w:rsid w:val="00D81B3E"/>
    <w:rsid w:val="00D835F2"/>
    <w:rsid w:val="00D84562"/>
    <w:rsid w:val="00D8476F"/>
    <w:rsid w:val="00D85461"/>
    <w:rsid w:val="00D85651"/>
    <w:rsid w:val="00D85DA4"/>
    <w:rsid w:val="00D8702C"/>
    <w:rsid w:val="00D8729B"/>
    <w:rsid w:val="00D90B7E"/>
    <w:rsid w:val="00D90C70"/>
    <w:rsid w:val="00D90C78"/>
    <w:rsid w:val="00D90CF0"/>
    <w:rsid w:val="00D90E49"/>
    <w:rsid w:val="00D92FE9"/>
    <w:rsid w:val="00D934B4"/>
    <w:rsid w:val="00D94081"/>
    <w:rsid w:val="00D94E62"/>
    <w:rsid w:val="00D96ADE"/>
    <w:rsid w:val="00DA0CE2"/>
    <w:rsid w:val="00DA0DBD"/>
    <w:rsid w:val="00DA2387"/>
    <w:rsid w:val="00DA487B"/>
    <w:rsid w:val="00DA4F72"/>
    <w:rsid w:val="00DA520C"/>
    <w:rsid w:val="00DA744A"/>
    <w:rsid w:val="00DB05A2"/>
    <w:rsid w:val="00DB0CA1"/>
    <w:rsid w:val="00DB4FE0"/>
    <w:rsid w:val="00DC0710"/>
    <w:rsid w:val="00DC24EE"/>
    <w:rsid w:val="00DC2B9B"/>
    <w:rsid w:val="00DC2DA9"/>
    <w:rsid w:val="00DC35C6"/>
    <w:rsid w:val="00DC3CCA"/>
    <w:rsid w:val="00DC440C"/>
    <w:rsid w:val="00DC4BA2"/>
    <w:rsid w:val="00DC4F8A"/>
    <w:rsid w:val="00DC561D"/>
    <w:rsid w:val="00DC679B"/>
    <w:rsid w:val="00DC6A10"/>
    <w:rsid w:val="00DC71F5"/>
    <w:rsid w:val="00DC7A50"/>
    <w:rsid w:val="00DD3444"/>
    <w:rsid w:val="00DD396E"/>
    <w:rsid w:val="00DD3B9F"/>
    <w:rsid w:val="00DD4EE2"/>
    <w:rsid w:val="00DE28CA"/>
    <w:rsid w:val="00DE2EF1"/>
    <w:rsid w:val="00DE39BF"/>
    <w:rsid w:val="00DE4897"/>
    <w:rsid w:val="00DE589C"/>
    <w:rsid w:val="00DE657E"/>
    <w:rsid w:val="00DE6850"/>
    <w:rsid w:val="00DE7AB3"/>
    <w:rsid w:val="00DE7B81"/>
    <w:rsid w:val="00DF07EB"/>
    <w:rsid w:val="00DF22E5"/>
    <w:rsid w:val="00DF4704"/>
    <w:rsid w:val="00DF4A77"/>
    <w:rsid w:val="00DF52AA"/>
    <w:rsid w:val="00E002B7"/>
    <w:rsid w:val="00E01F5A"/>
    <w:rsid w:val="00E02216"/>
    <w:rsid w:val="00E024AA"/>
    <w:rsid w:val="00E0393C"/>
    <w:rsid w:val="00E04648"/>
    <w:rsid w:val="00E04B9F"/>
    <w:rsid w:val="00E0662D"/>
    <w:rsid w:val="00E06739"/>
    <w:rsid w:val="00E06F6C"/>
    <w:rsid w:val="00E072D9"/>
    <w:rsid w:val="00E102E4"/>
    <w:rsid w:val="00E129E4"/>
    <w:rsid w:val="00E13C91"/>
    <w:rsid w:val="00E147AD"/>
    <w:rsid w:val="00E15847"/>
    <w:rsid w:val="00E15C77"/>
    <w:rsid w:val="00E1693E"/>
    <w:rsid w:val="00E201D2"/>
    <w:rsid w:val="00E202C4"/>
    <w:rsid w:val="00E2065E"/>
    <w:rsid w:val="00E21C7E"/>
    <w:rsid w:val="00E22AAA"/>
    <w:rsid w:val="00E2437A"/>
    <w:rsid w:val="00E24B40"/>
    <w:rsid w:val="00E24E3F"/>
    <w:rsid w:val="00E250F1"/>
    <w:rsid w:val="00E26BD1"/>
    <w:rsid w:val="00E3138A"/>
    <w:rsid w:val="00E33CEC"/>
    <w:rsid w:val="00E35155"/>
    <w:rsid w:val="00E3550D"/>
    <w:rsid w:val="00E35BD5"/>
    <w:rsid w:val="00E361B5"/>
    <w:rsid w:val="00E3730D"/>
    <w:rsid w:val="00E43C62"/>
    <w:rsid w:val="00E440E8"/>
    <w:rsid w:val="00E47A5D"/>
    <w:rsid w:val="00E51B69"/>
    <w:rsid w:val="00E52838"/>
    <w:rsid w:val="00E53FB3"/>
    <w:rsid w:val="00E543C8"/>
    <w:rsid w:val="00E563F8"/>
    <w:rsid w:val="00E57087"/>
    <w:rsid w:val="00E5754F"/>
    <w:rsid w:val="00E603FF"/>
    <w:rsid w:val="00E614E0"/>
    <w:rsid w:val="00E6188F"/>
    <w:rsid w:val="00E61AC1"/>
    <w:rsid w:val="00E6274C"/>
    <w:rsid w:val="00E62F88"/>
    <w:rsid w:val="00E6504E"/>
    <w:rsid w:val="00E6728F"/>
    <w:rsid w:val="00E67441"/>
    <w:rsid w:val="00E67919"/>
    <w:rsid w:val="00E67C6F"/>
    <w:rsid w:val="00E73F7F"/>
    <w:rsid w:val="00E750A8"/>
    <w:rsid w:val="00E75203"/>
    <w:rsid w:val="00E753E8"/>
    <w:rsid w:val="00E757FF"/>
    <w:rsid w:val="00E75FA0"/>
    <w:rsid w:val="00E76ABD"/>
    <w:rsid w:val="00E805EB"/>
    <w:rsid w:val="00E81F7C"/>
    <w:rsid w:val="00E82AA8"/>
    <w:rsid w:val="00E8429A"/>
    <w:rsid w:val="00E850D1"/>
    <w:rsid w:val="00E85409"/>
    <w:rsid w:val="00E8699C"/>
    <w:rsid w:val="00E8781E"/>
    <w:rsid w:val="00E9339B"/>
    <w:rsid w:val="00E93FA6"/>
    <w:rsid w:val="00E94B5A"/>
    <w:rsid w:val="00E94BEA"/>
    <w:rsid w:val="00EA07A5"/>
    <w:rsid w:val="00EA1513"/>
    <w:rsid w:val="00EA163F"/>
    <w:rsid w:val="00EA1817"/>
    <w:rsid w:val="00EA213B"/>
    <w:rsid w:val="00EA27C4"/>
    <w:rsid w:val="00EA3EB7"/>
    <w:rsid w:val="00EA4103"/>
    <w:rsid w:val="00EA429F"/>
    <w:rsid w:val="00EA4F9E"/>
    <w:rsid w:val="00EA5262"/>
    <w:rsid w:val="00EA63B0"/>
    <w:rsid w:val="00EA63CA"/>
    <w:rsid w:val="00EA6D3B"/>
    <w:rsid w:val="00EB00AD"/>
    <w:rsid w:val="00EB136C"/>
    <w:rsid w:val="00EB2D4B"/>
    <w:rsid w:val="00EB430B"/>
    <w:rsid w:val="00EB480E"/>
    <w:rsid w:val="00EB4EBD"/>
    <w:rsid w:val="00EB5EC6"/>
    <w:rsid w:val="00EB5F41"/>
    <w:rsid w:val="00EB7318"/>
    <w:rsid w:val="00EB7FC9"/>
    <w:rsid w:val="00EC483A"/>
    <w:rsid w:val="00EC4860"/>
    <w:rsid w:val="00EC4E53"/>
    <w:rsid w:val="00EC5B8C"/>
    <w:rsid w:val="00EC682D"/>
    <w:rsid w:val="00EC6AA8"/>
    <w:rsid w:val="00EC6F79"/>
    <w:rsid w:val="00EC7CD4"/>
    <w:rsid w:val="00EC7EF5"/>
    <w:rsid w:val="00ED0241"/>
    <w:rsid w:val="00ED0FE4"/>
    <w:rsid w:val="00ED1BF0"/>
    <w:rsid w:val="00ED1FD8"/>
    <w:rsid w:val="00ED27E8"/>
    <w:rsid w:val="00ED3BC5"/>
    <w:rsid w:val="00ED4A8F"/>
    <w:rsid w:val="00ED4D52"/>
    <w:rsid w:val="00ED5772"/>
    <w:rsid w:val="00ED59F6"/>
    <w:rsid w:val="00ED5DB3"/>
    <w:rsid w:val="00ED6603"/>
    <w:rsid w:val="00ED7137"/>
    <w:rsid w:val="00ED758B"/>
    <w:rsid w:val="00EE1A95"/>
    <w:rsid w:val="00EE2D42"/>
    <w:rsid w:val="00EE2FA2"/>
    <w:rsid w:val="00EE32F8"/>
    <w:rsid w:val="00EE4038"/>
    <w:rsid w:val="00EE4777"/>
    <w:rsid w:val="00EE4EF0"/>
    <w:rsid w:val="00EE5382"/>
    <w:rsid w:val="00EE5CFC"/>
    <w:rsid w:val="00EE75F8"/>
    <w:rsid w:val="00EF05FA"/>
    <w:rsid w:val="00EF06EA"/>
    <w:rsid w:val="00EF0AC2"/>
    <w:rsid w:val="00EF1834"/>
    <w:rsid w:val="00EF21FB"/>
    <w:rsid w:val="00EF37E5"/>
    <w:rsid w:val="00EF4496"/>
    <w:rsid w:val="00EF5E3B"/>
    <w:rsid w:val="00F0034E"/>
    <w:rsid w:val="00F00731"/>
    <w:rsid w:val="00F00FC4"/>
    <w:rsid w:val="00F02A1A"/>
    <w:rsid w:val="00F0391B"/>
    <w:rsid w:val="00F04BCD"/>
    <w:rsid w:val="00F066B7"/>
    <w:rsid w:val="00F07604"/>
    <w:rsid w:val="00F10452"/>
    <w:rsid w:val="00F10719"/>
    <w:rsid w:val="00F1077A"/>
    <w:rsid w:val="00F125D3"/>
    <w:rsid w:val="00F13B38"/>
    <w:rsid w:val="00F1430F"/>
    <w:rsid w:val="00F15111"/>
    <w:rsid w:val="00F21088"/>
    <w:rsid w:val="00F22448"/>
    <w:rsid w:val="00F22B40"/>
    <w:rsid w:val="00F24611"/>
    <w:rsid w:val="00F2480D"/>
    <w:rsid w:val="00F253BB"/>
    <w:rsid w:val="00F2629E"/>
    <w:rsid w:val="00F27028"/>
    <w:rsid w:val="00F31148"/>
    <w:rsid w:val="00F315BD"/>
    <w:rsid w:val="00F326BF"/>
    <w:rsid w:val="00F327E7"/>
    <w:rsid w:val="00F34ED5"/>
    <w:rsid w:val="00F35746"/>
    <w:rsid w:val="00F36468"/>
    <w:rsid w:val="00F405E1"/>
    <w:rsid w:val="00F409B5"/>
    <w:rsid w:val="00F4131F"/>
    <w:rsid w:val="00F41F35"/>
    <w:rsid w:val="00F420B3"/>
    <w:rsid w:val="00F447C7"/>
    <w:rsid w:val="00F44C59"/>
    <w:rsid w:val="00F4599E"/>
    <w:rsid w:val="00F459B4"/>
    <w:rsid w:val="00F45A38"/>
    <w:rsid w:val="00F46965"/>
    <w:rsid w:val="00F47666"/>
    <w:rsid w:val="00F51DD4"/>
    <w:rsid w:val="00F5211B"/>
    <w:rsid w:val="00F53A78"/>
    <w:rsid w:val="00F554A9"/>
    <w:rsid w:val="00F55C16"/>
    <w:rsid w:val="00F5752F"/>
    <w:rsid w:val="00F6271F"/>
    <w:rsid w:val="00F62EA1"/>
    <w:rsid w:val="00F63491"/>
    <w:rsid w:val="00F63DAE"/>
    <w:rsid w:val="00F64B95"/>
    <w:rsid w:val="00F651CF"/>
    <w:rsid w:val="00F67BE7"/>
    <w:rsid w:val="00F71519"/>
    <w:rsid w:val="00F716FD"/>
    <w:rsid w:val="00F71812"/>
    <w:rsid w:val="00F7503B"/>
    <w:rsid w:val="00F76011"/>
    <w:rsid w:val="00F76350"/>
    <w:rsid w:val="00F778B3"/>
    <w:rsid w:val="00F80355"/>
    <w:rsid w:val="00F85062"/>
    <w:rsid w:val="00F8516E"/>
    <w:rsid w:val="00F858C0"/>
    <w:rsid w:val="00F87058"/>
    <w:rsid w:val="00F8733D"/>
    <w:rsid w:val="00F87C43"/>
    <w:rsid w:val="00F90BB3"/>
    <w:rsid w:val="00F91EFF"/>
    <w:rsid w:val="00F92ABA"/>
    <w:rsid w:val="00F93ED9"/>
    <w:rsid w:val="00F94FF3"/>
    <w:rsid w:val="00F9600E"/>
    <w:rsid w:val="00FA0E1B"/>
    <w:rsid w:val="00FA1032"/>
    <w:rsid w:val="00FA17D3"/>
    <w:rsid w:val="00FA1D3C"/>
    <w:rsid w:val="00FA2896"/>
    <w:rsid w:val="00FA2D0C"/>
    <w:rsid w:val="00FA42C1"/>
    <w:rsid w:val="00FA4849"/>
    <w:rsid w:val="00FA5722"/>
    <w:rsid w:val="00FA58F3"/>
    <w:rsid w:val="00FA6D81"/>
    <w:rsid w:val="00FA7463"/>
    <w:rsid w:val="00FB097D"/>
    <w:rsid w:val="00FB0C81"/>
    <w:rsid w:val="00FB18A0"/>
    <w:rsid w:val="00FB215B"/>
    <w:rsid w:val="00FB28FF"/>
    <w:rsid w:val="00FB2A5E"/>
    <w:rsid w:val="00FB39AB"/>
    <w:rsid w:val="00FB4188"/>
    <w:rsid w:val="00FB5F42"/>
    <w:rsid w:val="00FB73CA"/>
    <w:rsid w:val="00FC1299"/>
    <w:rsid w:val="00FC2200"/>
    <w:rsid w:val="00FC2518"/>
    <w:rsid w:val="00FC2540"/>
    <w:rsid w:val="00FC29D6"/>
    <w:rsid w:val="00FC307F"/>
    <w:rsid w:val="00FC4121"/>
    <w:rsid w:val="00FC4284"/>
    <w:rsid w:val="00FC4680"/>
    <w:rsid w:val="00FC560F"/>
    <w:rsid w:val="00FC6AA3"/>
    <w:rsid w:val="00FC6BB6"/>
    <w:rsid w:val="00FD08ED"/>
    <w:rsid w:val="00FD15CA"/>
    <w:rsid w:val="00FD2910"/>
    <w:rsid w:val="00FD2C71"/>
    <w:rsid w:val="00FD3379"/>
    <w:rsid w:val="00FD63E2"/>
    <w:rsid w:val="00FD7E65"/>
    <w:rsid w:val="00FE0D37"/>
    <w:rsid w:val="00FE1A6E"/>
    <w:rsid w:val="00FE237B"/>
    <w:rsid w:val="00FE429D"/>
    <w:rsid w:val="00FE50D4"/>
    <w:rsid w:val="00FE5615"/>
    <w:rsid w:val="00FE6B05"/>
    <w:rsid w:val="00FE7C85"/>
    <w:rsid w:val="00FF0204"/>
    <w:rsid w:val="00FF1164"/>
    <w:rsid w:val="00FF16C1"/>
    <w:rsid w:val="00FF2427"/>
    <w:rsid w:val="00FF3AED"/>
    <w:rsid w:val="00FF4009"/>
    <w:rsid w:val="00FF40F0"/>
    <w:rsid w:val="00FF5DD7"/>
    <w:rsid w:val="332F83F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02DAF5B"/>
  <w15:docId w15:val="{397A0801-4968-41E2-BD55-9EDBB5CD71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33525D"/>
    <w:pPr>
      <w:widowControl w:val="0"/>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Heading 41,标题 41,He=ding 41,标 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6"/>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2"/>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3"/>
      </w:numPr>
    </w:pPr>
  </w:style>
  <w:style w:type="numbering" w:styleId="ArticleSection">
    <w:name w:val="Outline List 3"/>
    <w:basedOn w:val="NoList"/>
    <w:semiHidden/>
    <w:rsid w:val="00493D40"/>
    <w:pPr>
      <w:numPr>
        <w:numId w:val="4"/>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CA"/>
    </w:rPr>
  </w:style>
  <w:style w:type="paragraph" w:customStyle="1" w:styleId="Header4">
    <w:name w:val="Header4"/>
    <w:aliases w:val="Para 4"/>
    <w:basedOn w:val="Normal"/>
    <w:next w:val="Normal"/>
    <w:rsid w:val="00DC6A10"/>
    <w:pPr>
      <w:widowControl w:val="0"/>
      <w:numPr>
        <w:numId w:val="5"/>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Footnote Text11,Footnote Text3,-E Fußnotenzeichen,number"/>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NORMAL"/>
    <w:basedOn w:val="Normal"/>
    <w:link w:val="ListParagraphChar"/>
    <w:uiPriority w:val="34"/>
    <w:qFormat/>
    <w:rsid w:val="00563DA8"/>
    <w:pPr>
      <w:ind w:left="720"/>
      <w:contextualSpacing/>
    </w:pPr>
    <w:rPr>
      <w:lang w:val="en-GB"/>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34"/>
    <w:qFormat/>
    <w:locked/>
    <w:rsid w:val="00563DA8"/>
    <w:rPr>
      <w:sz w:val="22"/>
      <w:szCs w:val="22"/>
      <w:lang w:val="en-GB"/>
    </w:rPr>
  </w:style>
  <w:style w:type="paragraph" w:customStyle="1" w:styleId="Default">
    <w:name w:val="Default"/>
    <w:rsid w:val="00563DA8"/>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563DA8"/>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63DA8"/>
    <w:rPr>
      <w:sz w:val="22"/>
      <w:szCs w:val="22"/>
      <w:lang w:val="en-GB"/>
    </w:rPr>
  </w:style>
  <w:style w:type="paragraph" w:styleId="NormalWeb">
    <w:name w:val="Normal (Web)"/>
    <w:basedOn w:val="Normal"/>
    <w:uiPriority w:val="99"/>
    <w:semiHidden/>
    <w:unhideWhenUsed/>
    <w:rsid w:val="00563DA8"/>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563DA8"/>
    <w:rPr>
      <w:sz w:val="20"/>
      <w:szCs w:val="20"/>
      <w:lang w:val="en-GB"/>
    </w:rPr>
  </w:style>
  <w:style w:type="character" w:customStyle="1" w:styleId="EndnoteTextChar">
    <w:name w:val="Endnote Text Char"/>
    <w:basedOn w:val="DefaultParagraphFont"/>
    <w:link w:val="EndnoteText"/>
    <w:uiPriority w:val="99"/>
    <w:semiHidden/>
    <w:rsid w:val="00563DA8"/>
    <w:rPr>
      <w:lang w:val="en-GB"/>
    </w:rPr>
  </w:style>
  <w:style w:type="character" w:styleId="EndnoteReference">
    <w:name w:val="endnote reference"/>
    <w:basedOn w:val="DefaultParagraphFont"/>
    <w:uiPriority w:val="99"/>
    <w:semiHidden/>
    <w:unhideWhenUsed/>
    <w:rsid w:val="00563DA8"/>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563DA8"/>
    <w:rPr>
      <w:sz w:val="22"/>
      <w:szCs w:val="22"/>
      <w:lang w:val="en-CA"/>
    </w:rPr>
  </w:style>
  <w:style w:type="character" w:customStyle="1" w:styleId="normaltextrun">
    <w:name w:val="normaltextrun"/>
    <w:basedOn w:val="DefaultParagraphFont"/>
    <w:rsid w:val="00FD7E65"/>
  </w:style>
  <w:style w:type="table" w:customStyle="1" w:styleId="1">
    <w:name w:val="学术论文的三线表1"/>
    <w:basedOn w:val="TableNormal"/>
    <w:next w:val="TableGrid"/>
    <w:qFormat/>
    <w:rsid w:val="00D835F2"/>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学术论文的三线表2"/>
    <w:basedOn w:val="TableNormal"/>
    <w:next w:val="TableGrid"/>
    <w:uiPriority w:val="39"/>
    <w:qFormat/>
    <w:rsid w:val="00026546"/>
    <w:rPr>
      <w:rFonts w:ascii="Calibri" w:eastAsia="Calibri" w:hAnsi="Calibri" w:cs="Arial"/>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2232A4"/>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98516818">
      <w:bodyDiv w:val="1"/>
      <w:marLeft w:val="0"/>
      <w:marRight w:val="0"/>
      <w:marTop w:val="0"/>
      <w:marBottom w:val="0"/>
      <w:divBdr>
        <w:top w:val="none" w:sz="0" w:space="0" w:color="auto"/>
        <w:left w:val="none" w:sz="0" w:space="0" w:color="auto"/>
        <w:bottom w:val="none" w:sz="0" w:space="0" w:color="auto"/>
        <w:right w:val="none" w:sz="0" w:space="0" w:color="auto"/>
      </w:divBdr>
    </w:div>
    <w:div w:id="1319918642">
      <w:bodyDiv w:val="1"/>
      <w:marLeft w:val="0"/>
      <w:marRight w:val="0"/>
      <w:marTop w:val="0"/>
      <w:marBottom w:val="0"/>
      <w:divBdr>
        <w:top w:val="none" w:sz="0" w:space="0" w:color="auto"/>
        <w:left w:val="none" w:sz="0" w:space="0" w:color="auto"/>
        <w:bottom w:val="none" w:sz="0" w:space="0" w:color="auto"/>
        <w:right w:val="none" w:sz="0" w:space="0" w:color="auto"/>
      </w:divBdr>
    </w:div>
    <w:div w:id="176213706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MediaLengthInSeconds xmlns="b93c647f-d63b-431a-95c8-8e00048cff23" xsi:nil="true"/>
    <SharedWithUsers xmlns="eb6c2e4c-3f1c-4103-a37b-37c984dbe58f">
      <UserInfo>
        <DisplayName/>
        <AccountId xsi:nil="true"/>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21F0FD63-C043-4601-BF16-6B53A4A665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26</TotalTime>
  <Pages>20</Pages>
  <Words>8952</Words>
  <Characters>46441</Characters>
  <Application>Microsoft Office Word</Application>
  <DocSecurity>0</DocSecurity>
  <Lines>1365</Lines>
  <Paragraphs>879</Paragraphs>
  <ScaleCrop>false</ScaleCrop>
  <HeadingPairs>
    <vt:vector size="2" baseType="variant">
      <vt:variant>
        <vt:lpstr>Title</vt:lpstr>
      </vt:variant>
      <vt:variant>
        <vt:i4>1</vt:i4>
      </vt:variant>
    </vt:vector>
  </HeadingPairs>
  <TitlesOfParts>
    <vt:vector size="1" baseType="lpstr">
      <vt:lpstr>Project proposal: Mali</vt:lpstr>
    </vt:vector>
  </TitlesOfParts>
  <Company>UNMFS</Company>
  <LinksUpToDate>false</LinksUpToDate>
  <CharactersWithSpaces>54514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Mali</dc:title>
  <dc:subject/>
  <dc:creator>ER/DS</dc:creator>
  <cp:keywords>97th ExCom</cp:keywords>
  <dc:description>Template for HPMP stage requests (with Agreement)</dc:description>
  <cp:lastModifiedBy>Angela Xue He Yan</cp:lastModifiedBy>
  <cp:revision>11</cp:revision>
  <cp:lastPrinted>2001-05-26T22:40:00Z</cp:lastPrinted>
  <dcterms:created xsi:type="dcterms:W3CDTF">2025-10-23T21:12:00Z</dcterms:created>
  <dcterms:modified xsi:type="dcterms:W3CDTF">2025-11-07T14:40:00Z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UNEP/OzL.Pro/ExCom/97/58</vt:lpwstr>
  </property>
  <property fmtid="{D5CDD505-2E9C-101B-9397-08002B2CF9AE}" pid="3" name="Revision date">
    <vt:lpwstr>10/20/2025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docLang">
    <vt:lpwstr>en</vt:lpwstr>
  </property>
  <property fmtid="{D5CDD505-2E9C-101B-9397-08002B2CF9AE}" pid="8" name="xd_ProgID">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xd_Signature">
    <vt:bool>false</vt:bool>
  </property>
  <property fmtid="{D5CDD505-2E9C-101B-9397-08002B2CF9AE}" pid="13" name="TriggerFlowInfo">
    <vt:lpwstr/>
  </property>
</Properties>
</file>