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C47F9D" w14:paraId="5EB28C4B" w14:textId="77777777" w:rsidTr="00BB6037">
        <w:trPr>
          <w:trHeight w:val="720"/>
        </w:trPr>
        <w:tc>
          <w:tcPr>
            <w:tcW w:w="6012" w:type="dxa"/>
            <w:gridSpan w:val="2"/>
            <w:tcBorders>
              <w:bottom w:val="single" w:sz="18" w:space="0" w:color="auto"/>
            </w:tcBorders>
            <w:vAlign w:val="center"/>
          </w:tcPr>
          <w:p w14:paraId="6BEF0D4E" w14:textId="77777777" w:rsidR="00C47F9D" w:rsidRDefault="00C47F9D" w:rsidP="00BB60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CDE54EF" w14:textId="77777777" w:rsidR="00C47F9D" w:rsidRDefault="00C47F9D" w:rsidP="00BB60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086D285F" w14:textId="77777777" w:rsidR="00C47F9D" w:rsidRDefault="00C47F9D" w:rsidP="00BB6037">
            <w:pPr>
              <w:tabs>
                <w:tab w:val="left" w:pos="3010"/>
              </w:tabs>
              <w:jc w:val="center"/>
              <w:rPr>
                <w:sz w:val="52"/>
                <w:szCs w:val="52"/>
              </w:rPr>
            </w:pPr>
            <w:r>
              <w:rPr>
                <w:rFonts w:ascii="Univers Bold" w:hAnsi="Univers Bold"/>
                <w:b/>
                <w:sz w:val="72"/>
                <w:lang w:val="fr-CA"/>
              </w:rPr>
              <w:t xml:space="preserve">             EP</w:t>
            </w:r>
          </w:p>
        </w:tc>
      </w:tr>
      <w:tr w:rsidR="00C47F9D" w:rsidRPr="00C84AF4" w14:paraId="4A547659" w14:textId="77777777" w:rsidTr="00BB60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02BCF38A" w14:textId="77777777" w:rsidR="00C47F9D" w:rsidRDefault="00C47F9D" w:rsidP="00BB6037">
            <w:pPr>
              <w:spacing w:before="120"/>
            </w:pPr>
            <w:r>
              <w:rPr>
                <w:noProof/>
                <w:lang w:eastAsia="en-CA"/>
              </w:rPr>
              <w:drawing>
                <wp:anchor distT="0" distB="0" distL="114300" distR="114300" simplePos="0" relativeHeight="251659264" behindDoc="0" locked="0" layoutInCell="1" allowOverlap="1" wp14:anchorId="013971E4" wp14:editId="13D2FAD1">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1FECE63E" wp14:editId="5E498DFC">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  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5D7A3E4" w14:textId="77777777" w:rsidR="00C47F9D" w:rsidRDefault="00C47F9D" w:rsidP="00BB60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CB7227E" w14:textId="77777777" w:rsidR="00C47F9D" w:rsidRDefault="00C47F9D" w:rsidP="00BB60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8B3233F" w14:textId="77777777" w:rsidR="00C47F9D" w:rsidRDefault="00C47F9D" w:rsidP="00BB6037">
            <w:pPr>
              <w:rPr>
                <w:rFonts w:ascii="Univers" w:hAnsi="Univers"/>
                <w:b/>
                <w:sz w:val="32"/>
                <w:lang w:val="fr-CA"/>
              </w:rPr>
            </w:pPr>
            <w:r>
              <w:rPr>
                <w:rFonts w:ascii="Univers" w:hAnsi="Univers"/>
                <w:b/>
                <w:sz w:val="32"/>
                <w:lang w:val="fr-CA"/>
              </w:rPr>
              <w:t>Nations Unies pour</w:t>
            </w:r>
          </w:p>
          <w:p w14:paraId="0B5C222C" w14:textId="77777777" w:rsidR="00C47F9D" w:rsidRPr="00542808" w:rsidRDefault="00C47F9D" w:rsidP="00BB6037">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6897B63E" w14:textId="77777777" w:rsidR="00C47F9D" w:rsidRDefault="00C47F9D" w:rsidP="00BB6037">
            <w:pPr>
              <w:rPr>
                <w:lang w:val="fr-FR"/>
              </w:rPr>
            </w:pPr>
          </w:p>
          <w:p w14:paraId="1F375493" w14:textId="77777777" w:rsidR="00C47F9D" w:rsidRPr="00DD3433" w:rsidRDefault="00C47F9D" w:rsidP="00BB6037">
            <w:pPr>
              <w:rPr>
                <w:lang w:val="fr-FR"/>
              </w:rPr>
            </w:pPr>
            <w:proofErr w:type="spellStart"/>
            <w:r>
              <w:rPr>
                <w:lang w:val="fr-FR"/>
              </w:rPr>
              <w:t>Distr</w:t>
            </w:r>
            <w:proofErr w:type="spellEnd"/>
            <w:r>
              <w:rPr>
                <w:lang w:val="fr-FR"/>
              </w:rPr>
              <w:t>.</w:t>
            </w:r>
          </w:p>
          <w:p w14:paraId="28B43C08" w14:textId="77777777" w:rsidR="00C47F9D" w:rsidRPr="00DD3433" w:rsidRDefault="00C47F9D" w:rsidP="00BB6037">
            <w:pPr>
              <w:rPr>
                <w:lang w:val="fr-FR"/>
              </w:rPr>
            </w:pPr>
            <w:r>
              <w:rPr>
                <w:lang w:val="fr-FR"/>
              </w:rPr>
              <w:t>GÉNÉRALE</w:t>
            </w:r>
          </w:p>
          <w:p w14:paraId="256FD454" w14:textId="77777777" w:rsidR="00C47F9D" w:rsidRPr="00DD3433" w:rsidRDefault="00C47F9D" w:rsidP="00BB6037">
            <w:pPr>
              <w:rPr>
                <w:lang w:val="fr-FR"/>
              </w:rPr>
            </w:pPr>
          </w:p>
          <w:p w14:paraId="4E3150B0" w14:textId="67E2A943" w:rsidR="00C47F9D" w:rsidRPr="00716BA5" w:rsidRDefault="00C47F9D" w:rsidP="00BB6037">
            <w:pPr>
              <w:rPr>
                <w:lang w:val="fr-FR"/>
              </w:rPr>
            </w:pPr>
            <w:r>
              <w:fldChar w:fldCharType="begin"/>
            </w:r>
            <w:r w:rsidRPr="00716BA5">
              <w:rPr>
                <w:lang w:val="fr-FR"/>
              </w:rPr>
              <w:instrText xml:space="preserve"> DOCPROPERTY "Document number"  \* MERGEFORMAT </w:instrText>
            </w:r>
            <w:r>
              <w:fldChar w:fldCharType="separate"/>
            </w:r>
            <w:r w:rsidRPr="00716BA5">
              <w:rPr>
                <w:lang w:val="fr-FR"/>
              </w:rPr>
              <w:t>UNEP/</w:t>
            </w:r>
            <w:proofErr w:type="spellStart"/>
            <w:r w:rsidRPr="00716BA5">
              <w:rPr>
                <w:lang w:val="fr-FR"/>
              </w:rPr>
              <w:t>OzL.Pro</w:t>
            </w:r>
            <w:proofErr w:type="spellEnd"/>
            <w:r w:rsidRPr="00716BA5">
              <w:rPr>
                <w:lang w:val="fr-FR"/>
              </w:rPr>
              <w:t>/</w:t>
            </w:r>
            <w:proofErr w:type="spellStart"/>
            <w:r w:rsidRPr="00716BA5">
              <w:rPr>
                <w:lang w:val="fr-FR"/>
              </w:rPr>
              <w:t>ExCom</w:t>
            </w:r>
            <w:proofErr w:type="spellEnd"/>
            <w:r w:rsidRPr="00716BA5">
              <w:rPr>
                <w:lang w:val="fr-FR"/>
              </w:rPr>
              <w:t>/98/48</w:t>
            </w:r>
            <w:r>
              <w:fldChar w:fldCharType="end"/>
            </w:r>
          </w:p>
          <w:p w14:paraId="54F1564A" w14:textId="51879B3B" w:rsidR="00C47F9D" w:rsidRPr="00C84AF4" w:rsidRDefault="00C47F9D" w:rsidP="00BB6037">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 xml:space="preserve">28 </w:t>
            </w:r>
            <w:proofErr w:type="spellStart"/>
            <w:r>
              <w:rPr>
                <w:szCs w:val="24"/>
              </w:rPr>
              <w:t>mai</w:t>
            </w:r>
            <w:proofErr w:type="spellEnd"/>
            <w:r>
              <w:rPr>
                <w:szCs w:val="24"/>
              </w:rPr>
              <w:t xml:space="preserve"> 2026</w:t>
            </w:r>
            <w:r>
              <w:rPr>
                <w:szCs w:val="24"/>
              </w:rPr>
              <w:fldChar w:fldCharType="end"/>
            </w:r>
          </w:p>
          <w:p w14:paraId="4988335E" w14:textId="77777777" w:rsidR="00C47F9D" w:rsidRDefault="00C47F9D" w:rsidP="00BB6037">
            <w:pPr>
              <w:rPr>
                <w:caps/>
                <w:lang w:val="fr-FR"/>
              </w:rPr>
            </w:pPr>
            <w:r>
              <w:rPr>
                <w:caps/>
              </w:rPr>
              <w:br/>
            </w:r>
            <w:r>
              <w:rPr>
                <w:caps/>
                <w:lang w:val="fr-FR"/>
              </w:rPr>
              <w:t>FRANÇAIS</w:t>
            </w:r>
          </w:p>
          <w:p w14:paraId="092778DD" w14:textId="0A09D8D1" w:rsidR="00C47F9D" w:rsidRPr="00E5237E" w:rsidRDefault="00C47F9D" w:rsidP="00BB6037">
            <w:pPr>
              <w:rPr>
                <w:lang w:val="fr-CA"/>
              </w:rPr>
            </w:pPr>
            <w:r>
              <w:rPr>
                <w:lang w:val="fr-CA"/>
              </w:rPr>
              <w:t>ORIGINAL</w:t>
            </w:r>
            <w:r w:rsidR="00716BA5">
              <w:rPr>
                <w:lang w:val="fr-CA"/>
              </w:rPr>
              <w:t xml:space="preserve"> </w:t>
            </w:r>
            <w:r>
              <w:rPr>
                <w:lang w:val="fr-CA"/>
              </w:rPr>
              <w:t>: ANGLAIS</w:t>
            </w:r>
          </w:p>
        </w:tc>
      </w:tr>
    </w:tbl>
    <w:p w14:paraId="254D19C9" w14:textId="77777777" w:rsidR="00C47F9D" w:rsidRPr="00630485" w:rsidRDefault="00C47F9D" w:rsidP="00C47F9D">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Quatre-vingt-dix-huitième réunion</w:t>
      </w:r>
    </w:p>
    <w:p w14:paraId="19E30B9D" w14:textId="77777777" w:rsidR="00C47F9D" w:rsidRPr="00FE1FA0" w:rsidRDefault="00C47F9D" w:rsidP="00C47F9D">
      <w:pPr>
        <w:jc w:val="left"/>
        <w:rPr>
          <w:lang w:val="fr-CA"/>
        </w:rPr>
      </w:pPr>
      <w:r>
        <w:rPr>
          <w:lang w:val="fr-CA"/>
        </w:rPr>
        <w:t>Montréal, 22-26 juin 2026</w:t>
      </w:r>
    </w:p>
    <w:p w14:paraId="36414679" w14:textId="77777777" w:rsidR="00C47F9D" w:rsidRPr="00550019" w:rsidRDefault="00C47F9D" w:rsidP="00C47F9D">
      <w:pPr>
        <w:jc w:val="left"/>
        <w:rPr>
          <w:lang w:val="fr-FR"/>
        </w:rPr>
      </w:pPr>
      <w:r>
        <w:rPr>
          <w:lang w:val="fr-FR"/>
        </w:rPr>
        <w:t>Point 8 c) de l'ordre du jour provisoire</w:t>
      </w:r>
      <w:r>
        <w:rPr>
          <w:rStyle w:val="FootnoteReference"/>
          <w:lang w:val="fr-FR"/>
        </w:rPr>
        <w:footnoteReference w:id="1"/>
      </w:r>
    </w:p>
    <w:p w14:paraId="6E735B21" w14:textId="77777777" w:rsidR="00720EE7" w:rsidRPr="00C47F9D" w:rsidRDefault="00720EE7" w:rsidP="00F435B3">
      <w:pPr>
        <w:spacing w:after="240"/>
        <w:rPr>
          <w:lang w:val="fr-FR"/>
        </w:rPr>
      </w:pPr>
    </w:p>
    <w:p w14:paraId="725F757E" w14:textId="77777777" w:rsidR="00C47F9D" w:rsidRDefault="00C47F9D" w:rsidP="00036628">
      <w:pPr>
        <w:jc w:val="center"/>
        <w:rPr>
          <w:b/>
          <w:lang w:val="fr-CA"/>
        </w:rPr>
      </w:pPr>
    </w:p>
    <w:p w14:paraId="1D4FC0B4" w14:textId="5A5B0F1B" w:rsidR="00036628" w:rsidRPr="00C47F9D" w:rsidRDefault="00036628" w:rsidP="00036628">
      <w:pPr>
        <w:jc w:val="center"/>
        <w:rPr>
          <w:b/>
          <w:lang w:val="fr-CA"/>
        </w:rPr>
      </w:pPr>
      <w:r>
        <w:rPr>
          <w:b/>
          <w:lang w:val="fr-CA"/>
        </w:rPr>
        <w:t>PROPOSITION DE PROJET : SURINAME</w:t>
      </w:r>
    </w:p>
    <w:p w14:paraId="17A08406" w14:textId="77777777" w:rsidR="00036628" w:rsidRPr="00C47F9D" w:rsidRDefault="00036628" w:rsidP="00036628">
      <w:pPr>
        <w:jc w:val="left"/>
        <w:rPr>
          <w:lang w:val="fr-CA"/>
        </w:rPr>
      </w:pPr>
    </w:p>
    <w:p w14:paraId="03F58A5D" w14:textId="77777777" w:rsidR="00036628" w:rsidRPr="00C47F9D" w:rsidRDefault="00036628" w:rsidP="00036628">
      <w:pPr>
        <w:pStyle w:val="Title1"/>
        <w:ind w:right="440"/>
        <w:jc w:val="both"/>
        <w:rPr>
          <w:b w:val="0"/>
          <w:lang w:val="fr-CA"/>
        </w:rPr>
      </w:pPr>
    </w:p>
    <w:p w14:paraId="7DC9BD64" w14:textId="77777777" w:rsidR="00036628" w:rsidRPr="00C47F9D" w:rsidRDefault="00036628" w:rsidP="00036628">
      <w:pPr>
        <w:ind w:firstLine="720"/>
        <w:rPr>
          <w:lang w:val="fr-CA"/>
        </w:rPr>
      </w:pPr>
      <w:r>
        <w:rPr>
          <w:lang w:val="fr-CA"/>
        </w:rPr>
        <w:t>Le présent document comprend les observations et la recommandation du Secrétariat sur la proposition de projet suivante :</w:t>
      </w:r>
    </w:p>
    <w:p w14:paraId="3F739A97" w14:textId="77777777" w:rsidR="00036628" w:rsidRPr="00C47F9D" w:rsidRDefault="00036628" w:rsidP="00036628">
      <w:pPr>
        <w:pStyle w:val="Title1"/>
        <w:rPr>
          <w:lang w:val="fr-CA"/>
        </w:rPr>
      </w:pPr>
    </w:p>
    <w:p w14:paraId="50FE7709" w14:textId="77777777" w:rsidR="00036628" w:rsidRPr="00F17C60" w:rsidRDefault="00036628" w:rsidP="00036628">
      <w:pPr>
        <w:rPr>
          <w:u w:val="single"/>
        </w:rPr>
      </w:pPr>
      <w:proofErr w:type="spellStart"/>
      <w:r>
        <w:rPr>
          <w:u w:val="single"/>
        </w:rPr>
        <w:t>Efficacité</w:t>
      </w:r>
      <w:proofErr w:type="spellEnd"/>
      <w:r>
        <w:rPr>
          <w:u w:val="single"/>
        </w:rPr>
        <w:t xml:space="preserve"> </w:t>
      </w:r>
      <w:proofErr w:type="spellStart"/>
      <w:r>
        <w:rPr>
          <w:u w:val="single"/>
        </w:rPr>
        <w:t>énergétique</w:t>
      </w:r>
      <w:proofErr w:type="spellEnd"/>
    </w:p>
    <w:p w14:paraId="4D29687D" w14:textId="77777777" w:rsidR="00036628" w:rsidRPr="00F17C60" w:rsidRDefault="00036628" w:rsidP="00036628"/>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7"/>
        <w:gridCol w:w="2039"/>
        <w:gridCol w:w="1650"/>
      </w:tblGrid>
      <w:tr w:rsidR="00036628" w:rsidRPr="008254B6" w14:paraId="4AD55EE2" w14:textId="77777777" w:rsidTr="00C47F9D">
        <w:tc>
          <w:tcPr>
            <w:tcW w:w="5670" w:type="dxa"/>
          </w:tcPr>
          <w:p w14:paraId="489A638B" w14:textId="77777777" w:rsidR="00036628" w:rsidRPr="00C47F9D" w:rsidRDefault="00036628" w:rsidP="00E3799F">
            <w:pPr>
              <w:pStyle w:val="ListParagraph"/>
              <w:numPr>
                <w:ilvl w:val="0"/>
                <w:numId w:val="6"/>
              </w:numPr>
              <w:ind w:left="337" w:hanging="447"/>
              <w:rPr>
                <w:lang w:val="fr-CA"/>
              </w:rPr>
            </w:pPr>
            <w:r>
              <w:rPr>
                <w:lang w:val="fr-CA"/>
              </w:rPr>
              <w:t>Activités supplémentaires visant à maintenir l'efficacité énergétique dans le secteur de l'entretien en vertu de la décision 89/6 b)</w:t>
            </w:r>
          </w:p>
        </w:tc>
        <w:tc>
          <w:tcPr>
            <w:tcW w:w="2040" w:type="dxa"/>
          </w:tcPr>
          <w:p w14:paraId="65E9A70E" w14:textId="39956AD0" w:rsidR="00036628" w:rsidRPr="00BF16EE" w:rsidRDefault="00C47F9D" w:rsidP="002A343A">
            <w:pPr>
              <w:jc w:val="center"/>
            </w:pPr>
            <w:r>
              <w:rPr>
                <w:lang w:val="fr-CA"/>
              </w:rPr>
              <w:t xml:space="preserve">        </w:t>
            </w:r>
            <w:r>
              <w:t>PNUE</w:t>
            </w:r>
          </w:p>
        </w:tc>
        <w:tc>
          <w:tcPr>
            <w:tcW w:w="1646" w:type="dxa"/>
          </w:tcPr>
          <w:p w14:paraId="4FBAC2F0" w14:textId="77777777" w:rsidR="00036628" w:rsidRPr="00BF16EE" w:rsidRDefault="00036628" w:rsidP="00C47F9D">
            <w:pPr>
              <w:ind w:left="321"/>
              <w:jc w:val="right"/>
            </w:pPr>
            <w:r>
              <w:t xml:space="preserve">Approbation </w:t>
            </w:r>
            <w:proofErr w:type="spellStart"/>
            <w:r>
              <w:t>globale</w:t>
            </w:r>
            <w:proofErr w:type="spellEnd"/>
          </w:p>
        </w:tc>
      </w:tr>
    </w:tbl>
    <w:p w14:paraId="76A5DAF1" w14:textId="77777777" w:rsidR="00036628" w:rsidRPr="008254B6" w:rsidRDefault="00036628" w:rsidP="00036628">
      <w:pPr>
        <w:jc w:val="left"/>
        <w:rPr>
          <w:highlight w:val="yellow"/>
        </w:rPr>
      </w:pPr>
    </w:p>
    <w:p w14:paraId="53CD3D65" w14:textId="77777777" w:rsidR="00036628" w:rsidRPr="008254B6" w:rsidRDefault="00036628" w:rsidP="00036628">
      <w:pPr>
        <w:pStyle w:val="Title1"/>
        <w:jc w:val="right"/>
        <w:rPr>
          <w:b w:val="0"/>
          <w:highlight w:val="yellow"/>
          <w:lang w:val="en-CA"/>
        </w:rPr>
      </w:pPr>
    </w:p>
    <w:p w14:paraId="03B930A0" w14:textId="77777777" w:rsidR="00036628" w:rsidRPr="008254B6" w:rsidRDefault="00036628" w:rsidP="00036628">
      <w:pPr>
        <w:pStyle w:val="Title1"/>
        <w:rPr>
          <w:highlight w:val="yellow"/>
          <w:lang w:val="en-CA"/>
        </w:rPr>
      </w:pPr>
    </w:p>
    <w:p w14:paraId="728B10EF" w14:textId="77777777" w:rsidR="00036628" w:rsidRPr="008254B6" w:rsidRDefault="00036628" w:rsidP="00036628">
      <w:pPr>
        <w:pStyle w:val="StyleHeader4Para4Left0Firstline0"/>
        <w:numPr>
          <w:ilvl w:val="0"/>
          <w:numId w:val="0"/>
        </w:numPr>
        <w:tabs>
          <w:tab w:val="clear" w:pos="2880"/>
          <w:tab w:val="clear" w:pos="5760"/>
        </w:tabs>
        <w:jc w:val="center"/>
        <w:rPr>
          <w:b/>
          <w:sz w:val="22"/>
          <w:highlight w:val="yellow"/>
        </w:rPr>
      </w:pPr>
      <w:r>
        <w:rPr>
          <w:b/>
          <w:sz w:val="22"/>
          <w:highlight w:val="yellow"/>
        </w:rPr>
        <w:br w:type="page"/>
      </w:r>
    </w:p>
    <w:p w14:paraId="5C15A479" w14:textId="77777777" w:rsidR="00036628" w:rsidRPr="000960E8" w:rsidRDefault="00036628" w:rsidP="00036628">
      <w:pPr>
        <w:spacing w:after="240"/>
        <w:jc w:val="center"/>
        <w:rPr>
          <w:b/>
        </w:rPr>
      </w:pPr>
      <w:r>
        <w:rPr>
          <w:b/>
        </w:rPr>
        <w:lastRenderedPageBreak/>
        <w:t>DESCRIPTION DU PROJET</w:t>
      </w:r>
    </w:p>
    <w:p w14:paraId="45539557" w14:textId="77777777" w:rsidR="00036628" w:rsidRPr="000960E8" w:rsidRDefault="00036628" w:rsidP="00036628">
      <w:pPr>
        <w:pStyle w:val="Heading1"/>
        <w:numPr>
          <w:ilvl w:val="0"/>
          <w:numId w:val="0"/>
        </w:numPr>
        <w:spacing w:before="240"/>
      </w:pPr>
      <w:proofErr w:type="spellStart"/>
      <w:r>
        <w:rPr>
          <w:b/>
          <w:bCs/>
        </w:rPr>
        <w:t>Contexte</w:t>
      </w:r>
      <w:proofErr w:type="spellEnd"/>
    </w:p>
    <w:p w14:paraId="32950D36" w14:textId="0AF8A5FE" w:rsidR="00036628" w:rsidRPr="00C47F9D" w:rsidRDefault="00036628" w:rsidP="005721EB">
      <w:pPr>
        <w:pStyle w:val="Heading1"/>
        <w:spacing w:before="240"/>
        <w:rPr>
          <w:lang w:val="fr-CA"/>
        </w:rPr>
      </w:pPr>
      <w:r>
        <w:rPr>
          <w:lang w:val="fr-CA"/>
        </w:rPr>
        <w:t>La phase II du Plan de gestion de l'élimination des HCFC (PGEH) du Suriname a été approuvée lors de la 93</w:t>
      </w:r>
      <w:r>
        <w:rPr>
          <w:vertAlign w:val="superscript"/>
          <w:lang w:val="fr-CA"/>
        </w:rPr>
        <w:t>e</w:t>
      </w:r>
      <w:r>
        <w:rPr>
          <w:lang w:val="fr-CA"/>
        </w:rPr>
        <w:t xml:space="preserve"> réunion,</w:t>
      </w:r>
      <w:r>
        <w:rPr>
          <w:vertAlign w:val="superscript"/>
        </w:rPr>
        <w:footnoteReference w:id="2"/>
      </w:r>
      <w:r>
        <w:rPr>
          <w:lang w:val="fr-CA"/>
        </w:rPr>
        <w:t xml:space="preserve"> , en vue d'éliminer complètement la consommation de HCFC d'ici 2030, pour un coût total de 540 000 $US, plus les coûts d'appui de l'agence. Conformément à l’accord conclu entre le Gouvernement du Suriname et le Comité exécutif, la deuxième tranche du PGEH est prévue pour être soumise lors de la première réunion de 2027. </w:t>
      </w:r>
    </w:p>
    <w:p w14:paraId="1B28ABF5" w14:textId="31CC358D" w:rsidR="00036628" w:rsidRPr="00C47F9D" w:rsidRDefault="00036628" w:rsidP="00036628">
      <w:pPr>
        <w:pStyle w:val="Heading1"/>
        <w:rPr>
          <w:lang w:val="fr-CA"/>
        </w:rPr>
      </w:pPr>
      <w:r>
        <w:rPr>
          <w:lang w:val="fr-CA"/>
        </w:rPr>
        <w:t xml:space="preserve">Au nom du Gouvernement du Suriname, le PNUE, en tant qu'agence d'exécution principale, a soumis une demande de financement d'activités supplémentaires visant à renforcer l'efficacité énergétique dans le secteur de l'entretien des équipements de réfrigération et de climatisation (RAC) et à promouvoir l'utilisation de </w:t>
      </w:r>
      <w:r w:rsidR="00660639" w:rsidRPr="00660639">
        <w:rPr>
          <w:lang w:val="fr-CA"/>
        </w:rPr>
        <w:t>réfrigérants à haute efficacité énergétique et à faible potentiel de réchauffement de la planète (PRP)</w:t>
      </w:r>
      <w:r>
        <w:rPr>
          <w:lang w:val="fr-CA"/>
        </w:rPr>
        <w:t>, conformément aux décisions 89/6 b) et 92/22,</w:t>
      </w:r>
      <w:r>
        <w:rPr>
          <w:rStyle w:val="FootnoteReference"/>
        </w:rPr>
        <w:footnoteReference w:id="3"/>
      </w:r>
      <w:r>
        <w:rPr>
          <w:lang w:val="fr-CA"/>
        </w:rPr>
        <w:t xml:space="preserve"> , pour un montant de 100 000 $US, plus les coûts d’appui de l’agence de 13 000 $US.</w:t>
      </w:r>
      <w:r>
        <w:rPr>
          <w:rStyle w:val="FootnoteReference"/>
        </w:rPr>
        <w:footnoteReference w:id="4"/>
      </w:r>
      <w:r>
        <w:rPr>
          <w:lang w:val="fr-CA"/>
        </w:rPr>
        <w:t xml:space="preserve"> La demande comprend un descriptif des activités spécifiques, des cibles et un plan de mise en œuvre couvrant la période de juillet 2026 à juin 2028.</w:t>
      </w:r>
    </w:p>
    <w:p w14:paraId="5F893BF1" w14:textId="77777777" w:rsidR="00036628" w:rsidRPr="00C47F9D" w:rsidRDefault="00036628" w:rsidP="00036628">
      <w:pPr>
        <w:pStyle w:val="Heading1"/>
        <w:numPr>
          <w:ilvl w:val="0"/>
          <w:numId w:val="0"/>
        </w:numPr>
        <w:rPr>
          <w:u w:val="single"/>
          <w:lang w:val="fr-CA"/>
        </w:rPr>
      </w:pPr>
      <w:r>
        <w:rPr>
          <w:u w:val="single"/>
          <w:lang w:val="fr-CA"/>
        </w:rPr>
        <w:t>Rapport sur la consommation de HCFC</w:t>
      </w:r>
    </w:p>
    <w:p w14:paraId="36E9EB86" w14:textId="6752921D" w:rsidR="00C532D7" w:rsidRPr="00C47F9D" w:rsidRDefault="00B30761" w:rsidP="00B30761">
      <w:pPr>
        <w:pStyle w:val="Heading1"/>
        <w:rPr>
          <w:bCs/>
          <w:lang w:val="fr-CA"/>
        </w:rPr>
      </w:pPr>
      <w:bookmarkStart w:id="0" w:name="_Hlk141281293"/>
      <w:r>
        <w:rPr>
          <w:lang w:val="fr-CA"/>
        </w:rPr>
        <w:t xml:space="preserve">Le Gouvernement du Suriname a déclaré une consommation de 0,00 tonnes PAO de HCFC en 2024, soit 100 % en dessous de la référence des HCFC pour la conformité. Les données visées à l’article 7 et les données relatives à la mise en œuvre du programme de pays pour 2025 n'ont pas encore été communiquées. La consommation de HCFC pour la période 2020-2024 est présentée dans le tableau 1. </w:t>
      </w:r>
    </w:p>
    <w:bookmarkEnd w:id="0"/>
    <w:p w14:paraId="46FD38C3" w14:textId="06CFDD49" w:rsidR="00C532D7" w:rsidRPr="00C47F9D" w:rsidRDefault="00C532D7" w:rsidP="00C532D7">
      <w:pPr>
        <w:keepNext/>
        <w:widowControl w:val="0"/>
        <w:rPr>
          <w:b/>
          <w:highlight w:val="yellow"/>
          <w:lang w:val="fr-CA"/>
        </w:rPr>
      </w:pPr>
      <w:r>
        <w:rPr>
          <w:b/>
          <w:lang w:val="fr-CA"/>
        </w:rPr>
        <w:t>Tableau 1. Consommation de HCFC au Suriname (données déclarées en vertu de l'article 7, 2020 - 2024)</w:t>
      </w:r>
    </w:p>
    <w:tbl>
      <w:tblPr>
        <w:tblW w:w="5000" w:type="pct"/>
        <w:tblLayout w:type="fixed"/>
        <w:tblLook w:val="04A0" w:firstRow="1" w:lastRow="0" w:firstColumn="1" w:lastColumn="0" w:noHBand="0" w:noVBand="1"/>
      </w:tblPr>
      <w:tblGrid>
        <w:gridCol w:w="2247"/>
        <w:gridCol w:w="1183"/>
        <w:gridCol w:w="1184"/>
        <w:gridCol w:w="1184"/>
        <w:gridCol w:w="1184"/>
        <w:gridCol w:w="1184"/>
        <w:gridCol w:w="1184"/>
      </w:tblGrid>
      <w:tr w:rsidR="00151C2D" w:rsidRPr="0058786D" w14:paraId="2D889DCD" w14:textId="77777777" w:rsidTr="00C90EA3">
        <w:trPr>
          <w:trHeight w:val="209"/>
          <w:tblHeader/>
        </w:trPr>
        <w:tc>
          <w:tcPr>
            <w:tcW w:w="12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C604EB3" w14:textId="77777777" w:rsidR="00151C2D" w:rsidRPr="0058786D" w:rsidRDefault="00151C2D" w:rsidP="00F31BC7">
            <w:pPr>
              <w:widowControl w:val="0"/>
              <w:jc w:val="left"/>
              <w:rPr>
                <w:b/>
                <w:bCs/>
                <w:color w:val="000000"/>
                <w:sz w:val="20"/>
                <w:szCs w:val="20"/>
              </w:rPr>
            </w:pPr>
            <w:r>
              <w:rPr>
                <w:b/>
                <w:bCs/>
                <w:color w:val="000000"/>
                <w:sz w:val="20"/>
                <w:szCs w:val="20"/>
              </w:rPr>
              <w:t>HCFC</w:t>
            </w:r>
          </w:p>
        </w:tc>
        <w:tc>
          <w:tcPr>
            <w:tcW w:w="633" w:type="pct"/>
            <w:tcBorders>
              <w:top w:val="single" w:sz="4" w:space="0" w:color="auto"/>
              <w:left w:val="nil"/>
              <w:bottom w:val="single" w:sz="4" w:space="0" w:color="auto"/>
              <w:right w:val="single" w:sz="4" w:space="0" w:color="auto"/>
            </w:tcBorders>
          </w:tcPr>
          <w:p w14:paraId="385B697C" w14:textId="0AE8FAB1" w:rsidR="00151C2D" w:rsidRPr="0058786D" w:rsidRDefault="00A13BD5" w:rsidP="00F31BC7">
            <w:pPr>
              <w:widowControl w:val="0"/>
              <w:jc w:val="center"/>
              <w:rPr>
                <w:b/>
                <w:bCs/>
                <w:color w:val="000000"/>
                <w:sz w:val="20"/>
                <w:szCs w:val="20"/>
              </w:rPr>
            </w:pPr>
            <w:r>
              <w:rPr>
                <w:b/>
                <w:bCs/>
                <w:color w:val="000000"/>
                <w:sz w:val="20"/>
                <w:szCs w:val="20"/>
              </w:rPr>
              <w:t>2020</w:t>
            </w:r>
          </w:p>
        </w:tc>
        <w:tc>
          <w:tcPr>
            <w:tcW w:w="633" w:type="pct"/>
            <w:tcBorders>
              <w:top w:val="single" w:sz="4" w:space="0" w:color="auto"/>
              <w:left w:val="single" w:sz="4" w:space="0" w:color="auto"/>
              <w:bottom w:val="single" w:sz="4" w:space="0" w:color="auto"/>
              <w:right w:val="single" w:sz="4" w:space="0" w:color="auto"/>
            </w:tcBorders>
            <w:vAlign w:val="center"/>
          </w:tcPr>
          <w:p w14:paraId="017F5545" w14:textId="095260E2" w:rsidR="00151C2D" w:rsidRPr="0058786D" w:rsidRDefault="00151C2D" w:rsidP="00F31BC7">
            <w:pPr>
              <w:widowControl w:val="0"/>
              <w:jc w:val="center"/>
              <w:rPr>
                <w:b/>
                <w:bCs/>
                <w:color w:val="000000"/>
                <w:sz w:val="20"/>
                <w:szCs w:val="20"/>
              </w:rPr>
            </w:pPr>
            <w:r>
              <w:rPr>
                <w:b/>
                <w:bCs/>
                <w:color w:val="000000"/>
                <w:sz w:val="20"/>
                <w:szCs w:val="20"/>
              </w:rPr>
              <w:t>2021</w:t>
            </w:r>
          </w:p>
        </w:tc>
        <w:tc>
          <w:tcPr>
            <w:tcW w:w="633" w:type="pct"/>
            <w:tcBorders>
              <w:top w:val="single" w:sz="4" w:space="0" w:color="auto"/>
              <w:left w:val="single" w:sz="4" w:space="0" w:color="auto"/>
              <w:bottom w:val="single" w:sz="4" w:space="0" w:color="auto"/>
              <w:right w:val="single" w:sz="4" w:space="0" w:color="auto"/>
            </w:tcBorders>
            <w:noWrap/>
            <w:vAlign w:val="center"/>
          </w:tcPr>
          <w:p w14:paraId="45B8191F" w14:textId="4C554DFB" w:rsidR="00151C2D" w:rsidRPr="0058786D" w:rsidRDefault="00151C2D" w:rsidP="00F31BC7">
            <w:pPr>
              <w:widowControl w:val="0"/>
              <w:jc w:val="center"/>
              <w:rPr>
                <w:b/>
                <w:bCs/>
                <w:color w:val="000000"/>
                <w:sz w:val="20"/>
                <w:szCs w:val="20"/>
              </w:rPr>
            </w:pPr>
            <w:r>
              <w:rPr>
                <w:b/>
                <w:bCs/>
                <w:color w:val="000000"/>
                <w:sz w:val="20"/>
                <w:szCs w:val="20"/>
              </w:rPr>
              <w:t>2022</w:t>
            </w:r>
          </w:p>
        </w:tc>
        <w:tc>
          <w:tcPr>
            <w:tcW w:w="633" w:type="pct"/>
            <w:tcBorders>
              <w:top w:val="single" w:sz="4" w:space="0" w:color="auto"/>
              <w:left w:val="single" w:sz="4" w:space="0" w:color="auto"/>
              <w:bottom w:val="single" w:sz="4" w:space="0" w:color="auto"/>
              <w:right w:val="single" w:sz="4" w:space="0" w:color="auto"/>
            </w:tcBorders>
            <w:noWrap/>
            <w:vAlign w:val="center"/>
          </w:tcPr>
          <w:p w14:paraId="42A889E9" w14:textId="7F03536B" w:rsidR="00151C2D" w:rsidRPr="0058786D" w:rsidRDefault="00151C2D" w:rsidP="00F31BC7">
            <w:pPr>
              <w:widowControl w:val="0"/>
              <w:jc w:val="center"/>
              <w:rPr>
                <w:b/>
                <w:bCs/>
                <w:color w:val="000000"/>
                <w:sz w:val="20"/>
                <w:szCs w:val="20"/>
              </w:rPr>
            </w:pPr>
            <w:r>
              <w:rPr>
                <w:b/>
                <w:bCs/>
                <w:color w:val="000000"/>
                <w:sz w:val="20"/>
                <w:szCs w:val="20"/>
              </w:rPr>
              <w:t>2023</w:t>
            </w:r>
          </w:p>
        </w:tc>
        <w:tc>
          <w:tcPr>
            <w:tcW w:w="633" w:type="pct"/>
            <w:tcBorders>
              <w:top w:val="single" w:sz="4" w:space="0" w:color="auto"/>
              <w:left w:val="single" w:sz="4" w:space="0" w:color="auto"/>
              <w:bottom w:val="single" w:sz="4" w:space="0" w:color="auto"/>
              <w:right w:val="single" w:sz="4" w:space="0" w:color="auto"/>
            </w:tcBorders>
          </w:tcPr>
          <w:p w14:paraId="56BF8CB4" w14:textId="4C659661" w:rsidR="00151C2D" w:rsidRPr="0058786D" w:rsidRDefault="00151C2D" w:rsidP="00F31BC7">
            <w:pPr>
              <w:widowControl w:val="0"/>
              <w:jc w:val="center"/>
              <w:rPr>
                <w:b/>
                <w:bCs/>
                <w:color w:val="000000"/>
                <w:sz w:val="20"/>
                <w:szCs w:val="20"/>
              </w:rPr>
            </w:pPr>
            <w:r>
              <w:rPr>
                <w:b/>
                <w:bCs/>
                <w:color w:val="000000"/>
                <w:sz w:val="20"/>
                <w:szCs w:val="20"/>
              </w:rPr>
              <w:t>2024</w:t>
            </w:r>
          </w:p>
        </w:tc>
        <w:tc>
          <w:tcPr>
            <w:tcW w:w="633" w:type="pct"/>
            <w:tcBorders>
              <w:top w:val="single" w:sz="4" w:space="0" w:color="auto"/>
              <w:left w:val="single" w:sz="4" w:space="0" w:color="auto"/>
              <w:bottom w:val="single" w:sz="4" w:space="0" w:color="auto"/>
              <w:right w:val="single" w:sz="4" w:space="0" w:color="auto"/>
            </w:tcBorders>
            <w:noWrap/>
            <w:vAlign w:val="center"/>
            <w:hideMark/>
          </w:tcPr>
          <w:p w14:paraId="5A5943BD" w14:textId="77777777" w:rsidR="00151C2D" w:rsidRPr="0058786D" w:rsidRDefault="00151C2D" w:rsidP="00F31BC7">
            <w:pPr>
              <w:widowControl w:val="0"/>
              <w:jc w:val="center"/>
              <w:rPr>
                <w:b/>
                <w:bCs/>
                <w:color w:val="000000"/>
                <w:sz w:val="20"/>
                <w:szCs w:val="20"/>
              </w:rPr>
            </w:pPr>
            <w:proofErr w:type="spellStart"/>
            <w:r>
              <w:rPr>
                <w:b/>
                <w:bCs/>
                <w:color w:val="000000"/>
                <w:sz w:val="20"/>
                <w:szCs w:val="20"/>
              </w:rPr>
              <w:t>Référence</w:t>
            </w:r>
            <w:proofErr w:type="spellEnd"/>
          </w:p>
        </w:tc>
      </w:tr>
      <w:tr w:rsidR="00151C2D" w:rsidRPr="0058786D" w14:paraId="60E07221" w14:textId="77777777" w:rsidTr="00C90EA3">
        <w:trPr>
          <w:trHeight w:val="209"/>
        </w:trPr>
        <w:tc>
          <w:tcPr>
            <w:tcW w:w="120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1A89C7" w14:textId="77777777" w:rsidR="00151C2D" w:rsidRPr="0058786D" w:rsidRDefault="00151C2D" w:rsidP="00F31BC7">
            <w:pPr>
              <w:widowControl w:val="0"/>
              <w:jc w:val="left"/>
              <w:rPr>
                <w:b/>
                <w:bCs/>
                <w:color w:val="000000"/>
                <w:sz w:val="20"/>
                <w:szCs w:val="20"/>
              </w:rPr>
            </w:pPr>
            <w:r>
              <w:rPr>
                <w:b/>
                <w:bCs/>
                <w:color w:val="000000"/>
                <w:sz w:val="20"/>
                <w:szCs w:val="20"/>
              </w:rPr>
              <w:t xml:space="preserve">Tonnes </w:t>
            </w:r>
            <w:proofErr w:type="spellStart"/>
            <w:r>
              <w:rPr>
                <w:b/>
                <w:bCs/>
                <w:color w:val="000000"/>
                <w:sz w:val="20"/>
                <w:szCs w:val="20"/>
              </w:rPr>
              <w:t>métriques</w:t>
            </w:r>
            <w:proofErr w:type="spellEnd"/>
            <w:r>
              <w:rPr>
                <w:b/>
                <w:bCs/>
                <w:color w:val="000000"/>
                <w:sz w:val="20"/>
                <w:szCs w:val="20"/>
              </w:rPr>
              <w:t xml:space="preserve"> (tm)</w:t>
            </w:r>
          </w:p>
        </w:tc>
        <w:tc>
          <w:tcPr>
            <w:tcW w:w="633" w:type="pct"/>
            <w:tcBorders>
              <w:top w:val="single" w:sz="4" w:space="0" w:color="auto"/>
              <w:left w:val="nil"/>
              <w:bottom w:val="single" w:sz="4" w:space="0" w:color="auto"/>
              <w:right w:val="single" w:sz="4" w:space="0" w:color="auto"/>
            </w:tcBorders>
          </w:tcPr>
          <w:p w14:paraId="7E53B8AC" w14:textId="77777777" w:rsidR="00151C2D" w:rsidRPr="0058786D" w:rsidRDefault="00151C2D" w:rsidP="00F31BC7">
            <w:pPr>
              <w:widowControl w:val="0"/>
              <w:jc w:val="center"/>
              <w:rPr>
                <w:b/>
                <w:bCs/>
                <w:color w:val="000000"/>
                <w:sz w:val="20"/>
                <w:szCs w:val="20"/>
              </w:rPr>
            </w:pPr>
          </w:p>
        </w:tc>
        <w:tc>
          <w:tcPr>
            <w:tcW w:w="633" w:type="pct"/>
            <w:tcBorders>
              <w:top w:val="single" w:sz="4" w:space="0" w:color="auto"/>
              <w:left w:val="single" w:sz="4" w:space="0" w:color="auto"/>
              <w:bottom w:val="single" w:sz="4" w:space="0" w:color="auto"/>
              <w:right w:val="single" w:sz="4" w:space="0" w:color="auto"/>
            </w:tcBorders>
            <w:vAlign w:val="center"/>
          </w:tcPr>
          <w:p w14:paraId="69047DD0" w14:textId="097C3D98" w:rsidR="00151C2D" w:rsidRPr="0058786D" w:rsidRDefault="00151C2D" w:rsidP="00F31BC7">
            <w:pPr>
              <w:widowControl w:val="0"/>
              <w:jc w:val="center"/>
              <w:rPr>
                <w:b/>
                <w:bCs/>
                <w:color w:val="000000"/>
                <w:sz w:val="20"/>
                <w:szCs w:val="20"/>
              </w:rPr>
            </w:pPr>
          </w:p>
        </w:tc>
        <w:tc>
          <w:tcPr>
            <w:tcW w:w="633" w:type="pct"/>
            <w:tcBorders>
              <w:top w:val="single" w:sz="4" w:space="0" w:color="auto"/>
              <w:left w:val="single" w:sz="4" w:space="0" w:color="auto"/>
              <w:bottom w:val="single" w:sz="4" w:space="0" w:color="auto"/>
              <w:right w:val="single" w:sz="4" w:space="0" w:color="auto"/>
            </w:tcBorders>
            <w:noWrap/>
            <w:vAlign w:val="center"/>
          </w:tcPr>
          <w:p w14:paraId="2E247BFF" w14:textId="475A29DA" w:rsidR="00151C2D" w:rsidRPr="0058786D" w:rsidRDefault="00151C2D" w:rsidP="00F31BC7">
            <w:pPr>
              <w:widowControl w:val="0"/>
              <w:jc w:val="center"/>
              <w:rPr>
                <w:b/>
                <w:bCs/>
                <w:color w:val="000000"/>
                <w:sz w:val="20"/>
                <w:szCs w:val="20"/>
              </w:rPr>
            </w:pPr>
          </w:p>
        </w:tc>
        <w:tc>
          <w:tcPr>
            <w:tcW w:w="633" w:type="pct"/>
            <w:tcBorders>
              <w:top w:val="single" w:sz="4" w:space="0" w:color="auto"/>
              <w:left w:val="single" w:sz="4" w:space="0" w:color="auto"/>
              <w:bottom w:val="single" w:sz="4" w:space="0" w:color="auto"/>
              <w:right w:val="single" w:sz="4" w:space="0" w:color="auto"/>
            </w:tcBorders>
            <w:noWrap/>
            <w:vAlign w:val="center"/>
          </w:tcPr>
          <w:p w14:paraId="48B5C445" w14:textId="77777777" w:rsidR="00151C2D" w:rsidRPr="0058786D" w:rsidRDefault="00151C2D" w:rsidP="00F31BC7">
            <w:pPr>
              <w:widowControl w:val="0"/>
              <w:jc w:val="center"/>
              <w:rPr>
                <w:b/>
                <w:bCs/>
                <w:color w:val="000000"/>
                <w:sz w:val="20"/>
                <w:szCs w:val="20"/>
              </w:rPr>
            </w:pPr>
          </w:p>
        </w:tc>
        <w:tc>
          <w:tcPr>
            <w:tcW w:w="633" w:type="pct"/>
            <w:tcBorders>
              <w:top w:val="single" w:sz="4" w:space="0" w:color="auto"/>
              <w:left w:val="single" w:sz="4" w:space="0" w:color="auto"/>
              <w:bottom w:val="single" w:sz="4" w:space="0" w:color="auto"/>
              <w:right w:val="single" w:sz="4" w:space="0" w:color="auto"/>
            </w:tcBorders>
          </w:tcPr>
          <w:p w14:paraId="003774B8" w14:textId="77777777" w:rsidR="00151C2D" w:rsidRPr="0058786D" w:rsidRDefault="00151C2D" w:rsidP="00F31BC7">
            <w:pPr>
              <w:widowControl w:val="0"/>
              <w:jc w:val="center"/>
              <w:rPr>
                <w:b/>
                <w:bCs/>
                <w:color w:val="000000"/>
                <w:sz w:val="20"/>
                <w:szCs w:val="20"/>
              </w:rPr>
            </w:pPr>
          </w:p>
        </w:tc>
        <w:tc>
          <w:tcPr>
            <w:tcW w:w="633" w:type="pct"/>
            <w:tcBorders>
              <w:top w:val="single" w:sz="4" w:space="0" w:color="auto"/>
              <w:left w:val="single" w:sz="4" w:space="0" w:color="auto"/>
              <w:bottom w:val="single" w:sz="4" w:space="0" w:color="auto"/>
              <w:right w:val="single" w:sz="4" w:space="0" w:color="auto"/>
            </w:tcBorders>
            <w:noWrap/>
            <w:vAlign w:val="center"/>
            <w:hideMark/>
          </w:tcPr>
          <w:p w14:paraId="61359D4D" w14:textId="77777777" w:rsidR="00151C2D" w:rsidRPr="0058786D" w:rsidRDefault="00151C2D" w:rsidP="00F31BC7">
            <w:pPr>
              <w:widowControl w:val="0"/>
              <w:jc w:val="center"/>
              <w:rPr>
                <w:b/>
                <w:bCs/>
                <w:color w:val="000000"/>
                <w:sz w:val="20"/>
                <w:szCs w:val="20"/>
              </w:rPr>
            </w:pPr>
          </w:p>
        </w:tc>
      </w:tr>
      <w:tr w:rsidR="00151C2D" w:rsidRPr="0058786D" w14:paraId="03B34641" w14:textId="77777777" w:rsidTr="00C90EA3">
        <w:trPr>
          <w:trHeight w:val="209"/>
        </w:trPr>
        <w:tc>
          <w:tcPr>
            <w:tcW w:w="120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D87500E" w14:textId="77777777" w:rsidR="00151C2D" w:rsidRPr="0058786D" w:rsidRDefault="00151C2D" w:rsidP="004D12C3">
            <w:pPr>
              <w:widowControl w:val="0"/>
              <w:jc w:val="left"/>
              <w:rPr>
                <w:color w:val="000000"/>
                <w:sz w:val="20"/>
                <w:szCs w:val="20"/>
              </w:rPr>
            </w:pPr>
            <w:r>
              <w:rPr>
                <w:color w:val="000000"/>
                <w:sz w:val="20"/>
                <w:szCs w:val="20"/>
              </w:rPr>
              <w:t>HCFC-22</w:t>
            </w:r>
          </w:p>
        </w:tc>
        <w:tc>
          <w:tcPr>
            <w:tcW w:w="633" w:type="pct"/>
            <w:tcBorders>
              <w:top w:val="single" w:sz="4" w:space="0" w:color="auto"/>
              <w:left w:val="nil"/>
              <w:bottom w:val="single" w:sz="4" w:space="0" w:color="auto"/>
              <w:right w:val="single" w:sz="4" w:space="0" w:color="auto"/>
            </w:tcBorders>
          </w:tcPr>
          <w:p w14:paraId="0534D411" w14:textId="202779B1" w:rsidR="00151C2D" w:rsidRPr="0058786D" w:rsidRDefault="009818E0" w:rsidP="004D12C3">
            <w:pPr>
              <w:widowControl w:val="0"/>
              <w:jc w:val="right"/>
              <w:rPr>
                <w:color w:val="000000"/>
                <w:sz w:val="20"/>
                <w:szCs w:val="20"/>
              </w:rPr>
            </w:pPr>
            <w:r>
              <w:rPr>
                <w:color w:val="000000"/>
                <w:sz w:val="20"/>
                <w:szCs w:val="20"/>
              </w:rPr>
              <w:t>6,20</w:t>
            </w:r>
          </w:p>
        </w:tc>
        <w:tc>
          <w:tcPr>
            <w:tcW w:w="633" w:type="pct"/>
            <w:tcBorders>
              <w:top w:val="single" w:sz="4" w:space="0" w:color="auto"/>
              <w:left w:val="single" w:sz="4" w:space="0" w:color="auto"/>
              <w:bottom w:val="single" w:sz="4" w:space="0" w:color="auto"/>
              <w:right w:val="single" w:sz="4" w:space="0" w:color="auto"/>
            </w:tcBorders>
            <w:vAlign w:val="bottom"/>
          </w:tcPr>
          <w:p w14:paraId="17197855" w14:textId="0C853AFE" w:rsidR="00151C2D" w:rsidRPr="0058786D" w:rsidRDefault="009818E0" w:rsidP="004D12C3">
            <w:pPr>
              <w:widowControl w:val="0"/>
              <w:jc w:val="right"/>
              <w:rPr>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6B16EA6C" w14:textId="163CFA43" w:rsidR="00151C2D" w:rsidRPr="0058786D" w:rsidRDefault="009818E0" w:rsidP="004D12C3">
            <w:pPr>
              <w:widowControl w:val="0"/>
              <w:jc w:val="right"/>
              <w:rPr>
                <w:sz w:val="20"/>
                <w:szCs w:val="20"/>
              </w:rPr>
            </w:pPr>
            <w:r>
              <w:rPr>
                <w:sz w:val="20"/>
                <w:szCs w:val="20"/>
              </w:rPr>
              <w:t>1,77</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692C1A0F" w14:textId="4B305873" w:rsidR="00151C2D" w:rsidRPr="0058786D" w:rsidRDefault="009818E0" w:rsidP="004D12C3">
            <w:pPr>
              <w:widowControl w:val="0"/>
              <w:jc w:val="right"/>
              <w:rPr>
                <w:color w:val="000000"/>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5BF08FC8" w14:textId="14BABBFC" w:rsidR="00151C2D" w:rsidRPr="0058786D" w:rsidRDefault="009818E0" w:rsidP="004D12C3">
            <w:pPr>
              <w:widowControl w:val="0"/>
              <w:jc w:val="right"/>
              <w:rPr>
                <w:color w:val="000000"/>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A929037" w14:textId="77B91C3E" w:rsidR="00151C2D" w:rsidRPr="0058786D" w:rsidRDefault="00EB26E6" w:rsidP="004D12C3">
            <w:pPr>
              <w:widowControl w:val="0"/>
              <w:jc w:val="right"/>
              <w:rPr>
                <w:color w:val="000000"/>
                <w:sz w:val="20"/>
                <w:szCs w:val="20"/>
              </w:rPr>
            </w:pPr>
            <w:r>
              <w:rPr>
                <w:sz w:val="20"/>
                <w:szCs w:val="20"/>
                <w:lang w:val="en-US"/>
              </w:rPr>
              <w:t>35,30</w:t>
            </w:r>
          </w:p>
        </w:tc>
      </w:tr>
      <w:tr w:rsidR="00151C2D" w:rsidRPr="0058786D" w14:paraId="04E81A12" w14:textId="77777777" w:rsidTr="00C90EA3">
        <w:trPr>
          <w:trHeight w:val="209"/>
        </w:trPr>
        <w:tc>
          <w:tcPr>
            <w:tcW w:w="120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F9AEEE7" w14:textId="18B25CA6" w:rsidR="00151C2D" w:rsidRPr="0058786D" w:rsidRDefault="009A6152" w:rsidP="004D12C3">
            <w:pPr>
              <w:widowControl w:val="0"/>
              <w:jc w:val="left"/>
              <w:rPr>
                <w:color w:val="000000"/>
                <w:sz w:val="20"/>
                <w:szCs w:val="20"/>
              </w:rPr>
            </w:pPr>
            <w:r>
              <w:rPr>
                <w:color w:val="000000"/>
                <w:sz w:val="20"/>
                <w:szCs w:val="20"/>
              </w:rPr>
              <w:t>HCFC-142b</w:t>
            </w:r>
          </w:p>
        </w:tc>
        <w:tc>
          <w:tcPr>
            <w:tcW w:w="633" w:type="pct"/>
            <w:tcBorders>
              <w:top w:val="single" w:sz="4" w:space="0" w:color="auto"/>
              <w:left w:val="nil"/>
              <w:bottom w:val="single" w:sz="4" w:space="0" w:color="auto"/>
              <w:right w:val="single" w:sz="4" w:space="0" w:color="auto"/>
            </w:tcBorders>
          </w:tcPr>
          <w:p w14:paraId="5470D958" w14:textId="48A43D31" w:rsidR="00151C2D" w:rsidRPr="0058786D" w:rsidRDefault="009818E0" w:rsidP="004D12C3">
            <w:pPr>
              <w:widowControl w:val="0"/>
              <w:jc w:val="right"/>
              <w:rPr>
                <w:color w:val="000000"/>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vAlign w:val="bottom"/>
          </w:tcPr>
          <w:p w14:paraId="0F9D499F" w14:textId="6D58882E" w:rsidR="00151C2D" w:rsidRPr="0058786D" w:rsidRDefault="00151C2D" w:rsidP="004D12C3">
            <w:pPr>
              <w:widowControl w:val="0"/>
              <w:jc w:val="right"/>
              <w:rPr>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45CBCBBD" w14:textId="5A71B5CE" w:rsidR="00151C2D" w:rsidRPr="0058786D" w:rsidRDefault="009A6152" w:rsidP="004D12C3">
            <w:pPr>
              <w:widowControl w:val="0"/>
              <w:jc w:val="right"/>
              <w:rPr>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3653F7DD" w14:textId="4408B990" w:rsidR="00151C2D" w:rsidRPr="0058786D" w:rsidRDefault="00151C2D" w:rsidP="004D12C3">
            <w:pPr>
              <w:widowControl w:val="0"/>
              <w:jc w:val="right"/>
              <w:rPr>
                <w:color w:val="000000"/>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4E58A9D5" w14:textId="5ACA6559" w:rsidR="00151C2D" w:rsidRPr="0058786D" w:rsidRDefault="009A6152" w:rsidP="004D12C3">
            <w:pPr>
              <w:widowControl w:val="0"/>
              <w:jc w:val="right"/>
              <w:rPr>
                <w:color w:val="000000"/>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442E215" w14:textId="4CDC4AF0" w:rsidR="00151C2D" w:rsidRPr="0058786D" w:rsidRDefault="00151C2D" w:rsidP="004D12C3">
            <w:pPr>
              <w:widowControl w:val="0"/>
              <w:jc w:val="right"/>
              <w:rPr>
                <w:color w:val="000000"/>
                <w:sz w:val="20"/>
                <w:szCs w:val="20"/>
              </w:rPr>
            </w:pPr>
            <w:r>
              <w:rPr>
                <w:color w:val="000000"/>
                <w:sz w:val="20"/>
                <w:szCs w:val="20"/>
                <w:lang w:val="en-US"/>
              </w:rPr>
              <w:t>0,60</w:t>
            </w:r>
          </w:p>
        </w:tc>
      </w:tr>
      <w:tr w:rsidR="009818E0" w:rsidRPr="0058786D" w14:paraId="026B878F" w14:textId="77777777" w:rsidTr="00C90EA3">
        <w:trPr>
          <w:trHeight w:val="209"/>
        </w:trPr>
        <w:tc>
          <w:tcPr>
            <w:tcW w:w="1202" w:type="pct"/>
            <w:tcBorders>
              <w:top w:val="nil"/>
              <w:left w:val="single" w:sz="4" w:space="0" w:color="auto"/>
              <w:bottom w:val="single" w:sz="4" w:space="0" w:color="auto"/>
              <w:right w:val="single" w:sz="4" w:space="0" w:color="auto"/>
            </w:tcBorders>
            <w:noWrap/>
            <w:tcMar>
              <w:left w:w="43" w:type="dxa"/>
              <w:right w:w="43" w:type="dxa"/>
            </w:tcMar>
            <w:hideMark/>
          </w:tcPr>
          <w:p w14:paraId="573CE13B" w14:textId="77777777" w:rsidR="009818E0" w:rsidRPr="0058786D" w:rsidRDefault="009818E0" w:rsidP="009818E0">
            <w:pPr>
              <w:jc w:val="left"/>
              <w:rPr>
                <w:rFonts w:eastAsiaTheme="minorHAnsi"/>
                <w:b/>
                <w:color w:val="000000"/>
                <w:sz w:val="20"/>
                <w:szCs w:val="20"/>
              </w:rPr>
            </w:pPr>
            <w:r>
              <w:rPr>
                <w:b/>
                <w:color w:val="000000"/>
                <w:sz w:val="20"/>
                <w:szCs w:val="20"/>
              </w:rPr>
              <w:t>Total (tm)</w:t>
            </w:r>
          </w:p>
        </w:tc>
        <w:tc>
          <w:tcPr>
            <w:tcW w:w="633" w:type="pct"/>
            <w:tcBorders>
              <w:top w:val="single" w:sz="4" w:space="0" w:color="auto"/>
              <w:left w:val="nil"/>
              <w:bottom w:val="single" w:sz="4" w:space="0" w:color="auto"/>
              <w:right w:val="single" w:sz="4" w:space="0" w:color="auto"/>
            </w:tcBorders>
          </w:tcPr>
          <w:p w14:paraId="362578A6" w14:textId="7ABB02C0" w:rsidR="009818E0" w:rsidRPr="0058786D" w:rsidRDefault="009818E0" w:rsidP="009818E0">
            <w:pPr>
              <w:widowControl w:val="0"/>
              <w:jc w:val="right"/>
              <w:rPr>
                <w:b/>
                <w:bCs/>
                <w:sz w:val="20"/>
                <w:szCs w:val="20"/>
              </w:rPr>
            </w:pPr>
            <w:r>
              <w:rPr>
                <w:b/>
                <w:bCs/>
                <w:color w:val="000000"/>
                <w:sz w:val="20"/>
                <w:szCs w:val="20"/>
              </w:rPr>
              <w:t>6,20</w:t>
            </w:r>
          </w:p>
        </w:tc>
        <w:tc>
          <w:tcPr>
            <w:tcW w:w="633" w:type="pct"/>
            <w:tcBorders>
              <w:top w:val="single" w:sz="4" w:space="0" w:color="auto"/>
              <w:left w:val="single" w:sz="4" w:space="0" w:color="auto"/>
              <w:bottom w:val="single" w:sz="4" w:space="0" w:color="auto"/>
              <w:right w:val="single" w:sz="4" w:space="0" w:color="auto"/>
            </w:tcBorders>
            <w:vAlign w:val="bottom"/>
          </w:tcPr>
          <w:p w14:paraId="287CECF6" w14:textId="5367A47B" w:rsidR="009818E0" w:rsidRPr="0058786D" w:rsidRDefault="009818E0" w:rsidP="009818E0">
            <w:pPr>
              <w:widowControl w:val="0"/>
              <w:jc w:val="right"/>
              <w:rPr>
                <w:b/>
                <w:bCs/>
                <w:color w:val="000000"/>
                <w:sz w:val="20"/>
                <w:szCs w:val="20"/>
              </w:rPr>
            </w:pPr>
            <w:r>
              <w:rPr>
                <w:b/>
                <w:bCs/>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55997338" w14:textId="19A82859" w:rsidR="009818E0" w:rsidRPr="0058786D" w:rsidRDefault="009818E0" w:rsidP="009818E0">
            <w:pPr>
              <w:widowControl w:val="0"/>
              <w:jc w:val="right"/>
              <w:rPr>
                <w:b/>
                <w:bCs/>
                <w:color w:val="000000"/>
                <w:sz w:val="20"/>
                <w:szCs w:val="20"/>
              </w:rPr>
            </w:pPr>
            <w:r>
              <w:rPr>
                <w:b/>
                <w:bCs/>
                <w:sz w:val="20"/>
                <w:szCs w:val="20"/>
              </w:rPr>
              <w:t>1,77</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7AE5FC90" w14:textId="104AE460" w:rsidR="009818E0" w:rsidRPr="0058786D" w:rsidRDefault="009818E0" w:rsidP="009818E0">
            <w:pPr>
              <w:widowControl w:val="0"/>
              <w:jc w:val="right"/>
              <w:rPr>
                <w:b/>
                <w:bCs/>
                <w:color w:val="000000"/>
                <w:sz w:val="20"/>
                <w:szCs w:val="20"/>
              </w:rPr>
            </w:pPr>
            <w:r>
              <w:rPr>
                <w:b/>
                <w:bCs/>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64171C9E" w14:textId="752A30FD" w:rsidR="009818E0" w:rsidRPr="0058786D" w:rsidRDefault="009818E0" w:rsidP="009818E0">
            <w:pPr>
              <w:widowControl w:val="0"/>
              <w:jc w:val="right"/>
              <w:rPr>
                <w:b/>
                <w:bCs/>
                <w:color w:val="000000"/>
                <w:sz w:val="20"/>
                <w:szCs w:val="20"/>
              </w:rPr>
            </w:pPr>
            <w:r>
              <w:rPr>
                <w:b/>
                <w:bCs/>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B9A1D87" w14:textId="4A4AD567" w:rsidR="009818E0" w:rsidRPr="0058786D" w:rsidRDefault="009818E0" w:rsidP="009818E0">
            <w:pPr>
              <w:widowControl w:val="0"/>
              <w:jc w:val="right"/>
              <w:rPr>
                <w:b/>
                <w:bCs/>
                <w:color w:val="000000"/>
                <w:sz w:val="20"/>
                <w:szCs w:val="20"/>
              </w:rPr>
            </w:pPr>
            <w:r>
              <w:rPr>
                <w:b/>
                <w:bCs/>
                <w:color w:val="000000"/>
                <w:sz w:val="20"/>
                <w:szCs w:val="20"/>
              </w:rPr>
              <w:t>35,90</w:t>
            </w:r>
          </w:p>
        </w:tc>
      </w:tr>
      <w:tr w:rsidR="00151C2D" w:rsidRPr="0058786D" w14:paraId="79007C14" w14:textId="77777777" w:rsidTr="00C90EA3">
        <w:trPr>
          <w:trHeight w:val="209"/>
        </w:trPr>
        <w:tc>
          <w:tcPr>
            <w:tcW w:w="12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23C1F4F" w14:textId="77777777" w:rsidR="00151C2D" w:rsidRPr="0058786D" w:rsidRDefault="00151C2D" w:rsidP="00F31BC7">
            <w:pPr>
              <w:widowControl w:val="0"/>
              <w:jc w:val="left"/>
              <w:rPr>
                <w:b/>
                <w:bCs/>
                <w:color w:val="000000"/>
                <w:sz w:val="20"/>
                <w:szCs w:val="20"/>
              </w:rPr>
            </w:pPr>
            <w:r>
              <w:rPr>
                <w:b/>
                <w:bCs/>
                <w:color w:val="000000"/>
                <w:sz w:val="20"/>
                <w:szCs w:val="20"/>
              </w:rPr>
              <w:t>Tonnes PAO</w:t>
            </w:r>
          </w:p>
        </w:tc>
        <w:tc>
          <w:tcPr>
            <w:tcW w:w="633" w:type="pct"/>
            <w:tcBorders>
              <w:top w:val="single" w:sz="4" w:space="0" w:color="auto"/>
              <w:left w:val="single" w:sz="4" w:space="0" w:color="auto"/>
              <w:bottom w:val="single" w:sz="4" w:space="0" w:color="auto"/>
              <w:right w:val="single" w:sz="4" w:space="0" w:color="auto"/>
            </w:tcBorders>
          </w:tcPr>
          <w:p w14:paraId="407BE602" w14:textId="77777777" w:rsidR="00151C2D" w:rsidRPr="0058786D" w:rsidRDefault="00151C2D" w:rsidP="00F31BC7">
            <w:pPr>
              <w:widowControl w:val="0"/>
              <w:jc w:val="right"/>
              <w:rPr>
                <w:color w:val="000000"/>
                <w:sz w:val="20"/>
                <w:szCs w:val="20"/>
              </w:rPr>
            </w:pPr>
          </w:p>
        </w:tc>
        <w:tc>
          <w:tcPr>
            <w:tcW w:w="633" w:type="pct"/>
            <w:tcBorders>
              <w:top w:val="single" w:sz="4" w:space="0" w:color="auto"/>
              <w:left w:val="single" w:sz="4" w:space="0" w:color="auto"/>
              <w:bottom w:val="single" w:sz="4" w:space="0" w:color="auto"/>
              <w:right w:val="single" w:sz="4" w:space="0" w:color="auto"/>
            </w:tcBorders>
            <w:vAlign w:val="center"/>
          </w:tcPr>
          <w:p w14:paraId="3D5A88DF" w14:textId="2EB06769" w:rsidR="00151C2D" w:rsidRPr="0058786D" w:rsidRDefault="00151C2D" w:rsidP="00F31BC7">
            <w:pPr>
              <w:widowControl w:val="0"/>
              <w:jc w:val="right"/>
              <w:rPr>
                <w:color w:val="000000"/>
                <w:sz w:val="20"/>
                <w:szCs w:val="20"/>
              </w:rPr>
            </w:pP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78A19E8" w14:textId="0941D379" w:rsidR="00151C2D" w:rsidRPr="0058786D" w:rsidRDefault="00151C2D" w:rsidP="00F31BC7">
            <w:pPr>
              <w:widowControl w:val="0"/>
              <w:jc w:val="right"/>
              <w:rPr>
                <w:color w:val="000000"/>
                <w:sz w:val="20"/>
                <w:szCs w:val="20"/>
              </w:rPr>
            </w:pP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8109B97" w14:textId="77777777" w:rsidR="00151C2D" w:rsidRPr="0058786D" w:rsidRDefault="00151C2D" w:rsidP="00F31BC7">
            <w:pPr>
              <w:widowControl w:val="0"/>
              <w:jc w:val="right"/>
              <w:rPr>
                <w:color w:val="000000"/>
                <w:sz w:val="20"/>
                <w:szCs w:val="20"/>
              </w:rPr>
            </w:pP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14:paraId="102DE68C" w14:textId="77777777" w:rsidR="00151C2D" w:rsidRPr="0058786D" w:rsidRDefault="00151C2D" w:rsidP="00F31BC7">
            <w:pPr>
              <w:widowControl w:val="0"/>
              <w:jc w:val="right"/>
              <w:rPr>
                <w:color w:val="000000"/>
                <w:sz w:val="20"/>
                <w:szCs w:val="20"/>
              </w:rPr>
            </w:pP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81FDA24" w14:textId="77777777" w:rsidR="00151C2D" w:rsidRPr="0058786D" w:rsidRDefault="00151C2D" w:rsidP="00F31BC7">
            <w:pPr>
              <w:widowControl w:val="0"/>
              <w:jc w:val="right"/>
              <w:rPr>
                <w:color w:val="000000"/>
                <w:sz w:val="20"/>
                <w:szCs w:val="20"/>
              </w:rPr>
            </w:pPr>
          </w:p>
        </w:tc>
      </w:tr>
      <w:tr w:rsidR="00151C2D" w:rsidRPr="0058786D" w14:paraId="46719066" w14:textId="77777777" w:rsidTr="00C90EA3">
        <w:trPr>
          <w:trHeight w:val="209"/>
        </w:trPr>
        <w:tc>
          <w:tcPr>
            <w:tcW w:w="12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2A505C7" w14:textId="77777777" w:rsidR="00151C2D" w:rsidRPr="0058786D" w:rsidRDefault="00151C2D" w:rsidP="008A3485">
            <w:pPr>
              <w:widowControl w:val="0"/>
              <w:jc w:val="left"/>
              <w:rPr>
                <w:color w:val="000000"/>
                <w:sz w:val="20"/>
                <w:szCs w:val="20"/>
              </w:rPr>
            </w:pPr>
            <w:r>
              <w:rPr>
                <w:color w:val="000000"/>
                <w:sz w:val="20"/>
                <w:szCs w:val="20"/>
              </w:rPr>
              <w:t>HCFC-22</w:t>
            </w:r>
          </w:p>
        </w:tc>
        <w:tc>
          <w:tcPr>
            <w:tcW w:w="633" w:type="pct"/>
            <w:tcBorders>
              <w:top w:val="single" w:sz="4" w:space="0" w:color="auto"/>
              <w:left w:val="single" w:sz="4" w:space="0" w:color="auto"/>
              <w:bottom w:val="single" w:sz="4" w:space="0" w:color="auto"/>
              <w:right w:val="single" w:sz="4" w:space="0" w:color="auto"/>
            </w:tcBorders>
          </w:tcPr>
          <w:p w14:paraId="154A8378" w14:textId="2AD48A80" w:rsidR="00151C2D" w:rsidRPr="0058786D" w:rsidRDefault="009818E0" w:rsidP="008A3485">
            <w:pPr>
              <w:widowControl w:val="0"/>
              <w:jc w:val="right"/>
              <w:rPr>
                <w:sz w:val="20"/>
                <w:szCs w:val="20"/>
              </w:rPr>
            </w:pPr>
            <w:r>
              <w:rPr>
                <w:sz w:val="20"/>
                <w:szCs w:val="20"/>
              </w:rPr>
              <w:t>0,34</w:t>
            </w:r>
          </w:p>
        </w:tc>
        <w:tc>
          <w:tcPr>
            <w:tcW w:w="633" w:type="pct"/>
            <w:tcBorders>
              <w:top w:val="single" w:sz="4" w:space="0" w:color="auto"/>
              <w:left w:val="single" w:sz="4" w:space="0" w:color="auto"/>
              <w:bottom w:val="single" w:sz="4" w:space="0" w:color="auto"/>
              <w:right w:val="single" w:sz="4" w:space="0" w:color="auto"/>
            </w:tcBorders>
          </w:tcPr>
          <w:p w14:paraId="18F03593" w14:textId="3C3BAAE0" w:rsidR="00151C2D" w:rsidRPr="0058786D" w:rsidRDefault="009818E0" w:rsidP="008A3485">
            <w:pPr>
              <w:widowControl w:val="0"/>
              <w:jc w:val="right"/>
              <w:rPr>
                <w:color w:val="000000"/>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2FDB562C" w14:textId="4EECE44B" w:rsidR="00151C2D" w:rsidRPr="0058786D" w:rsidRDefault="009818E0" w:rsidP="008A3485">
            <w:pPr>
              <w:widowControl w:val="0"/>
              <w:jc w:val="right"/>
              <w:rPr>
                <w:color w:val="000000"/>
                <w:sz w:val="20"/>
                <w:szCs w:val="20"/>
              </w:rPr>
            </w:pPr>
            <w:r>
              <w:rPr>
                <w:color w:val="000000"/>
                <w:sz w:val="20"/>
                <w:szCs w:val="20"/>
              </w:rPr>
              <w:t>0,10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C859647" w14:textId="3293C225" w:rsidR="00151C2D" w:rsidRPr="0058786D" w:rsidRDefault="009818E0" w:rsidP="008A3485">
            <w:pPr>
              <w:widowControl w:val="0"/>
              <w:jc w:val="right"/>
              <w:rPr>
                <w:color w:val="000000"/>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14:paraId="7BE2CF6C" w14:textId="698BC9D9" w:rsidR="00151C2D" w:rsidRPr="0058786D" w:rsidRDefault="009818E0" w:rsidP="008A3485">
            <w:pPr>
              <w:widowControl w:val="0"/>
              <w:jc w:val="right"/>
              <w:rPr>
                <w:color w:val="000000"/>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AD7DE21" w14:textId="78889E28" w:rsidR="00151C2D" w:rsidRPr="0058786D" w:rsidRDefault="00A13BD5" w:rsidP="008A3485">
            <w:pPr>
              <w:widowControl w:val="0"/>
              <w:jc w:val="right"/>
              <w:rPr>
                <w:color w:val="000000"/>
                <w:sz w:val="20"/>
                <w:szCs w:val="20"/>
              </w:rPr>
            </w:pPr>
            <w:r>
              <w:rPr>
                <w:color w:val="000000"/>
                <w:sz w:val="20"/>
                <w:szCs w:val="20"/>
              </w:rPr>
              <w:t>2,00</w:t>
            </w:r>
          </w:p>
        </w:tc>
      </w:tr>
      <w:tr w:rsidR="00151C2D" w:rsidRPr="0058786D" w14:paraId="5145E4EE" w14:textId="77777777" w:rsidTr="00C90EA3">
        <w:trPr>
          <w:trHeight w:val="209"/>
        </w:trPr>
        <w:tc>
          <w:tcPr>
            <w:tcW w:w="12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BD6F00" w14:textId="0C5CCD34" w:rsidR="00151C2D" w:rsidRPr="0058786D" w:rsidRDefault="009A6152" w:rsidP="008A3485">
            <w:pPr>
              <w:widowControl w:val="0"/>
              <w:jc w:val="left"/>
              <w:rPr>
                <w:color w:val="000000"/>
                <w:sz w:val="20"/>
                <w:szCs w:val="20"/>
              </w:rPr>
            </w:pPr>
            <w:r>
              <w:rPr>
                <w:color w:val="000000"/>
                <w:sz w:val="20"/>
                <w:szCs w:val="20"/>
              </w:rPr>
              <w:t>HCFC-142b</w:t>
            </w:r>
          </w:p>
        </w:tc>
        <w:tc>
          <w:tcPr>
            <w:tcW w:w="633" w:type="pct"/>
            <w:tcBorders>
              <w:top w:val="single" w:sz="4" w:space="0" w:color="auto"/>
              <w:left w:val="single" w:sz="4" w:space="0" w:color="auto"/>
              <w:bottom w:val="single" w:sz="4" w:space="0" w:color="auto"/>
              <w:right w:val="single" w:sz="4" w:space="0" w:color="auto"/>
            </w:tcBorders>
          </w:tcPr>
          <w:p w14:paraId="7E3B1EAB" w14:textId="46B67146" w:rsidR="00151C2D" w:rsidRPr="0058786D" w:rsidRDefault="009818E0" w:rsidP="008A3485">
            <w:pPr>
              <w:widowControl w:val="0"/>
              <w:jc w:val="right"/>
              <w:rPr>
                <w:sz w:val="20"/>
                <w:szCs w:val="20"/>
              </w:rPr>
            </w:pPr>
            <w:r>
              <w:rPr>
                <w:sz w:val="20"/>
                <w:szCs w:val="20"/>
              </w:rPr>
              <w:t>0,00</w:t>
            </w:r>
          </w:p>
        </w:tc>
        <w:tc>
          <w:tcPr>
            <w:tcW w:w="633" w:type="pct"/>
            <w:tcBorders>
              <w:top w:val="single" w:sz="4" w:space="0" w:color="auto"/>
              <w:left w:val="single" w:sz="4" w:space="0" w:color="auto"/>
              <w:bottom w:val="single" w:sz="4" w:space="0" w:color="auto"/>
              <w:right w:val="single" w:sz="4" w:space="0" w:color="auto"/>
            </w:tcBorders>
          </w:tcPr>
          <w:p w14:paraId="5CC4B0AC" w14:textId="3AFFB121" w:rsidR="00151C2D" w:rsidRPr="0058786D" w:rsidRDefault="00151C2D" w:rsidP="008A3485">
            <w:pPr>
              <w:widowControl w:val="0"/>
              <w:jc w:val="right"/>
              <w:rPr>
                <w:b/>
                <w:bCs/>
                <w:color w:val="000000"/>
                <w:sz w:val="20"/>
                <w:szCs w:val="20"/>
              </w:rPr>
            </w:pPr>
            <w:r>
              <w:rPr>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7581397" w14:textId="6F68DC82" w:rsidR="00151C2D" w:rsidRPr="0058786D" w:rsidRDefault="009A6152" w:rsidP="008A3485">
            <w:pPr>
              <w:widowControl w:val="0"/>
              <w:jc w:val="right"/>
              <w:rPr>
                <w:b/>
                <w:bCs/>
                <w:color w:val="000000"/>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8F4515C" w14:textId="50E1C8CC" w:rsidR="00151C2D" w:rsidRPr="0058786D" w:rsidRDefault="00151C2D" w:rsidP="008A3485">
            <w:pPr>
              <w:widowControl w:val="0"/>
              <w:jc w:val="right"/>
              <w:rPr>
                <w:b/>
                <w:bCs/>
                <w:color w:val="000000"/>
                <w:sz w:val="20"/>
                <w:szCs w:val="20"/>
              </w:rPr>
            </w:pPr>
            <w:r>
              <w:rPr>
                <w:sz w:val="20"/>
                <w:szCs w:val="20"/>
              </w:rPr>
              <w:t>0,00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14:paraId="5FE21787" w14:textId="32CB83D1" w:rsidR="00151C2D" w:rsidRPr="0058786D" w:rsidRDefault="009A6152" w:rsidP="008A3485">
            <w:pPr>
              <w:widowControl w:val="0"/>
              <w:jc w:val="right"/>
              <w:rPr>
                <w:b/>
                <w:bCs/>
                <w:color w:val="000000"/>
                <w:sz w:val="20"/>
                <w:szCs w:val="20"/>
              </w:rPr>
            </w:pPr>
            <w:r>
              <w:rPr>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D6F48BB" w14:textId="706E83A6" w:rsidR="00151C2D" w:rsidRPr="0058786D" w:rsidRDefault="00A13BD5" w:rsidP="008A3485">
            <w:pPr>
              <w:widowControl w:val="0"/>
              <w:jc w:val="right"/>
              <w:rPr>
                <w:color w:val="000000"/>
                <w:sz w:val="20"/>
                <w:szCs w:val="20"/>
              </w:rPr>
            </w:pPr>
            <w:r>
              <w:rPr>
                <w:color w:val="000000"/>
                <w:sz w:val="20"/>
                <w:szCs w:val="20"/>
              </w:rPr>
              <w:t>0,00</w:t>
            </w:r>
          </w:p>
        </w:tc>
      </w:tr>
      <w:tr w:rsidR="009818E0" w:rsidRPr="0058786D" w14:paraId="04DE076B" w14:textId="77777777" w:rsidTr="00C90EA3">
        <w:trPr>
          <w:trHeight w:val="209"/>
        </w:trPr>
        <w:tc>
          <w:tcPr>
            <w:tcW w:w="120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16C64BE" w14:textId="77777777" w:rsidR="009818E0" w:rsidRPr="0058786D" w:rsidRDefault="009818E0" w:rsidP="009818E0">
            <w:pPr>
              <w:jc w:val="left"/>
              <w:rPr>
                <w:rFonts w:eastAsiaTheme="minorHAnsi"/>
                <w:b/>
                <w:sz w:val="20"/>
                <w:szCs w:val="20"/>
              </w:rPr>
            </w:pPr>
            <w:r>
              <w:rPr>
                <w:b/>
                <w:sz w:val="20"/>
                <w:szCs w:val="20"/>
              </w:rPr>
              <w:t>Total (tonnes PAO)</w:t>
            </w:r>
          </w:p>
        </w:tc>
        <w:tc>
          <w:tcPr>
            <w:tcW w:w="633" w:type="pct"/>
            <w:tcBorders>
              <w:top w:val="single" w:sz="4" w:space="0" w:color="auto"/>
              <w:left w:val="single" w:sz="4" w:space="0" w:color="auto"/>
              <w:bottom w:val="single" w:sz="4" w:space="0" w:color="auto"/>
              <w:right w:val="single" w:sz="4" w:space="0" w:color="auto"/>
            </w:tcBorders>
          </w:tcPr>
          <w:p w14:paraId="5F127E8E" w14:textId="6D9E5266" w:rsidR="009818E0" w:rsidRPr="0058786D" w:rsidRDefault="009818E0" w:rsidP="009818E0">
            <w:pPr>
              <w:widowControl w:val="0"/>
              <w:jc w:val="right"/>
              <w:rPr>
                <w:b/>
                <w:bCs/>
                <w:sz w:val="20"/>
                <w:szCs w:val="20"/>
              </w:rPr>
            </w:pPr>
            <w:r>
              <w:rPr>
                <w:b/>
                <w:bCs/>
                <w:sz w:val="20"/>
                <w:szCs w:val="20"/>
              </w:rPr>
              <w:t>0,34</w:t>
            </w:r>
          </w:p>
        </w:tc>
        <w:tc>
          <w:tcPr>
            <w:tcW w:w="633" w:type="pct"/>
            <w:tcBorders>
              <w:top w:val="single" w:sz="4" w:space="0" w:color="auto"/>
              <w:left w:val="single" w:sz="4" w:space="0" w:color="auto"/>
              <w:bottom w:val="single" w:sz="4" w:space="0" w:color="auto"/>
              <w:right w:val="single" w:sz="4" w:space="0" w:color="auto"/>
            </w:tcBorders>
          </w:tcPr>
          <w:p w14:paraId="670B1FBA" w14:textId="6DCC04CB" w:rsidR="009818E0" w:rsidRPr="0058786D" w:rsidRDefault="009818E0" w:rsidP="009818E0">
            <w:pPr>
              <w:widowControl w:val="0"/>
              <w:jc w:val="right"/>
              <w:rPr>
                <w:b/>
                <w:bCs/>
                <w:color w:val="000000"/>
                <w:sz w:val="20"/>
                <w:szCs w:val="20"/>
              </w:rPr>
            </w:pPr>
            <w:r>
              <w:rPr>
                <w:b/>
                <w:bCs/>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6617E2D" w14:textId="46E0D5C2" w:rsidR="009818E0" w:rsidRPr="0058786D" w:rsidRDefault="009818E0" w:rsidP="009818E0">
            <w:pPr>
              <w:widowControl w:val="0"/>
              <w:jc w:val="right"/>
              <w:rPr>
                <w:b/>
                <w:bCs/>
                <w:color w:val="000000"/>
                <w:sz w:val="20"/>
                <w:szCs w:val="20"/>
              </w:rPr>
            </w:pPr>
            <w:r>
              <w:rPr>
                <w:b/>
                <w:bCs/>
                <w:color w:val="000000"/>
                <w:sz w:val="20"/>
                <w:szCs w:val="20"/>
              </w:rPr>
              <w:t>0,10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532642E" w14:textId="3A75509D" w:rsidR="009818E0" w:rsidRPr="0058786D" w:rsidRDefault="009818E0" w:rsidP="009818E0">
            <w:pPr>
              <w:widowControl w:val="0"/>
              <w:jc w:val="right"/>
              <w:rPr>
                <w:b/>
                <w:bCs/>
                <w:color w:val="000000"/>
                <w:sz w:val="20"/>
                <w:szCs w:val="20"/>
              </w:rPr>
            </w:pPr>
            <w:r>
              <w:rPr>
                <w:b/>
                <w:bCs/>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14:paraId="093A2A3B" w14:textId="41A26868" w:rsidR="009818E0" w:rsidRPr="0058786D" w:rsidRDefault="009818E0" w:rsidP="009818E0">
            <w:pPr>
              <w:jc w:val="right"/>
              <w:rPr>
                <w:b/>
                <w:bCs/>
                <w:color w:val="000000"/>
                <w:sz w:val="20"/>
                <w:szCs w:val="20"/>
              </w:rPr>
            </w:pPr>
            <w:r>
              <w:rPr>
                <w:b/>
                <w:bCs/>
                <w:color w:val="000000"/>
                <w:sz w:val="20"/>
                <w:szCs w:val="20"/>
              </w:rPr>
              <w:t>0,00</w:t>
            </w:r>
          </w:p>
        </w:tc>
        <w:tc>
          <w:tcPr>
            <w:tcW w:w="63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B37C06D" w14:textId="38F38C9E" w:rsidR="009818E0" w:rsidRPr="0058786D" w:rsidRDefault="009818E0" w:rsidP="009818E0">
            <w:pPr>
              <w:suppressAutoHyphens/>
              <w:jc w:val="right"/>
              <w:rPr>
                <w:b/>
                <w:bCs/>
                <w:sz w:val="20"/>
                <w:szCs w:val="20"/>
                <w:lang w:val="en-US" w:eastAsia="es-CO"/>
              </w:rPr>
            </w:pPr>
            <w:r>
              <w:rPr>
                <w:b/>
                <w:bCs/>
                <w:sz w:val="20"/>
                <w:szCs w:val="20"/>
                <w:lang w:val="en-US" w:eastAsia="es-CO"/>
              </w:rPr>
              <w:t>2,00</w:t>
            </w:r>
          </w:p>
        </w:tc>
      </w:tr>
    </w:tbl>
    <w:p w14:paraId="269B8695" w14:textId="7C001442" w:rsidR="00126C02" w:rsidRPr="00C47F9D" w:rsidRDefault="00B722AA" w:rsidP="001C48F6">
      <w:pPr>
        <w:pStyle w:val="Heading1"/>
        <w:spacing w:before="240"/>
        <w:rPr>
          <w:lang w:val="fr-CA"/>
        </w:rPr>
      </w:pPr>
      <w:r>
        <w:rPr>
          <w:lang w:val="fr-CA"/>
        </w:rPr>
        <w:t>Comme indiqué lors de la 93</w:t>
      </w:r>
      <w:r>
        <w:rPr>
          <w:vertAlign w:val="superscript"/>
          <w:lang w:val="fr-CA"/>
        </w:rPr>
        <w:t>e</w:t>
      </w:r>
      <w:r>
        <w:rPr>
          <w:lang w:val="fr-CA"/>
        </w:rPr>
        <w:t xml:space="preserve"> réunion, la consommation de HCFC au Suriname a considérablement diminué, ce qui s’explique par la mise en œuvre du système d’autorisation et de quotas, l’adoption de bonnes pratiques d’entretien pour les équipements de réfrigération et de climatisation fonctionnant aux HCFC, ainsi que l’adoption rapide de solutions de remplacement sans HCFC dans des applications telles que la climatisation résidentielle et les appareils de refroidissement. Le Suriname a déclaré une consommation nulle de HCFC pour 2023 et 2024. Dans le même temps, la consommation de HFC a connu un pic en 2024, s’élevant à 260 022 tonnes </w:t>
      </w:r>
      <w:proofErr w:type="spellStart"/>
      <w:r>
        <w:rPr>
          <w:lang w:val="fr-CA"/>
        </w:rPr>
        <w:t>éq</w:t>
      </w:r>
      <w:proofErr w:type="spellEnd"/>
      <w:r>
        <w:rPr>
          <w:lang w:val="fr-CA"/>
        </w:rPr>
        <w:t xml:space="preserve">-CO₂. Le pays n’a pas encore ratifié l’Amendement de Kigali ; toutefois, il </w:t>
      </w:r>
      <w:r>
        <w:rPr>
          <w:highlight w:val="white"/>
          <w:lang w:val="fr-CA"/>
        </w:rPr>
        <w:t xml:space="preserve">s’efforce de s’affranchir des gaz à fort PRP et, compte tenu des taux élevés d’accès à l’électricité </w:t>
      </w:r>
      <w:r>
        <w:rPr>
          <w:highlight w:val="white"/>
          <w:lang w:val="fr-CA"/>
        </w:rPr>
        <w:lastRenderedPageBreak/>
        <w:t>au Suriname, d’intégrer également des gains d’efficacité énergétique tout en effectuant la transition vers des réfrigérants plus respectueux de l’environnement</w:t>
      </w:r>
      <w:r>
        <w:rPr>
          <w:lang w:val="fr-CA"/>
        </w:rPr>
        <w:t>.</w:t>
      </w:r>
    </w:p>
    <w:p w14:paraId="052F25F9" w14:textId="0F5A501B" w:rsidR="00036628" w:rsidRPr="00C47F9D" w:rsidRDefault="00036628" w:rsidP="006538FA">
      <w:pPr>
        <w:pStyle w:val="Heading1"/>
        <w:keepNext/>
        <w:keepLines/>
        <w:widowControl w:val="0"/>
        <w:numPr>
          <w:ilvl w:val="0"/>
          <w:numId w:val="0"/>
        </w:numPr>
        <w:spacing w:before="240"/>
        <w:rPr>
          <w:i/>
          <w:lang w:val="fr-CA"/>
        </w:rPr>
      </w:pPr>
      <w:r>
        <w:rPr>
          <w:i/>
          <w:lang w:val="fr-CA"/>
        </w:rPr>
        <w:t>Rapport sur la mise en œuvre du programme national</w:t>
      </w:r>
    </w:p>
    <w:p w14:paraId="7CD07DD9" w14:textId="59016FFE" w:rsidR="00036628" w:rsidRPr="00C47F9D" w:rsidRDefault="00036628" w:rsidP="006538FA">
      <w:pPr>
        <w:pStyle w:val="Heading1"/>
        <w:keepLines/>
        <w:widowControl w:val="0"/>
        <w:rPr>
          <w:rStyle w:val="FootnoteReference"/>
          <w:vertAlign w:val="baseline"/>
          <w:lang w:val="fr-CA"/>
        </w:rPr>
      </w:pPr>
      <w:r>
        <w:rPr>
          <w:lang w:val="fr-CA"/>
        </w:rPr>
        <w:t>Le Gouvernement du Suriname a communiqué des données pour le secteur de la consommation de HCFC dans le cadre du rapport sur la mise en œuvre du programme de pays de 2024 et ces données correspondent aux données déclarées en vertu de l'article 7 du Protocole de Montréal.</w:t>
      </w:r>
    </w:p>
    <w:p w14:paraId="6578D71B" w14:textId="77777777" w:rsidR="00036628" w:rsidRPr="00C47F9D" w:rsidRDefault="00036628" w:rsidP="006538FA">
      <w:pPr>
        <w:pStyle w:val="StyleHeader4Para4Left0Firstline0"/>
        <w:numPr>
          <w:ilvl w:val="0"/>
          <w:numId w:val="0"/>
        </w:numPr>
        <w:rPr>
          <w:b/>
          <w:sz w:val="22"/>
          <w:lang w:val="fr-CA"/>
        </w:rPr>
      </w:pPr>
      <w:r>
        <w:rPr>
          <w:b/>
          <w:sz w:val="22"/>
          <w:lang w:val="fr-CA"/>
        </w:rPr>
        <w:t>Description du projet</w:t>
      </w:r>
    </w:p>
    <w:p w14:paraId="0CDC366F" w14:textId="77777777" w:rsidR="00B7010F" w:rsidRPr="00C47F9D" w:rsidRDefault="00B7010F" w:rsidP="00B7010F">
      <w:pPr>
        <w:spacing w:after="240"/>
        <w:rPr>
          <w:u w:val="single"/>
          <w:lang w:val="fr-CA"/>
        </w:rPr>
      </w:pPr>
      <w:r>
        <w:rPr>
          <w:u w:val="single"/>
          <w:lang w:val="fr-CA"/>
        </w:rPr>
        <w:t>Cadre institutionnel, politique et réglementaire</w:t>
      </w:r>
    </w:p>
    <w:p w14:paraId="28EC9795" w14:textId="510EB0A0" w:rsidR="00A05C23" w:rsidRPr="00C47F9D" w:rsidRDefault="00A05C23" w:rsidP="0058786D">
      <w:pPr>
        <w:pStyle w:val="Heading1"/>
        <w:keepLines/>
        <w:widowControl w:val="0"/>
        <w:rPr>
          <w:lang w:val="fr-CA"/>
        </w:rPr>
      </w:pPr>
      <w:bookmarkStart w:id="1" w:name="_Hlk181100406"/>
      <w:bookmarkStart w:id="2" w:name="_Hlk126934425"/>
      <w:bookmarkStart w:id="3" w:name="_Hlk126663552"/>
      <w:bookmarkStart w:id="4" w:name="_Hlk126662278"/>
      <w:r>
        <w:rPr>
          <w:lang w:val="fr-CA"/>
        </w:rPr>
        <w:t>Le Suriname est membre de l’Organisation régionale pour les normes et la qualité (CROSQ) de la Communauté des Caraïbes (CARICOM). La CROSQ promeut l’harmonisation et la diffusion des normes régionales, soutient la compétitivité et le commerce, et favorise une production durable au sein du marché et de l’économie uniques de la CARICOM. En mars 2019, la CROSQ a publié des normes d'efficacité énergétique des bâtiments afin d'aider les États membres à améliorer la performance énergétique et la conservation de l'énergie. Trois normes d'efficacité énergétique ont ensuite été approuvées par les États membres de la CARICOM en mai 2019.</w:t>
      </w:r>
    </w:p>
    <w:p w14:paraId="75C56AE3" w14:textId="31AD01A8" w:rsidR="00A05C23" w:rsidRPr="00C47F9D" w:rsidRDefault="00A05C23" w:rsidP="0058786D">
      <w:pPr>
        <w:pStyle w:val="Heading1"/>
        <w:keepLines/>
        <w:widowControl w:val="0"/>
        <w:rPr>
          <w:lang w:val="fr-CA"/>
        </w:rPr>
      </w:pPr>
      <w:r>
        <w:rPr>
          <w:lang w:val="fr-CA"/>
        </w:rPr>
        <w:t xml:space="preserve">Le programme régional d’étiquetage énergétique de la CARICOM a établi des normes minimales de performance énergétique (NMPE) et des exigences d’étiquetage pour les ampoules électriques, les réfrigérateurs et les climatiseurs. Le Suriname a également élaboré des normes nationales d’étiquetage en collaboration avec son unité nationale de l’ozone (UNO), le Bureau des normes du Suriname et l’Autorité nationale de l’environnement ; la réglementation est </w:t>
      </w:r>
      <w:proofErr w:type="gramStart"/>
      <w:r>
        <w:rPr>
          <w:lang w:val="fr-CA"/>
        </w:rPr>
        <w:t>actuellement en cours</w:t>
      </w:r>
      <w:proofErr w:type="gramEnd"/>
      <w:r>
        <w:rPr>
          <w:lang w:val="fr-CA"/>
        </w:rPr>
        <w:t xml:space="preserve"> de préparation en vue de sa mise en œuvre.</w:t>
      </w:r>
    </w:p>
    <w:p w14:paraId="45AAB952" w14:textId="1607BFF6" w:rsidR="0066409D" w:rsidRPr="00C47F9D" w:rsidRDefault="00FD1E87" w:rsidP="0058786D">
      <w:pPr>
        <w:pStyle w:val="Heading1"/>
        <w:keepLines/>
        <w:widowControl w:val="0"/>
        <w:rPr>
          <w:lang w:val="fr-CA"/>
        </w:rPr>
      </w:pPr>
      <w:r>
        <w:rPr>
          <w:lang w:val="fr-CA"/>
        </w:rPr>
        <w:t>Lors de l'approbation de la phase II du PGEH, le Comité exécutif a pris note de l'engagement du Gouvernement du Suriname d'interdire l'importation et la vente d'équipements de réfrigération et de climatisation fonctionnant aux HCFC à compter du 1</w:t>
      </w:r>
      <w:r>
        <w:rPr>
          <w:vertAlign w:val="superscript"/>
          <w:lang w:val="fr-CA"/>
        </w:rPr>
        <w:t>er</w:t>
      </w:r>
      <w:r>
        <w:rPr>
          <w:lang w:val="fr-CA"/>
        </w:rPr>
        <w:t xml:space="preserve"> janvier 2025.</w:t>
      </w:r>
      <w:r>
        <w:rPr>
          <w:rStyle w:val="FootnoteReference"/>
        </w:rPr>
        <w:footnoteReference w:id="5"/>
      </w:r>
      <w:r>
        <w:rPr>
          <w:lang w:val="fr-CA"/>
        </w:rPr>
        <w:t xml:space="preserve"> Le PNUE a indiqué que le Gouvernement du Suriname a confirmé qu'une interdiction de l'importation et de la vente d'équipements de réfrigération et de climatisation fonctionnant aux HCFC est entrée en vigueur le 18 avril 2026. </w:t>
      </w:r>
    </w:p>
    <w:p w14:paraId="20728FD9" w14:textId="0AFB698D" w:rsidR="00DD35AC" w:rsidRPr="00C47F9D" w:rsidRDefault="00DD35AC" w:rsidP="005F2472">
      <w:pPr>
        <w:pStyle w:val="Heading1"/>
        <w:keepNext/>
        <w:numPr>
          <w:ilvl w:val="0"/>
          <w:numId w:val="0"/>
        </w:numPr>
        <w:shd w:val="clear" w:color="auto" w:fill="FFFFFF" w:themeFill="background1"/>
        <w:spacing w:before="240"/>
        <w:rPr>
          <w:u w:val="single"/>
          <w:lang w:val="fr-CA"/>
        </w:rPr>
      </w:pPr>
      <w:r>
        <w:rPr>
          <w:u w:val="single"/>
          <w:lang w:val="fr-CA"/>
        </w:rPr>
        <w:t>Objectifs du projet et activités proposées</w:t>
      </w:r>
    </w:p>
    <w:p w14:paraId="00317402" w14:textId="3FB1ABBE" w:rsidR="00B02B4D" w:rsidRPr="00C47F9D" w:rsidRDefault="00B02B4D" w:rsidP="00146A4A">
      <w:pPr>
        <w:pStyle w:val="Heading1"/>
        <w:rPr>
          <w:lang w:val="fr-CA"/>
        </w:rPr>
      </w:pPr>
      <w:r>
        <w:rPr>
          <w:lang w:val="fr-CA"/>
        </w:rPr>
        <w:t xml:space="preserve">Le projet vise à améliorer la coordination et la coopération institutionnelles et à renforcer la capacité afin de garantir que toutes les parties prenantes disposent des connaissances nécessaires pour soutenir l'élaboration, la mise en œuvre et l'application des normes d'efficacité énergétique et du système d'étiquetage. En outre, le projet vise à actualiser la formation et la certification des techniciens afin d'intégrer l'efficacité énergétique et la sécurité des réfrigérants à faible PRP dans les programmes d'études et les compétences de </w:t>
      </w:r>
      <w:proofErr w:type="gramStart"/>
      <w:r>
        <w:rPr>
          <w:lang w:val="fr-CA"/>
        </w:rPr>
        <w:t>certification concernés</w:t>
      </w:r>
      <w:proofErr w:type="gramEnd"/>
      <w:r>
        <w:rPr>
          <w:lang w:val="fr-CA"/>
        </w:rPr>
        <w:t>.</w:t>
      </w:r>
    </w:p>
    <w:p w14:paraId="547F2456" w14:textId="3D0FF1EB" w:rsidR="00036628" w:rsidRPr="00C47F9D" w:rsidRDefault="00036628" w:rsidP="00571BE2">
      <w:pPr>
        <w:pStyle w:val="Heading1"/>
        <w:rPr>
          <w:lang w:val="fr-CA"/>
        </w:rPr>
      </w:pPr>
      <w:bookmarkStart w:id="5" w:name="_Hlk126934504"/>
      <w:bookmarkEnd w:id="1"/>
      <w:bookmarkEnd w:id="2"/>
      <w:bookmarkEnd w:id="3"/>
      <w:bookmarkEnd w:id="4"/>
      <w:r>
        <w:rPr>
          <w:lang w:val="fr-CA"/>
        </w:rPr>
        <w:t xml:space="preserve">La description et la répartition des coûts suggérés des activités pour le maintien de l'efficacité énergétique dans le secteur de l'entretien, et leurs résultats attendus, sont présentés au tableau 2. </w:t>
      </w:r>
    </w:p>
    <w:p w14:paraId="005CC2A9" w14:textId="77777777" w:rsidR="003A5B61" w:rsidRDefault="003A5B61">
      <w:pPr>
        <w:rPr>
          <w:b/>
          <w:bCs/>
          <w:lang w:val="fr-CA"/>
        </w:rPr>
      </w:pPr>
      <w:r>
        <w:rPr>
          <w:b/>
          <w:bCs/>
          <w:lang w:val="fr-CA"/>
        </w:rPr>
        <w:br w:type="page"/>
      </w:r>
    </w:p>
    <w:p w14:paraId="2CA1CD56" w14:textId="7A4D3E52" w:rsidR="00036628" w:rsidRPr="00C47F9D" w:rsidRDefault="00036628" w:rsidP="00036628">
      <w:pPr>
        <w:pStyle w:val="Heading1"/>
        <w:numPr>
          <w:ilvl w:val="0"/>
          <w:numId w:val="0"/>
        </w:numPr>
        <w:spacing w:after="0"/>
        <w:rPr>
          <w:b/>
          <w:bCs/>
          <w:lang w:val="fr-CA"/>
        </w:rPr>
      </w:pPr>
      <w:r>
        <w:rPr>
          <w:b/>
          <w:bCs/>
          <w:lang w:val="fr-CA"/>
        </w:rPr>
        <w:lastRenderedPageBreak/>
        <w:t>Tableau 2. Activités, résultats attendus et financement demandé pour le projet proposé afin de maintenir l'efficacité énergétique pour le secteur de l'entretien au Suriname</w:t>
      </w:r>
    </w:p>
    <w:tbl>
      <w:tblPr>
        <w:tblW w:w="9513" w:type="dxa"/>
        <w:tblLayout w:type="fixed"/>
        <w:tblCellMar>
          <w:left w:w="57" w:type="dxa"/>
          <w:right w:w="57" w:type="dxa"/>
        </w:tblCellMar>
        <w:tblLook w:val="04A0" w:firstRow="1" w:lastRow="0" w:firstColumn="1" w:lastColumn="0" w:noHBand="0" w:noVBand="1"/>
      </w:tblPr>
      <w:tblGrid>
        <w:gridCol w:w="4957"/>
        <w:gridCol w:w="3138"/>
        <w:gridCol w:w="1418"/>
      </w:tblGrid>
      <w:tr w:rsidR="00025609" w:rsidRPr="00716BA5" w14:paraId="7B5F1936" w14:textId="77777777" w:rsidTr="00F72C54">
        <w:trPr>
          <w:trHeight w:val="509"/>
          <w:tblHeader/>
        </w:trPr>
        <w:tc>
          <w:tcPr>
            <w:tcW w:w="4957" w:type="dxa"/>
            <w:tcBorders>
              <w:top w:val="single" w:sz="4" w:space="0" w:color="auto"/>
              <w:left w:val="single" w:sz="4" w:space="0" w:color="auto"/>
              <w:bottom w:val="single" w:sz="4" w:space="0" w:color="auto"/>
              <w:right w:val="single" w:sz="4" w:space="0" w:color="auto"/>
            </w:tcBorders>
            <w:vAlign w:val="center"/>
            <w:hideMark/>
          </w:tcPr>
          <w:p w14:paraId="5D4D1D6C" w14:textId="77777777" w:rsidR="00025609" w:rsidRPr="001A358B" w:rsidRDefault="00025609" w:rsidP="005F6719">
            <w:pPr>
              <w:widowControl w:val="0"/>
              <w:jc w:val="center"/>
              <w:rPr>
                <w:b/>
                <w:bCs/>
                <w:sz w:val="20"/>
                <w:szCs w:val="20"/>
                <w:lang w:eastAsia="en-CA"/>
              </w:rPr>
            </w:pPr>
            <w:proofErr w:type="spellStart"/>
            <w:r>
              <w:rPr>
                <w:b/>
                <w:bCs/>
                <w:sz w:val="20"/>
                <w:szCs w:val="20"/>
                <w:lang w:eastAsia="en-CA"/>
              </w:rPr>
              <w:t>Activité</w:t>
            </w:r>
            <w:proofErr w:type="spellEnd"/>
          </w:p>
        </w:tc>
        <w:tc>
          <w:tcPr>
            <w:tcW w:w="3138" w:type="dxa"/>
            <w:tcBorders>
              <w:top w:val="single" w:sz="4" w:space="0" w:color="auto"/>
              <w:left w:val="nil"/>
              <w:bottom w:val="single" w:sz="4" w:space="0" w:color="auto"/>
              <w:right w:val="single" w:sz="4" w:space="0" w:color="auto"/>
            </w:tcBorders>
            <w:vAlign w:val="center"/>
            <w:hideMark/>
          </w:tcPr>
          <w:p w14:paraId="726E9C30" w14:textId="77777777" w:rsidR="00025609" w:rsidRPr="001A358B" w:rsidRDefault="00025609" w:rsidP="005F6719">
            <w:pPr>
              <w:jc w:val="center"/>
              <w:rPr>
                <w:b/>
                <w:bCs/>
                <w:sz w:val="20"/>
                <w:szCs w:val="20"/>
                <w:lang w:eastAsia="en-CA"/>
              </w:rPr>
            </w:pPr>
            <w:proofErr w:type="spellStart"/>
            <w:r>
              <w:rPr>
                <w:b/>
                <w:bCs/>
                <w:sz w:val="20"/>
                <w:szCs w:val="20"/>
                <w:lang w:eastAsia="en-CA"/>
              </w:rPr>
              <w:t>Résultats</w:t>
            </w:r>
            <w:proofErr w:type="spellEnd"/>
            <w:r>
              <w:rPr>
                <w:b/>
                <w:bCs/>
                <w:sz w:val="20"/>
                <w:szCs w:val="20"/>
                <w:lang w:eastAsia="en-CA"/>
              </w:rPr>
              <w:t xml:space="preserve"> </w:t>
            </w:r>
            <w:proofErr w:type="spellStart"/>
            <w:r>
              <w:rPr>
                <w:b/>
                <w:bCs/>
                <w:sz w:val="20"/>
                <w:szCs w:val="20"/>
                <w:lang w:eastAsia="en-CA"/>
              </w:rPr>
              <w:t>attendus</w:t>
            </w:r>
            <w:proofErr w:type="spellEnd"/>
            <w:r>
              <w:rPr>
                <w:b/>
                <w:bCs/>
                <w:sz w:val="20"/>
                <w:szCs w:val="20"/>
                <w:lang w:eastAsia="en-CA"/>
              </w:rPr>
              <w:t xml:space="preserve"> / </w:t>
            </w:r>
            <w:proofErr w:type="spellStart"/>
            <w:r>
              <w:rPr>
                <w:b/>
                <w:bCs/>
                <w:sz w:val="20"/>
                <w:szCs w:val="20"/>
                <w:lang w:eastAsia="en-CA"/>
              </w:rPr>
              <w:t>indicateurs</w:t>
            </w:r>
            <w:proofErr w:type="spellEnd"/>
            <w:r>
              <w:rPr>
                <w:b/>
                <w:bCs/>
                <w:sz w:val="20"/>
                <w:szCs w:val="20"/>
                <w:lang w:eastAsia="en-CA"/>
              </w:rPr>
              <w:t xml:space="preserve"> </w:t>
            </w:r>
            <w:proofErr w:type="spellStart"/>
            <w:r>
              <w:rPr>
                <w:b/>
                <w:bCs/>
                <w:sz w:val="20"/>
                <w:szCs w:val="20"/>
                <w:lang w:eastAsia="en-CA"/>
              </w:rPr>
              <w:t>d'efficacité</w:t>
            </w:r>
            <w:proofErr w:type="spellEnd"/>
          </w:p>
        </w:tc>
        <w:tc>
          <w:tcPr>
            <w:tcW w:w="1418" w:type="dxa"/>
            <w:tcBorders>
              <w:top w:val="single" w:sz="4" w:space="0" w:color="auto"/>
              <w:left w:val="nil"/>
              <w:bottom w:val="single" w:sz="4" w:space="0" w:color="auto"/>
              <w:right w:val="single" w:sz="4" w:space="0" w:color="auto"/>
            </w:tcBorders>
            <w:vAlign w:val="center"/>
            <w:hideMark/>
          </w:tcPr>
          <w:p w14:paraId="186AC31E" w14:textId="77777777" w:rsidR="00025609" w:rsidRPr="00C47F9D" w:rsidRDefault="00025609" w:rsidP="005F6719">
            <w:pPr>
              <w:jc w:val="center"/>
              <w:rPr>
                <w:b/>
                <w:bCs/>
                <w:sz w:val="20"/>
                <w:szCs w:val="20"/>
                <w:lang w:val="fr-CA" w:eastAsia="en-CA"/>
              </w:rPr>
            </w:pPr>
            <w:r>
              <w:rPr>
                <w:b/>
                <w:bCs/>
                <w:sz w:val="20"/>
                <w:szCs w:val="20"/>
                <w:lang w:val="fr-CA" w:eastAsia="en-CA"/>
              </w:rPr>
              <w:t>Coût tel que soumis</w:t>
            </w:r>
          </w:p>
          <w:p w14:paraId="52CC1C1B" w14:textId="77777777" w:rsidR="00025609" w:rsidRPr="00C47F9D" w:rsidRDefault="00025609" w:rsidP="005F6719">
            <w:pPr>
              <w:jc w:val="center"/>
              <w:rPr>
                <w:b/>
                <w:bCs/>
                <w:sz w:val="20"/>
                <w:szCs w:val="20"/>
                <w:lang w:val="fr-CA" w:eastAsia="en-CA"/>
              </w:rPr>
            </w:pPr>
            <w:r>
              <w:rPr>
                <w:b/>
                <w:bCs/>
                <w:sz w:val="20"/>
                <w:szCs w:val="20"/>
                <w:lang w:val="fr-CA" w:eastAsia="en-CA"/>
              </w:rPr>
              <w:t>($US)</w:t>
            </w:r>
          </w:p>
        </w:tc>
      </w:tr>
      <w:tr w:rsidR="00025609" w:rsidRPr="00716BA5" w14:paraId="4E22BD3E" w14:textId="77777777" w:rsidTr="005F6719">
        <w:trPr>
          <w:trHeight w:val="124"/>
        </w:trPr>
        <w:tc>
          <w:tcPr>
            <w:tcW w:w="9513" w:type="dxa"/>
            <w:gridSpan w:val="3"/>
            <w:tcBorders>
              <w:top w:val="single" w:sz="4" w:space="0" w:color="auto"/>
              <w:left w:val="single" w:sz="4" w:space="0" w:color="auto"/>
              <w:bottom w:val="single" w:sz="4" w:space="0" w:color="auto"/>
              <w:right w:val="single" w:sz="4" w:space="0" w:color="auto"/>
            </w:tcBorders>
            <w:hideMark/>
          </w:tcPr>
          <w:p w14:paraId="0A5731EB" w14:textId="77777777" w:rsidR="00025609" w:rsidRPr="00C47F9D" w:rsidRDefault="00025609" w:rsidP="001A358B">
            <w:pPr>
              <w:pStyle w:val="ListParagraph"/>
              <w:widowControl w:val="0"/>
              <w:numPr>
                <w:ilvl w:val="0"/>
                <w:numId w:val="9"/>
              </w:numPr>
              <w:spacing w:after="60"/>
              <w:ind w:left="357" w:hanging="357"/>
              <w:contextualSpacing w:val="0"/>
              <w:jc w:val="left"/>
              <w:rPr>
                <w:b/>
                <w:bCs/>
                <w:sz w:val="20"/>
                <w:szCs w:val="20"/>
                <w:lang w:val="fr-CA" w:eastAsia="en-CA"/>
              </w:rPr>
            </w:pPr>
            <w:r>
              <w:rPr>
                <w:b/>
                <w:bCs/>
                <w:sz w:val="20"/>
                <w:szCs w:val="20"/>
                <w:lang w:val="fr-CA"/>
              </w:rPr>
              <w:t>Coordination et coopération institutionnelles pour soutenir la mise en place des NMPE et la mise en œuvre du système d'étiquetage énergétique</w:t>
            </w:r>
          </w:p>
        </w:tc>
      </w:tr>
      <w:tr w:rsidR="00025609" w:rsidRPr="0054757B" w14:paraId="3A78F356" w14:textId="77777777" w:rsidTr="00F72C54">
        <w:trPr>
          <w:trHeight w:val="124"/>
        </w:trPr>
        <w:tc>
          <w:tcPr>
            <w:tcW w:w="4957" w:type="dxa"/>
            <w:tcBorders>
              <w:top w:val="single" w:sz="4" w:space="0" w:color="auto"/>
              <w:left w:val="single" w:sz="4" w:space="0" w:color="auto"/>
              <w:bottom w:val="single" w:sz="4" w:space="0" w:color="auto"/>
              <w:right w:val="single" w:sz="4" w:space="0" w:color="auto"/>
            </w:tcBorders>
          </w:tcPr>
          <w:p w14:paraId="27387981" w14:textId="72B35AE9" w:rsidR="00025609" w:rsidRPr="00C47F9D" w:rsidRDefault="00E51860" w:rsidP="001A358B">
            <w:pPr>
              <w:pStyle w:val="ListParagraph"/>
              <w:widowControl w:val="0"/>
              <w:numPr>
                <w:ilvl w:val="1"/>
                <w:numId w:val="7"/>
              </w:numPr>
              <w:ind w:left="357" w:hanging="357"/>
              <w:contextualSpacing w:val="0"/>
              <w:jc w:val="left"/>
              <w:rPr>
                <w:sz w:val="20"/>
                <w:szCs w:val="20"/>
                <w:lang w:val="fr-CA" w:eastAsia="en-CA"/>
              </w:rPr>
            </w:pPr>
            <w:r>
              <w:rPr>
                <w:sz w:val="20"/>
                <w:szCs w:val="20"/>
                <w:lang w:val="fr-CA" w:eastAsia="en-CA"/>
              </w:rPr>
              <w:t xml:space="preserve">Ateliers de sensibilisation à l'intention des principales parties prenantes sur les avantages des NMPE et des programmes d'étiquetage, les meilleures pratiques internationales, la mise en œuvre de l'adoption des NMPE, la mise en œuvre du programme d'étiquetage et les NMPE régionaux de la CARICOM, couvrant le déploiement prévu, les conséquences et les opportunités pour le Suriname (10 000 $US) ; </w:t>
            </w:r>
          </w:p>
          <w:p w14:paraId="1D4F45A6" w14:textId="18544689" w:rsidR="0035173D" w:rsidRPr="00C47F9D" w:rsidRDefault="0035173D" w:rsidP="001A358B">
            <w:pPr>
              <w:pStyle w:val="ListParagraph"/>
              <w:widowControl w:val="0"/>
              <w:numPr>
                <w:ilvl w:val="1"/>
                <w:numId w:val="7"/>
              </w:numPr>
              <w:ind w:left="357" w:hanging="357"/>
              <w:contextualSpacing w:val="0"/>
              <w:jc w:val="left"/>
              <w:rPr>
                <w:sz w:val="20"/>
                <w:szCs w:val="20"/>
                <w:lang w:val="fr-CA" w:eastAsia="en-CA"/>
              </w:rPr>
            </w:pPr>
            <w:r>
              <w:rPr>
                <w:sz w:val="20"/>
                <w:szCs w:val="20"/>
                <w:lang w:val="fr-CA" w:eastAsia="en-CA"/>
              </w:rPr>
              <w:t xml:space="preserve">Mettre en place un groupe de coordination dirigé par l'UNO, composé d'agences gouvernementales et de parties prenantes concernées, qui se réunira régulièrement pour échanger des connaissances, parvenir à un consensus, évaluer le potentiel des systèmes de refroidissement à </w:t>
            </w:r>
            <w:r w:rsidR="008E11EC" w:rsidRPr="008E11EC">
              <w:rPr>
                <w:sz w:val="20"/>
                <w:szCs w:val="20"/>
                <w:lang w:val="fr-CA" w:eastAsia="en-CA"/>
              </w:rPr>
              <w:t>haute efficacité énergétique</w:t>
            </w:r>
            <w:r>
              <w:rPr>
                <w:sz w:val="20"/>
                <w:szCs w:val="20"/>
                <w:lang w:val="fr-CA" w:eastAsia="en-CA"/>
              </w:rPr>
              <w:t xml:space="preserve"> utilisant des réfrigérants à faible PRP au Suriname, et identifier les outils et ressources nécessaires à l'introduction efficace des NMPE et des systèmes d'étiquetage d'efficacité énergétique, ainsi que les secteurs où les applications de refroidissement à </w:t>
            </w:r>
            <w:r w:rsidR="008E11EC" w:rsidRPr="008E11EC">
              <w:rPr>
                <w:sz w:val="20"/>
                <w:szCs w:val="20"/>
                <w:lang w:val="fr-CA" w:eastAsia="en-CA"/>
              </w:rPr>
              <w:t>haute efficacité énergétique</w:t>
            </w:r>
            <w:r>
              <w:rPr>
                <w:sz w:val="20"/>
                <w:szCs w:val="20"/>
                <w:lang w:val="fr-CA" w:eastAsia="en-CA"/>
              </w:rPr>
              <w:t xml:space="preserve"> peuvent être prioritaires ( 10 000 $US) ; </w:t>
            </w:r>
          </w:p>
          <w:p w14:paraId="4917C21E" w14:textId="7D28E434" w:rsidR="006F6F17" w:rsidRPr="00C47F9D" w:rsidRDefault="006F6F17" w:rsidP="00663884">
            <w:pPr>
              <w:pStyle w:val="ListParagraph"/>
              <w:widowControl w:val="0"/>
              <w:numPr>
                <w:ilvl w:val="1"/>
                <w:numId w:val="7"/>
              </w:numPr>
              <w:ind w:left="357" w:hanging="357"/>
              <w:contextualSpacing w:val="0"/>
              <w:jc w:val="left"/>
              <w:rPr>
                <w:rFonts w:eastAsiaTheme="minorEastAsia"/>
                <w:sz w:val="20"/>
                <w:szCs w:val="20"/>
                <w:lang w:val="fr-CA" w:eastAsia="en-CA"/>
              </w:rPr>
            </w:pPr>
            <w:r>
              <w:rPr>
                <w:sz w:val="20"/>
                <w:szCs w:val="20"/>
                <w:lang w:val="fr-CA" w:eastAsia="en-CA"/>
              </w:rPr>
              <w:t xml:space="preserve">Élaborer et publier une feuille de route des mesures réglementaires qui seront nécessaires pour soutenir la mise en place et la mise en œuvre à grande échelle des NMPE et du programme d’étiquetage, y compris les rôles et responsabilités des différents ministères et agences du Gouvernement, ainsi qu’un calendrier de mise en œuvre (10 000 $US) ; </w:t>
            </w:r>
            <w:r>
              <w:rPr>
                <w:rFonts w:eastAsiaTheme="minorEastAsia"/>
                <w:sz w:val="20"/>
                <w:szCs w:val="20"/>
                <w:lang w:val="fr-CA" w:eastAsia="en-CA"/>
              </w:rPr>
              <w:t>et</w:t>
            </w:r>
          </w:p>
          <w:p w14:paraId="2D1C6EC1" w14:textId="5622B5E5" w:rsidR="0054757B" w:rsidRPr="00C47F9D" w:rsidRDefault="00E332DA" w:rsidP="001A358B">
            <w:pPr>
              <w:pStyle w:val="ListParagraph"/>
              <w:widowControl w:val="0"/>
              <w:numPr>
                <w:ilvl w:val="1"/>
                <w:numId w:val="7"/>
              </w:numPr>
              <w:ind w:left="357" w:hanging="357"/>
              <w:contextualSpacing w:val="0"/>
              <w:jc w:val="left"/>
              <w:rPr>
                <w:sz w:val="20"/>
                <w:szCs w:val="20"/>
                <w:lang w:val="fr-CA"/>
              </w:rPr>
            </w:pPr>
            <w:r>
              <w:rPr>
                <w:sz w:val="20"/>
                <w:szCs w:val="20"/>
                <w:lang w:val="fr-CA" w:eastAsia="en-CA"/>
              </w:rPr>
              <w:t>Élaborer et publier une évaluation nationale des économies d'énergie potentielles grâce à l'utilisation d'appareils de refroidissement à haute efficacité énergétique dans les ménages et dans les secteurs prioritaires, y compris la détermination de la référence et l'évaluation de la demande du secteur RAC au Suriname (20 000 $US).</w:t>
            </w:r>
          </w:p>
        </w:tc>
        <w:tc>
          <w:tcPr>
            <w:tcW w:w="3138" w:type="dxa"/>
            <w:tcBorders>
              <w:top w:val="single" w:sz="4" w:space="0" w:color="auto"/>
              <w:left w:val="single" w:sz="4" w:space="0" w:color="auto"/>
              <w:bottom w:val="single" w:sz="4" w:space="0" w:color="auto"/>
              <w:right w:val="single" w:sz="4" w:space="0" w:color="auto"/>
            </w:tcBorders>
          </w:tcPr>
          <w:p w14:paraId="3723EB0C" w14:textId="6045C648" w:rsidR="00DE5D9F" w:rsidRPr="00C47F9D" w:rsidRDefault="00DE5D9F" w:rsidP="001A358B">
            <w:pPr>
              <w:pStyle w:val="ListParagraph"/>
              <w:widowControl w:val="0"/>
              <w:numPr>
                <w:ilvl w:val="0"/>
                <w:numId w:val="6"/>
              </w:numPr>
              <w:ind w:left="334" w:hanging="289"/>
              <w:contextualSpacing w:val="0"/>
              <w:jc w:val="left"/>
              <w:rPr>
                <w:sz w:val="20"/>
                <w:szCs w:val="20"/>
                <w:lang w:val="fr-CA" w:eastAsia="en-CA"/>
              </w:rPr>
            </w:pPr>
            <w:r>
              <w:rPr>
                <w:sz w:val="20"/>
                <w:szCs w:val="20"/>
                <w:lang w:val="fr-CA" w:eastAsia="en-CA"/>
              </w:rPr>
              <w:t>Une campagne de sensibilisation spécifique à l'efficacité énergétique au sein du Gouvernement du Suriname, qui comprendra un état des lieux des labels existants et une évaluation de leurs avantages potentiels pour le profil énergétique et les émissions du pays en cas de mise en œuvre réussie.</w:t>
            </w:r>
          </w:p>
          <w:p w14:paraId="7CCA4BC3" w14:textId="77777777" w:rsidR="00BE45A6" w:rsidRPr="00C47F9D" w:rsidRDefault="00BE45A6" w:rsidP="001A358B">
            <w:pPr>
              <w:pStyle w:val="ListParagraph"/>
              <w:widowControl w:val="0"/>
              <w:numPr>
                <w:ilvl w:val="0"/>
                <w:numId w:val="6"/>
              </w:numPr>
              <w:ind w:left="334" w:hanging="289"/>
              <w:contextualSpacing w:val="0"/>
              <w:jc w:val="left"/>
              <w:rPr>
                <w:sz w:val="20"/>
                <w:szCs w:val="20"/>
                <w:lang w:val="fr-CA" w:eastAsia="en-CA"/>
              </w:rPr>
            </w:pPr>
            <w:r>
              <w:rPr>
                <w:sz w:val="20"/>
                <w:szCs w:val="20"/>
                <w:lang w:val="fr-CA" w:eastAsia="en-CA"/>
              </w:rPr>
              <w:t>Trois ateliers de sensibilisation réunissant chacun 20 participants, visant une participation féminine pouvant atteindre 30 %.</w:t>
            </w:r>
          </w:p>
          <w:p w14:paraId="6140D444" w14:textId="53B34C6B" w:rsidR="00025609" w:rsidRPr="00C47F9D" w:rsidRDefault="00664B41" w:rsidP="001A358B">
            <w:pPr>
              <w:pStyle w:val="ListParagraph"/>
              <w:widowControl w:val="0"/>
              <w:numPr>
                <w:ilvl w:val="0"/>
                <w:numId w:val="6"/>
              </w:numPr>
              <w:ind w:left="334" w:hanging="289"/>
              <w:contextualSpacing w:val="0"/>
              <w:jc w:val="left"/>
              <w:rPr>
                <w:sz w:val="20"/>
                <w:szCs w:val="20"/>
                <w:lang w:val="fr-CA" w:eastAsia="en-CA"/>
              </w:rPr>
            </w:pPr>
            <w:r>
              <w:rPr>
                <w:sz w:val="20"/>
                <w:szCs w:val="20"/>
                <w:lang w:val="fr-CA" w:eastAsia="en-CA"/>
              </w:rPr>
              <w:t>Un mécanisme national de coordination sur l'efficacité énergétique des appareils utilisant des fluides réfrigérants afin de coordonner les principales parties prenantes, notamment les services des douanes et du contrôle aux frontières, les importateurs et les grossistes, les ministères de l'Énergie, de l'Agriculture et de l'Industrie, les agences de statistiques et de normalisation, ainsi que d'autres parties prenantes concernées.</w:t>
            </w:r>
          </w:p>
          <w:p w14:paraId="1A68B3DF" w14:textId="42A0C6A2" w:rsidR="0035173D" w:rsidRPr="00C47F9D" w:rsidRDefault="0035173D" w:rsidP="001A358B">
            <w:pPr>
              <w:pStyle w:val="ListParagraph"/>
              <w:widowControl w:val="0"/>
              <w:numPr>
                <w:ilvl w:val="0"/>
                <w:numId w:val="6"/>
              </w:numPr>
              <w:ind w:left="334" w:hanging="289"/>
              <w:contextualSpacing w:val="0"/>
              <w:jc w:val="left"/>
              <w:rPr>
                <w:sz w:val="20"/>
                <w:szCs w:val="20"/>
                <w:lang w:val="fr-CA" w:eastAsia="en-CA"/>
              </w:rPr>
            </w:pPr>
            <w:r>
              <w:rPr>
                <w:sz w:val="20"/>
                <w:szCs w:val="20"/>
                <w:lang w:val="fr-CA" w:eastAsia="en-CA"/>
              </w:rPr>
              <w:t>Une feuille de route politique et réglementaire élaborée en collaboration pour soutenir la mise en place et la mise en œuvre des NMPE et de l'étiquetage, y compris la rédaction des dispositions requises dans la loi-cadre sur l'environnement et la loi sur l'énergie ainsi que dans les règlements dérivés.</w:t>
            </w:r>
          </w:p>
          <w:p w14:paraId="36D1A4CD" w14:textId="07FD3369" w:rsidR="00F72C54" w:rsidRPr="00F72C54" w:rsidRDefault="00B60324" w:rsidP="00F72C54">
            <w:pPr>
              <w:pStyle w:val="ListParagraph"/>
              <w:widowControl w:val="0"/>
              <w:numPr>
                <w:ilvl w:val="0"/>
                <w:numId w:val="6"/>
              </w:numPr>
              <w:ind w:left="334" w:hanging="289"/>
              <w:contextualSpacing w:val="0"/>
              <w:jc w:val="left"/>
              <w:rPr>
                <w:sz w:val="20"/>
                <w:szCs w:val="20"/>
                <w:lang w:val="fr-CA"/>
              </w:rPr>
            </w:pPr>
            <w:r>
              <w:rPr>
                <w:sz w:val="20"/>
                <w:szCs w:val="20"/>
                <w:lang w:val="fr-CA" w:eastAsia="en-CA"/>
              </w:rPr>
              <w:t>Des évaluations nationales des systèmes de refroidissement à faible PRP et à haute efficacité énergétique afin d'établir la demande de référence et d'évaluer les avantages de l'utilisation d'applications de refroidissement à haute efficacité énergétique.</w:t>
            </w:r>
          </w:p>
        </w:tc>
        <w:tc>
          <w:tcPr>
            <w:tcW w:w="1418" w:type="dxa"/>
            <w:tcBorders>
              <w:top w:val="single" w:sz="4" w:space="0" w:color="auto"/>
              <w:left w:val="single" w:sz="4" w:space="0" w:color="auto"/>
              <w:bottom w:val="single" w:sz="4" w:space="0" w:color="auto"/>
              <w:right w:val="single" w:sz="4" w:space="0" w:color="auto"/>
            </w:tcBorders>
          </w:tcPr>
          <w:p w14:paraId="667891A9" w14:textId="674A572C" w:rsidR="00025609" w:rsidRPr="001A358B" w:rsidRDefault="0054757B" w:rsidP="0054757B">
            <w:pPr>
              <w:widowControl w:val="0"/>
              <w:ind w:left="510"/>
              <w:jc w:val="left"/>
              <w:rPr>
                <w:sz w:val="20"/>
                <w:szCs w:val="20"/>
              </w:rPr>
            </w:pPr>
            <w:r>
              <w:rPr>
                <w:sz w:val="20"/>
                <w:szCs w:val="20"/>
              </w:rPr>
              <w:t>50 000</w:t>
            </w:r>
          </w:p>
        </w:tc>
      </w:tr>
      <w:tr w:rsidR="00025609" w:rsidRPr="00716BA5" w14:paraId="0425EE37" w14:textId="77777777" w:rsidTr="005F6719">
        <w:trPr>
          <w:trHeight w:val="180"/>
        </w:trPr>
        <w:tc>
          <w:tcPr>
            <w:tcW w:w="9513" w:type="dxa"/>
            <w:gridSpan w:val="3"/>
            <w:tcBorders>
              <w:top w:val="nil"/>
              <w:left w:val="single" w:sz="4" w:space="0" w:color="auto"/>
              <w:bottom w:val="single" w:sz="4" w:space="0" w:color="auto"/>
              <w:right w:val="single" w:sz="4" w:space="0" w:color="auto"/>
            </w:tcBorders>
          </w:tcPr>
          <w:p w14:paraId="2CA6555F" w14:textId="77777777" w:rsidR="00025609" w:rsidRPr="00C47F9D" w:rsidRDefault="00025609" w:rsidP="00195CC8">
            <w:pPr>
              <w:pStyle w:val="ListParagraph"/>
              <w:numPr>
                <w:ilvl w:val="0"/>
                <w:numId w:val="9"/>
              </w:numPr>
              <w:spacing w:after="60"/>
              <w:ind w:left="357" w:hanging="357"/>
              <w:jc w:val="left"/>
              <w:rPr>
                <w:b/>
                <w:bCs/>
                <w:sz w:val="20"/>
                <w:szCs w:val="20"/>
                <w:lang w:val="fr-CA" w:eastAsia="en-CA"/>
              </w:rPr>
            </w:pPr>
            <w:r>
              <w:rPr>
                <w:b/>
                <w:bCs/>
                <w:sz w:val="20"/>
                <w:szCs w:val="20"/>
                <w:lang w:val="fr-CA" w:eastAsia="en-CA"/>
              </w:rPr>
              <w:lastRenderedPageBreak/>
              <w:t>Mise à jour de la formation et de la certification des techniciens afin d'y inclure l'efficacité énergétique et la sécurité des réfrigérants</w:t>
            </w:r>
          </w:p>
        </w:tc>
      </w:tr>
      <w:tr w:rsidR="00025609" w:rsidRPr="0054757B" w14:paraId="5EFC6966" w14:textId="77777777" w:rsidTr="00F72C54">
        <w:trPr>
          <w:trHeight w:val="939"/>
        </w:trPr>
        <w:tc>
          <w:tcPr>
            <w:tcW w:w="4957" w:type="dxa"/>
            <w:tcBorders>
              <w:top w:val="nil"/>
              <w:left w:val="single" w:sz="4" w:space="0" w:color="auto"/>
              <w:bottom w:val="single" w:sz="4" w:space="0" w:color="auto"/>
              <w:right w:val="single" w:sz="4" w:space="0" w:color="auto"/>
            </w:tcBorders>
          </w:tcPr>
          <w:p w14:paraId="2971D229" w14:textId="7AB18923" w:rsidR="00025609" w:rsidRPr="00C47F9D" w:rsidRDefault="00685BBB" w:rsidP="00D3346A">
            <w:pPr>
              <w:pStyle w:val="ListParagraph"/>
              <w:widowControl w:val="0"/>
              <w:numPr>
                <w:ilvl w:val="1"/>
                <w:numId w:val="9"/>
              </w:numPr>
              <w:ind w:left="385" w:hanging="385"/>
              <w:jc w:val="left"/>
              <w:rPr>
                <w:sz w:val="20"/>
                <w:szCs w:val="20"/>
                <w:lang w:val="fr-CA" w:eastAsia="en-CA"/>
              </w:rPr>
            </w:pPr>
            <w:r>
              <w:rPr>
                <w:sz w:val="20"/>
                <w:szCs w:val="20"/>
                <w:lang w:val="fr-CA" w:eastAsia="en-CA"/>
              </w:rPr>
              <w:t>Soutenir l'ajout de modules sur l'efficacité énergétique au programme de formation des techniciens du PGEH existant, y compris la familiarisation avec les étiquettes et les avantages des gains d'efficacité énergétique, et l'intégration d'applications sectorielles telles que l'installation et l'entretien dans les installations minières/pétrolières, la pêche et l'agriculture (entreposage réfrigéré/chaîne du froid), les bâtiments commerciaux et les installations touristiques ; et traduire en néerlandais les supports de formation pertinents existants (20 000 $US) ;</w:t>
            </w:r>
          </w:p>
          <w:p w14:paraId="61F50017" w14:textId="1A8F2631" w:rsidR="003A2CA4" w:rsidRPr="00C47F9D" w:rsidRDefault="00375D5D" w:rsidP="00D3346A">
            <w:pPr>
              <w:pStyle w:val="ListParagraph"/>
              <w:numPr>
                <w:ilvl w:val="1"/>
                <w:numId w:val="9"/>
              </w:numPr>
              <w:ind w:left="360"/>
              <w:contextualSpacing w:val="0"/>
              <w:jc w:val="left"/>
              <w:rPr>
                <w:sz w:val="20"/>
                <w:szCs w:val="20"/>
                <w:lang w:val="fr-CA" w:eastAsia="en-CA"/>
              </w:rPr>
            </w:pPr>
            <w:r>
              <w:rPr>
                <w:sz w:val="20"/>
                <w:szCs w:val="20"/>
                <w:lang w:val="fr-CA" w:eastAsia="en-CA"/>
              </w:rPr>
              <w:t>Soutenir l'intégration des compétences en matière d'efficacité énergétique et de PRP dans le futur système national de certification, y compris la coordination de la formation et de la certification pour les systèmes de réfrigération, de climatisation et de ventilation (RAC) entre l'UNO, l'autorité chargée de l'efficacité énergétique, l'autorité nationale chargée de l'enseignement et de la formation techniques et professionnels (EFTP) et les établissements de formation afin de planifier cette intégration ; rédiger les normes de compétences de certification pour les systèmes RAC en intégrant les modules sur l'efficacité énergétique et le faible PRP (15 000 $US) ; et</w:t>
            </w:r>
          </w:p>
          <w:p w14:paraId="7E5FBD30" w14:textId="78551604" w:rsidR="00025609" w:rsidRPr="00C47F9D" w:rsidRDefault="00F921F1" w:rsidP="00D3346A">
            <w:pPr>
              <w:pStyle w:val="ListParagraph"/>
              <w:widowControl w:val="0"/>
              <w:numPr>
                <w:ilvl w:val="1"/>
                <w:numId w:val="9"/>
              </w:numPr>
              <w:ind w:left="357" w:hanging="357"/>
              <w:contextualSpacing w:val="0"/>
              <w:jc w:val="left"/>
              <w:rPr>
                <w:sz w:val="20"/>
                <w:szCs w:val="20"/>
                <w:lang w:val="fr-CA" w:eastAsia="en-CA"/>
              </w:rPr>
            </w:pPr>
            <w:r>
              <w:rPr>
                <w:sz w:val="20"/>
                <w:szCs w:val="20"/>
                <w:lang w:val="fr-CA" w:eastAsia="en-CA"/>
              </w:rPr>
              <w:t xml:space="preserve">Former les formateurs à dispenser efficacement le programme d'études actualisé ; former les techniciens en équipements de réfrigération et de climatisation en centrant l'attention sur les modules d'efficacité énergétique et de faible </w:t>
            </w:r>
            <w:r w:rsidR="008C03F9">
              <w:rPr>
                <w:sz w:val="20"/>
                <w:szCs w:val="20"/>
                <w:lang w:val="fr-CA" w:eastAsia="en-CA"/>
              </w:rPr>
              <w:t>PRP</w:t>
            </w:r>
            <w:r>
              <w:rPr>
                <w:sz w:val="20"/>
                <w:szCs w:val="20"/>
                <w:lang w:val="fr-CA" w:eastAsia="en-CA"/>
              </w:rPr>
              <w:t>, et aider les centres nationaux de certification à organiser des examens et à certifier la première promotion de techniciens (15 000 $US).</w:t>
            </w:r>
          </w:p>
        </w:tc>
        <w:tc>
          <w:tcPr>
            <w:tcW w:w="3138" w:type="dxa"/>
            <w:tcBorders>
              <w:top w:val="nil"/>
              <w:left w:val="nil"/>
              <w:bottom w:val="single" w:sz="4" w:space="0" w:color="auto"/>
              <w:right w:val="single" w:sz="4" w:space="0" w:color="auto"/>
            </w:tcBorders>
          </w:tcPr>
          <w:p w14:paraId="273590E9" w14:textId="2E8B33EF" w:rsidR="005E3F51" w:rsidRPr="00C47F9D" w:rsidRDefault="005E3F51" w:rsidP="001A358B">
            <w:pPr>
              <w:pStyle w:val="ListParagraph"/>
              <w:widowControl w:val="0"/>
              <w:numPr>
                <w:ilvl w:val="0"/>
                <w:numId w:val="6"/>
              </w:numPr>
              <w:ind w:left="334" w:hanging="289"/>
              <w:contextualSpacing w:val="0"/>
              <w:jc w:val="left"/>
              <w:rPr>
                <w:sz w:val="20"/>
                <w:szCs w:val="20"/>
                <w:lang w:val="fr-CA" w:eastAsia="en-CA"/>
              </w:rPr>
            </w:pPr>
            <w:r>
              <w:rPr>
                <w:sz w:val="20"/>
                <w:szCs w:val="20"/>
                <w:lang w:val="fr-CA" w:eastAsia="en-CA"/>
              </w:rPr>
              <w:t>Modules sur l'efficacité énergétique, le faible PRP et l'étiquetage énergétique en néerlandais, intégrés à la formation existante du PGEH, mettant l'accent sur les diverses applications sectorielles du Suriname.</w:t>
            </w:r>
          </w:p>
          <w:p w14:paraId="6A27C497" w14:textId="77777777" w:rsidR="005E3F51" w:rsidRPr="00C47F9D" w:rsidRDefault="005E3F51" w:rsidP="001A358B">
            <w:pPr>
              <w:pStyle w:val="ListParagraph"/>
              <w:widowControl w:val="0"/>
              <w:numPr>
                <w:ilvl w:val="0"/>
                <w:numId w:val="6"/>
              </w:numPr>
              <w:ind w:left="334" w:hanging="289"/>
              <w:contextualSpacing w:val="0"/>
              <w:jc w:val="left"/>
              <w:rPr>
                <w:sz w:val="20"/>
                <w:szCs w:val="20"/>
                <w:lang w:val="fr-CA" w:eastAsia="en-CA"/>
              </w:rPr>
            </w:pPr>
            <w:r>
              <w:rPr>
                <w:sz w:val="20"/>
                <w:szCs w:val="20"/>
                <w:lang w:val="fr-CA" w:eastAsia="en-CA"/>
              </w:rPr>
              <w:t>Un cadre national de certification des compétences intégrant des normes de compétence en matière d'efficacité énergétique et de faible PRP.</w:t>
            </w:r>
          </w:p>
          <w:p w14:paraId="35F016E5" w14:textId="45BE2C32" w:rsidR="00B512F7" w:rsidRPr="00C47F9D" w:rsidRDefault="004D371E" w:rsidP="001A358B">
            <w:pPr>
              <w:pStyle w:val="ListParagraph"/>
              <w:widowControl w:val="0"/>
              <w:numPr>
                <w:ilvl w:val="0"/>
                <w:numId w:val="6"/>
              </w:numPr>
              <w:ind w:left="334" w:hanging="289"/>
              <w:contextualSpacing w:val="0"/>
              <w:jc w:val="left"/>
              <w:rPr>
                <w:sz w:val="20"/>
                <w:szCs w:val="20"/>
                <w:lang w:val="fr-CA" w:eastAsia="en-CA"/>
              </w:rPr>
            </w:pPr>
            <w:r>
              <w:rPr>
                <w:sz w:val="20"/>
                <w:szCs w:val="20"/>
                <w:lang w:val="fr-CA" w:eastAsia="en-CA"/>
              </w:rPr>
              <w:t>Une session de formation pour un total de 25 formateurs (visant une participation de 30 % de femmes), et deux ateliers de formation pour un total de 35 techniciens en équipements de réfrigération et de climatisation sur les pratiques d'installation et d'entretien en matière d'efficacité énergétique.</w:t>
            </w:r>
          </w:p>
          <w:p w14:paraId="7B8495C8" w14:textId="2FD3C924" w:rsidR="00025609" w:rsidRPr="00C47F9D" w:rsidRDefault="00025609" w:rsidP="005E3F51">
            <w:pPr>
              <w:ind w:left="89"/>
              <w:jc w:val="left"/>
              <w:rPr>
                <w:sz w:val="20"/>
                <w:szCs w:val="20"/>
                <w:lang w:val="fr-CA" w:eastAsia="en-CA"/>
              </w:rPr>
            </w:pPr>
          </w:p>
        </w:tc>
        <w:tc>
          <w:tcPr>
            <w:tcW w:w="1418" w:type="dxa"/>
            <w:tcBorders>
              <w:top w:val="nil"/>
              <w:left w:val="nil"/>
              <w:bottom w:val="single" w:sz="4" w:space="0" w:color="auto"/>
              <w:right w:val="single" w:sz="4" w:space="0" w:color="auto"/>
            </w:tcBorders>
          </w:tcPr>
          <w:p w14:paraId="2873010F" w14:textId="77777777" w:rsidR="00025609" w:rsidRPr="001A358B" w:rsidRDefault="00025609" w:rsidP="005F6719">
            <w:pPr>
              <w:jc w:val="right"/>
              <w:rPr>
                <w:sz w:val="20"/>
                <w:szCs w:val="20"/>
                <w:lang w:eastAsia="en-CA"/>
              </w:rPr>
            </w:pPr>
            <w:r>
              <w:rPr>
                <w:sz w:val="20"/>
                <w:szCs w:val="20"/>
                <w:lang w:eastAsia="en-CA"/>
              </w:rPr>
              <w:t>50 000</w:t>
            </w:r>
          </w:p>
        </w:tc>
      </w:tr>
      <w:tr w:rsidR="00025609" w:rsidRPr="0054757B" w14:paraId="2D3D782C" w14:textId="77777777" w:rsidTr="00F72C54">
        <w:trPr>
          <w:trHeight w:val="212"/>
        </w:trPr>
        <w:tc>
          <w:tcPr>
            <w:tcW w:w="8095" w:type="dxa"/>
            <w:gridSpan w:val="2"/>
            <w:tcBorders>
              <w:top w:val="nil"/>
              <w:left w:val="single" w:sz="4" w:space="0" w:color="auto"/>
              <w:bottom w:val="single" w:sz="4" w:space="0" w:color="auto"/>
              <w:right w:val="single" w:sz="4" w:space="0" w:color="auto"/>
            </w:tcBorders>
            <w:hideMark/>
          </w:tcPr>
          <w:p w14:paraId="14645CCD" w14:textId="77777777" w:rsidR="00025609" w:rsidRPr="001A358B" w:rsidRDefault="00025609" w:rsidP="005F6719">
            <w:pPr>
              <w:ind w:left="457"/>
              <w:jc w:val="right"/>
              <w:rPr>
                <w:b/>
                <w:bCs/>
                <w:sz w:val="20"/>
                <w:szCs w:val="20"/>
                <w:lang w:eastAsia="en-CA"/>
              </w:rPr>
            </w:pPr>
            <w:r>
              <w:rPr>
                <w:b/>
                <w:bCs/>
                <w:sz w:val="20"/>
                <w:szCs w:val="20"/>
              </w:rPr>
              <w:t>Total</w:t>
            </w:r>
          </w:p>
        </w:tc>
        <w:tc>
          <w:tcPr>
            <w:tcW w:w="1418" w:type="dxa"/>
            <w:tcBorders>
              <w:top w:val="nil"/>
              <w:left w:val="nil"/>
              <w:bottom w:val="single" w:sz="4" w:space="0" w:color="auto"/>
              <w:right w:val="single" w:sz="4" w:space="0" w:color="auto"/>
            </w:tcBorders>
          </w:tcPr>
          <w:p w14:paraId="6948E9C7" w14:textId="77777777" w:rsidR="00025609" w:rsidRPr="001A358B" w:rsidRDefault="00025609" w:rsidP="005F6719">
            <w:pPr>
              <w:jc w:val="right"/>
              <w:rPr>
                <w:b/>
                <w:bCs/>
                <w:sz w:val="20"/>
                <w:szCs w:val="20"/>
                <w:lang w:eastAsia="en-CA"/>
              </w:rPr>
            </w:pPr>
            <w:r>
              <w:rPr>
                <w:b/>
                <w:bCs/>
                <w:sz w:val="20"/>
                <w:szCs w:val="20"/>
                <w:lang w:eastAsia="en-CA"/>
              </w:rPr>
              <w:t>100 000</w:t>
            </w:r>
          </w:p>
        </w:tc>
      </w:tr>
    </w:tbl>
    <w:bookmarkEnd w:id="5"/>
    <w:p w14:paraId="36600C18" w14:textId="37CD62EB" w:rsidR="00036628" w:rsidRPr="00F72C54" w:rsidRDefault="00036628" w:rsidP="00036628">
      <w:pPr>
        <w:keepNext/>
        <w:spacing w:before="360" w:after="240"/>
        <w:jc w:val="center"/>
        <w:rPr>
          <w:b/>
          <w:lang w:val="fr-CA"/>
        </w:rPr>
      </w:pPr>
      <w:r>
        <w:rPr>
          <w:b/>
          <w:lang w:val="fr-CA"/>
        </w:rPr>
        <w:t>OBSERVATIONS ET RECOMMANDATIONS DU SECRÉTARIAT</w:t>
      </w:r>
    </w:p>
    <w:p w14:paraId="1DBCC305" w14:textId="77777777" w:rsidR="00036628" w:rsidRPr="00D45F57" w:rsidRDefault="00036628" w:rsidP="00036628">
      <w:pPr>
        <w:keepNext/>
        <w:keepLines/>
        <w:rPr>
          <w:b/>
        </w:rPr>
      </w:pPr>
      <w:r>
        <w:rPr>
          <w:b/>
        </w:rPr>
        <w:t>OBSERVATIONS</w:t>
      </w:r>
    </w:p>
    <w:p w14:paraId="6D926989" w14:textId="77777777" w:rsidR="00036628" w:rsidRPr="008254B6" w:rsidRDefault="00036628" w:rsidP="00036628">
      <w:pPr>
        <w:rPr>
          <w:highlight w:val="yellow"/>
        </w:rPr>
      </w:pPr>
    </w:p>
    <w:p w14:paraId="1FF8B926" w14:textId="6CF4B340" w:rsidR="0066409D" w:rsidRPr="00C47F9D" w:rsidRDefault="008507C8" w:rsidP="00B67677">
      <w:pPr>
        <w:pStyle w:val="Heading1"/>
        <w:rPr>
          <w:lang w:val="fr-CA"/>
        </w:rPr>
      </w:pPr>
      <w:r>
        <w:rPr>
          <w:lang w:val="fr-CA"/>
        </w:rPr>
        <w:t>Le secrétariat a examiné la proposition de projet conformément aux décisions 89/6 b) et 92/22 et a demandé au PNUE des informations complémentaires sur diverses activités, notamment celles relevant du PGEH. Le secrétariat a demandé comment les activités prévues dans le cadre de ce projet seraient mises en œuvre en coordination avec celles du PGEH afin d’assurer des synergies et une utilisation efficace des ressources et d’éviter les chevauchements. Le PNUE a indiqué que le deuxième volet de ce projet, portant sur la mise à jour de la formation et de la certification des techniciens afin d’y inclure l’efficacité énergétique et la sécurité des réfrigérants, complète les efforts de formation du PGEH par le biais d’activités ciblées. Celles-ci comprennent l’intégration de modules sur l’efficacité énergétique et la sécurité des fluides à faible PRP dans les formations des techniciens, l’intégration de compétences en matière d’efficacité énergétique et de PRP dans le futur système national de certification, ainsi que l’organisation de formations pour les techniciens en réfrigération et climatisation afin de s’assurer qu’ils disposent de compétences complètes et puissent dispenser efficacement les programmes actualisés pertinents.</w:t>
      </w:r>
    </w:p>
    <w:p w14:paraId="60D8C0E8" w14:textId="42B84038" w:rsidR="004A146C" w:rsidRPr="00C47F9D" w:rsidRDefault="00036628" w:rsidP="00334A00">
      <w:pPr>
        <w:pStyle w:val="Heading1"/>
        <w:rPr>
          <w:lang w:val="fr-CA"/>
        </w:rPr>
      </w:pPr>
      <w:r>
        <w:rPr>
          <w:lang w:val="fr-CA"/>
        </w:rPr>
        <w:lastRenderedPageBreak/>
        <w:t xml:space="preserve">Le secrétariat a noté que les activités proposées s'inscrivent dans le champ d'application visé aux alinéas b) ii), iii) et iv) de la décision 89/6. Grâce aux activités qui seront menées, le projet aidera le pays à introduire et à mettre en œuvre des normes d'efficacité énergétique minimales (NMPE) et un système d'étiquetage énergétique pour les équipements de réfrigération et de climatisation, afin d'améliorer l'efficacité énergétique et de réduire les émissions. Grâce à la sensibilisation aux avantages des NMPE et des programmes d’étiquetage, aux meilleures pratiques internationales, à la mise en œuvre de l’adoption des NMPE et du programme d’étiquetage, ainsi qu’aux NMPE régionaux de la CARICOM ; à la coordination entre les décideurs politiques et les parties prenantes impliquées dans l’efficacité énergétique dans le pays ; une formation ciblée et des programmes de formation actualisés ; et un cadre national de certification des compétences intégrant des normes de compétence en matière d’efficacité énergétique et de faible PRP, le projet aidera le secteur RAC à passer à des alternatives à faible PRP et à parvenir à l’élimination progressive des HCFC d’ici 2030. </w:t>
      </w:r>
    </w:p>
    <w:p w14:paraId="5934D771" w14:textId="77777777" w:rsidR="00036628" w:rsidRPr="00C47F9D" w:rsidRDefault="00036628" w:rsidP="00581BFA">
      <w:pPr>
        <w:pStyle w:val="Heading1"/>
        <w:keepNext/>
        <w:widowControl w:val="0"/>
        <w:numPr>
          <w:ilvl w:val="0"/>
          <w:numId w:val="0"/>
        </w:numPr>
        <w:rPr>
          <w:u w:val="single"/>
          <w:lang w:val="fr-CA"/>
        </w:rPr>
      </w:pPr>
      <w:r>
        <w:rPr>
          <w:u w:val="single"/>
          <w:lang w:val="fr-CA"/>
        </w:rPr>
        <w:t>Mise en œuvre de l’égalité des genres</w:t>
      </w:r>
    </w:p>
    <w:p w14:paraId="79C09509" w14:textId="719295A0" w:rsidR="00FE0F74" w:rsidRPr="00C47F9D" w:rsidRDefault="00FE0F74" w:rsidP="002C0354">
      <w:pPr>
        <w:pStyle w:val="Heading1"/>
        <w:rPr>
          <w:lang w:val="fr-CA"/>
        </w:rPr>
      </w:pPr>
      <w:r>
        <w:rPr>
          <w:lang w:val="fr-CA"/>
        </w:rPr>
        <w:t xml:space="preserve">Les activités d’efficacité énergétique seront intégrées à la mise en œuvre de la phase II du PGEH. Au cours de la mise en œuvre de la phase II du PGEH, l’UNO travaillera en étroite collaboration avec les établissements d’EFTP et de formation ainsi qu’avec l’association RAC pour mettre en œuvre des mesures et assurer un suivi régulier afin de maximiser la participation des femmes à toutes les activités du PGEH. Le Gouvernement continuera également à collecter et à fournir des données ventilées par sexe dans le cadre des futurs rapports de mise en œuvre des tranches du PGEH. </w:t>
      </w:r>
    </w:p>
    <w:p w14:paraId="56B1D5F5" w14:textId="1CBC81A6" w:rsidR="00036628" w:rsidRPr="00E57A43" w:rsidRDefault="00036628" w:rsidP="00DB3FE6">
      <w:pPr>
        <w:pStyle w:val="Heading1"/>
        <w:keepNext/>
        <w:keepLines/>
        <w:numPr>
          <w:ilvl w:val="0"/>
          <w:numId w:val="0"/>
        </w:numPr>
      </w:pPr>
      <w:r>
        <w:rPr>
          <w:u w:val="single"/>
        </w:rPr>
        <w:t xml:space="preserve">Accord mis à jour </w:t>
      </w:r>
    </w:p>
    <w:p w14:paraId="7F69F2F7" w14:textId="546A13AD" w:rsidR="00036628" w:rsidRPr="00C47F9D" w:rsidRDefault="00036628" w:rsidP="004B5100">
      <w:pPr>
        <w:pStyle w:val="Heading1"/>
        <w:rPr>
          <w:lang w:val="fr-CA"/>
        </w:rPr>
      </w:pPr>
      <w:r>
        <w:rPr>
          <w:lang w:val="fr-CA"/>
        </w:rPr>
        <w:t>Compte tenu de l'inclusion du financement d'activités supplémentaires visant à maintenir l'efficacité énergétique dans le secteur de l'entretien des équipements de réfrigération et de climatisation et du calendrier de financement révisé en conséquence, l'accord entre le Gouvernement du Suriname et le Comité exécutif a été mis à jour. Plus précisément, l’appendice 2-A a été révisé et le paragraphe 17 a été ajouté pour indiquer que l’accord mis à jour remplace celui conclu lors de la 93</w:t>
      </w:r>
      <w:r>
        <w:rPr>
          <w:vertAlign w:val="superscript"/>
          <w:lang w:val="fr-CA"/>
        </w:rPr>
        <w:t>e</w:t>
      </w:r>
      <w:r>
        <w:rPr>
          <w:lang w:val="fr-CA"/>
        </w:rPr>
        <w:t xml:space="preserve"> réunion par la décision 93/46, tel qu’il figure à l’annexe I du présent document. L’accord mis à jour sera joint au rapport final de la 98</w:t>
      </w:r>
      <w:r>
        <w:rPr>
          <w:vertAlign w:val="superscript"/>
          <w:lang w:val="fr-CA"/>
        </w:rPr>
        <w:t>e</w:t>
      </w:r>
      <w:r>
        <w:rPr>
          <w:lang w:val="fr-CA"/>
        </w:rPr>
        <w:t xml:space="preserve"> réunion.</w:t>
      </w:r>
    </w:p>
    <w:p w14:paraId="1E9ADB34" w14:textId="77777777" w:rsidR="00036628" w:rsidRPr="00481087" w:rsidRDefault="00036628" w:rsidP="00036628">
      <w:pPr>
        <w:keepNext/>
        <w:spacing w:before="240" w:after="240"/>
        <w:rPr>
          <w:u w:val="single"/>
        </w:rPr>
      </w:pPr>
      <w:r>
        <w:rPr>
          <w:u w:val="single"/>
        </w:rPr>
        <w:t>Conclusion</w:t>
      </w:r>
    </w:p>
    <w:p w14:paraId="35D81BE7" w14:textId="7B962002" w:rsidR="00036628" w:rsidRPr="00C47F9D" w:rsidRDefault="00036628" w:rsidP="000235B1">
      <w:pPr>
        <w:pStyle w:val="Heading1"/>
        <w:rPr>
          <w:lang w:val="fr-CA"/>
        </w:rPr>
      </w:pPr>
      <w:r>
        <w:rPr>
          <w:lang w:val="fr-CA"/>
        </w:rPr>
        <w:t>Ce projet visera à promouvoir l'introduction de solutions de remplacement des HCFC présentant un PRP faible ou nul, ainsi que l'amélioration et le maintien de l'efficacité énergétique dans le secteur de l'entretien des équipements de réfrigération et de climatisation. Le projet comprend l'élaboration de modules consacrés à l'efficacité énergétique et aux réfrigérants à faible PRP, qui seront intégrés aux programmes de formation des techniciens, ainsi que la rédaction de normes de compétence en matière de certification pour les équipements de réfrigération et de climatisation, qui intégreront ces aspects dans le futur système national de certification. Les activités à mettre en œuvre prévoient le renforcement de la coordination entre les décideurs politiques en matière d’efficacité énergétique et les autres parties prenantes concernées, afin de garantir une prise en compte appropriée des réfrigérants à faible PRP lors de l’introduction des NMPE, des systèmes d’étiquetage et de la législation/réglementation et des politiques connexes en matière d’efficacité énergétique qui soutiendront les mécanismes d’application tenant compte des particularités du Suriname par rapport aux autres pays des Caraïbes, c'est-à-dire ses défis propres à un pays continental, tels que les frontières terrestres avec divers pays, le commerce informel et ses caractéristiques géographiques, près de 90 % du territoire du pays étant constitué de forêt tropicale amazonienne. Le projet contribuera aux objectifs globaux du PGEH et aidera le pays à maintenir les réductions réalisées en matière de HCFC tout en adoptant des technologies de climatisation à faible PRP et plus efficaces sur le plan de l'efficacité énergétique.</w:t>
      </w:r>
    </w:p>
    <w:p w14:paraId="3EB347BB" w14:textId="77777777" w:rsidR="00036628" w:rsidRPr="00D45F57" w:rsidRDefault="00036628" w:rsidP="00036628">
      <w:pPr>
        <w:keepNext/>
        <w:spacing w:before="360" w:after="240"/>
        <w:rPr>
          <w:b/>
        </w:rPr>
      </w:pPr>
      <w:r>
        <w:rPr>
          <w:b/>
        </w:rPr>
        <w:lastRenderedPageBreak/>
        <w:t>RECOMMANDATION</w:t>
      </w:r>
    </w:p>
    <w:p w14:paraId="7ED3B077" w14:textId="5480F8E2" w:rsidR="00036628" w:rsidRPr="00C47F9D" w:rsidRDefault="00036628" w:rsidP="00036628">
      <w:pPr>
        <w:pStyle w:val="Heading1"/>
        <w:rPr>
          <w:lang w:val="fr-CA"/>
        </w:rPr>
      </w:pPr>
      <w:bookmarkStart w:id="6" w:name="_Hlk122622077"/>
      <w:r>
        <w:rPr>
          <w:lang w:val="fr-CA"/>
        </w:rPr>
        <w:t xml:space="preserve">Le Secrétariat du Fonds recommande l’approbation globale du projet portant sur des activités supplémentaires visant à introduire des solutions de remplacement des HCFC à faible potentiel de réchauffement de la planète afin de maintenir l’efficacité énergétique dans le </w:t>
      </w:r>
      <w:r w:rsidR="001F0F9A" w:rsidRPr="001F0F9A">
        <w:rPr>
          <w:lang w:val="fr-CA"/>
        </w:rPr>
        <w:t xml:space="preserve">secteur de l'entretien des équipements de réfrigération et de </w:t>
      </w:r>
      <w:r w:rsidR="001F0F9A">
        <w:rPr>
          <w:lang w:val="fr-CA"/>
        </w:rPr>
        <w:t xml:space="preserve">climatisation </w:t>
      </w:r>
      <w:r>
        <w:rPr>
          <w:lang w:val="fr-CA"/>
        </w:rPr>
        <w:t>au Suriname, ainsi que le plan de mise en œuvre correspondant pour la période 2026-2028, au niveau de financement indiqué dans le tableau ci-dessous, étant entendu que le Secrétariat du Fonds a mis à jour l’Accord entre le Gouvernement du Suriname et le Comité exécutif, tel qu’il figure à l’annexe I du présent document, en particulier à l’appendice 2-A, afin de refléter le niveau de financement révisé en raison de l’inclusion du financement des activités supplémentaires visant à maintenir l’efficacité énergétique dans le secteur de l’entretien des équipements de réfrigération ; et au paragraphe 17, qui a été ajouté pour indiquer que l’Accord mis à jour remplace celui conclu lors de la 93</w:t>
      </w:r>
      <w:r>
        <w:rPr>
          <w:vertAlign w:val="superscript"/>
          <w:lang w:val="fr-CA"/>
        </w:rPr>
        <w:t>e</w:t>
      </w:r>
      <w:r>
        <w:rPr>
          <w:lang w:val="fr-CA"/>
        </w:rPr>
        <w:t xml:space="preserve"> réunion par la décision 93/46. </w:t>
      </w:r>
    </w:p>
    <w:tbl>
      <w:tblPr>
        <w:tblStyle w:val="TableGrid"/>
        <w:tblW w:w="9351" w:type="dxa"/>
        <w:tblLook w:val="04A0" w:firstRow="1" w:lastRow="0" w:firstColumn="1" w:lastColumn="0" w:noHBand="0" w:noVBand="1"/>
      </w:tblPr>
      <w:tblGrid>
        <w:gridCol w:w="438"/>
        <w:gridCol w:w="4417"/>
        <w:gridCol w:w="1620"/>
        <w:gridCol w:w="1458"/>
        <w:gridCol w:w="1418"/>
      </w:tblGrid>
      <w:tr w:rsidR="00036628" w:rsidRPr="008254B6" w14:paraId="1642F39B" w14:textId="77777777" w:rsidTr="00F72C54">
        <w:trPr>
          <w:trHeight w:val="575"/>
        </w:trPr>
        <w:tc>
          <w:tcPr>
            <w:tcW w:w="4855" w:type="dxa"/>
            <w:gridSpan w:val="2"/>
            <w:tcBorders>
              <w:top w:val="single" w:sz="4" w:space="0" w:color="auto"/>
              <w:left w:val="single" w:sz="4" w:space="0" w:color="auto"/>
              <w:bottom w:val="single" w:sz="4" w:space="0" w:color="auto"/>
              <w:right w:val="single" w:sz="4" w:space="0" w:color="auto"/>
            </w:tcBorders>
          </w:tcPr>
          <w:p w14:paraId="1A25B5C7" w14:textId="77777777" w:rsidR="00036628" w:rsidRPr="00D45F57" w:rsidRDefault="00036628" w:rsidP="002A343A">
            <w:pPr>
              <w:keepNext/>
              <w:keepLines/>
              <w:jc w:val="center"/>
              <w:rPr>
                <w:b/>
                <w:bCs/>
                <w:sz w:val="20"/>
                <w:szCs w:val="20"/>
                <w:lang w:val="en-US"/>
              </w:rPr>
            </w:pPr>
            <w:proofErr w:type="spellStart"/>
            <w:r>
              <w:rPr>
                <w:b/>
                <w:bCs/>
                <w:sz w:val="20"/>
                <w:szCs w:val="20"/>
                <w:lang w:val="en-US"/>
              </w:rPr>
              <w:t>Titre</w:t>
            </w:r>
            <w:proofErr w:type="spellEnd"/>
            <w:r>
              <w:rPr>
                <w:b/>
                <w:bCs/>
                <w:sz w:val="20"/>
                <w:szCs w:val="20"/>
                <w:lang w:val="en-US"/>
              </w:rPr>
              <w:t xml:space="preserve"> du </w:t>
            </w:r>
            <w:proofErr w:type="spellStart"/>
            <w:r>
              <w:rPr>
                <w:b/>
                <w:bCs/>
                <w:sz w:val="20"/>
                <w:szCs w:val="20"/>
                <w:lang w:val="en-US"/>
              </w:rPr>
              <w:t>projet</w:t>
            </w:r>
            <w:proofErr w:type="spellEnd"/>
          </w:p>
        </w:tc>
        <w:tc>
          <w:tcPr>
            <w:tcW w:w="1620" w:type="dxa"/>
            <w:tcBorders>
              <w:top w:val="single" w:sz="4" w:space="0" w:color="auto"/>
              <w:left w:val="single" w:sz="4" w:space="0" w:color="auto"/>
              <w:bottom w:val="single" w:sz="4" w:space="0" w:color="auto"/>
              <w:right w:val="single" w:sz="4" w:space="0" w:color="auto"/>
            </w:tcBorders>
            <w:hideMark/>
          </w:tcPr>
          <w:p w14:paraId="33BB402D" w14:textId="77777777" w:rsidR="00036628" w:rsidRPr="00D45F57" w:rsidRDefault="00036628" w:rsidP="002A343A">
            <w:pPr>
              <w:keepNext/>
              <w:keepLines/>
              <w:jc w:val="center"/>
              <w:rPr>
                <w:b/>
                <w:bCs/>
                <w:sz w:val="20"/>
                <w:szCs w:val="20"/>
                <w:lang w:val="en-US"/>
              </w:rPr>
            </w:pPr>
            <w:proofErr w:type="spellStart"/>
            <w:r>
              <w:rPr>
                <w:b/>
                <w:bCs/>
                <w:sz w:val="20"/>
                <w:szCs w:val="20"/>
                <w:lang w:val="en-US"/>
              </w:rPr>
              <w:t>Financement</w:t>
            </w:r>
            <w:proofErr w:type="spellEnd"/>
            <w:r>
              <w:rPr>
                <w:b/>
                <w:bCs/>
                <w:sz w:val="20"/>
                <w:szCs w:val="20"/>
                <w:lang w:val="en-US"/>
              </w:rPr>
              <w:t xml:space="preserve"> du </w:t>
            </w:r>
            <w:proofErr w:type="spellStart"/>
            <w:r>
              <w:rPr>
                <w:b/>
                <w:bCs/>
                <w:sz w:val="20"/>
                <w:szCs w:val="20"/>
                <w:lang w:val="en-US"/>
              </w:rPr>
              <w:t>projet</w:t>
            </w:r>
            <w:proofErr w:type="spellEnd"/>
            <w:r>
              <w:rPr>
                <w:b/>
                <w:bCs/>
                <w:sz w:val="20"/>
                <w:szCs w:val="20"/>
                <w:lang w:val="en-US"/>
              </w:rPr>
              <w:t xml:space="preserve"> ($US)</w:t>
            </w:r>
          </w:p>
        </w:tc>
        <w:tc>
          <w:tcPr>
            <w:tcW w:w="1458" w:type="dxa"/>
            <w:tcBorders>
              <w:top w:val="single" w:sz="4" w:space="0" w:color="auto"/>
              <w:left w:val="single" w:sz="4" w:space="0" w:color="auto"/>
              <w:bottom w:val="single" w:sz="4" w:space="0" w:color="auto"/>
              <w:right w:val="single" w:sz="4" w:space="0" w:color="auto"/>
            </w:tcBorders>
            <w:hideMark/>
          </w:tcPr>
          <w:p w14:paraId="3199D09F" w14:textId="77777777" w:rsidR="00036628" w:rsidRPr="00D45F57" w:rsidRDefault="00036628" w:rsidP="002A343A">
            <w:pPr>
              <w:keepNext/>
              <w:keepLines/>
              <w:jc w:val="center"/>
              <w:rPr>
                <w:b/>
                <w:bCs/>
                <w:sz w:val="20"/>
                <w:szCs w:val="20"/>
                <w:lang w:val="en-US"/>
              </w:rPr>
            </w:pPr>
            <w:proofErr w:type="spellStart"/>
            <w:r>
              <w:rPr>
                <w:b/>
                <w:bCs/>
                <w:sz w:val="20"/>
                <w:szCs w:val="20"/>
                <w:lang w:val="en-US"/>
              </w:rPr>
              <w:t>Coûts</w:t>
            </w:r>
            <w:proofErr w:type="spellEnd"/>
            <w:r>
              <w:rPr>
                <w:b/>
                <w:bCs/>
                <w:sz w:val="20"/>
                <w:szCs w:val="20"/>
                <w:lang w:val="en-US"/>
              </w:rPr>
              <w:t xml:space="preserve"> d'appui ($US)</w:t>
            </w:r>
          </w:p>
        </w:tc>
        <w:tc>
          <w:tcPr>
            <w:tcW w:w="1418" w:type="dxa"/>
            <w:tcBorders>
              <w:top w:val="single" w:sz="4" w:space="0" w:color="auto"/>
              <w:left w:val="single" w:sz="4" w:space="0" w:color="auto"/>
              <w:bottom w:val="single" w:sz="4" w:space="0" w:color="auto"/>
              <w:right w:val="single" w:sz="4" w:space="0" w:color="auto"/>
            </w:tcBorders>
            <w:hideMark/>
          </w:tcPr>
          <w:p w14:paraId="74E5282B" w14:textId="77777777" w:rsidR="00036628" w:rsidRPr="00D45F57" w:rsidRDefault="00036628" w:rsidP="002A343A">
            <w:pPr>
              <w:keepNext/>
              <w:keepLines/>
              <w:jc w:val="center"/>
              <w:rPr>
                <w:b/>
                <w:bCs/>
                <w:sz w:val="20"/>
                <w:szCs w:val="20"/>
                <w:lang w:val="en-US"/>
              </w:rPr>
            </w:pPr>
            <w:r>
              <w:rPr>
                <w:b/>
                <w:bCs/>
                <w:sz w:val="20"/>
                <w:szCs w:val="20"/>
                <w:lang w:val="en-US"/>
              </w:rPr>
              <w:t xml:space="preserve">Agence </w:t>
            </w:r>
            <w:proofErr w:type="spellStart"/>
            <w:r>
              <w:rPr>
                <w:b/>
                <w:bCs/>
                <w:sz w:val="20"/>
                <w:szCs w:val="20"/>
                <w:lang w:val="en-US"/>
              </w:rPr>
              <w:t>d'exécution</w:t>
            </w:r>
            <w:proofErr w:type="spellEnd"/>
          </w:p>
        </w:tc>
      </w:tr>
      <w:tr w:rsidR="00036628" w:rsidRPr="008254B6" w14:paraId="4A3D9108" w14:textId="77777777" w:rsidTr="00F72C54">
        <w:trPr>
          <w:trHeight w:val="1016"/>
        </w:trPr>
        <w:tc>
          <w:tcPr>
            <w:tcW w:w="438" w:type="dxa"/>
            <w:tcBorders>
              <w:top w:val="single" w:sz="4" w:space="0" w:color="auto"/>
              <w:left w:val="single" w:sz="4" w:space="0" w:color="auto"/>
              <w:bottom w:val="single" w:sz="4" w:space="0" w:color="auto"/>
              <w:right w:val="single" w:sz="4" w:space="0" w:color="auto"/>
            </w:tcBorders>
            <w:hideMark/>
          </w:tcPr>
          <w:p w14:paraId="2188500F" w14:textId="77777777" w:rsidR="00036628" w:rsidRPr="00D45F57" w:rsidRDefault="00036628" w:rsidP="002A343A">
            <w:pPr>
              <w:keepNext/>
              <w:keepLines/>
              <w:rPr>
                <w:sz w:val="20"/>
                <w:szCs w:val="20"/>
                <w:lang w:val="en-US"/>
              </w:rPr>
            </w:pPr>
            <w:r>
              <w:rPr>
                <w:sz w:val="20"/>
                <w:szCs w:val="20"/>
                <w:lang w:val="en-US"/>
              </w:rPr>
              <w:t>a)</w:t>
            </w:r>
          </w:p>
        </w:tc>
        <w:tc>
          <w:tcPr>
            <w:tcW w:w="4417" w:type="dxa"/>
            <w:tcBorders>
              <w:top w:val="single" w:sz="4" w:space="0" w:color="auto"/>
              <w:left w:val="single" w:sz="4" w:space="0" w:color="auto"/>
              <w:bottom w:val="single" w:sz="4" w:space="0" w:color="auto"/>
              <w:right w:val="single" w:sz="4" w:space="0" w:color="auto"/>
            </w:tcBorders>
            <w:hideMark/>
          </w:tcPr>
          <w:p w14:paraId="0574259F" w14:textId="6FD540BB" w:rsidR="00036628" w:rsidRPr="00C47F9D" w:rsidRDefault="00036628" w:rsidP="002A343A">
            <w:pPr>
              <w:keepNext/>
              <w:keepLines/>
              <w:jc w:val="left"/>
              <w:rPr>
                <w:sz w:val="20"/>
                <w:szCs w:val="20"/>
                <w:lang w:val="fr-CA"/>
              </w:rPr>
            </w:pPr>
            <w:r>
              <w:rPr>
                <w:sz w:val="20"/>
                <w:szCs w:val="20"/>
                <w:lang w:val="fr-CA"/>
              </w:rPr>
              <w:t xml:space="preserve">Activités supplémentaires visant à introduire des solutions de remplacement des HCFC à faible PRP et pour l'amélioration de l'efficacité énergétique dans le secteur de l'entretien de l'équipement </w:t>
            </w:r>
            <w:r w:rsidR="00862625">
              <w:rPr>
                <w:sz w:val="20"/>
                <w:szCs w:val="20"/>
                <w:lang w:val="fr-CA"/>
              </w:rPr>
              <w:t>RAC</w:t>
            </w:r>
          </w:p>
        </w:tc>
        <w:tc>
          <w:tcPr>
            <w:tcW w:w="1620" w:type="dxa"/>
            <w:tcBorders>
              <w:top w:val="single" w:sz="4" w:space="0" w:color="auto"/>
              <w:left w:val="single" w:sz="4" w:space="0" w:color="auto"/>
              <w:bottom w:val="single" w:sz="4" w:space="0" w:color="auto"/>
              <w:right w:val="single" w:sz="4" w:space="0" w:color="auto"/>
            </w:tcBorders>
            <w:hideMark/>
          </w:tcPr>
          <w:p w14:paraId="53D3F3E4" w14:textId="05959B9E" w:rsidR="00036628" w:rsidRPr="00D45F57" w:rsidRDefault="0011072C" w:rsidP="002A343A">
            <w:pPr>
              <w:keepNext/>
              <w:keepLines/>
              <w:jc w:val="right"/>
              <w:rPr>
                <w:sz w:val="20"/>
                <w:szCs w:val="20"/>
                <w:lang w:val="en-US"/>
              </w:rPr>
            </w:pPr>
            <w:r>
              <w:rPr>
                <w:sz w:val="20"/>
                <w:szCs w:val="20"/>
                <w:lang w:val="en-US"/>
              </w:rPr>
              <w:t>100 000</w:t>
            </w:r>
          </w:p>
        </w:tc>
        <w:tc>
          <w:tcPr>
            <w:tcW w:w="1458" w:type="dxa"/>
            <w:tcBorders>
              <w:top w:val="single" w:sz="4" w:space="0" w:color="auto"/>
              <w:left w:val="single" w:sz="4" w:space="0" w:color="auto"/>
              <w:bottom w:val="single" w:sz="4" w:space="0" w:color="auto"/>
              <w:right w:val="single" w:sz="4" w:space="0" w:color="auto"/>
            </w:tcBorders>
            <w:hideMark/>
          </w:tcPr>
          <w:p w14:paraId="05405556" w14:textId="5FC5138F" w:rsidR="00036628" w:rsidRPr="00D45F57" w:rsidRDefault="00D45F57" w:rsidP="002A343A">
            <w:pPr>
              <w:keepNext/>
              <w:keepLines/>
              <w:jc w:val="right"/>
              <w:rPr>
                <w:sz w:val="20"/>
                <w:szCs w:val="20"/>
                <w:lang w:val="en-US"/>
              </w:rPr>
            </w:pPr>
            <w:r>
              <w:rPr>
                <w:sz w:val="20"/>
                <w:szCs w:val="20"/>
                <w:lang w:val="en-US"/>
              </w:rPr>
              <w:t>13 000</w:t>
            </w:r>
          </w:p>
        </w:tc>
        <w:tc>
          <w:tcPr>
            <w:tcW w:w="1418" w:type="dxa"/>
            <w:tcBorders>
              <w:top w:val="single" w:sz="4" w:space="0" w:color="auto"/>
              <w:left w:val="single" w:sz="4" w:space="0" w:color="auto"/>
              <w:bottom w:val="single" w:sz="4" w:space="0" w:color="auto"/>
              <w:right w:val="single" w:sz="4" w:space="0" w:color="auto"/>
            </w:tcBorders>
            <w:hideMark/>
          </w:tcPr>
          <w:p w14:paraId="1016801D" w14:textId="157A3957" w:rsidR="00036628" w:rsidRPr="00D45F57" w:rsidRDefault="00BF16EE" w:rsidP="002A343A">
            <w:pPr>
              <w:keepNext/>
              <w:keepLines/>
              <w:jc w:val="center"/>
              <w:rPr>
                <w:sz w:val="20"/>
                <w:szCs w:val="20"/>
                <w:lang w:val="en-US"/>
              </w:rPr>
            </w:pPr>
            <w:r>
              <w:rPr>
                <w:sz w:val="20"/>
                <w:szCs w:val="20"/>
                <w:lang w:val="en-US"/>
              </w:rPr>
              <w:t>PNUE</w:t>
            </w:r>
          </w:p>
        </w:tc>
      </w:tr>
      <w:bookmarkEnd w:id="6"/>
    </w:tbl>
    <w:p w14:paraId="36F1B819" w14:textId="77777777" w:rsidR="00036628" w:rsidRPr="008254B6" w:rsidRDefault="00036628" w:rsidP="00036628">
      <w:pPr>
        <w:jc w:val="left"/>
        <w:rPr>
          <w:rFonts w:eastAsia="SimSun"/>
          <w:b/>
          <w:highlight w:val="yellow"/>
        </w:rPr>
      </w:pPr>
    </w:p>
    <w:p w14:paraId="723068E7" w14:textId="77777777" w:rsidR="00036628" w:rsidRPr="008254B6" w:rsidRDefault="00036628" w:rsidP="00036628">
      <w:pPr>
        <w:jc w:val="left"/>
        <w:rPr>
          <w:rFonts w:eastAsia="SimSun"/>
          <w:b/>
          <w:highlight w:val="yellow"/>
        </w:rPr>
      </w:pPr>
    </w:p>
    <w:p w14:paraId="46354D3E" w14:textId="77777777" w:rsidR="00036628" w:rsidRPr="008254B6" w:rsidRDefault="00036628" w:rsidP="00036628">
      <w:pPr>
        <w:jc w:val="left"/>
        <w:rPr>
          <w:rFonts w:eastAsia="SimSun"/>
          <w:b/>
          <w:highlight w:val="yellow"/>
        </w:rPr>
        <w:sectPr w:rsidR="00036628" w:rsidRPr="008254B6" w:rsidSect="0003662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5E12FF3" w14:textId="77777777" w:rsidR="00036628" w:rsidRPr="00BB0C03" w:rsidRDefault="00036628" w:rsidP="00036628">
      <w:pPr>
        <w:jc w:val="center"/>
        <w:rPr>
          <w:rFonts w:eastAsia="SimSun"/>
          <w:b/>
        </w:rPr>
      </w:pPr>
      <w:r>
        <w:rPr>
          <w:rFonts w:eastAsia="SimSun"/>
          <w:b/>
        </w:rPr>
        <w:lastRenderedPageBreak/>
        <w:t>Annexe I</w:t>
      </w:r>
    </w:p>
    <w:p w14:paraId="2AF92A63" w14:textId="77777777" w:rsidR="00036628" w:rsidRPr="00BB0C03" w:rsidRDefault="00036628" w:rsidP="00036628">
      <w:pPr>
        <w:jc w:val="center"/>
        <w:rPr>
          <w:rFonts w:eastAsia="SimSun"/>
        </w:rPr>
      </w:pPr>
    </w:p>
    <w:p w14:paraId="33DBD8C7" w14:textId="77777777" w:rsidR="00036628" w:rsidRPr="00C47F9D" w:rsidRDefault="00036628" w:rsidP="00036628">
      <w:pPr>
        <w:jc w:val="center"/>
        <w:rPr>
          <w:rFonts w:eastAsia="SimSun"/>
          <w:b/>
          <w:lang w:val="fr-CA"/>
        </w:rPr>
      </w:pPr>
      <w:r>
        <w:rPr>
          <w:rFonts w:eastAsia="SimSun"/>
          <w:b/>
          <w:lang w:val="fr-CA"/>
        </w:rPr>
        <w:t>TEXTE À INCLURE DANS L'ACCORD ACTUALISÉ</w:t>
      </w:r>
    </w:p>
    <w:p w14:paraId="29C93F05" w14:textId="77777777" w:rsidR="00BB0C03" w:rsidRPr="00C47F9D" w:rsidRDefault="00BB0C03" w:rsidP="00BB0C03">
      <w:pPr>
        <w:jc w:val="center"/>
        <w:rPr>
          <w:b/>
          <w:lang w:val="fr-CA"/>
        </w:rPr>
      </w:pPr>
      <w:r>
        <w:rPr>
          <w:b/>
          <w:lang w:val="fr-CA"/>
        </w:rPr>
        <w:t xml:space="preserve">ENTRE LE GOUVERNEMENT DU SURINAME </w:t>
      </w:r>
    </w:p>
    <w:p w14:paraId="28836EDF" w14:textId="77777777" w:rsidR="00BB0C03" w:rsidRPr="00C47F9D" w:rsidRDefault="00BB0C03" w:rsidP="00BB0C03">
      <w:pPr>
        <w:jc w:val="center"/>
        <w:rPr>
          <w:b/>
          <w:lang w:val="fr-CA"/>
        </w:rPr>
      </w:pPr>
      <w:r>
        <w:rPr>
          <w:b/>
          <w:lang w:val="fr-CA"/>
        </w:rPr>
        <w:t xml:space="preserve">ET LE COMITÉ EXÉCUTIF DU FONDS MULTILATÉRAL </w:t>
      </w:r>
    </w:p>
    <w:p w14:paraId="55412280" w14:textId="77777777" w:rsidR="00BB0C03" w:rsidRPr="00C47F9D" w:rsidRDefault="00BB0C03" w:rsidP="00BB0C03">
      <w:pPr>
        <w:jc w:val="center"/>
        <w:rPr>
          <w:b/>
          <w:lang w:val="fr-CA"/>
        </w:rPr>
      </w:pPr>
      <w:r>
        <w:rPr>
          <w:b/>
          <w:lang w:val="fr-CA"/>
        </w:rPr>
        <w:t xml:space="preserve">POUR LA RÉDUCTION DE LA CONSOMMATION D'HYDROCHLOROFLUOROCARBURES </w:t>
      </w:r>
    </w:p>
    <w:p w14:paraId="3ED558E6" w14:textId="77777777" w:rsidR="00BB0C03" w:rsidRPr="00C47F9D" w:rsidRDefault="00BB0C03" w:rsidP="00BB0C03">
      <w:pPr>
        <w:spacing w:after="240"/>
        <w:jc w:val="center"/>
        <w:rPr>
          <w:b/>
          <w:lang w:val="fr-CA"/>
        </w:rPr>
      </w:pPr>
      <w:r>
        <w:rPr>
          <w:b/>
          <w:lang w:val="fr-CA"/>
        </w:rPr>
        <w:t>CONFORMÉMENT À LA PHASE II DU PLAN DE GESTION DE L'ÉLIMINATION DES HCFC</w:t>
      </w:r>
    </w:p>
    <w:p w14:paraId="7DDE5622" w14:textId="77777777" w:rsidR="00036628" w:rsidRPr="00C47F9D" w:rsidRDefault="00036628" w:rsidP="00036628">
      <w:pPr>
        <w:jc w:val="center"/>
        <w:rPr>
          <w:rFonts w:eastAsia="SimSun"/>
          <w:highlight w:val="yellow"/>
          <w:lang w:val="fr-CA"/>
        </w:rPr>
      </w:pPr>
    </w:p>
    <w:p w14:paraId="559B40E6" w14:textId="77777777" w:rsidR="00036628" w:rsidRPr="00C47F9D" w:rsidRDefault="00036628" w:rsidP="00036628">
      <w:pPr>
        <w:jc w:val="center"/>
        <w:rPr>
          <w:rFonts w:eastAsia="SimSun"/>
          <w:lang w:val="fr-CA"/>
        </w:rPr>
      </w:pPr>
      <w:r>
        <w:rPr>
          <w:rFonts w:eastAsia="SimSun"/>
          <w:lang w:val="fr-CA"/>
        </w:rPr>
        <w:t xml:space="preserve">(Les modifications pertinentes sont en gras pour faciliter la référence) </w:t>
      </w:r>
    </w:p>
    <w:p w14:paraId="40159CC8" w14:textId="1F493842" w:rsidR="00036628" w:rsidRPr="00C47F9D" w:rsidRDefault="00036628" w:rsidP="00D3346A">
      <w:pPr>
        <w:pStyle w:val="Heading1"/>
        <w:numPr>
          <w:ilvl w:val="0"/>
          <w:numId w:val="8"/>
        </w:numPr>
        <w:tabs>
          <w:tab w:val="clear" w:pos="0"/>
          <w:tab w:val="num" w:pos="720"/>
        </w:tabs>
        <w:spacing w:before="240"/>
        <w:rPr>
          <w:b/>
          <w:bCs/>
          <w:lang w:val="fr-CA"/>
        </w:rPr>
      </w:pPr>
      <w:r>
        <w:rPr>
          <w:b/>
          <w:bCs/>
          <w:lang w:val="fr-CA"/>
        </w:rPr>
        <w:t>Cet accord mis à jour remplace l'accord conclu entre le Gouvernement du Suriname et le Comité exécutif lors de la 93</w:t>
      </w:r>
      <w:r>
        <w:rPr>
          <w:b/>
          <w:bCs/>
          <w:vertAlign w:val="superscript"/>
          <w:lang w:val="fr-CA"/>
        </w:rPr>
        <w:t>e</w:t>
      </w:r>
      <w:r>
        <w:rPr>
          <w:b/>
          <w:bCs/>
          <w:lang w:val="fr-CA"/>
        </w:rPr>
        <w:t xml:space="preserve"> réunion du Comité exécutif.</w:t>
      </w:r>
    </w:p>
    <w:p w14:paraId="182C8DB5" w14:textId="77777777" w:rsidR="00036628" w:rsidRPr="00C47F9D" w:rsidRDefault="00036628" w:rsidP="00036628">
      <w:pPr>
        <w:pStyle w:val="Heading1"/>
        <w:numPr>
          <w:ilvl w:val="0"/>
          <w:numId w:val="0"/>
        </w:numPr>
        <w:rPr>
          <w:b/>
          <w:lang w:val="fr-CA"/>
        </w:rPr>
      </w:pPr>
      <w:r>
        <w:rPr>
          <w:b/>
          <w:lang w:val="fr-CA"/>
        </w:rPr>
        <w:t>APPENDICE 2-A : LES OBJECTIFS ET LE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0"/>
        <w:gridCol w:w="2687"/>
        <w:gridCol w:w="772"/>
        <w:gridCol w:w="646"/>
        <w:gridCol w:w="719"/>
        <w:gridCol w:w="952"/>
        <w:gridCol w:w="772"/>
        <w:gridCol w:w="772"/>
        <w:gridCol w:w="751"/>
        <w:gridCol w:w="799"/>
      </w:tblGrid>
      <w:tr w:rsidR="001E5F84" w:rsidRPr="00520E6D" w14:paraId="1B17E1A0" w14:textId="77777777" w:rsidTr="00520E6D">
        <w:trPr>
          <w:trHeight w:val="98"/>
          <w:jc w:val="center"/>
        </w:trPr>
        <w:tc>
          <w:tcPr>
            <w:tcW w:w="302" w:type="pct"/>
            <w:hideMark/>
          </w:tcPr>
          <w:p w14:paraId="79F6A957" w14:textId="77777777" w:rsidR="001E5F84" w:rsidRPr="00520E6D" w:rsidRDefault="001E5F84" w:rsidP="005F6719">
            <w:pPr>
              <w:keepNext/>
              <w:keepLines/>
              <w:jc w:val="center"/>
              <w:rPr>
                <w:rFonts w:asciiTheme="majorBidi" w:hAnsiTheme="majorBidi" w:cstheme="majorBidi"/>
                <w:b/>
                <w:bCs/>
                <w:sz w:val="18"/>
                <w:szCs w:val="18"/>
                <w:lang w:eastAsia="en-CA"/>
              </w:rPr>
            </w:pPr>
            <w:r>
              <w:rPr>
                <w:rFonts w:asciiTheme="majorBidi" w:hAnsiTheme="majorBidi" w:cstheme="majorBidi"/>
                <w:b/>
                <w:bCs/>
                <w:sz w:val="18"/>
                <w:szCs w:val="18"/>
                <w:lang w:eastAsia="en-CA"/>
              </w:rPr>
              <w:t>Ligne</w:t>
            </w:r>
          </w:p>
        </w:tc>
        <w:tc>
          <w:tcPr>
            <w:tcW w:w="1423" w:type="pct"/>
            <w:hideMark/>
          </w:tcPr>
          <w:p w14:paraId="06CB6658" w14:textId="77777777" w:rsidR="001E5F84" w:rsidRPr="00520E6D" w:rsidRDefault="001E5F84" w:rsidP="005F6719">
            <w:pPr>
              <w:keepNext/>
              <w:keepLines/>
              <w:jc w:val="center"/>
              <w:rPr>
                <w:rFonts w:asciiTheme="majorBidi" w:hAnsiTheme="majorBidi" w:cstheme="majorBidi"/>
                <w:b/>
                <w:bCs/>
                <w:sz w:val="18"/>
                <w:szCs w:val="18"/>
                <w:lang w:eastAsia="en-CA"/>
              </w:rPr>
            </w:pPr>
            <w:proofErr w:type="spellStart"/>
            <w:r>
              <w:rPr>
                <w:rFonts w:asciiTheme="majorBidi" w:hAnsiTheme="majorBidi" w:cstheme="majorBidi"/>
                <w:b/>
                <w:bCs/>
                <w:sz w:val="18"/>
                <w:szCs w:val="18"/>
                <w:lang w:eastAsia="en-CA"/>
              </w:rPr>
              <w:t>Caractéristiques</w:t>
            </w:r>
            <w:proofErr w:type="spellEnd"/>
          </w:p>
        </w:tc>
        <w:tc>
          <w:tcPr>
            <w:tcW w:w="409" w:type="pct"/>
            <w:hideMark/>
          </w:tcPr>
          <w:p w14:paraId="4421FBA3" w14:textId="77777777" w:rsidR="001E5F84" w:rsidRPr="00520E6D" w:rsidRDefault="001E5F84" w:rsidP="005F6719">
            <w:pPr>
              <w:keepNext/>
              <w:keepLines/>
              <w:jc w:val="center"/>
              <w:rPr>
                <w:rFonts w:asciiTheme="majorBidi" w:hAnsiTheme="majorBidi" w:cstheme="majorBidi"/>
                <w:b/>
                <w:bCs/>
                <w:sz w:val="18"/>
                <w:szCs w:val="18"/>
                <w:lang w:eastAsia="en-CA"/>
              </w:rPr>
            </w:pPr>
            <w:r>
              <w:rPr>
                <w:rFonts w:asciiTheme="majorBidi" w:hAnsiTheme="majorBidi" w:cstheme="majorBidi"/>
                <w:b/>
                <w:bCs/>
                <w:sz w:val="18"/>
                <w:szCs w:val="18"/>
                <w:lang w:eastAsia="en-CA"/>
              </w:rPr>
              <w:t>2023</w:t>
            </w:r>
          </w:p>
        </w:tc>
        <w:tc>
          <w:tcPr>
            <w:tcW w:w="342" w:type="pct"/>
            <w:hideMark/>
          </w:tcPr>
          <w:p w14:paraId="66BF627F" w14:textId="77777777" w:rsidR="001E5F84" w:rsidRPr="00520E6D" w:rsidRDefault="001E5F84" w:rsidP="005F6719">
            <w:pPr>
              <w:keepNext/>
              <w:keepLines/>
              <w:jc w:val="center"/>
              <w:rPr>
                <w:rFonts w:asciiTheme="majorBidi" w:hAnsiTheme="majorBidi" w:cstheme="majorBidi"/>
                <w:b/>
                <w:bCs/>
                <w:sz w:val="18"/>
                <w:szCs w:val="18"/>
                <w:lang w:eastAsia="en-CA"/>
              </w:rPr>
            </w:pPr>
            <w:r>
              <w:rPr>
                <w:rFonts w:asciiTheme="majorBidi" w:hAnsiTheme="majorBidi" w:cstheme="majorBidi"/>
                <w:b/>
                <w:bCs/>
                <w:sz w:val="18"/>
                <w:szCs w:val="18"/>
                <w:lang w:eastAsia="en-CA"/>
              </w:rPr>
              <w:t>2024</w:t>
            </w:r>
          </w:p>
        </w:tc>
        <w:tc>
          <w:tcPr>
            <w:tcW w:w="381" w:type="pct"/>
            <w:hideMark/>
          </w:tcPr>
          <w:p w14:paraId="57328A83" w14:textId="77777777" w:rsidR="001E5F84" w:rsidRPr="00520E6D" w:rsidRDefault="001E5F84" w:rsidP="005F6719">
            <w:pPr>
              <w:keepNext/>
              <w:keepLines/>
              <w:jc w:val="center"/>
              <w:rPr>
                <w:rFonts w:asciiTheme="majorBidi" w:hAnsiTheme="majorBidi" w:cstheme="majorBidi"/>
                <w:b/>
                <w:bCs/>
                <w:sz w:val="18"/>
                <w:szCs w:val="18"/>
                <w:lang w:eastAsia="en-CA"/>
              </w:rPr>
            </w:pPr>
            <w:r>
              <w:rPr>
                <w:rFonts w:asciiTheme="majorBidi" w:hAnsiTheme="majorBidi" w:cstheme="majorBidi"/>
                <w:b/>
                <w:bCs/>
                <w:sz w:val="18"/>
                <w:szCs w:val="18"/>
                <w:lang w:eastAsia="en-CA"/>
              </w:rPr>
              <w:t>2025</w:t>
            </w:r>
          </w:p>
        </w:tc>
        <w:tc>
          <w:tcPr>
            <w:tcW w:w="504" w:type="pct"/>
            <w:hideMark/>
          </w:tcPr>
          <w:p w14:paraId="48F89E67" w14:textId="77777777" w:rsidR="001E5F84" w:rsidRPr="00520E6D" w:rsidRDefault="001E5F84" w:rsidP="005F6719">
            <w:pPr>
              <w:keepNext/>
              <w:keepLines/>
              <w:jc w:val="center"/>
              <w:rPr>
                <w:rFonts w:asciiTheme="majorBidi" w:hAnsiTheme="majorBidi" w:cstheme="majorBidi"/>
                <w:b/>
                <w:bCs/>
                <w:sz w:val="18"/>
                <w:szCs w:val="18"/>
                <w:lang w:eastAsia="en-CA"/>
              </w:rPr>
            </w:pPr>
            <w:r>
              <w:rPr>
                <w:rFonts w:asciiTheme="majorBidi" w:hAnsiTheme="majorBidi" w:cstheme="majorBidi"/>
                <w:b/>
                <w:bCs/>
                <w:sz w:val="18"/>
                <w:szCs w:val="18"/>
                <w:lang w:eastAsia="en-CA"/>
              </w:rPr>
              <w:t>2026</w:t>
            </w:r>
          </w:p>
        </w:tc>
        <w:tc>
          <w:tcPr>
            <w:tcW w:w="409" w:type="pct"/>
            <w:hideMark/>
          </w:tcPr>
          <w:p w14:paraId="04E1B4F5" w14:textId="77777777" w:rsidR="001E5F84" w:rsidRPr="00520E6D" w:rsidRDefault="001E5F84" w:rsidP="005F6719">
            <w:pPr>
              <w:keepNext/>
              <w:keepLines/>
              <w:jc w:val="center"/>
              <w:rPr>
                <w:rFonts w:asciiTheme="majorBidi" w:hAnsiTheme="majorBidi" w:cstheme="majorBidi"/>
                <w:b/>
                <w:bCs/>
                <w:sz w:val="18"/>
                <w:szCs w:val="18"/>
                <w:lang w:eastAsia="en-CA"/>
              </w:rPr>
            </w:pPr>
            <w:r>
              <w:rPr>
                <w:rFonts w:asciiTheme="majorBidi" w:hAnsiTheme="majorBidi" w:cstheme="majorBidi"/>
                <w:b/>
                <w:bCs/>
                <w:sz w:val="18"/>
                <w:szCs w:val="18"/>
                <w:lang w:eastAsia="en-CA"/>
              </w:rPr>
              <w:t>2027</w:t>
            </w:r>
          </w:p>
        </w:tc>
        <w:tc>
          <w:tcPr>
            <w:tcW w:w="409" w:type="pct"/>
          </w:tcPr>
          <w:p w14:paraId="61E7BED1" w14:textId="77777777" w:rsidR="001E5F84" w:rsidRPr="00520E6D" w:rsidRDefault="001E5F84" w:rsidP="005F6719">
            <w:pPr>
              <w:keepNext/>
              <w:keepLines/>
              <w:jc w:val="center"/>
              <w:rPr>
                <w:rFonts w:asciiTheme="majorBidi" w:hAnsiTheme="majorBidi" w:cstheme="majorBidi"/>
                <w:b/>
                <w:bCs/>
                <w:sz w:val="18"/>
                <w:szCs w:val="18"/>
                <w:lang w:eastAsia="en-CA"/>
              </w:rPr>
            </w:pPr>
            <w:r>
              <w:rPr>
                <w:rFonts w:asciiTheme="majorBidi" w:hAnsiTheme="majorBidi" w:cstheme="majorBidi"/>
                <w:b/>
                <w:bCs/>
                <w:sz w:val="18"/>
                <w:szCs w:val="18"/>
                <w:lang w:eastAsia="en-CA"/>
              </w:rPr>
              <w:t>2028-2029</w:t>
            </w:r>
          </w:p>
        </w:tc>
        <w:tc>
          <w:tcPr>
            <w:tcW w:w="398" w:type="pct"/>
          </w:tcPr>
          <w:p w14:paraId="12905163" w14:textId="77777777" w:rsidR="001E5F84" w:rsidRPr="00520E6D" w:rsidRDefault="001E5F84" w:rsidP="005F6719">
            <w:pPr>
              <w:keepNext/>
              <w:keepLines/>
              <w:jc w:val="center"/>
              <w:rPr>
                <w:rFonts w:asciiTheme="majorBidi" w:hAnsiTheme="majorBidi" w:cstheme="majorBidi"/>
                <w:b/>
                <w:bCs/>
                <w:sz w:val="18"/>
                <w:szCs w:val="18"/>
                <w:lang w:eastAsia="en-CA"/>
              </w:rPr>
            </w:pPr>
            <w:r>
              <w:rPr>
                <w:rFonts w:asciiTheme="majorBidi" w:hAnsiTheme="majorBidi" w:cstheme="majorBidi"/>
                <w:b/>
                <w:bCs/>
                <w:sz w:val="18"/>
                <w:szCs w:val="18"/>
                <w:lang w:eastAsia="en-CA"/>
              </w:rPr>
              <w:t>2030</w:t>
            </w:r>
          </w:p>
        </w:tc>
        <w:tc>
          <w:tcPr>
            <w:tcW w:w="423" w:type="pct"/>
            <w:hideMark/>
          </w:tcPr>
          <w:p w14:paraId="458F074D" w14:textId="77777777" w:rsidR="001E5F84" w:rsidRPr="00520E6D" w:rsidRDefault="001E5F84" w:rsidP="005F6719">
            <w:pPr>
              <w:keepNext/>
              <w:keepLines/>
              <w:jc w:val="center"/>
              <w:rPr>
                <w:rFonts w:asciiTheme="majorBidi" w:hAnsiTheme="majorBidi" w:cstheme="majorBidi"/>
                <w:b/>
                <w:bCs/>
                <w:sz w:val="18"/>
                <w:szCs w:val="18"/>
                <w:lang w:eastAsia="en-CA"/>
              </w:rPr>
            </w:pPr>
            <w:r>
              <w:rPr>
                <w:rFonts w:asciiTheme="majorBidi" w:hAnsiTheme="majorBidi" w:cstheme="majorBidi"/>
                <w:b/>
                <w:bCs/>
                <w:sz w:val="18"/>
                <w:szCs w:val="18"/>
                <w:lang w:eastAsia="en-CA"/>
              </w:rPr>
              <w:t>Total</w:t>
            </w:r>
          </w:p>
        </w:tc>
      </w:tr>
      <w:tr w:rsidR="001E5F84" w:rsidRPr="00520E6D" w14:paraId="61B21593" w14:textId="77777777" w:rsidTr="00520E6D">
        <w:trPr>
          <w:trHeight w:val="408"/>
          <w:jc w:val="center"/>
        </w:trPr>
        <w:tc>
          <w:tcPr>
            <w:tcW w:w="302" w:type="pct"/>
            <w:hideMark/>
          </w:tcPr>
          <w:p w14:paraId="7E3789FE" w14:textId="77777777" w:rsidR="001E5F84" w:rsidRPr="00520E6D" w:rsidRDefault="001E5F84" w:rsidP="005F6719">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1.1</w:t>
            </w:r>
          </w:p>
        </w:tc>
        <w:tc>
          <w:tcPr>
            <w:tcW w:w="1423" w:type="pct"/>
            <w:hideMark/>
          </w:tcPr>
          <w:p w14:paraId="33B5D16E" w14:textId="77777777" w:rsidR="001E5F84" w:rsidRPr="00520E6D" w:rsidRDefault="001E5F84" w:rsidP="005F6719">
            <w:pPr>
              <w:keepNext/>
              <w:keepLines/>
              <w:jc w:val="left"/>
              <w:rPr>
                <w:rFonts w:asciiTheme="majorBidi" w:hAnsiTheme="majorBidi" w:cstheme="majorBidi"/>
                <w:sz w:val="18"/>
                <w:szCs w:val="18"/>
                <w:lang w:val="fr-CA" w:eastAsia="en-CA"/>
              </w:rPr>
            </w:pPr>
            <w:r>
              <w:rPr>
                <w:rFonts w:asciiTheme="majorBidi" w:hAnsiTheme="majorBidi" w:cstheme="majorBidi"/>
                <w:sz w:val="18"/>
                <w:szCs w:val="18"/>
                <w:lang w:val="fr-CA" w:eastAsia="en-CA"/>
              </w:rPr>
              <w:t>Calendrier de réduction des substances du groupe I de l'annexe C du Protocole de Montréal (tonnes PAO)</w:t>
            </w:r>
          </w:p>
        </w:tc>
        <w:tc>
          <w:tcPr>
            <w:tcW w:w="409" w:type="pct"/>
          </w:tcPr>
          <w:p w14:paraId="6130420D"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1,29</w:t>
            </w:r>
          </w:p>
        </w:tc>
        <w:tc>
          <w:tcPr>
            <w:tcW w:w="342" w:type="pct"/>
          </w:tcPr>
          <w:p w14:paraId="1362C571"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1,29</w:t>
            </w:r>
          </w:p>
        </w:tc>
        <w:tc>
          <w:tcPr>
            <w:tcW w:w="381" w:type="pct"/>
          </w:tcPr>
          <w:p w14:paraId="4F3D35EC"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0,64</w:t>
            </w:r>
          </w:p>
        </w:tc>
        <w:tc>
          <w:tcPr>
            <w:tcW w:w="504" w:type="pct"/>
          </w:tcPr>
          <w:p w14:paraId="7A4A8F93"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0,64</w:t>
            </w:r>
          </w:p>
        </w:tc>
        <w:tc>
          <w:tcPr>
            <w:tcW w:w="409" w:type="pct"/>
          </w:tcPr>
          <w:p w14:paraId="1972E960"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0,64</w:t>
            </w:r>
          </w:p>
        </w:tc>
        <w:tc>
          <w:tcPr>
            <w:tcW w:w="409" w:type="pct"/>
          </w:tcPr>
          <w:p w14:paraId="686FBBCC"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0,64</w:t>
            </w:r>
          </w:p>
        </w:tc>
        <w:tc>
          <w:tcPr>
            <w:tcW w:w="398" w:type="pct"/>
          </w:tcPr>
          <w:p w14:paraId="21847C98"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0,00</w:t>
            </w:r>
          </w:p>
        </w:tc>
        <w:tc>
          <w:tcPr>
            <w:tcW w:w="423" w:type="pct"/>
          </w:tcPr>
          <w:p w14:paraId="72AC93E1" w14:textId="77777777" w:rsidR="001E5F84" w:rsidRPr="00520E6D" w:rsidRDefault="001E5F84" w:rsidP="003030A4">
            <w:pPr>
              <w:keepNext/>
              <w:keepLines/>
              <w:jc w:val="right"/>
              <w:rPr>
                <w:rFonts w:asciiTheme="majorBidi" w:hAnsiTheme="majorBidi" w:cstheme="majorBidi"/>
                <w:sz w:val="18"/>
                <w:szCs w:val="18"/>
                <w:lang w:eastAsia="en-CA"/>
              </w:rPr>
            </w:pPr>
            <w:proofErr w:type="spellStart"/>
            <w:r>
              <w:rPr>
                <w:rFonts w:asciiTheme="majorBidi" w:hAnsiTheme="majorBidi" w:cstheme="majorBidi"/>
                <w:sz w:val="18"/>
                <w:szCs w:val="18"/>
              </w:rPr>
              <w:t>s.o</w:t>
            </w:r>
            <w:proofErr w:type="spellEnd"/>
            <w:r>
              <w:rPr>
                <w:rFonts w:asciiTheme="majorBidi" w:hAnsiTheme="majorBidi" w:cstheme="majorBidi"/>
                <w:sz w:val="18"/>
                <w:szCs w:val="18"/>
              </w:rPr>
              <w:t>.</w:t>
            </w:r>
          </w:p>
        </w:tc>
      </w:tr>
      <w:tr w:rsidR="001E5F84" w:rsidRPr="00520E6D" w14:paraId="7DCF99D0" w14:textId="77777777" w:rsidTr="00520E6D">
        <w:trPr>
          <w:trHeight w:val="408"/>
          <w:jc w:val="center"/>
        </w:trPr>
        <w:tc>
          <w:tcPr>
            <w:tcW w:w="302" w:type="pct"/>
            <w:hideMark/>
          </w:tcPr>
          <w:p w14:paraId="07F2858B" w14:textId="77777777" w:rsidR="001E5F84" w:rsidRPr="00520E6D" w:rsidRDefault="001E5F84" w:rsidP="005F6719">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1.2</w:t>
            </w:r>
          </w:p>
        </w:tc>
        <w:tc>
          <w:tcPr>
            <w:tcW w:w="1423" w:type="pct"/>
            <w:hideMark/>
          </w:tcPr>
          <w:p w14:paraId="7DF9D080" w14:textId="77777777" w:rsidR="001E5F84" w:rsidRPr="00520E6D" w:rsidRDefault="001E5F84" w:rsidP="005F6719">
            <w:pPr>
              <w:keepNext/>
              <w:keepLines/>
              <w:jc w:val="left"/>
              <w:rPr>
                <w:rFonts w:asciiTheme="majorBidi" w:hAnsiTheme="majorBidi" w:cstheme="majorBidi"/>
                <w:sz w:val="18"/>
                <w:szCs w:val="18"/>
                <w:lang w:val="fr-CA" w:eastAsia="en-CA"/>
              </w:rPr>
            </w:pPr>
            <w:r>
              <w:rPr>
                <w:rFonts w:asciiTheme="majorBidi" w:hAnsiTheme="majorBidi" w:cstheme="majorBidi"/>
                <w:sz w:val="18"/>
                <w:szCs w:val="18"/>
                <w:lang w:val="fr-CA" w:eastAsia="en-CA"/>
              </w:rPr>
              <w:t>Consommation totale maximum autorisée des substances du groupe I de l'annexe C (tonnes PAO)</w:t>
            </w:r>
          </w:p>
        </w:tc>
        <w:tc>
          <w:tcPr>
            <w:tcW w:w="409" w:type="pct"/>
          </w:tcPr>
          <w:p w14:paraId="73C0C8BD"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1,29</w:t>
            </w:r>
          </w:p>
        </w:tc>
        <w:tc>
          <w:tcPr>
            <w:tcW w:w="342" w:type="pct"/>
          </w:tcPr>
          <w:p w14:paraId="45E1FFCF"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1,29</w:t>
            </w:r>
          </w:p>
        </w:tc>
        <w:tc>
          <w:tcPr>
            <w:tcW w:w="381" w:type="pct"/>
          </w:tcPr>
          <w:p w14:paraId="0A1F7980"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0,64</w:t>
            </w:r>
          </w:p>
        </w:tc>
        <w:tc>
          <w:tcPr>
            <w:tcW w:w="504" w:type="pct"/>
          </w:tcPr>
          <w:p w14:paraId="7484DA0B"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0,64</w:t>
            </w:r>
          </w:p>
        </w:tc>
        <w:tc>
          <w:tcPr>
            <w:tcW w:w="409" w:type="pct"/>
          </w:tcPr>
          <w:p w14:paraId="27ADE131"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0,64</w:t>
            </w:r>
          </w:p>
        </w:tc>
        <w:tc>
          <w:tcPr>
            <w:tcW w:w="409" w:type="pct"/>
          </w:tcPr>
          <w:p w14:paraId="54A4DEC1"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0,64</w:t>
            </w:r>
          </w:p>
        </w:tc>
        <w:tc>
          <w:tcPr>
            <w:tcW w:w="398" w:type="pct"/>
          </w:tcPr>
          <w:p w14:paraId="540276AB"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0,00</w:t>
            </w:r>
          </w:p>
        </w:tc>
        <w:tc>
          <w:tcPr>
            <w:tcW w:w="423" w:type="pct"/>
          </w:tcPr>
          <w:p w14:paraId="7D8F4ED1" w14:textId="77777777" w:rsidR="001E5F84" w:rsidRPr="00520E6D" w:rsidRDefault="001E5F84" w:rsidP="003030A4">
            <w:pPr>
              <w:keepNext/>
              <w:keepLines/>
              <w:jc w:val="right"/>
              <w:rPr>
                <w:rFonts w:asciiTheme="majorBidi" w:hAnsiTheme="majorBidi" w:cstheme="majorBidi"/>
                <w:sz w:val="18"/>
                <w:szCs w:val="18"/>
                <w:lang w:eastAsia="en-CA"/>
              </w:rPr>
            </w:pPr>
            <w:proofErr w:type="spellStart"/>
            <w:r>
              <w:rPr>
                <w:rFonts w:asciiTheme="majorBidi" w:hAnsiTheme="majorBidi" w:cstheme="majorBidi"/>
                <w:sz w:val="18"/>
                <w:szCs w:val="18"/>
              </w:rPr>
              <w:t>s.o</w:t>
            </w:r>
            <w:proofErr w:type="spellEnd"/>
            <w:r>
              <w:rPr>
                <w:rFonts w:asciiTheme="majorBidi" w:hAnsiTheme="majorBidi" w:cstheme="majorBidi"/>
                <w:sz w:val="18"/>
                <w:szCs w:val="18"/>
              </w:rPr>
              <w:t>.</w:t>
            </w:r>
          </w:p>
        </w:tc>
      </w:tr>
      <w:tr w:rsidR="00D86490" w:rsidRPr="00520E6D" w14:paraId="0B95BB5F" w14:textId="77777777" w:rsidTr="00520E6D">
        <w:trPr>
          <w:trHeight w:val="116"/>
          <w:jc w:val="center"/>
        </w:trPr>
        <w:tc>
          <w:tcPr>
            <w:tcW w:w="302" w:type="pct"/>
            <w:hideMark/>
          </w:tcPr>
          <w:p w14:paraId="204CC45D" w14:textId="77777777" w:rsidR="00D86490" w:rsidRPr="00520E6D" w:rsidRDefault="00D86490" w:rsidP="00D86490">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2.1</w:t>
            </w:r>
          </w:p>
        </w:tc>
        <w:tc>
          <w:tcPr>
            <w:tcW w:w="1423" w:type="pct"/>
            <w:hideMark/>
          </w:tcPr>
          <w:p w14:paraId="3C15EABE" w14:textId="77777777" w:rsidR="00D86490" w:rsidRPr="00520E6D" w:rsidRDefault="00D86490" w:rsidP="00D86490">
            <w:pPr>
              <w:keepNext/>
              <w:keepLines/>
              <w:jc w:val="left"/>
              <w:rPr>
                <w:rFonts w:asciiTheme="majorBidi" w:hAnsiTheme="majorBidi" w:cstheme="majorBidi"/>
                <w:sz w:val="18"/>
                <w:szCs w:val="18"/>
                <w:lang w:val="fr-CA" w:eastAsia="en-CA"/>
              </w:rPr>
            </w:pPr>
            <w:r>
              <w:rPr>
                <w:rFonts w:asciiTheme="majorBidi" w:hAnsiTheme="majorBidi" w:cstheme="majorBidi"/>
                <w:sz w:val="18"/>
                <w:szCs w:val="18"/>
                <w:lang w:val="fr-CA" w:eastAsia="en-CA"/>
              </w:rPr>
              <w:t>Financement convenu pour le PNUE, agence principale ($US)</w:t>
            </w:r>
          </w:p>
        </w:tc>
        <w:tc>
          <w:tcPr>
            <w:tcW w:w="409" w:type="pct"/>
          </w:tcPr>
          <w:p w14:paraId="2FDB5563"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166 100</w:t>
            </w:r>
          </w:p>
        </w:tc>
        <w:tc>
          <w:tcPr>
            <w:tcW w:w="342" w:type="pct"/>
          </w:tcPr>
          <w:p w14:paraId="0C67930E"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81" w:type="pct"/>
          </w:tcPr>
          <w:p w14:paraId="7C813CA0"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504" w:type="pct"/>
          </w:tcPr>
          <w:p w14:paraId="04FFBD57" w14:textId="3AA76614" w:rsidR="00D86490" w:rsidRPr="00520E6D" w:rsidRDefault="00D86490" w:rsidP="003030A4">
            <w:pPr>
              <w:keepNext/>
              <w:keepLines/>
              <w:jc w:val="right"/>
              <w:rPr>
                <w:rFonts w:asciiTheme="majorBidi" w:hAnsiTheme="majorBidi" w:cstheme="majorBidi"/>
                <w:b/>
                <w:bCs/>
                <w:sz w:val="18"/>
                <w:szCs w:val="18"/>
                <w:lang w:eastAsia="en-CA"/>
              </w:rPr>
            </w:pPr>
            <w:r>
              <w:rPr>
                <w:b/>
                <w:bCs/>
                <w:color w:val="000000"/>
                <w:sz w:val="18"/>
                <w:szCs w:val="18"/>
              </w:rPr>
              <w:t>100 000</w:t>
            </w:r>
          </w:p>
        </w:tc>
        <w:tc>
          <w:tcPr>
            <w:tcW w:w="409" w:type="pct"/>
          </w:tcPr>
          <w:p w14:paraId="620F65C8"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158 400</w:t>
            </w:r>
          </w:p>
        </w:tc>
        <w:tc>
          <w:tcPr>
            <w:tcW w:w="409" w:type="pct"/>
          </w:tcPr>
          <w:p w14:paraId="03C085D2"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98" w:type="pct"/>
          </w:tcPr>
          <w:p w14:paraId="0BDA8CCE"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36 400</w:t>
            </w:r>
          </w:p>
        </w:tc>
        <w:tc>
          <w:tcPr>
            <w:tcW w:w="423" w:type="pct"/>
          </w:tcPr>
          <w:p w14:paraId="5A586133" w14:textId="3AACB64B" w:rsidR="00D86490" w:rsidRPr="00520E6D" w:rsidRDefault="00D86490" w:rsidP="003030A4">
            <w:pPr>
              <w:keepNext/>
              <w:keepLines/>
              <w:jc w:val="right"/>
              <w:rPr>
                <w:rFonts w:asciiTheme="majorBidi" w:hAnsiTheme="majorBidi" w:cstheme="majorBidi"/>
                <w:b/>
                <w:bCs/>
                <w:sz w:val="18"/>
                <w:szCs w:val="18"/>
                <w:lang w:eastAsia="en-CA"/>
              </w:rPr>
            </w:pPr>
            <w:r>
              <w:rPr>
                <w:rFonts w:asciiTheme="majorBidi" w:hAnsiTheme="majorBidi" w:cstheme="majorBidi"/>
                <w:b/>
                <w:bCs/>
                <w:sz w:val="18"/>
                <w:szCs w:val="18"/>
              </w:rPr>
              <w:t>460 900</w:t>
            </w:r>
          </w:p>
        </w:tc>
      </w:tr>
      <w:tr w:rsidR="00D86490" w:rsidRPr="00520E6D" w14:paraId="28AD01F0" w14:textId="77777777" w:rsidTr="00520E6D">
        <w:trPr>
          <w:trHeight w:val="56"/>
          <w:jc w:val="center"/>
        </w:trPr>
        <w:tc>
          <w:tcPr>
            <w:tcW w:w="302" w:type="pct"/>
            <w:hideMark/>
          </w:tcPr>
          <w:p w14:paraId="0A41D6D3" w14:textId="77777777" w:rsidR="00D86490" w:rsidRPr="00520E6D" w:rsidRDefault="00D86490" w:rsidP="00D86490">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2.2</w:t>
            </w:r>
          </w:p>
        </w:tc>
        <w:tc>
          <w:tcPr>
            <w:tcW w:w="1423" w:type="pct"/>
            <w:hideMark/>
          </w:tcPr>
          <w:p w14:paraId="1ADB0FAE" w14:textId="77777777" w:rsidR="00D86490" w:rsidRPr="00520E6D" w:rsidRDefault="00D86490" w:rsidP="00D86490">
            <w:pPr>
              <w:keepNext/>
              <w:keepLines/>
              <w:jc w:val="left"/>
              <w:rPr>
                <w:rFonts w:asciiTheme="majorBidi" w:hAnsiTheme="majorBidi" w:cstheme="majorBidi"/>
                <w:sz w:val="18"/>
                <w:szCs w:val="18"/>
                <w:lang w:val="fr-CA" w:eastAsia="en-CA"/>
              </w:rPr>
            </w:pPr>
            <w:r>
              <w:rPr>
                <w:rFonts w:asciiTheme="majorBidi" w:hAnsiTheme="majorBidi" w:cstheme="majorBidi"/>
                <w:sz w:val="18"/>
                <w:szCs w:val="18"/>
                <w:lang w:val="fr-CA" w:eastAsia="en-CA"/>
              </w:rPr>
              <w:t>Coûts d'appui pour l'agence principale ($US)</w:t>
            </w:r>
          </w:p>
        </w:tc>
        <w:tc>
          <w:tcPr>
            <w:tcW w:w="409" w:type="pct"/>
          </w:tcPr>
          <w:p w14:paraId="60F5546F"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21 593</w:t>
            </w:r>
          </w:p>
        </w:tc>
        <w:tc>
          <w:tcPr>
            <w:tcW w:w="342" w:type="pct"/>
          </w:tcPr>
          <w:p w14:paraId="3EB51871"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81" w:type="pct"/>
          </w:tcPr>
          <w:p w14:paraId="44777307"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504" w:type="pct"/>
          </w:tcPr>
          <w:p w14:paraId="3584B46D" w14:textId="7EB76D09" w:rsidR="00D86490" w:rsidRPr="00520E6D" w:rsidRDefault="00D86490" w:rsidP="003030A4">
            <w:pPr>
              <w:keepNext/>
              <w:keepLines/>
              <w:jc w:val="right"/>
              <w:rPr>
                <w:rFonts w:asciiTheme="majorBidi" w:hAnsiTheme="majorBidi" w:cstheme="majorBidi"/>
                <w:b/>
                <w:bCs/>
                <w:sz w:val="18"/>
                <w:szCs w:val="18"/>
                <w:lang w:eastAsia="en-CA"/>
              </w:rPr>
            </w:pPr>
            <w:r>
              <w:rPr>
                <w:b/>
                <w:bCs/>
                <w:color w:val="000000"/>
                <w:sz w:val="18"/>
                <w:szCs w:val="18"/>
              </w:rPr>
              <w:t xml:space="preserve"> 13 000 </w:t>
            </w:r>
          </w:p>
        </w:tc>
        <w:tc>
          <w:tcPr>
            <w:tcW w:w="409" w:type="pct"/>
          </w:tcPr>
          <w:p w14:paraId="3F0A8E1E"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20 592</w:t>
            </w:r>
          </w:p>
        </w:tc>
        <w:tc>
          <w:tcPr>
            <w:tcW w:w="409" w:type="pct"/>
          </w:tcPr>
          <w:p w14:paraId="12FAEA8B"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98" w:type="pct"/>
          </w:tcPr>
          <w:p w14:paraId="3F04A193"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4 732</w:t>
            </w:r>
          </w:p>
        </w:tc>
        <w:tc>
          <w:tcPr>
            <w:tcW w:w="423" w:type="pct"/>
          </w:tcPr>
          <w:p w14:paraId="2FB75E64" w14:textId="2ED6649C" w:rsidR="00D86490" w:rsidRPr="00520E6D" w:rsidRDefault="00D86490" w:rsidP="003030A4">
            <w:pPr>
              <w:keepNext/>
              <w:keepLines/>
              <w:jc w:val="right"/>
              <w:rPr>
                <w:rFonts w:asciiTheme="majorBidi" w:hAnsiTheme="majorBidi" w:cstheme="majorBidi"/>
                <w:b/>
                <w:bCs/>
                <w:sz w:val="18"/>
                <w:szCs w:val="18"/>
                <w:lang w:eastAsia="en-CA"/>
              </w:rPr>
            </w:pPr>
            <w:r>
              <w:rPr>
                <w:rFonts w:asciiTheme="majorBidi" w:hAnsiTheme="majorBidi" w:cstheme="majorBidi"/>
                <w:b/>
                <w:bCs/>
                <w:sz w:val="18"/>
                <w:szCs w:val="18"/>
                <w:lang w:eastAsia="en-CA"/>
              </w:rPr>
              <w:t>59 917</w:t>
            </w:r>
          </w:p>
        </w:tc>
      </w:tr>
      <w:tr w:rsidR="00D86490" w:rsidRPr="00520E6D" w14:paraId="5146CC32" w14:textId="77777777" w:rsidTr="00520E6D">
        <w:trPr>
          <w:trHeight w:val="161"/>
          <w:jc w:val="center"/>
        </w:trPr>
        <w:tc>
          <w:tcPr>
            <w:tcW w:w="302" w:type="pct"/>
            <w:hideMark/>
          </w:tcPr>
          <w:p w14:paraId="10302557" w14:textId="77777777" w:rsidR="00D86490" w:rsidRPr="00520E6D" w:rsidRDefault="00D86490" w:rsidP="00D86490">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2.3</w:t>
            </w:r>
          </w:p>
        </w:tc>
        <w:tc>
          <w:tcPr>
            <w:tcW w:w="1423" w:type="pct"/>
            <w:hideMark/>
          </w:tcPr>
          <w:p w14:paraId="22152338" w14:textId="77777777" w:rsidR="00D86490" w:rsidRPr="00520E6D" w:rsidRDefault="00D86490" w:rsidP="00D86490">
            <w:pPr>
              <w:keepNext/>
              <w:keepLines/>
              <w:jc w:val="left"/>
              <w:rPr>
                <w:rFonts w:asciiTheme="majorBidi" w:hAnsiTheme="majorBidi" w:cstheme="majorBidi"/>
                <w:sz w:val="18"/>
                <w:szCs w:val="18"/>
                <w:lang w:val="fr-CA" w:eastAsia="en-CA"/>
              </w:rPr>
            </w:pPr>
            <w:r>
              <w:rPr>
                <w:rFonts w:asciiTheme="majorBidi" w:hAnsiTheme="majorBidi" w:cstheme="majorBidi"/>
                <w:sz w:val="18"/>
                <w:szCs w:val="18"/>
                <w:lang w:val="fr-CA" w:eastAsia="en-CA"/>
              </w:rPr>
              <w:t>Financement convenu pour l'agence de coopération (ONUDI) ($US)</w:t>
            </w:r>
          </w:p>
        </w:tc>
        <w:tc>
          <w:tcPr>
            <w:tcW w:w="409" w:type="pct"/>
          </w:tcPr>
          <w:p w14:paraId="1FF4E00E"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61 000</w:t>
            </w:r>
          </w:p>
        </w:tc>
        <w:tc>
          <w:tcPr>
            <w:tcW w:w="342" w:type="pct"/>
          </w:tcPr>
          <w:p w14:paraId="10444238"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81" w:type="pct"/>
          </w:tcPr>
          <w:p w14:paraId="25AD1C9C"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504" w:type="pct"/>
          </w:tcPr>
          <w:p w14:paraId="7D2F6456" w14:textId="5A45B4A7" w:rsidR="00D86490" w:rsidRPr="00520E6D" w:rsidRDefault="00D86490" w:rsidP="003030A4">
            <w:pPr>
              <w:keepNext/>
              <w:keepLines/>
              <w:jc w:val="right"/>
              <w:rPr>
                <w:rFonts w:asciiTheme="majorBidi" w:hAnsiTheme="majorBidi" w:cstheme="majorBidi"/>
                <w:sz w:val="18"/>
                <w:szCs w:val="18"/>
                <w:lang w:eastAsia="en-CA"/>
              </w:rPr>
            </w:pPr>
            <w:r>
              <w:rPr>
                <w:color w:val="000000"/>
                <w:sz w:val="18"/>
                <w:szCs w:val="18"/>
              </w:rPr>
              <w:t xml:space="preserve">       0</w:t>
            </w:r>
          </w:p>
        </w:tc>
        <w:tc>
          <w:tcPr>
            <w:tcW w:w="409" w:type="pct"/>
          </w:tcPr>
          <w:p w14:paraId="1E292504"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99 600</w:t>
            </w:r>
          </w:p>
        </w:tc>
        <w:tc>
          <w:tcPr>
            <w:tcW w:w="409" w:type="pct"/>
          </w:tcPr>
          <w:p w14:paraId="2B7DC1FA"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98" w:type="pct"/>
          </w:tcPr>
          <w:p w14:paraId="12875E27"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18 500</w:t>
            </w:r>
          </w:p>
        </w:tc>
        <w:tc>
          <w:tcPr>
            <w:tcW w:w="423" w:type="pct"/>
          </w:tcPr>
          <w:p w14:paraId="6E33B8D6"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179 100</w:t>
            </w:r>
          </w:p>
        </w:tc>
      </w:tr>
      <w:tr w:rsidR="001E5F84" w:rsidRPr="00520E6D" w14:paraId="01CA7F20" w14:textId="77777777" w:rsidTr="00520E6D">
        <w:trPr>
          <w:trHeight w:val="60"/>
          <w:jc w:val="center"/>
        </w:trPr>
        <w:tc>
          <w:tcPr>
            <w:tcW w:w="302" w:type="pct"/>
            <w:hideMark/>
          </w:tcPr>
          <w:p w14:paraId="24148E15" w14:textId="77777777" w:rsidR="001E5F84" w:rsidRPr="00520E6D" w:rsidRDefault="001E5F84" w:rsidP="005F6719">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2.4</w:t>
            </w:r>
          </w:p>
        </w:tc>
        <w:tc>
          <w:tcPr>
            <w:tcW w:w="1423" w:type="pct"/>
            <w:hideMark/>
          </w:tcPr>
          <w:p w14:paraId="439B6F08" w14:textId="77777777" w:rsidR="001E5F84" w:rsidRPr="00520E6D" w:rsidRDefault="001E5F84" w:rsidP="005F6719">
            <w:pPr>
              <w:keepNext/>
              <w:keepLines/>
              <w:jc w:val="left"/>
              <w:rPr>
                <w:rFonts w:asciiTheme="majorBidi" w:hAnsiTheme="majorBidi" w:cstheme="majorBidi"/>
                <w:sz w:val="18"/>
                <w:szCs w:val="18"/>
                <w:lang w:val="fr-CA" w:eastAsia="en-CA"/>
              </w:rPr>
            </w:pPr>
            <w:r>
              <w:rPr>
                <w:rFonts w:asciiTheme="majorBidi" w:hAnsiTheme="majorBidi" w:cstheme="majorBidi"/>
                <w:sz w:val="18"/>
                <w:szCs w:val="18"/>
                <w:lang w:val="fr-CA" w:eastAsia="en-CA"/>
              </w:rPr>
              <w:t>Coûts d'appui pour l'agence de coopération ($US)</w:t>
            </w:r>
          </w:p>
        </w:tc>
        <w:tc>
          <w:tcPr>
            <w:tcW w:w="409" w:type="pct"/>
          </w:tcPr>
          <w:p w14:paraId="3CFF509C"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5 490</w:t>
            </w:r>
          </w:p>
        </w:tc>
        <w:tc>
          <w:tcPr>
            <w:tcW w:w="342" w:type="pct"/>
          </w:tcPr>
          <w:p w14:paraId="29C44E2F"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81" w:type="pct"/>
          </w:tcPr>
          <w:p w14:paraId="6AF82EEC"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504" w:type="pct"/>
          </w:tcPr>
          <w:p w14:paraId="4E2D095F"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409" w:type="pct"/>
          </w:tcPr>
          <w:p w14:paraId="30CD623F"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8 964</w:t>
            </w:r>
          </w:p>
        </w:tc>
        <w:tc>
          <w:tcPr>
            <w:tcW w:w="409" w:type="pct"/>
          </w:tcPr>
          <w:p w14:paraId="523ED178"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98" w:type="pct"/>
          </w:tcPr>
          <w:p w14:paraId="4EF6C67A"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1 665</w:t>
            </w:r>
          </w:p>
        </w:tc>
        <w:tc>
          <w:tcPr>
            <w:tcW w:w="423" w:type="pct"/>
          </w:tcPr>
          <w:p w14:paraId="6C292703"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16 119</w:t>
            </w:r>
          </w:p>
        </w:tc>
      </w:tr>
      <w:tr w:rsidR="00D86490" w:rsidRPr="00520E6D" w14:paraId="0A535E27" w14:textId="77777777" w:rsidTr="00520E6D">
        <w:trPr>
          <w:trHeight w:val="62"/>
          <w:jc w:val="center"/>
        </w:trPr>
        <w:tc>
          <w:tcPr>
            <w:tcW w:w="302" w:type="pct"/>
            <w:hideMark/>
          </w:tcPr>
          <w:p w14:paraId="507BAACB" w14:textId="77777777" w:rsidR="00D86490" w:rsidRPr="00520E6D" w:rsidRDefault="00D86490" w:rsidP="00D86490">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3.1</w:t>
            </w:r>
          </w:p>
        </w:tc>
        <w:tc>
          <w:tcPr>
            <w:tcW w:w="1423" w:type="pct"/>
            <w:hideMark/>
          </w:tcPr>
          <w:p w14:paraId="3354021E" w14:textId="77777777" w:rsidR="00D86490" w:rsidRPr="00520E6D" w:rsidRDefault="00D86490" w:rsidP="00D86490">
            <w:pPr>
              <w:keepNext/>
              <w:keepLines/>
              <w:jc w:val="left"/>
              <w:rPr>
                <w:rFonts w:asciiTheme="majorBidi" w:hAnsiTheme="majorBidi" w:cstheme="majorBidi"/>
                <w:sz w:val="18"/>
                <w:szCs w:val="18"/>
                <w:lang w:val="fr-CA" w:eastAsia="en-CA"/>
              </w:rPr>
            </w:pPr>
            <w:r>
              <w:rPr>
                <w:rFonts w:asciiTheme="majorBidi" w:hAnsiTheme="majorBidi" w:cstheme="majorBidi"/>
                <w:sz w:val="18"/>
                <w:szCs w:val="18"/>
                <w:lang w:val="fr-CA" w:eastAsia="en-CA"/>
              </w:rPr>
              <w:t>Total du financement convenu ($US)</w:t>
            </w:r>
          </w:p>
        </w:tc>
        <w:tc>
          <w:tcPr>
            <w:tcW w:w="409" w:type="pct"/>
          </w:tcPr>
          <w:p w14:paraId="38E2179C"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227 100</w:t>
            </w:r>
          </w:p>
        </w:tc>
        <w:tc>
          <w:tcPr>
            <w:tcW w:w="342" w:type="pct"/>
          </w:tcPr>
          <w:p w14:paraId="54B085ED"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81" w:type="pct"/>
          </w:tcPr>
          <w:p w14:paraId="130EAF2A"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504" w:type="pct"/>
          </w:tcPr>
          <w:p w14:paraId="35629E79" w14:textId="1E1C0CDF" w:rsidR="00D86490" w:rsidRPr="00520E6D" w:rsidRDefault="00D86490" w:rsidP="003030A4">
            <w:pPr>
              <w:keepNext/>
              <w:keepLines/>
              <w:jc w:val="right"/>
              <w:rPr>
                <w:rFonts w:asciiTheme="majorBidi" w:hAnsiTheme="majorBidi" w:cstheme="majorBidi"/>
                <w:b/>
                <w:bCs/>
                <w:sz w:val="18"/>
                <w:szCs w:val="18"/>
                <w:lang w:eastAsia="en-CA"/>
              </w:rPr>
            </w:pPr>
            <w:r>
              <w:rPr>
                <w:b/>
                <w:bCs/>
                <w:color w:val="000000"/>
                <w:sz w:val="18"/>
                <w:szCs w:val="18"/>
              </w:rPr>
              <w:t>100 000</w:t>
            </w:r>
          </w:p>
        </w:tc>
        <w:tc>
          <w:tcPr>
            <w:tcW w:w="409" w:type="pct"/>
          </w:tcPr>
          <w:p w14:paraId="236654FC"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258 000</w:t>
            </w:r>
          </w:p>
        </w:tc>
        <w:tc>
          <w:tcPr>
            <w:tcW w:w="409" w:type="pct"/>
          </w:tcPr>
          <w:p w14:paraId="27D716E6"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98" w:type="pct"/>
          </w:tcPr>
          <w:p w14:paraId="019636BF"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54 900</w:t>
            </w:r>
          </w:p>
        </w:tc>
        <w:tc>
          <w:tcPr>
            <w:tcW w:w="423" w:type="pct"/>
          </w:tcPr>
          <w:p w14:paraId="7ABEF1E8" w14:textId="220AEA56" w:rsidR="00D86490" w:rsidRPr="00520E6D" w:rsidRDefault="00D86490" w:rsidP="003030A4">
            <w:pPr>
              <w:keepNext/>
              <w:keepLines/>
              <w:jc w:val="right"/>
              <w:rPr>
                <w:rFonts w:asciiTheme="majorBidi" w:hAnsiTheme="majorBidi" w:cstheme="majorBidi"/>
                <w:b/>
                <w:bCs/>
                <w:sz w:val="18"/>
                <w:szCs w:val="18"/>
                <w:lang w:eastAsia="en-CA"/>
              </w:rPr>
            </w:pPr>
            <w:r>
              <w:rPr>
                <w:rFonts w:asciiTheme="majorBidi" w:hAnsiTheme="majorBidi" w:cstheme="majorBidi"/>
                <w:b/>
                <w:bCs/>
                <w:sz w:val="18"/>
                <w:szCs w:val="18"/>
              </w:rPr>
              <w:t>640 000</w:t>
            </w:r>
          </w:p>
        </w:tc>
      </w:tr>
      <w:tr w:rsidR="00D86490" w:rsidRPr="00520E6D" w14:paraId="46B6BA93" w14:textId="77777777" w:rsidTr="00520E6D">
        <w:trPr>
          <w:trHeight w:val="62"/>
          <w:jc w:val="center"/>
        </w:trPr>
        <w:tc>
          <w:tcPr>
            <w:tcW w:w="302" w:type="pct"/>
            <w:hideMark/>
          </w:tcPr>
          <w:p w14:paraId="3B4FA967" w14:textId="77777777" w:rsidR="00D86490" w:rsidRPr="00520E6D" w:rsidRDefault="00D86490" w:rsidP="00D86490">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3.2</w:t>
            </w:r>
          </w:p>
        </w:tc>
        <w:tc>
          <w:tcPr>
            <w:tcW w:w="1423" w:type="pct"/>
            <w:hideMark/>
          </w:tcPr>
          <w:p w14:paraId="7A22A6D6" w14:textId="77777777" w:rsidR="00D86490" w:rsidRPr="00520E6D" w:rsidRDefault="00D86490" w:rsidP="00D86490">
            <w:pPr>
              <w:keepNext/>
              <w:keepLines/>
              <w:jc w:val="left"/>
              <w:rPr>
                <w:rFonts w:asciiTheme="majorBidi" w:hAnsiTheme="majorBidi" w:cstheme="majorBidi"/>
                <w:sz w:val="18"/>
                <w:szCs w:val="18"/>
                <w:lang w:val="fr-CA" w:eastAsia="en-CA"/>
              </w:rPr>
            </w:pPr>
            <w:r>
              <w:rPr>
                <w:rFonts w:asciiTheme="majorBidi" w:hAnsiTheme="majorBidi" w:cstheme="majorBidi"/>
                <w:sz w:val="18"/>
                <w:szCs w:val="18"/>
                <w:lang w:val="fr-CA" w:eastAsia="en-CA"/>
              </w:rPr>
              <w:t>Total des coûts d'appui ($US)</w:t>
            </w:r>
          </w:p>
        </w:tc>
        <w:tc>
          <w:tcPr>
            <w:tcW w:w="409" w:type="pct"/>
          </w:tcPr>
          <w:p w14:paraId="1E675874"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27 083</w:t>
            </w:r>
          </w:p>
        </w:tc>
        <w:tc>
          <w:tcPr>
            <w:tcW w:w="342" w:type="pct"/>
          </w:tcPr>
          <w:p w14:paraId="7DB92597"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81" w:type="pct"/>
          </w:tcPr>
          <w:p w14:paraId="42E40EB0"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504" w:type="pct"/>
          </w:tcPr>
          <w:p w14:paraId="42144117" w14:textId="25408504" w:rsidR="00D86490" w:rsidRPr="00520E6D" w:rsidRDefault="00D86490" w:rsidP="003030A4">
            <w:pPr>
              <w:keepNext/>
              <w:keepLines/>
              <w:jc w:val="right"/>
              <w:rPr>
                <w:rFonts w:asciiTheme="majorBidi" w:hAnsiTheme="majorBidi" w:cstheme="majorBidi"/>
                <w:b/>
                <w:bCs/>
                <w:sz w:val="18"/>
                <w:szCs w:val="18"/>
                <w:lang w:eastAsia="en-CA"/>
              </w:rPr>
            </w:pPr>
            <w:r>
              <w:rPr>
                <w:b/>
                <w:bCs/>
                <w:color w:val="000000"/>
                <w:sz w:val="18"/>
                <w:szCs w:val="18"/>
              </w:rPr>
              <w:t xml:space="preserve">       13 000 </w:t>
            </w:r>
          </w:p>
        </w:tc>
        <w:tc>
          <w:tcPr>
            <w:tcW w:w="409" w:type="pct"/>
          </w:tcPr>
          <w:p w14:paraId="1E11F051"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29 556</w:t>
            </w:r>
          </w:p>
        </w:tc>
        <w:tc>
          <w:tcPr>
            <w:tcW w:w="409" w:type="pct"/>
          </w:tcPr>
          <w:p w14:paraId="313D088D"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98" w:type="pct"/>
          </w:tcPr>
          <w:p w14:paraId="0D7DDAC0" w14:textId="77777777" w:rsidR="00D86490" w:rsidRPr="00520E6D" w:rsidRDefault="00D86490"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6 397</w:t>
            </w:r>
          </w:p>
        </w:tc>
        <w:tc>
          <w:tcPr>
            <w:tcW w:w="423" w:type="pct"/>
          </w:tcPr>
          <w:p w14:paraId="303D9CD7" w14:textId="7E37992B" w:rsidR="00D86490" w:rsidRPr="00520E6D" w:rsidRDefault="00FA099F" w:rsidP="003030A4">
            <w:pPr>
              <w:keepNext/>
              <w:keepLines/>
              <w:jc w:val="right"/>
              <w:rPr>
                <w:rFonts w:asciiTheme="majorBidi" w:hAnsiTheme="majorBidi" w:cstheme="majorBidi"/>
                <w:b/>
                <w:bCs/>
                <w:sz w:val="18"/>
                <w:szCs w:val="18"/>
                <w:lang w:eastAsia="en-CA"/>
              </w:rPr>
            </w:pPr>
            <w:r>
              <w:rPr>
                <w:rFonts w:asciiTheme="majorBidi" w:hAnsiTheme="majorBidi" w:cstheme="majorBidi"/>
                <w:b/>
                <w:bCs/>
                <w:sz w:val="18"/>
                <w:szCs w:val="18"/>
              </w:rPr>
              <w:t>76 036</w:t>
            </w:r>
          </w:p>
        </w:tc>
      </w:tr>
      <w:tr w:rsidR="001E5F84" w:rsidRPr="00520E6D" w14:paraId="0ABBE242" w14:textId="77777777" w:rsidTr="00520E6D">
        <w:trPr>
          <w:trHeight w:val="53"/>
          <w:jc w:val="center"/>
        </w:trPr>
        <w:tc>
          <w:tcPr>
            <w:tcW w:w="302" w:type="pct"/>
            <w:hideMark/>
          </w:tcPr>
          <w:p w14:paraId="6B206467" w14:textId="77777777" w:rsidR="001E5F84" w:rsidRPr="00520E6D" w:rsidRDefault="001E5F84" w:rsidP="005F6719">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3.3</w:t>
            </w:r>
          </w:p>
        </w:tc>
        <w:tc>
          <w:tcPr>
            <w:tcW w:w="1423" w:type="pct"/>
            <w:hideMark/>
          </w:tcPr>
          <w:p w14:paraId="54B8BCCD" w14:textId="77777777" w:rsidR="001E5F84" w:rsidRPr="00520E6D" w:rsidRDefault="001E5F84" w:rsidP="005F6719">
            <w:pPr>
              <w:keepNext/>
              <w:keepLines/>
              <w:jc w:val="left"/>
              <w:rPr>
                <w:rFonts w:asciiTheme="majorBidi" w:hAnsiTheme="majorBidi" w:cstheme="majorBidi"/>
                <w:sz w:val="18"/>
                <w:szCs w:val="18"/>
                <w:lang w:val="fr-CA" w:eastAsia="en-CA"/>
              </w:rPr>
            </w:pPr>
            <w:r>
              <w:rPr>
                <w:rFonts w:asciiTheme="majorBidi" w:hAnsiTheme="majorBidi" w:cstheme="majorBidi"/>
                <w:sz w:val="18"/>
                <w:szCs w:val="18"/>
                <w:lang w:val="fr-CA" w:eastAsia="en-CA"/>
              </w:rPr>
              <w:t>Total des coûts convenus ($US)</w:t>
            </w:r>
          </w:p>
        </w:tc>
        <w:tc>
          <w:tcPr>
            <w:tcW w:w="409" w:type="pct"/>
          </w:tcPr>
          <w:p w14:paraId="4E2FE834"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254 183</w:t>
            </w:r>
          </w:p>
        </w:tc>
        <w:tc>
          <w:tcPr>
            <w:tcW w:w="342" w:type="pct"/>
          </w:tcPr>
          <w:p w14:paraId="1EEBE3AA"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81" w:type="pct"/>
          </w:tcPr>
          <w:p w14:paraId="5A89C341"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504" w:type="pct"/>
          </w:tcPr>
          <w:p w14:paraId="72146DED" w14:textId="1779CA1D" w:rsidR="001E5F84" w:rsidRPr="00520E6D" w:rsidRDefault="00D86490" w:rsidP="003030A4">
            <w:pPr>
              <w:keepNext/>
              <w:keepLines/>
              <w:jc w:val="right"/>
              <w:rPr>
                <w:rFonts w:asciiTheme="majorBidi" w:hAnsiTheme="majorBidi" w:cstheme="majorBidi"/>
                <w:b/>
                <w:bCs/>
                <w:sz w:val="18"/>
                <w:szCs w:val="18"/>
                <w:lang w:eastAsia="en-CA"/>
              </w:rPr>
            </w:pPr>
            <w:r>
              <w:rPr>
                <w:rFonts w:asciiTheme="majorBidi" w:hAnsiTheme="majorBidi" w:cstheme="majorBidi"/>
                <w:b/>
                <w:bCs/>
                <w:sz w:val="18"/>
                <w:szCs w:val="18"/>
                <w:lang w:eastAsia="en-CA"/>
              </w:rPr>
              <w:t>113 000</w:t>
            </w:r>
          </w:p>
        </w:tc>
        <w:tc>
          <w:tcPr>
            <w:tcW w:w="409" w:type="pct"/>
          </w:tcPr>
          <w:p w14:paraId="14CA0AB9"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287 556</w:t>
            </w:r>
          </w:p>
        </w:tc>
        <w:tc>
          <w:tcPr>
            <w:tcW w:w="409" w:type="pct"/>
          </w:tcPr>
          <w:p w14:paraId="260A04CB"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0</w:t>
            </w:r>
          </w:p>
        </w:tc>
        <w:tc>
          <w:tcPr>
            <w:tcW w:w="398" w:type="pct"/>
          </w:tcPr>
          <w:p w14:paraId="6966B251" w14:textId="77777777" w:rsidR="001E5F84" w:rsidRPr="00520E6D" w:rsidRDefault="001E5F84" w:rsidP="003030A4">
            <w:pPr>
              <w:keepNext/>
              <w:keepLines/>
              <w:jc w:val="right"/>
              <w:rPr>
                <w:rFonts w:asciiTheme="majorBidi" w:hAnsiTheme="majorBidi" w:cstheme="majorBidi"/>
                <w:sz w:val="18"/>
                <w:szCs w:val="18"/>
                <w:lang w:eastAsia="en-CA"/>
              </w:rPr>
            </w:pPr>
            <w:r>
              <w:rPr>
                <w:rFonts w:asciiTheme="majorBidi" w:hAnsiTheme="majorBidi" w:cstheme="majorBidi"/>
                <w:sz w:val="18"/>
                <w:szCs w:val="18"/>
              </w:rPr>
              <w:t>61 297</w:t>
            </w:r>
          </w:p>
        </w:tc>
        <w:tc>
          <w:tcPr>
            <w:tcW w:w="423" w:type="pct"/>
          </w:tcPr>
          <w:p w14:paraId="23D3ADB6" w14:textId="69DC78E2" w:rsidR="001E5F84" w:rsidRPr="00520E6D" w:rsidRDefault="00D27CB2" w:rsidP="003030A4">
            <w:pPr>
              <w:keepNext/>
              <w:keepLines/>
              <w:jc w:val="right"/>
              <w:rPr>
                <w:rFonts w:asciiTheme="majorBidi" w:hAnsiTheme="majorBidi" w:cstheme="majorBidi"/>
                <w:b/>
                <w:bCs/>
                <w:sz w:val="18"/>
                <w:szCs w:val="18"/>
                <w:lang w:eastAsia="en-CA"/>
              </w:rPr>
            </w:pPr>
            <w:r>
              <w:rPr>
                <w:rFonts w:asciiTheme="majorBidi" w:hAnsiTheme="majorBidi" w:cstheme="majorBidi"/>
                <w:b/>
                <w:bCs/>
                <w:sz w:val="18"/>
                <w:szCs w:val="18"/>
              </w:rPr>
              <w:t>716 036</w:t>
            </w:r>
          </w:p>
        </w:tc>
      </w:tr>
      <w:tr w:rsidR="001E5F84" w:rsidRPr="00520E6D" w14:paraId="3DB638EA" w14:textId="77777777" w:rsidTr="00520E6D">
        <w:trPr>
          <w:trHeight w:val="53"/>
          <w:jc w:val="center"/>
        </w:trPr>
        <w:tc>
          <w:tcPr>
            <w:tcW w:w="302" w:type="pct"/>
            <w:hideMark/>
          </w:tcPr>
          <w:p w14:paraId="64E3A7DC" w14:textId="77777777" w:rsidR="001E5F84" w:rsidRPr="00520E6D" w:rsidRDefault="001E5F84" w:rsidP="005F6719">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4.1.1</w:t>
            </w:r>
          </w:p>
        </w:tc>
        <w:tc>
          <w:tcPr>
            <w:tcW w:w="4275" w:type="pct"/>
            <w:gridSpan w:val="8"/>
            <w:hideMark/>
          </w:tcPr>
          <w:p w14:paraId="0CAB915F" w14:textId="77777777" w:rsidR="001E5F84" w:rsidRPr="00520E6D" w:rsidRDefault="001E5F84" w:rsidP="005F6719">
            <w:pPr>
              <w:keepNext/>
              <w:keepLines/>
              <w:ind w:right="400"/>
              <w:rPr>
                <w:rFonts w:asciiTheme="majorBidi" w:hAnsiTheme="majorBidi" w:cstheme="majorBidi"/>
                <w:sz w:val="18"/>
                <w:szCs w:val="18"/>
                <w:lang w:val="fr-CA" w:eastAsia="en-CA"/>
              </w:rPr>
            </w:pPr>
            <w:r>
              <w:rPr>
                <w:rFonts w:asciiTheme="majorBidi" w:hAnsiTheme="majorBidi" w:cstheme="majorBidi"/>
                <w:sz w:val="18"/>
                <w:szCs w:val="18"/>
                <w:lang w:val="fr-CA" w:eastAsia="en-CA"/>
              </w:rPr>
              <w:t>Élimination totale du HCFC-22 qu’il est convenu de réaliser dans le cadre du présent accord (tonnes PAO)</w:t>
            </w:r>
          </w:p>
        </w:tc>
        <w:tc>
          <w:tcPr>
            <w:tcW w:w="423" w:type="pct"/>
          </w:tcPr>
          <w:p w14:paraId="2CF492F3" w14:textId="77777777" w:rsidR="001E5F84" w:rsidRPr="00520E6D" w:rsidRDefault="001E5F84" w:rsidP="005F6719">
            <w:pPr>
              <w:keepNext/>
              <w:keepLines/>
              <w:jc w:val="right"/>
              <w:rPr>
                <w:rFonts w:asciiTheme="majorBidi" w:hAnsiTheme="majorBidi" w:cstheme="majorBidi"/>
                <w:sz w:val="18"/>
                <w:szCs w:val="18"/>
                <w:lang w:eastAsia="en-CA"/>
              </w:rPr>
            </w:pPr>
            <w:r>
              <w:rPr>
                <w:rFonts w:asciiTheme="majorBidi" w:hAnsiTheme="majorBidi" w:cstheme="majorBidi"/>
                <w:sz w:val="18"/>
                <w:szCs w:val="18"/>
                <w:lang w:eastAsia="en-CA"/>
              </w:rPr>
              <w:t>1,29</w:t>
            </w:r>
          </w:p>
        </w:tc>
      </w:tr>
      <w:tr w:rsidR="001E5F84" w:rsidRPr="00520E6D" w14:paraId="2A8A11C4" w14:textId="77777777" w:rsidTr="00520E6D">
        <w:trPr>
          <w:trHeight w:val="116"/>
          <w:jc w:val="center"/>
        </w:trPr>
        <w:tc>
          <w:tcPr>
            <w:tcW w:w="302" w:type="pct"/>
            <w:hideMark/>
          </w:tcPr>
          <w:p w14:paraId="12B22B2C" w14:textId="77777777" w:rsidR="001E5F84" w:rsidRPr="00520E6D" w:rsidRDefault="001E5F84" w:rsidP="005F6719">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4.1.2</w:t>
            </w:r>
          </w:p>
        </w:tc>
        <w:tc>
          <w:tcPr>
            <w:tcW w:w="4275" w:type="pct"/>
            <w:gridSpan w:val="8"/>
            <w:hideMark/>
          </w:tcPr>
          <w:p w14:paraId="582EF95F" w14:textId="77777777" w:rsidR="001E5F84" w:rsidRPr="00520E6D" w:rsidRDefault="001E5F84" w:rsidP="005F6719">
            <w:pPr>
              <w:keepNext/>
              <w:keepLines/>
              <w:ind w:right="400"/>
              <w:rPr>
                <w:rFonts w:asciiTheme="majorBidi" w:hAnsiTheme="majorBidi" w:cstheme="majorBidi"/>
                <w:sz w:val="18"/>
                <w:szCs w:val="18"/>
                <w:lang w:val="fr-CA" w:eastAsia="en-CA"/>
              </w:rPr>
            </w:pPr>
            <w:r>
              <w:rPr>
                <w:rFonts w:asciiTheme="majorBidi" w:hAnsiTheme="majorBidi" w:cstheme="majorBidi"/>
                <w:sz w:val="18"/>
                <w:szCs w:val="18"/>
                <w:lang w:val="fr-CA" w:eastAsia="en-CA"/>
              </w:rPr>
              <w:t>Élimination progressive du HCFC-22 à réaliser lors de la phase précédente (tonnes PAO)</w:t>
            </w:r>
          </w:p>
        </w:tc>
        <w:tc>
          <w:tcPr>
            <w:tcW w:w="423" w:type="pct"/>
          </w:tcPr>
          <w:p w14:paraId="1D2188CE" w14:textId="77777777" w:rsidR="001E5F84" w:rsidRPr="00520E6D" w:rsidRDefault="001E5F84" w:rsidP="005F6719">
            <w:pPr>
              <w:keepNext/>
              <w:keepLines/>
              <w:jc w:val="right"/>
              <w:rPr>
                <w:rFonts w:asciiTheme="majorBidi" w:hAnsiTheme="majorBidi" w:cstheme="majorBidi"/>
                <w:sz w:val="18"/>
                <w:szCs w:val="18"/>
                <w:lang w:eastAsia="en-CA"/>
              </w:rPr>
            </w:pPr>
            <w:r>
              <w:rPr>
                <w:rFonts w:asciiTheme="majorBidi" w:hAnsiTheme="majorBidi" w:cstheme="majorBidi"/>
                <w:sz w:val="18"/>
                <w:szCs w:val="18"/>
                <w:lang w:eastAsia="en-CA"/>
              </w:rPr>
              <w:t>0,69</w:t>
            </w:r>
          </w:p>
        </w:tc>
      </w:tr>
      <w:tr w:rsidR="001E5F84" w:rsidRPr="00520E6D" w14:paraId="6B572C81" w14:textId="77777777" w:rsidTr="00520E6D">
        <w:trPr>
          <w:trHeight w:val="98"/>
          <w:jc w:val="center"/>
        </w:trPr>
        <w:tc>
          <w:tcPr>
            <w:tcW w:w="302" w:type="pct"/>
            <w:hideMark/>
          </w:tcPr>
          <w:p w14:paraId="0DD85842" w14:textId="77777777" w:rsidR="001E5F84" w:rsidRPr="00520E6D" w:rsidRDefault="001E5F84" w:rsidP="005F6719">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4.1.3</w:t>
            </w:r>
          </w:p>
        </w:tc>
        <w:tc>
          <w:tcPr>
            <w:tcW w:w="4275" w:type="pct"/>
            <w:gridSpan w:val="8"/>
            <w:hideMark/>
          </w:tcPr>
          <w:p w14:paraId="3FBE9D77" w14:textId="77777777" w:rsidR="001E5F84" w:rsidRPr="00520E6D" w:rsidRDefault="001E5F84" w:rsidP="005F6719">
            <w:pPr>
              <w:keepNext/>
              <w:keepLines/>
              <w:ind w:right="400"/>
              <w:rPr>
                <w:rFonts w:asciiTheme="majorBidi" w:hAnsiTheme="majorBidi" w:cstheme="majorBidi"/>
                <w:sz w:val="18"/>
                <w:szCs w:val="18"/>
                <w:lang w:val="fr-CA" w:eastAsia="en-CA"/>
              </w:rPr>
            </w:pPr>
            <w:r>
              <w:rPr>
                <w:rFonts w:asciiTheme="majorBidi" w:hAnsiTheme="majorBidi" w:cstheme="majorBidi"/>
                <w:sz w:val="18"/>
                <w:szCs w:val="18"/>
                <w:lang w:val="fr-CA" w:eastAsia="en-CA"/>
              </w:rPr>
              <w:t>Consommation restante admissible pour le HCFC-22 (tonnes PAO)</w:t>
            </w:r>
          </w:p>
        </w:tc>
        <w:tc>
          <w:tcPr>
            <w:tcW w:w="423" w:type="pct"/>
          </w:tcPr>
          <w:p w14:paraId="0EABAEA2" w14:textId="77777777" w:rsidR="001E5F84" w:rsidRPr="00520E6D" w:rsidRDefault="001E5F84" w:rsidP="005F6719">
            <w:pPr>
              <w:keepNext/>
              <w:keepLines/>
              <w:jc w:val="right"/>
              <w:rPr>
                <w:rFonts w:asciiTheme="majorBidi" w:hAnsiTheme="majorBidi" w:cstheme="majorBidi"/>
                <w:sz w:val="18"/>
                <w:szCs w:val="18"/>
                <w:lang w:eastAsia="en-CA"/>
              </w:rPr>
            </w:pPr>
            <w:r>
              <w:rPr>
                <w:rFonts w:asciiTheme="majorBidi" w:hAnsiTheme="majorBidi" w:cstheme="majorBidi"/>
                <w:sz w:val="18"/>
                <w:szCs w:val="18"/>
                <w:lang w:eastAsia="en-CA"/>
              </w:rPr>
              <w:t>0,00</w:t>
            </w:r>
          </w:p>
        </w:tc>
      </w:tr>
      <w:tr w:rsidR="001E5F84" w:rsidRPr="00520E6D" w14:paraId="07B0115A" w14:textId="77777777" w:rsidTr="00520E6D">
        <w:trPr>
          <w:trHeight w:val="53"/>
          <w:jc w:val="center"/>
        </w:trPr>
        <w:tc>
          <w:tcPr>
            <w:tcW w:w="302" w:type="pct"/>
            <w:hideMark/>
          </w:tcPr>
          <w:p w14:paraId="0A533EC9" w14:textId="77777777" w:rsidR="001E5F84" w:rsidRPr="00520E6D" w:rsidRDefault="001E5F84" w:rsidP="005F6719">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4.2.1</w:t>
            </w:r>
          </w:p>
        </w:tc>
        <w:tc>
          <w:tcPr>
            <w:tcW w:w="4275" w:type="pct"/>
            <w:gridSpan w:val="8"/>
            <w:hideMark/>
          </w:tcPr>
          <w:p w14:paraId="369C6A7B" w14:textId="77777777" w:rsidR="001E5F84" w:rsidRPr="00520E6D" w:rsidRDefault="001E5F84" w:rsidP="005F6719">
            <w:pPr>
              <w:keepNext/>
              <w:keepLines/>
              <w:ind w:right="400"/>
              <w:rPr>
                <w:rFonts w:asciiTheme="majorBidi" w:hAnsiTheme="majorBidi" w:cstheme="majorBidi"/>
                <w:sz w:val="18"/>
                <w:szCs w:val="18"/>
                <w:lang w:val="fr-CA" w:eastAsia="en-CA"/>
              </w:rPr>
            </w:pPr>
            <w:r>
              <w:rPr>
                <w:rFonts w:asciiTheme="majorBidi" w:hAnsiTheme="majorBidi" w:cstheme="majorBidi"/>
                <w:sz w:val="18"/>
                <w:szCs w:val="18"/>
                <w:lang w:val="fr-CA" w:eastAsia="en-CA"/>
              </w:rPr>
              <w:t>Élimination totale du HCFC-142b convenue dans le cadre du présent accord (tonnes PAO)</w:t>
            </w:r>
          </w:p>
        </w:tc>
        <w:tc>
          <w:tcPr>
            <w:tcW w:w="423" w:type="pct"/>
          </w:tcPr>
          <w:p w14:paraId="29ADB2C6" w14:textId="77777777" w:rsidR="001E5F84" w:rsidRPr="00520E6D" w:rsidRDefault="001E5F84" w:rsidP="005F6719">
            <w:pPr>
              <w:keepNext/>
              <w:keepLines/>
              <w:jc w:val="right"/>
              <w:rPr>
                <w:rFonts w:asciiTheme="majorBidi" w:hAnsiTheme="majorBidi" w:cstheme="majorBidi"/>
                <w:sz w:val="18"/>
                <w:szCs w:val="18"/>
                <w:lang w:eastAsia="en-CA"/>
              </w:rPr>
            </w:pPr>
            <w:r>
              <w:rPr>
                <w:rFonts w:asciiTheme="majorBidi" w:hAnsiTheme="majorBidi" w:cstheme="majorBidi"/>
                <w:sz w:val="18"/>
                <w:szCs w:val="18"/>
                <w:lang w:eastAsia="en-CA"/>
              </w:rPr>
              <w:t>0,00</w:t>
            </w:r>
          </w:p>
        </w:tc>
      </w:tr>
      <w:tr w:rsidR="001E5F84" w:rsidRPr="00520E6D" w14:paraId="1A6E01B8" w14:textId="77777777" w:rsidTr="00520E6D">
        <w:trPr>
          <w:trHeight w:val="116"/>
          <w:jc w:val="center"/>
        </w:trPr>
        <w:tc>
          <w:tcPr>
            <w:tcW w:w="302" w:type="pct"/>
            <w:hideMark/>
          </w:tcPr>
          <w:p w14:paraId="08965EC0" w14:textId="77777777" w:rsidR="001E5F84" w:rsidRPr="00520E6D" w:rsidRDefault="001E5F84" w:rsidP="005F6719">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4.2.2</w:t>
            </w:r>
          </w:p>
        </w:tc>
        <w:tc>
          <w:tcPr>
            <w:tcW w:w="4275" w:type="pct"/>
            <w:gridSpan w:val="8"/>
            <w:hideMark/>
          </w:tcPr>
          <w:p w14:paraId="0BBD8FF2" w14:textId="77777777" w:rsidR="001E5F84" w:rsidRPr="00520E6D" w:rsidRDefault="001E5F84" w:rsidP="005F6719">
            <w:pPr>
              <w:keepNext/>
              <w:keepLines/>
              <w:ind w:right="400"/>
              <w:rPr>
                <w:rFonts w:asciiTheme="majorBidi" w:hAnsiTheme="majorBidi" w:cstheme="majorBidi"/>
                <w:sz w:val="18"/>
                <w:szCs w:val="18"/>
                <w:lang w:val="fr-CA" w:eastAsia="en-CA"/>
              </w:rPr>
            </w:pPr>
            <w:r>
              <w:rPr>
                <w:rFonts w:asciiTheme="majorBidi" w:hAnsiTheme="majorBidi" w:cstheme="majorBidi"/>
                <w:sz w:val="18"/>
                <w:szCs w:val="18"/>
                <w:lang w:val="fr-CA" w:eastAsia="en-CA"/>
              </w:rPr>
              <w:t>Élimination progressive du HCFC-142b à réaliser lors de la phase précédente (tonnes PAO)</w:t>
            </w:r>
          </w:p>
        </w:tc>
        <w:tc>
          <w:tcPr>
            <w:tcW w:w="423" w:type="pct"/>
          </w:tcPr>
          <w:p w14:paraId="0247E021" w14:textId="77777777" w:rsidR="001E5F84" w:rsidRPr="00520E6D" w:rsidRDefault="001E5F84" w:rsidP="005F6719">
            <w:pPr>
              <w:keepNext/>
              <w:keepLines/>
              <w:jc w:val="right"/>
              <w:rPr>
                <w:rFonts w:asciiTheme="majorBidi" w:hAnsiTheme="majorBidi" w:cstheme="majorBidi"/>
                <w:sz w:val="18"/>
                <w:szCs w:val="18"/>
                <w:lang w:eastAsia="en-CA"/>
              </w:rPr>
            </w:pPr>
            <w:r>
              <w:rPr>
                <w:rFonts w:asciiTheme="majorBidi" w:hAnsiTheme="majorBidi" w:cstheme="majorBidi"/>
                <w:sz w:val="18"/>
                <w:szCs w:val="18"/>
                <w:lang w:eastAsia="en-CA"/>
              </w:rPr>
              <w:t>0,04</w:t>
            </w:r>
          </w:p>
        </w:tc>
      </w:tr>
      <w:tr w:rsidR="001E5F84" w:rsidRPr="00520E6D" w14:paraId="7DC091D5" w14:textId="77777777" w:rsidTr="00520E6D">
        <w:trPr>
          <w:trHeight w:val="98"/>
          <w:jc w:val="center"/>
        </w:trPr>
        <w:tc>
          <w:tcPr>
            <w:tcW w:w="302" w:type="pct"/>
            <w:hideMark/>
          </w:tcPr>
          <w:p w14:paraId="0944BE60" w14:textId="77777777" w:rsidR="001E5F84" w:rsidRPr="00520E6D" w:rsidRDefault="001E5F84" w:rsidP="005F6719">
            <w:pPr>
              <w:keepNext/>
              <w:keepLines/>
              <w:jc w:val="left"/>
              <w:rPr>
                <w:rFonts w:asciiTheme="majorBidi" w:hAnsiTheme="majorBidi" w:cstheme="majorBidi"/>
                <w:sz w:val="18"/>
                <w:szCs w:val="18"/>
                <w:lang w:eastAsia="en-CA"/>
              </w:rPr>
            </w:pPr>
            <w:r>
              <w:rPr>
                <w:rFonts w:asciiTheme="majorBidi" w:hAnsiTheme="majorBidi" w:cstheme="majorBidi"/>
                <w:sz w:val="18"/>
                <w:szCs w:val="18"/>
                <w:lang w:eastAsia="en-CA"/>
              </w:rPr>
              <w:t>4.2.3</w:t>
            </w:r>
          </w:p>
        </w:tc>
        <w:tc>
          <w:tcPr>
            <w:tcW w:w="4275" w:type="pct"/>
            <w:gridSpan w:val="8"/>
            <w:hideMark/>
          </w:tcPr>
          <w:p w14:paraId="2D481AC7" w14:textId="77777777" w:rsidR="001E5F84" w:rsidRPr="00520E6D" w:rsidRDefault="001E5F84" w:rsidP="005F6719">
            <w:pPr>
              <w:keepNext/>
              <w:keepLines/>
              <w:ind w:right="400"/>
              <w:rPr>
                <w:rFonts w:asciiTheme="majorBidi" w:hAnsiTheme="majorBidi" w:cstheme="majorBidi"/>
                <w:sz w:val="18"/>
                <w:szCs w:val="18"/>
                <w:lang w:val="fr-CA" w:eastAsia="en-CA"/>
              </w:rPr>
            </w:pPr>
            <w:r>
              <w:rPr>
                <w:rFonts w:asciiTheme="majorBidi" w:hAnsiTheme="majorBidi" w:cstheme="majorBidi"/>
                <w:sz w:val="18"/>
                <w:szCs w:val="18"/>
                <w:lang w:val="fr-CA" w:eastAsia="en-CA"/>
              </w:rPr>
              <w:t>Consommation restante admissible de HCFC-142b (tonnes PAO)</w:t>
            </w:r>
          </w:p>
        </w:tc>
        <w:tc>
          <w:tcPr>
            <w:tcW w:w="423" w:type="pct"/>
          </w:tcPr>
          <w:p w14:paraId="42381D15" w14:textId="77777777" w:rsidR="001E5F84" w:rsidRPr="00520E6D" w:rsidRDefault="001E5F84" w:rsidP="005F6719">
            <w:pPr>
              <w:keepNext/>
              <w:keepLines/>
              <w:jc w:val="right"/>
              <w:rPr>
                <w:rFonts w:asciiTheme="majorBidi" w:hAnsiTheme="majorBidi" w:cstheme="majorBidi"/>
                <w:sz w:val="18"/>
                <w:szCs w:val="18"/>
                <w:lang w:eastAsia="en-CA"/>
              </w:rPr>
            </w:pPr>
            <w:r>
              <w:rPr>
                <w:rFonts w:asciiTheme="majorBidi" w:hAnsiTheme="majorBidi" w:cstheme="majorBidi"/>
                <w:sz w:val="18"/>
                <w:szCs w:val="18"/>
                <w:lang w:eastAsia="en-CA"/>
              </w:rPr>
              <w:t>0,00</w:t>
            </w:r>
          </w:p>
        </w:tc>
      </w:tr>
    </w:tbl>
    <w:p w14:paraId="76ED36F3" w14:textId="77777777" w:rsidR="00D92C12" w:rsidRPr="00C47F9D" w:rsidRDefault="00D92C12" w:rsidP="00D92C12">
      <w:pPr>
        <w:pStyle w:val="Heading1"/>
        <w:keepNext/>
        <w:keepLines/>
        <w:numPr>
          <w:ilvl w:val="0"/>
          <w:numId w:val="0"/>
        </w:numPr>
        <w:rPr>
          <w:sz w:val="18"/>
          <w:szCs w:val="16"/>
          <w:lang w:val="fr-CA"/>
        </w:rPr>
      </w:pPr>
      <w:r>
        <w:rPr>
          <w:sz w:val="18"/>
          <w:szCs w:val="16"/>
          <w:lang w:val="fr-CA"/>
        </w:rPr>
        <w:t>*Date d'achèvement de la phase I conformément à la décision 92/32 b) : 30 juin 2024</w:t>
      </w:r>
    </w:p>
    <w:p w14:paraId="38C41092" w14:textId="77777777" w:rsidR="007D7BAD" w:rsidRPr="00C47F9D" w:rsidRDefault="007D7BAD" w:rsidP="007D7BAD">
      <w:pPr>
        <w:rPr>
          <w:lang w:val="fr-CA"/>
        </w:rPr>
      </w:pPr>
    </w:p>
    <w:p w14:paraId="60639C46" w14:textId="77777777" w:rsidR="00C67A87" w:rsidRPr="00C47F9D" w:rsidRDefault="00C67A87" w:rsidP="00F435B3">
      <w:pPr>
        <w:spacing w:after="240"/>
        <w:rPr>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716BA5" w14:paraId="04F5BB24" w14:textId="77777777" w:rsidTr="00CC4AE5">
        <w:tc>
          <w:tcPr>
            <w:tcW w:w="999" w:type="pct"/>
          </w:tcPr>
          <w:p w14:paraId="57B74A09" w14:textId="77777777" w:rsidR="00720EE7" w:rsidRPr="00C47F9D" w:rsidRDefault="00720EE7" w:rsidP="004669D1">
            <w:pPr>
              <w:rPr>
                <w:lang w:val="fr-CA"/>
              </w:rPr>
            </w:pPr>
          </w:p>
        </w:tc>
        <w:tc>
          <w:tcPr>
            <w:tcW w:w="1000" w:type="pct"/>
          </w:tcPr>
          <w:p w14:paraId="2DA01F00" w14:textId="77777777" w:rsidR="00720EE7" w:rsidRPr="00C47F9D" w:rsidRDefault="00720EE7" w:rsidP="004669D1">
            <w:pPr>
              <w:rPr>
                <w:lang w:val="fr-CA"/>
              </w:rPr>
            </w:pPr>
          </w:p>
        </w:tc>
        <w:tc>
          <w:tcPr>
            <w:tcW w:w="1000" w:type="pct"/>
            <w:tcBorders>
              <w:bottom w:val="single" w:sz="4" w:space="0" w:color="auto"/>
            </w:tcBorders>
          </w:tcPr>
          <w:p w14:paraId="72D213C5" w14:textId="77777777" w:rsidR="00720EE7" w:rsidRPr="00C47F9D" w:rsidRDefault="00720EE7" w:rsidP="004669D1">
            <w:pPr>
              <w:rPr>
                <w:lang w:val="fr-CA"/>
              </w:rPr>
            </w:pPr>
          </w:p>
        </w:tc>
        <w:tc>
          <w:tcPr>
            <w:tcW w:w="1000" w:type="pct"/>
          </w:tcPr>
          <w:p w14:paraId="004D656E" w14:textId="77777777" w:rsidR="00720EE7" w:rsidRPr="00C47F9D" w:rsidRDefault="00720EE7" w:rsidP="004669D1">
            <w:pPr>
              <w:rPr>
                <w:lang w:val="fr-CA"/>
              </w:rPr>
            </w:pPr>
          </w:p>
        </w:tc>
        <w:tc>
          <w:tcPr>
            <w:tcW w:w="1001" w:type="pct"/>
          </w:tcPr>
          <w:p w14:paraId="3438DFFD" w14:textId="77777777" w:rsidR="00720EE7" w:rsidRPr="00C47F9D" w:rsidRDefault="00720EE7" w:rsidP="004669D1">
            <w:pPr>
              <w:rPr>
                <w:lang w:val="fr-CA"/>
              </w:rPr>
            </w:pPr>
          </w:p>
        </w:tc>
      </w:tr>
    </w:tbl>
    <w:p w14:paraId="621907DA" w14:textId="77777777" w:rsidR="00720EE7" w:rsidRPr="00C47F9D" w:rsidRDefault="00720EE7" w:rsidP="004669D1">
      <w:pPr>
        <w:jc w:val="center"/>
        <w:rPr>
          <w:lang w:val="fr-CA"/>
        </w:rPr>
      </w:pPr>
    </w:p>
    <w:sectPr w:rsidR="00720EE7" w:rsidRPr="00C47F9D" w:rsidSect="0047724D">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BAC1D" w14:textId="77777777" w:rsidR="00F461AF" w:rsidRDefault="00F461AF" w:rsidP="004A504B">
      <w:r>
        <w:separator/>
      </w:r>
    </w:p>
  </w:endnote>
  <w:endnote w:type="continuationSeparator" w:id="0">
    <w:p w14:paraId="72DE4741" w14:textId="77777777" w:rsidR="00F461AF" w:rsidRDefault="00F461A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F248" w14:textId="77777777" w:rsidR="00036628" w:rsidRPr="0033525D" w:rsidRDefault="000366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771B" w14:textId="77777777" w:rsidR="00036628" w:rsidRPr="0033525D" w:rsidRDefault="000366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98F09" w14:textId="4A0D4642" w:rsidR="00036628" w:rsidRPr="00C47F9D" w:rsidRDefault="00036628" w:rsidP="003A5B61">
    <w:pPr>
      <w:pBdr>
        <w:top w:val="single" w:sz="4" w:space="1" w:color="auto"/>
        <w:left w:val="single" w:sz="4" w:space="4" w:color="auto"/>
        <w:bottom w:val="single" w:sz="4" w:space="1" w:color="auto"/>
        <w:right w:val="single" w:sz="4" w:space="4" w:color="auto"/>
      </w:pBdr>
      <w:jc w:val="center"/>
      <w:rPr>
        <w:sz w:val="18"/>
        <w:szCs w:val="18"/>
        <w:lang w:val="fr-CA"/>
      </w:rPr>
    </w:pPr>
    <w:r w:rsidRPr="00C47F9D">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03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8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821491"/>
      <w:docPartObj>
        <w:docPartGallery w:val="Page Numbers (Bottom of Page)"/>
        <w:docPartUnique/>
      </w:docPartObj>
    </w:sdtPr>
    <w:sdtEndPr>
      <w:rPr>
        <w:noProof/>
      </w:rPr>
    </w:sdtEndPr>
    <w:sdtContent>
      <w:p w14:paraId="5F32F7F9" w14:textId="2A769588" w:rsidR="00036628" w:rsidRDefault="001A5FF0">
        <w:pPr>
          <w:pStyle w:val="Footer"/>
          <w:jc w:val="center"/>
        </w:pPr>
        <w:r>
          <w:t>8</w:t>
        </w:r>
      </w:p>
    </w:sdtContent>
  </w:sdt>
  <w:p w14:paraId="32C01616" w14:textId="77777777" w:rsidR="004E7F9C" w:rsidRPr="00F435B3" w:rsidRDefault="004E7F9C" w:rsidP="0003662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F2076" w14:textId="77777777" w:rsidR="00F461AF" w:rsidRDefault="00F461AF" w:rsidP="004A504B">
      <w:r>
        <w:separator/>
      </w:r>
    </w:p>
  </w:footnote>
  <w:footnote w:type="continuationSeparator" w:id="0">
    <w:p w14:paraId="3B6DF9E3" w14:textId="77777777" w:rsidR="00F461AF" w:rsidRDefault="00F461AF" w:rsidP="004A504B">
      <w:r>
        <w:continuationSeparator/>
      </w:r>
    </w:p>
  </w:footnote>
  <w:footnote w:id="1">
    <w:p w14:paraId="46D8DA3F" w14:textId="125A3106" w:rsidR="00C47F9D" w:rsidRDefault="00C47F9D" w:rsidP="00C47F9D">
      <w:pPr>
        <w:pStyle w:val="FootnoteText"/>
        <w:rPr>
          <w:lang w:val="fr-CH"/>
        </w:rPr>
      </w:pPr>
      <w:r w:rsidRPr="001A24C6">
        <w:rPr>
          <w:rStyle w:val="FootnoteReference"/>
        </w:rPr>
        <w:footnoteRef/>
      </w:r>
      <w:r w:rsidRPr="00564224">
        <w:rPr>
          <w:lang w:val="fr-CH"/>
        </w:rPr>
        <w:t xml:space="preserve"> </w:t>
      </w:r>
      <w:r w:rsidR="00862625" w:rsidRPr="00660639">
        <w:rPr>
          <w:lang w:val="fr-CA"/>
        </w:rPr>
        <w:t>UN</w:t>
      </w:r>
      <w:r w:rsidR="00E478BD">
        <w:rPr>
          <w:lang w:val="fr-CA"/>
        </w:rPr>
        <w:t>E</w:t>
      </w:r>
      <w:r w:rsidR="00862625" w:rsidRPr="00660639">
        <w:rPr>
          <w:lang w:val="fr-CA"/>
        </w:rPr>
        <w:t>P/</w:t>
      </w:r>
      <w:proofErr w:type="spellStart"/>
      <w:r w:rsidR="00862625" w:rsidRPr="00660639">
        <w:rPr>
          <w:lang w:val="fr-CA"/>
        </w:rPr>
        <w:t>OzL.Pro</w:t>
      </w:r>
      <w:proofErr w:type="spellEnd"/>
      <w:r w:rsidR="00862625" w:rsidRPr="00660639">
        <w:rPr>
          <w:lang w:val="fr-CA"/>
        </w:rPr>
        <w:t>/</w:t>
      </w:r>
      <w:proofErr w:type="spellStart"/>
      <w:r w:rsidR="00862625" w:rsidRPr="00660639">
        <w:rPr>
          <w:lang w:val="fr-CA"/>
        </w:rPr>
        <w:t>ExCom</w:t>
      </w:r>
      <w:proofErr w:type="spellEnd"/>
      <w:r w:rsidR="00862625" w:rsidRPr="00660639">
        <w:rPr>
          <w:lang w:val="fr-CA"/>
        </w:rPr>
        <w:t>/98/1</w:t>
      </w:r>
    </w:p>
    <w:p w14:paraId="08396F05" w14:textId="77777777" w:rsidR="00C47F9D" w:rsidRPr="00564224" w:rsidRDefault="00C47F9D" w:rsidP="00C47F9D">
      <w:pPr>
        <w:pStyle w:val="FootnoteText"/>
        <w:rPr>
          <w:lang w:val="fr-CH"/>
        </w:rPr>
      </w:pPr>
    </w:p>
  </w:footnote>
  <w:footnote w:id="2">
    <w:p w14:paraId="61B7B75B" w14:textId="096E7D2F" w:rsidR="00036628" w:rsidRPr="00C47F9D" w:rsidRDefault="00036628" w:rsidP="00036628">
      <w:pPr>
        <w:pStyle w:val="FootnoteText"/>
        <w:rPr>
          <w:lang w:val="fr-CA"/>
        </w:rPr>
      </w:pPr>
      <w:r w:rsidRPr="00F17C60">
        <w:rPr>
          <w:rStyle w:val="FootnoteReference"/>
        </w:rPr>
        <w:footnoteRef/>
      </w:r>
      <w:r w:rsidRPr="00C47F9D">
        <w:rPr>
          <w:lang w:val="fr-CA"/>
        </w:rPr>
        <w:t xml:space="preserve"> Décision</w:t>
      </w:r>
      <w:r w:rsidR="000960E8" w:rsidRPr="00C47F9D">
        <w:rPr>
          <w:lang w:val="fr-CA"/>
        </w:rPr>
        <w:t xml:space="preserve"> 93/46</w:t>
      </w:r>
    </w:p>
  </w:footnote>
  <w:footnote w:id="3">
    <w:p w14:paraId="6001FA85" w14:textId="77777777" w:rsidR="00036628" w:rsidRPr="00C47F9D" w:rsidRDefault="00036628" w:rsidP="00036628">
      <w:pPr>
        <w:pStyle w:val="FootnoteText"/>
        <w:rPr>
          <w:lang w:val="fr-CA"/>
        </w:rPr>
      </w:pPr>
      <w:r w:rsidRPr="00F17C60">
        <w:rPr>
          <w:rStyle w:val="FootnoteReference"/>
        </w:rPr>
        <w:footnoteRef/>
      </w:r>
      <w:r w:rsidRPr="00C47F9D">
        <w:rPr>
          <w:lang w:val="fr-CA"/>
        </w:rPr>
        <w:t xml:space="preserve"> La décision 92/22 autorise la soumission de demandes relatives aux activités visées à la décision 89/6(b) séparément des demandes de tranches au titre du Plan de gestion de l'élimination des HCFC, y compris un accord révisé entre le Gouvernement du pays visé à l'article 5 concerné et le Comité exécutif, étant entendu que ces activités ont été intégrées dans les plans de mise en œuvre des tranches en cours.</w:t>
      </w:r>
    </w:p>
  </w:footnote>
  <w:footnote w:id="4">
    <w:p w14:paraId="46F49FB3" w14:textId="696A3AB8" w:rsidR="00036628" w:rsidRPr="00C47F9D" w:rsidRDefault="00036628" w:rsidP="00036628">
      <w:pPr>
        <w:pStyle w:val="FootnoteText"/>
        <w:rPr>
          <w:lang w:val="fr-CA"/>
        </w:rPr>
      </w:pPr>
      <w:r w:rsidRPr="00F17C60">
        <w:rPr>
          <w:rStyle w:val="FootnoteReference"/>
        </w:rPr>
        <w:footnoteRef/>
      </w:r>
      <w:r w:rsidRPr="00C47F9D">
        <w:rPr>
          <w:lang w:val="fr-CA"/>
        </w:rPr>
        <w:t xml:space="preserve"> Conformément à la lettre du</w:t>
      </w:r>
      <w:r w:rsidR="004E30FA" w:rsidRPr="00C47F9D">
        <w:rPr>
          <w:lang w:val="fr-CA"/>
        </w:rPr>
        <w:t xml:space="preserve"> 13 </w:t>
      </w:r>
      <w:r w:rsidR="00C51E68" w:rsidRPr="00C47F9D">
        <w:rPr>
          <w:lang w:val="fr-CA"/>
        </w:rPr>
        <w:t xml:space="preserve">avril 2026 </w:t>
      </w:r>
      <w:r w:rsidRPr="00C47F9D">
        <w:rPr>
          <w:lang w:val="fr-CA"/>
        </w:rPr>
        <w:t xml:space="preserve">adressée </w:t>
      </w:r>
      <w:r w:rsidR="002C27E0" w:rsidRPr="00C47F9D">
        <w:rPr>
          <w:lang w:val="fr-CA"/>
        </w:rPr>
        <w:t xml:space="preserve">au secrétariat </w:t>
      </w:r>
      <w:r w:rsidRPr="00C47F9D">
        <w:rPr>
          <w:lang w:val="fr-CA"/>
        </w:rPr>
        <w:t xml:space="preserve">par </w:t>
      </w:r>
      <w:r w:rsidR="002C27E0" w:rsidRPr="00C47F9D">
        <w:rPr>
          <w:lang w:val="fr-CA"/>
        </w:rPr>
        <w:t xml:space="preserve">l'Autorité nationale de l'environnement </w:t>
      </w:r>
      <w:r w:rsidR="00B30A25" w:rsidRPr="00C47F9D">
        <w:rPr>
          <w:lang w:val="fr-CA"/>
        </w:rPr>
        <w:t xml:space="preserve">du </w:t>
      </w:r>
      <w:r w:rsidR="002C27E0" w:rsidRPr="00C47F9D">
        <w:rPr>
          <w:lang w:val="fr-CA"/>
        </w:rPr>
        <w:t>Suriname</w:t>
      </w:r>
      <w:r w:rsidRPr="00C47F9D">
        <w:rPr>
          <w:lang w:val="fr-CA"/>
        </w:rPr>
        <w:t>.</w:t>
      </w:r>
    </w:p>
  </w:footnote>
  <w:footnote w:id="5">
    <w:p w14:paraId="73F7B55B" w14:textId="0A303367" w:rsidR="00EA6E60" w:rsidRPr="00D3346A" w:rsidRDefault="00EA6E60">
      <w:pPr>
        <w:pStyle w:val="FootnoteText"/>
        <w:rPr>
          <w:lang w:val="en-US"/>
        </w:rPr>
      </w:pPr>
      <w:r>
        <w:rPr>
          <w:rStyle w:val="FootnoteReference"/>
        </w:rPr>
        <w:footnoteRef/>
      </w:r>
      <w:r>
        <w:t xml:space="preserve"> </w:t>
      </w:r>
      <w:proofErr w:type="spellStart"/>
      <w:r>
        <w:t>Décision</w:t>
      </w:r>
      <w:proofErr w:type="spellEnd"/>
      <w:r>
        <w:t xml:space="preserve"> 93/46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B9620" w14:textId="77777777" w:rsidR="00862625" w:rsidRPr="009B0D30" w:rsidRDefault="00862625" w:rsidP="00862625">
    <w:r>
      <w:fldChar w:fldCharType="begin"/>
    </w:r>
    <w:r>
      <w:instrText xml:space="preserve"> DOCPROPERTY "Document number"  \* MERGEFORMAT </w:instrText>
    </w:r>
    <w:r>
      <w:fldChar w:fldCharType="separate"/>
    </w:r>
    <w:r>
      <w:t>UNEP/</w:t>
    </w:r>
    <w:proofErr w:type="spellStart"/>
    <w:r>
      <w:t>OzL.Pro</w:t>
    </w:r>
    <w:proofErr w:type="spellEnd"/>
    <w:r>
      <w:t>/ExCom/98/48</w:t>
    </w:r>
    <w:r>
      <w:fldChar w:fldCharType="end"/>
    </w:r>
  </w:p>
  <w:p w14:paraId="561B26FF" w14:textId="77777777" w:rsidR="00036628" w:rsidRDefault="00036628" w:rsidP="00F13997">
    <w:pPr>
      <w:jc w:val="right"/>
    </w:pPr>
  </w:p>
  <w:p w14:paraId="7EA09CC5" w14:textId="77777777" w:rsidR="00C86E46" w:rsidRDefault="00C86E46"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6A" w14:textId="1044E8D4" w:rsidR="005721EB" w:rsidRPr="005721EB" w:rsidRDefault="005721EB" w:rsidP="005721EB">
    <w:pPr>
      <w:jc w:val="right"/>
      <w:rPr>
        <w:lang w:val="pt-PT"/>
      </w:rPr>
    </w:pPr>
    <w:r>
      <w:fldChar w:fldCharType="begin"/>
    </w:r>
    <w:r w:rsidRPr="005721EB">
      <w:rPr>
        <w:lang w:val="pt-PT"/>
      </w:rPr>
      <w:instrText xml:space="preserve"> DOCPROPERTY "Document number"  \* MERGEFORMAT </w:instrText>
    </w:r>
    <w:r>
      <w:fldChar w:fldCharType="separate"/>
    </w:r>
    <w:r w:rsidR="008254B6">
      <w:rPr>
        <w:lang w:val="pt-PT"/>
      </w:rPr>
      <w:t>UNEP/OzL.Pro/ExCom/98/48</w:t>
    </w:r>
    <w:r>
      <w:fldChar w:fldCharType="end"/>
    </w:r>
  </w:p>
  <w:p w14:paraId="12567564" w14:textId="790E668F" w:rsidR="00036628" w:rsidRPr="005721EB" w:rsidRDefault="00036628" w:rsidP="00073445">
    <w:pPr>
      <w:jc w:val="right"/>
      <w:rPr>
        <w:lang w:val="pt-PT"/>
      </w:rPr>
    </w:pPr>
  </w:p>
  <w:p w14:paraId="167F949D" w14:textId="77777777" w:rsidR="00036628" w:rsidRPr="005721EB" w:rsidRDefault="0003662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FF2E" w14:textId="21A56AD3" w:rsidR="00DC6A10" w:rsidRPr="0033525D" w:rsidRDefault="0086287C">
    <w:r>
      <w:fldChar w:fldCharType="begin"/>
    </w:r>
    <w:r>
      <w:instrText xml:space="preserve"> DOCPROPERTY "Document number"  \* MERGEFORMAT </w:instrText>
    </w:r>
    <w:r>
      <w:fldChar w:fldCharType="separate"/>
    </w:r>
    <w:r>
      <w:t>PNUD</w:t>
    </w:r>
    <w:r w:rsidR="00DA4A69">
      <w:t xml:space="preserve">/ </w:t>
    </w:r>
    <w:proofErr w:type="spellStart"/>
    <w:r w:rsidR="00DA4A69">
      <w:t>OzL.Pro</w:t>
    </w:r>
    <w:proofErr w:type="spellEnd"/>
    <w:r w:rsidR="00DA4A69">
      <w:t>/ExCom/98/1</w:t>
    </w:r>
    <w:r>
      <w:fldChar w:fldCharType="end"/>
    </w:r>
  </w:p>
  <w:p w14:paraId="23CE6CDE" w14:textId="77777777" w:rsidR="00DC6A10" w:rsidRPr="0033525D" w:rsidRDefault="00DC6A10"/>
  <w:p w14:paraId="41333C5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9F9" w14:textId="2F8ADB60" w:rsidR="00DC6A10" w:rsidRPr="0033525D" w:rsidRDefault="0086287C">
    <w:pPr>
      <w:jc w:val="right"/>
    </w:pPr>
    <w:r>
      <w:fldChar w:fldCharType="begin"/>
    </w:r>
    <w:r>
      <w:instrText xml:space="preserve"> DOCPROPERTY "Document number"  \* MERGEFORMAT </w:instrText>
    </w:r>
    <w:r>
      <w:fldChar w:fldCharType="separate"/>
    </w:r>
    <w:r>
      <w:t>PNUD</w:t>
    </w:r>
    <w:r w:rsidR="00DA4A69">
      <w:t xml:space="preserve">/ </w:t>
    </w:r>
    <w:proofErr w:type="spellStart"/>
    <w:r w:rsidR="00DA4A69">
      <w:t>OzL.Pro</w:t>
    </w:r>
    <w:proofErr w:type="spellEnd"/>
    <w:r w:rsidR="00DA4A69">
      <w:t>/ExCom/98/1</w:t>
    </w:r>
    <w:r>
      <w:fldChar w:fldCharType="end"/>
    </w:r>
  </w:p>
  <w:p w14:paraId="7E10B687" w14:textId="77777777" w:rsidR="00DC6A10" w:rsidRPr="0033525D" w:rsidRDefault="00DC6A10"/>
  <w:p w14:paraId="623747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8269" w14:textId="50851E70" w:rsidR="0065654A" w:rsidRPr="005721EB" w:rsidRDefault="00C95382" w:rsidP="0065654A">
    <w:pPr>
      <w:jc w:val="right"/>
      <w:rPr>
        <w:lang w:val="pt-PT"/>
      </w:rPr>
    </w:pPr>
    <w:r>
      <w:tab/>
    </w:r>
    <w:r w:rsidR="0065654A">
      <w:fldChar w:fldCharType="begin"/>
    </w:r>
    <w:r w:rsidR="0065654A" w:rsidRPr="005721EB">
      <w:rPr>
        <w:lang w:val="pt-PT"/>
      </w:rPr>
      <w:instrText xml:space="preserve"> DOCPROPERTY "Document number"  \* MERGEFORMAT </w:instrText>
    </w:r>
    <w:r w:rsidR="0065654A">
      <w:fldChar w:fldCharType="separate"/>
    </w:r>
    <w:r w:rsidR="008254B6">
      <w:rPr>
        <w:lang w:val="pt-PT"/>
      </w:rPr>
      <w:t>UNEP/OzL.Pro/ExCom/98/48</w:t>
    </w:r>
    <w:r w:rsidR="0065654A">
      <w:fldChar w:fldCharType="end"/>
    </w:r>
  </w:p>
  <w:p w14:paraId="08D03EB9" w14:textId="18C9E014" w:rsidR="00036628" w:rsidRDefault="0065654A" w:rsidP="0065654A">
    <w:pPr>
      <w:pStyle w:val="Header"/>
      <w:tabs>
        <w:tab w:val="clear" w:pos="4320"/>
        <w:tab w:val="clear" w:pos="8640"/>
        <w:tab w:val="left" w:pos="8496"/>
      </w:tabs>
      <w:jc w:val="right"/>
    </w:pPr>
    <w:r>
      <w:t>Annexe I</w:t>
    </w:r>
  </w:p>
  <w:p w14:paraId="1B7D6964" w14:textId="77777777" w:rsidR="0065654A" w:rsidRDefault="0065654A" w:rsidP="0065654A">
    <w:pPr>
      <w:pStyle w:val="Header"/>
      <w:tabs>
        <w:tab w:val="clear" w:pos="4320"/>
        <w:tab w:val="clear" w:pos="8640"/>
        <w:tab w:val="left" w:pos="84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4F7248"/>
    <w:multiLevelType w:val="multilevel"/>
    <w:tmpl w:val="F5D0DB0A"/>
    <w:lvl w:ilvl="0">
      <w:start w:val="1"/>
      <w:numFmt w:val="decimal"/>
      <w:lvlText w:val="%1"/>
      <w:lvlJc w:val="left"/>
      <w:pPr>
        <w:ind w:left="360" w:hanging="360"/>
      </w:pPr>
      <w:rPr>
        <w:rFonts w:hint="default"/>
        <w:i/>
      </w:rPr>
    </w:lvl>
    <w:lvl w:ilvl="1">
      <w:start w:val="3"/>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720" w:hanging="72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BEB1CA3"/>
    <w:multiLevelType w:val="multilevel"/>
    <w:tmpl w:val="FCECA7CA"/>
    <w:lvl w:ilvl="0">
      <w:start w:val="1"/>
      <w:numFmt w:val="decimal"/>
      <w:lvlText w:val="%1"/>
      <w:lvlJc w:val="left"/>
      <w:pPr>
        <w:ind w:left="360" w:hanging="360"/>
      </w:pPr>
      <w:rPr>
        <w:rFonts w:hint="default"/>
      </w:rPr>
    </w:lvl>
    <w:lvl w:ilvl="1">
      <w:start w:val="1"/>
      <w:numFmt w:val="decimal"/>
      <w:lvlText w:val="%1.%2"/>
      <w:lvlJc w:val="left"/>
      <w:pPr>
        <w:ind w:left="3338" w:hanging="360"/>
      </w:pPr>
      <w:rPr>
        <w:rFonts w:hint="default"/>
        <w:b w:val="0"/>
        <w:bCs w:val="0"/>
        <w:lang w:val="en-CA"/>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25D5C80"/>
    <w:multiLevelType w:val="hybridMultilevel"/>
    <w:tmpl w:val="D758CE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9" w15:restartNumberingAfterBreak="0">
    <w:nsid w:val="73652BD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3"/>
  </w:num>
  <w:num w:numId="4" w16cid:durableId="671107749">
    <w:abstractNumId w:val="4"/>
  </w:num>
  <w:num w:numId="5" w16cid:durableId="1526870837">
    <w:abstractNumId w:val="10"/>
  </w:num>
  <w:num w:numId="6" w16cid:durableId="1051735893">
    <w:abstractNumId w:val="6"/>
  </w:num>
  <w:num w:numId="7" w16cid:durableId="1722558649">
    <w:abstractNumId w:val="5"/>
  </w:num>
  <w:num w:numId="8" w16cid:durableId="432287192">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7628589">
    <w:abstractNumId w:val="8"/>
  </w:num>
  <w:num w:numId="10" w16cid:durableId="2141536591">
    <w:abstractNumId w:val="9"/>
  </w:num>
  <w:num w:numId="11" w16cid:durableId="1185095753">
    <w:abstractNumId w:val="1"/>
  </w:num>
  <w:num w:numId="12" w16cid:durableId="12283443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7115308">
    <w:abstractNumId w:val="0"/>
  </w:num>
  <w:num w:numId="14" w16cid:durableId="2003510973">
    <w:abstractNumId w:val="0"/>
  </w:num>
  <w:num w:numId="15" w16cid:durableId="2043169197">
    <w:abstractNumId w:val="0"/>
  </w:num>
  <w:num w:numId="16" w16cid:durableId="1921018763">
    <w:abstractNumId w:val="0"/>
  </w:num>
  <w:num w:numId="17" w16cid:durableId="1894999461">
    <w:abstractNumId w:val="0"/>
  </w:num>
  <w:num w:numId="18" w16cid:durableId="951591420">
    <w:abstractNumId w:val="0"/>
  </w:num>
  <w:num w:numId="19" w16cid:durableId="1802265741">
    <w:abstractNumId w:val="0"/>
  </w:num>
  <w:num w:numId="20" w16cid:durableId="70139727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A4A69"/>
    <w:rsid w:val="00000FED"/>
    <w:rsid w:val="00002433"/>
    <w:rsid w:val="0000434E"/>
    <w:rsid w:val="000066D3"/>
    <w:rsid w:val="00010374"/>
    <w:rsid w:val="000111E8"/>
    <w:rsid w:val="0001156F"/>
    <w:rsid w:val="000154F9"/>
    <w:rsid w:val="000155DD"/>
    <w:rsid w:val="000165BD"/>
    <w:rsid w:val="000219FC"/>
    <w:rsid w:val="000235B1"/>
    <w:rsid w:val="00023BB5"/>
    <w:rsid w:val="00023CDF"/>
    <w:rsid w:val="00023F26"/>
    <w:rsid w:val="0002527D"/>
    <w:rsid w:val="00025609"/>
    <w:rsid w:val="00027178"/>
    <w:rsid w:val="00027A68"/>
    <w:rsid w:val="000308F1"/>
    <w:rsid w:val="00031260"/>
    <w:rsid w:val="0003345C"/>
    <w:rsid w:val="00033609"/>
    <w:rsid w:val="00034084"/>
    <w:rsid w:val="00034FC2"/>
    <w:rsid w:val="0003626A"/>
    <w:rsid w:val="00036628"/>
    <w:rsid w:val="0003681A"/>
    <w:rsid w:val="00042E95"/>
    <w:rsid w:val="00043DF1"/>
    <w:rsid w:val="000444F2"/>
    <w:rsid w:val="00053592"/>
    <w:rsid w:val="000554FD"/>
    <w:rsid w:val="000558E4"/>
    <w:rsid w:val="000565EB"/>
    <w:rsid w:val="00056D6E"/>
    <w:rsid w:val="00057769"/>
    <w:rsid w:val="00057902"/>
    <w:rsid w:val="0005796C"/>
    <w:rsid w:val="0006340C"/>
    <w:rsid w:val="00064610"/>
    <w:rsid w:val="00065D34"/>
    <w:rsid w:val="000706A0"/>
    <w:rsid w:val="00072B13"/>
    <w:rsid w:val="00076CEE"/>
    <w:rsid w:val="00080ED0"/>
    <w:rsid w:val="00080F0D"/>
    <w:rsid w:val="00081081"/>
    <w:rsid w:val="00081B01"/>
    <w:rsid w:val="00081F11"/>
    <w:rsid w:val="00082AD8"/>
    <w:rsid w:val="00085B8F"/>
    <w:rsid w:val="00087AFC"/>
    <w:rsid w:val="00090481"/>
    <w:rsid w:val="00091A22"/>
    <w:rsid w:val="000926E5"/>
    <w:rsid w:val="00092DFB"/>
    <w:rsid w:val="00093805"/>
    <w:rsid w:val="00094273"/>
    <w:rsid w:val="00094DE0"/>
    <w:rsid w:val="000960E8"/>
    <w:rsid w:val="000968EE"/>
    <w:rsid w:val="000A0491"/>
    <w:rsid w:val="000A156C"/>
    <w:rsid w:val="000A1DEE"/>
    <w:rsid w:val="000A3D84"/>
    <w:rsid w:val="000B076F"/>
    <w:rsid w:val="000B0A7A"/>
    <w:rsid w:val="000B0CEC"/>
    <w:rsid w:val="000B22EC"/>
    <w:rsid w:val="000B2C48"/>
    <w:rsid w:val="000B324E"/>
    <w:rsid w:val="000B542F"/>
    <w:rsid w:val="000B58DC"/>
    <w:rsid w:val="000B5D04"/>
    <w:rsid w:val="000B6142"/>
    <w:rsid w:val="000B6BFF"/>
    <w:rsid w:val="000B7D3B"/>
    <w:rsid w:val="000C0BCD"/>
    <w:rsid w:val="000C0ED5"/>
    <w:rsid w:val="000C42D9"/>
    <w:rsid w:val="000C53C9"/>
    <w:rsid w:val="000C7EF8"/>
    <w:rsid w:val="000D4EFE"/>
    <w:rsid w:val="000D6076"/>
    <w:rsid w:val="000D7657"/>
    <w:rsid w:val="000E07BC"/>
    <w:rsid w:val="000E2313"/>
    <w:rsid w:val="000E3086"/>
    <w:rsid w:val="000E45E1"/>
    <w:rsid w:val="000E4CCF"/>
    <w:rsid w:val="000E4FCC"/>
    <w:rsid w:val="000E59F9"/>
    <w:rsid w:val="000F1CD4"/>
    <w:rsid w:val="000F4103"/>
    <w:rsid w:val="000F70A7"/>
    <w:rsid w:val="00101613"/>
    <w:rsid w:val="00101F22"/>
    <w:rsid w:val="00104568"/>
    <w:rsid w:val="001049B8"/>
    <w:rsid w:val="00104BDC"/>
    <w:rsid w:val="0011072C"/>
    <w:rsid w:val="001129A4"/>
    <w:rsid w:val="00112E6F"/>
    <w:rsid w:val="001139D2"/>
    <w:rsid w:val="00120303"/>
    <w:rsid w:val="001215F4"/>
    <w:rsid w:val="00123E93"/>
    <w:rsid w:val="00123EA2"/>
    <w:rsid w:val="00124486"/>
    <w:rsid w:val="00124E58"/>
    <w:rsid w:val="00126C02"/>
    <w:rsid w:val="00135980"/>
    <w:rsid w:val="001413D2"/>
    <w:rsid w:val="00142BF1"/>
    <w:rsid w:val="00146A4A"/>
    <w:rsid w:val="00151C2D"/>
    <w:rsid w:val="00154357"/>
    <w:rsid w:val="00157AA8"/>
    <w:rsid w:val="001608CD"/>
    <w:rsid w:val="00161895"/>
    <w:rsid w:val="00162066"/>
    <w:rsid w:val="0016346A"/>
    <w:rsid w:val="00163706"/>
    <w:rsid w:val="00164719"/>
    <w:rsid w:val="0016506D"/>
    <w:rsid w:val="001664E5"/>
    <w:rsid w:val="00166EDB"/>
    <w:rsid w:val="00166FC4"/>
    <w:rsid w:val="001677AC"/>
    <w:rsid w:val="001732BA"/>
    <w:rsid w:val="0018312D"/>
    <w:rsid w:val="0018345B"/>
    <w:rsid w:val="00184F1B"/>
    <w:rsid w:val="00190A61"/>
    <w:rsid w:val="00191414"/>
    <w:rsid w:val="0019266B"/>
    <w:rsid w:val="00192AA0"/>
    <w:rsid w:val="00193F84"/>
    <w:rsid w:val="00195BDD"/>
    <w:rsid w:val="00195CC8"/>
    <w:rsid w:val="001A113A"/>
    <w:rsid w:val="001A13FA"/>
    <w:rsid w:val="001A3342"/>
    <w:rsid w:val="001A358B"/>
    <w:rsid w:val="001A3E3D"/>
    <w:rsid w:val="001A560C"/>
    <w:rsid w:val="001A5FF0"/>
    <w:rsid w:val="001A6685"/>
    <w:rsid w:val="001A6A1D"/>
    <w:rsid w:val="001A74F7"/>
    <w:rsid w:val="001B0EDF"/>
    <w:rsid w:val="001B0F36"/>
    <w:rsid w:val="001B12A2"/>
    <w:rsid w:val="001B1E40"/>
    <w:rsid w:val="001B315C"/>
    <w:rsid w:val="001B6596"/>
    <w:rsid w:val="001B682D"/>
    <w:rsid w:val="001B77FD"/>
    <w:rsid w:val="001B7E00"/>
    <w:rsid w:val="001C11FF"/>
    <w:rsid w:val="001C4058"/>
    <w:rsid w:val="001C48F6"/>
    <w:rsid w:val="001C764E"/>
    <w:rsid w:val="001C7B9B"/>
    <w:rsid w:val="001D4ADA"/>
    <w:rsid w:val="001D6345"/>
    <w:rsid w:val="001D7CF8"/>
    <w:rsid w:val="001D7D30"/>
    <w:rsid w:val="001E0CF0"/>
    <w:rsid w:val="001E0D89"/>
    <w:rsid w:val="001E1052"/>
    <w:rsid w:val="001E1A0E"/>
    <w:rsid w:val="001E21B1"/>
    <w:rsid w:val="001E2CEB"/>
    <w:rsid w:val="001E2F93"/>
    <w:rsid w:val="001E4155"/>
    <w:rsid w:val="001E5F84"/>
    <w:rsid w:val="001E61E5"/>
    <w:rsid w:val="001E6397"/>
    <w:rsid w:val="001E78B2"/>
    <w:rsid w:val="001F0F9A"/>
    <w:rsid w:val="001F2159"/>
    <w:rsid w:val="001F26C1"/>
    <w:rsid w:val="002024DC"/>
    <w:rsid w:val="0020256C"/>
    <w:rsid w:val="00203CA5"/>
    <w:rsid w:val="00203CA8"/>
    <w:rsid w:val="00204C2D"/>
    <w:rsid w:val="00210351"/>
    <w:rsid w:val="002134CF"/>
    <w:rsid w:val="002139EF"/>
    <w:rsid w:val="00217EEA"/>
    <w:rsid w:val="00223EEB"/>
    <w:rsid w:val="002241C8"/>
    <w:rsid w:val="0022552F"/>
    <w:rsid w:val="00227F4F"/>
    <w:rsid w:val="002315E9"/>
    <w:rsid w:val="002315ED"/>
    <w:rsid w:val="00232C86"/>
    <w:rsid w:val="00235B28"/>
    <w:rsid w:val="00235FBD"/>
    <w:rsid w:val="00240B30"/>
    <w:rsid w:val="0024179E"/>
    <w:rsid w:val="0024191C"/>
    <w:rsid w:val="002443E6"/>
    <w:rsid w:val="002444AF"/>
    <w:rsid w:val="00244617"/>
    <w:rsid w:val="002467B7"/>
    <w:rsid w:val="00247C0F"/>
    <w:rsid w:val="00250DDA"/>
    <w:rsid w:val="002517B8"/>
    <w:rsid w:val="00251DFF"/>
    <w:rsid w:val="00253222"/>
    <w:rsid w:val="00254BCB"/>
    <w:rsid w:val="00260F2B"/>
    <w:rsid w:val="00262ADD"/>
    <w:rsid w:val="00262E06"/>
    <w:rsid w:val="002651AD"/>
    <w:rsid w:val="00267048"/>
    <w:rsid w:val="0026705A"/>
    <w:rsid w:val="00270BBB"/>
    <w:rsid w:val="00275567"/>
    <w:rsid w:val="0027567B"/>
    <w:rsid w:val="00275FDD"/>
    <w:rsid w:val="002768EA"/>
    <w:rsid w:val="00282749"/>
    <w:rsid w:val="00282F43"/>
    <w:rsid w:val="00285EAB"/>
    <w:rsid w:val="00290077"/>
    <w:rsid w:val="0029092A"/>
    <w:rsid w:val="00290A81"/>
    <w:rsid w:val="00291880"/>
    <w:rsid w:val="00291C42"/>
    <w:rsid w:val="002953FB"/>
    <w:rsid w:val="002A0D81"/>
    <w:rsid w:val="002A2001"/>
    <w:rsid w:val="002A26F3"/>
    <w:rsid w:val="002A2A24"/>
    <w:rsid w:val="002A481D"/>
    <w:rsid w:val="002A58C6"/>
    <w:rsid w:val="002A5C99"/>
    <w:rsid w:val="002A6BAB"/>
    <w:rsid w:val="002A6DA1"/>
    <w:rsid w:val="002B04BB"/>
    <w:rsid w:val="002B07C9"/>
    <w:rsid w:val="002B393A"/>
    <w:rsid w:val="002B72E9"/>
    <w:rsid w:val="002B76EC"/>
    <w:rsid w:val="002C0354"/>
    <w:rsid w:val="002C27E0"/>
    <w:rsid w:val="002C78EF"/>
    <w:rsid w:val="002D1661"/>
    <w:rsid w:val="002D2B1C"/>
    <w:rsid w:val="002D5C8C"/>
    <w:rsid w:val="002E00DA"/>
    <w:rsid w:val="002E1D44"/>
    <w:rsid w:val="002E35E4"/>
    <w:rsid w:val="002E36BE"/>
    <w:rsid w:val="002E3935"/>
    <w:rsid w:val="002E46E3"/>
    <w:rsid w:val="002E548B"/>
    <w:rsid w:val="002E5B06"/>
    <w:rsid w:val="002E5B75"/>
    <w:rsid w:val="002E5EDC"/>
    <w:rsid w:val="002F18D2"/>
    <w:rsid w:val="002F3443"/>
    <w:rsid w:val="002F3AA3"/>
    <w:rsid w:val="002F6E3D"/>
    <w:rsid w:val="0030065C"/>
    <w:rsid w:val="003030A4"/>
    <w:rsid w:val="00303B0A"/>
    <w:rsid w:val="00310188"/>
    <w:rsid w:val="00310D5E"/>
    <w:rsid w:val="00311465"/>
    <w:rsid w:val="0031176E"/>
    <w:rsid w:val="003124B4"/>
    <w:rsid w:val="00313BAD"/>
    <w:rsid w:val="00316887"/>
    <w:rsid w:val="00317C4C"/>
    <w:rsid w:val="00321D63"/>
    <w:rsid w:val="00323E32"/>
    <w:rsid w:val="00326B62"/>
    <w:rsid w:val="00330567"/>
    <w:rsid w:val="003306E1"/>
    <w:rsid w:val="003319D7"/>
    <w:rsid w:val="00331EE9"/>
    <w:rsid w:val="003320E4"/>
    <w:rsid w:val="00334A00"/>
    <w:rsid w:val="0033525D"/>
    <w:rsid w:val="00337616"/>
    <w:rsid w:val="00337891"/>
    <w:rsid w:val="00340DCD"/>
    <w:rsid w:val="003414F3"/>
    <w:rsid w:val="00342E5F"/>
    <w:rsid w:val="00343B8D"/>
    <w:rsid w:val="00344B52"/>
    <w:rsid w:val="00345157"/>
    <w:rsid w:val="0035173D"/>
    <w:rsid w:val="00354B09"/>
    <w:rsid w:val="00355402"/>
    <w:rsid w:val="00355AD7"/>
    <w:rsid w:val="0035613E"/>
    <w:rsid w:val="00356A9D"/>
    <w:rsid w:val="0036243F"/>
    <w:rsid w:val="00363D81"/>
    <w:rsid w:val="00363EE9"/>
    <w:rsid w:val="0036544F"/>
    <w:rsid w:val="003662D7"/>
    <w:rsid w:val="00366B3E"/>
    <w:rsid w:val="00366C0C"/>
    <w:rsid w:val="0036795C"/>
    <w:rsid w:val="00370E3D"/>
    <w:rsid w:val="00372A9D"/>
    <w:rsid w:val="00375D5D"/>
    <w:rsid w:val="00376128"/>
    <w:rsid w:val="003767AB"/>
    <w:rsid w:val="00377300"/>
    <w:rsid w:val="0037742E"/>
    <w:rsid w:val="00377DE7"/>
    <w:rsid w:val="00381D63"/>
    <w:rsid w:val="0038245A"/>
    <w:rsid w:val="00384781"/>
    <w:rsid w:val="003847C3"/>
    <w:rsid w:val="00387AAB"/>
    <w:rsid w:val="0039337A"/>
    <w:rsid w:val="00393BA0"/>
    <w:rsid w:val="00396605"/>
    <w:rsid w:val="00397611"/>
    <w:rsid w:val="003A0362"/>
    <w:rsid w:val="003A078F"/>
    <w:rsid w:val="003A2CA4"/>
    <w:rsid w:val="003A3189"/>
    <w:rsid w:val="003A3957"/>
    <w:rsid w:val="003A3C23"/>
    <w:rsid w:val="003A4CC6"/>
    <w:rsid w:val="003A5B61"/>
    <w:rsid w:val="003A6708"/>
    <w:rsid w:val="003B073B"/>
    <w:rsid w:val="003B0FB3"/>
    <w:rsid w:val="003B3973"/>
    <w:rsid w:val="003B3AB8"/>
    <w:rsid w:val="003B421A"/>
    <w:rsid w:val="003B569D"/>
    <w:rsid w:val="003B5AD8"/>
    <w:rsid w:val="003C3C0E"/>
    <w:rsid w:val="003C4D72"/>
    <w:rsid w:val="003D0A64"/>
    <w:rsid w:val="003D0C07"/>
    <w:rsid w:val="003D3D27"/>
    <w:rsid w:val="003D442E"/>
    <w:rsid w:val="003D4FAC"/>
    <w:rsid w:val="003D6F6F"/>
    <w:rsid w:val="003D7D55"/>
    <w:rsid w:val="003D7E9B"/>
    <w:rsid w:val="003E2801"/>
    <w:rsid w:val="003E2BB1"/>
    <w:rsid w:val="003E3DF4"/>
    <w:rsid w:val="003E429F"/>
    <w:rsid w:val="003E4F44"/>
    <w:rsid w:val="003E6931"/>
    <w:rsid w:val="003E7906"/>
    <w:rsid w:val="003F3C50"/>
    <w:rsid w:val="003F76FD"/>
    <w:rsid w:val="00400422"/>
    <w:rsid w:val="0040042A"/>
    <w:rsid w:val="004022CF"/>
    <w:rsid w:val="004037E2"/>
    <w:rsid w:val="00405F64"/>
    <w:rsid w:val="00406A6A"/>
    <w:rsid w:val="00406AF2"/>
    <w:rsid w:val="00406B22"/>
    <w:rsid w:val="004072B1"/>
    <w:rsid w:val="004077EA"/>
    <w:rsid w:val="004109CF"/>
    <w:rsid w:val="0041189D"/>
    <w:rsid w:val="0041248F"/>
    <w:rsid w:val="00412859"/>
    <w:rsid w:val="004132B6"/>
    <w:rsid w:val="00416335"/>
    <w:rsid w:val="00417C4B"/>
    <w:rsid w:val="0042285F"/>
    <w:rsid w:val="00422AF9"/>
    <w:rsid w:val="004233CD"/>
    <w:rsid w:val="0042558B"/>
    <w:rsid w:val="004256A7"/>
    <w:rsid w:val="00432279"/>
    <w:rsid w:val="004324B9"/>
    <w:rsid w:val="004328A7"/>
    <w:rsid w:val="00433A4E"/>
    <w:rsid w:val="00434C74"/>
    <w:rsid w:val="00435821"/>
    <w:rsid w:val="00441303"/>
    <w:rsid w:val="004446FD"/>
    <w:rsid w:val="00445B9A"/>
    <w:rsid w:val="00450AA6"/>
    <w:rsid w:val="00452F84"/>
    <w:rsid w:val="004553F8"/>
    <w:rsid w:val="0045623A"/>
    <w:rsid w:val="00456915"/>
    <w:rsid w:val="00456EB4"/>
    <w:rsid w:val="0045741A"/>
    <w:rsid w:val="004577D3"/>
    <w:rsid w:val="00457BD8"/>
    <w:rsid w:val="00460BC5"/>
    <w:rsid w:val="00461D09"/>
    <w:rsid w:val="00462D96"/>
    <w:rsid w:val="00463C73"/>
    <w:rsid w:val="00463D3E"/>
    <w:rsid w:val="004669D1"/>
    <w:rsid w:val="004702C8"/>
    <w:rsid w:val="00470584"/>
    <w:rsid w:val="00470E8E"/>
    <w:rsid w:val="004718F3"/>
    <w:rsid w:val="00474F5E"/>
    <w:rsid w:val="00475040"/>
    <w:rsid w:val="0047724D"/>
    <w:rsid w:val="004777CC"/>
    <w:rsid w:val="00481087"/>
    <w:rsid w:val="00482D2F"/>
    <w:rsid w:val="00485B32"/>
    <w:rsid w:val="0048686F"/>
    <w:rsid w:val="0048747B"/>
    <w:rsid w:val="00493D40"/>
    <w:rsid w:val="00496026"/>
    <w:rsid w:val="00496054"/>
    <w:rsid w:val="00497217"/>
    <w:rsid w:val="004A146C"/>
    <w:rsid w:val="004A32CC"/>
    <w:rsid w:val="004A3C52"/>
    <w:rsid w:val="004A504B"/>
    <w:rsid w:val="004A6911"/>
    <w:rsid w:val="004A6CD6"/>
    <w:rsid w:val="004B0619"/>
    <w:rsid w:val="004B1DE9"/>
    <w:rsid w:val="004B201E"/>
    <w:rsid w:val="004B22BB"/>
    <w:rsid w:val="004B45FD"/>
    <w:rsid w:val="004B5100"/>
    <w:rsid w:val="004B54E0"/>
    <w:rsid w:val="004B5795"/>
    <w:rsid w:val="004B6EE7"/>
    <w:rsid w:val="004B7384"/>
    <w:rsid w:val="004C0B01"/>
    <w:rsid w:val="004C10DB"/>
    <w:rsid w:val="004C1123"/>
    <w:rsid w:val="004C3E1A"/>
    <w:rsid w:val="004C4269"/>
    <w:rsid w:val="004C548F"/>
    <w:rsid w:val="004D12C3"/>
    <w:rsid w:val="004D371E"/>
    <w:rsid w:val="004D4CDB"/>
    <w:rsid w:val="004D4D70"/>
    <w:rsid w:val="004D620F"/>
    <w:rsid w:val="004D6236"/>
    <w:rsid w:val="004D6896"/>
    <w:rsid w:val="004D7C74"/>
    <w:rsid w:val="004E0588"/>
    <w:rsid w:val="004E1C51"/>
    <w:rsid w:val="004E2EAB"/>
    <w:rsid w:val="004E2F62"/>
    <w:rsid w:val="004E30FA"/>
    <w:rsid w:val="004E39C0"/>
    <w:rsid w:val="004E4C07"/>
    <w:rsid w:val="004E4CD0"/>
    <w:rsid w:val="004E4DBB"/>
    <w:rsid w:val="004E5C2A"/>
    <w:rsid w:val="004E602B"/>
    <w:rsid w:val="004E663D"/>
    <w:rsid w:val="004E7F9C"/>
    <w:rsid w:val="004F090B"/>
    <w:rsid w:val="004F093E"/>
    <w:rsid w:val="004F3038"/>
    <w:rsid w:val="004F345F"/>
    <w:rsid w:val="004F3493"/>
    <w:rsid w:val="004F5077"/>
    <w:rsid w:val="005006D9"/>
    <w:rsid w:val="00500E6F"/>
    <w:rsid w:val="00504518"/>
    <w:rsid w:val="005053E1"/>
    <w:rsid w:val="00505983"/>
    <w:rsid w:val="00507F5F"/>
    <w:rsid w:val="00512B09"/>
    <w:rsid w:val="00513FD5"/>
    <w:rsid w:val="00514D5B"/>
    <w:rsid w:val="005159CE"/>
    <w:rsid w:val="00517CF2"/>
    <w:rsid w:val="00520E6D"/>
    <w:rsid w:val="00521A49"/>
    <w:rsid w:val="005220F8"/>
    <w:rsid w:val="00522C75"/>
    <w:rsid w:val="005263A6"/>
    <w:rsid w:val="00527D4D"/>
    <w:rsid w:val="00527F30"/>
    <w:rsid w:val="00530137"/>
    <w:rsid w:val="00535920"/>
    <w:rsid w:val="005434A7"/>
    <w:rsid w:val="005455F7"/>
    <w:rsid w:val="005467FC"/>
    <w:rsid w:val="0054757B"/>
    <w:rsid w:val="00550F39"/>
    <w:rsid w:val="005533F5"/>
    <w:rsid w:val="00555D75"/>
    <w:rsid w:val="005570F0"/>
    <w:rsid w:val="00560DF0"/>
    <w:rsid w:val="005611DF"/>
    <w:rsid w:val="0056192E"/>
    <w:rsid w:val="00562725"/>
    <w:rsid w:val="00570BEE"/>
    <w:rsid w:val="005710B3"/>
    <w:rsid w:val="005718D5"/>
    <w:rsid w:val="005721EB"/>
    <w:rsid w:val="00572B55"/>
    <w:rsid w:val="00574427"/>
    <w:rsid w:val="0057573F"/>
    <w:rsid w:val="00581469"/>
    <w:rsid w:val="005814EB"/>
    <w:rsid w:val="00581BFA"/>
    <w:rsid w:val="00581E7E"/>
    <w:rsid w:val="005822FC"/>
    <w:rsid w:val="0058293A"/>
    <w:rsid w:val="00582BA5"/>
    <w:rsid w:val="00582CC7"/>
    <w:rsid w:val="00582D7D"/>
    <w:rsid w:val="005830D3"/>
    <w:rsid w:val="00584872"/>
    <w:rsid w:val="00586CAF"/>
    <w:rsid w:val="0058786D"/>
    <w:rsid w:val="00590266"/>
    <w:rsid w:val="00590A9B"/>
    <w:rsid w:val="00591BD2"/>
    <w:rsid w:val="005947FE"/>
    <w:rsid w:val="00597523"/>
    <w:rsid w:val="00597952"/>
    <w:rsid w:val="005A0D10"/>
    <w:rsid w:val="005A332D"/>
    <w:rsid w:val="005A68C5"/>
    <w:rsid w:val="005A6FFD"/>
    <w:rsid w:val="005B083B"/>
    <w:rsid w:val="005B4186"/>
    <w:rsid w:val="005B4624"/>
    <w:rsid w:val="005B48FF"/>
    <w:rsid w:val="005B5F0B"/>
    <w:rsid w:val="005B63C9"/>
    <w:rsid w:val="005B6E14"/>
    <w:rsid w:val="005C2341"/>
    <w:rsid w:val="005C3E3F"/>
    <w:rsid w:val="005C7764"/>
    <w:rsid w:val="005C7A40"/>
    <w:rsid w:val="005D1A3F"/>
    <w:rsid w:val="005D1E4E"/>
    <w:rsid w:val="005D2ACC"/>
    <w:rsid w:val="005D324A"/>
    <w:rsid w:val="005D60E3"/>
    <w:rsid w:val="005D6579"/>
    <w:rsid w:val="005D6DFF"/>
    <w:rsid w:val="005D745F"/>
    <w:rsid w:val="005E37C1"/>
    <w:rsid w:val="005E3EB4"/>
    <w:rsid w:val="005E3F51"/>
    <w:rsid w:val="005E4668"/>
    <w:rsid w:val="005E74FD"/>
    <w:rsid w:val="005E77AC"/>
    <w:rsid w:val="005F0CC0"/>
    <w:rsid w:val="005F2472"/>
    <w:rsid w:val="005F2EAA"/>
    <w:rsid w:val="005F3155"/>
    <w:rsid w:val="005F4FF1"/>
    <w:rsid w:val="005F5B7C"/>
    <w:rsid w:val="005F6113"/>
    <w:rsid w:val="005F7A8B"/>
    <w:rsid w:val="00600A67"/>
    <w:rsid w:val="00600F36"/>
    <w:rsid w:val="006012A7"/>
    <w:rsid w:val="00601A9E"/>
    <w:rsid w:val="00601BFD"/>
    <w:rsid w:val="006025B7"/>
    <w:rsid w:val="00602D56"/>
    <w:rsid w:val="006038A5"/>
    <w:rsid w:val="00603A83"/>
    <w:rsid w:val="00606513"/>
    <w:rsid w:val="00611387"/>
    <w:rsid w:val="006141C1"/>
    <w:rsid w:val="006158D5"/>
    <w:rsid w:val="006177A4"/>
    <w:rsid w:val="006204DF"/>
    <w:rsid w:val="006256F1"/>
    <w:rsid w:val="00625D83"/>
    <w:rsid w:val="00626287"/>
    <w:rsid w:val="006315AD"/>
    <w:rsid w:val="00634C78"/>
    <w:rsid w:val="006407E4"/>
    <w:rsid w:val="00641D0C"/>
    <w:rsid w:val="00643292"/>
    <w:rsid w:val="00644D64"/>
    <w:rsid w:val="00645D3D"/>
    <w:rsid w:val="006538FA"/>
    <w:rsid w:val="00655443"/>
    <w:rsid w:val="0065548D"/>
    <w:rsid w:val="0065654A"/>
    <w:rsid w:val="00657FDD"/>
    <w:rsid w:val="00660639"/>
    <w:rsid w:val="006623E7"/>
    <w:rsid w:val="00662761"/>
    <w:rsid w:val="00662B80"/>
    <w:rsid w:val="0066409D"/>
    <w:rsid w:val="00664B41"/>
    <w:rsid w:val="0066678D"/>
    <w:rsid w:val="00667F88"/>
    <w:rsid w:val="006703CA"/>
    <w:rsid w:val="00671FB2"/>
    <w:rsid w:val="00672855"/>
    <w:rsid w:val="006733E2"/>
    <w:rsid w:val="0067641F"/>
    <w:rsid w:val="0067688A"/>
    <w:rsid w:val="00677553"/>
    <w:rsid w:val="00677BC0"/>
    <w:rsid w:val="00682720"/>
    <w:rsid w:val="006833F6"/>
    <w:rsid w:val="006852C7"/>
    <w:rsid w:val="00685BBB"/>
    <w:rsid w:val="0068683A"/>
    <w:rsid w:val="00687328"/>
    <w:rsid w:val="00691BDC"/>
    <w:rsid w:val="006930A9"/>
    <w:rsid w:val="00695492"/>
    <w:rsid w:val="00696C9E"/>
    <w:rsid w:val="006A12BD"/>
    <w:rsid w:val="006A1E74"/>
    <w:rsid w:val="006A24D2"/>
    <w:rsid w:val="006A7948"/>
    <w:rsid w:val="006B0BE3"/>
    <w:rsid w:val="006B1777"/>
    <w:rsid w:val="006B1EED"/>
    <w:rsid w:val="006C0668"/>
    <w:rsid w:val="006C0B93"/>
    <w:rsid w:val="006C1727"/>
    <w:rsid w:val="006C32FD"/>
    <w:rsid w:val="006C3A5E"/>
    <w:rsid w:val="006C4499"/>
    <w:rsid w:val="006C6235"/>
    <w:rsid w:val="006C74AF"/>
    <w:rsid w:val="006C7A47"/>
    <w:rsid w:val="006C7E4B"/>
    <w:rsid w:val="006D0FCC"/>
    <w:rsid w:val="006D14D7"/>
    <w:rsid w:val="006D28EC"/>
    <w:rsid w:val="006D3434"/>
    <w:rsid w:val="006D4639"/>
    <w:rsid w:val="006D50A8"/>
    <w:rsid w:val="006E0D57"/>
    <w:rsid w:val="006E33FE"/>
    <w:rsid w:val="006E3B56"/>
    <w:rsid w:val="006E489B"/>
    <w:rsid w:val="006E5801"/>
    <w:rsid w:val="006F03C5"/>
    <w:rsid w:val="006F2226"/>
    <w:rsid w:val="006F5A7B"/>
    <w:rsid w:val="006F6061"/>
    <w:rsid w:val="006F6917"/>
    <w:rsid w:val="006F6F17"/>
    <w:rsid w:val="006F7E21"/>
    <w:rsid w:val="00700964"/>
    <w:rsid w:val="007021FD"/>
    <w:rsid w:val="00702DFA"/>
    <w:rsid w:val="007048E2"/>
    <w:rsid w:val="00705EA0"/>
    <w:rsid w:val="00705EED"/>
    <w:rsid w:val="0070616B"/>
    <w:rsid w:val="007065EF"/>
    <w:rsid w:val="00706659"/>
    <w:rsid w:val="00706FDA"/>
    <w:rsid w:val="00711F9A"/>
    <w:rsid w:val="00712C94"/>
    <w:rsid w:val="00712EF1"/>
    <w:rsid w:val="00713810"/>
    <w:rsid w:val="007152D6"/>
    <w:rsid w:val="00716A17"/>
    <w:rsid w:val="00716BA5"/>
    <w:rsid w:val="007173E0"/>
    <w:rsid w:val="00720EE7"/>
    <w:rsid w:val="00721015"/>
    <w:rsid w:val="00722A17"/>
    <w:rsid w:val="00722CB6"/>
    <w:rsid w:val="007251FC"/>
    <w:rsid w:val="007265BB"/>
    <w:rsid w:val="00727626"/>
    <w:rsid w:val="007303A5"/>
    <w:rsid w:val="007309B3"/>
    <w:rsid w:val="00730B3E"/>
    <w:rsid w:val="00730C9F"/>
    <w:rsid w:val="00730CCB"/>
    <w:rsid w:val="007315C8"/>
    <w:rsid w:val="0073196B"/>
    <w:rsid w:val="0073420B"/>
    <w:rsid w:val="007357BE"/>
    <w:rsid w:val="00737C8B"/>
    <w:rsid w:val="00737CED"/>
    <w:rsid w:val="007401B3"/>
    <w:rsid w:val="0074135D"/>
    <w:rsid w:val="00741B70"/>
    <w:rsid w:val="00741BD3"/>
    <w:rsid w:val="00742372"/>
    <w:rsid w:val="0074351B"/>
    <w:rsid w:val="0074402F"/>
    <w:rsid w:val="007451A5"/>
    <w:rsid w:val="00745577"/>
    <w:rsid w:val="00746271"/>
    <w:rsid w:val="007474D9"/>
    <w:rsid w:val="0074760E"/>
    <w:rsid w:val="0075136B"/>
    <w:rsid w:val="00753FE7"/>
    <w:rsid w:val="007548DA"/>
    <w:rsid w:val="00754ABA"/>
    <w:rsid w:val="0075526E"/>
    <w:rsid w:val="007573F9"/>
    <w:rsid w:val="00757B5A"/>
    <w:rsid w:val="00760CB6"/>
    <w:rsid w:val="00760F9F"/>
    <w:rsid w:val="00761620"/>
    <w:rsid w:val="00763DBB"/>
    <w:rsid w:val="00764699"/>
    <w:rsid w:val="007648EA"/>
    <w:rsid w:val="00765326"/>
    <w:rsid w:val="00765DC2"/>
    <w:rsid w:val="00770B71"/>
    <w:rsid w:val="007715DA"/>
    <w:rsid w:val="00772373"/>
    <w:rsid w:val="00772463"/>
    <w:rsid w:val="00772A49"/>
    <w:rsid w:val="00772C82"/>
    <w:rsid w:val="007731D6"/>
    <w:rsid w:val="007734A1"/>
    <w:rsid w:val="00773556"/>
    <w:rsid w:val="00773EC6"/>
    <w:rsid w:val="007766C6"/>
    <w:rsid w:val="007778A8"/>
    <w:rsid w:val="007816DF"/>
    <w:rsid w:val="00781A04"/>
    <w:rsid w:val="00783276"/>
    <w:rsid w:val="0078595C"/>
    <w:rsid w:val="00794157"/>
    <w:rsid w:val="007958E4"/>
    <w:rsid w:val="007971A5"/>
    <w:rsid w:val="007974AF"/>
    <w:rsid w:val="007A0670"/>
    <w:rsid w:val="007A1111"/>
    <w:rsid w:val="007A1546"/>
    <w:rsid w:val="007A228C"/>
    <w:rsid w:val="007A249F"/>
    <w:rsid w:val="007A368E"/>
    <w:rsid w:val="007A51CE"/>
    <w:rsid w:val="007A5868"/>
    <w:rsid w:val="007A60F4"/>
    <w:rsid w:val="007B04CE"/>
    <w:rsid w:val="007B1CF3"/>
    <w:rsid w:val="007B1E38"/>
    <w:rsid w:val="007B3D87"/>
    <w:rsid w:val="007B4645"/>
    <w:rsid w:val="007B4CCF"/>
    <w:rsid w:val="007B598C"/>
    <w:rsid w:val="007B6871"/>
    <w:rsid w:val="007C0274"/>
    <w:rsid w:val="007C1C13"/>
    <w:rsid w:val="007C2C37"/>
    <w:rsid w:val="007C367E"/>
    <w:rsid w:val="007C3D33"/>
    <w:rsid w:val="007C4332"/>
    <w:rsid w:val="007C5B45"/>
    <w:rsid w:val="007C6682"/>
    <w:rsid w:val="007C68A1"/>
    <w:rsid w:val="007C7D0E"/>
    <w:rsid w:val="007D0D45"/>
    <w:rsid w:val="007D1D0A"/>
    <w:rsid w:val="007D294A"/>
    <w:rsid w:val="007D47D2"/>
    <w:rsid w:val="007D53DC"/>
    <w:rsid w:val="007D64C9"/>
    <w:rsid w:val="007D6EC0"/>
    <w:rsid w:val="007D7BAD"/>
    <w:rsid w:val="007D7E1D"/>
    <w:rsid w:val="007E02CE"/>
    <w:rsid w:val="007E36E1"/>
    <w:rsid w:val="007E4AD1"/>
    <w:rsid w:val="007E4AF2"/>
    <w:rsid w:val="007E73CE"/>
    <w:rsid w:val="007E756C"/>
    <w:rsid w:val="007F0DB8"/>
    <w:rsid w:val="007F2069"/>
    <w:rsid w:val="007F616E"/>
    <w:rsid w:val="00800671"/>
    <w:rsid w:val="00803D87"/>
    <w:rsid w:val="00805299"/>
    <w:rsid w:val="008063BA"/>
    <w:rsid w:val="00806AA1"/>
    <w:rsid w:val="00807206"/>
    <w:rsid w:val="00810C49"/>
    <w:rsid w:val="0081133E"/>
    <w:rsid w:val="00813B1D"/>
    <w:rsid w:val="00814CA2"/>
    <w:rsid w:val="00816E98"/>
    <w:rsid w:val="00821DFA"/>
    <w:rsid w:val="00821FD6"/>
    <w:rsid w:val="0082391B"/>
    <w:rsid w:val="008239F7"/>
    <w:rsid w:val="008254B6"/>
    <w:rsid w:val="008260B5"/>
    <w:rsid w:val="00827761"/>
    <w:rsid w:val="008309C1"/>
    <w:rsid w:val="00830A8B"/>
    <w:rsid w:val="00830AF8"/>
    <w:rsid w:val="00831130"/>
    <w:rsid w:val="00831A19"/>
    <w:rsid w:val="008356D5"/>
    <w:rsid w:val="00835C02"/>
    <w:rsid w:val="00835F2C"/>
    <w:rsid w:val="00837492"/>
    <w:rsid w:val="008375E8"/>
    <w:rsid w:val="00837795"/>
    <w:rsid w:val="0083781C"/>
    <w:rsid w:val="00843664"/>
    <w:rsid w:val="00843FD0"/>
    <w:rsid w:val="00846DD2"/>
    <w:rsid w:val="008478F9"/>
    <w:rsid w:val="00847AD1"/>
    <w:rsid w:val="0085056A"/>
    <w:rsid w:val="008507C8"/>
    <w:rsid w:val="008537AF"/>
    <w:rsid w:val="00853E6C"/>
    <w:rsid w:val="00855135"/>
    <w:rsid w:val="00856BB4"/>
    <w:rsid w:val="008571EA"/>
    <w:rsid w:val="00857DF2"/>
    <w:rsid w:val="00862625"/>
    <w:rsid w:val="0086287C"/>
    <w:rsid w:val="00863230"/>
    <w:rsid w:val="00864CB5"/>
    <w:rsid w:val="00865E17"/>
    <w:rsid w:val="008661D2"/>
    <w:rsid w:val="00866CDD"/>
    <w:rsid w:val="008700B6"/>
    <w:rsid w:val="008717D8"/>
    <w:rsid w:val="008718CC"/>
    <w:rsid w:val="0087215C"/>
    <w:rsid w:val="00873D5B"/>
    <w:rsid w:val="00875F15"/>
    <w:rsid w:val="0088633A"/>
    <w:rsid w:val="008875FE"/>
    <w:rsid w:val="00887F8E"/>
    <w:rsid w:val="00887FBA"/>
    <w:rsid w:val="00890195"/>
    <w:rsid w:val="00892D68"/>
    <w:rsid w:val="00896234"/>
    <w:rsid w:val="00897E43"/>
    <w:rsid w:val="008A196D"/>
    <w:rsid w:val="008A20E0"/>
    <w:rsid w:val="008A2A00"/>
    <w:rsid w:val="008A3485"/>
    <w:rsid w:val="008A5B8A"/>
    <w:rsid w:val="008A628A"/>
    <w:rsid w:val="008A7EC8"/>
    <w:rsid w:val="008B0A41"/>
    <w:rsid w:val="008B1FF7"/>
    <w:rsid w:val="008B2ED4"/>
    <w:rsid w:val="008B4088"/>
    <w:rsid w:val="008B42CA"/>
    <w:rsid w:val="008C03F9"/>
    <w:rsid w:val="008C1094"/>
    <w:rsid w:val="008C11E6"/>
    <w:rsid w:val="008C1F79"/>
    <w:rsid w:val="008C2559"/>
    <w:rsid w:val="008C4731"/>
    <w:rsid w:val="008C5738"/>
    <w:rsid w:val="008C5B49"/>
    <w:rsid w:val="008C7234"/>
    <w:rsid w:val="008C736A"/>
    <w:rsid w:val="008C7EAD"/>
    <w:rsid w:val="008D3E7E"/>
    <w:rsid w:val="008D6152"/>
    <w:rsid w:val="008D7BDA"/>
    <w:rsid w:val="008D7F1B"/>
    <w:rsid w:val="008E11EC"/>
    <w:rsid w:val="008E11FF"/>
    <w:rsid w:val="008E252B"/>
    <w:rsid w:val="008E4B15"/>
    <w:rsid w:val="008E544D"/>
    <w:rsid w:val="008E58B3"/>
    <w:rsid w:val="008E644F"/>
    <w:rsid w:val="008E66BF"/>
    <w:rsid w:val="008E7FBC"/>
    <w:rsid w:val="008F001A"/>
    <w:rsid w:val="008F0E25"/>
    <w:rsid w:val="008F0F81"/>
    <w:rsid w:val="008F3298"/>
    <w:rsid w:val="008F3805"/>
    <w:rsid w:val="008F4024"/>
    <w:rsid w:val="008F522D"/>
    <w:rsid w:val="008F68BC"/>
    <w:rsid w:val="00901503"/>
    <w:rsid w:val="00906057"/>
    <w:rsid w:val="00906202"/>
    <w:rsid w:val="009063E3"/>
    <w:rsid w:val="00906F36"/>
    <w:rsid w:val="00910F7D"/>
    <w:rsid w:val="00911934"/>
    <w:rsid w:val="0091261D"/>
    <w:rsid w:val="00912AA5"/>
    <w:rsid w:val="009146CC"/>
    <w:rsid w:val="009147DF"/>
    <w:rsid w:val="009153F1"/>
    <w:rsid w:val="00915677"/>
    <w:rsid w:val="0091577F"/>
    <w:rsid w:val="00917004"/>
    <w:rsid w:val="0092070D"/>
    <w:rsid w:val="00922DD2"/>
    <w:rsid w:val="00923540"/>
    <w:rsid w:val="00924ECE"/>
    <w:rsid w:val="00925C84"/>
    <w:rsid w:val="00926767"/>
    <w:rsid w:val="00927DDD"/>
    <w:rsid w:val="00930817"/>
    <w:rsid w:val="00930833"/>
    <w:rsid w:val="00930DBB"/>
    <w:rsid w:val="00931D86"/>
    <w:rsid w:val="00932C75"/>
    <w:rsid w:val="00933E81"/>
    <w:rsid w:val="009361D5"/>
    <w:rsid w:val="00943014"/>
    <w:rsid w:val="0094377F"/>
    <w:rsid w:val="00944293"/>
    <w:rsid w:val="009461B6"/>
    <w:rsid w:val="009470B6"/>
    <w:rsid w:val="00950333"/>
    <w:rsid w:val="00952A41"/>
    <w:rsid w:val="00957B8C"/>
    <w:rsid w:val="009625EF"/>
    <w:rsid w:val="00963668"/>
    <w:rsid w:val="00963876"/>
    <w:rsid w:val="00963971"/>
    <w:rsid w:val="00963D81"/>
    <w:rsid w:val="00965418"/>
    <w:rsid w:val="009659BF"/>
    <w:rsid w:val="009659F4"/>
    <w:rsid w:val="00966BBC"/>
    <w:rsid w:val="00967514"/>
    <w:rsid w:val="00967C14"/>
    <w:rsid w:val="00970D60"/>
    <w:rsid w:val="00972C69"/>
    <w:rsid w:val="00975A8E"/>
    <w:rsid w:val="009818E0"/>
    <w:rsid w:val="00984384"/>
    <w:rsid w:val="0098608C"/>
    <w:rsid w:val="00987392"/>
    <w:rsid w:val="00987CAE"/>
    <w:rsid w:val="00991408"/>
    <w:rsid w:val="009935C4"/>
    <w:rsid w:val="009942B8"/>
    <w:rsid w:val="00995C28"/>
    <w:rsid w:val="009A09F0"/>
    <w:rsid w:val="009A24C7"/>
    <w:rsid w:val="009A4670"/>
    <w:rsid w:val="009A596D"/>
    <w:rsid w:val="009A6152"/>
    <w:rsid w:val="009A7A29"/>
    <w:rsid w:val="009A7ADC"/>
    <w:rsid w:val="009B1ABF"/>
    <w:rsid w:val="009B1AF1"/>
    <w:rsid w:val="009B1CB9"/>
    <w:rsid w:val="009B375E"/>
    <w:rsid w:val="009B45D4"/>
    <w:rsid w:val="009B4825"/>
    <w:rsid w:val="009B58B5"/>
    <w:rsid w:val="009B7058"/>
    <w:rsid w:val="009C05C1"/>
    <w:rsid w:val="009C19B7"/>
    <w:rsid w:val="009C29C6"/>
    <w:rsid w:val="009C29CA"/>
    <w:rsid w:val="009C2FDA"/>
    <w:rsid w:val="009C401F"/>
    <w:rsid w:val="009C4184"/>
    <w:rsid w:val="009C7333"/>
    <w:rsid w:val="009C7CBD"/>
    <w:rsid w:val="009D0290"/>
    <w:rsid w:val="009D2E05"/>
    <w:rsid w:val="009D30ED"/>
    <w:rsid w:val="009D53F2"/>
    <w:rsid w:val="009D645F"/>
    <w:rsid w:val="009D7C51"/>
    <w:rsid w:val="009E06A1"/>
    <w:rsid w:val="009E0A04"/>
    <w:rsid w:val="009E2EB0"/>
    <w:rsid w:val="009E5F69"/>
    <w:rsid w:val="009F01DB"/>
    <w:rsid w:val="009F36BF"/>
    <w:rsid w:val="009F3980"/>
    <w:rsid w:val="009F4097"/>
    <w:rsid w:val="009F516F"/>
    <w:rsid w:val="009F709C"/>
    <w:rsid w:val="00A011CD"/>
    <w:rsid w:val="00A0320A"/>
    <w:rsid w:val="00A03BA0"/>
    <w:rsid w:val="00A05C23"/>
    <w:rsid w:val="00A077B7"/>
    <w:rsid w:val="00A102F3"/>
    <w:rsid w:val="00A10D04"/>
    <w:rsid w:val="00A111B6"/>
    <w:rsid w:val="00A12FBC"/>
    <w:rsid w:val="00A13011"/>
    <w:rsid w:val="00A13BD5"/>
    <w:rsid w:val="00A13E16"/>
    <w:rsid w:val="00A15CED"/>
    <w:rsid w:val="00A23496"/>
    <w:rsid w:val="00A262B0"/>
    <w:rsid w:val="00A26E05"/>
    <w:rsid w:val="00A27223"/>
    <w:rsid w:val="00A30D6C"/>
    <w:rsid w:val="00A31CCD"/>
    <w:rsid w:val="00A330DC"/>
    <w:rsid w:val="00A33AAA"/>
    <w:rsid w:val="00A340D3"/>
    <w:rsid w:val="00A34190"/>
    <w:rsid w:val="00A359EB"/>
    <w:rsid w:val="00A368D1"/>
    <w:rsid w:val="00A36D9D"/>
    <w:rsid w:val="00A36FF6"/>
    <w:rsid w:val="00A4037A"/>
    <w:rsid w:val="00A42A99"/>
    <w:rsid w:val="00A4489A"/>
    <w:rsid w:val="00A47530"/>
    <w:rsid w:val="00A50656"/>
    <w:rsid w:val="00A5151A"/>
    <w:rsid w:val="00A55DF9"/>
    <w:rsid w:val="00A56054"/>
    <w:rsid w:val="00A56EF0"/>
    <w:rsid w:val="00A601C0"/>
    <w:rsid w:val="00A60737"/>
    <w:rsid w:val="00A62ABF"/>
    <w:rsid w:val="00A63788"/>
    <w:rsid w:val="00A65E66"/>
    <w:rsid w:val="00A6632B"/>
    <w:rsid w:val="00A67036"/>
    <w:rsid w:val="00A72D4F"/>
    <w:rsid w:val="00A7300C"/>
    <w:rsid w:val="00A73822"/>
    <w:rsid w:val="00A73A67"/>
    <w:rsid w:val="00A73CB5"/>
    <w:rsid w:val="00A75AE7"/>
    <w:rsid w:val="00A76BA3"/>
    <w:rsid w:val="00A801F8"/>
    <w:rsid w:val="00A80DF0"/>
    <w:rsid w:val="00A823F6"/>
    <w:rsid w:val="00A84EEA"/>
    <w:rsid w:val="00A852F9"/>
    <w:rsid w:val="00A87A6F"/>
    <w:rsid w:val="00A91A3E"/>
    <w:rsid w:val="00A92153"/>
    <w:rsid w:val="00A924D8"/>
    <w:rsid w:val="00A92663"/>
    <w:rsid w:val="00A94484"/>
    <w:rsid w:val="00A94D96"/>
    <w:rsid w:val="00A961B5"/>
    <w:rsid w:val="00A975EB"/>
    <w:rsid w:val="00AA0A89"/>
    <w:rsid w:val="00AA1A90"/>
    <w:rsid w:val="00AA1C84"/>
    <w:rsid w:val="00AA482C"/>
    <w:rsid w:val="00AA57AF"/>
    <w:rsid w:val="00AA603C"/>
    <w:rsid w:val="00AA6173"/>
    <w:rsid w:val="00AA6C4D"/>
    <w:rsid w:val="00AA7258"/>
    <w:rsid w:val="00AB4177"/>
    <w:rsid w:val="00AB4FEC"/>
    <w:rsid w:val="00AB5730"/>
    <w:rsid w:val="00AB7364"/>
    <w:rsid w:val="00AC01AA"/>
    <w:rsid w:val="00AC0D14"/>
    <w:rsid w:val="00AC24A0"/>
    <w:rsid w:val="00AC270C"/>
    <w:rsid w:val="00AC3935"/>
    <w:rsid w:val="00AC4CBD"/>
    <w:rsid w:val="00AC4F72"/>
    <w:rsid w:val="00AD2FCF"/>
    <w:rsid w:val="00AD2FE0"/>
    <w:rsid w:val="00AD50AA"/>
    <w:rsid w:val="00AD54C0"/>
    <w:rsid w:val="00AD56BF"/>
    <w:rsid w:val="00AD6E86"/>
    <w:rsid w:val="00AD74D4"/>
    <w:rsid w:val="00AE0CA7"/>
    <w:rsid w:val="00AE2A2C"/>
    <w:rsid w:val="00AE4D18"/>
    <w:rsid w:val="00AE655C"/>
    <w:rsid w:val="00AF1153"/>
    <w:rsid w:val="00AF15AC"/>
    <w:rsid w:val="00AF5905"/>
    <w:rsid w:val="00AF72DB"/>
    <w:rsid w:val="00AF741A"/>
    <w:rsid w:val="00B0195E"/>
    <w:rsid w:val="00B02B4D"/>
    <w:rsid w:val="00B03603"/>
    <w:rsid w:val="00B04161"/>
    <w:rsid w:val="00B056F9"/>
    <w:rsid w:val="00B064F0"/>
    <w:rsid w:val="00B06728"/>
    <w:rsid w:val="00B07707"/>
    <w:rsid w:val="00B10454"/>
    <w:rsid w:val="00B10BA2"/>
    <w:rsid w:val="00B11E3D"/>
    <w:rsid w:val="00B125A6"/>
    <w:rsid w:val="00B13355"/>
    <w:rsid w:val="00B13D67"/>
    <w:rsid w:val="00B1647A"/>
    <w:rsid w:val="00B173AB"/>
    <w:rsid w:val="00B17684"/>
    <w:rsid w:val="00B17E82"/>
    <w:rsid w:val="00B206B1"/>
    <w:rsid w:val="00B21156"/>
    <w:rsid w:val="00B21B25"/>
    <w:rsid w:val="00B235F3"/>
    <w:rsid w:val="00B30761"/>
    <w:rsid w:val="00B30A25"/>
    <w:rsid w:val="00B33DAD"/>
    <w:rsid w:val="00B34E02"/>
    <w:rsid w:val="00B36546"/>
    <w:rsid w:val="00B40021"/>
    <w:rsid w:val="00B40461"/>
    <w:rsid w:val="00B41289"/>
    <w:rsid w:val="00B43006"/>
    <w:rsid w:val="00B43267"/>
    <w:rsid w:val="00B43381"/>
    <w:rsid w:val="00B454C4"/>
    <w:rsid w:val="00B512F7"/>
    <w:rsid w:val="00B51D4A"/>
    <w:rsid w:val="00B55263"/>
    <w:rsid w:val="00B575BA"/>
    <w:rsid w:val="00B57C07"/>
    <w:rsid w:val="00B60324"/>
    <w:rsid w:val="00B60B7C"/>
    <w:rsid w:val="00B6131E"/>
    <w:rsid w:val="00B61F66"/>
    <w:rsid w:val="00B631FE"/>
    <w:rsid w:val="00B63FEE"/>
    <w:rsid w:val="00B643A4"/>
    <w:rsid w:val="00B660D5"/>
    <w:rsid w:val="00B66470"/>
    <w:rsid w:val="00B6765A"/>
    <w:rsid w:val="00B67677"/>
    <w:rsid w:val="00B67711"/>
    <w:rsid w:val="00B67A86"/>
    <w:rsid w:val="00B7010F"/>
    <w:rsid w:val="00B7026A"/>
    <w:rsid w:val="00B7120C"/>
    <w:rsid w:val="00B722AA"/>
    <w:rsid w:val="00B7342F"/>
    <w:rsid w:val="00B7502E"/>
    <w:rsid w:val="00B758AB"/>
    <w:rsid w:val="00B75B3F"/>
    <w:rsid w:val="00B760CB"/>
    <w:rsid w:val="00B76429"/>
    <w:rsid w:val="00B81FA8"/>
    <w:rsid w:val="00B844CE"/>
    <w:rsid w:val="00B84E8E"/>
    <w:rsid w:val="00B86702"/>
    <w:rsid w:val="00B87F83"/>
    <w:rsid w:val="00B87FD8"/>
    <w:rsid w:val="00B91CA6"/>
    <w:rsid w:val="00B91D3B"/>
    <w:rsid w:val="00B9241D"/>
    <w:rsid w:val="00B9341D"/>
    <w:rsid w:val="00B956D4"/>
    <w:rsid w:val="00BA0D38"/>
    <w:rsid w:val="00BA13DA"/>
    <w:rsid w:val="00BA1533"/>
    <w:rsid w:val="00BA1BF7"/>
    <w:rsid w:val="00BA5CCB"/>
    <w:rsid w:val="00BA6724"/>
    <w:rsid w:val="00BA6A71"/>
    <w:rsid w:val="00BA7432"/>
    <w:rsid w:val="00BA793A"/>
    <w:rsid w:val="00BA7BEF"/>
    <w:rsid w:val="00BB0C03"/>
    <w:rsid w:val="00BB42FD"/>
    <w:rsid w:val="00BB5472"/>
    <w:rsid w:val="00BB576A"/>
    <w:rsid w:val="00BB7C1F"/>
    <w:rsid w:val="00BB7DF3"/>
    <w:rsid w:val="00BB7F56"/>
    <w:rsid w:val="00BC0637"/>
    <w:rsid w:val="00BC1AA0"/>
    <w:rsid w:val="00BC2B7A"/>
    <w:rsid w:val="00BC378E"/>
    <w:rsid w:val="00BC3835"/>
    <w:rsid w:val="00BC3994"/>
    <w:rsid w:val="00BC4D78"/>
    <w:rsid w:val="00BC6C05"/>
    <w:rsid w:val="00BC7EB9"/>
    <w:rsid w:val="00BD0113"/>
    <w:rsid w:val="00BD2643"/>
    <w:rsid w:val="00BD27C0"/>
    <w:rsid w:val="00BD3A35"/>
    <w:rsid w:val="00BD42C2"/>
    <w:rsid w:val="00BD6464"/>
    <w:rsid w:val="00BD6558"/>
    <w:rsid w:val="00BD6DA4"/>
    <w:rsid w:val="00BD6FE9"/>
    <w:rsid w:val="00BE08BF"/>
    <w:rsid w:val="00BE132C"/>
    <w:rsid w:val="00BE3776"/>
    <w:rsid w:val="00BE3C0E"/>
    <w:rsid w:val="00BE4106"/>
    <w:rsid w:val="00BE45A6"/>
    <w:rsid w:val="00BE5DA6"/>
    <w:rsid w:val="00BE623B"/>
    <w:rsid w:val="00BE7BFA"/>
    <w:rsid w:val="00BF16EE"/>
    <w:rsid w:val="00BF23D1"/>
    <w:rsid w:val="00BF3214"/>
    <w:rsid w:val="00BF3C1D"/>
    <w:rsid w:val="00BF400C"/>
    <w:rsid w:val="00BF71DE"/>
    <w:rsid w:val="00BF7E5F"/>
    <w:rsid w:val="00C0058D"/>
    <w:rsid w:val="00C00DB1"/>
    <w:rsid w:val="00C01256"/>
    <w:rsid w:val="00C03BB3"/>
    <w:rsid w:val="00C04D6A"/>
    <w:rsid w:val="00C050FE"/>
    <w:rsid w:val="00C06D03"/>
    <w:rsid w:val="00C07197"/>
    <w:rsid w:val="00C1062B"/>
    <w:rsid w:val="00C11375"/>
    <w:rsid w:val="00C12B5B"/>
    <w:rsid w:val="00C15867"/>
    <w:rsid w:val="00C15A84"/>
    <w:rsid w:val="00C16EF8"/>
    <w:rsid w:val="00C2186D"/>
    <w:rsid w:val="00C2296D"/>
    <w:rsid w:val="00C23098"/>
    <w:rsid w:val="00C23155"/>
    <w:rsid w:val="00C2435F"/>
    <w:rsid w:val="00C2664B"/>
    <w:rsid w:val="00C27325"/>
    <w:rsid w:val="00C305AB"/>
    <w:rsid w:val="00C31A23"/>
    <w:rsid w:val="00C32C92"/>
    <w:rsid w:val="00C341C9"/>
    <w:rsid w:val="00C3560F"/>
    <w:rsid w:val="00C36662"/>
    <w:rsid w:val="00C366A5"/>
    <w:rsid w:val="00C37DD8"/>
    <w:rsid w:val="00C40C41"/>
    <w:rsid w:val="00C41081"/>
    <w:rsid w:val="00C41B92"/>
    <w:rsid w:val="00C43175"/>
    <w:rsid w:val="00C4408A"/>
    <w:rsid w:val="00C45885"/>
    <w:rsid w:val="00C4641F"/>
    <w:rsid w:val="00C478C3"/>
    <w:rsid w:val="00C47F9D"/>
    <w:rsid w:val="00C50F22"/>
    <w:rsid w:val="00C51E68"/>
    <w:rsid w:val="00C532D7"/>
    <w:rsid w:val="00C57467"/>
    <w:rsid w:val="00C57971"/>
    <w:rsid w:val="00C6277E"/>
    <w:rsid w:val="00C67A87"/>
    <w:rsid w:val="00C67FD2"/>
    <w:rsid w:val="00C730F9"/>
    <w:rsid w:val="00C73EFF"/>
    <w:rsid w:val="00C76568"/>
    <w:rsid w:val="00C76BA4"/>
    <w:rsid w:val="00C80E4A"/>
    <w:rsid w:val="00C8303D"/>
    <w:rsid w:val="00C83544"/>
    <w:rsid w:val="00C83A48"/>
    <w:rsid w:val="00C847AC"/>
    <w:rsid w:val="00C84A9F"/>
    <w:rsid w:val="00C85865"/>
    <w:rsid w:val="00C85E85"/>
    <w:rsid w:val="00C86E46"/>
    <w:rsid w:val="00C870E7"/>
    <w:rsid w:val="00C877D2"/>
    <w:rsid w:val="00C87D3C"/>
    <w:rsid w:val="00C90EA3"/>
    <w:rsid w:val="00C91467"/>
    <w:rsid w:val="00C91B41"/>
    <w:rsid w:val="00C92CE0"/>
    <w:rsid w:val="00C93550"/>
    <w:rsid w:val="00C9386F"/>
    <w:rsid w:val="00C94B06"/>
    <w:rsid w:val="00C95382"/>
    <w:rsid w:val="00CA2EAE"/>
    <w:rsid w:val="00CA4AC1"/>
    <w:rsid w:val="00CB0316"/>
    <w:rsid w:val="00CB0317"/>
    <w:rsid w:val="00CB090F"/>
    <w:rsid w:val="00CB096B"/>
    <w:rsid w:val="00CB0B11"/>
    <w:rsid w:val="00CB1DD0"/>
    <w:rsid w:val="00CB36F9"/>
    <w:rsid w:val="00CB520C"/>
    <w:rsid w:val="00CB5354"/>
    <w:rsid w:val="00CB6118"/>
    <w:rsid w:val="00CB797A"/>
    <w:rsid w:val="00CC05E5"/>
    <w:rsid w:val="00CC14A1"/>
    <w:rsid w:val="00CC3BA3"/>
    <w:rsid w:val="00CC4AE5"/>
    <w:rsid w:val="00CC585D"/>
    <w:rsid w:val="00CC6A14"/>
    <w:rsid w:val="00CC6E10"/>
    <w:rsid w:val="00CC70A3"/>
    <w:rsid w:val="00CC7F83"/>
    <w:rsid w:val="00CD0160"/>
    <w:rsid w:val="00CD24E4"/>
    <w:rsid w:val="00CD3701"/>
    <w:rsid w:val="00CD399C"/>
    <w:rsid w:val="00CD3D3B"/>
    <w:rsid w:val="00CD45CF"/>
    <w:rsid w:val="00CD53C3"/>
    <w:rsid w:val="00CD55DA"/>
    <w:rsid w:val="00CD574E"/>
    <w:rsid w:val="00CD6546"/>
    <w:rsid w:val="00CD77A8"/>
    <w:rsid w:val="00CE1FD1"/>
    <w:rsid w:val="00CE29EA"/>
    <w:rsid w:val="00CE34FD"/>
    <w:rsid w:val="00CE46B0"/>
    <w:rsid w:val="00CE4C22"/>
    <w:rsid w:val="00CE63CC"/>
    <w:rsid w:val="00CE6CD5"/>
    <w:rsid w:val="00CF1046"/>
    <w:rsid w:val="00CF17C0"/>
    <w:rsid w:val="00CF2563"/>
    <w:rsid w:val="00CF2B82"/>
    <w:rsid w:val="00CF3E43"/>
    <w:rsid w:val="00CF41EC"/>
    <w:rsid w:val="00CF5D04"/>
    <w:rsid w:val="00CF613E"/>
    <w:rsid w:val="00CF7410"/>
    <w:rsid w:val="00CF7A58"/>
    <w:rsid w:val="00D039B1"/>
    <w:rsid w:val="00D0440E"/>
    <w:rsid w:val="00D04DE4"/>
    <w:rsid w:val="00D06032"/>
    <w:rsid w:val="00D063F1"/>
    <w:rsid w:val="00D067CA"/>
    <w:rsid w:val="00D06CAF"/>
    <w:rsid w:val="00D076F7"/>
    <w:rsid w:val="00D07702"/>
    <w:rsid w:val="00D136A8"/>
    <w:rsid w:val="00D13984"/>
    <w:rsid w:val="00D14F22"/>
    <w:rsid w:val="00D16B71"/>
    <w:rsid w:val="00D17F73"/>
    <w:rsid w:val="00D21B42"/>
    <w:rsid w:val="00D22CB7"/>
    <w:rsid w:val="00D230BE"/>
    <w:rsid w:val="00D2365E"/>
    <w:rsid w:val="00D24716"/>
    <w:rsid w:val="00D24723"/>
    <w:rsid w:val="00D249C2"/>
    <w:rsid w:val="00D249C4"/>
    <w:rsid w:val="00D2654F"/>
    <w:rsid w:val="00D27B59"/>
    <w:rsid w:val="00D27C5A"/>
    <w:rsid w:val="00D27CB2"/>
    <w:rsid w:val="00D32606"/>
    <w:rsid w:val="00D3346A"/>
    <w:rsid w:val="00D33AAA"/>
    <w:rsid w:val="00D3583E"/>
    <w:rsid w:val="00D3689E"/>
    <w:rsid w:val="00D412B0"/>
    <w:rsid w:val="00D416A8"/>
    <w:rsid w:val="00D42237"/>
    <w:rsid w:val="00D45F57"/>
    <w:rsid w:val="00D4718A"/>
    <w:rsid w:val="00D47EF6"/>
    <w:rsid w:val="00D50BEF"/>
    <w:rsid w:val="00D50D20"/>
    <w:rsid w:val="00D54327"/>
    <w:rsid w:val="00D5465E"/>
    <w:rsid w:val="00D5467A"/>
    <w:rsid w:val="00D549D5"/>
    <w:rsid w:val="00D572A2"/>
    <w:rsid w:val="00D57918"/>
    <w:rsid w:val="00D57BFA"/>
    <w:rsid w:val="00D6032A"/>
    <w:rsid w:val="00D61619"/>
    <w:rsid w:val="00D620FF"/>
    <w:rsid w:val="00D628E0"/>
    <w:rsid w:val="00D7277C"/>
    <w:rsid w:val="00D731B5"/>
    <w:rsid w:val="00D73DC6"/>
    <w:rsid w:val="00D74C1A"/>
    <w:rsid w:val="00D75205"/>
    <w:rsid w:val="00D754C1"/>
    <w:rsid w:val="00D77696"/>
    <w:rsid w:val="00D77A35"/>
    <w:rsid w:val="00D8151B"/>
    <w:rsid w:val="00D81B3E"/>
    <w:rsid w:val="00D8424D"/>
    <w:rsid w:val="00D8477A"/>
    <w:rsid w:val="00D86490"/>
    <w:rsid w:val="00D86C55"/>
    <w:rsid w:val="00D90C70"/>
    <w:rsid w:val="00D90E49"/>
    <w:rsid w:val="00D92C12"/>
    <w:rsid w:val="00D93345"/>
    <w:rsid w:val="00D940A9"/>
    <w:rsid w:val="00D940FA"/>
    <w:rsid w:val="00D95243"/>
    <w:rsid w:val="00D96A1A"/>
    <w:rsid w:val="00DA166F"/>
    <w:rsid w:val="00DA1A91"/>
    <w:rsid w:val="00DA220A"/>
    <w:rsid w:val="00DA3F6A"/>
    <w:rsid w:val="00DA4719"/>
    <w:rsid w:val="00DA4A69"/>
    <w:rsid w:val="00DA4FC5"/>
    <w:rsid w:val="00DA6365"/>
    <w:rsid w:val="00DB077E"/>
    <w:rsid w:val="00DB484C"/>
    <w:rsid w:val="00DB5201"/>
    <w:rsid w:val="00DB60B4"/>
    <w:rsid w:val="00DC02F0"/>
    <w:rsid w:val="00DC032D"/>
    <w:rsid w:val="00DC1188"/>
    <w:rsid w:val="00DC2290"/>
    <w:rsid w:val="00DC2A72"/>
    <w:rsid w:val="00DC2CE4"/>
    <w:rsid w:val="00DC453E"/>
    <w:rsid w:val="00DC692A"/>
    <w:rsid w:val="00DC6A10"/>
    <w:rsid w:val="00DC6D65"/>
    <w:rsid w:val="00DD3577"/>
    <w:rsid w:val="00DD35AC"/>
    <w:rsid w:val="00DD4488"/>
    <w:rsid w:val="00DD4C4C"/>
    <w:rsid w:val="00DD502B"/>
    <w:rsid w:val="00DD5432"/>
    <w:rsid w:val="00DD59DA"/>
    <w:rsid w:val="00DE08E4"/>
    <w:rsid w:val="00DE13F5"/>
    <w:rsid w:val="00DE15F5"/>
    <w:rsid w:val="00DE1D5E"/>
    <w:rsid w:val="00DE31AC"/>
    <w:rsid w:val="00DE3F39"/>
    <w:rsid w:val="00DE42DB"/>
    <w:rsid w:val="00DE5D9F"/>
    <w:rsid w:val="00DE6064"/>
    <w:rsid w:val="00DE657E"/>
    <w:rsid w:val="00DE751B"/>
    <w:rsid w:val="00DF1D98"/>
    <w:rsid w:val="00DF264B"/>
    <w:rsid w:val="00DF4704"/>
    <w:rsid w:val="00DF6528"/>
    <w:rsid w:val="00E00CCA"/>
    <w:rsid w:val="00E013D5"/>
    <w:rsid w:val="00E01852"/>
    <w:rsid w:val="00E024AA"/>
    <w:rsid w:val="00E05698"/>
    <w:rsid w:val="00E06673"/>
    <w:rsid w:val="00E07018"/>
    <w:rsid w:val="00E122FF"/>
    <w:rsid w:val="00E125FB"/>
    <w:rsid w:val="00E1313F"/>
    <w:rsid w:val="00E144E6"/>
    <w:rsid w:val="00E1693E"/>
    <w:rsid w:val="00E16D12"/>
    <w:rsid w:val="00E20584"/>
    <w:rsid w:val="00E23695"/>
    <w:rsid w:val="00E250F1"/>
    <w:rsid w:val="00E254B1"/>
    <w:rsid w:val="00E26002"/>
    <w:rsid w:val="00E26B1A"/>
    <w:rsid w:val="00E27188"/>
    <w:rsid w:val="00E31E0B"/>
    <w:rsid w:val="00E32513"/>
    <w:rsid w:val="00E328D6"/>
    <w:rsid w:val="00E32E6B"/>
    <w:rsid w:val="00E33106"/>
    <w:rsid w:val="00E332DA"/>
    <w:rsid w:val="00E3550D"/>
    <w:rsid w:val="00E3799F"/>
    <w:rsid w:val="00E42E81"/>
    <w:rsid w:val="00E446C6"/>
    <w:rsid w:val="00E478BD"/>
    <w:rsid w:val="00E50035"/>
    <w:rsid w:val="00E50299"/>
    <w:rsid w:val="00E51860"/>
    <w:rsid w:val="00E546F4"/>
    <w:rsid w:val="00E57A43"/>
    <w:rsid w:val="00E608C8"/>
    <w:rsid w:val="00E614E0"/>
    <w:rsid w:val="00E61F64"/>
    <w:rsid w:val="00E62F6C"/>
    <w:rsid w:val="00E63946"/>
    <w:rsid w:val="00E67CED"/>
    <w:rsid w:val="00E70A28"/>
    <w:rsid w:val="00E714F6"/>
    <w:rsid w:val="00E71EF2"/>
    <w:rsid w:val="00E73F7F"/>
    <w:rsid w:val="00E746D5"/>
    <w:rsid w:val="00E74978"/>
    <w:rsid w:val="00E77760"/>
    <w:rsid w:val="00E77EE1"/>
    <w:rsid w:val="00E8043F"/>
    <w:rsid w:val="00E854CA"/>
    <w:rsid w:val="00E85D39"/>
    <w:rsid w:val="00E9050E"/>
    <w:rsid w:val="00E90C5F"/>
    <w:rsid w:val="00E93118"/>
    <w:rsid w:val="00E93BC1"/>
    <w:rsid w:val="00E958C9"/>
    <w:rsid w:val="00EA2887"/>
    <w:rsid w:val="00EA3419"/>
    <w:rsid w:val="00EA429F"/>
    <w:rsid w:val="00EA4E04"/>
    <w:rsid w:val="00EA4F9E"/>
    <w:rsid w:val="00EA52A5"/>
    <w:rsid w:val="00EA6D3B"/>
    <w:rsid w:val="00EA6E60"/>
    <w:rsid w:val="00EA7D05"/>
    <w:rsid w:val="00EB00AD"/>
    <w:rsid w:val="00EB03E7"/>
    <w:rsid w:val="00EB121E"/>
    <w:rsid w:val="00EB136C"/>
    <w:rsid w:val="00EB26E6"/>
    <w:rsid w:val="00EB480E"/>
    <w:rsid w:val="00EB5EC6"/>
    <w:rsid w:val="00EB602B"/>
    <w:rsid w:val="00EB6449"/>
    <w:rsid w:val="00EB7661"/>
    <w:rsid w:val="00EB7797"/>
    <w:rsid w:val="00EB7C4B"/>
    <w:rsid w:val="00EB7FC9"/>
    <w:rsid w:val="00EC12A7"/>
    <w:rsid w:val="00EC1844"/>
    <w:rsid w:val="00EC1877"/>
    <w:rsid w:val="00EC2697"/>
    <w:rsid w:val="00EC55D1"/>
    <w:rsid w:val="00EC6671"/>
    <w:rsid w:val="00ED2634"/>
    <w:rsid w:val="00ED408D"/>
    <w:rsid w:val="00ED4BF0"/>
    <w:rsid w:val="00ED6924"/>
    <w:rsid w:val="00ED7137"/>
    <w:rsid w:val="00EE191C"/>
    <w:rsid w:val="00EE1CA8"/>
    <w:rsid w:val="00EE23E5"/>
    <w:rsid w:val="00EE2739"/>
    <w:rsid w:val="00EE41F1"/>
    <w:rsid w:val="00EF00AC"/>
    <w:rsid w:val="00EF0473"/>
    <w:rsid w:val="00EF06A6"/>
    <w:rsid w:val="00EF360B"/>
    <w:rsid w:val="00EF5A43"/>
    <w:rsid w:val="00EF5C3C"/>
    <w:rsid w:val="00EF65CE"/>
    <w:rsid w:val="00F006DF"/>
    <w:rsid w:val="00F03098"/>
    <w:rsid w:val="00F036C6"/>
    <w:rsid w:val="00F036EB"/>
    <w:rsid w:val="00F036FF"/>
    <w:rsid w:val="00F04045"/>
    <w:rsid w:val="00F04EEC"/>
    <w:rsid w:val="00F05DEB"/>
    <w:rsid w:val="00F06DD5"/>
    <w:rsid w:val="00F10B75"/>
    <w:rsid w:val="00F116B8"/>
    <w:rsid w:val="00F1248E"/>
    <w:rsid w:val="00F1261E"/>
    <w:rsid w:val="00F14041"/>
    <w:rsid w:val="00F170B3"/>
    <w:rsid w:val="00F17D53"/>
    <w:rsid w:val="00F205C9"/>
    <w:rsid w:val="00F21088"/>
    <w:rsid w:val="00F23343"/>
    <w:rsid w:val="00F2351E"/>
    <w:rsid w:val="00F23C89"/>
    <w:rsid w:val="00F31BC7"/>
    <w:rsid w:val="00F325FB"/>
    <w:rsid w:val="00F327E7"/>
    <w:rsid w:val="00F32A5F"/>
    <w:rsid w:val="00F33B68"/>
    <w:rsid w:val="00F34229"/>
    <w:rsid w:val="00F34966"/>
    <w:rsid w:val="00F35284"/>
    <w:rsid w:val="00F35746"/>
    <w:rsid w:val="00F36371"/>
    <w:rsid w:val="00F378E0"/>
    <w:rsid w:val="00F41B18"/>
    <w:rsid w:val="00F41EFF"/>
    <w:rsid w:val="00F434C1"/>
    <w:rsid w:val="00F435B3"/>
    <w:rsid w:val="00F443C8"/>
    <w:rsid w:val="00F447C7"/>
    <w:rsid w:val="00F45269"/>
    <w:rsid w:val="00F459C1"/>
    <w:rsid w:val="00F461AF"/>
    <w:rsid w:val="00F53C8C"/>
    <w:rsid w:val="00F54461"/>
    <w:rsid w:val="00F554A9"/>
    <w:rsid w:val="00F5791E"/>
    <w:rsid w:val="00F60CC4"/>
    <w:rsid w:val="00F63A28"/>
    <w:rsid w:val="00F63B76"/>
    <w:rsid w:val="00F67ACF"/>
    <w:rsid w:val="00F716FD"/>
    <w:rsid w:val="00F721B6"/>
    <w:rsid w:val="00F723C9"/>
    <w:rsid w:val="00F72C54"/>
    <w:rsid w:val="00F7399F"/>
    <w:rsid w:val="00F75C5F"/>
    <w:rsid w:val="00F77634"/>
    <w:rsid w:val="00F80355"/>
    <w:rsid w:val="00F80496"/>
    <w:rsid w:val="00F825E1"/>
    <w:rsid w:val="00F83AF2"/>
    <w:rsid w:val="00F84108"/>
    <w:rsid w:val="00F842F5"/>
    <w:rsid w:val="00F84AEB"/>
    <w:rsid w:val="00F85300"/>
    <w:rsid w:val="00F877F9"/>
    <w:rsid w:val="00F90E2E"/>
    <w:rsid w:val="00F90E98"/>
    <w:rsid w:val="00F91A53"/>
    <w:rsid w:val="00F921F1"/>
    <w:rsid w:val="00F924A5"/>
    <w:rsid w:val="00F92612"/>
    <w:rsid w:val="00F92D3D"/>
    <w:rsid w:val="00F9314E"/>
    <w:rsid w:val="00F93CF0"/>
    <w:rsid w:val="00F94083"/>
    <w:rsid w:val="00F96959"/>
    <w:rsid w:val="00F9729F"/>
    <w:rsid w:val="00FA099F"/>
    <w:rsid w:val="00FA23A7"/>
    <w:rsid w:val="00FA2652"/>
    <w:rsid w:val="00FA308F"/>
    <w:rsid w:val="00FA31C1"/>
    <w:rsid w:val="00FA3AE0"/>
    <w:rsid w:val="00FA6349"/>
    <w:rsid w:val="00FB006C"/>
    <w:rsid w:val="00FB0C81"/>
    <w:rsid w:val="00FB29BF"/>
    <w:rsid w:val="00FB51C8"/>
    <w:rsid w:val="00FB58E9"/>
    <w:rsid w:val="00FB5FA0"/>
    <w:rsid w:val="00FB65A4"/>
    <w:rsid w:val="00FB6D9A"/>
    <w:rsid w:val="00FB72C9"/>
    <w:rsid w:val="00FC0AE1"/>
    <w:rsid w:val="00FC1D05"/>
    <w:rsid w:val="00FC2200"/>
    <w:rsid w:val="00FC2540"/>
    <w:rsid w:val="00FC3C08"/>
    <w:rsid w:val="00FC4D76"/>
    <w:rsid w:val="00FC5DE0"/>
    <w:rsid w:val="00FD0D67"/>
    <w:rsid w:val="00FD1864"/>
    <w:rsid w:val="00FD1BF9"/>
    <w:rsid w:val="00FD1E87"/>
    <w:rsid w:val="00FD2741"/>
    <w:rsid w:val="00FD2E81"/>
    <w:rsid w:val="00FD3DCC"/>
    <w:rsid w:val="00FD583D"/>
    <w:rsid w:val="00FE088F"/>
    <w:rsid w:val="00FE0F74"/>
    <w:rsid w:val="00FE3364"/>
    <w:rsid w:val="00FE6A06"/>
    <w:rsid w:val="00FE758C"/>
    <w:rsid w:val="00FE7C15"/>
    <w:rsid w:val="00FF0204"/>
    <w:rsid w:val="00FF025F"/>
    <w:rsid w:val="00FF0B73"/>
    <w:rsid w:val="00FF0EA8"/>
    <w:rsid w:val="00FF1B8E"/>
    <w:rsid w:val="00FF1F53"/>
    <w:rsid w:val="00FF24E8"/>
    <w:rsid w:val="00FF3AED"/>
    <w:rsid w:val="00FF44DC"/>
    <w:rsid w:val="00FF5867"/>
    <w:rsid w:val="00FF5B58"/>
    <w:rsid w:val="00FF5C7A"/>
    <w:rsid w:val="00FF7E8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07B2"/>
  <w15:chartTrackingRefBased/>
  <w15:docId w15:val="{5527CA40-FF04-40F5-B837-7973AD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036628"/>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903999B2-C6E3-41BF-8077-4795FCBC5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11</TotalTime>
  <Pages>9</Pages>
  <Words>3248</Words>
  <Characters>18520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Project proposal: Suriname</vt:lpstr>
    </vt:vector>
  </TitlesOfParts>
  <Company>UNMFS</Company>
  <LinksUpToDate>false</LinksUpToDate>
  <CharactersWithSpaces>21725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Suriname</dc:title>
  <dc:creator>RSR KM</dc:creator>
  <cp:keywords>, docId:A44D909853CAEA804B28AA1EF2B17573</cp:keywords>
  <cp:lastModifiedBy>Angela Xue He Yan</cp:lastModifiedBy>
  <cp:revision>11</cp:revision>
  <cp:lastPrinted>2026-06-09T15:19:00Z</cp:lastPrinted>
  <dcterms:created xsi:type="dcterms:W3CDTF">2026-06-08T19:09:00Z</dcterms:created>
  <dcterms:modified xsi:type="dcterms:W3CDTF">2026-06-09T15:19:00Z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UNEP/OzL.Pro/ExCom/98/48</vt:lpwstr>
  </property>
  <property fmtid="{D5CDD505-2E9C-101B-9397-08002B2CF9AE}" pid="3" name="Revision date">
    <vt:lpwstr>5/28/2026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