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463E9C" w:rsidRPr="002D7D7A" w14:paraId="1AE3A31A" w14:textId="77777777" w:rsidTr="00962EC3">
        <w:trPr>
          <w:trHeight w:val="720"/>
        </w:trPr>
        <w:tc>
          <w:tcPr>
            <w:tcW w:w="5220" w:type="dxa"/>
            <w:gridSpan w:val="2"/>
            <w:tcBorders>
              <w:bottom w:val="single" w:sz="18" w:space="0" w:color="auto"/>
            </w:tcBorders>
          </w:tcPr>
          <w:p w14:paraId="32BC3E4C" w14:textId="77777777" w:rsidR="00463E9C" w:rsidRPr="002D7D7A" w:rsidRDefault="00463E9C" w:rsidP="00962E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after="240"/>
              <w:ind w:left="274" w:right="1382"/>
              <w:rPr>
                <w:sz w:val="28"/>
                <w:szCs w:val="28"/>
                <w:lang w:bidi="ar-LB"/>
              </w:rPr>
            </w:pPr>
            <w:r>
              <w:rPr>
                <w:b/>
                <w:bCs/>
                <w:sz w:val="48"/>
                <w:szCs w:val="48"/>
                <w:rtl/>
                <w:lang w:bidi="ar-LB"/>
              </w:rPr>
              <w:t>الأمم المتحدة</w:t>
            </w:r>
          </w:p>
        </w:tc>
        <w:tc>
          <w:tcPr>
            <w:tcW w:w="4590" w:type="dxa"/>
            <w:tcBorders>
              <w:bottom w:val="single" w:sz="18" w:space="0" w:color="auto"/>
            </w:tcBorders>
          </w:tcPr>
          <w:p w14:paraId="7AAEB1B0" w14:textId="77777777" w:rsidR="00463E9C" w:rsidRPr="005D28EB" w:rsidRDefault="00463E9C" w:rsidP="00962EC3">
            <w:pPr>
              <w:jc w:val="left"/>
              <w:rPr>
                <w:rFonts w:asciiTheme="minorBidi" w:hAnsiTheme="minorBidi" w:cstheme="minorBidi"/>
                <w:sz w:val="52"/>
                <w:szCs w:val="52"/>
                <w:lang w:bidi="ar-LB"/>
              </w:rPr>
            </w:pPr>
            <w:r>
              <w:rPr>
                <w:rFonts w:asciiTheme="minorBidi" w:hAnsiTheme="minorBidi" w:cstheme="minorBidi"/>
                <w:b/>
                <w:bCs/>
                <w:sz w:val="72"/>
                <w:szCs w:val="72"/>
                <w:lang w:val="en-US" w:bidi="ar-LB"/>
              </w:rPr>
              <w:t>EP</w:t>
            </w:r>
          </w:p>
        </w:tc>
      </w:tr>
      <w:tr w:rsidR="00463E9C" w:rsidRPr="002D7D7A" w14:paraId="313112C9" w14:textId="77777777" w:rsidTr="00962E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29F4E128" w14:textId="77777777" w:rsidR="00463E9C" w:rsidRPr="002D7D7A" w:rsidRDefault="00463E9C" w:rsidP="00962EC3">
            <w:pPr>
              <w:spacing w:before="120"/>
              <w:rPr>
                <w:lang w:bidi="ar-LB"/>
              </w:rPr>
            </w:pPr>
            <w:r w:rsidRPr="002D7D7A">
              <w:rPr>
                <w:noProof/>
                <w:lang w:val="en-US" w:eastAsia="zh-CN" w:bidi="ar-LB"/>
              </w:rPr>
              <mc:AlternateContent>
                <mc:Choice Requires="wpg">
                  <w:drawing>
                    <wp:anchor distT="0" distB="0" distL="114300" distR="114300" simplePos="0" relativeHeight="251662336" behindDoc="0" locked="0" layoutInCell="1" allowOverlap="1" wp14:anchorId="3B398D8D" wp14:editId="29F8308B">
                      <wp:simplePos x="0" y="0"/>
                      <wp:positionH relativeFrom="column">
                        <wp:posOffset>196484</wp:posOffset>
                      </wp:positionH>
                      <wp:positionV relativeFrom="paragraph">
                        <wp:posOffset>33265</wp:posOffset>
                      </wp:positionV>
                      <wp:extent cx="652462" cy="1248508"/>
                      <wp:effectExtent l="0" t="0" r="0" b="8890"/>
                      <wp:wrapNone/>
                      <wp:docPr id="4" name="Group 4"/>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E823230" id="Group 4" o:spid="_x0000_s1026" style="position:absolute;margin-left:15.45pt;margin-top:2.6pt;width:51.35pt;height:98.3pt;z-index:251662336;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jFv2O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26E84AA" w14:textId="77777777" w:rsidR="00463E9C" w:rsidRPr="00D15210" w:rsidRDefault="00463E9C" w:rsidP="00962EC3">
            <w:pPr>
              <w:keepNext/>
              <w:bidi/>
              <w:ind w:right="459"/>
              <w:jc w:val="left"/>
              <w:outlineLvl w:val="3"/>
              <w:rPr>
                <w:rFonts w:asciiTheme="majorBidi" w:hAnsiTheme="majorBidi" w:cstheme="majorBidi"/>
                <w:bCs/>
                <w:sz w:val="52"/>
                <w:szCs w:val="52"/>
                <w:rtl/>
                <w:lang w:val="en-GB" w:bidi="ar-LB"/>
              </w:rPr>
            </w:pPr>
            <w:r w:rsidRPr="00D15210">
              <w:rPr>
                <w:rFonts w:asciiTheme="majorBidi" w:hAnsiTheme="majorBidi" w:cstheme="majorBidi"/>
                <w:bCs/>
                <w:sz w:val="52"/>
                <w:szCs w:val="52"/>
                <w:rtl/>
                <w:lang w:val="en-GB" w:bidi="ar-LB"/>
              </w:rPr>
              <w:t>برنامج</w:t>
            </w:r>
          </w:p>
          <w:p w14:paraId="54E42C06" w14:textId="77777777" w:rsidR="00463E9C" w:rsidRPr="00D15210" w:rsidRDefault="00463E9C" w:rsidP="00962EC3">
            <w:pPr>
              <w:keepNext/>
              <w:bidi/>
              <w:ind w:right="459"/>
              <w:jc w:val="left"/>
              <w:outlineLvl w:val="3"/>
              <w:rPr>
                <w:rFonts w:asciiTheme="majorBidi" w:hAnsiTheme="majorBidi" w:cstheme="majorBidi"/>
                <w:bCs/>
                <w:sz w:val="52"/>
                <w:szCs w:val="52"/>
                <w:rtl/>
                <w:lang w:val="en-GB" w:bidi="ar-LB"/>
              </w:rPr>
            </w:pPr>
            <w:r w:rsidRPr="00D15210">
              <w:rPr>
                <w:rFonts w:asciiTheme="majorBidi" w:hAnsiTheme="majorBidi" w:cstheme="majorBidi"/>
                <w:bCs/>
                <w:sz w:val="52"/>
                <w:szCs w:val="52"/>
                <w:rtl/>
                <w:lang w:val="en-GB" w:bidi="ar-LB"/>
              </w:rPr>
              <w:t>الأمم المتحدة</w:t>
            </w:r>
          </w:p>
          <w:p w14:paraId="5079B9D8" w14:textId="77777777" w:rsidR="00463E9C" w:rsidRPr="006B5683" w:rsidRDefault="00463E9C" w:rsidP="00962EC3">
            <w:pPr>
              <w:keepNext/>
              <w:bidi/>
              <w:ind w:right="459"/>
              <w:jc w:val="left"/>
              <w:outlineLvl w:val="3"/>
              <w:rPr>
                <w:rFonts w:cs="Arabic Transparent"/>
                <w:bCs/>
                <w:sz w:val="52"/>
                <w:szCs w:val="52"/>
                <w:rtl/>
                <w:lang w:val="en-GB" w:bidi="ar-LB"/>
              </w:rPr>
            </w:pPr>
            <w:r w:rsidRPr="00D15210">
              <w:rPr>
                <w:rFonts w:asciiTheme="majorBidi" w:hAnsiTheme="majorBidi" w:cstheme="majorBidi"/>
                <w:bCs/>
                <w:sz w:val="52"/>
                <w:szCs w:val="52"/>
                <w:rtl/>
                <w:lang w:val="en-GB" w:bidi="ar-LB"/>
              </w:rPr>
              <w:t>للبيئة</w:t>
            </w:r>
          </w:p>
        </w:tc>
        <w:tc>
          <w:tcPr>
            <w:tcW w:w="4590" w:type="dxa"/>
            <w:tcBorders>
              <w:top w:val="nil"/>
              <w:left w:val="nil"/>
              <w:bottom w:val="single" w:sz="36" w:space="0" w:color="auto"/>
              <w:right w:val="nil"/>
            </w:tcBorders>
          </w:tcPr>
          <w:p w14:paraId="68DB813D" w14:textId="77777777" w:rsidR="00463E9C" w:rsidRPr="002D7D7A" w:rsidRDefault="00463E9C" w:rsidP="00962EC3">
            <w:pPr>
              <w:rPr>
                <w:lang w:bidi="ar-LB"/>
              </w:rPr>
            </w:pPr>
            <w:r w:rsidRPr="002D7D7A">
              <w:rPr>
                <w:lang w:bidi="ar-LB"/>
              </w:rPr>
              <w:t>Distr.</w:t>
            </w:r>
          </w:p>
          <w:p w14:paraId="47F9DEF8" w14:textId="77777777" w:rsidR="00463E9C" w:rsidRPr="002D7D7A" w:rsidRDefault="00463E9C" w:rsidP="00962EC3">
            <w:pPr>
              <w:rPr>
                <w:lang w:bidi="ar-LB"/>
              </w:rPr>
            </w:pPr>
            <w:r w:rsidRPr="002D7D7A">
              <w:rPr>
                <w:lang w:bidi="ar-LB"/>
              </w:rPr>
              <w:t>GENERAL</w:t>
            </w:r>
          </w:p>
          <w:p w14:paraId="57EBB9D1" w14:textId="7B2BB083" w:rsidR="00463E9C" w:rsidRDefault="00463E9C" w:rsidP="00962EC3">
            <w:pPr>
              <w:rPr>
                <w:lang w:bidi="ar-LB"/>
              </w:rPr>
            </w:pPr>
          </w:p>
          <w:p w14:paraId="561F8068" w14:textId="77777777" w:rsidR="00463E9C" w:rsidRDefault="00463E9C" w:rsidP="00962EC3">
            <w:pPr>
              <w:rPr>
                <w:lang w:bidi="ar-LB"/>
              </w:rPr>
            </w:pPr>
          </w:p>
          <w:p w14:paraId="3FC17BF4" w14:textId="79CCE83D" w:rsidR="00463E9C" w:rsidRPr="00687EE7" w:rsidRDefault="00463E9C" w:rsidP="00463E9C">
            <w:pPr>
              <w:rPr>
                <w:lang w:bidi="ar-LB"/>
              </w:rPr>
            </w:pPr>
            <w:r w:rsidRPr="00687EE7">
              <w:rPr>
                <w:lang w:bidi="ar-LB"/>
              </w:rPr>
              <w:fldChar w:fldCharType="begin"/>
            </w:r>
            <w:r w:rsidRPr="00687EE7">
              <w:rPr>
                <w:lang w:bidi="ar-LB"/>
              </w:rPr>
              <w:instrText xml:space="preserve"> DOCPROPERTY "Document number"  \* MERGEFORMAT </w:instrText>
            </w:r>
            <w:r w:rsidRPr="00687EE7">
              <w:rPr>
                <w:lang w:bidi="ar-LB"/>
              </w:rPr>
              <w:fldChar w:fldCharType="separate"/>
            </w:r>
            <w:r w:rsidR="004454F3">
              <w:rPr>
                <w:lang w:bidi="ar-LB"/>
              </w:rPr>
              <w:t>UNEP/</w:t>
            </w:r>
            <w:proofErr w:type="spellStart"/>
            <w:r w:rsidR="004454F3">
              <w:rPr>
                <w:lang w:bidi="ar-LB"/>
              </w:rPr>
              <w:t>OzL.Pro</w:t>
            </w:r>
            <w:proofErr w:type="spellEnd"/>
            <w:r w:rsidR="004454F3">
              <w:rPr>
                <w:lang w:bidi="ar-LB"/>
              </w:rPr>
              <w:t>/ExCom/93/101</w:t>
            </w:r>
            <w:r w:rsidRPr="00687EE7">
              <w:rPr>
                <w:lang w:bidi="ar-LB"/>
              </w:rPr>
              <w:fldChar w:fldCharType="end"/>
            </w:r>
          </w:p>
          <w:p w14:paraId="7CBD09BE" w14:textId="34B75339" w:rsidR="00463E9C" w:rsidRPr="00687EE7" w:rsidRDefault="00463E9C" w:rsidP="00463E9C">
            <w:pPr>
              <w:rPr>
                <w:lang w:bidi="ar-LB"/>
              </w:rPr>
            </w:pPr>
            <w:r w:rsidRPr="00687EE7">
              <w:rPr>
                <w:lang w:bidi="ar-LB"/>
              </w:rPr>
              <w:fldChar w:fldCharType="begin"/>
            </w:r>
            <w:r w:rsidRPr="00687EE7">
              <w:rPr>
                <w:lang w:bidi="ar-LB"/>
              </w:rPr>
              <w:instrText xml:space="preserve"> DOCPROPERTY "Revision date" \@ "d MMMM YYYY"  \* MERGEFORMAT </w:instrText>
            </w:r>
            <w:r w:rsidRPr="00687EE7">
              <w:rPr>
                <w:lang w:bidi="ar-LB"/>
              </w:rPr>
              <w:fldChar w:fldCharType="separate"/>
            </w:r>
            <w:r w:rsidR="004454F3">
              <w:rPr>
                <w:lang w:bidi="ar-LB"/>
              </w:rPr>
              <w:t>30 November 2023</w:t>
            </w:r>
            <w:r w:rsidRPr="00687EE7">
              <w:rPr>
                <w:lang w:bidi="ar-LB"/>
              </w:rPr>
              <w:fldChar w:fldCharType="end"/>
            </w:r>
          </w:p>
          <w:p w14:paraId="53AB8E0C" w14:textId="77777777" w:rsidR="00463E9C" w:rsidRDefault="00463E9C" w:rsidP="00962EC3">
            <w:pPr>
              <w:rPr>
                <w:caps/>
                <w:rtl/>
                <w:lang w:bidi="ar-LB"/>
              </w:rPr>
            </w:pPr>
          </w:p>
          <w:p w14:paraId="7775336E" w14:textId="77777777" w:rsidR="00463E9C" w:rsidRDefault="00463E9C" w:rsidP="00962EC3">
            <w:pPr>
              <w:spacing w:before="120"/>
              <w:jc w:val="left"/>
              <w:rPr>
                <w:lang w:val="en-US" w:bidi="ar-LB"/>
              </w:rPr>
            </w:pPr>
            <w:r>
              <w:rPr>
                <w:lang w:val="en-US" w:bidi="ar-LB"/>
              </w:rPr>
              <w:t>ARABIC</w:t>
            </w:r>
          </w:p>
          <w:p w14:paraId="6642F154" w14:textId="77777777" w:rsidR="00463E9C" w:rsidRPr="002D7D7A" w:rsidRDefault="00463E9C" w:rsidP="00962EC3">
            <w:pPr>
              <w:rPr>
                <w:lang w:bidi="ar-LB"/>
              </w:rPr>
            </w:pPr>
            <w:r w:rsidRPr="002D7D7A">
              <w:rPr>
                <w:lang w:bidi="ar-LB"/>
              </w:rPr>
              <w:t>ORIGINAL: ENGLISH</w:t>
            </w:r>
          </w:p>
        </w:tc>
      </w:tr>
    </w:tbl>
    <w:p w14:paraId="42AA78BE" w14:textId="77777777" w:rsidR="00463E9C" w:rsidRPr="005D28EB" w:rsidRDefault="00463E9C" w:rsidP="00463E9C">
      <w:pPr>
        <w:pStyle w:val="Caption"/>
        <w:tabs>
          <w:tab w:val="clear" w:pos="0"/>
          <w:tab w:val="clear" w:pos="1275"/>
          <w:tab w:val="clear" w:pos="1440"/>
          <w:tab w:val="clear" w:pos="2160"/>
          <w:tab w:val="clear" w:pos="2880"/>
          <w:tab w:val="clear" w:pos="3600"/>
          <w:tab w:val="clear" w:pos="4320"/>
          <w:tab w:val="clear" w:pos="5040"/>
          <w:tab w:val="clear" w:pos="5760"/>
          <w:tab w:val="clear" w:pos="6480"/>
          <w:tab w:val="clear" w:pos="7200"/>
          <w:tab w:val="clear" w:pos="7920"/>
        </w:tabs>
        <w:bidi/>
        <w:spacing w:line="240" w:lineRule="auto"/>
        <w:ind w:right="180" w:hanging="180"/>
        <w:rPr>
          <w:rFonts w:eastAsia="Times New Roman" w:cs="Arabic Transparent"/>
          <w:bCs/>
          <w:snapToGrid/>
          <w:lang w:val="en-US" w:eastAsia="en-CA" w:bidi="ar-LB"/>
        </w:rPr>
      </w:pPr>
    </w:p>
    <w:p w14:paraId="20E6F50E" w14:textId="77777777" w:rsidR="00463E9C" w:rsidRPr="00604EAA" w:rsidRDefault="00463E9C" w:rsidP="00463E9C">
      <w:pPr>
        <w:pStyle w:val="Caption"/>
        <w:tabs>
          <w:tab w:val="clear" w:pos="0"/>
          <w:tab w:val="clear" w:pos="1275"/>
          <w:tab w:val="clear" w:pos="1440"/>
          <w:tab w:val="clear" w:pos="2160"/>
          <w:tab w:val="clear" w:pos="2880"/>
          <w:tab w:val="clear" w:pos="3600"/>
          <w:tab w:val="clear" w:pos="4320"/>
          <w:tab w:val="clear" w:pos="5040"/>
          <w:tab w:val="clear" w:pos="5760"/>
          <w:tab w:val="clear" w:pos="6480"/>
          <w:tab w:val="clear" w:pos="7200"/>
          <w:tab w:val="clear" w:pos="7920"/>
        </w:tabs>
        <w:bidi/>
        <w:spacing w:line="240" w:lineRule="auto"/>
        <w:ind w:right="180" w:hanging="180"/>
        <w:rPr>
          <w:b w:val="0"/>
          <w:bCs/>
          <w:sz w:val="28"/>
          <w:szCs w:val="28"/>
          <w:rtl/>
          <w:lang w:bidi="ar-LB"/>
        </w:rPr>
      </w:pPr>
      <w:r w:rsidRPr="00604EAA">
        <w:rPr>
          <w:rFonts w:eastAsia="Times New Roman"/>
          <w:bCs/>
          <w:snapToGrid/>
          <w:sz w:val="28"/>
          <w:szCs w:val="28"/>
          <w:rtl/>
          <w:lang w:val="en-US" w:eastAsia="en-CA" w:bidi="ar-LB"/>
        </w:rPr>
        <w:t>اللجنــة</w:t>
      </w:r>
      <w:r w:rsidRPr="00604EAA">
        <w:rPr>
          <w:bCs/>
          <w:sz w:val="28"/>
          <w:szCs w:val="28"/>
          <w:rtl/>
          <w:lang w:bidi="ar-LB"/>
        </w:rPr>
        <w:t xml:space="preserve"> التنفيـذيــــة للصنــدوق المــتعــدد الأطـــراف</w:t>
      </w:r>
    </w:p>
    <w:p w14:paraId="5753E05E" w14:textId="77777777" w:rsidR="00463E9C" w:rsidRPr="00604EAA" w:rsidRDefault="00463E9C" w:rsidP="00463E9C">
      <w:pPr>
        <w:bidi/>
        <w:ind w:left="180" w:hanging="180"/>
        <w:jc w:val="lowKashida"/>
        <w:rPr>
          <w:b/>
          <w:bCs/>
          <w:sz w:val="28"/>
          <w:szCs w:val="28"/>
          <w:rtl/>
          <w:lang w:val="en-US" w:eastAsia="en-CA" w:bidi="ar-LB"/>
        </w:rPr>
      </w:pPr>
      <w:r w:rsidRPr="00604EAA">
        <w:rPr>
          <w:b/>
          <w:bCs/>
          <w:sz w:val="28"/>
          <w:szCs w:val="28"/>
          <w:rtl/>
          <w:lang w:val="en-US" w:eastAsia="en-CA" w:bidi="ar-LB"/>
        </w:rPr>
        <w:t xml:space="preserve">لتنفيـــذ بروتوكـول مونتريــال </w:t>
      </w:r>
    </w:p>
    <w:p w14:paraId="47D35E86" w14:textId="77777777" w:rsidR="00463E9C" w:rsidRPr="00604EAA" w:rsidRDefault="00463E9C" w:rsidP="00463E9C">
      <w:pPr>
        <w:bidi/>
        <w:ind w:left="4"/>
        <w:jc w:val="lowKashida"/>
        <w:rPr>
          <w:sz w:val="28"/>
          <w:szCs w:val="28"/>
          <w:rtl/>
          <w:lang w:val="en-US" w:eastAsia="en-CA" w:bidi="ar-LB"/>
        </w:rPr>
      </w:pPr>
      <w:r w:rsidRPr="00604EAA">
        <w:rPr>
          <w:sz w:val="28"/>
          <w:szCs w:val="28"/>
          <w:rtl/>
          <w:lang w:val="en-US" w:eastAsia="en-CA" w:bidi="ar-LB"/>
        </w:rPr>
        <w:t xml:space="preserve">الاجتمــــــاع الثالث والتسعــــون </w:t>
      </w:r>
    </w:p>
    <w:p w14:paraId="12DE157F" w14:textId="77777777" w:rsidR="00463E9C" w:rsidRPr="00604EAA" w:rsidRDefault="00463E9C" w:rsidP="00463E9C">
      <w:pPr>
        <w:pStyle w:val="0Heading0"/>
        <w:bidi/>
        <w:ind w:left="4"/>
        <w:rPr>
          <w:sz w:val="26"/>
          <w:szCs w:val="26"/>
          <w:lang w:bidi="ar-LB"/>
        </w:rPr>
      </w:pPr>
      <w:r w:rsidRPr="00604EAA">
        <w:rPr>
          <w:sz w:val="28"/>
          <w:szCs w:val="28"/>
          <w:rtl/>
          <w:lang w:bidi="ar-LB"/>
        </w:rPr>
        <w:t>مونتريال، 15-19 ديسمبر</w:t>
      </w:r>
      <w:bookmarkStart w:id="0" w:name="_Hlk128756171"/>
      <w:r w:rsidRPr="00604EAA">
        <w:rPr>
          <w:sz w:val="28"/>
          <w:szCs w:val="28"/>
          <w:lang w:val="en-CA" w:bidi="ar-LB"/>
        </w:rPr>
        <w:t>/</w:t>
      </w:r>
      <w:bookmarkEnd w:id="0"/>
      <w:r w:rsidRPr="00604EAA">
        <w:rPr>
          <w:sz w:val="28"/>
          <w:szCs w:val="28"/>
          <w:rtl/>
          <w:lang w:bidi="ar-LB"/>
        </w:rPr>
        <w:t xml:space="preserve">كانون الأول </w:t>
      </w:r>
      <w:r w:rsidRPr="00604EAA">
        <w:rPr>
          <w:sz w:val="26"/>
          <w:szCs w:val="26"/>
          <w:rtl/>
          <w:lang w:bidi="ar-LB"/>
        </w:rPr>
        <w:t>2023</w:t>
      </w:r>
    </w:p>
    <w:p w14:paraId="6CEB624E" w14:textId="601B550A" w:rsidR="00463E9C" w:rsidRPr="00604EAA" w:rsidRDefault="00463E9C" w:rsidP="00463E9C">
      <w:pPr>
        <w:pStyle w:val="0Heading0"/>
        <w:bidi/>
        <w:ind w:left="4"/>
        <w:rPr>
          <w:sz w:val="26"/>
          <w:szCs w:val="26"/>
          <w:rtl/>
          <w:lang w:bidi="ar-LB"/>
        </w:rPr>
      </w:pPr>
      <w:r w:rsidRPr="00604EAA">
        <w:rPr>
          <w:sz w:val="26"/>
          <w:szCs w:val="26"/>
          <w:rtl/>
          <w:lang w:bidi="ar-LB"/>
        </w:rPr>
        <w:t>المادة 11 من جدول الأعمال المؤقت</w:t>
      </w:r>
      <w:r w:rsidRPr="00604EAA">
        <w:rPr>
          <w:rStyle w:val="FootnoteReference"/>
          <w:sz w:val="26"/>
          <w:szCs w:val="26"/>
          <w:rtl/>
          <w:lang w:bidi="ar-LB"/>
        </w:rPr>
        <w:footnoteReference w:id="1"/>
      </w:r>
    </w:p>
    <w:p w14:paraId="1D273AE1" w14:textId="77777777" w:rsidR="00463E9C" w:rsidRPr="00604EAA" w:rsidRDefault="00463E9C" w:rsidP="00463E9C">
      <w:pPr>
        <w:bidi/>
        <w:rPr>
          <w:sz w:val="26"/>
          <w:szCs w:val="26"/>
          <w:lang w:bidi="ar-LB"/>
        </w:rPr>
      </w:pPr>
    </w:p>
    <w:p w14:paraId="033541D2" w14:textId="1C79F6FC" w:rsidR="00463E9C" w:rsidRPr="005F09AD" w:rsidRDefault="009149A9" w:rsidP="00463E9C">
      <w:pPr>
        <w:bidi/>
        <w:rPr>
          <w:sz w:val="26"/>
          <w:szCs w:val="26"/>
          <w:lang w:bidi="ar-LB"/>
        </w:rPr>
      </w:pPr>
      <w:r>
        <w:rPr>
          <w:sz w:val="26"/>
          <w:szCs w:val="26"/>
          <w:lang w:bidi="ar-LB"/>
        </w:rPr>
        <w:t xml:space="preserve"> </w:t>
      </w:r>
    </w:p>
    <w:p w14:paraId="064F6CF9" w14:textId="77777777" w:rsidR="00793244" w:rsidRPr="00793244" w:rsidRDefault="007E6E6D" w:rsidP="00793244">
      <w:pPr>
        <w:pStyle w:val="Title1"/>
        <w:bidi/>
        <w:rPr>
          <w:b w:val="0"/>
          <w:bCs/>
          <w:sz w:val="32"/>
          <w:szCs w:val="32"/>
          <w:lang w:val="en-CA" w:bidi="ar-LB"/>
        </w:rPr>
      </w:pPr>
      <w:r w:rsidRPr="00793244">
        <w:rPr>
          <w:b w:val="0"/>
          <w:bCs/>
          <w:sz w:val="32"/>
          <w:szCs w:val="32"/>
          <w:rtl/>
          <w:lang w:val="en-CA" w:bidi="ar-LB"/>
        </w:rPr>
        <w:t>استعراض نظام التكاليف الإدارية للصندوق المتعدد الأطراف</w:t>
      </w:r>
    </w:p>
    <w:p w14:paraId="5C3D3AE7" w14:textId="3D1FC182" w:rsidR="007F4FCC" w:rsidRPr="00793244" w:rsidRDefault="007E6E6D" w:rsidP="00793244">
      <w:pPr>
        <w:pStyle w:val="Title1"/>
        <w:bidi/>
        <w:rPr>
          <w:b w:val="0"/>
          <w:bCs/>
          <w:sz w:val="32"/>
          <w:szCs w:val="32"/>
          <w:rtl/>
          <w:lang w:val="en-CA" w:bidi="ar-LB"/>
        </w:rPr>
      </w:pPr>
      <w:r w:rsidRPr="00793244">
        <w:rPr>
          <w:b w:val="0"/>
          <w:bCs/>
          <w:sz w:val="32"/>
          <w:szCs w:val="32"/>
          <w:rtl/>
          <w:lang w:val="en-CA" w:bidi="ar-LB"/>
        </w:rPr>
        <w:t xml:space="preserve"> (المقرران 88/74(ج) و91/67(ب))</w:t>
      </w:r>
    </w:p>
    <w:p w14:paraId="5C98B1CC" w14:textId="77777777" w:rsidR="001B2FB5" w:rsidRPr="007E6E6D" w:rsidRDefault="001B2FB5" w:rsidP="001B2FB5">
      <w:pPr>
        <w:bidi/>
        <w:jc w:val="left"/>
        <w:rPr>
          <w:sz w:val="26"/>
          <w:szCs w:val="26"/>
          <w:lang w:bidi="ar-LB"/>
        </w:rPr>
      </w:pPr>
    </w:p>
    <w:p w14:paraId="638988A5" w14:textId="3CAEC4B6" w:rsidR="007F4FCC" w:rsidRPr="007E6E6D" w:rsidRDefault="007E6E6D" w:rsidP="007E6E6D">
      <w:pPr>
        <w:bidi/>
        <w:spacing w:after="240"/>
        <w:rPr>
          <w:bCs/>
          <w:sz w:val="26"/>
          <w:szCs w:val="26"/>
          <w:rtl/>
          <w:lang w:bidi="ar-LB"/>
        </w:rPr>
      </w:pPr>
      <w:r w:rsidRPr="007E6E6D">
        <w:rPr>
          <w:bCs/>
          <w:sz w:val="26"/>
          <w:szCs w:val="26"/>
          <w:rtl/>
          <w:lang w:bidi="ar-LB"/>
        </w:rPr>
        <w:t>مقدمة</w:t>
      </w:r>
    </w:p>
    <w:p w14:paraId="06AF3D4E" w14:textId="167D3F26" w:rsidR="00D7604B" w:rsidRPr="00D7604B" w:rsidRDefault="00955373" w:rsidP="00D7604B">
      <w:pPr>
        <w:pStyle w:val="Heading1"/>
        <w:bidi/>
        <w:spacing w:line="288" w:lineRule="auto"/>
        <w:rPr>
          <w:sz w:val="26"/>
          <w:szCs w:val="26"/>
          <w:lang w:val="en-US" w:bidi="ar-LB"/>
        </w:rPr>
      </w:pPr>
      <w:r w:rsidRPr="00955373">
        <w:rPr>
          <w:sz w:val="26"/>
          <w:szCs w:val="26"/>
          <w:rtl/>
          <w:lang w:val="en-US" w:bidi="ar-LB"/>
        </w:rPr>
        <w:t xml:space="preserve">قررت اللجنة التنفيذية في الاجتماع الثامن والثمانين أن تطلب من الأمانة أن تقدم، في الاجتماع الأخير لعام 2023، تحليلاً لنظام التكاليف الإدارية وتمويل الوحدات الأساسية، مع أخذ القرارات ذات الصلة الصادرة عن اللجنة التنفيذية في عين الاعتبار، بما في ذلك القرارات </w:t>
      </w:r>
      <w:r w:rsidR="00D15210" w:rsidRPr="00D15210">
        <w:rPr>
          <w:sz w:val="26"/>
          <w:szCs w:val="26"/>
          <w:rtl/>
          <w:lang w:val="en-US" w:bidi="ar-LB"/>
        </w:rPr>
        <w:t>التي تم تناولها قبل الاجتماع الأخير لعام 2023</w:t>
      </w:r>
      <w:r w:rsidRPr="00955373">
        <w:rPr>
          <w:sz w:val="26"/>
          <w:szCs w:val="26"/>
          <w:rtl/>
          <w:lang w:val="en-US" w:bidi="ar-LB"/>
        </w:rPr>
        <w:t>، والتي ستقرر اللجنة بالاستناد إليها ما إذا كان ينبغي استمرار العمل لفترة الثلاث سنوات 2021-2023 بنظام التكاليف الإدارية للصندوق المتعدد الأطراف أيضاً لفترة السنوات الثلاث 2024-2026 (المقرر 88/74(ج)).</w:t>
      </w:r>
    </w:p>
    <w:p w14:paraId="5560AA55" w14:textId="191F3DAE" w:rsidR="00F80AC3" w:rsidRPr="00F80AC3" w:rsidRDefault="00346EC9" w:rsidP="00F80AC3">
      <w:pPr>
        <w:pStyle w:val="Heading1"/>
        <w:bidi/>
        <w:spacing w:line="288" w:lineRule="auto"/>
        <w:rPr>
          <w:sz w:val="26"/>
          <w:szCs w:val="26"/>
          <w:lang w:val="en-US" w:bidi="ar-LB"/>
        </w:rPr>
      </w:pPr>
      <w:r w:rsidRPr="00346EC9">
        <w:rPr>
          <w:sz w:val="26"/>
          <w:szCs w:val="26"/>
          <w:rtl/>
          <w:lang w:val="en-US" w:bidi="ar-LB"/>
        </w:rPr>
        <w:t>اتخذت اللجنة التنفيذية</w:t>
      </w:r>
      <w:r>
        <w:rPr>
          <w:sz w:val="26"/>
          <w:szCs w:val="26"/>
          <w:rtl/>
          <w:lang w:val="en-US" w:bidi="ar-LB"/>
        </w:rPr>
        <w:t>،</w:t>
      </w:r>
      <w:r w:rsidRPr="00346EC9">
        <w:rPr>
          <w:sz w:val="26"/>
          <w:szCs w:val="26"/>
          <w:rtl/>
          <w:lang w:val="en-US" w:bidi="ar-LB"/>
        </w:rPr>
        <w:t xml:space="preserve"> منذ الاجتماع التاسع والثمانين، مقررات بشأن مستويات التمويل لمشاريع التعزيز المؤسسي (المقرر 91/63)، ومستوى وطرق تمويل التخفيض التدريجي للهيدروفلوروكربون في قطاع خدمة التبريد (المقرر 92/37)، وسبل تفعيل الفقرة 16 من المقرر 28/2 والفقرة 2 من المقرر 30/5 للأطراف (المقرر 89/6)، ونافذة تمويل لتزويد البلدان العاملة بموجب المادة 5 بالمساعدة لإعداد قوائم جرد مخزونات المواد الخاضعة للرقابة المستخدمة أو غير المرغوب فيها، وخطة لجمع هذه المواد ونقلها والتخلص منها (المقرر 91/66) ومشاريع تجريبية للحفاظ على و/أو تعزيز كفاءة استخدام الطاقة في التقنيات والمعدات البديلة في سياق التخفيض التدريجي للهيدروفلوروكربون، بما في ذلك نافذة تمويل لمثل هذه المشاريع التجريبية (المقرر 91/65). وعلاوة على ذلك، هناك قضايا سياساتية أخرى قيد النقاش مثل مشروع المبادئ التوجيهية لتمويل التخفيض التدريجي للمواد الهيدروفلوروكربونية، بما في ذلك النظر في تفعيل الفقرة 24 من المقرر 28/2، والجوانب المتعلقة بقطاع التركيب والتجميع في الموقع وقضايا أخرى (مثل الإطار التشغيلي لصيانة و/أو تعزيز كفاءة استخدام الطاقة في قطاعي التصنيع </w:t>
      </w:r>
      <w:r w:rsidRPr="00346EC9">
        <w:rPr>
          <w:sz w:val="26"/>
          <w:szCs w:val="26"/>
          <w:rtl/>
          <w:lang w:val="en-US" w:bidi="ar-LB"/>
        </w:rPr>
        <w:lastRenderedPageBreak/>
        <w:t>والخدمات (المقرر 92/38)). وقد يكون لهذه المقررات تأثير مباشر على مستويات التكاليف الإدارية التي تكتسبها الوكالات في المشاريع المعتمدة، والتي ستؤثر بدورها على تخطيط الاحتياجات التنظيمية والتشغيلية للوكالات.</w:t>
      </w:r>
    </w:p>
    <w:p w14:paraId="5FBD3D4D" w14:textId="1EAF7070" w:rsidR="00346EC9" w:rsidRPr="00346EC9" w:rsidRDefault="00346EC9" w:rsidP="00346EC9">
      <w:pPr>
        <w:pStyle w:val="Heading1"/>
        <w:bidi/>
        <w:spacing w:line="288" w:lineRule="auto"/>
        <w:rPr>
          <w:sz w:val="26"/>
          <w:szCs w:val="26"/>
          <w:lang w:val="en-US" w:bidi="ar-LB"/>
        </w:rPr>
      </w:pPr>
      <w:r w:rsidRPr="00346EC9">
        <w:rPr>
          <w:sz w:val="26"/>
          <w:szCs w:val="26"/>
          <w:rtl/>
          <w:lang w:val="en-US" w:bidi="ar-LB"/>
        </w:rPr>
        <w:t>تم الاتفاق، خلال الاجتماع الخامس والثلاثين للأطراف</w:t>
      </w:r>
      <w:r>
        <w:rPr>
          <w:rStyle w:val="FootnoteReference"/>
          <w:sz w:val="26"/>
          <w:szCs w:val="26"/>
          <w:rtl/>
          <w:lang w:val="en-US" w:bidi="ar-LB"/>
        </w:rPr>
        <w:footnoteReference w:id="2"/>
      </w:r>
      <w:r w:rsidRPr="00346EC9">
        <w:rPr>
          <w:sz w:val="26"/>
          <w:szCs w:val="26"/>
          <w:rtl/>
          <w:lang w:val="en-US" w:bidi="ar-LB"/>
        </w:rPr>
        <w:t>، على مستوى تجديد الموارد لفترة السنوات الثلاث 2024-2026 بمبلغ قدره 965 مليون دولار أمريكي (المقرر 35/1). وسيكون لذلك تأثير على خطط الأعمال المستقبلية للوكالات ومستويات تكاليف الدعم الإداري المقابلة لها.</w:t>
      </w:r>
    </w:p>
    <w:p w14:paraId="44368D17" w14:textId="69F5EE1D" w:rsidR="00892CD3" w:rsidRPr="00892CD3" w:rsidRDefault="00892CD3" w:rsidP="00892CD3">
      <w:pPr>
        <w:pStyle w:val="Heading1"/>
        <w:bidi/>
        <w:spacing w:line="288" w:lineRule="auto"/>
        <w:rPr>
          <w:sz w:val="26"/>
          <w:szCs w:val="26"/>
          <w:lang w:val="en-US" w:bidi="ar-LB"/>
        </w:rPr>
      </w:pPr>
      <w:r w:rsidRPr="00892CD3">
        <w:rPr>
          <w:sz w:val="26"/>
          <w:szCs w:val="26"/>
          <w:rtl/>
          <w:lang w:val="en-US" w:bidi="ar-LB"/>
        </w:rPr>
        <w:t>وبغية إعداد هذه الوثيقة، قامت الأمانة بتحليل الوثائق التالية:</w:t>
      </w:r>
    </w:p>
    <w:p w14:paraId="5881F843" w14:textId="5E8DFD66" w:rsidR="00892CD3" w:rsidRPr="00892CD3" w:rsidRDefault="00760434">
      <w:pPr>
        <w:pStyle w:val="ListParagraph"/>
        <w:numPr>
          <w:ilvl w:val="0"/>
          <w:numId w:val="10"/>
        </w:numPr>
        <w:bidi/>
        <w:spacing w:after="240" w:line="288" w:lineRule="auto"/>
        <w:ind w:left="1440" w:hanging="720"/>
        <w:contextualSpacing w:val="0"/>
        <w:rPr>
          <w:sz w:val="26"/>
          <w:szCs w:val="26"/>
          <w:lang w:bidi="ar-LB"/>
        </w:rPr>
      </w:pPr>
      <w:r w:rsidRPr="00760434">
        <w:rPr>
          <w:sz w:val="26"/>
          <w:szCs w:val="26"/>
          <w:rtl/>
          <w:lang w:bidi="ar-LB"/>
        </w:rPr>
        <w:t xml:space="preserve">خطة </w:t>
      </w:r>
      <w:r w:rsidR="00006426">
        <w:rPr>
          <w:sz w:val="26"/>
          <w:szCs w:val="26"/>
          <w:rtl/>
          <w:lang w:bidi="ar-LB"/>
        </w:rPr>
        <w:t>الأعمال</w:t>
      </w:r>
      <w:r w:rsidRPr="00760434">
        <w:rPr>
          <w:sz w:val="26"/>
          <w:szCs w:val="26"/>
          <w:rtl/>
          <w:lang w:bidi="ar-LB"/>
        </w:rPr>
        <w:t xml:space="preserve"> المجمعة للصندوق المتعدد الأطراف للفترة 2024-2026</w:t>
      </w:r>
      <w:r>
        <w:rPr>
          <w:rStyle w:val="FootnoteReference"/>
          <w:sz w:val="26"/>
          <w:szCs w:val="26"/>
          <w:rtl/>
          <w:lang w:bidi="ar-LB"/>
        </w:rPr>
        <w:footnoteReference w:id="3"/>
      </w:r>
      <w:r w:rsidRPr="00760434">
        <w:rPr>
          <w:sz w:val="26"/>
          <w:szCs w:val="26"/>
          <w:rtl/>
          <w:lang w:bidi="ar-LB"/>
        </w:rPr>
        <w:t>، المقرر تقديمها في الاجتماع الثالث والتسعين، لتقييم إجمالي تكاليف دعم الوكالات المتاح</w:t>
      </w:r>
      <w:r w:rsidR="00793244">
        <w:rPr>
          <w:sz w:val="26"/>
          <w:szCs w:val="26"/>
          <w:rtl/>
          <w:lang w:bidi="ar-LB"/>
        </w:rPr>
        <w:t>ة</w:t>
      </w:r>
      <w:r w:rsidRPr="00760434">
        <w:rPr>
          <w:sz w:val="26"/>
          <w:szCs w:val="26"/>
          <w:rtl/>
          <w:lang w:bidi="ar-LB"/>
        </w:rPr>
        <w:t xml:space="preserve"> للوكالات المنفذة لعملياتها خلال هذه الفترة، مع الأخذ في عين الاعتبار أن الوكالات قدمت خطط أعمالها للصندوق المتعدد الأطراف للفترة 2024-2026 قبل المقرر 35/1 بشأن مستوى تجديد الموارد لفترة الثلاث سنوات 2024-2026؛</w:t>
      </w:r>
    </w:p>
    <w:p w14:paraId="46765DEE" w14:textId="5915D3EC" w:rsidR="00760434" w:rsidRPr="00760434" w:rsidRDefault="0061364D">
      <w:pPr>
        <w:pStyle w:val="ListParagraph"/>
        <w:numPr>
          <w:ilvl w:val="0"/>
          <w:numId w:val="10"/>
        </w:numPr>
        <w:bidi/>
        <w:spacing w:after="240" w:line="288" w:lineRule="auto"/>
        <w:ind w:left="1440" w:hanging="720"/>
        <w:contextualSpacing w:val="0"/>
        <w:rPr>
          <w:sz w:val="26"/>
          <w:szCs w:val="26"/>
          <w:lang w:bidi="ar-LB"/>
        </w:rPr>
      </w:pPr>
      <w:r w:rsidRPr="0061364D">
        <w:rPr>
          <w:sz w:val="26"/>
          <w:szCs w:val="26"/>
          <w:rtl/>
          <w:lang w:bidi="ar-LB"/>
        </w:rPr>
        <w:t>ميزانية برنامج المساعدة على الامتثال التابع لليونيب، وميزانيات الوحدات الأساسية لليوئنديبي واليونيدو والبنك الدولي للأعوام 2021 و2022 و2023</w:t>
      </w:r>
      <w:r>
        <w:rPr>
          <w:rStyle w:val="FootnoteReference"/>
          <w:sz w:val="26"/>
          <w:szCs w:val="26"/>
          <w:rtl/>
          <w:lang w:bidi="ar-LB"/>
        </w:rPr>
        <w:footnoteReference w:id="4"/>
      </w:r>
      <w:r w:rsidRPr="0061364D">
        <w:rPr>
          <w:sz w:val="26"/>
          <w:szCs w:val="26"/>
          <w:rtl/>
          <w:lang w:bidi="ar-LB"/>
        </w:rPr>
        <w:t>؛</w:t>
      </w:r>
    </w:p>
    <w:p w14:paraId="59E2B30C" w14:textId="1EDFA982" w:rsidR="0061364D" w:rsidRPr="0061364D" w:rsidRDefault="00B248BB">
      <w:pPr>
        <w:pStyle w:val="ListParagraph"/>
        <w:numPr>
          <w:ilvl w:val="0"/>
          <w:numId w:val="10"/>
        </w:numPr>
        <w:bidi/>
        <w:spacing w:after="240" w:line="288" w:lineRule="auto"/>
        <w:ind w:left="1440" w:hanging="720"/>
        <w:contextualSpacing w:val="0"/>
        <w:rPr>
          <w:sz w:val="26"/>
          <w:szCs w:val="26"/>
          <w:lang w:bidi="ar-LB"/>
        </w:rPr>
      </w:pPr>
      <w:r w:rsidRPr="00B248BB">
        <w:rPr>
          <w:sz w:val="26"/>
          <w:szCs w:val="26"/>
          <w:rtl/>
          <w:lang w:bidi="ar-LB"/>
        </w:rPr>
        <w:t>التحليل الخاص بقدرة مؤسسات الصندوق المتعدد الأطراف على معالجة التخفيض التدريجي للهيدروفلوروكربون والذي تم إجراؤه بالفعل وتم تقديمه في الاجتماع الحادي والتسعين</w:t>
      </w:r>
      <w:r>
        <w:rPr>
          <w:rStyle w:val="FootnoteReference"/>
          <w:sz w:val="26"/>
          <w:szCs w:val="26"/>
          <w:rtl/>
          <w:lang w:bidi="ar-LB"/>
        </w:rPr>
        <w:footnoteReference w:id="5"/>
      </w:r>
      <w:r w:rsidRPr="00B248BB">
        <w:rPr>
          <w:sz w:val="26"/>
          <w:szCs w:val="26"/>
          <w:rtl/>
          <w:lang w:bidi="ar-LB"/>
        </w:rPr>
        <w:t>. وبعد المناقشات الدائرة حول ما ورد آنفاً، طلبت اللجنة التنفيذية من الأمانة مواصلة النقاشات مع الوكالات المنفذة بشأن وجهات نظرها حول الموارد الإضافية اللازمة على أساس الزيادة المتوقعة في عبء العمل المرتبط بالتخفيض التدريجي للهيدروفلوروكربون والنظر فيها لدى استعراضها لنظام التكاليف الإدارية للصندوق المتعدد الأطراف، المقرر تقديمه إلى الاجتماع الثالث والتسعين (المقرر 91/67(ب)).</w:t>
      </w:r>
    </w:p>
    <w:p w14:paraId="2DC8AA55" w14:textId="4232DD83" w:rsidR="00B248BB" w:rsidRPr="00B248BB" w:rsidRDefault="004D0DEE" w:rsidP="00B248BB">
      <w:pPr>
        <w:pStyle w:val="Heading1"/>
        <w:bidi/>
        <w:spacing w:line="288" w:lineRule="auto"/>
        <w:rPr>
          <w:sz w:val="26"/>
          <w:szCs w:val="26"/>
          <w:lang w:val="en-US" w:bidi="ar-LB"/>
        </w:rPr>
      </w:pPr>
      <w:r w:rsidRPr="004D0DEE">
        <w:rPr>
          <w:sz w:val="26"/>
          <w:szCs w:val="26"/>
          <w:rtl/>
          <w:lang w:val="en-US" w:bidi="ar-LB"/>
        </w:rPr>
        <w:t>أجرت الأمانة مناقشات مع كل من الوكالات المنفذة بشأن الآثار المترتبة على نظام التكاليف الإدارية في فترة الثلاث سنوات 2024-2026 وطلبت أيضاً معلومات من خلال استبيان حول الطريقة الحالية التي تتم بها إدارة دعم نظام التكاليف الإدارية، فضلاً عن تأثير المشاريع الإضافية المتوقع أن يتم تقديمها خلال فترة الثلاث سنوات المقبلة، واحتياجات الدعم الإضافية للبلدان مع الأخذ في عين الاعتبار أن هناك تحديات تواجهها بعض البلدان في تنفيذ أنشطة متعددة (مثل خطط إدارة إزالة المواد الهيدروكلوروفلوروكربونية، وخطط تنفيذ كيغالي للمواد الهيدروفلوروكربونية، والمشاريع ذات الصلة بكفاءة استخدام الطاقة، وإدارة مخزونات المواد المستنفدة للأوزون والمواد الهيدروفلوروكربونية غير المرغوب فيها) واحتياجات القدرات الفنية للوكالات لتقديم المساعدة للدول ذات الاستهلاك المنخفض.</w:t>
      </w:r>
    </w:p>
    <w:p w14:paraId="34CE2468" w14:textId="74EFB028" w:rsidR="004D0DEE" w:rsidRPr="004D0DEE" w:rsidRDefault="004D0DEE" w:rsidP="001B2FB5">
      <w:pPr>
        <w:keepNext/>
        <w:bidi/>
        <w:spacing w:after="240"/>
        <w:rPr>
          <w:bCs/>
          <w:sz w:val="26"/>
          <w:szCs w:val="26"/>
          <w:lang w:bidi="ar-LB"/>
        </w:rPr>
      </w:pPr>
      <w:r w:rsidRPr="004D0DEE">
        <w:rPr>
          <w:bCs/>
          <w:sz w:val="26"/>
          <w:szCs w:val="26"/>
          <w:rtl/>
          <w:lang w:bidi="ar-LB"/>
        </w:rPr>
        <w:t>نظرة عامة على نظام التكاليف الإدارية للصندوق المتعدد الأطراف</w:t>
      </w:r>
    </w:p>
    <w:p w14:paraId="57A256F1" w14:textId="07771FBA" w:rsidR="004D0DEE" w:rsidRPr="004D0DEE" w:rsidRDefault="00D00526" w:rsidP="001B2FB5">
      <w:pPr>
        <w:pStyle w:val="Heading1"/>
        <w:keepNext/>
        <w:bidi/>
        <w:spacing w:line="288" w:lineRule="auto"/>
        <w:rPr>
          <w:sz w:val="26"/>
          <w:szCs w:val="26"/>
          <w:lang w:val="en-US" w:bidi="ar-LB"/>
        </w:rPr>
      </w:pPr>
      <w:r w:rsidRPr="00D00526">
        <w:rPr>
          <w:sz w:val="26"/>
          <w:szCs w:val="26"/>
          <w:rtl/>
          <w:lang w:val="en-US" w:bidi="ar-LB"/>
        </w:rPr>
        <w:t>منذ إنشاء الصندوق المتعدد الأطراف، كانت معدلات تكاليف دعم البرامج،</w:t>
      </w:r>
      <w:r>
        <w:rPr>
          <w:sz w:val="26"/>
          <w:szCs w:val="26"/>
          <w:rtl/>
          <w:lang w:val="en-US" w:bidi="ar-LB"/>
        </w:rPr>
        <w:t xml:space="preserve"> التي</w:t>
      </w:r>
      <w:r w:rsidRPr="00D00526">
        <w:rPr>
          <w:sz w:val="26"/>
          <w:szCs w:val="26"/>
          <w:rtl/>
          <w:lang w:val="en-US" w:bidi="ar-LB"/>
        </w:rPr>
        <w:t xml:space="preserve"> يتم احتسابها كنسبة من الموافقات على تمويل المشاريع لكل ثلاث</w:t>
      </w:r>
      <w:r>
        <w:rPr>
          <w:sz w:val="26"/>
          <w:szCs w:val="26"/>
          <w:rtl/>
          <w:lang w:val="en-US" w:bidi="ar-LB"/>
        </w:rPr>
        <w:t xml:space="preserve"> سنوات،</w:t>
      </w:r>
      <w:r w:rsidRPr="00D00526">
        <w:rPr>
          <w:sz w:val="26"/>
          <w:szCs w:val="26"/>
          <w:rtl/>
          <w:lang w:val="en-US" w:bidi="ar-LB"/>
        </w:rPr>
        <w:t xml:space="preserve"> بشكل عام</w:t>
      </w:r>
      <w:r>
        <w:rPr>
          <w:sz w:val="26"/>
          <w:szCs w:val="26"/>
          <w:rtl/>
          <w:lang w:val="en-US" w:bidi="ar-LB"/>
        </w:rPr>
        <w:t xml:space="preserve"> نحو</w:t>
      </w:r>
      <w:r w:rsidRPr="00D00526">
        <w:rPr>
          <w:sz w:val="26"/>
          <w:szCs w:val="26"/>
          <w:rtl/>
          <w:lang w:val="en-US" w:bidi="ar-LB"/>
        </w:rPr>
        <w:t xml:space="preserve"> أقل من نسبة 13 في </w:t>
      </w:r>
      <w:r w:rsidR="00793244">
        <w:rPr>
          <w:sz w:val="26"/>
          <w:szCs w:val="26"/>
          <w:rtl/>
          <w:lang w:val="en-US" w:bidi="ar-LB"/>
        </w:rPr>
        <w:t>المئة</w:t>
      </w:r>
      <w:r>
        <w:rPr>
          <w:rStyle w:val="FootnoteReference"/>
          <w:sz w:val="26"/>
          <w:szCs w:val="26"/>
          <w:rtl/>
          <w:lang w:val="en-US" w:bidi="ar-LB"/>
        </w:rPr>
        <w:footnoteReference w:id="6"/>
      </w:r>
      <w:r w:rsidRPr="00D00526">
        <w:rPr>
          <w:sz w:val="26"/>
          <w:szCs w:val="26"/>
          <w:rtl/>
          <w:lang w:val="en-US" w:bidi="ar-LB"/>
        </w:rPr>
        <w:t>، على النحو المبين في الجدول 1.</w:t>
      </w:r>
    </w:p>
    <w:p w14:paraId="599EFFD1" w14:textId="11D3767B" w:rsidR="009660E3" w:rsidRPr="009660E3" w:rsidRDefault="009660E3" w:rsidP="009660E3">
      <w:pPr>
        <w:widowControl w:val="0"/>
        <w:bidi/>
        <w:rPr>
          <w:bCs/>
          <w:sz w:val="26"/>
          <w:szCs w:val="26"/>
          <w:rtl/>
          <w:lang w:bidi="ar-LB"/>
        </w:rPr>
      </w:pPr>
      <w:r w:rsidRPr="009660E3">
        <w:rPr>
          <w:bCs/>
          <w:sz w:val="26"/>
          <w:szCs w:val="26"/>
          <w:rtl/>
          <w:lang w:bidi="ar-LB"/>
        </w:rPr>
        <w:t>الجدول 1. النسبة المئوية للتكاليف الإدارية التي دفعها الصندوق المتعدد الأطراف لكل فترة ثلاث سنوات اعتباراً من عام 1991</w:t>
      </w:r>
      <w:r>
        <w:rPr>
          <w:rStyle w:val="FootnoteReference"/>
          <w:bCs/>
          <w:sz w:val="26"/>
          <w:szCs w:val="26"/>
          <w:rtl/>
          <w:lang w:bidi="ar-LB"/>
        </w:rPr>
        <w:footnoteReference w:id="7"/>
      </w:r>
    </w:p>
    <w:tbl>
      <w:tblPr>
        <w:bidiVisual/>
        <w:tblW w:w="9542" w:type="dxa"/>
        <w:tblInd w:w="-5" w:type="dxa"/>
        <w:tblLayout w:type="fixed"/>
        <w:tblLook w:val="04A0" w:firstRow="1" w:lastRow="0" w:firstColumn="1" w:lastColumn="0" w:noHBand="0" w:noVBand="1"/>
      </w:tblPr>
      <w:tblGrid>
        <w:gridCol w:w="1808"/>
        <w:gridCol w:w="630"/>
        <w:gridCol w:w="720"/>
        <w:gridCol w:w="720"/>
        <w:gridCol w:w="720"/>
        <w:gridCol w:w="630"/>
        <w:gridCol w:w="630"/>
        <w:gridCol w:w="720"/>
        <w:gridCol w:w="720"/>
        <w:gridCol w:w="720"/>
        <w:gridCol w:w="672"/>
        <w:gridCol w:w="852"/>
      </w:tblGrid>
      <w:tr w:rsidR="00687EE7" w:rsidRPr="00687EE7" w14:paraId="28D7EFE2" w14:textId="77777777" w:rsidTr="00B37EF2">
        <w:trPr>
          <w:trHeight w:val="152"/>
          <w:tblHeader/>
        </w:trPr>
        <w:tc>
          <w:tcPr>
            <w:tcW w:w="1808" w:type="dxa"/>
            <w:tcBorders>
              <w:top w:val="single" w:sz="4" w:space="0" w:color="auto"/>
              <w:left w:val="single" w:sz="4" w:space="0" w:color="auto"/>
              <w:bottom w:val="single" w:sz="4" w:space="0" w:color="auto"/>
              <w:right w:val="single" w:sz="4" w:space="0" w:color="auto"/>
            </w:tcBorders>
            <w:shd w:val="clear" w:color="auto" w:fill="auto"/>
            <w:noWrap/>
            <w:hideMark/>
          </w:tcPr>
          <w:p w14:paraId="397BC1AB" w14:textId="2150F18C" w:rsidR="007F4FCC" w:rsidRPr="00687EE7" w:rsidRDefault="009C516D" w:rsidP="009C516D">
            <w:pPr>
              <w:keepNext/>
              <w:bidi/>
              <w:jc w:val="center"/>
              <w:rPr>
                <w:b/>
                <w:bCs/>
                <w:sz w:val="18"/>
                <w:szCs w:val="18"/>
                <w:rtl/>
                <w:lang w:val="en-US" w:eastAsia="zh-CN" w:bidi="ar-LB"/>
              </w:rPr>
            </w:pPr>
            <w:r>
              <w:rPr>
                <w:b/>
                <w:bCs/>
                <w:sz w:val="18"/>
                <w:szCs w:val="18"/>
                <w:rtl/>
                <w:lang w:val="en-US" w:eastAsia="zh-CN" w:bidi="ar-LB"/>
              </w:rPr>
              <w:t>التفاصيل</w:t>
            </w:r>
          </w:p>
        </w:tc>
        <w:tc>
          <w:tcPr>
            <w:tcW w:w="63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5BC18C2B" w14:textId="55E7E9F6" w:rsidR="007F4FCC" w:rsidRPr="00687EE7" w:rsidRDefault="009C516D" w:rsidP="009C516D">
            <w:pPr>
              <w:keepNext/>
              <w:bidi/>
              <w:ind w:left="-120" w:right="-116"/>
              <w:jc w:val="center"/>
              <w:rPr>
                <w:b/>
                <w:bCs/>
                <w:sz w:val="18"/>
                <w:szCs w:val="18"/>
                <w:lang w:val="en-US" w:eastAsia="zh-CN" w:bidi="ar-LB"/>
              </w:rPr>
            </w:pPr>
            <w:r w:rsidRPr="009C516D">
              <w:rPr>
                <w:b/>
                <w:bCs/>
                <w:sz w:val="18"/>
                <w:szCs w:val="18"/>
                <w:rtl/>
                <w:lang w:val="en-US" w:eastAsia="zh-CN" w:bidi="ar-LB"/>
              </w:rPr>
              <w:t>1991-1999</w:t>
            </w:r>
          </w:p>
        </w:tc>
        <w:tc>
          <w:tcPr>
            <w:tcW w:w="72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2B2B3FAA" w14:textId="78840E46" w:rsidR="007F4FCC" w:rsidRPr="00687EE7" w:rsidRDefault="009C516D" w:rsidP="009C516D">
            <w:pPr>
              <w:keepNext/>
              <w:bidi/>
              <w:ind w:left="-120" w:right="-116"/>
              <w:jc w:val="center"/>
              <w:rPr>
                <w:b/>
                <w:bCs/>
                <w:sz w:val="18"/>
                <w:szCs w:val="18"/>
                <w:lang w:val="en-US" w:eastAsia="zh-CN" w:bidi="ar-LB"/>
              </w:rPr>
            </w:pPr>
            <w:r w:rsidRPr="009C516D">
              <w:rPr>
                <w:b/>
                <w:bCs/>
                <w:sz w:val="18"/>
                <w:szCs w:val="18"/>
                <w:rtl/>
                <w:lang w:val="en-US" w:eastAsia="zh-CN" w:bidi="ar-LB"/>
              </w:rPr>
              <w:t>2000-2002</w:t>
            </w:r>
          </w:p>
        </w:tc>
        <w:tc>
          <w:tcPr>
            <w:tcW w:w="72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353621C5" w14:textId="15126374" w:rsidR="007F4FCC" w:rsidRPr="00687EE7" w:rsidRDefault="009C516D" w:rsidP="009C516D">
            <w:pPr>
              <w:keepNext/>
              <w:bidi/>
              <w:ind w:left="-120" w:right="-116"/>
              <w:jc w:val="center"/>
              <w:rPr>
                <w:b/>
                <w:bCs/>
                <w:sz w:val="18"/>
                <w:szCs w:val="18"/>
                <w:lang w:val="en-US" w:eastAsia="zh-CN" w:bidi="ar-LB"/>
              </w:rPr>
            </w:pPr>
            <w:r w:rsidRPr="009C516D">
              <w:rPr>
                <w:b/>
                <w:bCs/>
                <w:sz w:val="18"/>
                <w:szCs w:val="18"/>
                <w:rtl/>
                <w:lang w:val="en-US" w:eastAsia="zh-CN" w:bidi="ar-LB"/>
              </w:rPr>
              <w:t>2003-2005</w:t>
            </w:r>
          </w:p>
        </w:tc>
        <w:tc>
          <w:tcPr>
            <w:tcW w:w="72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78BA4134" w14:textId="6A86C50E" w:rsidR="007F4FCC" w:rsidRPr="00687EE7" w:rsidRDefault="009C516D" w:rsidP="009C516D">
            <w:pPr>
              <w:keepNext/>
              <w:bidi/>
              <w:ind w:left="-120" w:right="-116"/>
              <w:jc w:val="center"/>
              <w:rPr>
                <w:b/>
                <w:bCs/>
                <w:sz w:val="18"/>
                <w:szCs w:val="18"/>
                <w:lang w:val="en-US" w:eastAsia="zh-CN" w:bidi="ar-LB"/>
              </w:rPr>
            </w:pPr>
            <w:r w:rsidRPr="009C516D">
              <w:rPr>
                <w:b/>
                <w:bCs/>
                <w:sz w:val="18"/>
                <w:szCs w:val="18"/>
                <w:rtl/>
                <w:lang w:val="en-US" w:eastAsia="zh-CN" w:bidi="ar-LB"/>
              </w:rPr>
              <w:t>2006-2008</w:t>
            </w:r>
          </w:p>
        </w:tc>
        <w:tc>
          <w:tcPr>
            <w:tcW w:w="63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1C646267" w14:textId="102FA767" w:rsidR="007F4FCC" w:rsidRPr="00687EE7" w:rsidRDefault="009C516D" w:rsidP="009C516D">
            <w:pPr>
              <w:keepNext/>
              <w:bidi/>
              <w:ind w:left="-120" w:right="-116"/>
              <w:jc w:val="center"/>
              <w:rPr>
                <w:b/>
                <w:bCs/>
                <w:sz w:val="18"/>
                <w:szCs w:val="18"/>
                <w:lang w:val="en-US" w:eastAsia="zh-CN" w:bidi="ar-LB"/>
              </w:rPr>
            </w:pPr>
            <w:r w:rsidRPr="009C516D">
              <w:rPr>
                <w:b/>
                <w:bCs/>
                <w:sz w:val="18"/>
                <w:szCs w:val="18"/>
                <w:rtl/>
                <w:lang w:val="en-US" w:eastAsia="zh-CN" w:bidi="ar-LB"/>
              </w:rPr>
              <w:t>2009-2011</w:t>
            </w:r>
          </w:p>
        </w:tc>
        <w:tc>
          <w:tcPr>
            <w:tcW w:w="63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521FBC4B" w14:textId="61DE0EB7" w:rsidR="007F4FCC" w:rsidRPr="00687EE7" w:rsidRDefault="009C516D" w:rsidP="009C516D">
            <w:pPr>
              <w:keepNext/>
              <w:bidi/>
              <w:ind w:left="-120" w:right="-116"/>
              <w:jc w:val="center"/>
              <w:rPr>
                <w:b/>
                <w:bCs/>
                <w:sz w:val="18"/>
                <w:szCs w:val="18"/>
                <w:lang w:val="en-US" w:eastAsia="zh-CN" w:bidi="ar-LB"/>
              </w:rPr>
            </w:pPr>
            <w:r w:rsidRPr="009C516D">
              <w:rPr>
                <w:b/>
                <w:bCs/>
                <w:sz w:val="18"/>
                <w:szCs w:val="18"/>
                <w:rtl/>
                <w:lang w:val="en-US" w:eastAsia="zh-CN" w:bidi="ar-LB"/>
              </w:rPr>
              <w:t>2012-2014</w:t>
            </w:r>
          </w:p>
        </w:tc>
        <w:tc>
          <w:tcPr>
            <w:tcW w:w="72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26876FE6" w14:textId="38A42C1A" w:rsidR="007F4FCC" w:rsidRPr="00687EE7" w:rsidRDefault="009C516D" w:rsidP="009C516D">
            <w:pPr>
              <w:keepNext/>
              <w:bidi/>
              <w:ind w:left="-120" w:right="-116"/>
              <w:jc w:val="center"/>
              <w:rPr>
                <w:b/>
                <w:bCs/>
                <w:sz w:val="18"/>
                <w:szCs w:val="18"/>
                <w:lang w:val="en-US" w:eastAsia="zh-CN" w:bidi="ar-LB"/>
              </w:rPr>
            </w:pPr>
            <w:r w:rsidRPr="009C516D">
              <w:rPr>
                <w:b/>
                <w:bCs/>
                <w:sz w:val="18"/>
                <w:szCs w:val="18"/>
                <w:rtl/>
                <w:lang w:val="en-US" w:eastAsia="zh-CN" w:bidi="ar-LB"/>
              </w:rPr>
              <w:t>2015-2017</w:t>
            </w:r>
          </w:p>
        </w:tc>
        <w:tc>
          <w:tcPr>
            <w:tcW w:w="72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34DC9E8D" w14:textId="017A8ED1" w:rsidR="007F4FCC" w:rsidRPr="00687EE7" w:rsidRDefault="009C516D" w:rsidP="009C516D">
            <w:pPr>
              <w:keepNext/>
              <w:bidi/>
              <w:ind w:left="-120" w:right="-116"/>
              <w:jc w:val="center"/>
              <w:rPr>
                <w:b/>
                <w:bCs/>
                <w:sz w:val="18"/>
                <w:szCs w:val="18"/>
                <w:lang w:val="en-US" w:eastAsia="zh-CN" w:bidi="ar-LB"/>
              </w:rPr>
            </w:pPr>
            <w:r w:rsidRPr="009C516D">
              <w:rPr>
                <w:b/>
                <w:bCs/>
                <w:sz w:val="18"/>
                <w:szCs w:val="18"/>
                <w:rtl/>
                <w:lang w:val="en-US" w:eastAsia="zh-CN" w:bidi="ar-LB"/>
              </w:rPr>
              <w:t>2018-2020</w:t>
            </w:r>
          </w:p>
        </w:tc>
        <w:tc>
          <w:tcPr>
            <w:tcW w:w="72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6981B5CD" w14:textId="77777777" w:rsidR="009C516D" w:rsidRPr="009C516D" w:rsidRDefault="009C516D" w:rsidP="009C516D">
            <w:pPr>
              <w:keepNext/>
              <w:bidi/>
              <w:ind w:left="-192" w:right="-206"/>
              <w:jc w:val="center"/>
              <w:rPr>
                <w:b/>
                <w:bCs/>
                <w:sz w:val="18"/>
                <w:szCs w:val="18"/>
                <w:lang w:val="en-US" w:eastAsia="zh-CN" w:bidi="ar-LB"/>
              </w:rPr>
            </w:pPr>
            <w:r w:rsidRPr="009C516D">
              <w:rPr>
                <w:b/>
                <w:bCs/>
                <w:sz w:val="18"/>
                <w:szCs w:val="18"/>
                <w:rtl/>
                <w:lang w:val="en-US" w:eastAsia="zh-CN" w:bidi="ar-LB"/>
              </w:rPr>
              <w:t>2021-</w:t>
            </w:r>
          </w:p>
          <w:p w14:paraId="4356EDB4" w14:textId="302860E0" w:rsidR="007F4FCC" w:rsidRPr="00687EE7" w:rsidRDefault="009C516D" w:rsidP="009C516D">
            <w:pPr>
              <w:keepNext/>
              <w:bidi/>
              <w:ind w:left="-192" w:right="-206"/>
              <w:jc w:val="center"/>
              <w:rPr>
                <w:b/>
                <w:bCs/>
                <w:sz w:val="18"/>
                <w:szCs w:val="18"/>
                <w:lang w:val="en-US" w:eastAsia="zh-CN" w:bidi="ar-LB"/>
              </w:rPr>
            </w:pPr>
            <w:r w:rsidRPr="009C516D">
              <w:rPr>
                <w:b/>
                <w:bCs/>
                <w:sz w:val="18"/>
                <w:szCs w:val="18"/>
                <w:rtl/>
                <w:lang w:val="en-US" w:eastAsia="zh-CN" w:bidi="ar-LB"/>
              </w:rPr>
              <w:t>2023*</w:t>
            </w:r>
          </w:p>
        </w:tc>
        <w:tc>
          <w:tcPr>
            <w:tcW w:w="672"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78E9E9C1" w14:textId="2CF6CF3F" w:rsidR="007F4FCC" w:rsidRPr="00687EE7" w:rsidRDefault="009C516D" w:rsidP="009C516D">
            <w:pPr>
              <w:keepNext/>
              <w:bidi/>
              <w:ind w:left="-120" w:right="-116"/>
              <w:jc w:val="center"/>
              <w:rPr>
                <w:b/>
                <w:bCs/>
                <w:sz w:val="18"/>
                <w:szCs w:val="18"/>
                <w:lang w:val="en-US" w:eastAsia="zh-CN" w:bidi="ar-LB"/>
              </w:rPr>
            </w:pPr>
            <w:r w:rsidRPr="009C516D">
              <w:rPr>
                <w:b/>
                <w:bCs/>
                <w:sz w:val="18"/>
                <w:szCs w:val="18"/>
                <w:rtl/>
                <w:lang w:val="en-US" w:eastAsia="zh-CN" w:bidi="ar-LB"/>
              </w:rPr>
              <w:t>2024-2026**</w:t>
            </w:r>
          </w:p>
        </w:tc>
        <w:tc>
          <w:tcPr>
            <w:tcW w:w="852"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40B98960" w14:textId="4D22C062" w:rsidR="007F4FCC" w:rsidRPr="00687EE7" w:rsidRDefault="009C516D" w:rsidP="009C516D">
            <w:pPr>
              <w:keepNext/>
              <w:bidi/>
              <w:jc w:val="center"/>
              <w:rPr>
                <w:b/>
                <w:bCs/>
                <w:sz w:val="18"/>
                <w:szCs w:val="18"/>
                <w:lang w:val="en-US" w:eastAsia="zh-CN" w:bidi="ar-LB"/>
              </w:rPr>
            </w:pPr>
            <w:r>
              <w:rPr>
                <w:b/>
                <w:bCs/>
                <w:sz w:val="18"/>
                <w:szCs w:val="18"/>
                <w:rtl/>
                <w:lang w:val="en-US" w:eastAsia="zh-CN" w:bidi="ar-LB"/>
              </w:rPr>
              <w:t>المجموع</w:t>
            </w:r>
          </w:p>
        </w:tc>
      </w:tr>
      <w:tr w:rsidR="002D50FF" w:rsidRPr="00687EE7" w14:paraId="0FE67E84" w14:textId="77777777" w:rsidTr="00B37EF2">
        <w:trPr>
          <w:trHeight w:val="62"/>
        </w:trPr>
        <w:tc>
          <w:tcPr>
            <w:tcW w:w="1808" w:type="dxa"/>
            <w:tcBorders>
              <w:top w:val="nil"/>
              <w:left w:val="single" w:sz="4" w:space="0" w:color="auto"/>
              <w:bottom w:val="single" w:sz="4" w:space="0" w:color="auto"/>
              <w:right w:val="single" w:sz="4" w:space="0" w:color="auto"/>
            </w:tcBorders>
            <w:shd w:val="clear" w:color="auto" w:fill="auto"/>
            <w:noWrap/>
            <w:hideMark/>
          </w:tcPr>
          <w:p w14:paraId="7F1A79EE" w14:textId="3BF08717" w:rsidR="002D50FF" w:rsidRPr="00687EE7" w:rsidRDefault="002D50FF" w:rsidP="002D50FF">
            <w:pPr>
              <w:keepNext/>
              <w:bidi/>
              <w:jc w:val="left"/>
              <w:rPr>
                <w:sz w:val="18"/>
                <w:szCs w:val="18"/>
                <w:rtl/>
                <w:lang w:val="en-US" w:eastAsia="zh-CN" w:bidi="ar-LB"/>
              </w:rPr>
            </w:pPr>
            <w:r>
              <w:rPr>
                <w:sz w:val="18"/>
                <w:szCs w:val="18"/>
                <w:rtl/>
                <w:lang w:val="en-US" w:eastAsia="zh-CN" w:bidi="ar-LB"/>
              </w:rPr>
              <w:t>الثنائية</w:t>
            </w:r>
          </w:p>
        </w:tc>
        <w:tc>
          <w:tcPr>
            <w:tcW w:w="630" w:type="dxa"/>
            <w:tcBorders>
              <w:top w:val="nil"/>
              <w:left w:val="nil"/>
              <w:bottom w:val="single" w:sz="4" w:space="0" w:color="auto"/>
              <w:right w:val="single" w:sz="4" w:space="0" w:color="auto"/>
            </w:tcBorders>
            <w:shd w:val="clear" w:color="auto" w:fill="auto"/>
            <w:noWrap/>
          </w:tcPr>
          <w:p w14:paraId="35C48E95" w14:textId="53D0A1BA" w:rsidR="002D50FF" w:rsidRPr="00687EE7" w:rsidRDefault="002D50FF" w:rsidP="002D50FF">
            <w:pPr>
              <w:keepNext/>
              <w:bidi/>
              <w:jc w:val="center"/>
              <w:rPr>
                <w:sz w:val="18"/>
                <w:szCs w:val="18"/>
                <w:lang w:val="en-US" w:eastAsia="zh-CN" w:bidi="ar-LB"/>
              </w:rPr>
            </w:pPr>
            <w:r w:rsidRPr="00687EE7">
              <w:rPr>
                <w:sz w:val="18"/>
                <w:szCs w:val="18"/>
                <w:lang w:val="en-US" w:eastAsia="zh-CN" w:bidi="ar-LB"/>
              </w:rPr>
              <w:t>2.8</w:t>
            </w:r>
          </w:p>
        </w:tc>
        <w:tc>
          <w:tcPr>
            <w:tcW w:w="720" w:type="dxa"/>
            <w:tcBorders>
              <w:top w:val="nil"/>
              <w:left w:val="nil"/>
              <w:bottom w:val="single" w:sz="4" w:space="0" w:color="auto"/>
              <w:right w:val="single" w:sz="4" w:space="0" w:color="auto"/>
            </w:tcBorders>
            <w:shd w:val="clear" w:color="auto" w:fill="auto"/>
            <w:noWrap/>
          </w:tcPr>
          <w:p w14:paraId="509EABFD" w14:textId="795C8810"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11.4</w:t>
            </w:r>
          </w:p>
        </w:tc>
        <w:tc>
          <w:tcPr>
            <w:tcW w:w="720" w:type="dxa"/>
            <w:tcBorders>
              <w:top w:val="nil"/>
              <w:left w:val="nil"/>
              <w:bottom w:val="single" w:sz="4" w:space="0" w:color="auto"/>
              <w:right w:val="single" w:sz="4" w:space="0" w:color="auto"/>
            </w:tcBorders>
            <w:shd w:val="clear" w:color="auto" w:fill="auto"/>
            <w:noWrap/>
          </w:tcPr>
          <w:p w14:paraId="7238FC26" w14:textId="4A1D69AE"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10.7</w:t>
            </w:r>
          </w:p>
        </w:tc>
        <w:tc>
          <w:tcPr>
            <w:tcW w:w="720" w:type="dxa"/>
            <w:tcBorders>
              <w:top w:val="nil"/>
              <w:left w:val="nil"/>
              <w:bottom w:val="single" w:sz="4" w:space="0" w:color="auto"/>
              <w:right w:val="single" w:sz="4" w:space="0" w:color="auto"/>
            </w:tcBorders>
            <w:shd w:val="clear" w:color="auto" w:fill="auto"/>
            <w:noWrap/>
          </w:tcPr>
          <w:p w14:paraId="0F2E2595" w14:textId="7FEBB826"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12.4</w:t>
            </w:r>
          </w:p>
        </w:tc>
        <w:tc>
          <w:tcPr>
            <w:tcW w:w="630" w:type="dxa"/>
            <w:tcBorders>
              <w:top w:val="nil"/>
              <w:left w:val="nil"/>
              <w:bottom w:val="single" w:sz="4" w:space="0" w:color="auto"/>
              <w:right w:val="single" w:sz="4" w:space="0" w:color="auto"/>
            </w:tcBorders>
            <w:shd w:val="clear" w:color="auto" w:fill="auto"/>
            <w:noWrap/>
          </w:tcPr>
          <w:p w14:paraId="78648EA1" w14:textId="7360A0CD"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12.3</w:t>
            </w:r>
          </w:p>
        </w:tc>
        <w:tc>
          <w:tcPr>
            <w:tcW w:w="630" w:type="dxa"/>
            <w:tcBorders>
              <w:top w:val="nil"/>
              <w:left w:val="nil"/>
              <w:bottom w:val="single" w:sz="4" w:space="0" w:color="auto"/>
              <w:right w:val="single" w:sz="4" w:space="0" w:color="auto"/>
            </w:tcBorders>
            <w:shd w:val="clear" w:color="auto" w:fill="auto"/>
            <w:noWrap/>
          </w:tcPr>
          <w:p w14:paraId="44C0BDF5" w14:textId="447B94D7"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11.7</w:t>
            </w:r>
          </w:p>
        </w:tc>
        <w:tc>
          <w:tcPr>
            <w:tcW w:w="720" w:type="dxa"/>
            <w:tcBorders>
              <w:top w:val="nil"/>
              <w:left w:val="nil"/>
              <w:bottom w:val="single" w:sz="4" w:space="0" w:color="auto"/>
              <w:right w:val="single" w:sz="4" w:space="0" w:color="auto"/>
            </w:tcBorders>
            <w:shd w:val="clear" w:color="auto" w:fill="auto"/>
            <w:noWrap/>
          </w:tcPr>
          <w:p w14:paraId="3144496E" w14:textId="1608B19E"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11.8</w:t>
            </w:r>
          </w:p>
        </w:tc>
        <w:tc>
          <w:tcPr>
            <w:tcW w:w="720" w:type="dxa"/>
            <w:tcBorders>
              <w:top w:val="nil"/>
              <w:left w:val="nil"/>
              <w:bottom w:val="single" w:sz="4" w:space="0" w:color="auto"/>
              <w:right w:val="single" w:sz="4" w:space="0" w:color="auto"/>
            </w:tcBorders>
            <w:shd w:val="clear" w:color="auto" w:fill="auto"/>
            <w:noWrap/>
          </w:tcPr>
          <w:p w14:paraId="23C1CA3E" w14:textId="26ABFEF3"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11.5</w:t>
            </w:r>
          </w:p>
        </w:tc>
        <w:tc>
          <w:tcPr>
            <w:tcW w:w="720" w:type="dxa"/>
            <w:tcBorders>
              <w:top w:val="nil"/>
              <w:left w:val="nil"/>
              <w:bottom w:val="single" w:sz="4" w:space="0" w:color="auto"/>
              <w:right w:val="single" w:sz="4" w:space="0" w:color="auto"/>
            </w:tcBorders>
            <w:shd w:val="clear" w:color="auto" w:fill="auto"/>
            <w:noWrap/>
          </w:tcPr>
          <w:p w14:paraId="5C7878B9" w14:textId="24941E99"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11.8</w:t>
            </w:r>
          </w:p>
        </w:tc>
        <w:tc>
          <w:tcPr>
            <w:tcW w:w="672" w:type="dxa"/>
            <w:tcBorders>
              <w:top w:val="nil"/>
              <w:left w:val="nil"/>
              <w:bottom w:val="single" w:sz="4" w:space="0" w:color="auto"/>
              <w:right w:val="single" w:sz="4" w:space="0" w:color="auto"/>
            </w:tcBorders>
            <w:shd w:val="clear" w:color="auto" w:fill="auto"/>
            <w:noWrap/>
          </w:tcPr>
          <w:p w14:paraId="14BC46FF" w14:textId="3AF83B54"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11.4</w:t>
            </w:r>
          </w:p>
        </w:tc>
        <w:tc>
          <w:tcPr>
            <w:tcW w:w="852" w:type="dxa"/>
            <w:tcBorders>
              <w:top w:val="nil"/>
              <w:left w:val="nil"/>
              <w:bottom w:val="single" w:sz="4" w:space="0" w:color="auto"/>
              <w:right w:val="single" w:sz="4" w:space="0" w:color="auto"/>
            </w:tcBorders>
            <w:shd w:val="clear" w:color="auto" w:fill="auto"/>
            <w:noWrap/>
          </w:tcPr>
          <w:p w14:paraId="15FC6CCC" w14:textId="50678C7A" w:rsidR="002D50FF" w:rsidRPr="00687EE7" w:rsidRDefault="002D50FF" w:rsidP="002D50FF">
            <w:pPr>
              <w:keepNext/>
              <w:bidi/>
              <w:jc w:val="center"/>
              <w:rPr>
                <w:sz w:val="18"/>
                <w:szCs w:val="18"/>
                <w:lang w:val="en-US" w:eastAsia="zh-CN" w:bidi="ar-LB"/>
              </w:rPr>
            </w:pPr>
            <w:r w:rsidRPr="00687EE7">
              <w:rPr>
                <w:sz w:val="18"/>
                <w:szCs w:val="18"/>
                <w:lang w:val="en-US" w:eastAsia="zh-CN" w:bidi="ar-LB"/>
              </w:rPr>
              <w:t>9.9</w:t>
            </w:r>
          </w:p>
        </w:tc>
      </w:tr>
      <w:tr w:rsidR="002D50FF" w:rsidRPr="00687EE7" w14:paraId="17FE3E23" w14:textId="77777777" w:rsidTr="00B37EF2">
        <w:trPr>
          <w:trHeight w:val="44"/>
        </w:trPr>
        <w:tc>
          <w:tcPr>
            <w:tcW w:w="1808" w:type="dxa"/>
            <w:tcBorders>
              <w:top w:val="nil"/>
              <w:left w:val="single" w:sz="4" w:space="0" w:color="auto"/>
              <w:bottom w:val="single" w:sz="4" w:space="0" w:color="auto"/>
              <w:right w:val="single" w:sz="4" w:space="0" w:color="auto"/>
            </w:tcBorders>
            <w:shd w:val="clear" w:color="auto" w:fill="auto"/>
            <w:noWrap/>
            <w:hideMark/>
          </w:tcPr>
          <w:p w14:paraId="18904E78" w14:textId="31CE8C7A" w:rsidR="002D50FF" w:rsidRPr="00687EE7" w:rsidRDefault="002D50FF" w:rsidP="002D50FF">
            <w:pPr>
              <w:keepNext/>
              <w:bidi/>
              <w:jc w:val="left"/>
              <w:rPr>
                <w:sz w:val="18"/>
                <w:szCs w:val="18"/>
                <w:rtl/>
                <w:lang w:val="en-US" w:eastAsia="zh-CN" w:bidi="ar-LB"/>
              </w:rPr>
            </w:pPr>
            <w:r>
              <w:rPr>
                <w:sz w:val="18"/>
                <w:szCs w:val="18"/>
                <w:rtl/>
                <w:lang w:val="en-US" w:eastAsia="zh-CN" w:bidi="ar-LB"/>
              </w:rPr>
              <w:t>اليوئنديبي</w:t>
            </w:r>
          </w:p>
        </w:tc>
        <w:tc>
          <w:tcPr>
            <w:tcW w:w="630" w:type="dxa"/>
            <w:tcBorders>
              <w:top w:val="nil"/>
              <w:left w:val="nil"/>
              <w:bottom w:val="single" w:sz="4" w:space="0" w:color="auto"/>
              <w:right w:val="single" w:sz="4" w:space="0" w:color="auto"/>
            </w:tcBorders>
            <w:shd w:val="clear" w:color="auto" w:fill="auto"/>
            <w:noWrap/>
          </w:tcPr>
          <w:p w14:paraId="731F1421" w14:textId="1FC8F205"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12.9</w:t>
            </w:r>
          </w:p>
        </w:tc>
        <w:tc>
          <w:tcPr>
            <w:tcW w:w="720" w:type="dxa"/>
            <w:tcBorders>
              <w:top w:val="nil"/>
              <w:left w:val="nil"/>
              <w:bottom w:val="single" w:sz="4" w:space="0" w:color="auto"/>
              <w:right w:val="single" w:sz="4" w:space="0" w:color="auto"/>
            </w:tcBorders>
            <w:shd w:val="clear" w:color="auto" w:fill="auto"/>
            <w:noWrap/>
            <w:hideMark/>
          </w:tcPr>
          <w:p w14:paraId="0A541B38" w14:textId="4F344D1C"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12.9</w:t>
            </w:r>
          </w:p>
        </w:tc>
        <w:tc>
          <w:tcPr>
            <w:tcW w:w="720" w:type="dxa"/>
            <w:tcBorders>
              <w:top w:val="nil"/>
              <w:left w:val="nil"/>
              <w:bottom w:val="single" w:sz="4" w:space="0" w:color="auto"/>
              <w:right w:val="single" w:sz="4" w:space="0" w:color="auto"/>
            </w:tcBorders>
            <w:shd w:val="clear" w:color="auto" w:fill="auto"/>
            <w:noWrap/>
          </w:tcPr>
          <w:p w14:paraId="57A4F61B" w14:textId="3A6E390D"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13.2</w:t>
            </w:r>
          </w:p>
        </w:tc>
        <w:tc>
          <w:tcPr>
            <w:tcW w:w="720" w:type="dxa"/>
            <w:tcBorders>
              <w:top w:val="nil"/>
              <w:left w:val="nil"/>
              <w:bottom w:val="single" w:sz="4" w:space="0" w:color="auto"/>
              <w:right w:val="single" w:sz="4" w:space="0" w:color="auto"/>
            </w:tcBorders>
            <w:shd w:val="clear" w:color="auto" w:fill="auto"/>
            <w:noWrap/>
          </w:tcPr>
          <w:p w14:paraId="6E823D93" w14:textId="6A3939AC"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18.3</w:t>
            </w:r>
          </w:p>
        </w:tc>
        <w:tc>
          <w:tcPr>
            <w:tcW w:w="630" w:type="dxa"/>
            <w:tcBorders>
              <w:top w:val="nil"/>
              <w:left w:val="nil"/>
              <w:bottom w:val="single" w:sz="4" w:space="0" w:color="auto"/>
              <w:right w:val="single" w:sz="4" w:space="0" w:color="auto"/>
            </w:tcBorders>
            <w:shd w:val="clear" w:color="auto" w:fill="auto"/>
            <w:noWrap/>
          </w:tcPr>
          <w:p w14:paraId="15813374" w14:textId="6259D203"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14.0</w:t>
            </w:r>
          </w:p>
        </w:tc>
        <w:tc>
          <w:tcPr>
            <w:tcW w:w="630" w:type="dxa"/>
            <w:tcBorders>
              <w:top w:val="nil"/>
              <w:left w:val="nil"/>
              <w:bottom w:val="single" w:sz="4" w:space="0" w:color="auto"/>
              <w:right w:val="single" w:sz="4" w:space="0" w:color="auto"/>
            </w:tcBorders>
            <w:shd w:val="clear" w:color="auto" w:fill="auto"/>
            <w:noWrap/>
          </w:tcPr>
          <w:p w14:paraId="189FB725" w14:textId="1EFF7895"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13.9</w:t>
            </w:r>
          </w:p>
        </w:tc>
        <w:tc>
          <w:tcPr>
            <w:tcW w:w="720" w:type="dxa"/>
            <w:tcBorders>
              <w:top w:val="nil"/>
              <w:left w:val="nil"/>
              <w:bottom w:val="single" w:sz="4" w:space="0" w:color="auto"/>
              <w:right w:val="single" w:sz="4" w:space="0" w:color="auto"/>
            </w:tcBorders>
            <w:shd w:val="clear" w:color="auto" w:fill="auto"/>
            <w:noWrap/>
          </w:tcPr>
          <w:p w14:paraId="4241BD4A" w14:textId="2819E0AF"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12.8</w:t>
            </w:r>
          </w:p>
        </w:tc>
        <w:tc>
          <w:tcPr>
            <w:tcW w:w="720" w:type="dxa"/>
            <w:tcBorders>
              <w:top w:val="nil"/>
              <w:left w:val="nil"/>
              <w:bottom w:val="single" w:sz="4" w:space="0" w:color="auto"/>
              <w:right w:val="single" w:sz="4" w:space="0" w:color="auto"/>
            </w:tcBorders>
            <w:shd w:val="clear" w:color="auto" w:fill="auto"/>
            <w:noWrap/>
          </w:tcPr>
          <w:p w14:paraId="6F079839" w14:textId="791F9A37"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14.7</w:t>
            </w:r>
          </w:p>
        </w:tc>
        <w:tc>
          <w:tcPr>
            <w:tcW w:w="720" w:type="dxa"/>
            <w:tcBorders>
              <w:top w:val="nil"/>
              <w:left w:val="nil"/>
              <w:bottom w:val="single" w:sz="4" w:space="0" w:color="auto"/>
              <w:right w:val="single" w:sz="4" w:space="0" w:color="auto"/>
            </w:tcBorders>
            <w:shd w:val="clear" w:color="auto" w:fill="auto"/>
            <w:noWrap/>
          </w:tcPr>
          <w:p w14:paraId="1167A278" w14:textId="6C2E1C14"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15.2</w:t>
            </w:r>
          </w:p>
        </w:tc>
        <w:tc>
          <w:tcPr>
            <w:tcW w:w="672" w:type="dxa"/>
            <w:tcBorders>
              <w:top w:val="nil"/>
              <w:left w:val="nil"/>
              <w:bottom w:val="single" w:sz="4" w:space="0" w:color="auto"/>
              <w:right w:val="single" w:sz="4" w:space="0" w:color="auto"/>
            </w:tcBorders>
            <w:shd w:val="clear" w:color="auto" w:fill="auto"/>
            <w:noWrap/>
          </w:tcPr>
          <w:p w14:paraId="4FD08E77" w14:textId="2DC5567C"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11.0</w:t>
            </w:r>
          </w:p>
        </w:tc>
        <w:tc>
          <w:tcPr>
            <w:tcW w:w="852" w:type="dxa"/>
            <w:tcBorders>
              <w:top w:val="nil"/>
              <w:left w:val="nil"/>
              <w:bottom w:val="single" w:sz="4" w:space="0" w:color="auto"/>
              <w:right w:val="single" w:sz="4" w:space="0" w:color="auto"/>
            </w:tcBorders>
            <w:shd w:val="clear" w:color="auto" w:fill="auto"/>
            <w:noWrap/>
          </w:tcPr>
          <w:p w14:paraId="0EF63FE7" w14:textId="675714EC"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13.7</w:t>
            </w:r>
          </w:p>
        </w:tc>
      </w:tr>
      <w:tr w:rsidR="002D50FF" w:rsidRPr="00687EE7" w14:paraId="63637923" w14:textId="77777777" w:rsidTr="00B37EF2">
        <w:trPr>
          <w:trHeight w:val="80"/>
        </w:trPr>
        <w:tc>
          <w:tcPr>
            <w:tcW w:w="1808" w:type="dxa"/>
            <w:tcBorders>
              <w:top w:val="nil"/>
              <w:left w:val="single" w:sz="4" w:space="0" w:color="auto"/>
              <w:bottom w:val="single" w:sz="4" w:space="0" w:color="auto"/>
              <w:right w:val="single" w:sz="4" w:space="0" w:color="auto"/>
            </w:tcBorders>
            <w:shd w:val="clear" w:color="auto" w:fill="auto"/>
            <w:noWrap/>
            <w:hideMark/>
          </w:tcPr>
          <w:p w14:paraId="0FA2878E" w14:textId="30E5584C" w:rsidR="002D50FF" w:rsidRPr="00687EE7" w:rsidRDefault="002D50FF" w:rsidP="002D50FF">
            <w:pPr>
              <w:keepNext/>
              <w:bidi/>
              <w:jc w:val="left"/>
              <w:rPr>
                <w:sz w:val="18"/>
                <w:szCs w:val="18"/>
                <w:lang w:val="en-US" w:eastAsia="zh-CN" w:bidi="ar-LB"/>
              </w:rPr>
            </w:pPr>
            <w:r w:rsidRPr="009C516D">
              <w:rPr>
                <w:sz w:val="18"/>
                <w:szCs w:val="18"/>
                <w:rtl/>
                <w:lang w:val="en-US" w:eastAsia="zh-CN" w:bidi="ar-LB"/>
              </w:rPr>
              <w:t>اليونيب</w:t>
            </w:r>
          </w:p>
        </w:tc>
        <w:tc>
          <w:tcPr>
            <w:tcW w:w="630" w:type="dxa"/>
            <w:tcBorders>
              <w:top w:val="nil"/>
              <w:left w:val="nil"/>
              <w:bottom w:val="single" w:sz="4" w:space="0" w:color="auto"/>
              <w:right w:val="single" w:sz="4" w:space="0" w:color="auto"/>
            </w:tcBorders>
            <w:shd w:val="clear" w:color="auto" w:fill="auto"/>
            <w:noWrap/>
          </w:tcPr>
          <w:p w14:paraId="693706F5" w14:textId="0209AD7E"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13.0</w:t>
            </w:r>
          </w:p>
        </w:tc>
        <w:tc>
          <w:tcPr>
            <w:tcW w:w="720" w:type="dxa"/>
            <w:tcBorders>
              <w:top w:val="nil"/>
              <w:left w:val="nil"/>
              <w:bottom w:val="single" w:sz="4" w:space="0" w:color="auto"/>
              <w:right w:val="single" w:sz="4" w:space="0" w:color="auto"/>
            </w:tcBorders>
            <w:shd w:val="clear" w:color="auto" w:fill="auto"/>
            <w:noWrap/>
          </w:tcPr>
          <w:p w14:paraId="7F12E3EE" w14:textId="78DF6953" w:rsidR="002D50FF" w:rsidRPr="00687EE7" w:rsidRDefault="002D50FF" w:rsidP="002D50FF">
            <w:pPr>
              <w:keepNext/>
              <w:bidi/>
              <w:jc w:val="center"/>
              <w:rPr>
                <w:sz w:val="18"/>
                <w:szCs w:val="18"/>
                <w:lang w:val="en-US" w:eastAsia="zh-CN" w:bidi="ar-LB"/>
              </w:rPr>
            </w:pPr>
            <w:r w:rsidRPr="00687EE7">
              <w:rPr>
                <w:sz w:val="18"/>
                <w:szCs w:val="18"/>
                <w:lang w:val="en-US" w:eastAsia="zh-CN" w:bidi="ar-LB"/>
              </w:rPr>
              <w:t>9.7</w:t>
            </w:r>
          </w:p>
        </w:tc>
        <w:tc>
          <w:tcPr>
            <w:tcW w:w="720" w:type="dxa"/>
            <w:tcBorders>
              <w:top w:val="nil"/>
              <w:left w:val="nil"/>
              <w:bottom w:val="single" w:sz="4" w:space="0" w:color="auto"/>
              <w:right w:val="single" w:sz="4" w:space="0" w:color="auto"/>
            </w:tcBorders>
            <w:shd w:val="clear" w:color="auto" w:fill="auto"/>
            <w:noWrap/>
          </w:tcPr>
          <w:p w14:paraId="12BF1621" w14:textId="66E12D15" w:rsidR="002D50FF" w:rsidRPr="00687EE7" w:rsidRDefault="002D50FF" w:rsidP="002D50FF">
            <w:pPr>
              <w:keepNext/>
              <w:bidi/>
              <w:jc w:val="center"/>
              <w:rPr>
                <w:sz w:val="18"/>
                <w:szCs w:val="18"/>
                <w:lang w:val="en-US" w:eastAsia="zh-CN" w:bidi="ar-LB"/>
              </w:rPr>
            </w:pPr>
            <w:r w:rsidRPr="00687EE7">
              <w:rPr>
                <w:sz w:val="18"/>
                <w:szCs w:val="18"/>
                <w:lang w:val="en-US" w:eastAsia="zh-CN" w:bidi="ar-LB"/>
              </w:rPr>
              <w:t>7.3</w:t>
            </w:r>
          </w:p>
        </w:tc>
        <w:tc>
          <w:tcPr>
            <w:tcW w:w="720" w:type="dxa"/>
            <w:tcBorders>
              <w:top w:val="nil"/>
              <w:left w:val="nil"/>
              <w:bottom w:val="single" w:sz="4" w:space="0" w:color="auto"/>
              <w:right w:val="single" w:sz="4" w:space="0" w:color="auto"/>
            </w:tcBorders>
            <w:shd w:val="clear" w:color="auto" w:fill="auto"/>
            <w:noWrap/>
          </w:tcPr>
          <w:p w14:paraId="47C09C6C" w14:textId="6AB643C5" w:rsidR="002D50FF" w:rsidRPr="00687EE7" w:rsidRDefault="002D50FF" w:rsidP="002D50FF">
            <w:pPr>
              <w:keepNext/>
              <w:bidi/>
              <w:jc w:val="center"/>
              <w:rPr>
                <w:sz w:val="18"/>
                <w:szCs w:val="18"/>
                <w:lang w:val="en-US" w:eastAsia="zh-CN" w:bidi="ar-LB"/>
              </w:rPr>
            </w:pPr>
            <w:r w:rsidRPr="00687EE7">
              <w:rPr>
                <w:sz w:val="18"/>
                <w:szCs w:val="18"/>
                <w:lang w:val="en-US" w:eastAsia="zh-CN" w:bidi="ar-LB"/>
              </w:rPr>
              <w:t>7.9</w:t>
            </w:r>
          </w:p>
        </w:tc>
        <w:tc>
          <w:tcPr>
            <w:tcW w:w="630" w:type="dxa"/>
            <w:tcBorders>
              <w:top w:val="nil"/>
              <w:left w:val="nil"/>
              <w:bottom w:val="single" w:sz="4" w:space="0" w:color="auto"/>
              <w:right w:val="single" w:sz="4" w:space="0" w:color="auto"/>
            </w:tcBorders>
            <w:shd w:val="clear" w:color="auto" w:fill="auto"/>
            <w:noWrap/>
          </w:tcPr>
          <w:p w14:paraId="433DAA0F" w14:textId="1A20DA77" w:rsidR="002D50FF" w:rsidRPr="00687EE7" w:rsidRDefault="002D50FF" w:rsidP="002D50FF">
            <w:pPr>
              <w:keepNext/>
              <w:bidi/>
              <w:jc w:val="center"/>
              <w:rPr>
                <w:sz w:val="18"/>
                <w:szCs w:val="18"/>
                <w:lang w:val="en-US" w:eastAsia="zh-CN" w:bidi="ar-LB"/>
              </w:rPr>
            </w:pPr>
            <w:r w:rsidRPr="00687EE7">
              <w:rPr>
                <w:sz w:val="18"/>
                <w:szCs w:val="18"/>
                <w:lang w:val="en-US" w:eastAsia="zh-CN" w:bidi="ar-LB"/>
              </w:rPr>
              <w:t>7.6</w:t>
            </w:r>
          </w:p>
        </w:tc>
        <w:tc>
          <w:tcPr>
            <w:tcW w:w="630" w:type="dxa"/>
            <w:tcBorders>
              <w:top w:val="nil"/>
              <w:left w:val="nil"/>
              <w:bottom w:val="single" w:sz="4" w:space="0" w:color="auto"/>
              <w:right w:val="single" w:sz="4" w:space="0" w:color="auto"/>
            </w:tcBorders>
            <w:shd w:val="clear" w:color="auto" w:fill="auto"/>
            <w:noWrap/>
          </w:tcPr>
          <w:p w14:paraId="2FB1DE96" w14:textId="675D8CBC" w:rsidR="002D50FF" w:rsidRPr="00687EE7" w:rsidRDefault="002D50FF" w:rsidP="002D50FF">
            <w:pPr>
              <w:keepNext/>
              <w:bidi/>
              <w:jc w:val="center"/>
              <w:rPr>
                <w:sz w:val="18"/>
                <w:szCs w:val="18"/>
                <w:lang w:val="en-US" w:eastAsia="zh-CN" w:bidi="ar-LB"/>
              </w:rPr>
            </w:pPr>
            <w:r w:rsidRPr="00687EE7">
              <w:rPr>
                <w:sz w:val="18"/>
                <w:szCs w:val="18"/>
                <w:lang w:val="en-US" w:eastAsia="zh-CN" w:bidi="ar-LB"/>
              </w:rPr>
              <w:t>7.0</w:t>
            </w:r>
          </w:p>
        </w:tc>
        <w:tc>
          <w:tcPr>
            <w:tcW w:w="720" w:type="dxa"/>
            <w:tcBorders>
              <w:top w:val="nil"/>
              <w:left w:val="nil"/>
              <w:bottom w:val="single" w:sz="4" w:space="0" w:color="auto"/>
              <w:right w:val="single" w:sz="4" w:space="0" w:color="auto"/>
            </w:tcBorders>
            <w:shd w:val="clear" w:color="auto" w:fill="auto"/>
            <w:noWrap/>
          </w:tcPr>
          <w:p w14:paraId="55B4F1DD" w14:textId="40D97A47" w:rsidR="002D50FF" w:rsidRPr="00687EE7" w:rsidRDefault="002D50FF" w:rsidP="002D50FF">
            <w:pPr>
              <w:keepNext/>
              <w:bidi/>
              <w:jc w:val="center"/>
              <w:rPr>
                <w:sz w:val="18"/>
                <w:szCs w:val="18"/>
                <w:lang w:val="en-US" w:eastAsia="zh-CN" w:bidi="ar-LB"/>
              </w:rPr>
            </w:pPr>
            <w:r w:rsidRPr="00687EE7">
              <w:rPr>
                <w:sz w:val="18"/>
                <w:szCs w:val="18"/>
                <w:lang w:val="en-US" w:eastAsia="zh-CN" w:bidi="ar-LB"/>
              </w:rPr>
              <w:t>7.6</w:t>
            </w:r>
          </w:p>
        </w:tc>
        <w:tc>
          <w:tcPr>
            <w:tcW w:w="720" w:type="dxa"/>
            <w:tcBorders>
              <w:top w:val="nil"/>
              <w:left w:val="nil"/>
              <w:bottom w:val="single" w:sz="4" w:space="0" w:color="auto"/>
              <w:right w:val="single" w:sz="4" w:space="0" w:color="auto"/>
            </w:tcBorders>
            <w:shd w:val="clear" w:color="auto" w:fill="auto"/>
            <w:noWrap/>
          </w:tcPr>
          <w:p w14:paraId="19AF8F2B" w14:textId="6F3689B6" w:rsidR="002D50FF" w:rsidRPr="00687EE7" w:rsidRDefault="002D50FF" w:rsidP="002D50FF">
            <w:pPr>
              <w:keepNext/>
              <w:bidi/>
              <w:jc w:val="center"/>
              <w:rPr>
                <w:sz w:val="18"/>
                <w:szCs w:val="18"/>
                <w:lang w:val="en-US" w:eastAsia="zh-CN" w:bidi="ar-LB"/>
              </w:rPr>
            </w:pPr>
            <w:r w:rsidRPr="00687EE7">
              <w:rPr>
                <w:sz w:val="18"/>
                <w:szCs w:val="18"/>
                <w:lang w:val="en-US" w:eastAsia="zh-CN" w:bidi="ar-LB"/>
              </w:rPr>
              <w:t>7.6</w:t>
            </w:r>
          </w:p>
        </w:tc>
        <w:tc>
          <w:tcPr>
            <w:tcW w:w="720" w:type="dxa"/>
            <w:tcBorders>
              <w:top w:val="nil"/>
              <w:left w:val="nil"/>
              <w:bottom w:val="single" w:sz="4" w:space="0" w:color="auto"/>
              <w:right w:val="single" w:sz="4" w:space="0" w:color="auto"/>
            </w:tcBorders>
            <w:shd w:val="clear" w:color="auto" w:fill="auto"/>
            <w:noWrap/>
          </w:tcPr>
          <w:p w14:paraId="7F141CF7" w14:textId="3C1E3CAE" w:rsidR="002D50FF" w:rsidRPr="00687EE7" w:rsidRDefault="002D50FF" w:rsidP="002D50FF">
            <w:pPr>
              <w:keepNext/>
              <w:bidi/>
              <w:jc w:val="center"/>
              <w:rPr>
                <w:sz w:val="18"/>
                <w:szCs w:val="18"/>
                <w:lang w:val="en-US" w:eastAsia="zh-CN" w:bidi="ar-LB"/>
              </w:rPr>
            </w:pPr>
            <w:r w:rsidRPr="00687EE7">
              <w:rPr>
                <w:sz w:val="18"/>
                <w:szCs w:val="18"/>
                <w:lang w:val="en-US" w:eastAsia="zh-CN" w:bidi="ar-LB"/>
              </w:rPr>
              <w:t>7.5</w:t>
            </w:r>
          </w:p>
        </w:tc>
        <w:tc>
          <w:tcPr>
            <w:tcW w:w="672" w:type="dxa"/>
            <w:tcBorders>
              <w:top w:val="nil"/>
              <w:left w:val="nil"/>
              <w:bottom w:val="single" w:sz="4" w:space="0" w:color="auto"/>
              <w:right w:val="single" w:sz="4" w:space="0" w:color="auto"/>
            </w:tcBorders>
            <w:shd w:val="clear" w:color="auto" w:fill="auto"/>
            <w:noWrap/>
          </w:tcPr>
          <w:p w14:paraId="41A82059" w14:textId="06B53891" w:rsidR="002D50FF" w:rsidRPr="00687EE7" w:rsidRDefault="002D50FF" w:rsidP="002D50FF">
            <w:pPr>
              <w:keepNext/>
              <w:bidi/>
              <w:jc w:val="center"/>
              <w:rPr>
                <w:sz w:val="18"/>
                <w:szCs w:val="18"/>
                <w:lang w:val="en-US" w:eastAsia="zh-CN" w:bidi="ar-LB"/>
              </w:rPr>
            </w:pPr>
            <w:r w:rsidRPr="00687EE7">
              <w:rPr>
                <w:sz w:val="18"/>
                <w:szCs w:val="18"/>
                <w:lang w:val="en-US" w:eastAsia="zh-CN" w:bidi="ar-LB"/>
              </w:rPr>
              <w:t>8.8</w:t>
            </w:r>
          </w:p>
        </w:tc>
        <w:tc>
          <w:tcPr>
            <w:tcW w:w="852" w:type="dxa"/>
            <w:tcBorders>
              <w:top w:val="nil"/>
              <w:left w:val="nil"/>
              <w:bottom w:val="single" w:sz="4" w:space="0" w:color="auto"/>
              <w:right w:val="single" w:sz="4" w:space="0" w:color="auto"/>
            </w:tcBorders>
            <w:shd w:val="clear" w:color="auto" w:fill="auto"/>
            <w:noWrap/>
          </w:tcPr>
          <w:p w14:paraId="69EDD078" w14:textId="68D75FDB" w:rsidR="002D50FF" w:rsidRPr="00687EE7" w:rsidRDefault="002D50FF" w:rsidP="002D50FF">
            <w:pPr>
              <w:keepNext/>
              <w:bidi/>
              <w:jc w:val="center"/>
              <w:rPr>
                <w:sz w:val="18"/>
                <w:szCs w:val="18"/>
                <w:lang w:val="en-US" w:eastAsia="zh-CN" w:bidi="ar-LB"/>
              </w:rPr>
            </w:pPr>
            <w:r w:rsidRPr="00687EE7">
              <w:rPr>
                <w:sz w:val="18"/>
                <w:szCs w:val="18"/>
                <w:lang w:val="en-US" w:eastAsia="zh-CN" w:bidi="ar-LB"/>
              </w:rPr>
              <w:t>8.1</w:t>
            </w:r>
          </w:p>
        </w:tc>
      </w:tr>
      <w:tr w:rsidR="002D50FF" w:rsidRPr="00687EE7" w14:paraId="2A301BD4" w14:textId="77777777" w:rsidTr="00B37EF2">
        <w:trPr>
          <w:trHeight w:val="44"/>
        </w:trPr>
        <w:tc>
          <w:tcPr>
            <w:tcW w:w="1808" w:type="dxa"/>
            <w:tcBorders>
              <w:top w:val="nil"/>
              <w:left w:val="single" w:sz="4" w:space="0" w:color="auto"/>
              <w:bottom w:val="single" w:sz="4" w:space="0" w:color="auto"/>
              <w:right w:val="single" w:sz="4" w:space="0" w:color="auto"/>
            </w:tcBorders>
            <w:shd w:val="clear" w:color="auto" w:fill="auto"/>
            <w:noWrap/>
            <w:hideMark/>
          </w:tcPr>
          <w:p w14:paraId="7A2B22FB" w14:textId="3081B39B" w:rsidR="002D50FF" w:rsidRPr="00687EE7" w:rsidRDefault="002D50FF" w:rsidP="002D50FF">
            <w:pPr>
              <w:keepNext/>
              <w:bidi/>
              <w:jc w:val="left"/>
              <w:rPr>
                <w:sz w:val="18"/>
                <w:szCs w:val="18"/>
                <w:rtl/>
                <w:lang w:val="en-US" w:eastAsia="zh-CN" w:bidi="ar-LB"/>
              </w:rPr>
            </w:pPr>
            <w:r>
              <w:rPr>
                <w:sz w:val="18"/>
                <w:szCs w:val="18"/>
                <w:rtl/>
                <w:lang w:val="en-US" w:eastAsia="zh-CN" w:bidi="ar-LB"/>
              </w:rPr>
              <w:t>اليونيدو</w:t>
            </w:r>
          </w:p>
        </w:tc>
        <w:tc>
          <w:tcPr>
            <w:tcW w:w="630" w:type="dxa"/>
            <w:tcBorders>
              <w:top w:val="nil"/>
              <w:left w:val="nil"/>
              <w:bottom w:val="single" w:sz="4" w:space="0" w:color="auto"/>
              <w:right w:val="single" w:sz="4" w:space="0" w:color="auto"/>
            </w:tcBorders>
            <w:shd w:val="clear" w:color="auto" w:fill="auto"/>
            <w:noWrap/>
          </w:tcPr>
          <w:p w14:paraId="63E9ED45" w14:textId="790C25CA"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12.8</w:t>
            </w:r>
          </w:p>
        </w:tc>
        <w:tc>
          <w:tcPr>
            <w:tcW w:w="720" w:type="dxa"/>
            <w:tcBorders>
              <w:top w:val="nil"/>
              <w:left w:val="nil"/>
              <w:bottom w:val="single" w:sz="4" w:space="0" w:color="auto"/>
              <w:right w:val="single" w:sz="4" w:space="0" w:color="auto"/>
            </w:tcBorders>
            <w:shd w:val="clear" w:color="auto" w:fill="auto"/>
            <w:noWrap/>
          </w:tcPr>
          <w:p w14:paraId="20405419" w14:textId="7F10D6FB"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13.4</w:t>
            </w:r>
          </w:p>
        </w:tc>
        <w:tc>
          <w:tcPr>
            <w:tcW w:w="720" w:type="dxa"/>
            <w:tcBorders>
              <w:top w:val="nil"/>
              <w:left w:val="nil"/>
              <w:bottom w:val="single" w:sz="4" w:space="0" w:color="auto"/>
              <w:right w:val="single" w:sz="4" w:space="0" w:color="auto"/>
            </w:tcBorders>
            <w:shd w:val="clear" w:color="auto" w:fill="auto"/>
            <w:noWrap/>
          </w:tcPr>
          <w:p w14:paraId="5EE7095D" w14:textId="5DF40043"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11.7</w:t>
            </w:r>
          </w:p>
        </w:tc>
        <w:tc>
          <w:tcPr>
            <w:tcW w:w="720" w:type="dxa"/>
            <w:tcBorders>
              <w:top w:val="nil"/>
              <w:left w:val="nil"/>
              <w:bottom w:val="single" w:sz="4" w:space="0" w:color="auto"/>
              <w:right w:val="single" w:sz="4" w:space="0" w:color="auto"/>
            </w:tcBorders>
            <w:shd w:val="clear" w:color="auto" w:fill="auto"/>
            <w:noWrap/>
          </w:tcPr>
          <w:p w14:paraId="605F1D29" w14:textId="43238F9D"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14.4</w:t>
            </w:r>
          </w:p>
        </w:tc>
        <w:tc>
          <w:tcPr>
            <w:tcW w:w="630" w:type="dxa"/>
            <w:tcBorders>
              <w:top w:val="nil"/>
              <w:left w:val="nil"/>
              <w:bottom w:val="single" w:sz="4" w:space="0" w:color="auto"/>
              <w:right w:val="single" w:sz="4" w:space="0" w:color="auto"/>
            </w:tcBorders>
            <w:shd w:val="clear" w:color="auto" w:fill="auto"/>
            <w:noWrap/>
          </w:tcPr>
          <w:p w14:paraId="3BEE88B5" w14:textId="04B95A59"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11.8</w:t>
            </w:r>
          </w:p>
        </w:tc>
        <w:tc>
          <w:tcPr>
            <w:tcW w:w="630" w:type="dxa"/>
            <w:tcBorders>
              <w:top w:val="nil"/>
              <w:left w:val="nil"/>
              <w:bottom w:val="single" w:sz="4" w:space="0" w:color="auto"/>
              <w:right w:val="single" w:sz="4" w:space="0" w:color="auto"/>
            </w:tcBorders>
            <w:shd w:val="clear" w:color="auto" w:fill="auto"/>
            <w:noWrap/>
          </w:tcPr>
          <w:p w14:paraId="48FF674A" w14:textId="0133656E"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13.8</w:t>
            </w:r>
          </w:p>
        </w:tc>
        <w:tc>
          <w:tcPr>
            <w:tcW w:w="720" w:type="dxa"/>
            <w:tcBorders>
              <w:top w:val="nil"/>
              <w:left w:val="nil"/>
              <w:bottom w:val="single" w:sz="4" w:space="0" w:color="auto"/>
              <w:right w:val="single" w:sz="4" w:space="0" w:color="auto"/>
            </w:tcBorders>
            <w:shd w:val="clear" w:color="auto" w:fill="auto"/>
            <w:noWrap/>
          </w:tcPr>
          <w:p w14:paraId="092A4C11" w14:textId="08C22D2C"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13.9</w:t>
            </w:r>
          </w:p>
        </w:tc>
        <w:tc>
          <w:tcPr>
            <w:tcW w:w="720" w:type="dxa"/>
            <w:tcBorders>
              <w:top w:val="nil"/>
              <w:left w:val="nil"/>
              <w:bottom w:val="single" w:sz="4" w:space="0" w:color="auto"/>
              <w:right w:val="single" w:sz="4" w:space="0" w:color="auto"/>
            </w:tcBorders>
            <w:shd w:val="clear" w:color="auto" w:fill="auto"/>
            <w:noWrap/>
          </w:tcPr>
          <w:p w14:paraId="36B4D4E9" w14:textId="1ED84E9F"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15.2</w:t>
            </w:r>
          </w:p>
        </w:tc>
        <w:tc>
          <w:tcPr>
            <w:tcW w:w="720" w:type="dxa"/>
            <w:tcBorders>
              <w:top w:val="nil"/>
              <w:left w:val="nil"/>
              <w:bottom w:val="single" w:sz="4" w:space="0" w:color="auto"/>
              <w:right w:val="single" w:sz="4" w:space="0" w:color="auto"/>
            </w:tcBorders>
            <w:shd w:val="clear" w:color="auto" w:fill="auto"/>
            <w:noWrap/>
          </w:tcPr>
          <w:p w14:paraId="5258B2FA" w14:textId="006CBC47"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13.4</w:t>
            </w:r>
          </w:p>
        </w:tc>
        <w:tc>
          <w:tcPr>
            <w:tcW w:w="672" w:type="dxa"/>
            <w:tcBorders>
              <w:top w:val="nil"/>
              <w:left w:val="nil"/>
              <w:bottom w:val="single" w:sz="4" w:space="0" w:color="auto"/>
              <w:right w:val="single" w:sz="4" w:space="0" w:color="auto"/>
            </w:tcBorders>
            <w:shd w:val="clear" w:color="auto" w:fill="auto"/>
            <w:noWrap/>
          </w:tcPr>
          <w:p w14:paraId="2FD713D6" w14:textId="4A149AD3"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10.1</w:t>
            </w:r>
          </w:p>
        </w:tc>
        <w:tc>
          <w:tcPr>
            <w:tcW w:w="852" w:type="dxa"/>
            <w:tcBorders>
              <w:top w:val="nil"/>
              <w:left w:val="nil"/>
              <w:bottom w:val="single" w:sz="4" w:space="0" w:color="auto"/>
              <w:right w:val="single" w:sz="4" w:space="0" w:color="auto"/>
            </w:tcBorders>
            <w:shd w:val="clear" w:color="auto" w:fill="auto"/>
            <w:noWrap/>
          </w:tcPr>
          <w:p w14:paraId="6920CB9C" w14:textId="5B2407DD"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13.1</w:t>
            </w:r>
          </w:p>
        </w:tc>
      </w:tr>
      <w:tr w:rsidR="002D50FF" w:rsidRPr="00687EE7" w14:paraId="26658645" w14:textId="77777777" w:rsidTr="00B37EF2">
        <w:trPr>
          <w:trHeight w:val="44"/>
        </w:trPr>
        <w:tc>
          <w:tcPr>
            <w:tcW w:w="1808" w:type="dxa"/>
            <w:tcBorders>
              <w:top w:val="nil"/>
              <w:left w:val="single" w:sz="4" w:space="0" w:color="auto"/>
              <w:bottom w:val="single" w:sz="4" w:space="0" w:color="auto"/>
              <w:right w:val="single" w:sz="4" w:space="0" w:color="auto"/>
            </w:tcBorders>
            <w:shd w:val="clear" w:color="auto" w:fill="auto"/>
            <w:noWrap/>
          </w:tcPr>
          <w:p w14:paraId="12A86D09" w14:textId="67D5D939" w:rsidR="002D50FF" w:rsidRPr="00687EE7" w:rsidRDefault="002D50FF" w:rsidP="002D50FF">
            <w:pPr>
              <w:keepNext/>
              <w:bidi/>
              <w:jc w:val="left"/>
              <w:rPr>
                <w:sz w:val="18"/>
                <w:szCs w:val="18"/>
                <w:lang w:val="en-US" w:eastAsia="zh-CN" w:bidi="ar-LB"/>
              </w:rPr>
            </w:pPr>
            <w:r>
              <w:rPr>
                <w:sz w:val="18"/>
                <w:szCs w:val="18"/>
                <w:rtl/>
                <w:lang w:val="en-US" w:eastAsia="zh-CN" w:bidi="ar-LB"/>
              </w:rPr>
              <w:t>البنك الدولي</w:t>
            </w:r>
          </w:p>
        </w:tc>
        <w:tc>
          <w:tcPr>
            <w:tcW w:w="630" w:type="dxa"/>
            <w:tcBorders>
              <w:top w:val="nil"/>
              <w:left w:val="nil"/>
              <w:bottom w:val="single" w:sz="4" w:space="0" w:color="auto"/>
              <w:right w:val="single" w:sz="4" w:space="0" w:color="auto"/>
            </w:tcBorders>
            <w:shd w:val="clear" w:color="auto" w:fill="auto"/>
            <w:noWrap/>
          </w:tcPr>
          <w:p w14:paraId="626B9DA7" w14:textId="331CA55A" w:rsidR="002D50FF" w:rsidRPr="00687EE7" w:rsidRDefault="002D50FF" w:rsidP="002D50FF">
            <w:pPr>
              <w:keepNext/>
              <w:bidi/>
              <w:jc w:val="center"/>
              <w:rPr>
                <w:sz w:val="18"/>
                <w:szCs w:val="18"/>
                <w:lang w:val="en-US" w:eastAsia="zh-CN" w:bidi="ar-LB"/>
              </w:rPr>
            </w:pPr>
            <w:r w:rsidRPr="00687EE7">
              <w:rPr>
                <w:sz w:val="18"/>
                <w:szCs w:val="18"/>
                <w:lang w:val="en-US" w:eastAsia="zh-CN" w:bidi="ar-LB"/>
              </w:rPr>
              <w:t>8.6</w:t>
            </w:r>
          </w:p>
        </w:tc>
        <w:tc>
          <w:tcPr>
            <w:tcW w:w="720" w:type="dxa"/>
            <w:tcBorders>
              <w:top w:val="nil"/>
              <w:left w:val="nil"/>
              <w:bottom w:val="single" w:sz="4" w:space="0" w:color="auto"/>
              <w:right w:val="single" w:sz="4" w:space="0" w:color="auto"/>
            </w:tcBorders>
            <w:shd w:val="clear" w:color="auto" w:fill="auto"/>
            <w:noWrap/>
          </w:tcPr>
          <w:p w14:paraId="558BF006" w14:textId="3EBC84D4"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10.0</w:t>
            </w:r>
          </w:p>
        </w:tc>
        <w:tc>
          <w:tcPr>
            <w:tcW w:w="720" w:type="dxa"/>
            <w:tcBorders>
              <w:top w:val="nil"/>
              <w:left w:val="nil"/>
              <w:bottom w:val="single" w:sz="4" w:space="0" w:color="auto"/>
              <w:right w:val="single" w:sz="4" w:space="0" w:color="auto"/>
            </w:tcBorders>
            <w:shd w:val="clear" w:color="auto" w:fill="auto"/>
            <w:noWrap/>
          </w:tcPr>
          <w:p w14:paraId="748406A5" w14:textId="071A988B" w:rsidR="002D50FF" w:rsidRPr="00687EE7" w:rsidRDefault="002D50FF" w:rsidP="002D50FF">
            <w:pPr>
              <w:keepNext/>
              <w:bidi/>
              <w:jc w:val="center"/>
              <w:rPr>
                <w:sz w:val="18"/>
                <w:szCs w:val="18"/>
                <w:lang w:val="en-US" w:eastAsia="zh-CN" w:bidi="ar-LB"/>
              </w:rPr>
            </w:pPr>
            <w:r w:rsidRPr="00687EE7">
              <w:rPr>
                <w:sz w:val="18"/>
                <w:szCs w:val="18"/>
                <w:lang w:val="en-US" w:eastAsia="zh-CN" w:bidi="ar-LB"/>
              </w:rPr>
              <w:t>9.9</w:t>
            </w:r>
          </w:p>
        </w:tc>
        <w:tc>
          <w:tcPr>
            <w:tcW w:w="720" w:type="dxa"/>
            <w:tcBorders>
              <w:top w:val="nil"/>
              <w:left w:val="nil"/>
              <w:bottom w:val="single" w:sz="4" w:space="0" w:color="auto"/>
              <w:right w:val="single" w:sz="4" w:space="0" w:color="auto"/>
            </w:tcBorders>
            <w:shd w:val="clear" w:color="auto" w:fill="auto"/>
            <w:noWrap/>
          </w:tcPr>
          <w:p w14:paraId="07FFDA70" w14:textId="0D5E5253"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10.2</w:t>
            </w:r>
          </w:p>
        </w:tc>
        <w:tc>
          <w:tcPr>
            <w:tcW w:w="630" w:type="dxa"/>
            <w:tcBorders>
              <w:top w:val="nil"/>
              <w:left w:val="nil"/>
              <w:bottom w:val="single" w:sz="4" w:space="0" w:color="auto"/>
              <w:right w:val="single" w:sz="4" w:space="0" w:color="auto"/>
            </w:tcBorders>
            <w:shd w:val="clear" w:color="auto" w:fill="auto"/>
            <w:noWrap/>
          </w:tcPr>
          <w:p w14:paraId="7D6B9CC7" w14:textId="7DC08EC7"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13.4</w:t>
            </w:r>
          </w:p>
        </w:tc>
        <w:tc>
          <w:tcPr>
            <w:tcW w:w="630" w:type="dxa"/>
            <w:tcBorders>
              <w:top w:val="nil"/>
              <w:left w:val="nil"/>
              <w:bottom w:val="single" w:sz="4" w:space="0" w:color="auto"/>
              <w:right w:val="single" w:sz="4" w:space="0" w:color="auto"/>
            </w:tcBorders>
            <w:shd w:val="clear" w:color="auto" w:fill="auto"/>
            <w:noWrap/>
          </w:tcPr>
          <w:p w14:paraId="246A70EF" w14:textId="2BDFA1E3"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11.0</w:t>
            </w:r>
          </w:p>
        </w:tc>
        <w:tc>
          <w:tcPr>
            <w:tcW w:w="720" w:type="dxa"/>
            <w:tcBorders>
              <w:top w:val="nil"/>
              <w:left w:val="nil"/>
              <w:bottom w:val="single" w:sz="4" w:space="0" w:color="auto"/>
              <w:right w:val="single" w:sz="4" w:space="0" w:color="auto"/>
            </w:tcBorders>
            <w:shd w:val="clear" w:color="auto" w:fill="auto"/>
            <w:noWrap/>
          </w:tcPr>
          <w:p w14:paraId="227B575E" w14:textId="16BFE7F9"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12.7</w:t>
            </w:r>
          </w:p>
        </w:tc>
        <w:tc>
          <w:tcPr>
            <w:tcW w:w="720" w:type="dxa"/>
            <w:tcBorders>
              <w:top w:val="nil"/>
              <w:left w:val="nil"/>
              <w:bottom w:val="single" w:sz="4" w:space="0" w:color="auto"/>
              <w:right w:val="single" w:sz="4" w:space="0" w:color="auto"/>
            </w:tcBorders>
            <w:shd w:val="clear" w:color="auto" w:fill="auto"/>
            <w:noWrap/>
          </w:tcPr>
          <w:p w14:paraId="70D3831E" w14:textId="4FB6CDF2" w:rsidR="002D50FF" w:rsidRPr="00687EE7" w:rsidRDefault="002D50FF" w:rsidP="002D50FF">
            <w:pPr>
              <w:keepNext/>
              <w:bidi/>
              <w:jc w:val="center"/>
              <w:rPr>
                <w:sz w:val="18"/>
                <w:szCs w:val="18"/>
                <w:lang w:val="en-US" w:eastAsia="zh-CN" w:bidi="ar-LB"/>
              </w:rPr>
            </w:pPr>
            <w:r w:rsidRPr="00687EE7">
              <w:rPr>
                <w:sz w:val="18"/>
                <w:szCs w:val="18"/>
                <w:lang w:val="en-US" w:eastAsia="zh-CN" w:bidi="ar-LB"/>
              </w:rPr>
              <w:t>20.1</w:t>
            </w:r>
          </w:p>
        </w:tc>
        <w:tc>
          <w:tcPr>
            <w:tcW w:w="720" w:type="dxa"/>
            <w:tcBorders>
              <w:top w:val="nil"/>
              <w:left w:val="nil"/>
              <w:bottom w:val="single" w:sz="4" w:space="0" w:color="auto"/>
              <w:right w:val="single" w:sz="4" w:space="0" w:color="auto"/>
            </w:tcBorders>
            <w:shd w:val="clear" w:color="auto" w:fill="auto"/>
            <w:noWrap/>
          </w:tcPr>
          <w:p w14:paraId="7D5A0B28" w14:textId="48E6B0FA"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17.1</w:t>
            </w:r>
          </w:p>
        </w:tc>
        <w:tc>
          <w:tcPr>
            <w:tcW w:w="672" w:type="dxa"/>
            <w:tcBorders>
              <w:top w:val="nil"/>
              <w:left w:val="nil"/>
              <w:bottom w:val="single" w:sz="4" w:space="0" w:color="auto"/>
              <w:right w:val="single" w:sz="4" w:space="0" w:color="auto"/>
            </w:tcBorders>
            <w:shd w:val="clear" w:color="auto" w:fill="auto"/>
            <w:noWrap/>
          </w:tcPr>
          <w:p w14:paraId="026B0814" w14:textId="53D8A87C"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12.7</w:t>
            </w:r>
          </w:p>
        </w:tc>
        <w:tc>
          <w:tcPr>
            <w:tcW w:w="852" w:type="dxa"/>
            <w:tcBorders>
              <w:top w:val="nil"/>
              <w:left w:val="nil"/>
              <w:bottom w:val="single" w:sz="4" w:space="0" w:color="auto"/>
              <w:right w:val="single" w:sz="4" w:space="0" w:color="auto"/>
            </w:tcBorders>
            <w:shd w:val="clear" w:color="auto" w:fill="auto"/>
            <w:noWrap/>
          </w:tcPr>
          <w:p w14:paraId="5F219532" w14:textId="427EC3B6" w:rsidR="002D50FF" w:rsidRPr="00687EE7" w:rsidRDefault="002D50FF" w:rsidP="002D50FF">
            <w:pPr>
              <w:keepNext/>
              <w:bidi/>
              <w:jc w:val="center"/>
              <w:rPr>
                <w:sz w:val="18"/>
                <w:szCs w:val="18"/>
                <w:lang w:val="en-US" w:eastAsia="zh-CN" w:bidi="ar-LB"/>
              </w:rPr>
            </w:pPr>
            <w:r w:rsidRPr="00687EE7">
              <w:rPr>
                <w:sz w:val="18"/>
                <w:szCs w:val="18"/>
                <w:lang w:val="en-US" w:eastAsia="zh-CN" w:bidi="ar-LB"/>
              </w:rPr>
              <w:t>10.8</w:t>
            </w:r>
          </w:p>
        </w:tc>
      </w:tr>
      <w:tr w:rsidR="002D50FF" w:rsidRPr="00687EE7" w14:paraId="29D83844" w14:textId="77777777" w:rsidTr="00B37EF2">
        <w:trPr>
          <w:trHeight w:val="53"/>
        </w:trPr>
        <w:tc>
          <w:tcPr>
            <w:tcW w:w="1808" w:type="dxa"/>
            <w:tcBorders>
              <w:top w:val="nil"/>
              <w:left w:val="single" w:sz="4" w:space="0" w:color="auto"/>
              <w:bottom w:val="single" w:sz="4" w:space="0" w:color="auto"/>
              <w:right w:val="single" w:sz="4" w:space="0" w:color="auto"/>
            </w:tcBorders>
            <w:shd w:val="clear" w:color="auto" w:fill="auto"/>
            <w:noWrap/>
            <w:hideMark/>
          </w:tcPr>
          <w:p w14:paraId="1FDCCD26" w14:textId="02D4766E" w:rsidR="002D50FF" w:rsidRPr="00687EE7" w:rsidRDefault="002D50FF" w:rsidP="002D50FF">
            <w:pPr>
              <w:keepNext/>
              <w:bidi/>
              <w:ind w:right="-197"/>
              <w:jc w:val="left"/>
              <w:rPr>
                <w:sz w:val="18"/>
                <w:szCs w:val="18"/>
                <w:lang w:val="en-US" w:eastAsia="zh-CN" w:bidi="ar-LB"/>
              </w:rPr>
            </w:pPr>
            <w:r>
              <w:rPr>
                <w:sz w:val="18"/>
                <w:szCs w:val="18"/>
                <w:rtl/>
                <w:lang w:val="en-US" w:eastAsia="zh-CN" w:bidi="ar-LB"/>
              </w:rPr>
              <w:t>التحقق من إدارة إزالة المواد الهدروكلوروفلوروكربونية</w:t>
            </w:r>
          </w:p>
        </w:tc>
        <w:tc>
          <w:tcPr>
            <w:tcW w:w="630" w:type="dxa"/>
            <w:tcBorders>
              <w:top w:val="nil"/>
              <w:left w:val="nil"/>
              <w:bottom w:val="single" w:sz="4" w:space="0" w:color="auto"/>
              <w:right w:val="single" w:sz="4" w:space="0" w:color="auto"/>
            </w:tcBorders>
            <w:shd w:val="clear" w:color="auto" w:fill="auto"/>
            <w:noWrap/>
            <w:hideMark/>
          </w:tcPr>
          <w:p w14:paraId="74B6FA9A" w14:textId="77777777" w:rsidR="002D50FF" w:rsidRPr="00687EE7" w:rsidRDefault="002D50FF" w:rsidP="002D50FF">
            <w:pPr>
              <w:keepNext/>
              <w:bidi/>
              <w:jc w:val="center"/>
              <w:rPr>
                <w:sz w:val="18"/>
                <w:szCs w:val="18"/>
                <w:lang w:val="en-US" w:eastAsia="zh-CN" w:bidi="ar-LB"/>
              </w:rPr>
            </w:pPr>
          </w:p>
        </w:tc>
        <w:tc>
          <w:tcPr>
            <w:tcW w:w="720" w:type="dxa"/>
            <w:tcBorders>
              <w:top w:val="nil"/>
              <w:left w:val="nil"/>
              <w:bottom w:val="single" w:sz="4" w:space="0" w:color="auto"/>
              <w:right w:val="single" w:sz="4" w:space="0" w:color="auto"/>
            </w:tcBorders>
            <w:shd w:val="clear" w:color="auto" w:fill="auto"/>
            <w:noWrap/>
            <w:hideMark/>
          </w:tcPr>
          <w:p w14:paraId="2AB8D0F2" w14:textId="77777777" w:rsidR="002D50FF" w:rsidRPr="00687EE7" w:rsidRDefault="002D50FF" w:rsidP="002D50FF">
            <w:pPr>
              <w:keepNext/>
              <w:bidi/>
              <w:jc w:val="center"/>
              <w:rPr>
                <w:sz w:val="18"/>
                <w:szCs w:val="18"/>
                <w:lang w:val="en-US" w:eastAsia="zh-CN" w:bidi="ar-LB"/>
              </w:rPr>
            </w:pPr>
          </w:p>
        </w:tc>
        <w:tc>
          <w:tcPr>
            <w:tcW w:w="720" w:type="dxa"/>
            <w:tcBorders>
              <w:top w:val="nil"/>
              <w:left w:val="nil"/>
              <w:bottom w:val="single" w:sz="4" w:space="0" w:color="auto"/>
              <w:right w:val="single" w:sz="4" w:space="0" w:color="auto"/>
            </w:tcBorders>
            <w:shd w:val="clear" w:color="auto" w:fill="auto"/>
            <w:noWrap/>
            <w:hideMark/>
          </w:tcPr>
          <w:p w14:paraId="0F349614" w14:textId="77777777" w:rsidR="002D50FF" w:rsidRPr="00687EE7" w:rsidRDefault="002D50FF" w:rsidP="002D50FF">
            <w:pPr>
              <w:keepNext/>
              <w:bidi/>
              <w:jc w:val="center"/>
              <w:rPr>
                <w:sz w:val="18"/>
                <w:szCs w:val="18"/>
                <w:lang w:val="en-US" w:eastAsia="zh-CN" w:bidi="ar-LB"/>
              </w:rPr>
            </w:pPr>
          </w:p>
        </w:tc>
        <w:tc>
          <w:tcPr>
            <w:tcW w:w="720" w:type="dxa"/>
            <w:tcBorders>
              <w:top w:val="nil"/>
              <w:left w:val="nil"/>
              <w:bottom w:val="single" w:sz="4" w:space="0" w:color="auto"/>
              <w:right w:val="single" w:sz="4" w:space="0" w:color="auto"/>
            </w:tcBorders>
            <w:shd w:val="clear" w:color="auto" w:fill="auto"/>
            <w:noWrap/>
            <w:hideMark/>
          </w:tcPr>
          <w:p w14:paraId="6F6E3FA6" w14:textId="77777777" w:rsidR="002D50FF" w:rsidRPr="00687EE7" w:rsidRDefault="002D50FF" w:rsidP="002D50FF">
            <w:pPr>
              <w:keepNext/>
              <w:bidi/>
              <w:jc w:val="center"/>
              <w:rPr>
                <w:sz w:val="18"/>
                <w:szCs w:val="18"/>
                <w:lang w:val="en-US" w:eastAsia="zh-CN" w:bidi="ar-LB"/>
              </w:rPr>
            </w:pPr>
          </w:p>
        </w:tc>
        <w:tc>
          <w:tcPr>
            <w:tcW w:w="630" w:type="dxa"/>
            <w:tcBorders>
              <w:top w:val="nil"/>
              <w:left w:val="nil"/>
              <w:bottom w:val="single" w:sz="4" w:space="0" w:color="auto"/>
              <w:right w:val="single" w:sz="4" w:space="0" w:color="auto"/>
            </w:tcBorders>
            <w:shd w:val="clear" w:color="auto" w:fill="auto"/>
            <w:noWrap/>
            <w:hideMark/>
          </w:tcPr>
          <w:p w14:paraId="738CC0F5" w14:textId="77777777" w:rsidR="002D50FF" w:rsidRPr="00687EE7" w:rsidRDefault="002D50FF" w:rsidP="002D50FF">
            <w:pPr>
              <w:keepNext/>
              <w:bidi/>
              <w:jc w:val="center"/>
              <w:rPr>
                <w:sz w:val="18"/>
                <w:szCs w:val="18"/>
                <w:lang w:val="en-US" w:eastAsia="zh-CN" w:bidi="ar-LB"/>
              </w:rPr>
            </w:pPr>
          </w:p>
        </w:tc>
        <w:tc>
          <w:tcPr>
            <w:tcW w:w="630" w:type="dxa"/>
            <w:tcBorders>
              <w:top w:val="nil"/>
              <w:left w:val="nil"/>
              <w:bottom w:val="single" w:sz="4" w:space="0" w:color="auto"/>
              <w:right w:val="single" w:sz="4" w:space="0" w:color="auto"/>
            </w:tcBorders>
            <w:shd w:val="clear" w:color="auto" w:fill="auto"/>
            <w:noWrap/>
            <w:hideMark/>
          </w:tcPr>
          <w:p w14:paraId="79D3685E" w14:textId="77777777" w:rsidR="002D50FF" w:rsidRPr="00687EE7" w:rsidRDefault="002D50FF" w:rsidP="002D50FF">
            <w:pPr>
              <w:keepNext/>
              <w:bidi/>
              <w:jc w:val="center"/>
              <w:rPr>
                <w:sz w:val="18"/>
                <w:szCs w:val="18"/>
                <w:lang w:val="en-US" w:eastAsia="zh-CN" w:bidi="ar-LB"/>
              </w:rPr>
            </w:pPr>
          </w:p>
        </w:tc>
        <w:tc>
          <w:tcPr>
            <w:tcW w:w="720" w:type="dxa"/>
            <w:tcBorders>
              <w:top w:val="nil"/>
              <w:left w:val="nil"/>
              <w:bottom w:val="single" w:sz="4" w:space="0" w:color="auto"/>
              <w:right w:val="single" w:sz="4" w:space="0" w:color="auto"/>
            </w:tcBorders>
            <w:shd w:val="clear" w:color="auto" w:fill="auto"/>
            <w:noWrap/>
            <w:hideMark/>
          </w:tcPr>
          <w:p w14:paraId="3E57D79C" w14:textId="77777777" w:rsidR="002D50FF" w:rsidRPr="00687EE7" w:rsidRDefault="002D50FF" w:rsidP="002D50FF">
            <w:pPr>
              <w:keepNext/>
              <w:bidi/>
              <w:jc w:val="center"/>
              <w:rPr>
                <w:sz w:val="18"/>
                <w:szCs w:val="18"/>
                <w:lang w:val="en-US" w:eastAsia="zh-CN" w:bidi="ar-LB"/>
              </w:rPr>
            </w:pPr>
          </w:p>
        </w:tc>
        <w:tc>
          <w:tcPr>
            <w:tcW w:w="720" w:type="dxa"/>
            <w:tcBorders>
              <w:top w:val="nil"/>
              <w:left w:val="nil"/>
              <w:bottom w:val="single" w:sz="4" w:space="0" w:color="auto"/>
              <w:right w:val="single" w:sz="4" w:space="0" w:color="auto"/>
            </w:tcBorders>
            <w:shd w:val="clear" w:color="auto" w:fill="auto"/>
            <w:noWrap/>
            <w:hideMark/>
          </w:tcPr>
          <w:p w14:paraId="4AF74015" w14:textId="77777777" w:rsidR="002D50FF" w:rsidRPr="00687EE7" w:rsidRDefault="002D50FF" w:rsidP="002D50FF">
            <w:pPr>
              <w:keepNext/>
              <w:bidi/>
              <w:jc w:val="center"/>
              <w:rPr>
                <w:sz w:val="18"/>
                <w:szCs w:val="18"/>
                <w:lang w:val="en-US" w:eastAsia="zh-CN" w:bidi="ar-LB"/>
              </w:rPr>
            </w:pPr>
          </w:p>
        </w:tc>
        <w:tc>
          <w:tcPr>
            <w:tcW w:w="720" w:type="dxa"/>
            <w:tcBorders>
              <w:top w:val="nil"/>
              <w:left w:val="nil"/>
              <w:bottom w:val="single" w:sz="4" w:space="0" w:color="auto"/>
              <w:right w:val="single" w:sz="4" w:space="0" w:color="auto"/>
            </w:tcBorders>
            <w:shd w:val="clear" w:color="auto" w:fill="auto"/>
            <w:noWrap/>
            <w:hideMark/>
          </w:tcPr>
          <w:p w14:paraId="0A623941" w14:textId="77777777" w:rsidR="002D50FF" w:rsidRPr="00687EE7" w:rsidRDefault="002D50FF" w:rsidP="002D50FF">
            <w:pPr>
              <w:keepNext/>
              <w:bidi/>
              <w:jc w:val="center"/>
              <w:rPr>
                <w:sz w:val="18"/>
                <w:szCs w:val="18"/>
                <w:lang w:val="en-US" w:eastAsia="zh-CN" w:bidi="ar-LB"/>
              </w:rPr>
            </w:pPr>
          </w:p>
        </w:tc>
        <w:tc>
          <w:tcPr>
            <w:tcW w:w="672" w:type="dxa"/>
            <w:tcBorders>
              <w:top w:val="nil"/>
              <w:left w:val="nil"/>
              <w:bottom w:val="single" w:sz="4" w:space="0" w:color="auto"/>
              <w:right w:val="single" w:sz="4" w:space="0" w:color="auto"/>
            </w:tcBorders>
            <w:shd w:val="clear" w:color="auto" w:fill="auto"/>
            <w:noWrap/>
          </w:tcPr>
          <w:p w14:paraId="753B1AFF" w14:textId="37D9AFC9" w:rsidR="002D50FF" w:rsidRPr="00687EE7" w:rsidRDefault="002D50FF" w:rsidP="002D50FF">
            <w:pPr>
              <w:keepNext/>
              <w:bidi/>
              <w:jc w:val="center"/>
              <w:rPr>
                <w:sz w:val="18"/>
                <w:szCs w:val="18"/>
                <w:lang w:val="en-US" w:eastAsia="zh-CN" w:bidi="ar-LB"/>
              </w:rPr>
            </w:pPr>
            <w:r w:rsidRPr="00687EE7">
              <w:rPr>
                <w:sz w:val="18"/>
                <w:szCs w:val="18"/>
                <w:lang w:val="en-US" w:eastAsia="zh-CN" w:bidi="ar-LB"/>
              </w:rPr>
              <w:t>9.0</w:t>
            </w:r>
          </w:p>
        </w:tc>
        <w:tc>
          <w:tcPr>
            <w:tcW w:w="852" w:type="dxa"/>
            <w:tcBorders>
              <w:top w:val="nil"/>
              <w:left w:val="nil"/>
              <w:bottom w:val="single" w:sz="4" w:space="0" w:color="auto"/>
              <w:right w:val="single" w:sz="4" w:space="0" w:color="auto"/>
            </w:tcBorders>
            <w:shd w:val="clear" w:color="auto" w:fill="auto"/>
            <w:noWrap/>
          </w:tcPr>
          <w:p w14:paraId="7787A52A" w14:textId="7B91EA46" w:rsidR="002D50FF" w:rsidRPr="00687EE7" w:rsidRDefault="002D50FF" w:rsidP="002D50FF">
            <w:pPr>
              <w:keepNext/>
              <w:bidi/>
              <w:jc w:val="center"/>
              <w:rPr>
                <w:sz w:val="18"/>
                <w:szCs w:val="18"/>
                <w:lang w:val="en-US" w:eastAsia="zh-CN" w:bidi="ar-LB"/>
              </w:rPr>
            </w:pPr>
            <w:r w:rsidRPr="00687EE7">
              <w:rPr>
                <w:sz w:val="18"/>
                <w:szCs w:val="18"/>
                <w:lang w:val="en-US" w:eastAsia="zh-CN" w:bidi="ar-LB"/>
              </w:rPr>
              <w:t>9.0</w:t>
            </w:r>
          </w:p>
        </w:tc>
      </w:tr>
      <w:tr w:rsidR="002D50FF" w:rsidRPr="00687EE7" w14:paraId="20BC157B" w14:textId="77777777" w:rsidTr="00B37EF2">
        <w:trPr>
          <w:trHeight w:val="44"/>
        </w:trPr>
        <w:tc>
          <w:tcPr>
            <w:tcW w:w="1808" w:type="dxa"/>
            <w:tcBorders>
              <w:top w:val="nil"/>
              <w:left w:val="single" w:sz="4" w:space="0" w:color="auto"/>
              <w:bottom w:val="single" w:sz="4" w:space="0" w:color="auto"/>
              <w:right w:val="single" w:sz="4" w:space="0" w:color="auto"/>
            </w:tcBorders>
            <w:shd w:val="clear" w:color="auto" w:fill="auto"/>
            <w:noWrap/>
            <w:hideMark/>
          </w:tcPr>
          <w:p w14:paraId="66F353DB" w14:textId="31321032" w:rsidR="002D50FF" w:rsidRPr="00687EE7" w:rsidRDefault="002D50FF" w:rsidP="002D50FF">
            <w:pPr>
              <w:keepNext/>
              <w:bidi/>
              <w:jc w:val="left"/>
              <w:rPr>
                <w:b/>
                <w:bCs/>
                <w:sz w:val="18"/>
                <w:szCs w:val="18"/>
                <w:lang w:val="en-US" w:eastAsia="zh-CN" w:bidi="ar-LB"/>
              </w:rPr>
            </w:pPr>
            <w:r>
              <w:rPr>
                <w:b/>
                <w:bCs/>
                <w:sz w:val="18"/>
                <w:szCs w:val="18"/>
                <w:rtl/>
                <w:lang w:val="en-US" w:eastAsia="zh-CN" w:bidi="ar-LB"/>
              </w:rPr>
              <w:t>المجموع</w:t>
            </w:r>
          </w:p>
        </w:tc>
        <w:tc>
          <w:tcPr>
            <w:tcW w:w="630" w:type="dxa"/>
            <w:tcBorders>
              <w:top w:val="nil"/>
              <w:left w:val="nil"/>
              <w:bottom w:val="single" w:sz="4" w:space="0" w:color="auto"/>
              <w:right w:val="single" w:sz="4" w:space="0" w:color="auto"/>
            </w:tcBorders>
            <w:shd w:val="clear" w:color="auto" w:fill="auto"/>
            <w:noWrap/>
          </w:tcPr>
          <w:p w14:paraId="1FE4D985" w14:textId="4104C443" w:rsidR="002D50FF" w:rsidRPr="00687EE7" w:rsidRDefault="002D50FF" w:rsidP="002D50FF">
            <w:pPr>
              <w:keepNext/>
              <w:bidi/>
              <w:jc w:val="center"/>
              <w:rPr>
                <w:b/>
                <w:bCs/>
                <w:sz w:val="18"/>
                <w:szCs w:val="18"/>
                <w:lang w:val="en-US" w:eastAsia="zh-CN" w:bidi="ar-LB"/>
              </w:rPr>
            </w:pPr>
            <w:r w:rsidRPr="00687EE7">
              <w:rPr>
                <w:b/>
                <w:bCs/>
                <w:sz w:val="18"/>
                <w:szCs w:val="18"/>
                <w:lang w:val="en-US" w:eastAsia="zh-CN" w:bidi="ar-LB"/>
              </w:rPr>
              <w:t>10.7</w:t>
            </w:r>
          </w:p>
        </w:tc>
        <w:tc>
          <w:tcPr>
            <w:tcW w:w="720" w:type="dxa"/>
            <w:tcBorders>
              <w:top w:val="nil"/>
              <w:left w:val="nil"/>
              <w:bottom w:val="single" w:sz="4" w:space="0" w:color="auto"/>
              <w:right w:val="single" w:sz="4" w:space="0" w:color="auto"/>
            </w:tcBorders>
            <w:shd w:val="clear" w:color="auto" w:fill="auto"/>
            <w:noWrap/>
          </w:tcPr>
          <w:p w14:paraId="29797871" w14:textId="24AE99E5" w:rsidR="002D50FF" w:rsidRPr="00687EE7" w:rsidRDefault="002D50FF" w:rsidP="002D50FF">
            <w:pPr>
              <w:keepNext/>
              <w:bidi/>
              <w:jc w:val="center"/>
              <w:rPr>
                <w:b/>
                <w:bCs/>
                <w:sz w:val="18"/>
                <w:szCs w:val="18"/>
                <w:lang w:val="en-US" w:eastAsia="zh-CN" w:bidi="ar-LB"/>
              </w:rPr>
            </w:pPr>
            <w:r w:rsidRPr="00687EE7">
              <w:rPr>
                <w:b/>
                <w:bCs/>
                <w:sz w:val="18"/>
                <w:szCs w:val="18"/>
                <w:lang w:val="en-US" w:eastAsia="zh-CN" w:bidi="ar-LB"/>
              </w:rPr>
              <w:t>11.6</w:t>
            </w:r>
          </w:p>
        </w:tc>
        <w:tc>
          <w:tcPr>
            <w:tcW w:w="720" w:type="dxa"/>
            <w:tcBorders>
              <w:top w:val="nil"/>
              <w:left w:val="nil"/>
              <w:bottom w:val="single" w:sz="4" w:space="0" w:color="auto"/>
              <w:right w:val="single" w:sz="4" w:space="0" w:color="auto"/>
            </w:tcBorders>
            <w:shd w:val="clear" w:color="auto" w:fill="auto"/>
            <w:noWrap/>
          </w:tcPr>
          <w:p w14:paraId="340E5893" w14:textId="5408A252" w:rsidR="002D50FF" w:rsidRPr="00687EE7" w:rsidRDefault="002D50FF" w:rsidP="002D50FF">
            <w:pPr>
              <w:keepNext/>
              <w:bidi/>
              <w:jc w:val="center"/>
              <w:rPr>
                <w:b/>
                <w:bCs/>
                <w:sz w:val="18"/>
                <w:szCs w:val="18"/>
                <w:lang w:val="en-US" w:eastAsia="zh-CN" w:bidi="ar-LB"/>
              </w:rPr>
            </w:pPr>
            <w:r w:rsidRPr="00687EE7">
              <w:rPr>
                <w:b/>
                <w:bCs/>
                <w:sz w:val="18"/>
                <w:szCs w:val="18"/>
                <w:lang w:val="en-US" w:eastAsia="zh-CN" w:bidi="ar-LB"/>
              </w:rPr>
              <w:t>10.8</w:t>
            </w:r>
          </w:p>
        </w:tc>
        <w:tc>
          <w:tcPr>
            <w:tcW w:w="720" w:type="dxa"/>
            <w:tcBorders>
              <w:top w:val="nil"/>
              <w:left w:val="nil"/>
              <w:bottom w:val="single" w:sz="4" w:space="0" w:color="auto"/>
              <w:right w:val="single" w:sz="4" w:space="0" w:color="auto"/>
            </w:tcBorders>
            <w:shd w:val="clear" w:color="auto" w:fill="auto"/>
            <w:noWrap/>
          </w:tcPr>
          <w:p w14:paraId="2568CADB" w14:textId="6AD92D1E" w:rsidR="002D50FF" w:rsidRPr="00687EE7" w:rsidRDefault="002D50FF" w:rsidP="002D50FF">
            <w:pPr>
              <w:keepNext/>
              <w:bidi/>
              <w:jc w:val="center"/>
              <w:rPr>
                <w:b/>
                <w:bCs/>
                <w:sz w:val="18"/>
                <w:szCs w:val="18"/>
                <w:lang w:val="en-US" w:eastAsia="zh-CN" w:bidi="ar-LB"/>
              </w:rPr>
            </w:pPr>
            <w:r w:rsidRPr="00687EE7">
              <w:rPr>
                <w:b/>
                <w:bCs/>
                <w:sz w:val="18"/>
                <w:szCs w:val="18"/>
                <w:lang w:val="en-US" w:eastAsia="zh-CN" w:bidi="ar-LB"/>
              </w:rPr>
              <w:t>12.1</w:t>
            </w:r>
          </w:p>
        </w:tc>
        <w:tc>
          <w:tcPr>
            <w:tcW w:w="630" w:type="dxa"/>
            <w:tcBorders>
              <w:top w:val="nil"/>
              <w:left w:val="nil"/>
              <w:bottom w:val="single" w:sz="4" w:space="0" w:color="auto"/>
              <w:right w:val="single" w:sz="4" w:space="0" w:color="auto"/>
            </w:tcBorders>
            <w:shd w:val="clear" w:color="auto" w:fill="auto"/>
            <w:noWrap/>
          </w:tcPr>
          <w:p w14:paraId="403B0A07" w14:textId="558D8001" w:rsidR="002D50FF" w:rsidRPr="00687EE7" w:rsidRDefault="002D50FF" w:rsidP="002D50FF">
            <w:pPr>
              <w:keepNext/>
              <w:bidi/>
              <w:jc w:val="center"/>
              <w:rPr>
                <w:b/>
                <w:bCs/>
                <w:sz w:val="18"/>
                <w:szCs w:val="18"/>
                <w:lang w:val="en-US" w:eastAsia="zh-CN" w:bidi="ar-LB"/>
              </w:rPr>
            </w:pPr>
            <w:r w:rsidRPr="00687EE7">
              <w:rPr>
                <w:b/>
                <w:bCs/>
                <w:sz w:val="18"/>
                <w:szCs w:val="18"/>
                <w:lang w:val="en-US" w:eastAsia="zh-CN" w:bidi="ar-LB"/>
              </w:rPr>
              <w:t>12.1</w:t>
            </w:r>
          </w:p>
        </w:tc>
        <w:tc>
          <w:tcPr>
            <w:tcW w:w="630" w:type="dxa"/>
            <w:tcBorders>
              <w:top w:val="nil"/>
              <w:left w:val="nil"/>
              <w:bottom w:val="single" w:sz="4" w:space="0" w:color="auto"/>
              <w:right w:val="single" w:sz="4" w:space="0" w:color="auto"/>
            </w:tcBorders>
            <w:shd w:val="clear" w:color="auto" w:fill="auto"/>
            <w:noWrap/>
          </w:tcPr>
          <w:p w14:paraId="33FC798C" w14:textId="012D73A5" w:rsidR="002D50FF" w:rsidRPr="00687EE7" w:rsidRDefault="002D50FF" w:rsidP="002D50FF">
            <w:pPr>
              <w:keepNext/>
              <w:bidi/>
              <w:jc w:val="center"/>
              <w:rPr>
                <w:b/>
                <w:bCs/>
                <w:sz w:val="18"/>
                <w:szCs w:val="18"/>
                <w:lang w:val="en-US" w:eastAsia="zh-CN" w:bidi="ar-LB"/>
              </w:rPr>
            </w:pPr>
            <w:r w:rsidRPr="00687EE7">
              <w:rPr>
                <w:b/>
                <w:bCs/>
                <w:sz w:val="18"/>
                <w:szCs w:val="18"/>
                <w:lang w:val="en-US" w:eastAsia="zh-CN" w:bidi="ar-LB"/>
              </w:rPr>
              <w:t>12.1</w:t>
            </w:r>
          </w:p>
        </w:tc>
        <w:tc>
          <w:tcPr>
            <w:tcW w:w="720" w:type="dxa"/>
            <w:tcBorders>
              <w:top w:val="nil"/>
              <w:left w:val="nil"/>
              <w:bottom w:val="single" w:sz="4" w:space="0" w:color="auto"/>
              <w:right w:val="single" w:sz="4" w:space="0" w:color="auto"/>
            </w:tcBorders>
            <w:shd w:val="clear" w:color="auto" w:fill="auto"/>
            <w:noWrap/>
          </w:tcPr>
          <w:p w14:paraId="77CFC2E0" w14:textId="4B09FA9C" w:rsidR="002D50FF" w:rsidRPr="00687EE7" w:rsidRDefault="002D50FF" w:rsidP="002D50FF">
            <w:pPr>
              <w:keepNext/>
              <w:bidi/>
              <w:jc w:val="center"/>
              <w:rPr>
                <w:b/>
                <w:bCs/>
                <w:sz w:val="18"/>
                <w:szCs w:val="18"/>
                <w:lang w:val="en-US" w:eastAsia="zh-CN" w:bidi="ar-LB"/>
              </w:rPr>
            </w:pPr>
            <w:r w:rsidRPr="00687EE7">
              <w:rPr>
                <w:b/>
                <w:bCs/>
                <w:sz w:val="18"/>
                <w:szCs w:val="18"/>
                <w:lang w:val="en-US" w:eastAsia="zh-CN" w:bidi="ar-LB"/>
              </w:rPr>
              <w:t>12.2</w:t>
            </w:r>
          </w:p>
        </w:tc>
        <w:tc>
          <w:tcPr>
            <w:tcW w:w="720" w:type="dxa"/>
            <w:tcBorders>
              <w:top w:val="nil"/>
              <w:left w:val="nil"/>
              <w:bottom w:val="single" w:sz="4" w:space="0" w:color="auto"/>
              <w:right w:val="single" w:sz="4" w:space="0" w:color="auto"/>
            </w:tcBorders>
            <w:shd w:val="clear" w:color="auto" w:fill="auto"/>
            <w:noWrap/>
          </w:tcPr>
          <w:p w14:paraId="78741577" w14:textId="23FCA9E8" w:rsidR="002D50FF" w:rsidRPr="00687EE7" w:rsidRDefault="002D50FF" w:rsidP="002D50FF">
            <w:pPr>
              <w:keepNext/>
              <w:bidi/>
              <w:jc w:val="center"/>
              <w:rPr>
                <w:b/>
                <w:bCs/>
                <w:sz w:val="18"/>
                <w:szCs w:val="18"/>
                <w:lang w:val="en-US" w:eastAsia="zh-CN" w:bidi="ar-LB"/>
              </w:rPr>
            </w:pPr>
            <w:r w:rsidRPr="00687EE7">
              <w:rPr>
                <w:b/>
                <w:bCs/>
                <w:sz w:val="18"/>
                <w:szCs w:val="18"/>
                <w:lang w:val="en-US" w:eastAsia="zh-CN" w:bidi="ar-LB"/>
              </w:rPr>
              <w:t>13.8</w:t>
            </w:r>
          </w:p>
        </w:tc>
        <w:tc>
          <w:tcPr>
            <w:tcW w:w="720" w:type="dxa"/>
            <w:tcBorders>
              <w:top w:val="nil"/>
              <w:left w:val="nil"/>
              <w:bottom w:val="single" w:sz="4" w:space="0" w:color="auto"/>
              <w:right w:val="single" w:sz="4" w:space="0" w:color="auto"/>
            </w:tcBorders>
            <w:shd w:val="clear" w:color="auto" w:fill="auto"/>
            <w:noWrap/>
          </w:tcPr>
          <w:p w14:paraId="18686D72" w14:textId="68E44863" w:rsidR="002D50FF" w:rsidRPr="00687EE7" w:rsidRDefault="002D50FF" w:rsidP="002D50FF">
            <w:pPr>
              <w:keepNext/>
              <w:bidi/>
              <w:jc w:val="center"/>
              <w:rPr>
                <w:b/>
                <w:bCs/>
                <w:sz w:val="18"/>
                <w:szCs w:val="18"/>
                <w:lang w:val="en-US" w:eastAsia="zh-CN" w:bidi="ar-LB"/>
              </w:rPr>
            </w:pPr>
            <w:r w:rsidRPr="00687EE7">
              <w:rPr>
                <w:b/>
                <w:bCs/>
                <w:sz w:val="18"/>
                <w:szCs w:val="18"/>
                <w:lang w:val="en-US" w:eastAsia="zh-CN" w:bidi="ar-LB"/>
              </w:rPr>
              <w:t>12.9</w:t>
            </w:r>
          </w:p>
        </w:tc>
        <w:tc>
          <w:tcPr>
            <w:tcW w:w="672" w:type="dxa"/>
            <w:tcBorders>
              <w:top w:val="nil"/>
              <w:left w:val="nil"/>
              <w:bottom w:val="single" w:sz="4" w:space="0" w:color="auto"/>
              <w:right w:val="single" w:sz="4" w:space="0" w:color="auto"/>
            </w:tcBorders>
            <w:shd w:val="clear" w:color="auto" w:fill="auto"/>
            <w:noWrap/>
          </w:tcPr>
          <w:p w14:paraId="793B6196" w14:textId="2FB7E78E" w:rsidR="002D50FF" w:rsidRPr="00687EE7" w:rsidRDefault="002D50FF" w:rsidP="002D50FF">
            <w:pPr>
              <w:keepNext/>
              <w:bidi/>
              <w:jc w:val="center"/>
              <w:rPr>
                <w:b/>
                <w:bCs/>
                <w:sz w:val="18"/>
                <w:szCs w:val="18"/>
                <w:lang w:val="en-US" w:eastAsia="zh-CN" w:bidi="ar-LB"/>
              </w:rPr>
            </w:pPr>
            <w:r w:rsidRPr="00687EE7">
              <w:rPr>
                <w:b/>
                <w:bCs/>
                <w:sz w:val="18"/>
                <w:szCs w:val="18"/>
                <w:lang w:val="en-US" w:eastAsia="zh-CN" w:bidi="ar-LB"/>
              </w:rPr>
              <w:t>12.1</w:t>
            </w:r>
          </w:p>
        </w:tc>
        <w:tc>
          <w:tcPr>
            <w:tcW w:w="852" w:type="dxa"/>
            <w:tcBorders>
              <w:top w:val="nil"/>
              <w:left w:val="nil"/>
              <w:bottom w:val="single" w:sz="4" w:space="0" w:color="auto"/>
              <w:right w:val="single" w:sz="4" w:space="0" w:color="auto"/>
            </w:tcBorders>
            <w:shd w:val="clear" w:color="auto" w:fill="auto"/>
            <w:noWrap/>
          </w:tcPr>
          <w:p w14:paraId="761BBA04" w14:textId="1E107AFF" w:rsidR="002D50FF" w:rsidRPr="00687EE7" w:rsidRDefault="002D50FF" w:rsidP="002D50FF">
            <w:pPr>
              <w:keepNext/>
              <w:bidi/>
              <w:jc w:val="center"/>
              <w:rPr>
                <w:b/>
                <w:bCs/>
                <w:sz w:val="18"/>
                <w:szCs w:val="18"/>
                <w:lang w:val="en-US" w:eastAsia="zh-CN" w:bidi="ar-LB"/>
              </w:rPr>
            </w:pPr>
            <w:r w:rsidRPr="00687EE7">
              <w:rPr>
                <w:b/>
                <w:bCs/>
                <w:sz w:val="18"/>
                <w:szCs w:val="18"/>
                <w:lang w:val="en-US" w:eastAsia="zh-CN" w:bidi="ar-LB"/>
              </w:rPr>
              <w:t>11.8</w:t>
            </w:r>
          </w:p>
        </w:tc>
      </w:tr>
    </w:tbl>
    <w:p w14:paraId="71FAFB7C" w14:textId="10F0D2E4" w:rsidR="00B37EF2" w:rsidRPr="001B2FB5" w:rsidRDefault="00B37EF2" w:rsidP="00B37EF2">
      <w:pPr>
        <w:bidi/>
        <w:rPr>
          <w:sz w:val="20"/>
          <w:szCs w:val="20"/>
          <w:rtl/>
          <w:lang w:bidi="ar-LB"/>
        </w:rPr>
      </w:pPr>
      <w:r w:rsidRPr="001B2FB5">
        <w:rPr>
          <w:sz w:val="20"/>
          <w:szCs w:val="20"/>
          <w:rtl/>
          <w:lang w:bidi="ar-LB"/>
        </w:rPr>
        <w:t>* بناءً على الموافقات الفعلية من الاجتماع السابع والثمانين إلى الاجتماع الثاني والتسعين والمقترحات المقدمة إلى الاجتماع الثالث والتسعين</w:t>
      </w:r>
    </w:p>
    <w:p w14:paraId="266CC257" w14:textId="0A19D7DE" w:rsidR="00BA128A" w:rsidRPr="001B2FB5" w:rsidRDefault="00BA128A" w:rsidP="00BA128A">
      <w:pPr>
        <w:bidi/>
        <w:rPr>
          <w:sz w:val="20"/>
          <w:szCs w:val="20"/>
          <w:lang w:bidi="ar-LB"/>
        </w:rPr>
      </w:pPr>
      <w:r w:rsidRPr="001B2FB5">
        <w:rPr>
          <w:sz w:val="20"/>
          <w:szCs w:val="20"/>
          <w:rtl/>
          <w:lang w:bidi="ar-LB"/>
        </w:rPr>
        <w:t xml:space="preserve">**بناءً على خطة </w:t>
      </w:r>
      <w:r w:rsidR="00006426" w:rsidRPr="001B2FB5">
        <w:rPr>
          <w:sz w:val="20"/>
          <w:szCs w:val="20"/>
          <w:rtl/>
          <w:lang w:bidi="ar-LB"/>
        </w:rPr>
        <w:t>الأعمال</w:t>
      </w:r>
      <w:r w:rsidRPr="001B2FB5">
        <w:rPr>
          <w:sz w:val="20"/>
          <w:szCs w:val="20"/>
          <w:rtl/>
          <w:lang w:bidi="ar-LB"/>
        </w:rPr>
        <w:t xml:space="preserve"> المجمعة للصندوق المتعدد الأطراف للفترة 2024-2026 (انظر الفقرة 4(أ) أعلاه).</w:t>
      </w:r>
    </w:p>
    <w:p w14:paraId="757703C0" w14:textId="77777777" w:rsidR="007F4FCC" w:rsidRPr="001B2FB5" w:rsidRDefault="007F4FCC" w:rsidP="00B37EF2">
      <w:pPr>
        <w:bidi/>
        <w:rPr>
          <w:sz w:val="20"/>
          <w:szCs w:val="20"/>
          <w:lang w:bidi="ar-LB"/>
        </w:rPr>
      </w:pPr>
    </w:p>
    <w:p w14:paraId="7614EE60" w14:textId="6E13DB83" w:rsidR="00BA128A" w:rsidRPr="00BA128A" w:rsidRDefault="00A82627" w:rsidP="00BA128A">
      <w:pPr>
        <w:pStyle w:val="Heading1"/>
        <w:bidi/>
        <w:spacing w:line="288" w:lineRule="auto"/>
        <w:rPr>
          <w:sz w:val="26"/>
          <w:szCs w:val="26"/>
          <w:lang w:val="en-US" w:bidi="ar-LB"/>
        </w:rPr>
      </w:pPr>
      <w:r w:rsidRPr="00A82627">
        <w:rPr>
          <w:sz w:val="26"/>
          <w:szCs w:val="26"/>
          <w:rtl/>
          <w:lang w:val="en-US" w:bidi="ar-LB"/>
        </w:rPr>
        <w:t xml:space="preserve">في فترات معينة وفيما يتعلق بوكالات منفذة محددة، كانت تكاليف دعم البرامج أعلى من 13 في </w:t>
      </w:r>
      <w:r w:rsidR="00793244">
        <w:rPr>
          <w:sz w:val="26"/>
          <w:szCs w:val="26"/>
          <w:rtl/>
          <w:lang w:val="en-US" w:bidi="ar-LB"/>
        </w:rPr>
        <w:t>المئة</w:t>
      </w:r>
      <w:r w:rsidRPr="00A82627">
        <w:rPr>
          <w:sz w:val="26"/>
          <w:szCs w:val="26"/>
          <w:rtl/>
          <w:lang w:val="en-US" w:bidi="ar-LB"/>
        </w:rPr>
        <w:t xml:space="preserve"> بسبب انخفاض الموافقات على تمويل المشاريع مما أدى إلى زيادة متناسبة مقابلة في ميزانيات الوحدات الأساسية لتلك السنوات. وخلال فترة الثلاث سنوات 2021-2023، كانت البلدان في جميع أنحاء العالم في طور التعافي من جائحة كوفيد-19. وفي حين أن الوكالات المنفذة، بالتنسيق الوثيق مع النظراء الوطنيين، عكفت على دعم تنفيذ المشاريع من خلال آليات مختلفة (على سبيل المثال، أنشطة التدريب عبر الإنترنت، واستعراض المشاريع عبر الإنترنت ومراقبة التنفيذ)، فقد كانت وتيرة تنفيذ الأنشطة، وبالتالي الموافقة على شرائح المشاريع المستقبلية دونَ المستويات المتوقعة. وفي بعض الحالات، تأخرت المشاريع الاستثمارية التي تضمنت تركيب وتشغيل معدات لتصنيع المنتجات باستخدام البدائل بسبب القيود المتعلقة بقضايا السفر وسلسلة التوريد. وفيما يتعلق بالتكاليف الإدارية التي تحصل عليها الوكالات، أدى ذلك إلى انخفاض مستويات تكاليف الدعم الإداري للوكالات على الرغم من أن تمويل الوحدات الأساسية كان متاحاً عند المستويات المعمول بها.</w:t>
      </w:r>
    </w:p>
    <w:p w14:paraId="485BE0EA" w14:textId="2AD2D95C" w:rsidR="007F4FCC" w:rsidRDefault="00006426" w:rsidP="00B37EF2">
      <w:pPr>
        <w:keepNext/>
        <w:bidi/>
        <w:rPr>
          <w:sz w:val="26"/>
          <w:szCs w:val="26"/>
          <w:u w:val="single"/>
          <w:rtl/>
          <w:lang w:bidi="ar-LB"/>
        </w:rPr>
      </w:pPr>
      <w:r w:rsidRPr="00006426">
        <w:rPr>
          <w:sz w:val="26"/>
          <w:szCs w:val="26"/>
          <w:u w:val="single"/>
          <w:rtl/>
          <w:lang w:bidi="ar-LB"/>
        </w:rPr>
        <w:t xml:space="preserve">تحليل خطة </w:t>
      </w:r>
      <w:r>
        <w:rPr>
          <w:sz w:val="26"/>
          <w:szCs w:val="26"/>
          <w:u w:val="single"/>
          <w:rtl/>
          <w:lang w:bidi="ar-LB"/>
        </w:rPr>
        <w:t>الأعمال</w:t>
      </w:r>
      <w:r w:rsidRPr="00006426">
        <w:rPr>
          <w:sz w:val="26"/>
          <w:szCs w:val="26"/>
          <w:u w:val="single"/>
          <w:rtl/>
          <w:lang w:bidi="ar-LB"/>
        </w:rPr>
        <w:t xml:space="preserve"> لفترة الثلاث سنوات 2024-2026</w:t>
      </w:r>
    </w:p>
    <w:p w14:paraId="79BAE08A" w14:textId="77777777" w:rsidR="00006426" w:rsidRPr="00006426" w:rsidRDefault="00006426" w:rsidP="00006426">
      <w:pPr>
        <w:keepNext/>
        <w:bidi/>
        <w:rPr>
          <w:sz w:val="26"/>
          <w:szCs w:val="26"/>
          <w:u w:val="single"/>
          <w:lang w:bidi="ar-LB"/>
        </w:rPr>
      </w:pPr>
    </w:p>
    <w:p w14:paraId="1A0C466F" w14:textId="444C4057" w:rsidR="00006426" w:rsidRPr="00006426" w:rsidRDefault="00006426" w:rsidP="00006426">
      <w:pPr>
        <w:pStyle w:val="Heading1"/>
        <w:bidi/>
        <w:spacing w:line="288" w:lineRule="auto"/>
        <w:rPr>
          <w:sz w:val="26"/>
          <w:szCs w:val="26"/>
          <w:lang w:val="en-US" w:bidi="ar-LB"/>
        </w:rPr>
      </w:pPr>
      <w:r w:rsidRPr="00006426">
        <w:rPr>
          <w:sz w:val="26"/>
          <w:szCs w:val="26"/>
          <w:rtl/>
          <w:lang w:val="en-US" w:bidi="ar-LB"/>
        </w:rPr>
        <w:t>يعرض الجدول 2 الاتجاهات في تكاليف التمويل والدعم الموافق عليها على مدى فترتي الثلاث سنوات الأخيرتين وتكاليف التمويل والدعم المتوقع في فترة الثلاث سنوات 2024-2026.</w:t>
      </w:r>
    </w:p>
    <w:p w14:paraId="76F3B6F8" w14:textId="19AC3484" w:rsidR="00006426" w:rsidRPr="00176122" w:rsidRDefault="00581F63" w:rsidP="00006426">
      <w:pPr>
        <w:keepNext/>
        <w:keepLines/>
        <w:widowControl w:val="0"/>
        <w:bidi/>
        <w:rPr>
          <w:bCs/>
          <w:sz w:val="26"/>
          <w:szCs w:val="26"/>
          <w:lang w:bidi="ar-LB"/>
        </w:rPr>
      </w:pPr>
      <w:r w:rsidRPr="00176122">
        <w:rPr>
          <w:bCs/>
          <w:sz w:val="26"/>
          <w:szCs w:val="26"/>
          <w:rtl/>
          <w:lang w:bidi="ar-LB"/>
        </w:rPr>
        <w:t>الجدول 2. التكاليف الإدارية التي دفعها الصندوق لفترتي الثلاث سنوات 2018-2020 و2021-2023، والتكاليف المتوقعة لفترة الثلاث سنوات 2024-2026 (دولار أمريكي)</w:t>
      </w:r>
    </w:p>
    <w:tbl>
      <w:tblPr>
        <w:bidiVisual/>
        <w:tblW w:w="9867" w:type="dxa"/>
        <w:tblLayout w:type="fixed"/>
        <w:tblCellMar>
          <w:left w:w="29" w:type="dxa"/>
          <w:right w:w="29" w:type="dxa"/>
        </w:tblCellMar>
        <w:tblLook w:val="04A0" w:firstRow="1" w:lastRow="0" w:firstColumn="1" w:lastColumn="0" w:noHBand="0" w:noVBand="1"/>
      </w:tblPr>
      <w:tblGrid>
        <w:gridCol w:w="863"/>
        <w:gridCol w:w="1122"/>
        <w:gridCol w:w="1021"/>
        <w:gridCol w:w="739"/>
        <w:gridCol w:w="1175"/>
        <w:gridCol w:w="1022"/>
        <w:gridCol w:w="868"/>
        <w:gridCol w:w="1123"/>
        <w:gridCol w:w="1066"/>
        <w:gridCol w:w="868"/>
      </w:tblGrid>
      <w:tr w:rsidR="00687EE7" w:rsidRPr="00687EE7" w14:paraId="4268D15B" w14:textId="77777777" w:rsidTr="00176122">
        <w:trPr>
          <w:trHeight w:val="177"/>
        </w:trPr>
        <w:tc>
          <w:tcPr>
            <w:tcW w:w="863" w:type="dxa"/>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14:paraId="11D01629" w14:textId="616AD57E" w:rsidR="007F4FCC" w:rsidRPr="00581F63" w:rsidRDefault="00581F63" w:rsidP="00581F63">
            <w:pPr>
              <w:keepNext/>
              <w:keepLines/>
              <w:bidi/>
              <w:rPr>
                <w:bCs/>
                <w:sz w:val="18"/>
                <w:szCs w:val="18"/>
                <w:lang w:eastAsia="en-CA" w:bidi="ar-LB"/>
              </w:rPr>
            </w:pPr>
            <w:r w:rsidRPr="00581F63">
              <w:rPr>
                <w:bCs/>
                <w:sz w:val="18"/>
                <w:szCs w:val="18"/>
                <w:rtl/>
                <w:lang w:eastAsia="en-CA" w:bidi="ar-LB"/>
              </w:rPr>
              <w:t>الوكالة</w:t>
            </w:r>
          </w:p>
        </w:tc>
        <w:tc>
          <w:tcPr>
            <w:tcW w:w="2882"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tcPr>
          <w:p w14:paraId="76EECFC6" w14:textId="550477D7" w:rsidR="007F4FCC" w:rsidRPr="00227F3E" w:rsidRDefault="00227F3E" w:rsidP="00581F63">
            <w:pPr>
              <w:keepNext/>
              <w:keepLines/>
              <w:bidi/>
              <w:jc w:val="center"/>
              <w:rPr>
                <w:bCs/>
                <w:sz w:val="18"/>
                <w:szCs w:val="18"/>
                <w:lang w:eastAsia="en-CA" w:bidi="ar-LB"/>
              </w:rPr>
            </w:pPr>
            <w:r w:rsidRPr="00227F3E">
              <w:rPr>
                <w:bCs/>
                <w:sz w:val="18"/>
                <w:szCs w:val="18"/>
                <w:rtl/>
                <w:lang w:eastAsia="en-CA" w:bidi="ar-LB"/>
              </w:rPr>
              <w:t>2018–2020*</w:t>
            </w:r>
          </w:p>
        </w:tc>
        <w:tc>
          <w:tcPr>
            <w:tcW w:w="3065"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tcPr>
          <w:p w14:paraId="42A5D790" w14:textId="1808D70A" w:rsidR="007F4FCC" w:rsidRPr="00227F3E" w:rsidRDefault="00227F3E" w:rsidP="00581F63">
            <w:pPr>
              <w:keepNext/>
              <w:keepLines/>
              <w:bidi/>
              <w:jc w:val="center"/>
              <w:rPr>
                <w:bCs/>
                <w:sz w:val="18"/>
                <w:szCs w:val="18"/>
                <w:lang w:eastAsia="en-CA" w:bidi="ar-LB"/>
              </w:rPr>
            </w:pPr>
            <w:r w:rsidRPr="00227F3E">
              <w:rPr>
                <w:bCs/>
                <w:sz w:val="18"/>
                <w:szCs w:val="18"/>
                <w:rtl/>
                <w:lang w:eastAsia="en-CA" w:bidi="ar-LB"/>
              </w:rPr>
              <w:t>2021–2023**</w:t>
            </w:r>
          </w:p>
        </w:tc>
        <w:tc>
          <w:tcPr>
            <w:tcW w:w="3057" w:type="dxa"/>
            <w:gridSpan w:val="3"/>
            <w:tcBorders>
              <w:top w:val="single" w:sz="4" w:space="0" w:color="auto"/>
              <w:left w:val="nil"/>
              <w:bottom w:val="single" w:sz="4" w:space="0" w:color="auto"/>
              <w:right w:val="single" w:sz="4" w:space="0" w:color="auto"/>
            </w:tcBorders>
          </w:tcPr>
          <w:p w14:paraId="6F4B9A3C" w14:textId="0F68C187" w:rsidR="007F4FCC" w:rsidRPr="00227F3E" w:rsidRDefault="00227F3E" w:rsidP="00581F63">
            <w:pPr>
              <w:keepNext/>
              <w:keepLines/>
              <w:bidi/>
              <w:jc w:val="center"/>
              <w:rPr>
                <w:bCs/>
                <w:sz w:val="18"/>
                <w:szCs w:val="18"/>
                <w:lang w:eastAsia="en-CA" w:bidi="ar-LB"/>
              </w:rPr>
            </w:pPr>
            <w:r w:rsidRPr="00227F3E">
              <w:rPr>
                <w:bCs/>
                <w:sz w:val="18"/>
                <w:szCs w:val="18"/>
                <w:rtl/>
                <w:lang w:eastAsia="en-CA" w:bidi="ar-LB"/>
              </w:rPr>
              <w:t>2024–2026***</w:t>
            </w:r>
          </w:p>
        </w:tc>
      </w:tr>
      <w:tr w:rsidR="00176122" w:rsidRPr="00687EE7" w14:paraId="1C809173" w14:textId="77777777" w:rsidTr="00176122">
        <w:trPr>
          <w:trHeight w:val="142"/>
        </w:trPr>
        <w:tc>
          <w:tcPr>
            <w:tcW w:w="863" w:type="dxa"/>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A3456B7" w14:textId="77777777" w:rsidR="00227F3E" w:rsidRPr="00687EE7" w:rsidRDefault="00227F3E" w:rsidP="00227F3E">
            <w:pPr>
              <w:keepNext/>
              <w:keepLines/>
              <w:bidi/>
              <w:rPr>
                <w:b/>
                <w:sz w:val="18"/>
                <w:szCs w:val="18"/>
                <w:lang w:eastAsia="en-CA" w:bidi="ar-LB"/>
              </w:rPr>
            </w:pPr>
          </w:p>
        </w:tc>
        <w:tc>
          <w:tcPr>
            <w:tcW w:w="1122"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54EF8F55" w14:textId="0FE85147" w:rsidR="00227F3E" w:rsidRPr="00227F3E" w:rsidRDefault="00227F3E" w:rsidP="00227F3E">
            <w:pPr>
              <w:keepNext/>
              <w:keepLines/>
              <w:bidi/>
              <w:jc w:val="center"/>
              <w:rPr>
                <w:bCs/>
                <w:sz w:val="18"/>
                <w:szCs w:val="18"/>
                <w:lang w:eastAsia="en-CA" w:bidi="ar-LB"/>
              </w:rPr>
            </w:pPr>
            <w:r w:rsidRPr="00227F3E">
              <w:rPr>
                <w:bCs/>
                <w:sz w:val="18"/>
                <w:szCs w:val="18"/>
                <w:rtl/>
                <w:lang w:eastAsia="en-CA" w:bidi="ar-LB"/>
              </w:rPr>
              <w:t>التمويل</w:t>
            </w:r>
          </w:p>
        </w:tc>
        <w:tc>
          <w:tcPr>
            <w:tcW w:w="1021"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55A9C74" w14:textId="5E2D6559" w:rsidR="00227F3E" w:rsidRPr="00227F3E" w:rsidRDefault="00227F3E" w:rsidP="00227F3E">
            <w:pPr>
              <w:keepNext/>
              <w:keepLines/>
              <w:bidi/>
              <w:jc w:val="center"/>
              <w:rPr>
                <w:bCs/>
                <w:sz w:val="18"/>
                <w:szCs w:val="18"/>
                <w:lang w:eastAsia="en-CA" w:bidi="ar-LB"/>
              </w:rPr>
            </w:pPr>
            <w:r w:rsidRPr="00227F3E">
              <w:rPr>
                <w:bCs/>
                <w:sz w:val="18"/>
                <w:szCs w:val="18"/>
                <w:rtl/>
                <w:lang w:eastAsia="en-CA" w:bidi="ar-LB"/>
              </w:rPr>
              <w:t>تكاليف الدعم</w:t>
            </w:r>
          </w:p>
        </w:tc>
        <w:tc>
          <w:tcPr>
            <w:tcW w:w="739"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030C930" w14:textId="7E6F0964" w:rsidR="00227F3E" w:rsidRPr="00227F3E" w:rsidRDefault="00227F3E" w:rsidP="00227F3E">
            <w:pPr>
              <w:keepNext/>
              <w:keepLines/>
              <w:bidi/>
              <w:jc w:val="center"/>
              <w:rPr>
                <w:bCs/>
                <w:sz w:val="18"/>
                <w:szCs w:val="18"/>
                <w:lang w:eastAsia="en-CA" w:bidi="ar-LB"/>
              </w:rPr>
            </w:pPr>
            <w:r w:rsidRPr="00227F3E">
              <w:rPr>
                <w:bCs/>
                <w:sz w:val="18"/>
                <w:szCs w:val="18"/>
                <w:rtl/>
                <w:lang w:eastAsia="en-CA" w:bidi="ar-LB"/>
              </w:rPr>
              <w:t>نسبة تكاليف الدعم (%)</w:t>
            </w:r>
          </w:p>
        </w:tc>
        <w:tc>
          <w:tcPr>
            <w:tcW w:w="1175"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6AA2EF02" w14:textId="4998439E" w:rsidR="00227F3E" w:rsidRPr="00687EE7" w:rsidRDefault="00227F3E" w:rsidP="00227F3E">
            <w:pPr>
              <w:keepNext/>
              <w:keepLines/>
              <w:bidi/>
              <w:jc w:val="center"/>
              <w:rPr>
                <w:b/>
                <w:sz w:val="18"/>
                <w:szCs w:val="18"/>
                <w:lang w:eastAsia="en-CA" w:bidi="ar-LB"/>
              </w:rPr>
            </w:pPr>
            <w:r w:rsidRPr="00227F3E">
              <w:rPr>
                <w:bCs/>
                <w:sz w:val="18"/>
                <w:szCs w:val="18"/>
                <w:rtl/>
                <w:lang w:eastAsia="en-CA" w:bidi="ar-LB"/>
              </w:rPr>
              <w:t>التمويل</w:t>
            </w:r>
          </w:p>
        </w:tc>
        <w:tc>
          <w:tcPr>
            <w:tcW w:w="1022"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7B7FEE4" w14:textId="152BBC05" w:rsidR="00227F3E" w:rsidRPr="00687EE7" w:rsidRDefault="00227F3E" w:rsidP="00227F3E">
            <w:pPr>
              <w:keepNext/>
              <w:keepLines/>
              <w:bidi/>
              <w:jc w:val="center"/>
              <w:rPr>
                <w:b/>
                <w:sz w:val="18"/>
                <w:szCs w:val="18"/>
                <w:lang w:eastAsia="en-CA" w:bidi="ar-LB"/>
              </w:rPr>
            </w:pPr>
            <w:r w:rsidRPr="00227F3E">
              <w:rPr>
                <w:bCs/>
                <w:sz w:val="18"/>
                <w:szCs w:val="18"/>
                <w:rtl/>
                <w:lang w:eastAsia="en-CA" w:bidi="ar-LB"/>
              </w:rPr>
              <w:t>تكاليف الدعم</w:t>
            </w:r>
          </w:p>
        </w:tc>
        <w:tc>
          <w:tcPr>
            <w:tcW w:w="868"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38BA268D" w14:textId="1E6B4CAD" w:rsidR="00227F3E" w:rsidRPr="00687EE7" w:rsidRDefault="00227F3E" w:rsidP="00227F3E">
            <w:pPr>
              <w:keepNext/>
              <w:keepLines/>
              <w:bidi/>
              <w:jc w:val="center"/>
              <w:rPr>
                <w:b/>
                <w:sz w:val="18"/>
                <w:szCs w:val="18"/>
                <w:lang w:eastAsia="en-CA" w:bidi="ar-LB"/>
              </w:rPr>
            </w:pPr>
            <w:r w:rsidRPr="00227F3E">
              <w:rPr>
                <w:bCs/>
                <w:sz w:val="18"/>
                <w:szCs w:val="18"/>
                <w:rtl/>
                <w:lang w:eastAsia="en-CA" w:bidi="ar-LB"/>
              </w:rPr>
              <w:t>نسبة تكاليف الدعم (%)</w:t>
            </w:r>
          </w:p>
        </w:tc>
        <w:tc>
          <w:tcPr>
            <w:tcW w:w="1123" w:type="dxa"/>
            <w:tcBorders>
              <w:top w:val="nil"/>
              <w:left w:val="nil"/>
              <w:bottom w:val="single" w:sz="4" w:space="0" w:color="auto"/>
              <w:right w:val="single" w:sz="4" w:space="0" w:color="auto"/>
            </w:tcBorders>
            <w:shd w:val="clear" w:color="auto" w:fill="auto"/>
            <w:vAlign w:val="center"/>
          </w:tcPr>
          <w:p w14:paraId="5865D220" w14:textId="719A9503" w:rsidR="00227F3E" w:rsidRPr="00687EE7" w:rsidRDefault="00227F3E" w:rsidP="00227F3E">
            <w:pPr>
              <w:keepNext/>
              <w:keepLines/>
              <w:bidi/>
              <w:jc w:val="center"/>
              <w:rPr>
                <w:b/>
                <w:sz w:val="18"/>
                <w:szCs w:val="18"/>
                <w:lang w:eastAsia="en-CA" w:bidi="ar-LB"/>
              </w:rPr>
            </w:pPr>
            <w:r w:rsidRPr="00227F3E">
              <w:rPr>
                <w:bCs/>
                <w:sz w:val="18"/>
                <w:szCs w:val="18"/>
                <w:rtl/>
                <w:lang w:eastAsia="en-CA" w:bidi="ar-LB"/>
              </w:rPr>
              <w:t>التمويل</w:t>
            </w:r>
          </w:p>
        </w:tc>
        <w:tc>
          <w:tcPr>
            <w:tcW w:w="1066" w:type="dxa"/>
            <w:tcBorders>
              <w:top w:val="nil"/>
              <w:left w:val="nil"/>
              <w:bottom w:val="single" w:sz="4" w:space="0" w:color="auto"/>
              <w:right w:val="single" w:sz="4" w:space="0" w:color="auto"/>
            </w:tcBorders>
            <w:shd w:val="clear" w:color="auto" w:fill="auto"/>
            <w:vAlign w:val="center"/>
          </w:tcPr>
          <w:p w14:paraId="553B0CD6" w14:textId="6C44695E" w:rsidR="00227F3E" w:rsidRPr="00687EE7" w:rsidRDefault="00227F3E" w:rsidP="00227F3E">
            <w:pPr>
              <w:keepNext/>
              <w:keepLines/>
              <w:bidi/>
              <w:jc w:val="center"/>
              <w:rPr>
                <w:b/>
                <w:sz w:val="18"/>
                <w:szCs w:val="18"/>
                <w:lang w:eastAsia="en-CA" w:bidi="ar-LB"/>
              </w:rPr>
            </w:pPr>
            <w:r w:rsidRPr="00227F3E">
              <w:rPr>
                <w:bCs/>
                <w:sz w:val="18"/>
                <w:szCs w:val="18"/>
                <w:rtl/>
                <w:lang w:eastAsia="en-CA" w:bidi="ar-LB"/>
              </w:rPr>
              <w:t>تكاليف الدعم</w:t>
            </w:r>
          </w:p>
        </w:tc>
        <w:tc>
          <w:tcPr>
            <w:tcW w:w="868" w:type="dxa"/>
            <w:tcBorders>
              <w:top w:val="nil"/>
              <w:left w:val="nil"/>
              <w:bottom w:val="single" w:sz="4" w:space="0" w:color="auto"/>
              <w:right w:val="single" w:sz="4" w:space="0" w:color="auto"/>
            </w:tcBorders>
            <w:shd w:val="clear" w:color="auto" w:fill="auto"/>
            <w:vAlign w:val="center"/>
          </w:tcPr>
          <w:p w14:paraId="55684735" w14:textId="4F630C34" w:rsidR="00227F3E" w:rsidRPr="00687EE7" w:rsidRDefault="00227F3E" w:rsidP="00227F3E">
            <w:pPr>
              <w:keepNext/>
              <w:keepLines/>
              <w:bidi/>
              <w:jc w:val="center"/>
              <w:rPr>
                <w:b/>
                <w:sz w:val="18"/>
                <w:szCs w:val="18"/>
                <w:lang w:eastAsia="en-CA" w:bidi="ar-LB"/>
              </w:rPr>
            </w:pPr>
            <w:r w:rsidRPr="00227F3E">
              <w:rPr>
                <w:bCs/>
                <w:sz w:val="18"/>
                <w:szCs w:val="18"/>
                <w:rtl/>
                <w:lang w:eastAsia="en-CA" w:bidi="ar-LB"/>
              </w:rPr>
              <w:t>نسبة تكاليف الدعم (%)</w:t>
            </w:r>
          </w:p>
        </w:tc>
      </w:tr>
      <w:tr w:rsidR="00CF0259" w:rsidRPr="00687EE7" w14:paraId="0ED99B27" w14:textId="77777777" w:rsidTr="00176122">
        <w:trPr>
          <w:trHeight w:val="236"/>
        </w:trPr>
        <w:tc>
          <w:tcPr>
            <w:tcW w:w="8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B58B06A" w14:textId="329706D5" w:rsidR="00CF0259" w:rsidRPr="00687EE7" w:rsidRDefault="00CF0259" w:rsidP="00CF0259">
            <w:pPr>
              <w:keepNext/>
              <w:keepLines/>
              <w:bidi/>
              <w:jc w:val="left"/>
              <w:rPr>
                <w:sz w:val="18"/>
                <w:szCs w:val="18"/>
                <w:lang w:eastAsia="en-CA" w:bidi="ar-LB"/>
              </w:rPr>
            </w:pPr>
            <w:r>
              <w:rPr>
                <w:sz w:val="18"/>
                <w:szCs w:val="18"/>
                <w:rtl/>
                <w:lang w:eastAsia="en-CA" w:bidi="ar-LB"/>
              </w:rPr>
              <w:t>الثنائية</w:t>
            </w:r>
          </w:p>
        </w:tc>
        <w:tc>
          <w:tcPr>
            <w:tcW w:w="1122"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474787F" w14:textId="0DFDD55E" w:rsidR="00CF0259" w:rsidRPr="00687EE7" w:rsidRDefault="00CF0259" w:rsidP="00CF0259">
            <w:pPr>
              <w:keepNext/>
              <w:keepLines/>
              <w:bidi/>
              <w:jc w:val="left"/>
              <w:rPr>
                <w:sz w:val="18"/>
                <w:szCs w:val="18"/>
                <w:lang w:eastAsia="en-CA" w:bidi="ar-LB"/>
              </w:rPr>
            </w:pPr>
            <w:r w:rsidRPr="00687EE7">
              <w:rPr>
                <w:sz w:val="18"/>
                <w:szCs w:val="18"/>
                <w:lang w:bidi="ar-LB"/>
              </w:rPr>
              <w:t>12,871,576</w:t>
            </w:r>
          </w:p>
        </w:tc>
        <w:tc>
          <w:tcPr>
            <w:tcW w:w="1021" w:type="dxa"/>
            <w:tcBorders>
              <w:top w:val="single" w:sz="4" w:space="0" w:color="auto"/>
              <w:left w:val="nil"/>
              <w:bottom w:val="single" w:sz="4" w:space="0" w:color="auto"/>
              <w:right w:val="single" w:sz="4" w:space="0" w:color="auto"/>
            </w:tcBorders>
            <w:shd w:val="clear" w:color="auto" w:fill="auto"/>
            <w:noWrap/>
            <w:tcMar>
              <w:left w:w="43" w:type="dxa"/>
              <w:right w:w="43" w:type="dxa"/>
            </w:tcMar>
          </w:tcPr>
          <w:p w14:paraId="633F7D7F" w14:textId="3E11AD77" w:rsidR="00CF0259" w:rsidRPr="00687EE7" w:rsidRDefault="00CF0259" w:rsidP="00CF0259">
            <w:pPr>
              <w:keepNext/>
              <w:keepLines/>
              <w:bidi/>
              <w:jc w:val="left"/>
              <w:rPr>
                <w:sz w:val="18"/>
                <w:szCs w:val="18"/>
                <w:lang w:eastAsia="en-CA" w:bidi="ar-LB"/>
              </w:rPr>
            </w:pPr>
            <w:r w:rsidRPr="00687EE7">
              <w:rPr>
                <w:sz w:val="18"/>
                <w:szCs w:val="18"/>
                <w:lang w:bidi="ar-LB"/>
              </w:rPr>
              <w:t>1,480,854</w:t>
            </w:r>
          </w:p>
        </w:tc>
        <w:tc>
          <w:tcPr>
            <w:tcW w:w="739" w:type="dxa"/>
            <w:tcBorders>
              <w:top w:val="single" w:sz="4" w:space="0" w:color="auto"/>
              <w:left w:val="nil"/>
              <w:bottom w:val="single" w:sz="4" w:space="0" w:color="auto"/>
              <w:right w:val="single" w:sz="4" w:space="0" w:color="auto"/>
            </w:tcBorders>
            <w:shd w:val="clear" w:color="auto" w:fill="auto"/>
            <w:noWrap/>
            <w:tcMar>
              <w:left w:w="43" w:type="dxa"/>
              <w:right w:w="43" w:type="dxa"/>
            </w:tcMar>
          </w:tcPr>
          <w:p w14:paraId="15BE576B" w14:textId="5F8C636A" w:rsidR="00CF0259" w:rsidRPr="00687EE7" w:rsidRDefault="00CF0259" w:rsidP="00CF0259">
            <w:pPr>
              <w:keepNext/>
              <w:keepLines/>
              <w:bidi/>
              <w:jc w:val="left"/>
              <w:rPr>
                <w:sz w:val="18"/>
                <w:szCs w:val="18"/>
                <w:lang w:eastAsia="en-CA" w:bidi="ar-LB"/>
              </w:rPr>
            </w:pPr>
            <w:r w:rsidRPr="00687EE7">
              <w:rPr>
                <w:sz w:val="18"/>
                <w:szCs w:val="18"/>
                <w:lang w:bidi="ar-LB"/>
              </w:rPr>
              <w:t>11.5</w:t>
            </w:r>
          </w:p>
        </w:tc>
        <w:tc>
          <w:tcPr>
            <w:tcW w:w="1175" w:type="dxa"/>
            <w:tcBorders>
              <w:top w:val="single" w:sz="4" w:space="0" w:color="auto"/>
              <w:left w:val="nil"/>
              <w:bottom w:val="single" w:sz="4" w:space="0" w:color="auto"/>
              <w:right w:val="single" w:sz="4" w:space="0" w:color="auto"/>
            </w:tcBorders>
            <w:shd w:val="clear" w:color="auto" w:fill="auto"/>
            <w:noWrap/>
            <w:tcMar>
              <w:left w:w="43" w:type="dxa"/>
              <w:right w:w="43" w:type="dxa"/>
            </w:tcMar>
          </w:tcPr>
          <w:p w14:paraId="422C5506" w14:textId="43B141BD" w:rsidR="00CF0259" w:rsidRPr="00687EE7" w:rsidRDefault="00CF0259" w:rsidP="00CF0259">
            <w:pPr>
              <w:keepNext/>
              <w:keepLines/>
              <w:bidi/>
              <w:jc w:val="left"/>
              <w:rPr>
                <w:sz w:val="18"/>
                <w:szCs w:val="18"/>
                <w:lang w:eastAsia="en-CA" w:bidi="ar-LB"/>
              </w:rPr>
            </w:pPr>
            <w:r w:rsidRPr="00687EE7">
              <w:rPr>
                <w:sz w:val="18"/>
                <w:szCs w:val="18"/>
                <w:lang w:bidi="ar-LB"/>
              </w:rPr>
              <w:t>13,241,490</w:t>
            </w:r>
          </w:p>
        </w:tc>
        <w:tc>
          <w:tcPr>
            <w:tcW w:w="1022" w:type="dxa"/>
            <w:tcBorders>
              <w:top w:val="single" w:sz="4" w:space="0" w:color="auto"/>
              <w:left w:val="nil"/>
              <w:bottom w:val="single" w:sz="4" w:space="0" w:color="auto"/>
              <w:right w:val="single" w:sz="4" w:space="0" w:color="auto"/>
            </w:tcBorders>
            <w:shd w:val="clear" w:color="auto" w:fill="auto"/>
            <w:noWrap/>
            <w:tcMar>
              <w:left w:w="43" w:type="dxa"/>
              <w:right w:w="43" w:type="dxa"/>
            </w:tcMar>
          </w:tcPr>
          <w:p w14:paraId="39C6A704" w14:textId="1A04EB4F" w:rsidR="00CF0259" w:rsidRPr="00687EE7" w:rsidRDefault="00CF0259" w:rsidP="00CF0259">
            <w:pPr>
              <w:keepNext/>
              <w:keepLines/>
              <w:bidi/>
              <w:jc w:val="left"/>
              <w:rPr>
                <w:sz w:val="18"/>
                <w:szCs w:val="18"/>
                <w:lang w:eastAsia="en-CA" w:bidi="ar-LB"/>
              </w:rPr>
            </w:pPr>
            <w:r w:rsidRPr="00687EE7">
              <w:rPr>
                <w:sz w:val="18"/>
                <w:szCs w:val="18"/>
                <w:lang w:bidi="ar-LB"/>
              </w:rPr>
              <w:t>1,566,928</w:t>
            </w:r>
          </w:p>
        </w:tc>
        <w:tc>
          <w:tcPr>
            <w:tcW w:w="868" w:type="dxa"/>
            <w:tcBorders>
              <w:top w:val="single" w:sz="4" w:space="0" w:color="auto"/>
              <w:left w:val="nil"/>
              <w:bottom w:val="single" w:sz="4" w:space="0" w:color="auto"/>
              <w:right w:val="single" w:sz="4" w:space="0" w:color="auto"/>
            </w:tcBorders>
            <w:shd w:val="clear" w:color="auto" w:fill="auto"/>
            <w:noWrap/>
            <w:tcMar>
              <w:left w:w="43" w:type="dxa"/>
              <w:right w:w="43" w:type="dxa"/>
            </w:tcMar>
          </w:tcPr>
          <w:p w14:paraId="15020425" w14:textId="7EBAEAA7" w:rsidR="00CF0259" w:rsidRPr="00687EE7" w:rsidRDefault="00CF0259" w:rsidP="00CF0259">
            <w:pPr>
              <w:keepNext/>
              <w:keepLines/>
              <w:bidi/>
              <w:jc w:val="left"/>
              <w:rPr>
                <w:sz w:val="18"/>
                <w:szCs w:val="18"/>
                <w:lang w:eastAsia="en-CA" w:bidi="ar-LB"/>
              </w:rPr>
            </w:pPr>
            <w:r w:rsidRPr="00687EE7">
              <w:rPr>
                <w:sz w:val="18"/>
                <w:szCs w:val="18"/>
                <w:lang w:bidi="ar-LB"/>
              </w:rPr>
              <w:t>11.8</w:t>
            </w:r>
          </w:p>
        </w:tc>
        <w:tc>
          <w:tcPr>
            <w:tcW w:w="1123"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965C20E" w14:textId="329CC261" w:rsidR="00CF0259" w:rsidRPr="00687EE7" w:rsidRDefault="00CF0259" w:rsidP="00CF0259">
            <w:pPr>
              <w:keepNext/>
              <w:keepLines/>
              <w:bidi/>
              <w:jc w:val="left"/>
              <w:rPr>
                <w:sz w:val="18"/>
                <w:szCs w:val="18"/>
                <w:lang w:eastAsia="en-CA" w:bidi="ar-LB"/>
              </w:rPr>
            </w:pPr>
            <w:r w:rsidRPr="00687EE7">
              <w:rPr>
                <w:sz w:val="18"/>
                <w:szCs w:val="18"/>
                <w:lang w:bidi="ar-LB"/>
              </w:rPr>
              <w:t>13,101,364</w:t>
            </w:r>
          </w:p>
        </w:tc>
        <w:tc>
          <w:tcPr>
            <w:tcW w:w="1066"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FD258EC" w14:textId="370C6797" w:rsidR="00CF0259" w:rsidRPr="00687EE7" w:rsidRDefault="00CF0259" w:rsidP="00CF0259">
            <w:pPr>
              <w:keepNext/>
              <w:keepLines/>
              <w:bidi/>
              <w:jc w:val="left"/>
              <w:rPr>
                <w:sz w:val="18"/>
                <w:szCs w:val="18"/>
                <w:lang w:eastAsia="en-CA" w:bidi="ar-LB"/>
              </w:rPr>
            </w:pPr>
            <w:r w:rsidRPr="00687EE7">
              <w:rPr>
                <w:sz w:val="18"/>
                <w:szCs w:val="18"/>
                <w:lang w:bidi="ar-LB"/>
              </w:rPr>
              <w:t>1,496,409</w:t>
            </w:r>
          </w:p>
        </w:tc>
        <w:tc>
          <w:tcPr>
            <w:tcW w:w="86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3AA144C" w14:textId="74679569" w:rsidR="00CF0259" w:rsidRPr="00C26C91" w:rsidRDefault="00CF0259" w:rsidP="00CF0259">
            <w:pPr>
              <w:keepNext/>
              <w:keepLines/>
              <w:bidi/>
              <w:jc w:val="left"/>
              <w:rPr>
                <w:sz w:val="18"/>
                <w:szCs w:val="18"/>
                <w:lang w:val="en-US" w:bidi="ar-LB"/>
              </w:rPr>
            </w:pPr>
            <w:r w:rsidRPr="00687EE7">
              <w:rPr>
                <w:sz w:val="18"/>
                <w:szCs w:val="18"/>
                <w:lang w:bidi="ar-LB"/>
              </w:rPr>
              <w:t>11.4</w:t>
            </w:r>
          </w:p>
        </w:tc>
      </w:tr>
      <w:tr w:rsidR="00CF0259" w:rsidRPr="00687EE7" w14:paraId="724295CB" w14:textId="77777777" w:rsidTr="00176122">
        <w:trPr>
          <w:trHeight w:val="236"/>
        </w:trPr>
        <w:tc>
          <w:tcPr>
            <w:tcW w:w="8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D21DE17" w14:textId="2E705DB1" w:rsidR="00CF0259" w:rsidRPr="00687EE7" w:rsidRDefault="00CF0259" w:rsidP="00CF0259">
            <w:pPr>
              <w:keepNext/>
              <w:keepLines/>
              <w:bidi/>
              <w:jc w:val="left"/>
              <w:rPr>
                <w:sz w:val="18"/>
                <w:szCs w:val="18"/>
                <w:rtl/>
                <w:lang w:eastAsia="en-CA" w:bidi="ar-LB"/>
              </w:rPr>
            </w:pPr>
            <w:r>
              <w:rPr>
                <w:sz w:val="18"/>
                <w:szCs w:val="18"/>
                <w:rtl/>
                <w:lang w:eastAsia="en-CA" w:bidi="ar-LB"/>
              </w:rPr>
              <w:t>اليوئنديبي</w:t>
            </w:r>
          </w:p>
        </w:tc>
        <w:tc>
          <w:tcPr>
            <w:tcW w:w="1122"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751F7AB" w14:textId="4200EE7E" w:rsidR="00CF0259" w:rsidRPr="00687EE7" w:rsidRDefault="00CF0259" w:rsidP="00CF0259">
            <w:pPr>
              <w:keepNext/>
              <w:keepLines/>
              <w:bidi/>
              <w:jc w:val="left"/>
              <w:rPr>
                <w:sz w:val="18"/>
                <w:szCs w:val="18"/>
                <w:lang w:eastAsia="en-CA" w:bidi="ar-LB"/>
              </w:rPr>
            </w:pPr>
            <w:r w:rsidRPr="00687EE7">
              <w:rPr>
                <w:sz w:val="18"/>
                <w:szCs w:val="18"/>
                <w:lang w:bidi="ar-LB"/>
              </w:rPr>
              <w:t>81,607,270</w:t>
            </w:r>
          </w:p>
        </w:tc>
        <w:tc>
          <w:tcPr>
            <w:tcW w:w="1021" w:type="dxa"/>
            <w:tcBorders>
              <w:top w:val="nil"/>
              <w:left w:val="nil"/>
              <w:bottom w:val="single" w:sz="4" w:space="0" w:color="auto"/>
              <w:right w:val="single" w:sz="4" w:space="0" w:color="auto"/>
            </w:tcBorders>
            <w:shd w:val="clear" w:color="auto" w:fill="auto"/>
            <w:noWrap/>
            <w:tcMar>
              <w:left w:w="43" w:type="dxa"/>
              <w:right w:w="43" w:type="dxa"/>
            </w:tcMar>
          </w:tcPr>
          <w:p w14:paraId="0E971066" w14:textId="3FFDC449" w:rsidR="00CF0259" w:rsidRPr="00687EE7" w:rsidRDefault="00CF0259" w:rsidP="00CF0259">
            <w:pPr>
              <w:keepNext/>
              <w:keepLines/>
              <w:bidi/>
              <w:jc w:val="left"/>
              <w:rPr>
                <w:sz w:val="18"/>
                <w:szCs w:val="18"/>
                <w:lang w:eastAsia="en-CA" w:bidi="ar-LB"/>
              </w:rPr>
            </w:pPr>
            <w:r w:rsidRPr="00687EE7">
              <w:rPr>
                <w:sz w:val="18"/>
                <w:szCs w:val="18"/>
                <w:lang w:bidi="ar-LB"/>
              </w:rPr>
              <w:t>11,995,572</w:t>
            </w:r>
          </w:p>
        </w:tc>
        <w:tc>
          <w:tcPr>
            <w:tcW w:w="739" w:type="dxa"/>
            <w:tcBorders>
              <w:top w:val="nil"/>
              <w:left w:val="nil"/>
              <w:bottom w:val="single" w:sz="4" w:space="0" w:color="auto"/>
              <w:right w:val="single" w:sz="4" w:space="0" w:color="auto"/>
            </w:tcBorders>
            <w:shd w:val="clear" w:color="auto" w:fill="auto"/>
            <w:noWrap/>
            <w:tcMar>
              <w:left w:w="43" w:type="dxa"/>
              <w:right w:w="43" w:type="dxa"/>
            </w:tcMar>
          </w:tcPr>
          <w:p w14:paraId="545CD226" w14:textId="4D914DE5" w:rsidR="00CF0259" w:rsidRPr="00687EE7" w:rsidRDefault="00CF0259" w:rsidP="00CF0259">
            <w:pPr>
              <w:keepNext/>
              <w:keepLines/>
              <w:bidi/>
              <w:jc w:val="left"/>
              <w:rPr>
                <w:sz w:val="18"/>
                <w:szCs w:val="18"/>
                <w:lang w:eastAsia="en-CA" w:bidi="ar-LB"/>
              </w:rPr>
            </w:pPr>
            <w:r w:rsidRPr="00687EE7">
              <w:rPr>
                <w:sz w:val="18"/>
                <w:szCs w:val="18"/>
                <w:lang w:bidi="ar-LB"/>
              </w:rPr>
              <w:t>14.7</w:t>
            </w:r>
          </w:p>
        </w:tc>
        <w:tc>
          <w:tcPr>
            <w:tcW w:w="1175" w:type="dxa"/>
            <w:tcBorders>
              <w:top w:val="nil"/>
              <w:left w:val="nil"/>
              <w:bottom w:val="single" w:sz="4" w:space="0" w:color="auto"/>
              <w:right w:val="single" w:sz="4" w:space="0" w:color="auto"/>
            </w:tcBorders>
            <w:shd w:val="clear" w:color="auto" w:fill="auto"/>
            <w:noWrap/>
            <w:tcMar>
              <w:left w:w="43" w:type="dxa"/>
              <w:right w:w="43" w:type="dxa"/>
            </w:tcMar>
          </w:tcPr>
          <w:p w14:paraId="07F6E562" w14:textId="1F160F53" w:rsidR="00CF0259" w:rsidRPr="00687EE7" w:rsidRDefault="00CF0259" w:rsidP="00CF0259">
            <w:pPr>
              <w:keepNext/>
              <w:keepLines/>
              <w:bidi/>
              <w:jc w:val="left"/>
              <w:rPr>
                <w:sz w:val="18"/>
                <w:szCs w:val="18"/>
                <w:lang w:eastAsia="en-CA" w:bidi="ar-LB"/>
              </w:rPr>
            </w:pPr>
            <w:r w:rsidRPr="00687EE7">
              <w:rPr>
                <w:sz w:val="18"/>
                <w:szCs w:val="18"/>
                <w:lang w:bidi="ar-LB"/>
              </w:rPr>
              <w:t>78,773,213</w:t>
            </w:r>
          </w:p>
        </w:tc>
        <w:tc>
          <w:tcPr>
            <w:tcW w:w="1022" w:type="dxa"/>
            <w:tcBorders>
              <w:top w:val="nil"/>
              <w:left w:val="nil"/>
              <w:bottom w:val="single" w:sz="4" w:space="0" w:color="auto"/>
              <w:right w:val="single" w:sz="4" w:space="0" w:color="auto"/>
            </w:tcBorders>
            <w:shd w:val="clear" w:color="auto" w:fill="auto"/>
            <w:noWrap/>
            <w:tcMar>
              <w:left w:w="43" w:type="dxa"/>
              <w:right w:w="43" w:type="dxa"/>
            </w:tcMar>
          </w:tcPr>
          <w:p w14:paraId="25CA9175" w14:textId="15022071" w:rsidR="00CF0259" w:rsidRPr="00687EE7" w:rsidRDefault="00CF0259" w:rsidP="00CF0259">
            <w:pPr>
              <w:keepNext/>
              <w:keepLines/>
              <w:bidi/>
              <w:jc w:val="left"/>
              <w:rPr>
                <w:sz w:val="18"/>
                <w:szCs w:val="18"/>
                <w:lang w:eastAsia="en-CA" w:bidi="ar-LB"/>
              </w:rPr>
            </w:pPr>
            <w:r w:rsidRPr="00687EE7">
              <w:rPr>
                <w:sz w:val="18"/>
                <w:szCs w:val="18"/>
                <w:lang w:bidi="ar-LB"/>
              </w:rPr>
              <w:t>11,958,184</w:t>
            </w:r>
          </w:p>
        </w:tc>
        <w:tc>
          <w:tcPr>
            <w:tcW w:w="868" w:type="dxa"/>
            <w:tcBorders>
              <w:top w:val="nil"/>
              <w:left w:val="nil"/>
              <w:bottom w:val="single" w:sz="4" w:space="0" w:color="auto"/>
              <w:right w:val="single" w:sz="4" w:space="0" w:color="auto"/>
            </w:tcBorders>
            <w:shd w:val="clear" w:color="auto" w:fill="auto"/>
            <w:noWrap/>
            <w:tcMar>
              <w:left w:w="43" w:type="dxa"/>
              <w:right w:w="43" w:type="dxa"/>
            </w:tcMar>
          </w:tcPr>
          <w:p w14:paraId="673AF976" w14:textId="4D3E8F91" w:rsidR="00CF0259" w:rsidRPr="00687EE7" w:rsidRDefault="00CF0259" w:rsidP="00CF0259">
            <w:pPr>
              <w:keepNext/>
              <w:keepLines/>
              <w:bidi/>
              <w:jc w:val="left"/>
              <w:rPr>
                <w:sz w:val="18"/>
                <w:szCs w:val="18"/>
                <w:lang w:eastAsia="en-CA" w:bidi="ar-LB"/>
              </w:rPr>
            </w:pPr>
            <w:r w:rsidRPr="00687EE7">
              <w:rPr>
                <w:sz w:val="18"/>
                <w:szCs w:val="18"/>
                <w:lang w:bidi="ar-LB"/>
              </w:rPr>
              <w:t>15.2</w:t>
            </w:r>
          </w:p>
        </w:tc>
        <w:tc>
          <w:tcPr>
            <w:tcW w:w="1123" w:type="dxa"/>
            <w:tcBorders>
              <w:top w:val="nil"/>
              <w:left w:val="nil"/>
              <w:bottom w:val="single" w:sz="4" w:space="0" w:color="auto"/>
              <w:right w:val="single" w:sz="4" w:space="0" w:color="auto"/>
            </w:tcBorders>
            <w:shd w:val="clear" w:color="auto" w:fill="auto"/>
            <w:tcMar>
              <w:left w:w="43" w:type="dxa"/>
              <w:right w:w="43" w:type="dxa"/>
            </w:tcMar>
          </w:tcPr>
          <w:p w14:paraId="5C811A67" w14:textId="1DF81489" w:rsidR="00CF0259" w:rsidRPr="00687EE7" w:rsidRDefault="00CF0259" w:rsidP="00CF0259">
            <w:pPr>
              <w:keepNext/>
              <w:keepLines/>
              <w:bidi/>
              <w:jc w:val="left"/>
              <w:rPr>
                <w:sz w:val="18"/>
                <w:szCs w:val="18"/>
                <w:lang w:eastAsia="en-CA" w:bidi="ar-LB"/>
              </w:rPr>
            </w:pPr>
            <w:r w:rsidRPr="00687EE7">
              <w:rPr>
                <w:sz w:val="18"/>
                <w:szCs w:val="18"/>
                <w:lang w:bidi="ar-LB"/>
              </w:rPr>
              <w:t>107,868,106</w:t>
            </w:r>
          </w:p>
        </w:tc>
        <w:tc>
          <w:tcPr>
            <w:tcW w:w="1066" w:type="dxa"/>
            <w:tcBorders>
              <w:top w:val="nil"/>
              <w:left w:val="nil"/>
              <w:bottom w:val="single" w:sz="4" w:space="0" w:color="auto"/>
              <w:right w:val="single" w:sz="4" w:space="0" w:color="auto"/>
            </w:tcBorders>
            <w:shd w:val="clear" w:color="auto" w:fill="auto"/>
            <w:tcMar>
              <w:left w:w="43" w:type="dxa"/>
              <w:right w:w="43" w:type="dxa"/>
            </w:tcMar>
          </w:tcPr>
          <w:p w14:paraId="5FDEC8E4" w14:textId="00A1581D" w:rsidR="00CF0259" w:rsidRPr="00687EE7" w:rsidRDefault="00CF0259" w:rsidP="00CF0259">
            <w:pPr>
              <w:keepNext/>
              <w:keepLines/>
              <w:bidi/>
              <w:jc w:val="left"/>
              <w:rPr>
                <w:sz w:val="18"/>
                <w:szCs w:val="18"/>
                <w:lang w:eastAsia="en-CA" w:bidi="ar-LB"/>
              </w:rPr>
            </w:pPr>
            <w:r w:rsidRPr="00687EE7">
              <w:rPr>
                <w:sz w:val="18"/>
                <w:szCs w:val="18"/>
                <w:lang w:bidi="ar-LB"/>
              </w:rPr>
              <w:t>14,175,832</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00CDCD1E" w14:textId="3B9E84EC" w:rsidR="00CF0259" w:rsidRPr="00687EE7" w:rsidRDefault="00CF0259" w:rsidP="00CF0259">
            <w:pPr>
              <w:keepNext/>
              <w:keepLines/>
              <w:bidi/>
              <w:jc w:val="left"/>
              <w:rPr>
                <w:sz w:val="18"/>
                <w:szCs w:val="18"/>
                <w:lang w:bidi="ar-LB"/>
              </w:rPr>
            </w:pPr>
            <w:r w:rsidRPr="00687EE7">
              <w:rPr>
                <w:sz w:val="18"/>
                <w:szCs w:val="18"/>
                <w:lang w:bidi="ar-LB"/>
              </w:rPr>
              <w:t>13.1</w:t>
            </w:r>
          </w:p>
        </w:tc>
      </w:tr>
      <w:tr w:rsidR="00CF0259" w:rsidRPr="00687EE7" w14:paraId="3DA170A8" w14:textId="77777777" w:rsidTr="00176122">
        <w:trPr>
          <w:trHeight w:val="236"/>
        </w:trPr>
        <w:tc>
          <w:tcPr>
            <w:tcW w:w="8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F7978CA" w14:textId="6B4323D9" w:rsidR="00CF0259" w:rsidRPr="00687EE7" w:rsidRDefault="00CF0259" w:rsidP="00CF0259">
            <w:pPr>
              <w:keepNext/>
              <w:keepLines/>
              <w:bidi/>
              <w:jc w:val="left"/>
              <w:rPr>
                <w:sz w:val="18"/>
                <w:szCs w:val="18"/>
                <w:lang w:eastAsia="en-CA" w:bidi="ar-LB"/>
              </w:rPr>
            </w:pPr>
            <w:r>
              <w:rPr>
                <w:sz w:val="18"/>
                <w:szCs w:val="18"/>
                <w:rtl/>
                <w:lang w:eastAsia="en-CA" w:bidi="ar-LB"/>
              </w:rPr>
              <w:t>اليونيب</w:t>
            </w:r>
          </w:p>
        </w:tc>
        <w:tc>
          <w:tcPr>
            <w:tcW w:w="1122"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721BE646" w14:textId="733100CF" w:rsidR="00CF0259" w:rsidRPr="00687EE7" w:rsidRDefault="00CF0259" w:rsidP="00CF0259">
            <w:pPr>
              <w:keepNext/>
              <w:keepLines/>
              <w:bidi/>
              <w:jc w:val="left"/>
              <w:rPr>
                <w:sz w:val="18"/>
                <w:szCs w:val="18"/>
                <w:lang w:eastAsia="en-CA" w:bidi="ar-LB"/>
              </w:rPr>
            </w:pPr>
            <w:r w:rsidRPr="00687EE7">
              <w:rPr>
                <w:sz w:val="18"/>
                <w:szCs w:val="18"/>
                <w:lang w:bidi="ar-LB"/>
              </w:rPr>
              <w:t>55,861,709</w:t>
            </w:r>
          </w:p>
        </w:tc>
        <w:tc>
          <w:tcPr>
            <w:tcW w:w="1021" w:type="dxa"/>
            <w:tcBorders>
              <w:top w:val="nil"/>
              <w:left w:val="nil"/>
              <w:bottom w:val="single" w:sz="4" w:space="0" w:color="auto"/>
              <w:right w:val="single" w:sz="4" w:space="0" w:color="auto"/>
            </w:tcBorders>
            <w:shd w:val="clear" w:color="auto" w:fill="auto"/>
            <w:noWrap/>
            <w:tcMar>
              <w:left w:w="43" w:type="dxa"/>
              <w:right w:w="43" w:type="dxa"/>
            </w:tcMar>
          </w:tcPr>
          <w:p w14:paraId="335E063D" w14:textId="20513DC0" w:rsidR="00CF0259" w:rsidRPr="00687EE7" w:rsidRDefault="00CF0259" w:rsidP="00CF0259">
            <w:pPr>
              <w:keepNext/>
              <w:keepLines/>
              <w:bidi/>
              <w:jc w:val="left"/>
              <w:rPr>
                <w:sz w:val="18"/>
                <w:szCs w:val="18"/>
                <w:lang w:eastAsia="en-CA" w:bidi="ar-LB"/>
              </w:rPr>
            </w:pPr>
            <w:r w:rsidRPr="00687EE7">
              <w:rPr>
                <w:sz w:val="18"/>
                <w:szCs w:val="18"/>
                <w:lang w:bidi="ar-LB"/>
              </w:rPr>
              <w:t>4,259,457</w:t>
            </w:r>
          </w:p>
        </w:tc>
        <w:tc>
          <w:tcPr>
            <w:tcW w:w="739" w:type="dxa"/>
            <w:tcBorders>
              <w:top w:val="nil"/>
              <w:left w:val="nil"/>
              <w:bottom w:val="single" w:sz="4" w:space="0" w:color="auto"/>
              <w:right w:val="single" w:sz="4" w:space="0" w:color="auto"/>
            </w:tcBorders>
            <w:shd w:val="clear" w:color="auto" w:fill="auto"/>
            <w:noWrap/>
            <w:tcMar>
              <w:left w:w="43" w:type="dxa"/>
              <w:right w:w="43" w:type="dxa"/>
            </w:tcMar>
          </w:tcPr>
          <w:p w14:paraId="392220E9" w14:textId="032CC05A" w:rsidR="00CF0259" w:rsidRPr="00687EE7" w:rsidRDefault="00CF0259" w:rsidP="00CF0259">
            <w:pPr>
              <w:keepNext/>
              <w:keepLines/>
              <w:bidi/>
              <w:jc w:val="left"/>
              <w:rPr>
                <w:sz w:val="18"/>
                <w:szCs w:val="18"/>
                <w:lang w:eastAsia="en-CA" w:bidi="ar-LB"/>
              </w:rPr>
            </w:pPr>
            <w:r w:rsidRPr="00687EE7">
              <w:rPr>
                <w:sz w:val="18"/>
                <w:szCs w:val="18"/>
                <w:lang w:bidi="ar-LB"/>
              </w:rPr>
              <w:t>7.6</w:t>
            </w:r>
          </w:p>
        </w:tc>
        <w:tc>
          <w:tcPr>
            <w:tcW w:w="1175" w:type="dxa"/>
            <w:tcBorders>
              <w:top w:val="nil"/>
              <w:left w:val="nil"/>
              <w:bottom w:val="single" w:sz="4" w:space="0" w:color="auto"/>
              <w:right w:val="single" w:sz="4" w:space="0" w:color="auto"/>
            </w:tcBorders>
            <w:shd w:val="clear" w:color="auto" w:fill="auto"/>
            <w:noWrap/>
            <w:tcMar>
              <w:left w:w="43" w:type="dxa"/>
              <w:right w:w="43" w:type="dxa"/>
            </w:tcMar>
          </w:tcPr>
          <w:p w14:paraId="6D5560CF" w14:textId="1D94056E" w:rsidR="00CF0259" w:rsidRPr="00687EE7" w:rsidRDefault="00CF0259" w:rsidP="00CF0259">
            <w:pPr>
              <w:keepNext/>
              <w:keepLines/>
              <w:bidi/>
              <w:jc w:val="left"/>
              <w:rPr>
                <w:sz w:val="18"/>
                <w:szCs w:val="18"/>
                <w:lang w:eastAsia="en-CA" w:bidi="ar-LB"/>
              </w:rPr>
            </w:pPr>
            <w:r w:rsidRPr="00687EE7">
              <w:rPr>
                <w:sz w:val="18"/>
                <w:szCs w:val="18"/>
                <w:lang w:bidi="ar-LB"/>
              </w:rPr>
              <w:t>75,669,166</w:t>
            </w:r>
          </w:p>
        </w:tc>
        <w:tc>
          <w:tcPr>
            <w:tcW w:w="1022" w:type="dxa"/>
            <w:tcBorders>
              <w:top w:val="nil"/>
              <w:left w:val="nil"/>
              <w:bottom w:val="single" w:sz="4" w:space="0" w:color="auto"/>
              <w:right w:val="single" w:sz="4" w:space="0" w:color="auto"/>
            </w:tcBorders>
            <w:shd w:val="clear" w:color="auto" w:fill="auto"/>
            <w:noWrap/>
            <w:tcMar>
              <w:left w:w="43" w:type="dxa"/>
              <w:right w:w="43" w:type="dxa"/>
            </w:tcMar>
          </w:tcPr>
          <w:p w14:paraId="7F6FE10D" w14:textId="07B1424F" w:rsidR="00CF0259" w:rsidRPr="00687EE7" w:rsidRDefault="00CF0259" w:rsidP="00CF0259">
            <w:pPr>
              <w:keepNext/>
              <w:keepLines/>
              <w:bidi/>
              <w:jc w:val="left"/>
              <w:rPr>
                <w:sz w:val="18"/>
                <w:szCs w:val="18"/>
                <w:lang w:eastAsia="en-CA" w:bidi="ar-LB"/>
              </w:rPr>
            </w:pPr>
            <w:r w:rsidRPr="00687EE7">
              <w:rPr>
                <w:sz w:val="18"/>
                <w:szCs w:val="18"/>
                <w:lang w:bidi="ar-LB"/>
              </w:rPr>
              <w:t>5,667,962</w:t>
            </w:r>
          </w:p>
        </w:tc>
        <w:tc>
          <w:tcPr>
            <w:tcW w:w="868" w:type="dxa"/>
            <w:tcBorders>
              <w:top w:val="nil"/>
              <w:left w:val="nil"/>
              <w:bottom w:val="single" w:sz="4" w:space="0" w:color="auto"/>
              <w:right w:val="single" w:sz="4" w:space="0" w:color="auto"/>
            </w:tcBorders>
            <w:shd w:val="clear" w:color="auto" w:fill="auto"/>
            <w:noWrap/>
            <w:tcMar>
              <w:left w:w="43" w:type="dxa"/>
              <w:right w:w="43" w:type="dxa"/>
            </w:tcMar>
          </w:tcPr>
          <w:p w14:paraId="0219B9AB" w14:textId="3D6C0381" w:rsidR="00CF0259" w:rsidRPr="00687EE7" w:rsidRDefault="00CF0259" w:rsidP="00CF0259">
            <w:pPr>
              <w:keepNext/>
              <w:keepLines/>
              <w:bidi/>
              <w:jc w:val="left"/>
              <w:rPr>
                <w:sz w:val="18"/>
                <w:szCs w:val="18"/>
                <w:lang w:eastAsia="en-CA" w:bidi="ar-LB"/>
              </w:rPr>
            </w:pPr>
            <w:r w:rsidRPr="00687EE7">
              <w:rPr>
                <w:sz w:val="18"/>
                <w:szCs w:val="18"/>
                <w:lang w:bidi="ar-LB"/>
              </w:rPr>
              <w:t>7.5</w:t>
            </w:r>
          </w:p>
        </w:tc>
        <w:tc>
          <w:tcPr>
            <w:tcW w:w="1123" w:type="dxa"/>
            <w:tcBorders>
              <w:top w:val="nil"/>
              <w:left w:val="nil"/>
              <w:bottom w:val="single" w:sz="4" w:space="0" w:color="auto"/>
              <w:right w:val="single" w:sz="4" w:space="0" w:color="auto"/>
            </w:tcBorders>
            <w:shd w:val="clear" w:color="auto" w:fill="auto"/>
            <w:tcMar>
              <w:left w:w="43" w:type="dxa"/>
              <w:right w:w="43" w:type="dxa"/>
            </w:tcMar>
          </w:tcPr>
          <w:p w14:paraId="2FF49809" w14:textId="6F28394A" w:rsidR="00CF0259" w:rsidRPr="00687EE7" w:rsidRDefault="00CF0259" w:rsidP="00CF0259">
            <w:pPr>
              <w:keepNext/>
              <w:keepLines/>
              <w:bidi/>
              <w:jc w:val="left"/>
              <w:rPr>
                <w:sz w:val="18"/>
                <w:szCs w:val="18"/>
                <w:lang w:eastAsia="en-CA" w:bidi="ar-LB"/>
              </w:rPr>
            </w:pPr>
            <w:r w:rsidRPr="00687EE7">
              <w:rPr>
                <w:sz w:val="18"/>
                <w:szCs w:val="18"/>
                <w:lang w:bidi="ar-LB"/>
              </w:rPr>
              <w:t>103,012,835</w:t>
            </w:r>
          </w:p>
        </w:tc>
        <w:tc>
          <w:tcPr>
            <w:tcW w:w="1066" w:type="dxa"/>
            <w:tcBorders>
              <w:top w:val="nil"/>
              <w:left w:val="nil"/>
              <w:bottom w:val="single" w:sz="4" w:space="0" w:color="auto"/>
              <w:right w:val="single" w:sz="4" w:space="0" w:color="auto"/>
            </w:tcBorders>
            <w:shd w:val="clear" w:color="auto" w:fill="auto"/>
            <w:tcMar>
              <w:left w:w="43" w:type="dxa"/>
              <w:right w:w="43" w:type="dxa"/>
            </w:tcMar>
          </w:tcPr>
          <w:p w14:paraId="55794C9D" w14:textId="01AB6A5F" w:rsidR="00CF0259" w:rsidRPr="00687EE7" w:rsidRDefault="00CF0259" w:rsidP="00CF0259">
            <w:pPr>
              <w:keepNext/>
              <w:keepLines/>
              <w:bidi/>
              <w:jc w:val="left"/>
              <w:rPr>
                <w:sz w:val="18"/>
                <w:szCs w:val="18"/>
                <w:lang w:eastAsia="en-CA" w:bidi="ar-LB"/>
              </w:rPr>
            </w:pPr>
            <w:r w:rsidRPr="00687EE7">
              <w:rPr>
                <w:sz w:val="18"/>
                <w:szCs w:val="18"/>
                <w:lang w:bidi="ar-LB"/>
              </w:rPr>
              <w:t>8,238,143</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297D0E7C" w14:textId="63C9E58D" w:rsidR="00CF0259" w:rsidRPr="00687EE7" w:rsidRDefault="00CF0259" w:rsidP="00CF0259">
            <w:pPr>
              <w:keepNext/>
              <w:keepLines/>
              <w:bidi/>
              <w:jc w:val="left"/>
              <w:rPr>
                <w:sz w:val="18"/>
                <w:szCs w:val="18"/>
                <w:lang w:bidi="ar-LB"/>
              </w:rPr>
            </w:pPr>
            <w:r w:rsidRPr="00687EE7">
              <w:rPr>
                <w:sz w:val="18"/>
                <w:szCs w:val="18"/>
                <w:lang w:bidi="ar-LB"/>
              </w:rPr>
              <w:t>8.0</w:t>
            </w:r>
          </w:p>
        </w:tc>
      </w:tr>
      <w:tr w:rsidR="00CF0259" w:rsidRPr="00687EE7" w14:paraId="4AE5534B" w14:textId="77777777" w:rsidTr="00176122">
        <w:trPr>
          <w:trHeight w:val="236"/>
        </w:trPr>
        <w:tc>
          <w:tcPr>
            <w:tcW w:w="8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56BAD0D" w14:textId="3F8D6609" w:rsidR="00CF0259" w:rsidRPr="00687EE7" w:rsidRDefault="00CF0259" w:rsidP="00CF0259">
            <w:pPr>
              <w:bidi/>
              <w:jc w:val="left"/>
              <w:rPr>
                <w:sz w:val="18"/>
                <w:szCs w:val="18"/>
                <w:lang w:eastAsia="en-CA" w:bidi="ar-LB"/>
              </w:rPr>
            </w:pPr>
            <w:r>
              <w:rPr>
                <w:sz w:val="18"/>
                <w:szCs w:val="18"/>
                <w:rtl/>
                <w:lang w:eastAsia="en-CA" w:bidi="ar-LB"/>
              </w:rPr>
              <w:t>اليونيدو</w:t>
            </w:r>
          </w:p>
        </w:tc>
        <w:tc>
          <w:tcPr>
            <w:tcW w:w="1122"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EDACBA0" w14:textId="47FC686B" w:rsidR="00CF0259" w:rsidRPr="00687EE7" w:rsidRDefault="00CF0259" w:rsidP="00CF0259">
            <w:pPr>
              <w:bidi/>
              <w:jc w:val="left"/>
              <w:rPr>
                <w:sz w:val="18"/>
                <w:szCs w:val="18"/>
                <w:lang w:eastAsia="en-CA" w:bidi="ar-LB"/>
              </w:rPr>
            </w:pPr>
            <w:r w:rsidRPr="00687EE7">
              <w:rPr>
                <w:sz w:val="18"/>
                <w:szCs w:val="18"/>
                <w:lang w:bidi="ar-LB"/>
              </w:rPr>
              <w:t>67,120,281</w:t>
            </w:r>
          </w:p>
        </w:tc>
        <w:tc>
          <w:tcPr>
            <w:tcW w:w="1021" w:type="dxa"/>
            <w:tcBorders>
              <w:top w:val="nil"/>
              <w:left w:val="nil"/>
              <w:bottom w:val="single" w:sz="4" w:space="0" w:color="auto"/>
              <w:right w:val="single" w:sz="4" w:space="0" w:color="auto"/>
            </w:tcBorders>
            <w:shd w:val="clear" w:color="auto" w:fill="auto"/>
            <w:noWrap/>
            <w:tcMar>
              <w:left w:w="43" w:type="dxa"/>
              <w:right w:w="43" w:type="dxa"/>
            </w:tcMar>
          </w:tcPr>
          <w:p w14:paraId="6AC2955C" w14:textId="3566EB6F" w:rsidR="00CF0259" w:rsidRPr="00687EE7" w:rsidRDefault="00CF0259" w:rsidP="00CF0259">
            <w:pPr>
              <w:bidi/>
              <w:jc w:val="left"/>
              <w:rPr>
                <w:sz w:val="18"/>
                <w:szCs w:val="18"/>
                <w:lang w:eastAsia="en-CA" w:bidi="ar-LB"/>
              </w:rPr>
            </w:pPr>
            <w:r w:rsidRPr="00687EE7">
              <w:rPr>
                <w:sz w:val="18"/>
                <w:szCs w:val="18"/>
                <w:lang w:bidi="ar-LB"/>
              </w:rPr>
              <w:t>10,220,280</w:t>
            </w:r>
          </w:p>
        </w:tc>
        <w:tc>
          <w:tcPr>
            <w:tcW w:w="739" w:type="dxa"/>
            <w:tcBorders>
              <w:top w:val="nil"/>
              <w:left w:val="nil"/>
              <w:bottom w:val="single" w:sz="4" w:space="0" w:color="auto"/>
              <w:right w:val="single" w:sz="4" w:space="0" w:color="auto"/>
            </w:tcBorders>
            <w:shd w:val="clear" w:color="auto" w:fill="auto"/>
            <w:noWrap/>
            <w:tcMar>
              <w:left w:w="43" w:type="dxa"/>
              <w:right w:w="43" w:type="dxa"/>
            </w:tcMar>
          </w:tcPr>
          <w:p w14:paraId="45E8DB44" w14:textId="13DD87AA" w:rsidR="00CF0259" w:rsidRPr="00C26C91" w:rsidRDefault="00CF0259" w:rsidP="00CF0259">
            <w:pPr>
              <w:bidi/>
              <w:jc w:val="left"/>
              <w:rPr>
                <w:sz w:val="18"/>
                <w:szCs w:val="18"/>
                <w:lang w:val="en-US" w:eastAsia="en-CA" w:bidi="ar-LB"/>
              </w:rPr>
            </w:pPr>
            <w:r w:rsidRPr="00687EE7">
              <w:rPr>
                <w:sz w:val="18"/>
                <w:szCs w:val="18"/>
                <w:lang w:bidi="ar-LB"/>
              </w:rPr>
              <w:t>15.2</w:t>
            </w:r>
          </w:p>
        </w:tc>
        <w:tc>
          <w:tcPr>
            <w:tcW w:w="1175" w:type="dxa"/>
            <w:tcBorders>
              <w:top w:val="nil"/>
              <w:left w:val="nil"/>
              <w:bottom w:val="single" w:sz="4" w:space="0" w:color="auto"/>
              <w:right w:val="single" w:sz="4" w:space="0" w:color="auto"/>
            </w:tcBorders>
            <w:shd w:val="clear" w:color="auto" w:fill="auto"/>
            <w:noWrap/>
            <w:tcMar>
              <w:left w:w="43" w:type="dxa"/>
              <w:right w:w="43" w:type="dxa"/>
            </w:tcMar>
          </w:tcPr>
          <w:p w14:paraId="11308850" w14:textId="03C8AA1E" w:rsidR="00CF0259" w:rsidRPr="00687EE7" w:rsidRDefault="00CF0259" w:rsidP="00CF0259">
            <w:pPr>
              <w:bidi/>
              <w:jc w:val="left"/>
              <w:rPr>
                <w:sz w:val="18"/>
                <w:szCs w:val="18"/>
                <w:lang w:eastAsia="en-CA" w:bidi="ar-LB"/>
              </w:rPr>
            </w:pPr>
            <w:r w:rsidRPr="00687EE7">
              <w:rPr>
                <w:sz w:val="18"/>
                <w:szCs w:val="18"/>
                <w:lang w:bidi="ar-LB"/>
              </w:rPr>
              <w:t>91,911,807</w:t>
            </w:r>
          </w:p>
        </w:tc>
        <w:tc>
          <w:tcPr>
            <w:tcW w:w="1022" w:type="dxa"/>
            <w:tcBorders>
              <w:top w:val="nil"/>
              <w:left w:val="nil"/>
              <w:bottom w:val="single" w:sz="4" w:space="0" w:color="auto"/>
              <w:right w:val="single" w:sz="4" w:space="0" w:color="auto"/>
            </w:tcBorders>
            <w:shd w:val="clear" w:color="auto" w:fill="auto"/>
            <w:noWrap/>
            <w:tcMar>
              <w:left w:w="43" w:type="dxa"/>
              <w:right w:w="43" w:type="dxa"/>
            </w:tcMar>
          </w:tcPr>
          <w:p w14:paraId="0DEA18EB" w14:textId="6F8E52CC" w:rsidR="00CF0259" w:rsidRPr="00687EE7" w:rsidRDefault="00CF0259" w:rsidP="00CF0259">
            <w:pPr>
              <w:bidi/>
              <w:jc w:val="left"/>
              <w:rPr>
                <w:sz w:val="18"/>
                <w:szCs w:val="18"/>
                <w:lang w:eastAsia="en-CA" w:bidi="ar-LB"/>
              </w:rPr>
            </w:pPr>
            <w:r w:rsidRPr="00687EE7">
              <w:rPr>
                <w:sz w:val="18"/>
                <w:szCs w:val="18"/>
                <w:lang w:bidi="ar-LB"/>
              </w:rPr>
              <w:t>12,351,350</w:t>
            </w:r>
          </w:p>
        </w:tc>
        <w:tc>
          <w:tcPr>
            <w:tcW w:w="868" w:type="dxa"/>
            <w:tcBorders>
              <w:top w:val="nil"/>
              <w:left w:val="nil"/>
              <w:bottom w:val="single" w:sz="4" w:space="0" w:color="auto"/>
              <w:right w:val="single" w:sz="4" w:space="0" w:color="auto"/>
            </w:tcBorders>
            <w:shd w:val="clear" w:color="auto" w:fill="auto"/>
            <w:noWrap/>
            <w:tcMar>
              <w:left w:w="43" w:type="dxa"/>
              <w:right w:w="43" w:type="dxa"/>
            </w:tcMar>
          </w:tcPr>
          <w:p w14:paraId="68CA9728" w14:textId="47B36877" w:rsidR="00CF0259" w:rsidRPr="00687EE7" w:rsidRDefault="00CF0259" w:rsidP="00CF0259">
            <w:pPr>
              <w:bidi/>
              <w:jc w:val="left"/>
              <w:rPr>
                <w:sz w:val="18"/>
                <w:szCs w:val="18"/>
                <w:lang w:eastAsia="en-CA" w:bidi="ar-LB"/>
              </w:rPr>
            </w:pPr>
            <w:r w:rsidRPr="00687EE7">
              <w:rPr>
                <w:sz w:val="18"/>
                <w:szCs w:val="18"/>
                <w:lang w:bidi="ar-LB"/>
              </w:rPr>
              <w:t>13.4</w:t>
            </w:r>
          </w:p>
        </w:tc>
        <w:tc>
          <w:tcPr>
            <w:tcW w:w="1123" w:type="dxa"/>
            <w:tcBorders>
              <w:top w:val="nil"/>
              <w:left w:val="nil"/>
              <w:bottom w:val="single" w:sz="4" w:space="0" w:color="auto"/>
              <w:right w:val="single" w:sz="4" w:space="0" w:color="auto"/>
            </w:tcBorders>
            <w:shd w:val="clear" w:color="auto" w:fill="auto"/>
            <w:tcMar>
              <w:left w:w="43" w:type="dxa"/>
              <w:right w:w="43" w:type="dxa"/>
            </w:tcMar>
          </w:tcPr>
          <w:p w14:paraId="3F15C4AE" w14:textId="58B477A7" w:rsidR="00CF0259" w:rsidRPr="00687EE7" w:rsidRDefault="00CF0259" w:rsidP="00CF0259">
            <w:pPr>
              <w:bidi/>
              <w:jc w:val="left"/>
              <w:rPr>
                <w:sz w:val="18"/>
                <w:szCs w:val="18"/>
                <w:lang w:eastAsia="en-CA" w:bidi="ar-LB"/>
              </w:rPr>
            </w:pPr>
            <w:r w:rsidRPr="00687EE7">
              <w:rPr>
                <w:sz w:val="18"/>
                <w:szCs w:val="18"/>
                <w:lang w:bidi="ar-LB"/>
              </w:rPr>
              <w:t>101,900,867</w:t>
            </w:r>
          </w:p>
        </w:tc>
        <w:tc>
          <w:tcPr>
            <w:tcW w:w="1066" w:type="dxa"/>
            <w:tcBorders>
              <w:top w:val="nil"/>
              <w:left w:val="nil"/>
              <w:bottom w:val="single" w:sz="4" w:space="0" w:color="auto"/>
              <w:right w:val="single" w:sz="4" w:space="0" w:color="auto"/>
            </w:tcBorders>
            <w:shd w:val="clear" w:color="auto" w:fill="auto"/>
            <w:tcMar>
              <w:left w:w="43" w:type="dxa"/>
              <w:right w:w="43" w:type="dxa"/>
            </w:tcMar>
          </w:tcPr>
          <w:p w14:paraId="4127174F" w14:textId="435B68A1" w:rsidR="00CF0259" w:rsidRPr="00687EE7" w:rsidRDefault="00CF0259" w:rsidP="00CF0259">
            <w:pPr>
              <w:bidi/>
              <w:jc w:val="left"/>
              <w:rPr>
                <w:sz w:val="18"/>
                <w:szCs w:val="18"/>
                <w:lang w:eastAsia="en-CA" w:bidi="ar-LB"/>
              </w:rPr>
            </w:pPr>
            <w:r w:rsidRPr="00687EE7">
              <w:rPr>
                <w:sz w:val="18"/>
                <w:szCs w:val="18"/>
                <w:lang w:bidi="ar-LB"/>
              </w:rPr>
              <w:t>13,519,288</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13B61236" w14:textId="6B170359" w:rsidR="00CF0259" w:rsidRPr="00687EE7" w:rsidRDefault="00CF0259" w:rsidP="00CF0259">
            <w:pPr>
              <w:bidi/>
              <w:jc w:val="left"/>
              <w:rPr>
                <w:sz w:val="18"/>
                <w:szCs w:val="18"/>
                <w:lang w:bidi="ar-LB"/>
              </w:rPr>
            </w:pPr>
            <w:r w:rsidRPr="00687EE7">
              <w:rPr>
                <w:sz w:val="18"/>
                <w:szCs w:val="18"/>
                <w:lang w:bidi="ar-LB"/>
              </w:rPr>
              <w:t>13.3</w:t>
            </w:r>
          </w:p>
        </w:tc>
      </w:tr>
      <w:tr w:rsidR="00CF0259" w:rsidRPr="00687EE7" w14:paraId="0889C835" w14:textId="77777777" w:rsidTr="00176122">
        <w:trPr>
          <w:trHeight w:val="236"/>
        </w:trPr>
        <w:tc>
          <w:tcPr>
            <w:tcW w:w="863" w:type="dxa"/>
            <w:tcBorders>
              <w:top w:val="nil"/>
              <w:left w:val="single" w:sz="4" w:space="0" w:color="auto"/>
              <w:bottom w:val="single" w:sz="4" w:space="0" w:color="auto"/>
              <w:right w:val="single" w:sz="4" w:space="0" w:color="auto"/>
            </w:tcBorders>
            <w:shd w:val="clear" w:color="auto" w:fill="auto"/>
            <w:noWrap/>
            <w:tcMar>
              <w:left w:w="29" w:type="dxa"/>
              <w:right w:w="29" w:type="dxa"/>
            </w:tcMar>
          </w:tcPr>
          <w:p w14:paraId="5AB94E7E" w14:textId="1BE3DFB0" w:rsidR="00CF0259" w:rsidRPr="00687EE7" w:rsidRDefault="00CF0259" w:rsidP="00CF0259">
            <w:pPr>
              <w:bidi/>
              <w:jc w:val="left"/>
              <w:rPr>
                <w:sz w:val="18"/>
                <w:szCs w:val="18"/>
                <w:rtl/>
                <w:lang w:eastAsia="en-CA" w:bidi="ar-LB"/>
              </w:rPr>
            </w:pPr>
            <w:r>
              <w:rPr>
                <w:sz w:val="18"/>
                <w:szCs w:val="18"/>
                <w:rtl/>
                <w:lang w:eastAsia="en-CA" w:bidi="ar-LB"/>
              </w:rPr>
              <w:t>البنك الدولي</w:t>
            </w:r>
          </w:p>
        </w:tc>
        <w:tc>
          <w:tcPr>
            <w:tcW w:w="1122"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2052758" w14:textId="2B7CD56B" w:rsidR="00CF0259" w:rsidRPr="00687EE7" w:rsidRDefault="00CF0259" w:rsidP="00CF0259">
            <w:pPr>
              <w:bidi/>
              <w:jc w:val="left"/>
              <w:rPr>
                <w:sz w:val="18"/>
                <w:szCs w:val="18"/>
                <w:lang w:eastAsia="en-CA" w:bidi="ar-LB"/>
              </w:rPr>
            </w:pPr>
            <w:r w:rsidRPr="00687EE7">
              <w:rPr>
                <w:sz w:val="18"/>
                <w:szCs w:val="18"/>
                <w:lang w:bidi="ar-LB"/>
              </w:rPr>
              <w:t>31,485,241</w:t>
            </w:r>
          </w:p>
        </w:tc>
        <w:tc>
          <w:tcPr>
            <w:tcW w:w="1021" w:type="dxa"/>
            <w:tcBorders>
              <w:top w:val="nil"/>
              <w:left w:val="nil"/>
              <w:bottom w:val="single" w:sz="4" w:space="0" w:color="auto"/>
              <w:right w:val="single" w:sz="4" w:space="0" w:color="auto"/>
            </w:tcBorders>
            <w:shd w:val="clear" w:color="auto" w:fill="auto"/>
            <w:noWrap/>
            <w:tcMar>
              <w:left w:w="43" w:type="dxa"/>
              <w:right w:w="43" w:type="dxa"/>
            </w:tcMar>
          </w:tcPr>
          <w:p w14:paraId="6AC32033" w14:textId="745D127B" w:rsidR="00CF0259" w:rsidRPr="00C26C91" w:rsidRDefault="00CF0259" w:rsidP="00CF0259">
            <w:pPr>
              <w:bidi/>
              <w:jc w:val="left"/>
              <w:rPr>
                <w:sz w:val="18"/>
                <w:szCs w:val="18"/>
                <w:lang w:val="en-US" w:eastAsia="en-CA" w:bidi="ar-LB"/>
              </w:rPr>
            </w:pPr>
            <w:r w:rsidRPr="00687EE7">
              <w:rPr>
                <w:sz w:val="18"/>
                <w:szCs w:val="18"/>
                <w:lang w:bidi="ar-LB"/>
              </w:rPr>
              <w:t>6,343,384</w:t>
            </w:r>
          </w:p>
        </w:tc>
        <w:tc>
          <w:tcPr>
            <w:tcW w:w="739" w:type="dxa"/>
            <w:tcBorders>
              <w:top w:val="nil"/>
              <w:left w:val="nil"/>
              <w:bottom w:val="single" w:sz="4" w:space="0" w:color="auto"/>
              <w:right w:val="single" w:sz="4" w:space="0" w:color="auto"/>
            </w:tcBorders>
            <w:shd w:val="clear" w:color="auto" w:fill="auto"/>
            <w:noWrap/>
            <w:tcMar>
              <w:left w:w="43" w:type="dxa"/>
              <w:right w:w="43" w:type="dxa"/>
            </w:tcMar>
          </w:tcPr>
          <w:p w14:paraId="5AB73E6F" w14:textId="1F3A0603" w:rsidR="00CF0259" w:rsidRPr="00687EE7" w:rsidRDefault="00CF0259" w:rsidP="00CF0259">
            <w:pPr>
              <w:bidi/>
              <w:jc w:val="left"/>
              <w:rPr>
                <w:sz w:val="18"/>
                <w:szCs w:val="18"/>
                <w:lang w:eastAsia="en-CA" w:bidi="ar-LB"/>
              </w:rPr>
            </w:pPr>
            <w:r w:rsidRPr="00687EE7">
              <w:rPr>
                <w:sz w:val="18"/>
                <w:szCs w:val="18"/>
                <w:lang w:bidi="ar-LB"/>
              </w:rPr>
              <w:t>20.1</w:t>
            </w:r>
          </w:p>
        </w:tc>
        <w:tc>
          <w:tcPr>
            <w:tcW w:w="1175" w:type="dxa"/>
            <w:tcBorders>
              <w:top w:val="nil"/>
              <w:left w:val="nil"/>
              <w:bottom w:val="single" w:sz="4" w:space="0" w:color="auto"/>
              <w:right w:val="single" w:sz="4" w:space="0" w:color="auto"/>
            </w:tcBorders>
            <w:shd w:val="clear" w:color="auto" w:fill="auto"/>
            <w:noWrap/>
            <w:tcMar>
              <w:left w:w="43" w:type="dxa"/>
              <w:right w:w="43" w:type="dxa"/>
            </w:tcMar>
          </w:tcPr>
          <w:p w14:paraId="42E31678" w14:textId="372B349E" w:rsidR="00CF0259" w:rsidRPr="00687EE7" w:rsidRDefault="00CF0259" w:rsidP="00CF0259">
            <w:pPr>
              <w:bidi/>
              <w:jc w:val="left"/>
              <w:rPr>
                <w:sz w:val="18"/>
                <w:szCs w:val="18"/>
                <w:lang w:eastAsia="en-CA" w:bidi="ar-LB"/>
              </w:rPr>
            </w:pPr>
            <w:r w:rsidRPr="00687EE7">
              <w:rPr>
                <w:sz w:val="18"/>
                <w:szCs w:val="18"/>
                <w:lang w:bidi="ar-LB"/>
              </w:rPr>
              <w:t>48,475,987</w:t>
            </w:r>
          </w:p>
        </w:tc>
        <w:tc>
          <w:tcPr>
            <w:tcW w:w="1022" w:type="dxa"/>
            <w:tcBorders>
              <w:top w:val="nil"/>
              <w:left w:val="nil"/>
              <w:bottom w:val="single" w:sz="4" w:space="0" w:color="auto"/>
              <w:right w:val="single" w:sz="4" w:space="0" w:color="auto"/>
            </w:tcBorders>
            <w:shd w:val="clear" w:color="auto" w:fill="auto"/>
            <w:noWrap/>
            <w:tcMar>
              <w:left w:w="43" w:type="dxa"/>
              <w:right w:w="43" w:type="dxa"/>
            </w:tcMar>
          </w:tcPr>
          <w:p w14:paraId="1CE1D3E3" w14:textId="6305D3BD" w:rsidR="00CF0259" w:rsidRPr="00687EE7" w:rsidRDefault="00CF0259" w:rsidP="00CF0259">
            <w:pPr>
              <w:bidi/>
              <w:jc w:val="left"/>
              <w:rPr>
                <w:sz w:val="18"/>
                <w:szCs w:val="18"/>
                <w:lang w:eastAsia="en-CA" w:bidi="ar-LB"/>
              </w:rPr>
            </w:pPr>
            <w:r w:rsidRPr="00687EE7">
              <w:rPr>
                <w:sz w:val="18"/>
                <w:szCs w:val="18"/>
                <w:lang w:bidi="ar-LB"/>
              </w:rPr>
              <w:t>8,302,659</w:t>
            </w:r>
          </w:p>
        </w:tc>
        <w:tc>
          <w:tcPr>
            <w:tcW w:w="868" w:type="dxa"/>
            <w:tcBorders>
              <w:top w:val="nil"/>
              <w:left w:val="nil"/>
              <w:bottom w:val="single" w:sz="4" w:space="0" w:color="auto"/>
              <w:right w:val="single" w:sz="4" w:space="0" w:color="auto"/>
            </w:tcBorders>
            <w:shd w:val="clear" w:color="auto" w:fill="auto"/>
            <w:noWrap/>
            <w:tcMar>
              <w:left w:w="43" w:type="dxa"/>
              <w:right w:w="43" w:type="dxa"/>
            </w:tcMar>
          </w:tcPr>
          <w:p w14:paraId="1E8A5A39" w14:textId="12C51B55" w:rsidR="00CF0259" w:rsidRPr="00687EE7" w:rsidRDefault="00CF0259" w:rsidP="00CF0259">
            <w:pPr>
              <w:bidi/>
              <w:jc w:val="left"/>
              <w:rPr>
                <w:sz w:val="18"/>
                <w:szCs w:val="18"/>
                <w:lang w:eastAsia="en-CA" w:bidi="ar-LB"/>
              </w:rPr>
            </w:pPr>
            <w:r w:rsidRPr="00687EE7">
              <w:rPr>
                <w:sz w:val="18"/>
                <w:szCs w:val="18"/>
                <w:lang w:bidi="ar-LB"/>
              </w:rPr>
              <w:t>17.1</w:t>
            </w:r>
          </w:p>
        </w:tc>
        <w:tc>
          <w:tcPr>
            <w:tcW w:w="1123" w:type="dxa"/>
            <w:tcBorders>
              <w:top w:val="nil"/>
              <w:left w:val="nil"/>
              <w:bottom w:val="single" w:sz="4" w:space="0" w:color="auto"/>
              <w:right w:val="single" w:sz="4" w:space="0" w:color="auto"/>
            </w:tcBorders>
            <w:shd w:val="clear" w:color="auto" w:fill="auto"/>
            <w:tcMar>
              <w:left w:w="43" w:type="dxa"/>
              <w:right w:w="43" w:type="dxa"/>
            </w:tcMar>
          </w:tcPr>
          <w:p w14:paraId="3CB3FD5F" w14:textId="23F671B6" w:rsidR="00CF0259" w:rsidRPr="00687EE7" w:rsidRDefault="00CF0259" w:rsidP="00CF0259">
            <w:pPr>
              <w:bidi/>
              <w:jc w:val="left"/>
              <w:rPr>
                <w:sz w:val="18"/>
                <w:szCs w:val="18"/>
                <w:lang w:eastAsia="en-CA" w:bidi="ar-LB"/>
              </w:rPr>
            </w:pPr>
            <w:r w:rsidRPr="00687EE7">
              <w:rPr>
                <w:sz w:val="18"/>
                <w:szCs w:val="18"/>
                <w:lang w:bidi="ar-LB"/>
              </w:rPr>
              <w:t>65,447,883</w:t>
            </w:r>
          </w:p>
        </w:tc>
        <w:tc>
          <w:tcPr>
            <w:tcW w:w="1066" w:type="dxa"/>
            <w:tcBorders>
              <w:top w:val="nil"/>
              <w:left w:val="nil"/>
              <w:bottom w:val="single" w:sz="4" w:space="0" w:color="auto"/>
              <w:right w:val="single" w:sz="4" w:space="0" w:color="auto"/>
            </w:tcBorders>
            <w:shd w:val="clear" w:color="auto" w:fill="auto"/>
            <w:tcMar>
              <w:left w:w="43" w:type="dxa"/>
              <w:right w:w="43" w:type="dxa"/>
            </w:tcMar>
          </w:tcPr>
          <w:p w14:paraId="600BF5FC" w14:textId="66E0ABFD" w:rsidR="00CF0259" w:rsidRPr="00687EE7" w:rsidRDefault="00CF0259" w:rsidP="00CF0259">
            <w:pPr>
              <w:bidi/>
              <w:jc w:val="left"/>
              <w:rPr>
                <w:sz w:val="18"/>
                <w:szCs w:val="18"/>
                <w:lang w:eastAsia="en-CA" w:bidi="ar-LB"/>
              </w:rPr>
            </w:pPr>
            <w:r w:rsidRPr="00687EE7">
              <w:rPr>
                <w:sz w:val="18"/>
                <w:szCs w:val="18"/>
                <w:lang w:bidi="ar-LB"/>
              </w:rPr>
              <w:t>9,904,363</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45E8A188" w14:textId="42E646BF" w:rsidR="00CF0259" w:rsidRPr="00687EE7" w:rsidRDefault="00CF0259" w:rsidP="00CF0259">
            <w:pPr>
              <w:bidi/>
              <w:jc w:val="left"/>
              <w:rPr>
                <w:sz w:val="18"/>
                <w:szCs w:val="18"/>
                <w:lang w:bidi="ar-LB"/>
              </w:rPr>
            </w:pPr>
            <w:r w:rsidRPr="00687EE7">
              <w:rPr>
                <w:sz w:val="18"/>
                <w:szCs w:val="18"/>
                <w:lang w:bidi="ar-LB"/>
              </w:rPr>
              <w:t>15.1</w:t>
            </w:r>
          </w:p>
        </w:tc>
      </w:tr>
      <w:tr w:rsidR="00CF0259" w:rsidRPr="00687EE7" w14:paraId="52B5F9E7" w14:textId="77777777" w:rsidTr="00176122">
        <w:trPr>
          <w:trHeight w:val="236"/>
        </w:trPr>
        <w:tc>
          <w:tcPr>
            <w:tcW w:w="8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8D25F04" w14:textId="35B978E0" w:rsidR="00CF0259" w:rsidRPr="00687EE7" w:rsidRDefault="00CF0259" w:rsidP="00CF0259">
            <w:pPr>
              <w:bidi/>
              <w:jc w:val="left"/>
              <w:rPr>
                <w:b/>
                <w:bCs/>
                <w:sz w:val="18"/>
                <w:szCs w:val="18"/>
                <w:lang w:eastAsia="en-CA" w:bidi="ar-LB"/>
              </w:rPr>
            </w:pPr>
            <w:r>
              <w:rPr>
                <w:b/>
                <w:bCs/>
                <w:sz w:val="18"/>
                <w:szCs w:val="18"/>
                <w:rtl/>
                <w:lang w:eastAsia="en-CA" w:bidi="ar-LB"/>
              </w:rPr>
              <w:t>المجموع</w:t>
            </w:r>
          </w:p>
        </w:tc>
        <w:tc>
          <w:tcPr>
            <w:tcW w:w="1122"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993D40D" w14:textId="60F10C43" w:rsidR="00CF0259" w:rsidRPr="00687EE7" w:rsidRDefault="00CF0259" w:rsidP="00CF0259">
            <w:pPr>
              <w:bidi/>
              <w:jc w:val="left"/>
              <w:rPr>
                <w:b/>
                <w:bCs/>
                <w:sz w:val="18"/>
                <w:szCs w:val="18"/>
                <w:lang w:eastAsia="en-CA" w:bidi="ar-LB"/>
              </w:rPr>
            </w:pPr>
            <w:r w:rsidRPr="00687EE7">
              <w:rPr>
                <w:b/>
                <w:bCs/>
                <w:sz w:val="18"/>
                <w:szCs w:val="18"/>
                <w:lang w:bidi="ar-LB"/>
              </w:rPr>
              <w:t>248,946,077</w:t>
            </w:r>
          </w:p>
        </w:tc>
        <w:tc>
          <w:tcPr>
            <w:tcW w:w="1021" w:type="dxa"/>
            <w:tcBorders>
              <w:top w:val="nil"/>
              <w:left w:val="nil"/>
              <w:bottom w:val="single" w:sz="4" w:space="0" w:color="auto"/>
              <w:right w:val="single" w:sz="4" w:space="0" w:color="auto"/>
            </w:tcBorders>
            <w:shd w:val="clear" w:color="auto" w:fill="auto"/>
            <w:noWrap/>
            <w:tcMar>
              <w:left w:w="43" w:type="dxa"/>
              <w:right w:w="43" w:type="dxa"/>
            </w:tcMar>
          </w:tcPr>
          <w:p w14:paraId="273AC806" w14:textId="614F1FE1" w:rsidR="00CF0259" w:rsidRPr="00687EE7" w:rsidRDefault="00CF0259" w:rsidP="00CF0259">
            <w:pPr>
              <w:bidi/>
              <w:jc w:val="left"/>
              <w:rPr>
                <w:b/>
                <w:bCs/>
                <w:sz w:val="18"/>
                <w:szCs w:val="18"/>
                <w:lang w:eastAsia="en-CA" w:bidi="ar-LB"/>
              </w:rPr>
            </w:pPr>
            <w:r w:rsidRPr="00687EE7">
              <w:rPr>
                <w:b/>
                <w:bCs/>
                <w:sz w:val="18"/>
                <w:szCs w:val="18"/>
                <w:lang w:bidi="ar-LB"/>
              </w:rPr>
              <w:t>34,299,548</w:t>
            </w:r>
          </w:p>
        </w:tc>
        <w:tc>
          <w:tcPr>
            <w:tcW w:w="739" w:type="dxa"/>
            <w:tcBorders>
              <w:top w:val="nil"/>
              <w:left w:val="nil"/>
              <w:bottom w:val="single" w:sz="4" w:space="0" w:color="auto"/>
              <w:right w:val="single" w:sz="4" w:space="0" w:color="auto"/>
            </w:tcBorders>
            <w:shd w:val="clear" w:color="auto" w:fill="auto"/>
            <w:noWrap/>
            <w:tcMar>
              <w:left w:w="43" w:type="dxa"/>
              <w:right w:w="43" w:type="dxa"/>
            </w:tcMar>
          </w:tcPr>
          <w:p w14:paraId="151844BB" w14:textId="584AEFC7" w:rsidR="00CF0259" w:rsidRPr="00687EE7" w:rsidRDefault="00CF0259" w:rsidP="00CF0259">
            <w:pPr>
              <w:bidi/>
              <w:jc w:val="left"/>
              <w:rPr>
                <w:b/>
                <w:bCs/>
                <w:sz w:val="18"/>
                <w:szCs w:val="18"/>
                <w:lang w:eastAsia="en-CA" w:bidi="ar-LB"/>
              </w:rPr>
            </w:pPr>
            <w:r w:rsidRPr="00687EE7">
              <w:rPr>
                <w:b/>
                <w:bCs/>
                <w:sz w:val="18"/>
                <w:szCs w:val="18"/>
                <w:lang w:bidi="ar-LB"/>
              </w:rPr>
              <w:t>13.8</w:t>
            </w:r>
          </w:p>
        </w:tc>
        <w:tc>
          <w:tcPr>
            <w:tcW w:w="1175" w:type="dxa"/>
            <w:tcBorders>
              <w:top w:val="nil"/>
              <w:left w:val="nil"/>
              <w:bottom w:val="single" w:sz="4" w:space="0" w:color="auto"/>
              <w:right w:val="single" w:sz="4" w:space="0" w:color="auto"/>
            </w:tcBorders>
            <w:shd w:val="clear" w:color="auto" w:fill="auto"/>
            <w:noWrap/>
            <w:tcMar>
              <w:left w:w="43" w:type="dxa"/>
              <w:right w:w="43" w:type="dxa"/>
            </w:tcMar>
          </w:tcPr>
          <w:p w14:paraId="5F117666" w14:textId="492EA150" w:rsidR="00CF0259" w:rsidRPr="00687EE7" w:rsidRDefault="00CF0259" w:rsidP="00CF0259">
            <w:pPr>
              <w:bidi/>
              <w:jc w:val="left"/>
              <w:rPr>
                <w:b/>
                <w:bCs/>
                <w:sz w:val="18"/>
                <w:szCs w:val="18"/>
                <w:lang w:eastAsia="en-CA" w:bidi="ar-LB"/>
              </w:rPr>
            </w:pPr>
            <w:r w:rsidRPr="00687EE7">
              <w:rPr>
                <w:b/>
                <w:bCs/>
                <w:sz w:val="18"/>
                <w:szCs w:val="18"/>
                <w:lang w:bidi="ar-LB"/>
              </w:rPr>
              <w:t>308,071,663</w:t>
            </w:r>
          </w:p>
        </w:tc>
        <w:tc>
          <w:tcPr>
            <w:tcW w:w="1022" w:type="dxa"/>
            <w:tcBorders>
              <w:top w:val="nil"/>
              <w:left w:val="nil"/>
              <w:bottom w:val="single" w:sz="4" w:space="0" w:color="auto"/>
              <w:right w:val="single" w:sz="4" w:space="0" w:color="auto"/>
            </w:tcBorders>
            <w:shd w:val="clear" w:color="auto" w:fill="auto"/>
            <w:noWrap/>
            <w:tcMar>
              <w:left w:w="43" w:type="dxa"/>
              <w:right w:w="43" w:type="dxa"/>
            </w:tcMar>
          </w:tcPr>
          <w:p w14:paraId="3BF8174C" w14:textId="229B2BCD" w:rsidR="00CF0259" w:rsidRPr="00687EE7" w:rsidRDefault="00CF0259" w:rsidP="00CF0259">
            <w:pPr>
              <w:bidi/>
              <w:jc w:val="left"/>
              <w:rPr>
                <w:b/>
                <w:bCs/>
                <w:sz w:val="18"/>
                <w:szCs w:val="18"/>
                <w:lang w:eastAsia="en-CA" w:bidi="ar-LB"/>
              </w:rPr>
            </w:pPr>
            <w:r w:rsidRPr="00687EE7">
              <w:rPr>
                <w:b/>
                <w:bCs/>
                <w:sz w:val="18"/>
                <w:szCs w:val="18"/>
                <w:lang w:bidi="ar-LB"/>
              </w:rPr>
              <w:t>39,847,083</w:t>
            </w:r>
          </w:p>
        </w:tc>
        <w:tc>
          <w:tcPr>
            <w:tcW w:w="868" w:type="dxa"/>
            <w:tcBorders>
              <w:top w:val="nil"/>
              <w:left w:val="nil"/>
              <w:bottom w:val="single" w:sz="4" w:space="0" w:color="auto"/>
              <w:right w:val="single" w:sz="4" w:space="0" w:color="auto"/>
            </w:tcBorders>
            <w:shd w:val="clear" w:color="auto" w:fill="auto"/>
            <w:noWrap/>
            <w:tcMar>
              <w:left w:w="43" w:type="dxa"/>
              <w:right w:w="43" w:type="dxa"/>
            </w:tcMar>
          </w:tcPr>
          <w:p w14:paraId="37A29C32" w14:textId="3EE7F5DC" w:rsidR="00CF0259" w:rsidRPr="00687EE7" w:rsidRDefault="00CF0259" w:rsidP="00CF0259">
            <w:pPr>
              <w:bidi/>
              <w:jc w:val="left"/>
              <w:rPr>
                <w:b/>
                <w:bCs/>
                <w:sz w:val="18"/>
                <w:szCs w:val="18"/>
                <w:lang w:eastAsia="en-CA" w:bidi="ar-LB"/>
              </w:rPr>
            </w:pPr>
            <w:r w:rsidRPr="00687EE7">
              <w:rPr>
                <w:b/>
                <w:bCs/>
                <w:sz w:val="18"/>
                <w:szCs w:val="18"/>
                <w:lang w:bidi="ar-LB"/>
              </w:rPr>
              <w:t>12.9</w:t>
            </w:r>
          </w:p>
        </w:tc>
        <w:tc>
          <w:tcPr>
            <w:tcW w:w="1123" w:type="dxa"/>
            <w:tcBorders>
              <w:top w:val="nil"/>
              <w:left w:val="nil"/>
              <w:bottom w:val="single" w:sz="4" w:space="0" w:color="auto"/>
              <w:right w:val="single" w:sz="4" w:space="0" w:color="auto"/>
            </w:tcBorders>
            <w:shd w:val="clear" w:color="auto" w:fill="auto"/>
            <w:tcMar>
              <w:left w:w="43" w:type="dxa"/>
              <w:right w:w="43" w:type="dxa"/>
            </w:tcMar>
          </w:tcPr>
          <w:p w14:paraId="744EFEFB" w14:textId="35096934" w:rsidR="00CF0259" w:rsidRPr="00687EE7" w:rsidRDefault="00CF0259" w:rsidP="00CF0259">
            <w:pPr>
              <w:bidi/>
              <w:jc w:val="left"/>
              <w:rPr>
                <w:b/>
                <w:bCs/>
                <w:sz w:val="18"/>
                <w:szCs w:val="18"/>
                <w:lang w:eastAsia="en-CA" w:bidi="ar-LB"/>
              </w:rPr>
            </w:pPr>
            <w:r w:rsidRPr="00687EE7">
              <w:rPr>
                <w:b/>
                <w:bCs/>
                <w:sz w:val="18"/>
                <w:szCs w:val="18"/>
                <w:lang w:bidi="ar-LB"/>
              </w:rPr>
              <w:t>391,331,056</w:t>
            </w:r>
          </w:p>
        </w:tc>
        <w:tc>
          <w:tcPr>
            <w:tcW w:w="1066" w:type="dxa"/>
            <w:tcBorders>
              <w:top w:val="nil"/>
              <w:left w:val="nil"/>
              <w:bottom w:val="single" w:sz="4" w:space="0" w:color="auto"/>
              <w:right w:val="single" w:sz="4" w:space="0" w:color="auto"/>
            </w:tcBorders>
            <w:shd w:val="clear" w:color="auto" w:fill="auto"/>
            <w:tcMar>
              <w:left w:w="43" w:type="dxa"/>
              <w:right w:w="43" w:type="dxa"/>
            </w:tcMar>
          </w:tcPr>
          <w:p w14:paraId="1598D4B4" w14:textId="70EB90F7" w:rsidR="00CF0259" w:rsidRPr="00687EE7" w:rsidRDefault="00CF0259" w:rsidP="00CF0259">
            <w:pPr>
              <w:bidi/>
              <w:jc w:val="left"/>
              <w:rPr>
                <w:b/>
                <w:bCs/>
                <w:sz w:val="18"/>
                <w:szCs w:val="18"/>
                <w:lang w:eastAsia="en-CA" w:bidi="ar-LB"/>
              </w:rPr>
            </w:pPr>
            <w:r w:rsidRPr="00687EE7">
              <w:rPr>
                <w:b/>
                <w:bCs/>
                <w:sz w:val="18"/>
                <w:szCs w:val="18"/>
                <w:lang w:bidi="ar-LB"/>
              </w:rPr>
              <w:t>47,334,035</w:t>
            </w:r>
          </w:p>
        </w:tc>
        <w:tc>
          <w:tcPr>
            <w:tcW w:w="868" w:type="dxa"/>
            <w:tcBorders>
              <w:top w:val="nil"/>
              <w:left w:val="nil"/>
              <w:bottom w:val="single" w:sz="4" w:space="0" w:color="auto"/>
              <w:right w:val="single" w:sz="4" w:space="0" w:color="auto"/>
            </w:tcBorders>
            <w:shd w:val="clear" w:color="auto" w:fill="auto"/>
            <w:tcMar>
              <w:left w:w="43" w:type="dxa"/>
              <w:right w:w="43" w:type="dxa"/>
            </w:tcMar>
          </w:tcPr>
          <w:p w14:paraId="2324B810" w14:textId="67297693" w:rsidR="00CF0259" w:rsidRPr="00687EE7" w:rsidRDefault="00CF0259" w:rsidP="00CF0259">
            <w:pPr>
              <w:bidi/>
              <w:jc w:val="left"/>
              <w:rPr>
                <w:b/>
                <w:bCs/>
                <w:sz w:val="18"/>
                <w:szCs w:val="18"/>
                <w:lang w:bidi="ar-LB"/>
              </w:rPr>
            </w:pPr>
            <w:r w:rsidRPr="00687EE7">
              <w:rPr>
                <w:b/>
                <w:bCs/>
                <w:sz w:val="18"/>
                <w:szCs w:val="18"/>
                <w:lang w:bidi="ar-LB"/>
              </w:rPr>
              <w:t>12.1</w:t>
            </w:r>
          </w:p>
        </w:tc>
      </w:tr>
    </w:tbl>
    <w:p w14:paraId="687E56FF" w14:textId="5258F030" w:rsidR="00176122" w:rsidRPr="001B2FB5" w:rsidRDefault="00176122" w:rsidP="00176122">
      <w:pPr>
        <w:bidi/>
        <w:rPr>
          <w:sz w:val="20"/>
          <w:szCs w:val="20"/>
          <w:lang w:bidi="ar-LB"/>
        </w:rPr>
      </w:pPr>
      <w:r w:rsidRPr="001B2FB5">
        <w:rPr>
          <w:sz w:val="20"/>
          <w:szCs w:val="20"/>
          <w:rtl/>
          <w:lang w:bidi="ar-LB"/>
        </w:rPr>
        <w:t>* التمويل الفعلي</w:t>
      </w:r>
    </w:p>
    <w:p w14:paraId="4B2B6E4B" w14:textId="592450AF" w:rsidR="00176122" w:rsidRPr="001B2FB5" w:rsidRDefault="00176122" w:rsidP="00176122">
      <w:pPr>
        <w:bidi/>
        <w:rPr>
          <w:sz w:val="20"/>
          <w:szCs w:val="20"/>
          <w:lang w:bidi="ar-LB"/>
        </w:rPr>
      </w:pPr>
      <w:r w:rsidRPr="001B2FB5">
        <w:rPr>
          <w:sz w:val="20"/>
          <w:szCs w:val="20"/>
          <w:rtl/>
          <w:lang w:bidi="ar-LB"/>
        </w:rPr>
        <w:t>** التمويل الفعلي لعامي 2021 و2022 والتمويل المقدر لعام 2023</w:t>
      </w:r>
    </w:p>
    <w:p w14:paraId="44F225CE" w14:textId="66D73C5C" w:rsidR="00176122" w:rsidRPr="001B2FB5" w:rsidRDefault="00176122" w:rsidP="00176122">
      <w:pPr>
        <w:bidi/>
        <w:rPr>
          <w:sz w:val="20"/>
          <w:szCs w:val="20"/>
          <w:lang w:bidi="ar-LB"/>
        </w:rPr>
      </w:pPr>
      <w:r w:rsidRPr="001B2FB5">
        <w:rPr>
          <w:sz w:val="20"/>
          <w:szCs w:val="20"/>
          <w:rtl/>
          <w:lang w:bidi="ar-LB"/>
        </w:rPr>
        <w:t>*** على النحو الموضح في الفقرة 4(أ) أعلاه</w:t>
      </w:r>
    </w:p>
    <w:p w14:paraId="1373D18D" w14:textId="77777777" w:rsidR="007F4FCC" w:rsidRPr="00176122" w:rsidRDefault="007F4FCC" w:rsidP="00176122">
      <w:pPr>
        <w:bidi/>
        <w:rPr>
          <w:sz w:val="26"/>
          <w:szCs w:val="26"/>
          <w:lang w:bidi="ar-LB"/>
        </w:rPr>
      </w:pPr>
    </w:p>
    <w:p w14:paraId="41852036" w14:textId="38CFB661" w:rsidR="00176122" w:rsidRPr="00176122" w:rsidRDefault="00176122" w:rsidP="00176122">
      <w:pPr>
        <w:pStyle w:val="Heading1"/>
        <w:bidi/>
        <w:spacing w:line="288" w:lineRule="auto"/>
        <w:rPr>
          <w:sz w:val="26"/>
          <w:szCs w:val="26"/>
          <w:lang w:val="en-US" w:bidi="ar-LB"/>
        </w:rPr>
      </w:pPr>
      <w:r w:rsidRPr="00176122">
        <w:rPr>
          <w:sz w:val="26"/>
          <w:szCs w:val="26"/>
          <w:rtl/>
          <w:lang w:val="en-US" w:bidi="ar-LB"/>
        </w:rPr>
        <w:t>خلال فترة الثلاث سنوات 2018-2020، حدث انخفاض في تمويل المشاريع مقارنة بفترة الثلاث سنوات السابقة. واعتباراً من عام 2020، أدت القيود التي فرضتها جائحة كوفيد-19 إلى تأخيرات في تنفيذ المشروع، مما أثر على تقديم طلبات شرائح تمويل خطة إدارة إزالة المواد الهيدروكلوروفلوروكربونية. وبالنسبة لفترة الثلاث سنوات 2021-2023، كانت البلدان في جميع أنحاء العالم في طور التعافي البطيء من الوباء.</w:t>
      </w:r>
    </w:p>
    <w:p w14:paraId="678627CA" w14:textId="3C6D7D2B" w:rsidR="00347C92" w:rsidRPr="00347C92" w:rsidRDefault="00795585" w:rsidP="00347C92">
      <w:pPr>
        <w:pStyle w:val="Heading1"/>
        <w:bidi/>
        <w:spacing w:line="288" w:lineRule="auto"/>
        <w:rPr>
          <w:sz w:val="26"/>
          <w:szCs w:val="26"/>
          <w:lang w:val="en-US" w:bidi="ar-LB"/>
        </w:rPr>
      </w:pPr>
      <w:r w:rsidRPr="00795585">
        <w:rPr>
          <w:sz w:val="26"/>
          <w:szCs w:val="26"/>
          <w:rtl/>
          <w:lang w:val="en-US" w:bidi="ar-LB"/>
        </w:rPr>
        <w:t>بالنسبة لفترة الثلاث سنوات 2024-2026، واستناداً إلى خطة الأعمال المنقحة للأعوام 2024-2026</w:t>
      </w:r>
      <w:r>
        <w:rPr>
          <w:rStyle w:val="FootnoteReference"/>
          <w:sz w:val="26"/>
          <w:szCs w:val="26"/>
          <w:rtl/>
          <w:lang w:val="en-US" w:bidi="ar-LB"/>
        </w:rPr>
        <w:footnoteReference w:id="8"/>
      </w:r>
      <w:r w:rsidRPr="00795585">
        <w:rPr>
          <w:sz w:val="26"/>
          <w:szCs w:val="26"/>
          <w:rtl/>
          <w:lang w:val="en-US" w:bidi="ar-LB"/>
        </w:rPr>
        <w:t>، يُقدر التمويل الإجمالي للمشاريع والأنشطة وما يرتبط بها من تكاليف المشروعات بمبلغ قدره 391.33 مليون دولار أمريكي و47.33 مليون دولار أمريكي، على التوالي</w:t>
      </w:r>
      <w:r>
        <w:rPr>
          <w:rStyle w:val="FootnoteReference"/>
          <w:sz w:val="26"/>
          <w:szCs w:val="26"/>
          <w:rtl/>
          <w:lang w:val="en-US" w:bidi="ar-LB"/>
        </w:rPr>
        <w:footnoteReference w:id="9"/>
      </w:r>
      <w:r w:rsidRPr="00795585">
        <w:rPr>
          <w:sz w:val="26"/>
          <w:szCs w:val="26"/>
          <w:rtl/>
          <w:lang w:val="en-US" w:bidi="ar-LB"/>
        </w:rPr>
        <w:t xml:space="preserve">. ومن المتوقع أن ترتفع هذه القيم مع توقع زيادة في عدد طلبات التقديم المخطط لها في ضوء مستوى تجديد قياسي قدره 965 مليون دولار أمريكي لفترة الثلاث سنوات؛ وعند الاتفاق على المبادئ التوجيهية لتمويل تكاليف التخفيض التدريجي للهيدروفلوروكربون في القطاعات </w:t>
      </w:r>
      <w:r w:rsidR="00363ED3">
        <w:rPr>
          <w:sz w:val="26"/>
          <w:szCs w:val="26"/>
          <w:rtl/>
          <w:lang w:val="en-US" w:bidi="ar-LB"/>
        </w:rPr>
        <w:t>ال</w:t>
      </w:r>
      <w:r w:rsidRPr="00795585">
        <w:rPr>
          <w:sz w:val="26"/>
          <w:szCs w:val="26"/>
          <w:rtl/>
          <w:lang w:val="en-US" w:bidi="ar-LB"/>
        </w:rPr>
        <w:t>غير</w:t>
      </w:r>
      <w:r w:rsidR="00363ED3">
        <w:rPr>
          <w:sz w:val="26"/>
          <w:szCs w:val="26"/>
          <w:rtl/>
          <w:lang w:val="en-US" w:bidi="ar-LB"/>
        </w:rPr>
        <w:t xml:space="preserve"> متصلة ب</w:t>
      </w:r>
      <w:r w:rsidRPr="00795585">
        <w:rPr>
          <w:sz w:val="26"/>
          <w:szCs w:val="26"/>
          <w:rtl/>
          <w:lang w:val="en-US" w:bidi="ar-LB"/>
        </w:rPr>
        <w:t xml:space="preserve">الخدمية وفي مجالات السياسات الجديدة مثل كفاءة استخدام الطاقة الموضوعة حالياً قيد النظر؛ </w:t>
      </w:r>
      <w:r w:rsidR="00721C62">
        <w:rPr>
          <w:sz w:val="26"/>
          <w:szCs w:val="26"/>
          <w:rtl/>
          <w:lang w:val="en-US" w:bidi="ar-LB"/>
        </w:rPr>
        <w:t>أيضاً يؤخذ في عين الاعتبار</w:t>
      </w:r>
      <w:r w:rsidRPr="00795585">
        <w:rPr>
          <w:sz w:val="26"/>
          <w:szCs w:val="26"/>
          <w:rtl/>
          <w:lang w:val="en-US" w:bidi="ar-LB"/>
        </w:rPr>
        <w:t xml:space="preserve"> أن بعض البلدان التي صادقت مؤخراً على تعديل كيغالي وبعض البلدان الأخرى ذات الاستهلاك العالي للهيدروفلوروكربون، لم تقم بعد بإدراج مشاريع خطط تنفيذ كيغالي الخاصة بها في خطة العمل للأعوام 2024-2026 ولكنها ستكون جاهزة قريباً للقيام بذلك.</w:t>
      </w:r>
    </w:p>
    <w:p w14:paraId="6FE071B2" w14:textId="46A8185B" w:rsidR="00DE220D" w:rsidRPr="00DE220D" w:rsidRDefault="00EA00A7" w:rsidP="00DE220D">
      <w:pPr>
        <w:pStyle w:val="Heading1"/>
        <w:bidi/>
        <w:spacing w:line="288" w:lineRule="auto"/>
        <w:rPr>
          <w:sz w:val="26"/>
          <w:szCs w:val="26"/>
          <w:lang w:val="en-US" w:bidi="ar-LB"/>
        </w:rPr>
      </w:pPr>
      <w:r w:rsidRPr="00EA00A7">
        <w:rPr>
          <w:sz w:val="26"/>
          <w:szCs w:val="26"/>
          <w:rtl/>
          <w:lang w:val="en-US" w:bidi="ar-LB"/>
        </w:rPr>
        <w:t xml:space="preserve">ومع الزيادة المتوقعة في تمويل أنشطة المشروعات الجديدة، ستزداد تكاليف دعم البرامج المعتمدة للوكالات. وقد حللت الأمانة سيناريو من شأنه أن يؤدي إلى زيادة في تمويل الأنشطة الجديدة بمستوى أعلى بنسبة 50 في </w:t>
      </w:r>
      <w:r w:rsidR="00793244">
        <w:rPr>
          <w:sz w:val="26"/>
          <w:szCs w:val="26"/>
          <w:rtl/>
          <w:lang w:val="en-US" w:bidi="ar-LB"/>
        </w:rPr>
        <w:t>المئة</w:t>
      </w:r>
      <w:r w:rsidRPr="00EA00A7">
        <w:rPr>
          <w:sz w:val="26"/>
          <w:szCs w:val="26"/>
          <w:rtl/>
          <w:lang w:val="en-US" w:bidi="ar-LB"/>
        </w:rPr>
        <w:t xml:space="preserve"> عما هو معروض في خطة الأعمال المنقحة؛ وهذا من شأنه أن يؤدي إلى زيادة في تكاليف دعم المشروعات قدرها 6.03 مليون دولار أمريكي مقارنة بتكاليف دعم البرامج في خطة الأعمال المنقحة للأعوام 2024-2026. وتجدر الإشارة إلى أن تحقيق هذه الأرباح مرهونٌ بتحقيق مستويات أعلى من طلبات تقديم المشاريع والموافقات عليها.</w:t>
      </w:r>
    </w:p>
    <w:p w14:paraId="6920CDA0" w14:textId="530D9164" w:rsidR="00EA00A7" w:rsidRPr="00176122" w:rsidRDefault="00EA00A7" w:rsidP="002B39E3">
      <w:pPr>
        <w:keepNext/>
        <w:bidi/>
        <w:rPr>
          <w:b/>
          <w:bCs/>
          <w:sz w:val="26"/>
          <w:szCs w:val="26"/>
          <w:lang w:bidi="ar-LB"/>
        </w:rPr>
      </w:pPr>
      <w:r w:rsidRPr="00EA00A7">
        <w:rPr>
          <w:b/>
          <w:bCs/>
          <w:sz w:val="26"/>
          <w:szCs w:val="26"/>
          <w:rtl/>
          <w:lang w:bidi="ar-LB"/>
        </w:rPr>
        <w:t>التحليل المتعلق بقدرة مؤسسات الصندوق المتعدد الأطراف على معالجة التخفيض التدريجي للهيدروفلوروكربون</w:t>
      </w:r>
    </w:p>
    <w:p w14:paraId="10E59F39" w14:textId="77777777" w:rsidR="007F4FCC" w:rsidRPr="00176122" w:rsidRDefault="007F4FCC" w:rsidP="002B39E3">
      <w:pPr>
        <w:keepNext/>
        <w:bidi/>
        <w:rPr>
          <w:sz w:val="26"/>
          <w:szCs w:val="26"/>
          <w:u w:val="single"/>
          <w:lang w:bidi="ar-LB"/>
        </w:rPr>
      </w:pPr>
    </w:p>
    <w:p w14:paraId="01231DB7" w14:textId="34AC0366" w:rsidR="00EA00A7" w:rsidRPr="00176122" w:rsidRDefault="00EA00A7" w:rsidP="002B39E3">
      <w:pPr>
        <w:keepNext/>
        <w:bidi/>
        <w:rPr>
          <w:sz w:val="26"/>
          <w:szCs w:val="26"/>
          <w:u w:val="single"/>
          <w:lang w:bidi="ar-LB"/>
        </w:rPr>
      </w:pPr>
      <w:r w:rsidRPr="00EA00A7">
        <w:rPr>
          <w:sz w:val="26"/>
          <w:szCs w:val="26"/>
          <w:u w:val="single"/>
          <w:rtl/>
          <w:lang w:bidi="ar-LB"/>
        </w:rPr>
        <w:t xml:space="preserve">التحليل المقدم </w:t>
      </w:r>
      <w:r>
        <w:rPr>
          <w:sz w:val="26"/>
          <w:szCs w:val="26"/>
          <w:u w:val="single"/>
          <w:rtl/>
          <w:lang w:bidi="ar-LB"/>
        </w:rPr>
        <w:t>إلى</w:t>
      </w:r>
      <w:r w:rsidRPr="00EA00A7">
        <w:rPr>
          <w:sz w:val="26"/>
          <w:szCs w:val="26"/>
          <w:u w:val="single"/>
          <w:rtl/>
          <w:lang w:bidi="ar-LB"/>
        </w:rPr>
        <w:t xml:space="preserve"> الاجتماع الحادي والتسعين</w:t>
      </w:r>
    </w:p>
    <w:p w14:paraId="04C058D8" w14:textId="77777777" w:rsidR="007F4FCC" w:rsidRPr="00176122" w:rsidRDefault="007F4FCC" w:rsidP="002B39E3">
      <w:pPr>
        <w:keepNext/>
        <w:bidi/>
        <w:rPr>
          <w:sz w:val="26"/>
          <w:szCs w:val="26"/>
          <w:u w:val="single"/>
          <w:lang w:bidi="ar-LB"/>
        </w:rPr>
      </w:pPr>
    </w:p>
    <w:p w14:paraId="37F25547" w14:textId="3A5A6328" w:rsidR="00EA00A7" w:rsidRPr="00EA00A7" w:rsidRDefault="00995F1A" w:rsidP="002B39E3">
      <w:pPr>
        <w:pStyle w:val="Heading1"/>
        <w:keepNext/>
        <w:bidi/>
        <w:spacing w:line="288" w:lineRule="auto"/>
        <w:rPr>
          <w:sz w:val="26"/>
          <w:szCs w:val="26"/>
          <w:lang w:val="en-US" w:bidi="ar-LB"/>
        </w:rPr>
      </w:pPr>
      <w:r w:rsidRPr="00995F1A">
        <w:rPr>
          <w:sz w:val="26"/>
          <w:szCs w:val="26"/>
          <w:rtl/>
          <w:lang w:val="en-US" w:bidi="ar-LB"/>
        </w:rPr>
        <w:t xml:space="preserve">في اجتماعها الحادي والتسعين، نظرت اللجنة التنفيذية في الوثيقة </w:t>
      </w:r>
      <w:r w:rsidRPr="00995F1A">
        <w:rPr>
          <w:sz w:val="26"/>
          <w:szCs w:val="26"/>
          <w:lang w:val="en-US" w:bidi="ar-LB"/>
        </w:rPr>
        <w:t>UNEP/OzL.Pro/ExCom/91/67</w:t>
      </w:r>
      <w:r w:rsidRPr="00995F1A">
        <w:rPr>
          <w:sz w:val="26"/>
          <w:szCs w:val="26"/>
          <w:rtl/>
          <w:lang w:val="en-US" w:bidi="ar-LB"/>
        </w:rPr>
        <w:t xml:space="preserve"> بشأن التحليل المتعلق بقدرة مؤسسات الصندوق المتعدد الأطراف على معالجة التخفيض التدريجي للهيدروفلوروكربون.</w:t>
      </w:r>
    </w:p>
    <w:p w14:paraId="22B3E7FC" w14:textId="1A170EBA" w:rsidR="00995F1A" w:rsidRPr="00995F1A" w:rsidRDefault="00995F1A" w:rsidP="00995F1A">
      <w:pPr>
        <w:pStyle w:val="Heading1"/>
        <w:bidi/>
        <w:spacing w:line="288" w:lineRule="auto"/>
        <w:rPr>
          <w:sz w:val="26"/>
          <w:szCs w:val="26"/>
          <w:lang w:val="en-US" w:bidi="ar-LB"/>
        </w:rPr>
      </w:pPr>
      <w:r w:rsidRPr="00995F1A">
        <w:rPr>
          <w:sz w:val="26"/>
          <w:szCs w:val="26"/>
          <w:rtl/>
          <w:lang w:val="en-US" w:bidi="ar-LB"/>
        </w:rPr>
        <w:t>وقد تم تسليط الضوء على النقاط التالية في الوثيقة في سياق قدرات مؤسسات الصندوق المتعدد الأطراف:</w:t>
      </w:r>
    </w:p>
    <w:p w14:paraId="74BA2440" w14:textId="4E1D9D61" w:rsidR="00995F1A" w:rsidRPr="00995F1A" w:rsidRDefault="00A2454B">
      <w:pPr>
        <w:pStyle w:val="ListParagraph"/>
        <w:numPr>
          <w:ilvl w:val="0"/>
          <w:numId w:val="11"/>
        </w:numPr>
        <w:bidi/>
        <w:spacing w:after="240" w:line="288" w:lineRule="auto"/>
        <w:ind w:left="1440" w:hanging="720"/>
        <w:contextualSpacing w:val="0"/>
        <w:rPr>
          <w:sz w:val="26"/>
          <w:szCs w:val="26"/>
          <w:lang w:bidi="ar-LB"/>
        </w:rPr>
      </w:pPr>
      <w:r w:rsidRPr="00A2454B">
        <w:rPr>
          <w:sz w:val="26"/>
          <w:szCs w:val="26"/>
          <w:rtl/>
          <w:lang w:bidi="ar-LB"/>
        </w:rPr>
        <w:t xml:space="preserve">الحاجة إلى بناء القدرات الداخلية والدعم المتخصص في العديد من المجالات ذات الصلة بالتخفيض التدريجي للهيدروفلوروكربون والمجالات الناشئة (أي القوانين الجمركية، والإبلاغ عن البيانات، وممارسات الخدمة الجيدة في التعامل مع غازات التبريد القابلة للاشتعال، وأنظمة الرصد </w:t>
      </w:r>
      <w:r w:rsidR="00B10FF8" w:rsidRPr="00A2454B">
        <w:rPr>
          <w:sz w:val="26"/>
          <w:szCs w:val="26"/>
          <w:rtl/>
          <w:lang w:bidi="ar-LB"/>
        </w:rPr>
        <w:t>المناسبة</w:t>
      </w:r>
      <w:r w:rsidRPr="00A2454B">
        <w:rPr>
          <w:sz w:val="26"/>
          <w:szCs w:val="26"/>
          <w:rtl/>
          <w:lang w:bidi="ar-LB"/>
        </w:rPr>
        <w:t xml:space="preserve"> لتشمل المواد الهيدروفلوروكربونية، وجوانب كفاءة استخدام الطاقة، والتخلص من المواد الخاضعة للرقابة غير المستخدمة). وفي الوقت نفسه، يتطلب وضع حلول للتحديات الجديدة أيضاً وإجراء مناقشات ومشاورات </w:t>
      </w:r>
      <w:r w:rsidR="00B10FF8" w:rsidRPr="00A2454B">
        <w:rPr>
          <w:sz w:val="26"/>
          <w:szCs w:val="26"/>
          <w:rtl/>
          <w:lang w:bidi="ar-LB"/>
        </w:rPr>
        <w:t>تفصيلية</w:t>
      </w:r>
      <w:r w:rsidRPr="00A2454B">
        <w:rPr>
          <w:sz w:val="26"/>
          <w:szCs w:val="26"/>
          <w:rtl/>
          <w:lang w:bidi="ar-LB"/>
        </w:rPr>
        <w:t xml:space="preserve"> مع أصحاب المصلحة، الأمر الذي يتطلب المزيد من وقت الموظفين؛</w:t>
      </w:r>
    </w:p>
    <w:p w14:paraId="517141FA" w14:textId="3D9A8AF6" w:rsidR="00A2454B" w:rsidRPr="00A2454B" w:rsidRDefault="00A2454B">
      <w:pPr>
        <w:pStyle w:val="ListParagraph"/>
        <w:numPr>
          <w:ilvl w:val="0"/>
          <w:numId w:val="11"/>
        </w:numPr>
        <w:bidi/>
        <w:spacing w:after="240" w:line="288" w:lineRule="auto"/>
        <w:ind w:left="1440" w:hanging="720"/>
        <w:contextualSpacing w:val="0"/>
        <w:rPr>
          <w:sz w:val="26"/>
          <w:szCs w:val="26"/>
          <w:lang w:bidi="ar-LB"/>
        </w:rPr>
      </w:pPr>
      <w:r w:rsidRPr="00A2454B">
        <w:rPr>
          <w:sz w:val="26"/>
          <w:szCs w:val="26"/>
          <w:rtl/>
          <w:lang w:bidi="ar-LB"/>
        </w:rPr>
        <w:t xml:space="preserve">الحاجة إلى ربط عمل وحدات بروتوكول مونتريال التابعة للوكالات المنفذة بشكل متزايد بجدول أعمال المناخ مما يستوجب تنسيقاً أوثق لعمل وحدات بروتوكول مونتريال مع أولئك الذين يتعاملون مع المسائل المتعلقة بالمناخ واتفاق باريس، </w:t>
      </w:r>
      <w:r w:rsidR="00B10FF8" w:rsidRPr="00B10FF8">
        <w:rPr>
          <w:sz w:val="26"/>
          <w:szCs w:val="26"/>
          <w:rtl/>
          <w:lang w:bidi="ar-LB"/>
        </w:rPr>
        <w:t>وبناء أوجه التآزر والعمل بالتعاون مع المجالات ذات الصلة داخل منظماتهم</w:t>
      </w:r>
      <w:r w:rsidRPr="00A2454B">
        <w:rPr>
          <w:sz w:val="26"/>
          <w:szCs w:val="26"/>
          <w:rtl/>
          <w:lang w:bidi="ar-LB"/>
        </w:rPr>
        <w:t>، أي في مجالات التبريد المستدام، والنقل، والزراعة، ومصايد الأسماك، والطاقة، والمناخ، وما إلى ذلك؛ و</w:t>
      </w:r>
    </w:p>
    <w:p w14:paraId="143A9714" w14:textId="25CA27CE" w:rsidR="00A2454B" w:rsidRPr="00A2454B" w:rsidRDefault="00973E6F">
      <w:pPr>
        <w:pStyle w:val="ListParagraph"/>
        <w:numPr>
          <w:ilvl w:val="0"/>
          <w:numId w:val="11"/>
        </w:numPr>
        <w:bidi/>
        <w:spacing w:after="240" w:line="288" w:lineRule="auto"/>
        <w:ind w:left="1440" w:hanging="720"/>
        <w:contextualSpacing w:val="0"/>
        <w:rPr>
          <w:sz w:val="26"/>
          <w:szCs w:val="26"/>
          <w:lang w:bidi="ar-LB"/>
        </w:rPr>
      </w:pPr>
      <w:r w:rsidRPr="00973E6F">
        <w:rPr>
          <w:sz w:val="26"/>
          <w:szCs w:val="26"/>
          <w:rtl/>
          <w:lang w:bidi="ar-LB"/>
        </w:rPr>
        <w:t>الدعم الفني لمساعدة البلدان ذات حجم الاستهلاك المنخفض في تنفيذ الأنشطة الرامية إلى تحقيق إزالة المواد الهيدروفلوروكربونية، وبدء خطط تنفيذ كيغالي وتنفيذ أنشطة أخرى (على سبيل المثال، المشاريع المتعلقة بكفاءة استخدام الطاقة عملاً بالمقرر 89/6، وإعداد قوائم جرد لمخزونات المواد الخاضعة للرقابة المستخدمة أو غير المرغوب فيها). وثمة حاجة إلى إيجاد سبلٍ، ولاسيما خلال السنوات الست إلى السبع المقبلة، لتعزيز الدعم الذي تقدمه الوكالات في تنفيذ المشاريع لهذه البلدان. كما يظل هناك ايضاً تحدٍ قائم متمثل في أن تمويل الشركات الصغيرة والمتوسطة ينطوي على تكاليف معاملات عالية</w:t>
      </w:r>
      <w:r>
        <w:rPr>
          <w:rStyle w:val="FootnoteReference"/>
          <w:sz w:val="26"/>
          <w:szCs w:val="26"/>
          <w:rtl/>
          <w:lang w:bidi="ar-LB"/>
        </w:rPr>
        <w:footnoteReference w:id="10"/>
      </w:r>
      <w:r w:rsidRPr="00973E6F">
        <w:rPr>
          <w:sz w:val="26"/>
          <w:szCs w:val="26"/>
          <w:rtl/>
          <w:lang w:bidi="ar-LB"/>
        </w:rPr>
        <w:t xml:space="preserve"> للعديد من الوكالات.</w:t>
      </w:r>
    </w:p>
    <w:p w14:paraId="56C9A6EE" w14:textId="7991D962" w:rsidR="00D41773" w:rsidRPr="00D41773" w:rsidRDefault="006D6FB1" w:rsidP="00D41773">
      <w:pPr>
        <w:pStyle w:val="Heading1"/>
        <w:bidi/>
        <w:spacing w:line="288" w:lineRule="auto"/>
        <w:rPr>
          <w:sz w:val="26"/>
          <w:szCs w:val="26"/>
          <w:lang w:val="en-US" w:bidi="ar-LB"/>
        </w:rPr>
      </w:pPr>
      <w:r w:rsidRPr="006D6FB1">
        <w:rPr>
          <w:sz w:val="26"/>
          <w:szCs w:val="26"/>
          <w:rtl/>
          <w:lang w:val="en-US" w:bidi="ar-LB"/>
        </w:rPr>
        <w:t>ذكرت الوكالات، خلال المشاورات بشأن الأنشطة التي تضطلع بها لتعزيز قدراتها، أنها تعالج بعض هذه الثغرات من خلال ما يلي:</w:t>
      </w:r>
    </w:p>
    <w:p w14:paraId="15D03CE6" w14:textId="7D9C0E19" w:rsidR="006D6FB1" w:rsidRPr="006D6FB1" w:rsidRDefault="00790F58">
      <w:pPr>
        <w:pStyle w:val="ListParagraph"/>
        <w:numPr>
          <w:ilvl w:val="0"/>
          <w:numId w:val="12"/>
        </w:numPr>
        <w:bidi/>
        <w:spacing w:after="240" w:line="288" w:lineRule="auto"/>
        <w:ind w:left="1440" w:hanging="720"/>
        <w:contextualSpacing w:val="0"/>
        <w:rPr>
          <w:sz w:val="26"/>
          <w:szCs w:val="26"/>
          <w:lang w:bidi="ar-LB"/>
        </w:rPr>
      </w:pPr>
      <w:r w:rsidRPr="00DC31EE">
        <w:rPr>
          <w:i/>
          <w:iCs/>
          <w:sz w:val="26"/>
          <w:szCs w:val="26"/>
          <w:rtl/>
          <w:lang w:bidi="ar-LB"/>
        </w:rPr>
        <w:t>التغيير في آليات التسليم والتنفيذ</w:t>
      </w:r>
      <w:r w:rsidR="00DC31EE">
        <w:rPr>
          <w:sz w:val="26"/>
          <w:szCs w:val="26"/>
          <w:rtl/>
          <w:lang w:bidi="ar-LB"/>
        </w:rPr>
        <w:t>:</w:t>
      </w:r>
      <w:r w:rsidRPr="00790F58">
        <w:rPr>
          <w:sz w:val="26"/>
          <w:szCs w:val="26"/>
          <w:rtl/>
          <w:lang w:bidi="ar-LB"/>
        </w:rPr>
        <w:t xml:space="preserve"> تعمل الوكالات المنفذة على تحسين كفاءة عملياتها وإجراءاتها وآليات التنفيذ بهدف تحسين الفعالية من حيث التكلفة، والحد من العقبات البيروقراطية، وتبسيط العمليات والإجراءات، مثل دمج التحويلات المالية المتعددة في اتفاقية شاملة بدلاً من توقيع اتفاقيات متعددة. وتعمل الوكالات المنفذة أيضاً على تعزيز عمليات شراء المعدات والتسليم من خلال وضع مواصفات منسقة وإبرام اتفاقيات طويلة الأجل مع الموردين، وبالتالي تقليل طلبات الشراء المتعددة، وضمان تسليم المعدات بشكل أسرع، وإنجاز التحويل وأنشطة التدريب في الوقت المناسب؛</w:t>
      </w:r>
    </w:p>
    <w:p w14:paraId="77365DC7" w14:textId="1F538B46" w:rsidR="00790F58" w:rsidRPr="00790F58" w:rsidRDefault="006971B1">
      <w:pPr>
        <w:pStyle w:val="ListParagraph"/>
        <w:numPr>
          <w:ilvl w:val="0"/>
          <w:numId w:val="12"/>
        </w:numPr>
        <w:bidi/>
        <w:spacing w:after="240" w:line="288" w:lineRule="auto"/>
        <w:ind w:left="1440" w:hanging="720"/>
        <w:contextualSpacing w:val="0"/>
        <w:rPr>
          <w:sz w:val="26"/>
          <w:szCs w:val="26"/>
          <w:lang w:bidi="ar-LB"/>
        </w:rPr>
      </w:pPr>
      <w:r w:rsidRPr="00DC31EE">
        <w:rPr>
          <w:i/>
          <w:iCs/>
          <w:sz w:val="26"/>
          <w:szCs w:val="26"/>
          <w:rtl/>
          <w:lang w:bidi="ar-LB"/>
        </w:rPr>
        <w:t>التعاون مع الخبراء الفنيين للتعامل مع المجالات المتخصصة المتعلقة بمشاريع بروتوكول مونتريال</w:t>
      </w:r>
      <w:r w:rsidR="00DC31EE">
        <w:rPr>
          <w:sz w:val="26"/>
          <w:szCs w:val="26"/>
          <w:rtl/>
          <w:lang w:bidi="ar-LB"/>
        </w:rPr>
        <w:t>:</w:t>
      </w:r>
      <w:r w:rsidRPr="006971B1">
        <w:rPr>
          <w:sz w:val="26"/>
          <w:szCs w:val="26"/>
          <w:rtl/>
          <w:lang w:bidi="ar-LB"/>
        </w:rPr>
        <w:t xml:space="preserve"> ويجري تعزيز الفِرق الأساسية للوكالات المنفذة من خلال مشاركة الخبراء الموجودين بالفعل في مؤسساتهم عبر التعاون والتآزر مع الوحدات الأخرى في منظماتهم. ورغم اعتباره حلاً مؤقتاً، إلا أنه ساعد الوكالات المنفذة في تلبية حاجتها الحالية للخبرة والقدرات. ومن المتوقع كذلك أن تؤدي المشاركة في الندوات/الاجتماعات الفنية، والتنسيق مع وحداتهم التنظيمية التي تتعامل مع مجالات جديدة أخرى (مثل كفاءة استخدام الطاقة)، على مدى فترة من الزمن، إلى تعزيز قدرات الموظفين والتعاون مع الفرق الأخرى داخل الوكالات.</w:t>
      </w:r>
    </w:p>
    <w:p w14:paraId="7D903F74" w14:textId="4C52A7C0" w:rsidR="007F4FCC" w:rsidRDefault="006E56DA" w:rsidP="00176122">
      <w:pPr>
        <w:keepNext/>
        <w:bidi/>
        <w:rPr>
          <w:b/>
          <w:bCs/>
          <w:sz w:val="26"/>
          <w:szCs w:val="26"/>
          <w:rtl/>
          <w:lang w:bidi="ar-LB"/>
        </w:rPr>
      </w:pPr>
      <w:r w:rsidRPr="006E56DA">
        <w:rPr>
          <w:b/>
          <w:bCs/>
          <w:sz w:val="26"/>
          <w:szCs w:val="26"/>
          <w:rtl/>
          <w:lang w:bidi="ar-LB"/>
        </w:rPr>
        <w:t>ملاحظات الأمانة بشأن الدعم اللازم للوكالات المنفذة</w:t>
      </w:r>
    </w:p>
    <w:p w14:paraId="19FA4C51" w14:textId="77777777" w:rsidR="002E10F9" w:rsidRPr="00176122" w:rsidRDefault="002E10F9" w:rsidP="002E10F9">
      <w:pPr>
        <w:keepNext/>
        <w:bidi/>
        <w:rPr>
          <w:b/>
          <w:bCs/>
          <w:sz w:val="26"/>
          <w:szCs w:val="26"/>
          <w:lang w:bidi="ar-LB"/>
        </w:rPr>
      </w:pPr>
    </w:p>
    <w:p w14:paraId="308CE675" w14:textId="1FB166B9" w:rsidR="006E56DA" w:rsidRPr="006E56DA" w:rsidRDefault="006E56DA" w:rsidP="006E56DA">
      <w:pPr>
        <w:pStyle w:val="Heading1"/>
        <w:numPr>
          <w:ilvl w:val="0"/>
          <w:numId w:val="0"/>
        </w:numPr>
        <w:bidi/>
        <w:rPr>
          <w:b/>
          <w:bCs/>
          <w:sz w:val="26"/>
          <w:szCs w:val="26"/>
          <w:lang w:bidi="ar-LB"/>
        </w:rPr>
      </w:pPr>
      <w:r w:rsidRPr="006E56DA">
        <w:rPr>
          <w:b/>
          <w:bCs/>
          <w:sz w:val="26"/>
          <w:szCs w:val="26"/>
          <w:rtl/>
          <w:lang w:bidi="ar-LB"/>
        </w:rPr>
        <w:t>احتياجات فترة الثلاث سنوات المقبلة</w:t>
      </w:r>
    </w:p>
    <w:p w14:paraId="72634478" w14:textId="602C7ADB" w:rsidR="006E56DA" w:rsidRPr="006E56DA" w:rsidRDefault="00203393" w:rsidP="006E56DA">
      <w:pPr>
        <w:pStyle w:val="Heading1"/>
        <w:bidi/>
        <w:spacing w:line="288" w:lineRule="auto"/>
        <w:rPr>
          <w:sz w:val="26"/>
          <w:szCs w:val="26"/>
          <w:lang w:val="en-US" w:bidi="ar-LB"/>
        </w:rPr>
      </w:pPr>
      <w:r w:rsidRPr="00203393">
        <w:rPr>
          <w:sz w:val="26"/>
          <w:szCs w:val="26"/>
          <w:rtl/>
          <w:lang w:val="en-US" w:bidi="ar-LB"/>
        </w:rPr>
        <w:t>في فترة الثلاث سنوات المقبلة، سيتعين تخطيط وإعداد وتنفيذ أنشطة المشاريع المتعلقة بخطط إدارة إزالة المواد الهيدروكلوروفلوروكربونية، وخطط تنفيذ كيغالي، ونوافذ التمويل للمشاريع التجريبية المتعلقة بكفاءة استخدام الطاقة، والإزالة في البلدان. ويتعين تقييم قدرة البلدان على تنفيذ المشاريع على مستوى وحدة الأوزون الوطنية بعناية، كما يلزم تفعيل عمليات الإدارة ذات الصلة من أجل التنفيذ المتكامل والمجدي من حيث التكلفة. وسينطوي هذا بدوره على متطلبات بناء قدرات الوكالة لتوفير الدعم للبلدان لتنفيذ المشاريع في فترة الثلاث سنوات القادمة.</w:t>
      </w:r>
    </w:p>
    <w:p w14:paraId="72D59300" w14:textId="00796686" w:rsidR="008C4DDF" w:rsidRPr="008C4DDF" w:rsidRDefault="008C4DDF" w:rsidP="008C4DDF">
      <w:pPr>
        <w:pStyle w:val="Heading1"/>
        <w:bidi/>
        <w:spacing w:line="288" w:lineRule="auto"/>
        <w:rPr>
          <w:sz w:val="26"/>
          <w:szCs w:val="26"/>
          <w:lang w:val="en-US" w:bidi="ar-LB"/>
        </w:rPr>
      </w:pPr>
      <w:r w:rsidRPr="008C4DDF">
        <w:rPr>
          <w:sz w:val="26"/>
          <w:szCs w:val="26"/>
          <w:rtl/>
          <w:lang w:val="en-US" w:bidi="ar-LB"/>
        </w:rPr>
        <w:t xml:space="preserve">بشكل عام، أعربت الوكالات أيضاً عن أن البلدان ذات حجم الاستهلاك المنخفض تواجه تحديات، وأنها تحتاج إلى اهتمام خاص لضمان التنفيذ المنهجي والسلس لمختلف الأنشطة المتعلقة ببروتوكول مونتريال. وفي حين أن وفورات الحجم لتنفيذ المشروعات الأكبر قد توفر أيضاً بعض الموارد للوكالات لدعم البلدان ذات حجم الاستهلاك المنخفض (على سبيل المثال، أثناء تنفيذ خطة إدارة إزالة المواد الهيدروكلوروفلوروكربونية)، إلا أن </w:t>
      </w:r>
      <w:r>
        <w:rPr>
          <w:sz w:val="26"/>
          <w:szCs w:val="26"/>
          <w:rtl/>
          <w:lang w:val="en-US" w:bidi="ar-LB"/>
        </w:rPr>
        <w:t>ال</w:t>
      </w:r>
      <w:r w:rsidRPr="008C4DDF">
        <w:rPr>
          <w:sz w:val="26"/>
          <w:szCs w:val="26"/>
          <w:rtl/>
          <w:lang w:val="en-US" w:bidi="ar-LB"/>
        </w:rPr>
        <w:t xml:space="preserve">حاجة </w:t>
      </w:r>
      <w:r>
        <w:rPr>
          <w:sz w:val="26"/>
          <w:szCs w:val="26"/>
          <w:rtl/>
          <w:lang w:val="en-US" w:bidi="ar-LB"/>
        </w:rPr>
        <w:t>بارزة</w:t>
      </w:r>
      <w:r w:rsidRPr="008C4DDF">
        <w:rPr>
          <w:sz w:val="26"/>
          <w:szCs w:val="26"/>
          <w:rtl/>
          <w:lang w:val="en-US" w:bidi="ar-LB"/>
        </w:rPr>
        <w:t xml:space="preserve"> إلى دعم أكثر تخصيصاً للبلدان ذات حجم الاستهلاك المنخفض. وأثناء المشاورات مع الوكالات، تمت الإشارة إلى أنه على الرغم من الدعم المقدم من خلال برنامج المساعدة للامتثال وغيره من الوكالات، فإن البلدان ذات حجم الاستهلاك المنخفض لديها موارد بشرية ومؤسسية محدودة، واقتصاداتها صغيرة، والعديد منها نائية جغرافيا، وهي دول "مستوردة للتقنيات" وذات استهلاك كبير في قطاع الخدمات. وتم التأكيد على أهمية توفير الموارد للوكالات لإدارة المشاريع ودعمها الإداري ولتقديم المشورة التقنية والسياساتية.</w:t>
      </w:r>
    </w:p>
    <w:p w14:paraId="6EF3FB10" w14:textId="202839EE" w:rsidR="008C4DDF" w:rsidRPr="008C4DDF" w:rsidRDefault="002630A6" w:rsidP="008C4DDF">
      <w:pPr>
        <w:pStyle w:val="Heading1"/>
        <w:bidi/>
        <w:spacing w:line="288" w:lineRule="auto"/>
        <w:rPr>
          <w:sz w:val="26"/>
          <w:szCs w:val="26"/>
          <w:lang w:val="en-US" w:bidi="ar-LB"/>
        </w:rPr>
      </w:pPr>
      <w:r w:rsidRPr="002630A6">
        <w:rPr>
          <w:sz w:val="26"/>
          <w:szCs w:val="26"/>
          <w:rtl/>
          <w:lang w:val="en-US" w:bidi="ar-LB"/>
        </w:rPr>
        <w:t>ستحتاج الوكالات إلى تخصيص الموارد للتخطيط للمشاريع وتلبية احتياجات البلدان في إطار قرار تجديد</w:t>
      </w:r>
      <w:r>
        <w:rPr>
          <w:rStyle w:val="FootnoteReference"/>
          <w:sz w:val="26"/>
          <w:szCs w:val="26"/>
          <w:rtl/>
          <w:lang w:val="en-US" w:bidi="ar-LB"/>
        </w:rPr>
        <w:footnoteReference w:id="11"/>
      </w:r>
      <w:r w:rsidRPr="002630A6">
        <w:rPr>
          <w:sz w:val="26"/>
          <w:szCs w:val="26"/>
          <w:rtl/>
          <w:lang w:val="en-US" w:bidi="ar-LB"/>
        </w:rPr>
        <w:t xml:space="preserve"> الموارد والتعامل مع الزيادة في الأنشطة في فترة الثلاث سنوات القادمة. وسيشمل ذلك موظفين إضافيين (مثل موظفي إدارة المشروع والخبراء المتخصصين) لتقديم الدعم لتطوير المشروع وتنفيذه وتعزيز قدرات موظفي الوكالات في مختلف الجوانب الفنية والسياساتية والتنفيذية المتعلقة بالمشروع. ومن ناحية أخرى، فإن من شأن الزيادة في تمويل المشاريع المعتمدة لمختلف الأنشطة توفير موارد إضافية ذات صلة بالمشروع (على سبيل المثال، المساعدة الفنية للتنفيذ، والمستشارون الفنيون لأنشطة أحد المشاريع المحددة، والإدارة العامة للمشروع) وتكاليف الدعم الإداري الإضافية المرتبطة بمستوى التمويل المعتمد.</w:t>
      </w:r>
    </w:p>
    <w:p w14:paraId="01C5DE91" w14:textId="2ECD544C" w:rsidR="000A79AD" w:rsidRPr="000A79AD" w:rsidRDefault="000A79AD" w:rsidP="000A79AD">
      <w:pPr>
        <w:pStyle w:val="Heading1"/>
        <w:bidi/>
        <w:spacing w:line="288" w:lineRule="auto"/>
        <w:rPr>
          <w:sz w:val="26"/>
          <w:szCs w:val="26"/>
          <w:lang w:val="en-US" w:bidi="ar-LB"/>
        </w:rPr>
      </w:pPr>
      <w:r w:rsidRPr="000A79AD">
        <w:rPr>
          <w:sz w:val="26"/>
          <w:szCs w:val="26"/>
          <w:rtl/>
          <w:lang w:val="en-US" w:bidi="ar-LB"/>
        </w:rPr>
        <w:t>وفقاً للمشاورات مع الوكالات وتحليل العوامل المذكورة آنفاً، هناك مجالان ستحتاج فيهما الوكالات المنفذة إلى مزيد من الدعم: (أ) تعزيز قدراتها التقنية لجميع البلدان و(ب) تعزيز الدعم الفني والإداري للمشاريع في البلدان ذات حجم الاستهلاك المنخفض.</w:t>
      </w:r>
    </w:p>
    <w:p w14:paraId="320E5C65" w14:textId="24F88C00" w:rsidR="000A79AD" w:rsidRPr="00176122" w:rsidRDefault="000A79AD" w:rsidP="000A79AD">
      <w:pPr>
        <w:bidi/>
        <w:rPr>
          <w:b/>
          <w:bCs/>
          <w:sz w:val="26"/>
          <w:szCs w:val="26"/>
          <w:lang w:bidi="ar-LB"/>
        </w:rPr>
      </w:pPr>
      <w:r w:rsidRPr="000A79AD">
        <w:rPr>
          <w:b/>
          <w:bCs/>
          <w:sz w:val="26"/>
          <w:szCs w:val="26"/>
          <w:rtl/>
          <w:lang w:bidi="ar-LB"/>
        </w:rPr>
        <w:t>تعزيز القدرات الفنية للوكالات</w:t>
      </w:r>
    </w:p>
    <w:p w14:paraId="367F2088" w14:textId="77777777" w:rsidR="007F4FCC" w:rsidRPr="00176122" w:rsidRDefault="007F4FCC" w:rsidP="00176122">
      <w:pPr>
        <w:bidi/>
        <w:rPr>
          <w:sz w:val="26"/>
          <w:szCs w:val="26"/>
          <w:u w:val="single"/>
          <w:lang w:bidi="ar-LB"/>
        </w:rPr>
      </w:pPr>
    </w:p>
    <w:p w14:paraId="5067B819" w14:textId="63A6EC14" w:rsidR="000A79AD" w:rsidRPr="00176122" w:rsidRDefault="000A79AD" w:rsidP="000A79AD">
      <w:pPr>
        <w:bidi/>
        <w:rPr>
          <w:sz w:val="26"/>
          <w:szCs w:val="26"/>
          <w:u w:val="single"/>
          <w:lang w:bidi="ar-LB"/>
        </w:rPr>
      </w:pPr>
      <w:r w:rsidRPr="000A79AD">
        <w:rPr>
          <w:sz w:val="26"/>
          <w:szCs w:val="26"/>
          <w:u w:val="single"/>
          <w:rtl/>
          <w:lang w:bidi="ar-LB"/>
        </w:rPr>
        <w:t>الوحدة الأساسية</w:t>
      </w:r>
    </w:p>
    <w:p w14:paraId="65783E4E" w14:textId="77777777" w:rsidR="007F4FCC" w:rsidRPr="00176122" w:rsidRDefault="007F4FCC" w:rsidP="00176122">
      <w:pPr>
        <w:bidi/>
        <w:rPr>
          <w:sz w:val="26"/>
          <w:szCs w:val="26"/>
          <w:u w:val="single"/>
          <w:lang w:bidi="ar-LB"/>
        </w:rPr>
      </w:pPr>
    </w:p>
    <w:p w14:paraId="58DB1867" w14:textId="22AE113C" w:rsidR="000A79AD" w:rsidRPr="000A79AD" w:rsidRDefault="00B328AB" w:rsidP="000A79AD">
      <w:pPr>
        <w:pStyle w:val="Heading1"/>
        <w:bidi/>
        <w:spacing w:line="288" w:lineRule="auto"/>
        <w:rPr>
          <w:sz w:val="26"/>
          <w:szCs w:val="26"/>
          <w:lang w:val="en-US" w:bidi="ar-LB"/>
        </w:rPr>
      </w:pPr>
      <w:r w:rsidRPr="00B328AB">
        <w:rPr>
          <w:sz w:val="26"/>
          <w:szCs w:val="26"/>
          <w:rtl/>
          <w:lang w:val="en-US" w:bidi="ar-LB"/>
        </w:rPr>
        <w:t xml:space="preserve">ثمة حاجة إلى موارد لبناء قدرات الوكالات من حيث الموظفين الإضافيين اللازمين لدعم تطوير وتنفيذ المشاريع في فترة الثلاث سنوات القادمة على النحو </w:t>
      </w:r>
      <w:r w:rsidR="00DC31EE" w:rsidRPr="00B328AB">
        <w:rPr>
          <w:sz w:val="26"/>
          <w:szCs w:val="26"/>
          <w:rtl/>
          <w:lang w:val="en-US" w:bidi="ar-LB"/>
        </w:rPr>
        <w:t>المبين</w:t>
      </w:r>
      <w:r w:rsidRPr="00B328AB">
        <w:rPr>
          <w:sz w:val="26"/>
          <w:szCs w:val="26"/>
          <w:rtl/>
          <w:lang w:val="en-US" w:bidi="ar-LB"/>
        </w:rPr>
        <w:t xml:space="preserve"> في الفقرة 17. وبغية القيام بذلك، يُقترح إدراج تمويل إضافي بمبلغ قدره 200,000 دولار أمريكي لكل وكالة سنوياً</w:t>
      </w:r>
      <w:r>
        <w:rPr>
          <w:rStyle w:val="FootnoteReference"/>
          <w:sz w:val="26"/>
          <w:szCs w:val="26"/>
          <w:rtl/>
          <w:lang w:val="en-US" w:bidi="ar-LB"/>
        </w:rPr>
        <w:footnoteReference w:id="12"/>
      </w:r>
      <w:r w:rsidRPr="00B328AB">
        <w:rPr>
          <w:sz w:val="26"/>
          <w:szCs w:val="26"/>
          <w:rtl/>
          <w:lang w:val="en-US" w:bidi="ar-LB"/>
        </w:rPr>
        <w:t>، في تكاليف الوحدة الأساسية، اعتباراً من عام 2024 لفترة الثلاث سنوات 2024-2026، لتعزيز قدرات اليوئنديبي واليونيدو والبنك الدولي على التعامل مع الزيادة في عبء العمل وتمكينهم من دعم البلدان العاملة بموجب المادة 5 طوال دورة المشروع، بدءاً من تطوير المشروع. ومن شأن هذا التمويل الإضافي أن يؤدي إلى تكاليف إضافية تبلغ حوالي 1.8 مليون دولار أمريكي للوحدة الأساسية في فترة الثلاث سنوات 2024-2026.</w:t>
      </w:r>
    </w:p>
    <w:p w14:paraId="4FBC62F2" w14:textId="52D6FE00" w:rsidR="00B328AB" w:rsidRPr="00176122" w:rsidRDefault="00B328AB" w:rsidP="00B328AB">
      <w:pPr>
        <w:bidi/>
        <w:rPr>
          <w:sz w:val="26"/>
          <w:szCs w:val="26"/>
          <w:u w:val="single"/>
          <w:lang w:bidi="ar-LB"/>
        </w:rPr>
      </w:pPr>
      <w:r w:rsidRPr="00B328AB">
        <w:rPr>
          <w:sz w:val="26"/>
          <w:szCs w:val="26"/>
          <w:u w:val="single"/>
          <w:rtl/>
          <w:lang w:bidi="ar-LB"/>
        </w:rPr>
        <w:t>تكاليف دعم البرامج للبلدان ذات حجمِ الاستهلاك المنخفض</w:t>
      </w:r>
    </w:p>
    <w:p w14:paraId="2E799076" w14:textId="77777777" w:rsidR="007F4FCC" w:rsidRPr="00176122" w:rsidRDefault="007F4FCC" w:rsidP="00176122">
      <w:pPr>
        <w:bidi/>
        <w:rPr>
          <w:sz w:val="26"/>
          <w:szCs w:val="26"/>
          <w:lang w:bidi="ar-LB"/>
        </w:rPr>
      </w:pPr>
    </w:p>
    <w:p w14:paraId="1C2ADABF" w14:textId="7C0EB1F6" w:rsidR="00B328AB" w:rsidRPr="00B328AB" w:rsidRDefault="00B328AB" w:rsidP="00B328AB">
      <w:pPr>
        <w:pStyle w:val="Heading1"/>
        <w:bidi/>
        <w:spacing w:line="288" w:lineRule="auto"/>
        <w:rPr>
          <w:sz w:val="26"/>
          <w:szCs w:val="26"/>
          <w:lang w:val="en-US" w:bidi="ar-LB"/>
        </w:rPr>
      </w:pPr>
      <w:bookmarkStart w:id="1" w:name="_Hlk151573304"/>
      <w:r w:rsidRPr="00B328AB">
        <w:rPr>
          <w:sz w:val="26"/>
          <w:szCs w:val="26"/>
          <w:rtl/>
          <w:lang w:val="en-US" w:bidi="ar-LB"/>
        </w:rPr>
        <w:t xml:space="preserve">فيما يتعلق بتكاليف دعم البرامج، خلال المناقشات مع الوكالات، تم تسليط الضوء على المستويات الأدنى من تكاليف دعم البرامج باعتبارها تحدياً أمام تقديم المساعدة إلى البلدان ذات حجم الاستهلاك المنخفض. ومع أخذ ذلك في الاعتبار، قامت الأمانة بتحليل سيناريو يتناول زيادة في تكاليف دعم البرامج لخطط تنفيذ كيغالي في البلدان ذات حجم الاستهلاك المنخفض في فترة الثلاث سنوات 2024-2026. ومن شأن هذا أن يترجم، وفقاً للوضع الراهن، إلى زيادة في تكاليف دعم البرامج لليوئنديبي واليونيدو من 7أو 9 في </w:t>
      </w:r>
      <w:r w:rsidR="00793244">
        <w:rPr>
          <w:sz w:val="26"/>
          <w:szCs w:val="26"/>
          <w:rtl/>
          <w:lang w:val="en-US" w:bidi="ar-LB"/>
        </w:rPr>
        <w:t>المئة</w:t>
      </w:r>
      <w:r w:rsidR="00DC31EE">
        <w:rPr>
          <w:rStyle w:val="FootnoteReference"/>
          <w:sz w:val="26"/>
          <w:szCs w:val="26"/>
          <w:rtl/>
          <w:lang w:val="en-US" w:bidi="ar-LB"/>
        </w:rPr>
        <w:footnoteReference w:id="13"/>
      </w:r>
      <w:r w:rsidR="00DC31EE" w:rsidRPr="00B328AB">
        <w:rPr>
          <w:sz w:val="26"/>
          <w:szCs w:val="26"/>
          <w:rtl/>
          <w:lang w:val="en-US" w:bidi="ar-LB"/>
        </w:rPr>
        <w:t xml:space="preserve"> </w:t>
      </w:r>
      <w:r w:rsidRPr="00B328AB">
        <w:rPr>
          <w:sz w:val="26"/>
          <w:szCs w:val="26"/>
          <w:rtl/>
          <w:lang w:val="en-US" w:bidi="ar-LB"/>
        </w:rPr>
        <w:t xml:space="preserve">إلى 13 في </w:t>
      </w:r>
      <w:r w:rsidR="00793244">
        <w:rPr>
          <w:sz w:val="26"/>
          <w:szCs w:val="26"/>
          <w:rtl/>
          <w:lang w:val="en-US" w:bidi="ar-LB"/>
        </w:rPr>
        <w:t>المئة</w:t>
      </w:r>
      <w:r w:rsidR="0067318F">
        <w:rPr>
          <w:rStyle w:val="FootnoteReference"/>
          <w:sz w:val="26"/>
          <w:szCs w:val="26"/>
          <w:rtl/>
          <w:lang w:val="en-US" w:bidi="ar-LB"/>
        </w:rPr>
        <w:footnoteReference w:id="14"/>
      </w:r>
      <w:r w:rsidRPr="00B328AB">
        <w:rPr>
          <w:sz w:val="26"/>
          <w:szCs w:val="26"/>
          <w:rtl/>
          <w:lang w:val="en-US" w:bidi="ar-LB"/>
        </w:rPr>
        <w:t>. ويعرض الجدول 3 ملخصَ هذا التحليل.</w:t>
      </w:r>
    </w:p>
    <w:p w14:paraId="1B2BE415" w14:textId="644E86DA" w:rsidR="001569B9" w:rsidRPr="00176122" w:rsidRDefault="001569B9" w:rsidP="001569B9">
      <w:pPr>
        <w:keepNext/>
        <w:bidi/>
        <w:rPr>
          <w:b/>
          <w:bCs/>
          <w:sz w:val="26"/>
          <w:szCs w:val="26"/>
          <w:lang w:bidi="ar-LB"/>
        </w:rPr>
      </w:pPr>
      <w:r w:rsidRPr="001569B9">
        <w:rPr>
          <w:b/>
          <w:bCs/>
          <w:sz w:val="26"/>
          <w:szCs w:val="26"/>
          <w:rtl/>
          <w:lang w:bidi="ar-LB"/>
        </w:rPr>
        <w:t xml:space="preserve">الجدول 3. تحليل زيادة تكاليف دعم المشروعات إلى 13 في </w:t>
      </w:r>
      <w:r w:rsidR="00793244">
        <w:rPr>
          <w:b/>
          <w:bCs/>
          <w:sz w:val="26"/>
          <w:szCs w:val="26"/>
          <w:rtl/>
          <w:lang w:bidi="ar-LB"/>
        </w:rPr>
        <w:t>المئة</w:t>
      </w:r>
      <w:r w:rsidRPr="001569B9">
        <w:rPr>
          <w:b/>
          <w:bCs/>
          <w:sz w:val="26"/>
          <w:szCs w:val="26"/>
          <w:rtl/>
          <w:lang w:bidi="ar-LB"/>
        </w:rPr>
        <w:t xml:space="preserve"> لخطط تنفيذ كيغالي في البلدان ذات حجم الاستهلاك المنخفض (</w:t>
      </w:r>
      <w:r>
        <w:rPr>
          <w:b/>
          <w:bCs/>
          <w:sz w:val="26"/>
          <w:szCs w:val="26"/>
          <w:rtl/>
          <w:lang w:bidi="ar-LB"/>
        </w:rPr>
        <w:t xml:space="preserve">دولار </w:t>
      </w:r>
      <w:r w:rsidRPr="001569B9">
        <w:rPr>
          <w:b/>
          <w:bCs/>
          <w:sz w:val="26"/>
          <w:szCs w:val="26"/>
          <w:rtl/>
          <w:lang w:bidi="ar-LB"/>
        </w:rPr>
        <w:t>أمريكي)</w:t>
      </w:r>
    </w:p>
    <w:tbl>
      <w:tblPr>
        <w:bidiVisual/>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15"/>
        <w:gridCol w:w="1957"/>
        <w:gridCol w:w="1958"/>
        <w:gridCol w:w="1957"/>
        <w:gridCol w:w="1958"/>
      </w:tblGrid>
      <w:tr w:rsidR="00687EE7" w:rsidRPr="00687EE7" w14:paraId="69BB74C8" w14:textId="77777777" w:rsidTr="007C1FE7">
        <w:trPr>
          <w:trHeight w:val="638"/>
        </w:trPr>
        <w:tc>
          <w:tcPr>
            <w:tcW w:w="1615" w:type="dxa"/>
            <w:tcMar>
              <w:top w:w="0" w:type="dxa"/>
              <w:left w:w="108" w:type="dxa"/>
              <w:bottom w:w="0" w:type="dxa"/>
              <w:right w:w="108" w:type="dxa"/>
            </w:tcMar>
            <w:vAlign w:val="center"/>
            <w:hideMark/>
          </w:tcPr>
          <w:p w14:paraId="4135E32E" w14:textId="14447FCE" w:rsidR="007F4FCC" w:rsidRPr="00687EE7" w:rsidRDefault="006F2E36" w:rsidP="006F2E36">
            <w:pPr>
              <w:keepNext/>
              <w:bidi/>
              <w:jc w:val="center"/>
              <w:rPr>
                <w:b/>
                <w:bCs/>
                <w:sz w:val="20"/>
                <w:szCs w:val="20"/>
                <w:lang w:bidi="ar-LB"/>
              </w:rPr>
            </w:pPr>
            <w:r w:rsidRPr="006F2E36">
              <w:rPr>
                <w:b/>
                <w:bCs/>
                <w:sz w:val="20"/>
                <w:szCs w:val="20"/>
                <w:rtl/>
                <w:lang w:bidi="ar-LB"/>
              </w:rPr>
              <w:t>التفاصيل</w:t>
            </w:r>
          </w:p>
        </w:tc>
        <w:tc>
          <w:tcPr>
            <w:tcW w:w="1957" w:type="dxa"/>
            <w:noWrap/>
            <w:tcMar>
              <w:top w:w="0" w:type="dxa"/>
              <w:left w:w="108" w:type="dxa"/>
              <w:bottom w:w="0" w:type="dxa"/>
              <w:right w:w="108" w:type="dxa"/>
            </w:tcMar>
            <w:vAlign w:val="center"/>
            <w:hideMark/>
          </w:tcPr>
          <w:p w14:paraId="4B5938FF" w14:textId="3D318D42" w:rsidR="007F4FCC" w:rsidRPr="00687EE7" w:rsidRDefault="006F2E36" w:rsidP="006F2E36">
            <w:pPr>
              <w:keepNext/>
              <w:bidi/>
              <w:jc w:val="center"/>
              <w:rPr>
                <w:b/>
                <w:bCs/>
                <w:sz w:val="20"/>
                <w:szCs w:val="20"/>
                <w:lang w:bidi="ar-LB"/>
              </w:rPr>
            </w:pPr>
            <w:r w:rsidRPr="006F2E36">
              <w:rPr>
                <w:b/>
                <w:bCs/>
                <w:sz w:val="20"/>
                <w:szCs w:val="20"/>
                <w:rtl/>
                <w:lang w:bidi="ar-LB"/>
              </w:rPr>
              <w:t>تكاليف المشروع</w:t>
            </w:r>
          </w:p>
        </w:tc>
        <w:tc>
          <w:tcPr>
            <w:tcW w:w="1958" w:type="dxa"/>
            <w:vAlign w:val="center"/>
          </w:tcPr>
          <w:p w14:paraId="38EC6DF2" w14:textId="0D6DEE4B" w:rsidR="007F4FCC" w:rsidRPr="00687EE7" w:rsidRDefault="006F2E36" w:rsidP="006F2E36">
            <w:pPr>
              <w:keepNext/>
              <w:bidi/>
              <w:jc w:val="center"/>
              <w:rPr>
                <w:b/>
                <w:bCs/>
                <w:sz w:val="20"/>
                <w:szCs w:val="20"/>
                <w:lang w:bidi="ar-LB"/>
              </w:rPr>
            </w:pPr>
            <w:r w:rsidRPr="006F2E36">
              <w:rPr>
                <w:b/>
                <w:bCs/>
                <w:sz w:val="20"/>
                <w:szCs w:val="20"/>
                <w:rtl/>
                <w:lang w:bidi="ar-LB"/>
              </w:rPr>
              <w:t>تكاليف دعم البرامج في خطة الأعمال المنقحة للأعوام 2024-2026</w:t>
            </w:r>
          </w:p>
        </w:tc>
        <w:tc>
          <w:tcPr>
            <w:tcW w:w="1957" w:type="dxa"/>
            <w:vAlign w:val="center"/>
          </w:tcPr>
          <w:p w14:paraId="6142B88D" w14:textId="557506B3" w:rsidR="007F4FCC" w:rsidRPr="00687EE7" w:rsidRDefault="006F2E36" w:rsidP="006F2E36">
            <w:pPr>
              <w:keepNext/>
              <w:bidi/>
              <w:jc w:val="center"/>
              <w:rPr>
                <w:b/>
                <w:bCs/>
                <w:sz w:val="20"/>
                <w:szCs w:val="20"/>
                <w:lang w:bidi="ar-LB"/>
              </w:rPr>
            </w:pPr>
            <w:r w:rsidRPr="006F2E36">
              <w:rPr>
                <w:b/>
                <w:bCs/>
                <w:sz w:val="20"/>
                <w:szCs w:val="20"/>
                <w:rtl/>
                <w:lang w:bidi="ar-LB"/>
              </w:rPr>
              <w:t>تكاليف دعم البرامج (13%)</w:t>
            </w:r>
          </w:p>
        </w:tc>
        <w:tc>
          <w:tcPr>
            <w:tcW w:w="1958" w:type="dxa"/>
            <w:vAlign w:val="center"/>
          </w:tcPr>
          <w:p w14:paraId="57AED8AE" w14:textId="5CF29981" w:rsidR="007F4FCC" w:rsidRPr="00687EE7" w:rsidRDefault="006F2E36" w:rsidP="006F2E36">
            <w:pPr>
              <w:keepNext/>
              <w:bidi/>
              <w:jc w:val="center"/>
              <w:rPr>
                <w:b/>
                <w:bCs/>
                <w:sz w:val="20"/>
                <w:szCs w:val="20"/>
                <w:lang w:bidi="ar-LB"/>
              </w:rPr>
            </w:pPr>
            <w:r w:rsidRPr="006F2E36">
              <w:rPr>
                <w:b/>
                <w:bCs/>
                <w:sz w:val="20"/>
                <w:szCs w:val="20"/>
                <w:rtl/>
                <w:lang w:bidi="ar-LB"/>
              </w:rPr>
              <w:t>الفرق في تكاليف دعم البرامج مقارنة بخطة الأعمال المنقحة للفترة 2024-2026</w:t>
            </w:r>
          </w:p>
        </w:tc>
      </w:tr>
      <w:tr w:rsidR="00DC31EE" w:rsidRPr="00687EE7" w14:paraId="140116F4" w14:textId="77777777" w:rsidTr="007C1FE7">
        <w:trPr>
          <w:trHeight w:val="258"/>
        </w:trPr>
        <w:tc>
          <w:tcPr>
            <w:tcW w:w="1615" w:type="dxa"/>
            <w:noWrap/>
            <w:tcMar>
              <w:top w:w="0" w:type="dxa"/>
              <w:left w:w="108" w:type="dxa"/>
              <w:bottom w:w="0" w:type="dxa"/>
              <w:right w:w="108" w:type="dxa"/>
            </w:tcMar>
            <w:vAlign w:val="bottom"/>
            <w:hideMark/>
          </w:tcPr>
          <w:p w14:paraId="577C1A3C" w14:textId="5242A2CE" w:rsidR="00DC31EE" w:rsidRPr="00687EE7" w:rsidRDefault="00DC31EE" w:rsidP="00DC31EE">
            <w:pPr>
              <w:keepNext/>
              <w:bidi/>
              <w:rPr>
                <w:sz w:val="20"/>
                <w:szCs w:val="20"/>
                <w:rtl/>
                <w:lang w:bidi="ar-LB"/>
              </w:rPr>
            </w:pPr>
            <w:r>
              <w:rPr>
                <w:sz w:val="20"/>
                <w:szCs w:val="20"/>
                <w:rtl/>
                <w:lang w:bidi="ar-LB"/>
              </w:rPr>
              <w:t>اليوئنديبي</w:t>
            </w:r>
          </w:p>
        </w:tc>
        <w:tc>
          <w:tcPr>
            <w:tcW w:w="1957" w:type="dxa"/>
            <w:tcBorders>
              <w:top w:val="single" w:sz="4" w:space="0" w:color="auto"/>
              <w:left w:val="nil"/>
              <w:bottom w:val="single" w:sz="4" w:space="0" w:color="auto"/>
              <w:right w:val="single" w:sz="4" w:space="0" w:color="auto"/>
            </w:tcBorders>
            <w:shd w:val="clear" w:color="auto" w:fill="auto"/>
            <w:noWrap/>
            <w:tcMar>
              <w:top w:w="0" w:type="dxa"/>
              <w:left w:w="115" w:type="dxa"/>
              <w:bottom w:w="0" w:type="dxa"/>
              <w:right w:w="115" w:type="dxa"/>
            </w:tcMar>
          </w:tcPr>
          <w:p w14:paraId="4F075A1F" w14:textId="572B4EAB" w:rsidR="00DC31EE" w:rsidRPr="00687EE7" w:rsidRDefault="00DC31EE" w:rsidP="00DC31EE">
            <w:pPr>
              <w:keepNext/>
              <w:bidi/>
              <w:jc w:val="left"/>
              <w:rPr>
                <w:sz w:val="20"/>
                <w:szCs w:val="20"/>
                <w:lang w:bidi="ar-LB"/>
              </w:rPr>
            </w:pPr>
            <w:r w:rsidRPr="00687EE7">
              <w:rPr>
                <w:sz w:val="20"/>
                <w:szCs w:val="20"/>
                <w:lang w:bidi="ar-LB"/>
              </w:rPr>
              <w:t>1,679,201</w:t>
            </w:r>
          </w:p>
        </w:tc>
        <w:tc>
          <w:tcPr>
            <w:tcW w:w="1958"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15" w:type="dxa"/>
            </w:tcMar>
            <w:vAlign w:val="bottom"/>
          </w:tcPr>
          <w:p w14:paraId="6819276F" w14:textId="49E0203A" w:rsidR="00DC31EE" w:rsidRPr="00687EE7" w:rsidRDefault="00DC31EE" w:rsidP="00DC31EE">
            <w:pPr>
              <w:keepNext/>
              <w:bidi/>
              <w:jc w:val="left"/>
              <w:rPr>
                <w:sz w:val="20"/>
                <w:szCs w:val="20"/>
                <w:lang w:bidi="ar-LB"/>
              </w:rPr>
            </w:pPr>
            <w:r w:rsidRPr="00687EE7">
              <w:rPr>
                <w:sz w:val="20"/>
                <w:szCs w:val="20"/>
                <w:lang w:bidi="ar-LB"/>
              </w:rPr>
              <w:t>130,623</w:t>
            </w:r>
          </w:p>
        </w:tc>
        <w:tc>
          <w:tcPr>
            <w:tcW w:w="1957" w:type="dxa"/>
            <w:tcBorders>
              <w:top w:val="single" w:sz="4" w:space="0" w:color="auto"/>
              <w:left w:val="single" w:sz="4" w:space="0" w:color="auto"/>
              <w:bottom w:val="single" w:sz="4" w:space="0" w:color="auto"/>
              <w:right w:val="single" w:sz="4" w:space="0" w:color="auto"/>
            </w:tcBorders>
            <w:tcMar>
              <w:left w:w="115" w:type="dxa"/>
              <w:right w:w="115" w:type="dxa"/>
            </w:tcMar>
          </w:tcPr>
          <w:p w14:paraId="280AB4CD" w14:textId="7FE0DE3D" w:rsidR="00DC31EE" w:rsidRPr="007C1FE7" w:rsidRDefault="00DC31EE" w:rsidP="00DC31EE">
            <w:pPr>
              <w:keepNext/>
              <w:bidi/>
              <w:jc w:val="left"/>
              <w:rPr>
                <w:sz w:val="20"/>
                <w:szCs w:val="20"/>
                <w:lang w:val="en-US" w:bidi="ar-LB"/>
              </w:rPr>
            </w:pPr>
            <w:r w:rsidRPr="00687EE7">
              <w:rPr>
                <w:sz w:val="20"/>
                <w:szCs w:val="20"/>
                <w:lang w:bidi="ar-LB"/>
              </w:rPr>
              <w:t>218,296</w:t>
            </w:r>
          </w:p>
        </w:tc>
        <w:tc>
          <w:tcPr>
            <w:tcW w:w="1958" w:type="dxa"/>
            <w:tcBorders>
              <w:top w:val="single" w:sz="4" w:space="0" w:color="auto"/>
              <w:left w:val="single" w:sz="4" w:space="0" w:color="auto"/>
              <w:bottom w:val="single" w:sz="4" w:space="0" w:color="auto"/>
              <w:right w:val="single" w:sz="4" w:space="0" w:color="auto"/>
            </w:tcBorders>
            <w:shd w:val="clear" w:color="auto" w:fill="auto"/>
            <w:tcMar>
              <w:left w:w="115" w:type="dxa"/>
              <w:right w:w="115" w:type="dxa"/>
            </w:tcMar>
            <w:vAlign w:val="bottom"/>
          </w:tcPr>
          <w:p w14:paraId="3DC6F065" w14:textId="4AF1CC83" w:rsidR="00DC31EE" w:rsidRPr="00687EE7" w:rsidRDefault="00DC31EE" w:rsidP="00DC31EE">
            <w:pPr>
              <w:keepNext/>
              <w:bidi/>
              <w:jc w:val="left"/>
              <w:rPr>
                <w:sz w:val="20"/>
                <w:szCs w:val="20"/>
                <w:lang w:bidi="ar-LB"/>
              </w:rPr>
            </w:pPr>
            <w:r w:rsidRPr="00687EE7">
              <w:rPr>
                <w:sz w:val="20"/>
                <w:szCs w:val="20"/>
                <w:lang w:bidi="ar-LB"/>
              </w:rPr>
              <w:t>87,673</w:t>
            </w:r>
          </w:p>
        </w:tc>
      </w:tr>
      <w:tr w:rsidR="00DC31EE" w:rsidRPr="00687EE7" w14:paraId="1F6ECC0C" w14:textId="77777777" w:rsidTr="007C1FE7">
        <w:trPr>
          <w:trHeight w:val="258"/>
        </w:trPr>
        <w:tc>
          <w:tcPr>
            <w:tcW w:w="1615" w:type="dxa"/>
            <w:noWrap/>
            <w:tcMar>
              <w:top w:w="0" w:type="dxa"/>
              <w:left w:w="108" w:type="dxa"/>
              <w:bottom w:w="0" w:type="dxa"/>
              <w:right w:w="108" w:type="dxa"/>
            </w:tcMar>
            <w:vAlign w:val="bottom"/>
            <w:hideMark/>
          </w:tcPr>
          <w:p w14:paraId="08DA5454" w14:textId="5FADFD63" w:rsidR="00DC31EE" w:rsidRPr="00687EE7" w:rsidRDefault="00DC31EE" w:rsidP="00DC31EE">
            <w:pPr>
              <w:keepNext/>
              <w:bidi/>
              <w:rPr>
                <w:sz w:val="20"/>
                <w:szCs w:val="20"/>
                <w:rtl/>
                <w:lang w:bidi="ar-LB"/>
              </w:rPr>
            </w:pPr>
            <w:r>
              <w:rPr>
                <w:sz w:val="20"/>
                <w:szCs w:val="20"/>
                <w:rtl/>
                <w:lang w:bidi="ar-LB"/>
              </w:rPr>
              <w:t>اليونيدو</w:t>
            </w:r>
          </w:p>
        </w:tc>
        <w:tc>
          <w:tcPr>
            <w:tcW w:w="1957" w:type="dxa"/>
            <w:tcBorders>
              <w:top w:val="single" w:sz="4" w:space="0" w:color="auto"/>
              <w:left w:val="nil"/>
              <w:bottom w:val="single" w:sz="4" w:space="0" w:color="auto"/>
              <w:right w:val="single" w:sz="4" w:space="0" w:color="auto"/>
            </w:tcBorders>
            <w:shd w:val="clear" w:color="auto" w:fill="auto"/>
            <w:noWrap/>
            <w:tcMar>
              <w:top w:w="0" w:type="dxa"/>
              <w:left w:w="115" w:type="dxa"/>
              <w:bottom w:w="0" w:type="dxa"/>
              <w:right w:w="115" w:type="dxa"/>
            </w:tcMar>
          </w:tcPr>
          <w:p w14:paraId="3AE1CB25" w14:textId="57EBE545" w:rsidR="00DC31EE" w:rsidRPr="00687EE7" w:rsidRDefault="00DC31EE" w:rsidP="00DC31EE">
            <w:pPr>
              <w:keepNext/>
              <w:bidi/>
              <w:jc w:val="left"/>
              <w:rPr>
                <w:sz w:val="20"/>
                <w:szCs w:val="20"/>
                <w:lang w:bidi="ar-LB"/>
              </w:rPr>
            </w:pPr>
            <w:r w:rsidRPr="00687EE7">
              <w:rPr>
                <w:sz w:val="20"/>
                <w:szCs w:val="20"/>
                <w:lang w:bidi="ar-LB"/>
              </w:rPr>
              <w:t>5,140,016</w:t>
            </w:r>
          </w:p>
        </w:tc>
        <w:tc>
          <w:tcPr>
            <w:tcW w:w="1958"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15" w:type="dxa"/>
            </w:tcMar>
            <w:vAlign w:val="bottom"/>
          </w:tcPr>
          <w:p w14:paraId="033B1FDD" w14:textId="70234605" w:rsidR="00DC31EE" w:rsidRPr="00687EE7" w:rsidRDefault="00DC31EE" w:rsidP="00DC31EE">
            <w:pPr>
              <w:keepNext/>
              <w:bidi/>
              <w:jc w:val="left"/>
              <w:rPr>
                <w:sz w:val="20"/>
                <w:szCs w:val="20"/>
                <w:lang w:bidi="ar-LB"/>
              </w:rPr>
            </w:pPr>
            <w:r w:rsidRPr="00687EE7">
              <w:rPr>
                <w:sz w:val="20"/>
                <w:szCs w:val="20"/>
                <w:lang w:bidi="ar-LB"/>
              </w:rPr>
              <w:t>384,051</w:t>
            </w:r>
          </w:p>
        </w:tc>
        <w:tc>
          <w:tcPr>
            <w:tcW w:w="1957" w:type="dxa"/>
            <w:tcBorders>
              <w:top w:val="single" w:sz="4" w:space="0" w:color="auto"/>
              <w:left w:val="single" w:sz="4" w:space="0" w:color="auto"/>
              <w:bottom w:val="single" w:sz="4" w:space="0" w:color="auto"/>
              <w:right w:val="single" w:sz="4" w:space="0" w:color="auto"/>
            </w:tcBorders>
            <w:tcMar>
              <w:left w:w="115" w:type="dxa"/>
              <w:right w:w="115" w:type="dxa"/>
            </w:tcMar>
          </w:tcPr>
          <w:p w14:paraId="0E421776" w14:textId="4596B97C" w:rsidR="00DC31EE" w:rsidRPr="00687EE7" w:rsidRDefault="00DC31EE" w:rsidP="00DC31EE">
            <w:pPr>
              <w:keepNext/>
              <w:bidi/>
              <w:jc w:val="left"/>
              <w:rPr>
                <w:sz w:val="20"/>
                <w:szCs w:val="20"/>
                <w:lang w:bidi="ar-LB"/>
              </w:rPr>
            </w:pPr>
            <w:r w:rsidRPr="00687EE7">
              <w:rPr>
                <w:sz w:val="20"/>
                <w:szCs w:val="20"/>
                <w:lang w:bidi="ar-LB"/>
              </w:rPr>
              <w:t>668,202</w:t>
            </w:r>
          </w:p>
        </w:tc>
        <w:tc>
          <w:tcPr>
            <w:tcW w:w="1958" w:type="dxa"/>
            <w:tcBorders>
              <w:top w:val="single" w:sz="4" w:space="0" w:color="auto"/>
              <w:left w:val="single" w:sz="4" w:space="0" w:color="auto"/>
              <w:bottom w:val="single" w:sz="4" w:space="0" w:color="auto"/>
              <w:right w:val="single" w:sz="4" w:space="0" w:color="auto"/>
            </w:tcBorders>
            <w:shd w:val="clear" w:color="auto" w:fill="auto"/>
            <w:tcMar>
              <w:left w:w="115" w:type="dxa"/>
              <w:right w:w="115" w:type="dxa"/>
            </w:tcMar>
            <w:vAlign w:val="bottom"/>
          </w:tcPr>
          <w:p w14:paraId="188AC9DC" w14:textId="0EC08553" w:rsidR="00DC31EE" w:rsidRPr="00687EE7" w:rsidRDefault="00DC31EE" w:rsidP="00DC31EE">
            <w:pPr>
              <w:keepNext/>
              <w:bidi/>
              <w:jc w:val="left"/>
              <w:rPr>
                <w:sz w:val="20"/>
                <w:szCs w:val="20"/>
                <w:lang w:bidi="ar-LB"/>
              </w:rPr>
            </w:pPr>
            <w:r w:rsidRPr="00687EE7">
              <w:rPr>
                <w:sz w:val="20"/>
                <w:szCs w:val="20"/>
                <w:lang w:bidi="ar-LB"/>
              </w:rPr>
              <w:t>284,151</w:t>
            </w:r>
          </w:p>
        </w:tc>
      </w:tr>
      <w:tr w:rsidR="00DC31EE" w:rsidRPr="00687EE7" w14:paraId="0974BB9C" w14:textId="77777777" w:rsidTr="007C1FE7">
        <w:trPr>
          <w:trHeight w:val="258"/>
        </w:trPr>
        <w:tc>
          <w:tcPr>
            <w:tcW w:w="1615" w:type="dxa"/>
            <w:noWrap/>
            <w:tcMar>
              <w:top w:w="0" w:type="dxa"/>
              <w:left w:w="108" w:type="dxa"/>
              <w:bottom w:w="0" w:type="dxa"/>
              <w:right w:w="108" w:type="dxa"/>
            </w:tcMar>
            <w:vAlign w:val="bottom"/>
            <w:hideMark/>
          </w:tcPr>
          <w:p w14:paraId="7896BB01" w14:textId="33C89A29" w:rsidR="00DC31EE" w:rsidRPr="00687EE7" w:rsidRDefault="00DC31EE" w:rsidP="00DC31EE">
            <w:pPr>
              <w:keepNext/>
              <w:bidi/>
              <w:rPr>
                <w:b/>
                <w:bCs/>
                <w:sz w:val="20"/>
                <w:szCs w:val="20"/>
                <w:rtl/>
                <w:lang w:bidi="ar-LB"/>
              </w:rPr>
            </w:pPr>
            <w:r>
              <w:rPr>
                <w:b/>
                <w:bCs/>
                <w:sz w:val="20"/>
                <w:szCs w:val="20"/>
                <w:rtl/>
                <w:lang w:bidi="ar-LB"/>
              </w:rPr>
              <w:t>المجموع</w:t>
            </w:r>
          </w:p>
        </w:tc>
        <w:tc>
          <w:tcPr>
            <w:tcW w:w="1957" w:type="dxa"/>
            <w:tcBorders>
              <w:top w:val="single" w:sz="4" w:space="0" w:color="auto"/>
              <w:left w:val="nil"/>
              <w:bottom w:val="single" w:sz="4" w:space="0" w:color="auto"/>
              <w:right w:val="single" w:sz="4" w:space="0" w:color="auto"/>
            </w:tcBorders>
            <w:shd w:val="clear" w:color="auto" w:fill="auto"/>
            <w:noWrap/>
            <w:tcMar>
              <w:top w:w="0" w:type="dxa"/>
              <w:left w:w="115" w:type="dxa"/>
              <w:bottom w:w="0" w:type="dxa"/>
              <w:right w:w="115" w:type="dxa"/>
            </w:tcMar>
            <w:vAlign w:val="bottom"/>
          </w:tcPr>
          <w:p w14:paraId="4990FC9D" w14:textId="2142311E" w:rsidR="00DC31EE" w:rsidRPr="00687EE7" w:rsidRDefault="00DC31EE" w:rsidP="00DC31EE">
            <w:pPr>
              <w:keepNext/>
              <w:bidi/>
              <w:jc w:val="left"/>
              <w:rPr>
                <w:b/>
                <w:bCs/>
                <w:sz w:val="20"/>
                <w:szCs w:val="20"/>
                <w:lang w:bidi="ar-LB"/>
              </w:rPr>
            </w:pPr>
            <w:r w:rsidRPr="00687EE7">
              <w:rPr>
                <w:b/>
                <w:bCs/>
                <w:sz w:val="20"/>
                <w:szCs w:val="20"/>
                <w:lang w:bidi="ar-LB"/>
              </w:rPr>
              <w:t>6,819,217</w:t>
            </w:r>
          </w:p>
        </w:tc>
        <w:tc>
          <w:tcPr>
            <w:tcW w:w="1958"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15" w:type="dxa"/>
            </w:tcMar>
            <w:vAlign w:val="bottom"/>
          </w:tcPr>
          <w:p w14:paraId="5A37F890" w14:textId="0C8382A8" w:rsidR="00DC31EE" w:rsidRPr="00687EE7" w:rsidRDefault="00DC31EE" w:rsidP="00DC31EE">
            <w:pPr>
              <w:keepNext/>
              <w:bidi/>
              <w:jc w:val="left"/>
              <w:rPr>
                <w:b/>
                <w:bCs/>
                <w:sz w:val="20"/>
                <w:szCs w:val="20"/>
                <w:lang w:bidi="ar-LB"/>
              </w:rPr>
            </w:pPr>
            <w:r w:rsidRPr="00687EE7">
              <w:rPr>
                <w:b/>
                <w:bCs/>
                <w:sz w:val="20"/>
                <w:szCs w:val="20"/>
                <w:lang w:bidi="ar-LB"/>
              </w:rPr>
              <w:t>514,674</w:t>
            </w:r>
          </w:p>
        </w:tc>
        <w:tc>
          <w:tcPr>
            <w:tcW w:w="1957" w:type="dxa"/>
            <w:tcBorders>
              <w:top w:val="single" w:sz="4" w:space="0" w:color="auto"/>
              <w:left w:val="single" w:sz="4" w:space="0" w:color="auto"/>
              <w:bottom w:val="single" w:sz="4" w:space="0" w:color="auto"/>
              <w:right w:val="single" w:sz="4" w:space="0" w:color="auto"/>
            </w:tcBorders>
            <w:tcMar>
              <w:left w:w="115" w:type="dxa"/>
              <w:right w:w="115" w:type="dxa"/>
            </w:tcMar>
            <w:vAlign w:val="bottom"/>
          </w:tcPr>
          <w:p w14:paraId="30478AE0" w14:textId="7FAB5B67" w:rsidR="00DC31EE" w:rsidRPr="00687EE7" w:rsidRDefault="00DC31EE" w:rsidP="00DC31EE">
            <w:pPr>
              <w:keepNext/>
              <w:bidi/>
              <w:jc w:val="left"/>
              <w:rPr>
                <w:b/>
                <w:bCs/>
                <w:sz w:val="20"/>
                <w:szCs w:val="20"/>
                <w:lang w:bidi="ar-LB"/>
              </w:rPr>
            </w:pPr>
            <w:r w:rsidRPr="00687EE7">
              <w:rPr>
                <w:b/>
                <w:bCs/>
                <w:sz w:val="20"/>
                <w:szCs w:val="20"/>
                <w:lang w:bidi="ar-LB"/>
              </w:rPr>
              <w:t>886,498</w:t>
            </w:r>
          </w:p>
        </w:tc>
        <w:tc>
          <w:tcPr>
            <w:tcW w:w="1958" w:type="dxa"/>
            <w:tcBorders>
              <w:top w:val="single" w:sz="4" w:space="0" w:color="auto"/>
              <w:left w:val="single" w:sz="4" w:space="0" w:color="auto"/>
              <w:bottom w:val="single" w:sz="4" w:space="0" w:color="auto"/>
              <w:right w:val="single" w:sz="4" w:space="0" w:color="auto"/>
            </w:tcBorders>
            <w:shd w:val="clear" w:color="auto" w:fill="auto"/>
            <w:tcMar>
              <w:left w:w="115" w:type="dxa"/>
              <w:right w:w="115" w:type="dxa"/>
            </w:tcMar>
            <w:vAlign w:val="bottom"/>
          </w:tcPr>
          <w:p w14:paraId="43A76FB1" w14:textId="522DC59D" w:rsidR="00DC31EE" w:rsidRPr="00687EE7" w:rsidRDefault="00DC31EE" w:rsidP="00DC31EE">
            <w:pPr>
              <w:keepNext/>
              <w:bidi/>
              <w:jc w:val="left"/>
              <w:rPr>
                <w:b/>
                <w:bCs/>
                <w:sz w:val="20"/>
                <w:szCs w:val="20"/>
                <w:lang w:bidi="ar-LB"/>
              </w:rPr>
            </w:pPr>
            <w:r w:rsidRPr="00687EE7">
              <w:rPr>
                <w:b/>
                <w:bCs/>
                <w:sz w:val="20"/>
                <w:szCs w:val="20"/>
                <w:lang w:bidi="ar-LB"/>
              </w:rPr>
              <w:t>371,824</w:t>
            </w:r>
          </w:p>
        </w:tc>
      </w:tr>
    </w:tbl>
    <w:p w14:paraId="5E4E0F22" w14:textId="77777777" w:rsidR="007F4FCC" w:rsidRPr="00B5026D" w:rsidRDefault="007F4FCC" w:rsidP="00B5026D">
      <w:pPr>
        <w:bidi/>
        <w:rPr>
          <w:sz w:val="26"/>
          <w:szCs w:val="26"/>
          <w:lang w:bidi="ar-LB"/>
        </w:rPr>
      </w:pPr>
    </w:p>
    <w:p w14:paraId="1BD5AC44" w14:textId="3A3F0486" w:rsidR="00B5026D" w:rsidRPr="00B5026D" w:rsidRDefault="00B5026D" w:rsidP="00B5026D">
      <w:pPr>
        <w:pStyle w:val="Heading1"/>
        <w:bidi/>
        <w:spacing w:line="288" w:lineRule="auto"/>
        <w:rPr>
          <w:sz w:val="26"/>
          <w:szCs w:val="26"/>
          <w:lang w:val="en-US" w:bidi="ar-LB"/>
        </w:rPr>
      </w:pPr>
      <w:r w:rsidRPr="00B5026D">
        <w:rPr>
          <w:sz w:val="26"/>
          <w:szCs w:val="26"/>
          <w:rtl/>
          <w:lang w:val="en-US" w:bidi="ar-LB"/>
        </w:rPr>
        <w:t>من الجدول أعلاه، يمكن ملاحظة ما يلي:</w:t>
      </w:r>
    </w:p>
    <w:p w14:paraId="1757D44D" w14:textId="72074523" w:rsidR="00B5026D" w:rsidRPr="00B5026D" w:rsidRDefault="000A04FD">
      <w:pPr>
        <w:pStyle w:val="ListParagraph"/>
        <w:numPr>
          <w:ilvl w:val="0"/>
          <w:numId w:val="13"/>
        </w:numPr>
        <w:bidi/>
        <w:spacing w:after="240" w:line="288" w:lineRule="auto"/>
        <w:ind w:left="1440" w:hanging="720"/>
        <w:contextualSpacing w:val="0"/>
        <w:rPr>
          <w:sz w:val="26"/>
          <w:szCs w:val="26"/>
          <w:lang w:bidi="ar-LB"/>
        </w:rPr>
      </w:pPr>
      <w:r w:rsidRPr="000A04FD">
        <w:rPr>
          <w:sz w:val="26"/>
          <w:szCs w:val="26"/>
          <w:rtl/>
          <w:lang w:bidi="ar-LB"/>
        </w:rPr>
        <w:t xml:space="preserve">ستؤدي الزيادة في تكاليف دعم البرامج إلى 13 في </w:t>
      </w:r>
      <w:r w:rsidR="00793244">
        <w:rPr>
          <w:sz w:val="26"/>
          <w:szCs w:val="26"/>
          <w:rtl/>
          <w:lang w:bidi="ar-LB"/>
        </w:rPr>
        <w:t>المئة</w:t>
      </w:r>
      <w:r w:rsidRPr="000A04FD">
        <w:rPr>
          <w:sz w:val="26"/>
          <w:szCs w:val="26"/>
          <w:rtl/>
          <w:lang w:bidi="ar-LB"/>
        </w:rPr>
        <w:t xml:space="preserve"> لليوئنديبي واليونيدو إلى زيادة في تكاليف دعم البرامج بمبلغ قدره 87,673 دولار أمريكي و284,151 دولار أمريكي لليوئنديبي واليونيدو، على التوالي، لفترة الثلاث سنوات 2024-2026؛</w:t>
      </w:r>
    </w:p>
    <w:p w14:paraId="1F8E7E98" w14:textId="02F346DB" w:rsidR="000A04FD" w:rsidRPr="000A04FD" w:rsidRDefault="000A04FD">
      <w:pPr>
        <w:pStyle w:val="ListParagraph"/>
        <w:numPr>
          <w:ilvl w:val="0"/>
          <w:numId w:val="13"/>
        </w:numPr>
        <w:bidi/>
        <w:spacing w:after="240" w:line="288" w:lineRule="auto"/>
        <w:ind w:left="1440" w:hanging="720"/>
        <w:contextualSpacing w:val="0"/>
        <w:rPr>
          <w:sz w:val="26"/>
          <w:szCs w:val="26"/>
          <w:lang w:bidi="ar-LB"/>
        </w:rPr>
      </w:pPr>
      <w:r w:rsidRPr="000A04FD">
        <w:rPr>
          <w:sz w:val="26"/>
          <w:szCs w:val="26"/>
          <w:rtl/>
          <w:lang w:bidi="ar-LB"/>
        </w:rPr>
        <w:t xml:space="preserve">مع هذه الزيادة، سيكون إجمالي تكاليف دعم البرامج كنسبة مئوية من تكاليف المشروع لفترة الثلاث سنوات هوَ 12.2 في </w:t>
      </w:r>
      <w:r w:rsidR="00793244">
        <w:rPr>
          <w:sz w:val="26"/>
          <w:szCs w:val="26"/>
          <w:rtl/>
          <w:lang w:bidi="ar-LB"/>
        </w:rPr>
        <w:t>المئة</w:t>
      </w:r>
      <w:r w:rsidRPr="000A04FD">
        <w:rPr>
          <w:sz w:val="26"/>
          <w:szCs w:val="26"/>
          <w:rtl/>
          <w:lang w:bidi="ar-LB"/>
        </w:rPr>
        <w:t>.</w:t>
      </w:r>
    </w:p>
    <w:bookmarkEnd w:id="1"/>
    <w:p w14:paraId="1E5F99FA" w14:textId="2145402A" w:rsidR="000A04FD" w:rsidRPr="000A04FD" w:rsidRDefault="000A04FD" w:rsidP="000A04FD">
      <w:pPr>
        <w:pStyle w:val="Heading1"/>
        <w:bidi/>
        <w:spacing w:line="288" w:lineRule="auto"/>
        <w:rPr>
          <w:sz w:val="26"/>
          <w:szCs w:val="26"/>
          <w:lang w:val="en-US" w:bidi="ar-LB"/>
        </w:rPr>
      </w:pPr>
      <w:r w:rsidRPr="000A04FD">
        <w:rPr>
          <w:sz w:val="26"/>
          <w:szCs w:val="26"/>
          <w:rtl/>
          <w:lang w:val="en-US" w:bidi="ar-LB"/>
        </w:rPr>
        <w:t>في حال وافقت اللجنة التنفيذية على هذا النهج، فمن المقترح أن يتم تنقيح تكاليف دعم البرامج للمرحلة الأولى من خطط تنفيذ كيغالي للبلدان ذات حجم الاستهلاك المنخفض المقدمة إلى الاجتماع الحالي تبعاً لذلك.</w:t>
      </w:r>
    </w:p>
    <w:p w14:paraId="685EBC58" w14:textId="43AB6DC6" w:rsidR="00127228" w:rsidRPr="00127228" w:rsidRDefault="00127228" w:rsidP="00127228">
      <w:pPr>
        <w:pStyle w:val="Heading1"/>
        <w:numPr>
          <w:ilvl w:val="0"/>
          <w:numId w:val="0"/>
        </w:numPr>
        <w:bidi/>
        <w:rPr>
          <w:sz w:val="26"/>
          <w:szCs w:val="26"/>
          <w:u w:val="single"/>
          <w:lang w:bidi="ar-LB"/>
        </w:rPr>
      </w:pPr>
      <w:r w:rsidRPr="00127228">
        <w:rPr>
          <w:sz w:val="26"/>
          <w:szCs w:val="26"/>
          <w:u w:val="single"/>
          <w:rtl/>
          <w:lang w:bidi="ar-LB"/>
        </w:rPr>
        <w:t>تأثير الدعم على التكلفة الإدارية الإجمالية للوكالات</w:t>
      </w:r>
    </w:p>
    <w:p w14:paraId="4D553E46" w14:textId="3ACA6725" w:rsidR="00127228" w:rsidRPr="00127228" w:rsidRDefault="00127228" w:rsidP="00127228">
      <w:pPr>
        <w:pStyle w:val="Heading1"/>
        <w:bidi/>
        <w:spacing w:line="288" w:lineRule="auto"/>
        <w:rPr>
          <w:sz w:val="26"/>
          <w:szCs w:val="26"/>
          <w:lang w:val="en-US" w:bidi="ar-LB"/>
        </w:rPr>
      </w:pPr>
      <w:r w:rsidRPr="00127228">
        <w:rPr>
          <w:sz w:val="26"/>
          <w:szCs w:val="26"/>
          <w:rtl/>
          <w:lang w:val="en-US" w:bidi="ar-LB"/>
        </w:rPr>
        <w:t xml:space="preserve">إن من شأن الزيادة في تمويل الوحدات الأساسية لليوئنديبي، واليونيدو، والبنك الدولي البالغة 200,000 دولار أمريكي سنوياً، المقترنة بزيادة تكاليف دعم البرامج للوكالات لخطط تنفيذ كيغالي في البلدان ذات حجم الاستهلاك المنخفض لتصل إلى 13 في </w:t>
      </w:r>
      <w:r w:rsidR="00793244">
        <w:rPr>
          <w:sz w:val="26"/>
          <w:szCs w:val="26"/>
          <w:rtl/>
          <w:lang w:val="en-US" w:bidi="ar-LB"/>
        </w:rPr>
        <w:t>المئة</w:t>
      </w:r>
      <w:r w:rsidRPr="00127228">
        <w:rPr>
          <w:sz w:val="26"/>
          <w:szCs w:val="26"/>
          <w:rtl/>
          <w:lang w:val="en-US" w:bidi="ar-LB"/>
        </w:rPr>
        <w:t xml:space="preserve">، أن تؤدي إلى زيادة إجمالي تكاليف دعم المشروعات كنسبة مئوية من تكاليف المشروع لفترة الثلاث سنوات بنسبة 12.6 في </w:t>
      </w:r>
      <w:r w:rsidR="00793244">
        <w:rPr>
          <w:sz w:val="26"/>
          <w:szCs w:val="26"/>
          <w:rtl/>
          <w:lang w:val="en-US" w:bidi="ar-LB"/>
        </w:rPr>
        <w:t>المئة</w:t>
      </w:r>
      <w:r w:rsidRPr="00127228">
        <w:rPr>
          <w:sz w:val="26"/>
          <w:szCs w:val="26"/>
          <w:rtl/>
          <w:lang w:val="en-US" w:bidi="ar-LB"/>
        </w:rPr>
        <w:t xml:space="preserve">، استناداً إلى خطط </w:t>
      </w:r>
      <w:r>
        <w:rPr>
          <w:sz w:val="26"/>
          <w:szCs w:val="26"/>
          <w:rtl/>
          <w:lang w:val="en-US" w:bidi="ar-LB"/>
        </w:rPr>
        <w:t>الأعمال</w:t>
      </w:r>
      <w:r w:rsidRPr="00127228">
        <w:rPr>
          <w:sz w:val="26"/>
          <w:szCs w:val="26"/>
          <w:rtl/>
          <w:lang w:val="en-US" w:bidi="ar-LB"/>
        </w:rPr>
        <w:t xml:space="preserve"> المنقحة الحالية لفترة الثلاث سنوات 2024-2026. وستتم مراجعة هذه الزيادة المقترحة في نهاية فترة الثلاث سنوات 2024-2026، بالتوازي مع تقديم تحليل إلى الاجتماع الأخير لعام 2026 حول ما إذا كان ينبغي مواصلة العمل بنظام التكاليف الإدارية للصندوق المتعدد الأطراف لفترة الثلاث سنوات 2024-2026 أيضاً لفترة الثلاث سنوات 2027-2029.</w:t>
      </w:r>
    </w:p>
    <w:p w14:paraId="02CC53C9" w14:textId="73DB053B" w:rsidR="00127228" w:rsidRPr="00B5026D" w:rsidRDefault="00127228" w:rsidP="00127228">
      <w:pPr>
        <w:keepNext/>
        <w:bidi/>
        <w:rPr>
          <w:b/>
          <w:bCs/>
          <w:sz w:val="26"/>
          <w:szCs w:val="26"/>
          <w:lang w:bidi="ar-LB"/>
        </w:rPr>
      </w:pPr>
      <w:r w:rsidRPr="00127228">
        <w:rPr>
          <w:b/>
          <w:bCs/>
          <w:sz w:val="26"/>
          <w:szCs w:val="26"/>
          <w:rtl/>
          <w:lang w:bidi="ar-LB"/>
        </w:rPr>
        <w:t>دعم البلدان ذات حجمِ الاستهلاك المنخفض (نظام التكاليف غير الإدارية)</w:t>
      </w:r>
    </w:p>
    <w:p w14:paraId="4B12691F" w14:textId="77777777" w:rsidR="007F4FCC" w:rsidRPr="00B5026D" w:rsidRDefault="007F4FCC" w:rsidP="00B5026D">
      <w:pPr>
        <w:keepNext/>
        <w:bidi/>
        <w:rPr>
          <w:sz w:val="26"/>
          <w:szCs w:val="26"/>
          <w:lang w:bidi="ar-LB"/>
        </w:rPr>
      </w:pPr>
    </w:p>
    <w:p w14:paraId="107ECDBE" w14:textId="7562C473" w:rsidR="00127228" w:rsidRPr="00127228" w:rsidRDefault="00243455" w:rsidP="00127228">
      <w:pPr>
        <w:pStyle w:val="Heading1"/>
        <w:bidi/>
        <w:spacing w:line="288" w:lineRule="auto"/>
        <w:rPr>
          <w:sz w:val="26"/>
          <w:szCs w:val="26"/>
          <w:lang w:val="en-US" w:bidi="ar-LB"/>
        </w:rPr>
      </w:pPr>
      <w:r w:rsidRPr="00243455">
        <w:rPr>
          <w:sz w:val="26"/>
          <w:szCs w:val="26"/>
          <w:rtl/>
          <w:lang w:val="en-US" w:bidi="ar-LB"/>
        </w:rPr>
        <w:t xml:space="preserve">تشير الأمانة إلى أن الزيادة في تمويل الوحدات الأساسية و/أو تكاليف دعم البرامج ستؤدي إلى ارتفاع مستويات تكاليف الدعم كنسبة مئوية من إجمالي الموافقات على المشروعات؛ مما يمكن أن يؤدي بدوره إلى تجاوز نسبة تكاليف دعم البرامج لمستوى 13 في </w:t>
      </w:r>
      <w:r w:rsidR="00793244">
        <w:rPr>
          <w:sz w:val="26"/>
          <w:szCs w:val="26"/>
          <w:rtl/>
          <w:lang w:val="en-US" w:bidi="ar-LB"/>
        </w:rPr>
        <w:t>المئة</w:t>
      </w:r>
      <w:r w:rsidRPr="00243455">
        <w:rPr>
          <w:sz w:val="26"/>
          <w:szCs w:val="26"/>
          <w:rtl/>
          <w:lang w:val="en-US" w:bidi="ar-LB"/>
        </w:rPr>
        <w:t xml:space="preserve">. وبغية إتاحة موارد إضافية للدعم الفني ودعم السياسات للبلدان ذات حجم الاستهلاك المنخفض من خلال الوكالات خلال فترة الثلاث سنوات القادمة على النحو الموضح في الفقرة 16، مع ضمان بقاء تكاليف دعم البرامج في حدود عتبة 13 في </w:t>
      </w:r>
      <w:r w:rsidR="00793244">
        <w:rPr>
          <w:sz w:val="26"/>
          <w:szCs w:val="26"/>
          <w:rtl/>
          <w:lang w:val="en-US" w:bidi="ar-LB"/>
        </w:rPr>
        <w:t>المئة</w:t>
      </w:r>
      <w:r w:rsidRPr="00243455">
        <w:rPr>
          <w:sz w:val="26"/>
          <w:szCs w:val="26"/>
          <w:rtl/>
          <w:lang w:val="en-US" w:bidi="ar-LB"/>
        </w:rPr>
        <w:t xml:space="preserve">، تقترح الأمانة </w:t>
      </w:r>
      <w:r>
        <w:rPr>
          <w:sz w:val="26"/>
          <w:szCs w:val="26"/>
          <w:rtl/>
          <w:lang w:val="en-US" w:bidi="ar-LB"/>
        </w:rPr>
        <w:t>التالي</w:t>
      </w:r>
      <w:r w:rsidRPr="00243455">
        <w:rPr>
          <w:sz w:val="26"/>
          <w:szCs w:val="26"/>
          <w:rtl/>
          <w:lang w:val="en-US" w:bidi="ar-LB"/>
        </w:rPr>
        <w:t>.</w:t>
      </w:r>
    </w:p>
    <w:p w14:paraId="736F22BB" w14:textId="4D0F6FDF" w:rsidR="00243455" w:rsidRPr="00243455" w:rsidRDefault="00B418CA" w:rsidP="00243455">
      <w:pPr>
        <w:pStyle w:val="Heading1"/>
        <w:bidi/>
        <w:spacing w:line="288" w:lineRule="auto"/>
        <w:rPr>
          <w:sz w:val="26"/>
          <w:szCs w:val="26"/>
          <w:lang w:val="en-US" w:bidi="ar-LB"/>
        </w:rPr>
      </w:pPr>
      <w:r w:rsidRPr="00B418CA">
        <w:rPr>
          <w:sz w:val="26"/>
          <w:szCs w:val="26"/>
          <w:rtl/>
          <w:lang w:val="en-US" w:bidi="ar-LB"/>
        </w:rPr>
        <w:t>هنالك 88 بلداً من البلدان ذات حجم الاستهلاك المنخفض</w:t>
      </w:r>
      <w:r>
        <w:rPr>
          <w:rStyle w:val="FootnoteReference"/>
          <w:sz w:val="26"/>
          <w:szCs w:val="26"/>
          <w:rtl/>
          <w:lang w:val="en-US" w:bidi="ar-LB"/>
        </w:rPr>
        <w:footnoteReference w:id="15"/>
      </w:r>
      <w:r w:rsidRPr="00B418CA">
        <w:rPr>
          <w:sz w:val="26"/>
          <w:szCs w:val="26"/>
          <w:rtl/>
          <w:lang w:val="en-US" w:bidi="ar-LB"/>
        </w:rPr>
        <w:t xml:space="preserve"> تتلقى الدعم حالياً من الصندوق المتعدد الأطراف. ومن أجل تلبية احتياجات الدعم الفني والسياساتي لهذه البلدان خلال فترة الثلاث سنوات 2024-2026، يمكن تقديم تمويل لمرة واحدة بمبلغ قدره 7,500 دولار أمريكي لكل وكالة ثنائية ومنفذة، باعتبارها وكالة رئيسية أو متعاونة، نظير مساعدتها لكل دولة من البلدان ذات حجم الاستهلاك المنخفض في تنفيذ خطط تنفيذ كيغالي. وينبغي أن تتبع طلبات التمويل </w:t>
      </w:r>
      <w:r w:rsidR="00093B61">
        <w:rPr>
          <w:sz w:val="26"/>
          <w:szCs w:val="26"/>
          <w:rtl/>
          <w:lang w:val="en-US" w:bidi="ar-LB"/>
        </w:rPr>
        <w:t>الممارسات</w:t>
      </w:r>
      <w:r w:rsidRPr="00B418CA">
        <w:rPr>
          <w:sz w:val="26"/>
          <w:szCs w:val="26"/>
          <w:rtl/>
          <w:lang w:val="en-US" w:bidi="ar-LB"/>
        </w:rPr>
        <w:t xml:space="preserve"> </w:t>
      </w:r>
      <w:r w:rsidR="00093B61">
        <w:rPr>
          <w:sz w:val="26"/>
          <w:szCs w:val="26"/>
          <w:rtl/>
          <w:lang w:val="en-US" w:bidi="ar-LB"/>
        </w:rPr>
        <w:t>المعمول بها، بما في ذلك</w:t>
      </w:r>
      <w:r w:rsidRPr="00B418CA">
        <w:rPr>
          <w:sz w:val="26"/>
          <w:szCs w:val="26"/>
          <w:rtl/>
          <w:lang w:val="en-US" w:bidi="ar-LB"/>
        </w:rPr>
        <w:t xml:space="preserve"> في تخطيط الأعمال، </w:t>
      </w:r>
      <w:r w:rsidR="00093B61">
        <w:rPr>
          <w:sz w:val="26"/>
          <w:szCs w:val="26"/>
          <w:rtl/>
          <w:lang w:val="en-US" w:bidi="ar-LB"/>
        </w:rPr>
        <w:t>وإدراجها</w:t>
      </w:r>
      <w:r w:rsidRPr="00B418CA">
        <w:rPr>
          <w:sz w:val="26"/>
          <w:szCs w:val="26"/>
          <w:rtl/>
          <w:lang w:val="en-US" w:bidi="ar-LB"/>
        </w:rPr>
        <w:t xml:space="preserve"> في إطار التعاون الثنائي أو برامج عمل الوكالات أو تعديلات برنامج العمل. ويتعين الانتهاء من الأنشطة الناتجة عن هذا التمويل في موعد أقصاه 24 شهراً من تاريخ الموافقة. وعندما تقدم الوكالات تقاريرها المرحلية للنظر فيها في عام 2026، ينبغي أن تقدم معلومات بشأن أنشطة الدعم المنفذة حتى الآن وتأثيرها. وبالاستناد إلى تحليل فعالية هذا الدعم التمويلي، يمكن تحديد الدعم المستقبلي للبلدان ذات حجم الاستهلاك المنخفض.</w:t>
      </w:r>
    </w:p>
    <w:p w14:paraId="36F7CA1D" w14:textId="5BB9964D" w:rsidR="00B418CA" w:rsidRPr="00B418CA" w:rsidRDefault="00B418CA" w:rsidP="00B418CA">
      <w:pPr>
        <w:keepNext/>
        <w:bidi/>
        <w:rPr>
          <w:bCs/>
          <w:sz w:val="26"/>
          <w:szCs w:val="26"/>
          <w:lang w:bidi="ar-LB"/>
        </w:rPr>
      </w:pPr>
      <w:r w:rsidRPr="00B418CA">
        <w:rPr>
          <w:bCs/>
          <w:sz w:val="26"/>
          <w:szCs w:val="26"/>
          <w:rtl/>
          <w:lang w:bidi="ar-LB"/>
        </w:rPr>
        <w:t>التوصية</w:t>
      </w:r>
    </w:p>
    <w:p w14:paraId="600AE89F" w14:textId="77777777" w:rsidR="007F4FCC" w:rsidRPr="00B5026D" w:rsidRDefault="007F4FCC" w:rsidP="00B5026D">
      <w:pPr>
        <w:keepNext/>
        <w:bidi/>
        <w:rPr>
          <w:sz w:val="26"/>
          <w:szCs w:val="26"/>
          <w:lang w:bidi="ar-LB"/>
        </w:rPr>
      </w:pPr>
    </w:p>
    <w:p w14:paraId="05DB06F8" w14:textId="5F151783" w:rsidR="00B418CA" w:rsidRPr="00B418CA" w:rsidRDefault="00B418CA" w:rsidP="00B418CA">
      <w:pPr>
        <w:pStyle w:val="Heading1"/>
        <w:bidi/>
        <w:spacing w:line="288" w:lineRule="auto"/>
        <w:rPr>
          <w:sz w:val="26"/>
          <w:szCs w:val="26"/>
          <w:lang w:val="en-US" w:bidi="ar-LB"/>
        </w:rPr>
      </w:pPr>
      <w:r>
        <w:rPr>
          <w:sz w:val="26"/>
          <w:szCs w:val="26"/>
          <w:rtl/>
          <w:lang w:val="en-US" w:bidi="ar-LB"/>
        </w:rPr>
        <w:t>قد ترغب اللجنة التنفيذية في:</w:t>
      </w:r>
    </w:p>
    <w:p w14:paraId="2D39EEAA" w14:textId="22A099E3" w:rsidR="00B418CA" w:rsidRPr="00B418CA" w:rsidRDefault="00884BC0">
      <w:pPr>
        <w:pStyle w:val="ListParagraph"/>
        <w:numPr>
          <w:ilvl w:val="0"/>
          <w:numId w:val="14"/>
        </w:numPr>
        <w:bidi/>
        <w:spacing w:after="240" w:line="288" w:lineRule="auto"/>
        <w:ind w:left="1440" w:hanging="720"/>
        <w:contextualSpacing w:val="0"/>
        <w:rPr>
          <w:sz w:val="26"/>
          <w:szCs w:val="26"/>
          <w:lang w:bidi="ar-LB"/>
        </w:rPr>
      </w:pPr>
      <w:r w:rsidRPr="00884BC0">
        <w:rPr>
          <w:sz w:val="26"/>
          <w:szCs w:val="26"/>
          <w:rtl/>
          <w:lang w:bidi="ar-LB"/>
        </w:rPr>
        <w:t xml:space="preserve">أن تحيط علماً باستعراض نظام التكاليف الإدارية للصندوق المتعدد الأطراف (المقرران 88/74(ج) و91/67(ب))، على النحو الوارد في الوثيقة </w:t>
      </w:r>
      <w:r w:rsidRPr="00884BC0">
        <w:rPr>
          <w:sz w:val="26"/>
          <w:szCs w:val="26"/>
          <w:lang w:bidi="ar-LB"/>
        </w:rPr>
        <w:t>UNEP/OzL.Pro/ExCom/93/101</w:t>
      </w:r>
      <w:r w:rsidRPr="00884BC0">
        <w:rPr>
          <w:sz w:val="26"/>
          <w:szCs w:val="26"/>
          <w:rtl/>
          <w:lang w:bidi="ar-LB"/>
        </w:rPr>
        <w:t>؛</w:t>
      </w:r>
    </w:p>
    <w:p w14:paraId="5568A84E" w14:textId="02DADEE0" w:rsidR="00884BC0" w:rsidRPr="00884BC0" w:rsidRDefault="00884BC0">
      <w:pPr>
        <w:pStyle w:val="ListParagraph"/>
        <w:numPr>
          <w:ilvl w:val="0"/>
          <w:numId w:val="14"/>
        </w:numPr>
        <w:bidi/>
        <w:spacing w:after="240" w:line="288" w:lineRule="auto"/>
        <w:ind w:left="1440" w:hanging="720"/>
        <w:contextualSpacing w:val="0"/>
        <w:rPr>
          <w:sz w:val="26"/>
          <w:szCs w:val="26"/>
          <w:lang w:bidi="ar-LB"/>
        </w:rPr>
      </w:pPr>
      <w:r>
        <w:rPr>
          <w:sz w:val="26"/>
          <w:szCs w:val="26"/>
          <w:rtl/>
          <w:lang w:bidi="ar-LB"/>
        </w:rPr>
        <w:t>النظر في:</w:t>
      </w:r>
    </w:p>
    <w:p w14:paraId="4E54048F" w14:textId="082C13ED" w:rsidR="00884BC0" w:rsidRPr="00884BC0" w:rsidRDefault="00884BC0">
      <w:pPr>
        <w:pStyle w:val="ListParagraph"/>
        <w:numPr>
          <w:ilvl w:val="0"/>
          <w:numId w:val="15"/>
        </w:numPr>
        <w:bidi/>
        <w:spacing w:after="240" w:line="288" w:lineRule="auto"/>
        <w:ind w:left="2160" w:hanging="720"/>
        <w:contextualSpacing w:val="0"/>
        <w:rPr>
          <w:sz w:val="26"/>
          <w:szCs w:val="26"/>
          <w:lang w:bidi="ar-LB"/>
        </w:rPr>
      </w:pPr>
      <w:r w:rsidRPr="00884BC0">
        <w:rPr>
          <w:sz w:val="26"/>
          <w:szCs w:val="26"/>
          <w:rtl/>
          <w:lang w:bidi="ar-LB"/>
        </w:rPr>
        <w:t>زيادة تمويل الوحدات الأساسية لليوئنديبي، واليونيدو، والبنك الدولي، بمقدار 200,000 دولار أمريكي لكل منها، لكل سنة من فترة الثلاث سنوات 2024-2026، بهدف تعزيز قدرتها على تقديم الدعم الفني ودعم سياسات البلدان العاملة بموجب المادة 5؛</w:t>
      </w:r>
    </w:p>
    <w:p w14:paraId="2F916860" w14:textId="23FC23E8" w:rsidR="00A513E4" w:rsidRPr="00A513E4" w:rsidRDefault="00A513E4">
      <w:pPr>
        <w:pStyle w:val="ListParagraph"/>
        <w:numPr>
          <w:ilvl w:val="0"/>
          <w:numId w:val="15"/>
        </w:numPr>
        <w:bidi/>
        <w:spacing w:after="240" w:line="288" w:lineRule="auto"/>
        <w:ind w:left="2160" w:hanging="720"/>
        <w:contextualSpacing w:val="0"/>
        <w:rPr>
          <w:sz w:val="26"/>
          <w:szCs w:val="26"/>
          <w:lang w:bidi="ar-LB"/>
        </w:rPr>
      </w:pPr>
      <w:r w:rsidRPr="00A513E4">
        <w:rPr>
          <w:sz w:val="26"/>
          <w:szCs w:val="26"/>
          <w:rtl/>
          <w:lang w:bidi="ar-LB"/>
        </w:rPr>
        <w:t>أن يستمر العمل بنظام التكاليف الإدارية للصندوق المتعدد الأطراف لفترة الثلاث سنوات 2021-2023 أيضاً لفترة الثلاث سنوات 2024-2026، باستثناء رسوم الوكالة للمرحلة الأولى من خطط تنفيذ كيغالي للمواد الهيدروفلوروكربونية للبلدان ذات حجم الاستهلاك المنخفض، والتي سيتم تطبيقها اعتباراً من الاجتماع الثالث والتسعين على النحو التالي:</w:t>
      </w:r>
    </w:p>
    <w:p w14:paraId="107539E0" w14:textId="3A70D83D" w:rsidR="00A513E4" w:rsidRPr="00A513E4" w:rsidRDefault="008F7AC0">
      <w:pPr>
        <w:pStyle w:val="ListParagraph"/>
        <w:numPr>
          <w:ilvl w:val="0"/>
          <w:numId w:val="16"/>
        </w:numPr>
        <w:bidi/>
        <w:spacing w:after="240" w:line="288" w:lineRule="auto"/>
        <w:ind w:left="2880" w:hanging="720"/>
        <w:contextualSpacing w:val="0"/>
        <w:rPr>
          <w:sz w:val="26"/>
          <w:szCs w:val="26"/>
          <w:lang w:bidi="ar-LB"/>
        </w:rPr>
      </w:pPr>
      <w:r w:rsidRPr="008F7AC0">
        <w:rPr>
          <w:sz w:val="26"/>
          <w:szCs w:val="26"/>
          <w:rtl/>
          <w:lang w:bidi="ar-LB"/>
        </w:rPr>
        <w:t>بنسبة 13 بالمئة على المشاريع التي تصل قيمتها إلى 500,000 دولار أمريكي؛</w:t>
      </w:r>
    </w:p>
    <w:p w14:paraId="10092D17" w14:textId="41837546" w:rsidR="008F7AC0" w:rsidRPr="008F7AC0" w:rsidRDefault="008F7AC0">
      <w:pPr>
        <w:pStyle w:val="ListParagraph"/>
        <w:numPr>
          <w:ilvl w:val="0"/>
          <w:numId w:val="16"/>
        </w:numPr>
        <w:bidi/>
        <w:spacing w:after="240" w:line="288" w:lineRule="auto"/>
        <w:ind w:left="2880" w:hanging="720"/>
        <w:contextualSpacing w:val="0"/>
        <w:rPr>
          <w:sz w:val="26"/>
          <w:szCs w:val="26"/>
          <w:lang w:bidi="ar-LB"/>
        </w:rPr>
      </w:pPr>
      <w:r w:rsidRPr="008F7AC0">
        <w:rPr>
          <w:sz w:val="26"/>
          <w:szCs w:val="26"/>
          <w:rtl/>
          <w:lang w:bidi="ar-LB"/>
        </w:rPr>
        <w:t xml:space="preserve">بنسبة 13 بالمئة على أول 500,000 دولار أمريكي و11 في </w:t>
      </w:r>
      <w:r w:rsidR="00793244">
        <w:rPr>
          <w:sz w:val="26"/>
          <w:szCs w:val="26"/>
          <w:rtl/>
          <w:lang w:bidi="ar-LB"/>
        </w:rPr>
        <w:t>المئة</w:t>
      </w:r>
      <w:r w:rsidRPr="008F7AC0">
        <w:rPr>
          <w:sz w:val="26"/>
          <w:szCs w:val="26"/>
          <w:rtl/>
          <w:lang w:bidi="ar-LB"/>
        </w:rPr>
        <w:t xml:space="preserve"> على الرصيد المتبقي بالنسبة للمشاريع التي تتجاوز قيمتها 500,000 دولار أمريكي؛</w:t>
      </w:r>
    </w:p>
    <w:p w14:paraId="262B6E1C" w14:textId="47F542E6" w:rsidR="00F77C68" w:rsidRDefault="00093B61">
      <w:pPr>
        <w:pStyle w:val="ListParagraph"/>
        <w:numPr>
          <w:ilvl w:val="0"/>
          <w:numId w:val="15"/>
        </w:numPr>
        <w:bidi/>
        <w:spacing w:after="240" w:line="288" w:lineRule="auto"/>
        <w:ind w:left="2160" w:hanging="720"/>
        <w:contextualSpacing w:val="0"/>
        <w:rPr>
          <w:sz w:val="26"/>
          <w:szCs w:val="26"/>
          <w:lang w:bidi="ar-LB"/>
        </w:rPr>
      </w:pPr>
      <w:r w:rsidRPr="00093B61">
        <w:rPr>
          <w:sz w:val="26"/>
          <w:szCs w:val="26"/>
          <w:rtl/>
          <w:lang w:bidi="ar-LB"/>
        </w:rPr>
        <w:t xml:space="preserve">خارج نظام التكاليف الإدارية للصندوق المتعدد الأطراف لفترة الثلاث سنوات 2024-2026، توفير تمويل لمرة واحدة بمبلغ قدره </w:t>
      </w:r>
      <w:r w:rsidR="00677680">
        <w:rPr>
          <w:sz w:val="26"/>
          <w:szCs w:val="26"/>
          <w:rtl/>
          <w:lang w:bidi="ar-LB"/>
        </w:rPr>
        <w:t xml:space="preserve"> </w:t>
      </w:r>
      <w:r w:rsidR="007962A4">
        <w:rPr>
          <w:sz w:val="26"/>
          <w:szCs w:val="26"/>
          <w:lang w:bidi="ar-LB"/>
        </w:rPr>
        <w:t xml:space="preserve"> 7,500</w:t>
      </w:r>
      <w:r w:rsidRPr="00093B61">
        <w:rPr>
          <w:sz w:val="26"/>
          <w:szCs w:val="26"/>
          <w:rtl/>
          <w:lang w:bidi="ar-LB"/>
        </w:rPr>
        <w:t xml:space="preserve">دولار أمريكي لكل وكالة ثنائية ومنفذة، باعتبارها وكالة رئيسية أو متعاونة، </w:t>
      </w:r>
      <w:r w:rsidR="00677680">
        <w:rPr>
          <w:sz w:val="26"/>
          <w:szCs w:val="26"/>
          <w:rtl/>
          <w:lang w:val="en-US" w:bidi="ar-LB"/>
        </w:rPr>
        <w:t>لقاء</w:t>
      </w:r>
      <w:r w:rsidRPr="00093B61">
        <w:rPr>
          <w:sz w:val="26"/>
          <w:szCs w:val="26"/>
          <w:rtl/>
          <w:lang w:bidi="ar-LB"/>
        </w:rPr>
        <w:t xml:space="preserve"> مساعدتها الفنية والسياساتية لكل بلد من البلدان ذات حجم الاستهلاك المنخفض في تنفيذ خطط تنفيذ كيغالي الخاصة بها، على أساس ما يلي:</w:t>
      </w:r>
    </w:p>
    <w:p w14:paraId="21E47291" w14:textId="289BB2B0" w:rsidR="00093B61" w:rsidRPr="00F77C68" w:rsidRDefault="00093B61">
      <w:pPr>
        <w:pStyle w:val="ListParagraph"/>
        <w:numPr>
          <w:ilvl w:val="0"/>
          <w:numId w:val="17"/>
        </w:numPr>
        <w:bidi/>
        <w:spacing w:after="240" w:line="288" w:lineRule="auto"/>
        <w:ind w:left="2880" w:hanging="720"/>
        <w:contextualSpacing w:val="0"/>
        <w:rPr>
          <w:sz w:val="26"/>
          <w:szCs w:val="26"/>
          <w:lang w:bidi="ar-LB"/>
        </w:rPr>
      </w:pPr>
      <w:r w:rsidRPr="00093B61">
        <w:rPr>
          <w:sz w:val="26"/>
          <w:szCs w:val="26"/>
          <w:rtl/>
          <w:lang w:bidi="ar-LB"/>
        </w:rPr>
        <w:t>ينبغي أن تتبع طلبات التمويل الممارسات المعمول بها، بما في ذلك تخطيط الأعمال وإدراجها في إطار التعاون الثنائي أو برامج العمل أو تعديلات برامج العمل للوكالات، كما يجب الانتهاء من الأنشطة الناتجة عن هذا التمويل في موعد أقصاه 24 شهراً من تاريخ الموافقة؛</w:t>
      </w:r>
    </w:p>
    <w:p w14:paraId="793A08C0" w14:textId="6221A4A7" w:rsidR="00093B61" w:rsidRPr="00093B61" w:rsidRDefault="00410441">
      <w:pPr>
        <w:pStyle w:val="ListParagraph"/>
        <w:numPr>
          <w:ilvl w:val="0"/>
          <w:numId w:val="17"/>
        </w:numPr>
        <w:bidi/>
        <w:spacing w:after="240" w:line="288" w:lineRule="auto"/>
        <w:ind w:left="2880" w:hanging="720"/>
        <w:contextualSpacing w:val="0"/>
        <w:rPr>
          <w:sz w:val="26"/>
          <w:szCs w:val="26"/>
          <w:lang w:bidi="ar-LB"/>
        </w:rPr>
      </w:pPr>
      <w:r w:rsidRPr="00410441">
        <w:rPr>
          <w:sz w:val="26"/>
          <w:szCs w:val="26"/>
          <w:rtl/>
          <w:lang w:bidi="ar-LB"/>
        </w:rPr>
        <w:t>أن تقدم الوكالات الثنائية والمنفذة تقارير بشأن أنشطة المساعدة الفنية والسياساتية المقدمة لجميع البلدان وتأثيرها كجزء من سرد التقدم السنوي والتقارير المالية؛ و</w:t>
      </w:r>
    </w:p>
    <w:p w14:paraId="74921B79" w14:textId="17074608" w:rsidR="00410441" w:rsidRPr="00410441" w:rsidRDefault="00410441">
      <w:pPr>
        <w:pStyle w:val="ListParagraph"/>
        <w:numPr>
          <w:ilvl w:val="0"/>
          <w:numId w:val="14"/>
        </w:numPr>
        <w:bidi/>
        <w:spacing w:after="240" w:line="288" w:lineRule="auto"/>
        <w:ind w:left="1440" w:hanging="720"/>
        <w:rPr>
          <w:sz w:val="26"/>
          <w:szCs w:val="26"/>
          <w:lang w:bidi="ar-LB"/>
        </w:rPr>
      </w:pPr>
      <w:r w:rsidRPr="00410441">
        <w:rPr>
          <w:sz w:val="26"/>
          <w:szCs w:val="26"/>
          <w:rtl/>
          <w:lang w:bidi="ar-LB"/>
        </w:rPr>
        <w:t>مراجعة نظام التكاليف الإدارية وميزانية تمويل وحدته الأساسية في الاجتماع الأخير لعام 2026، أي الاجتماع الأخير لفترة الثلاث سنوات 2024-2026، بما في ذلك استعراض تنفيذ الفقرة الفرعية (ب).</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87EE7" w:rsidRPr="00687EE7" w14:paraId="4A124A4A" w14:textId="77777777" w:rsidTr="007F4FCC">
        <w:tc>
          <w:tcPr>
            <w:tcW w:w="1871" w:type="dxa"/>
          </w:tcPr>
          <w:p w14:paraId="3DAC513A" w14:textId="77777777" w:rsidR="00E85409" w:rsidRPr="00687EE7" w:rsidRDefault="00E85409" w:rsidP="00FB077C">
            <w:pPr>
              <w:rPr>
                <w:lang w:bidi="ar-LB"/>
              </w:rPr>
            </w:pPr>
          </w:p>
        </w:tc>
        <w:tc>
          <w:tcPr>
            <w:tcW w:w="1872" w:type="dxa"/>
          </w:tcPr>
          <w:p w14:paraId="16B4F7FD" w14:textId="77777777" w:rsidR="00E85409" w:rsidRPr="00687EE7" w:rsidRDefault="00E85409" w:rsidP="00FB077C">
            <w:pPr>
              <w:rPr>
                <w:lang w:bidi="ar-LB"/>
              </w:rPr>
            </w:pPr>
          </w:p>
        </w:tc>
        <w:tc>
          <w:tcPr>
            <w:tcW w:w="1872" w:type="dxa"/>
            <w:tcBorders>
              <w:bottom w:val="single" w:sz="4" w:space="0" w:color="auto"/>
            </w:tcBorders>
          </w:tcPr>
          <w:p w14:paraId="379A5730" w14:textId="77777777" w:rsidR="00E85409" w:rsidRPr="00687EE7" w:rsidRDefault="00E85409" w:rsidP="00FB077C">
            <w:pPr>
              <w:rPr>
                <w:lang w:bidi="ar-LB"/>
              </w:rPr>
            </w:pPr>
          </w:p>
        </w:tc>
        <w:tc>
          <w:tcPr>
            <w:tcW w:w="1872" w:type="dxa"/>
          </w:tcPr>
          <w:p w14:paraId="370FA1B5" w14:textId="77777777" w:rsidR="00E85409" w:rsidRPr="00687EE7" w:rsidRDefault="00E85409" w:rsidP="00FB077C">
            <w:pPr>
              <w:rPr>
                <w:lang w:bidi="ar-LB"/>
              </w:rPr>
            </w:pPr>
          </w:p>
        </w:tc>
        <w:tc>
          <w:tcPr>
            <w:tcW w:w="1873" w:type="dxa"/>
          </w:tcPr>
          <w:p w14:paraId="6DBB6B5A" w14:textId="77777777" w:rsidR="00E85409" w:rsidRPr="00687EE7" w:rsidRDefault="00E85409" w:rsidP="00FB077C">
            <w:pPr>
              <w:rPr>
                <w:lang w:bidi="ar-LB"/>
              </w:rPr>
            </w:pPr>
          </w:p>
        </w:tc>
      </w:tr>
    </w:tbl>
    <w:p w14:paraId="3AB8D69E" w14:textId="77777777" w:rsidR="00E85409" w:rsidRPr="00687EE7" w:rsidRDefault="00E85409" w:rsidP="00DF4EA3">
      <w:pPr>
        <w:bidi/>
        <w:rPr>
          <w:lang w:bidi="ar-LB"/>
        </w:rPr>
      </w:pPr>
    </w:p>
    <w:sectPr w:rsidR="00E85409" w:rsidRPr="00687EE7"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CFE1E" w14:textId="77777777" w:rsidR="0056370B" w:rsidRDefault="0056370B" w:rsidP="004A504B">
      <w:r>
        <w:separator/>
      </w:r>
    </w:p>
  </w:endnote>
  <w:endnote w:type="continuationSeparator" w:id="0">
    <w:p w14:paraId="62BDC893" w14:textId="77777777" w:rsidR="0056370B" w:rsidRDefault="0056370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4985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A7B8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3247F" w14:textId="77777777" w:rsidR="0075799B" w:rsidRDefault="0075799B" w:rsidP="0075799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82238A8" w14:textId="3361963F" w:rsidR="004E7F9C" w:rsidRPr="0075799B" w:rsidRDefault="0075799B" w:rsidP="0075799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36145" w14:textId="77777777" w:rsidR="0056370B" w:rsidRDefault="0056370B" w:rsidP="0075799B">
      <w:pPr>
        <w:bidi/>
      </w:pPr>
      <w:r>
        <w:separator/>
      </w:r>
    </w:p>
  </w:footnote>
  <w:footnote w:type="continuationSeparator" w:id="0">
    <w:p w14:paraId="34B48E70" w14:textId="77777777" w:rsidR="0056370B" w:rsidRDefault="0056370B" w:rsidP="004A504B">
      <w:r>
        <w:continuationSeparator/>
      </w:r>
    </w:p>
  </w:footnote>
  <w:footnote w:id="1">
    <w:p w14:paraId="316B0190" w14:textId="77777777" w:rsidR="00463E9C" w:rsidRDefault="00463E9C" w:rsidP="00AD1519">
      <w:pPr>
        <w:pStyle w:val="FootnoteText"/>
        <w:bidi/>
        <w:spacing w:after="60"/>
        <w:rPr>
          <w:rtl/>
          <w:lang w:bidi="ar-AE"/>
        </w:rPr>
      </w:pPr>
      <w:r>
        <w:rPr>
          <w:rStyle w:val="FootnoteReference"/>
        </w:rPr>
        <w:footnoteRef/>
      </w:r>
      <w:r>
        <w:t xml:space="preserve"> </w:t>
      </w:r>
      <w:r>
        <w:rPr>
          <w:rFonts w:hint="cs"/>
          <w:rtl/>
        </w:rPr>
        <w:t xml:space="preserve">الوثيقة: </w:t>
      </w:r>
      <w:r w:rsidRPr="005010E3">
        <w:t>UNEP/OzL.Pro/ExCom/93/1</w:t>
      </w:r>
      <w:r>
        <w:rPr>
          <w:rFonts w:hint="cs"/>
          <w:rtl/>
        </w:rPr>
        <w:t>.</w:t>
      </w:r>
    </w:p>
  </w:footnote>
  <w:footnote w:id="2">
    <w:p w14:paraId="4B794DF5" w14:textId="3D14747A" w:rsidR="00346EC9" w:rsidRPr="00346EC9" w:rsidRDefault="00346EC9" w:rsidP="00AD1519">
      <w:pPr>
        <w:pStyle w:val="FootnoteText"/>
        <w:bidi/>
        <w:spacing w:after="60"/>
        <w:rPr>
          <w:rtl/>
          <w:lang w:bidi="ar-AE"/>
        </w:rPr>
      </w:pPr>
      <w:r>
        <w:rPr>
          <w:rStyle w:val="FootnoteReference"/>
        </w:rPr>
        <w:footnoteRef/>
      </w:r>
      <w:r>
        <w:t xml:space="preserve"> </w:t>
      </w:r>
      <w:r>
        <w:rPr>
          <w:rFonts w:hint="cs"/>
          <w:rtl/>
          <w:lang w:bidi="ar-AE"/>
        </w:rPr>
        <w:t>نيروبي، 23-27 أكتوبر/تشرين الأول 2023.</w:t>
      </w:r>
    </w:p>
  </w:footnote>
  <w:footnote w:id="3">
    <w:p w14:paraId="6A76CB1B" w14:textId="7011CFD7" w:rsidR="00760434" w:rsidRPr="00760434" w:rsidRDefault="00760434" w:rsidP="00AD1519">
      <w:pPr>
        <w:pStyle w:val="FootnoteText"/>
        <w:bidi/>
        <w:spacing w:after="60"/>
        <w:rPr>
          <w:rtl/>
          <w:lang w:bidi="ar-AE"/>
        </w:rPr>
      </w:pPr>
      <w:r>
        <w:rPr>
          <w:rStyle w:val="FootnoteReference"/>
        </w:rPr>
        <w:footnoteRef/>
      </w:r>
      <w:r>
        <w:t xml:space="preserve"> </w:t>
      </w:r>
      <w:r>
        <w:rPr>
          <w:rFonts w:hint="cs"/>
          <w:rtl/>
          <w:lang w:bidi="ar-AE"/>
        </w:rPr>
        <w:t xml:space="preserve">الوثيقة: </w:t>
      </w:r>
      <w:r w:rsidRPr="00760434">
        <w:rPr>
          <w:lang w:bidi="ar-AE"/>
        </w:rPr>
        <w:t>UNEP/OzL.Pro/ExCom/93/25</w:t>
      </w:r>
      <w:r>
        <w:rPr>
          <w:rFonts w:hint="cs"/>
          <w:rtl/>
          <w:lang w:bidi="ar-AE"/>
        </w:rPr>
        <w:t>.</w:t>
      </w:r>
    </w:p>
  </w:footnote>
  <w:footnote w:id="4">
    <w:p w14:paraId="356FEB9D" w14:textId="6F66C1A3" w:rsidR="0061364D" w:rsidRDefault="0061364D" w:rsidP="00AD1519">
      <w:pPr>
        <w:pStyle w:val="FootnoteText"/>
        <w:bidi/>
        <w:spacing w:after="60"/>
        <w:rPr>
          <w:rtl/>
          <w:lang w:bidi="ar-AE"/>
        </w:rPr>
      </w:pPr>
      <w:r>
        <w:rPr>
          <w:rStyle w:val="FootnoteReference"/>
        </w:rPr>
        <w:footnoteRef/>
      </w:r>
      <w:r>
        <w:t xml:space="preserve"> </w:t>
      </w:r>
      <w:r w:rsidRPr="0061364D">
        <w:rPr>
          <w:rtl/>
          <w:lang w:bidi="ar-AE"/>
        </w:rPr>
        <w:t>سيتم النظر في ميزانية برنامج المساعدة على الامتثال التابع لليونيب لعام 2024 (</w:t>
      </w:r>
      <w:r w:rsidRPr="0061364D">
        <w:rPr>
          <w:lang w:bidi="ar-AE"/>
        </w:rPr>
        <w:t>UNEP/OzL.Pro/ExCom/93/94</w:t>
      </w:r>
      <w:r w:rsidRPr="0061364D">
        <w:rPr>
          <w:rtl/>
          <w:lang w:bidi="ar-AE"/>
        </w:rPr>
        <w:t>) وتكاليف الوحدة الأساسية لعام 2024 لليوئنديبي واليونيدو والبنك الدولي (</w:t>
      </w:r>
      <w:r w:rsidRPr="0061364D">
        <w:rPr>
          <w:lang w:bidi="ar-AE"/>
        </w:rPr>
        <w:t>UNEP/OzL.Pro/ExCom/93/95</w:t>
      </w:r>
      <w:r w:rsidRPr="0061364D">
        <w:rPr>
          <w:rtl/>
          <w:lang w:bidi="ar-AE"/>
        </w:rPr>
        <w:t>) خلال الاجتماع الثالث والتسعين.</w:t>
      </w:r>
    </w:p>
  </w:footnote>
  <w:footnote w:id="5">
    <w:p w14:paraId="0576A16B" w14:textId="19B33C30" w:rsidR="00B248BB" w:rsidRPr="00B248BB" w:rsidRDefault="00B248BB" w:rsidP="00AD1519">
      <w:pPr>
        <w:pStyle w:val="FootnoteText"/>
        <w:bidi/>
        <w:spacing w:after="60"/>
        <w:rPr>
          <w:rtl/>
          <w:lang w:bidi="ar-AE"/>
        </w:rPr>
      </w:pPr>
      <w:r>
        <w:rPr>
          <w:rStyle w:val="FootnoteReference"/>
        </w:rPr>
        <w:footnoteRef/>
      </w:r>
      <w:r>
        <w:t xml:space="preserve"> </w:t>
      </w:r>
      <w:r>
        <w:rPr>
          <w:rFonts w:hint="cs"/>
          <w:rtl/>
          <w:lang w:bidi="ar-AE"/>
        </w:rPr>
        <w:t xml:space="preserve">الوثيقة: </w:t>
      </w:r>
      <w:r w:rsidRPr="00B248BB">
        <w:rPr>
          <w:lang w:bidi="ar-AE"/>
        </w:rPr>
        <w:t>UNEP/OzL.Pro/ExCom/91/67</w:t>
      </w:r>
      <w:r>
        <w:rPr>
          <w:rFonts w:hint="cs"/>
          <w:rtl/>
          <w:lang w:bidi="ar-AE"/>
        </w:rPr>
        <w:t>.</w:t>
      </w:r>
    </w:p>
  </w:footnote>
  <w:footnote w:id="6">
    <w:p w14:paraId="3DF29CF3" w14:textId="16748A51" w:rsidR="00D00526" w:rsidRPr="00D00526" w:rsidRDefault="00D00526" w:rsidP="00AD1519">
      <w:pPr>
        <w:pStyle w:val="FootnoteText"/>
        <w:bidi/>
        <w:spacing w:after="60"/>
        <w:rPr>
          <w:rtl/>
          <w:lang w:bidi="ar-AE"/>
        </w:rPr>
      </w:pPr>
      <w:r>
        <w:rPr>
          <w:rStyle w:val="FootnoteReference"/>
        </w:rPr>
        <w:footnoteRef/>
      </w:r>
      <w:r>
        <w:t xml:space="preserve"> </w:t>
      </w:r>
      <w:r w:rsidR="009660E3" w:rsidRPr="009660E3">
        <w:rPr>
          <w:rtl/>
          <w:lang w:bidi="ar-AE"/>
        </w:rPr>
        <w:t xml:space="preserve">طلب المقرر 8/4 الصادر عن الاجتماع الثامن للأطراف (ديسمبر/كانون الأول 1996) </w:t>
      </w:r>
      <w:r w:rsidR="009660E3" w:rsidRPr="00B7078F">
        <w:rPr>
          <w:i/>
          <w:iCs/>
          <w:rtl/>
          <w:lang w:bidi="ar-AE"/>
        </w:rPr>
        <w:t>من بين جملة أمور</w:t>
      </w:r>
      <w:r w:rsidR="009660E3" w:rsidRPr="009660E3">
        <w:rPr>
          <w:rtl/>
          <w:lang w:bidi="ar-AE"/>
        </w:rPr>
        <w:t xml:space="preserve"> أخرى، من اللجنة التنفيذية أن تعمل، على مدى السنوات الثلاث القادمة، على تحقيق هدف تخفيض تكاليف دعم الوكالات من مستواها الحالي البالغ 13 في </w:t>
      </w:r>
      <w:r w:rsidR="00B7078F" w:rsidRPr="009660E3">
        <w:rPr>
          <w:rFonts w:hint="cs"/>
          <w:rtl/>
          <w:lang w:bidi="ar-AE"/>
        </w:rPr>
        <w:t>المئة</w:t>
      </w:r>
      <w:r w:rsidR="009660E3" w:rsidRPr="009660E3">
        <w:rPr>
          <w:rtl/>
          <w:lang w:bidi="ar-AE"/>
        </w:rPr>
        <w:t xml:space="preserve"> إلى ما دون 10 في </w:t>
      </w:r>
      <w:r w:rsidR="00D15210" w:rsidRPr="009660E3">
        <w:rPr>
          <w:rFonts w:hint="cs"/>
          <w:rtl/>
          <w:lang w:bidi="ar-AE"/>
        </w:rPr>
        <w:t>المئة</w:t>
      </w:r>
      <w:r w:rsidR="009660E3" w:rsidRPr="009660E3">
        <w:rPr>
          <w:rtl/>
          <w:lang w:bidi="ar-AE"/>
        </w:rPr>
        <w:t xml:space="preserve"> في المتوسط لتوفير المزيد من الأموال للأنشطة الأخرى. وقد قرر الاجتماع الخامس والعشرون للجنة التنفيذية: (أ) تأجيل مواصلة النظر في الموضوع (التكاليف الإدارية للوكالات المنفذة) إلى اجتماعه السادس والعشرين؛ (ب) أن يطلب من الوكالات المنفذة أن تأخذ في الاعتبار الاقتراحات المقدمة والآراء التي تم التعبير عنها أثناء المناقشة لدى إعداد خطط أعمالها لعام 1999، بغية بلوغِ هدف خفض تكاليف دعم الوكالات من مستواها الحالي البالغ 13 في </w:t>
      </w:r>
      <w:r w:rsidR="00CF0259" w:rsidRPr="009660E3">
        <w:rPr>
          <w:rFonts w:hint="cs"/>
          <w:rtl/>
          <w:lang w:bidi="ar-AE"/>
        </w:rPr>
        <w:t>المئة</w:t>
      </w:r>
      <w:r w:rsidR="009660E3" w:rsidRPr="009660E3">
        <w:rPr>
          <w:rtl/>
          <w:lang w:bidi="ar-AE"/>
        </w:rPr>
        <w:t xml:space="preserve"> إلى متوسط يقل عن 10 في </w:t>
      </w:r>
      <w:r w:rsidR="00D15210" w:rsidRPr="009660E3">
        <w:rPr>
          <w:rFonts w:hint="cs"/>
          <w:rtl/>
          <w:lang w:bidi="ar-AE"/>
        </w:rPr>
        <w:t>المئة</w:t>
      </w:r>
      <w:r w:rsidR="009660E3" w:rsidRPr="009660E3">
        <w:rPr>
          <w:rtl/>
          <w:lang w:bidi="ar-AE"/>
        </w:rPr>
        <w:t xml:space="preserve"> لتوفيرِ المزيد من الأموال للأنشطة الأخرى (المقرر 25/54). وقرر الاجتماع التاسع والعشرون للجنة التنفيذية أن يتم تحديد مستوى تكاليف الدعم الإداري للمشاريع بأثر رجعي بنسبة 6 في </w:t>
      </w:r>
      <w:r w:rsidR="00B7078F" w:rsidRPr="009660E3">
        <w:rPr>
          <w:rFonts w:hint="cs"/>
          <w:rtl/>
          <w:lang w:bidi="ar-AE"/>
        </w:rPr>
        <w:t>المئة</w:t>
      </w:r>
      <w:r w:rsidR="009660E3" w:rsidRPr="009660E3">
        <w:rPr>
          <w:rtl/>
          <w:lang w:bidi="ar-AE"/>
        </w:rPr>
        <w:t xml:space="preserve"> (المقرر 29/72).</w:t>
      </w:r>
    </w:p>
  </w:footnote>
  <w:footnote w:id="7">
    <w:p w14:paraId="78750374" w14:textId="39B8E0DF" w:rsidR="009660E3" w:rsidRPr="009660E3" w:rsidRDefault="009660E3" w:rsidP="00AD1519">
      <w:pPr>
        <w:pStyle w:val="FootnoteText"/>
        <w:bidi/>
        <w:spacing w:after="60"/>
        <w:rPr>
          <w:rtl/>
          <w:lang w:bidi="ar-AE"/>
        </w:rPr>
      </w:pPr>
      <w:r>
        <w:rPr>
          <w:rStyle w:val="FootnoteReference"/>
        </w:rPr>
        <w:footnoteRef/>
      </w:r>
      <w:r>
        <w:t xml:space="preserve"> </w:t>
      </w:r>
      <w:r w:rsidRPr="009660E3">
        <w:rPr>
          <w:rtl/>
          <w:lang w:bidi="ar-AE"/>
        </w:rPr>
        <w:t>تم تقديم تحليل مماثل في الوثيقة المتعلقة باستعراض نظام التكاليف الإدارية لفترة الثلاث سنوات 2015-2017 (</w:t>
      </w:r>
      <w:r w:rsidRPr="009660E3">
        <w:rPr>
          <w:lang w:bidi="ar-AE"/>
        </w:rPr>
        <w:t>UNEP/OzL.Pro/ExCom/73/51</w:t>
      </w:r>
      <w:r w:rsidRPr="009660E3">
        <w:rPr>
          <w:rtl/>
          <w:lang w:bidi="ar-AE"/>
        </w:rPr>
        <w:t>)</w:t>
      </w:r>
      <w:r>
        <w:rPr>
          <w:rFonts w:hint="cs"/>
          <w:rtl/>
          <w:lang w:bidi="ar-AE"/>
        </w:rPr>
        <w:t>.</w:t>
      </w:r>
      <w:r w:rsidRPr="009660E3">
        <w:rPr>
          <w:rtl/>
          <w:lang w:bidi="ar-AE"/>
        </w:rPr>
        <w:t xml:space="preserve"> وتُعزى الفروق الطفيفة في بعض الأرقام الواردة في الجدول 1 إلى المشاريع التي تم إغلاقها وإعادة أرصدتها إلى الصندوق، أو المشاريع التي تم تحويلها إلى وكالات أخرى.</w:t>
      </w:r>
    </w:p>
  </w:footnote>
  <w:footnote w:id="8">
    <w:p w14:paraId="0A8A30C3" w14:textId="22A0AA0D" w:rsidR="00795585" w:rsidRPr="00795585" w:rsidRDefault="00795585" w:rsidP="00AD1519">
      <w:pPr>
        <w:pStyle w:val="FootnoteText"/>
        <w:bidi/>
        <w:spacing w:after="60"/>
        <w:rPr>
          <w:rtl/>
          <w:lang w:bidi="ar-AE"/>
        </w:rPr>
      </w:pPr>
      <w:r>
        <w:rPr>
          <w:rStyle w:val="FootnoteReference"/>
        </w:rPr>
        <w:footnoteRef/>
      </w:r>
      <w:r>
        <w:t xml:space="preserve"> </w:t>
      </w:r>
      <w:r w:rsidRPr="00795585">
        <w:rPr>
          <w:rtl/>
          <w:lang w:bidi="ar-AE"/>
        </w:rPr>
        <w:t>في سياق خطة العمل المجمعة للصندوق المتعدد الأطراف للفترة 2024-2026 (</w:t>
      </w:r>
      <w:r w:rsidRPr="00795585">
        <w:rPr>
          <w:lang w:bidi="ar-AE"/>
        </w:rPr>
        <w:t>UNEP/OzL.Pro/ExCom/93/25</w:t>
      </w:r>
      <w:r w:rsidRPr="00795585">
        <w:rPr>
          <w:rtl/>
          <w:lang w:bidi="ar-AE"/>
        </w:rPr>
        <w:t>).</w:t>
      </w:r>
    </w:p>
  </w:footnote>
  <w:footnote w:id="9">
    <w:p w14:paraId="448086D9" w14:textId="2F1D09CC" w:rsidR="00795585" w:rsidRPr="00795585" w:rsidRDefault="00795585" w:rsidP="00AD1519">
      <w:pPr>
        <w:pStyle w:val="FootnoteText"/>
        <w:bidi/>
        <w:spacing w:after="60"/>
        <w:rPr>
          <w:rtl/>
          <w:lang w:bidi="ar-AE"/>
        </w:rPr>
      </w:pPr>
      <w:r>
        <w:rPr>
          <w:rStyle w:val="FootnoteReference"/>
        </w:rPr>
        <w:footnoteRef/>
      </w:r>
      <w:r>
        <w:t xml:space="preserve"> </w:t>
      </w:r>
      <w:r>
        <w:rPr>
          <w:rFonts w:hint="cs"/>
          <w:rtl/>
          <w:lang w:bidi="ar-AE"/>
        </w:rPr>
        <w:t xml:space="preserve">الوثيقة: </w:t>
      </w:r>
      <w:r w:rsidRPr="00795585">
        <w:rPr>
          <w:lang w:bidi="ar-AE"/>
        </w:rPr>
        <w:t>UNEP/OzL.Pro/ExCom/93/25</w:t>
      </w:r>
      <w:r>
        <w:rPr>
          <w:rFonts w:hint="cs"/>
          <w:rtl/>
          <w:lang w:bidi="ar-AE"/>
        </w:rPr>
        <w:t>.</w:t>
      </w:r>
    </w:p>
  </w:footnote>
  <w:footnote w:id="10">
    <w:p w14:paraId="5765CDCB" w14:textId="4E8159DA" w:rsidR="00973E6F" w:rsidRDefault="00973E6F" w:rsidP="00AD1519">
      <w:pPr>
        <w:pStyle w:val="FootnoteText"/>
        <w:bidi/>
        <w:spacing w:after="60"/>
        <w:rPr>
          <w:rtl/>
          <w:lang w:bidi="ar-AE"/>
        </w:rPr>
      </w:pPr>
      <w:r>
        <w:rPr>
          <w:rStyle w:val="FootnoteReference"/>
        </w:rPr>
        <w:footnoteRef/>
      </w:r>
      <w:r>
        <w:t xml:space="preserve"> </w:t>
      </w:r>
      <w:r w:rsidRPr="00973E6F">
        <w:rPr>
          <w:rtl/>
          <w:lang w:bidi="ar-AE"/>
        </w:rPr>
        <w:t>خلال الاستعراضات السابقة لأنظمة التكاليف الإدارية، تم الإقرار بأن المشروعات الواسعة النطاق، بشكل عام، تنطوي على مستوى أقل من التكاليف الإدارية بسبب وفورات الحجم. وفي المقابل، تنطوي بعض المشاريع، مثل المشاريع غير الاستثمارية، بما في ذلك المشاريع الصغيرة الحجم، ولاسيما في البلدان ذات حجم الاستهلاك المنخفض، على تكاليف إدارية ومعاملات أعلى. وبالتالي، كان من المهم وضع هذه الحقيقة في عين الاعتبار عند تعديل تكاليف دعم البرامج، وذلك لضمان عدم وجود تأثير سلبي على تلك المشاريع/البلدان الأصغر.</w:t>
      </w:r>
    </w:p>
  </w:footnote>
  <w:footnote w:id="11">
    <w:p w14:paraId="42431230" w14:textId="61D00A99" w:rsidR="002630A6" w:rsidRPr="002630A6" w:rsidRDefault="002630A6" w:rsidP="00EF0424">
      <w:pPr>
        <w:pStyle w:val="FootnoteText"/>
        <w:bidi/>
        <w:spacing w:after="120"/>
        <w:rPr>
          <w:rtl/>
          <w:lang w:bidi="ar-AE"/>
        </w:rPr>
      </w:pPr>
      <w:r>
        <w:rPr>
          <w:rStyle w:val="FootnoteReference"/>
        </w:rPr>
        <w:footnoteRef/>
      </w:r>
      <w:r>
        <w:t xml:space="preserve"> </w:t>
      </w:r>
      <w:r>
        <w:rPr>
          <w:rFonts w:hint="cs"/>
          <w:rtl/>
          <w:lang w:bidi="ar-AE"/>
        </w:rPr>
        <w:t>المقرر: 35/1</w:t>
      </w:r>
    </w:p>
  </w:footnote>
  <w:footnote w:id="12">
    <w:p w14:paraId="612015BF" w14:textId="4B15EE38" w:rsidR="00B328AB" w:rsidRPr="00B328AB" w:rsidRDefault="00B328AB" w:rsidP="00AD1519">
      <w:pPr>
        <w:pStyle w:val="FootnoteText"/>
        <w:bidi/>
        <w:spacing w:after="60"/>
        <w:rPr>
          <w:rtl/>
          <w:lang w:bidi="ar-AE"/>
        </w:rPr>
      </w:pPr>
      <w:r>
        <w:rPr>
          <w:rStyle w:val="FootnoteReference"/>
        </w:rPr>
        <w:footnoteRef/>
      </w:r>
      <w:r>
        <w:t xml:space="preserve"> </w:t>
      </w:r>
      <w:r w:rsidRPr="00B328AB">
        <w:rPr>
          <w:rtl/>
          <w:lang w:bidi="ar-AE"/>
        </w:rPr>
        <w:t>تم تقديرها على أساس تكلفة الموظف الفني من المستوى المتوسط.</w:t>
      </w:r>
    </w:p>
  </w:footnote>
  <w:footnote w:id="13">
    <w:p w14:paraId="0BD7F3B4" w14:textId="3DA7BAEA" w:rsidR="00DC31EE" w:rsidRPr="0067318F" w:rsidRDefault="00DC31EE" w:rsidP="00DC31EE">
      <w:pPr>
        <w:pStyle w:val="FootnoteText"/>
        <w:bidi/>
        <w:spacing w:after="60"/>
        <w:rPr>
          <w:rtl/>
          <w:lang w:val="en-US" w:bidi="ar-AE"/>
        </w:rPr>
      </w:pPr>
      <w:r>
        <w:rPr>
          <w:rStyle w:val="FootnoteReference"/>
        </w:rPr>
        <w:footnoteRef/>
      </w:r>
      <w:r>
        <w:t xml:space="preserve"> </w:t>
      </w:r>
      <w:r>
        <w:rPr>
          <w:rFonts w:hint="cs"/>
          <w:rtl/>
          <w:lang w:val="en-US" w:bidi="ar-AE"/>
        </w:rPr>
        <w:t xml:space="preserve">يتم </w:t>
      </w:r>
      <w:r w:rsidRPr="0067318F">
        <w:rPr>
          <w:rtl/>
          <w:lang w:val="en-US" w:bidi="ar-AE"/>
        </w:rPr>
        <w:t xml:space="preserve">في الوقت الراهن تطبيق رسوم الوكالة بنسبة 7 في </w:t>
      </w:r>
      <w:r w:rsidR="00024618" w:rsidRPr="0067318F">
        <w:rPr>
          <w:rFonts w:hint="cs"/>
          <w:rtl/>
          <w:lang w:val="en-US" w:bidi="ar-AE"/>
        </w:rPr>
        <w:t>المئة</w:t>
      </w:r>
      <w:r w:rsidRPr="0067318F">
        <w:rPr>
          <w:rtl/>
          <w:lang w:val="en-US" w:bidi="ar-AE"/>
        </w:rPr>
        <w:t xml:space="preserve"> أو 9 في </w:t>
      </w:r>
      <w:r w:rsidR="00024618">
        <w:rPr>
          <w:rFonts w:hint="cs"/>
          <w:rtl/>
          <w:lang w:val="en-US" w:bidi="ar-AE"/>
        </w:rPr>
        <w:t>المئة</w:t>
      </w:r>
      <w:r w:rsidRPr="0067318F">
        <w:rPr>
          <w:rtl/>
          <w:lang w:val="en-US" w:bidi="ar-AE"/>
        </w:rPr>
        <w:t xml:space="preserve"> حسب قيمة المشروع.</w:t>
      </w:r>
    </w:p>
  </w:footnote>
  <w:footnote w:id="14">
    <w:p w14:paraId="0FD195FE" w14:textId="716B8DE2" w:rsidR="0067318F" w:rsidRPr="0067318F" w:rsidRDefault="0067318F" w:rsidP="00AD1519">
      <w:pPr>
        <w:pStyle w:val="FootnoteText"/>
        <w:bidi/>
        <w:spacing w:after="60"/>
        <w:rPr>
          <w:rtl/>
          <w:lang w:bidi="ar-AE"/>
        </w:rPr>
      </w:pPr>
      <w:r>
        <w:rPr>
          <w:rStyle w:val="FootnoteReference"/>
        </w:rPr>
        <w:footnoteRef/>
      </w:r>
      <w:r>
        <w:t xml:space="preserve"> </w:t>
      </w:r>
      <w:r>
        <w:rPr>
          <w:rFonts w:hint="cs"/>
          <w:rtl/>
          <w:lang w:bidi="ar-AE"/>
        </w:rPr>
        <w:t>ب</w:t>
      </w:r>
      <w:r w:rsidRPr="0067318F">
        <w:rPr>
          <w:rtl/>
          <w:lang w:bidi="ar-AE"/>
        </w:rPr>
        <w:t>افتراض أن القيمة الإجمالية للمشروع لا تتجاوز 500,000 دولار أمريكي</w:t>
      </w:r>
      <w:r>
        <w:rPr>
          <w:rFonts w:hint="cs"/>
          <w:rtl/>
          <w:lang w:bidi="ar-AE"/>
        </w:rPr>
        <w:t>.</w:t>
      </w:r>
    </w:p>
  </w:footnote>
  <w:footnote w:id="15">
    <w:p w14:paraId="2FA91BE2" w14:textId="7A0D2EE8" w:rsidR="00B418CA" w:rsidRPr="00B418CA" w:rsidRDefault="00B418CA" w:rsidP="00AD1519">
      <w:pPr>
        <w:pStyle w:val="FootnoteText"/>
        <w:bidi/>
        <w:spacing w:after="60"/>
        <w:rPr>
          <w:rtl/>
          <w:lang w:val="en-US" w:bidi="ar-AE"/>
        </w:rPr>
      </w:pPr>
      <w:r>
        <w:rPr>
          <w:rStyle w:val="FootnoteReference"/>
        </w:rPr>
        <w:footnoteRef/>
      </w:r>
      <w:r>
        <w:t xml:space="preserve"> </w:t>
      </w:r>
      <w:r w:rsidRPr="00B418CA">
        <w:rPr>
          <w:rtl/>
          <w:lang w:val="en-US" w:bidi="ar-AE"/>
        </w:rPr>
        <w:t>وفقاً لاستهلاك خط الأساس من المواد الهيدروكلوروفلوروكربونية.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F6920" w14:textId="5210F69C" w:rsidR="00DC6A10" w:rsidRPr="0033525D" w:rsidRDefault="00D87FAF" w:rsidP="00677680">
    <w:pPr>
      <w:jc w:val="right"/>
    </w:pPr>
    <w:r>
      <w:fldChar w:fldCharType="begin"/>
    </w:r>
    <w:r>
      <w:instrText xml:space="preserve"> DOCPROPERTY "Document number"  \* MERGEFORMAT </w:instrText>
    </w:r>
    <w:r>
      <w:fldChar w:fldCharType="separate"/>
    </w:r>
    <w:r w:rsidR="007F4FCC">
      <w:t>UNEP/OzL.Pro/ExCom/93/101</w:t>
    </w:r>
    <w:r>
      <w:fldChar w:fldCharType="end"/>
    </w:r>
  </w:p>
  <w:p w14:paraId="4340C85E" w14:textId="77777777" w:rsidR="00DC6A10" w:rsidRPr="0033525D" w:rsidRDefault="00DC6A10"/>
  <w:p w14:paraId="27538C8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A623F" w14:textId="01A86C12" w:rsidR="00DC6A10" w:rsidRPr="0033525D" w:rsidRDefault="00D87FAF" w:rsidP="00677680">
    <w:pPr>
      <w:jc w:val="left"/>
    </w:pPr>
    <w:r>
      <w:fldChar w:fldCharType="begin"/>
    </w:r>
    <w:r>
      <w:instrText xml:space="preserve"> DOCPROPERTY "Document number"  \* MERGEFORMAT </w:instrText>
    </w:r>
    <w:r>
      <w:fldChar w:fldCharType="separate"/>
    </w:r>
    <w:r w:rsidR="007F4FCC">
      <w:t>UNEP/OzL.Pro/ExCom/93/101</w:t>
    </w:r>
    <w:r>
      <w:fldChar w:fldCharType="end"/>
    </w:r>
  </w:p>
  <w:p w14:paraId="1277EC85" w14:textId="77777777" w:rsidR="00DC6A10" w:rsidRPr="0033525D" w:rsidRDefault="00DC6A10"/>
  <w:p w14:paraId="1DB977C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B874C2"/>
    <w:multiLevelType w:val="hybridMultilevel"/>
    <w:tmpl w:val="322C38A6"/>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D0F50"/>
    <w:multiLevelType w:val="hybridMultilevel"/>
    <w:tmpl w:val="5492EBAE"/>
    <w:lvl w:ilvl="0" w:tplc="8CF8774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E06DE7"/>
    <w:multiLevelType w:val="hybridMultilevel"/>
    <w:tmpl w:val="5492EBAE"/>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DD676B"/>
    <w:multiLevelType w:val="hybridMultilevel"/>
    <w:tmpl w:val="54521D5E"/>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DFE15E6"/>
    <w:multiLevelType w:val="hybridMultilevel"/>
    <w:tmpl w:val="7780EBCE"/>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9006E36"/>
    <w:multiLevelType w:val="hybridMultilevel"/>
    <w:tmpl w:val="322C38A6"/>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8AB645C"/>
    <w:multiLevelType w:val="hybridMultilevel"/>
    <w:tmpl w:val="CA443AE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9F6465B"/>
    <w:multiLevelType w:val="hybridMultilevel"/>
    <w:tmpl w:val="69CC21F6"/>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5"/>
  </w:num>
  <w:num w:numId="6" w16cid:durableId="299306927">
    <w:abstractNumId w:val="9"/>
  </w:num>
  <w:num w:numId="7" w16cid:durableId="559828470">
    <w:abstractNumId w:val="10"/>
  </w:num>
  <w:num w:numId="8" w16cid:durableId="1488010068">
    <w:abstractNumId w:val="13"/>
  </w:num>
  <w:num w:numId="9" w16cid:durableId="444007775">
    <w:abstractNumId w:val="7"/>
  </w:num>
  <w:num w:numId="10" w16cid:durableId="986592869">
    <w:abstractNumId w:val="1"/>
  </w:num>
  <w:num w:numId="11" w16cid:durableId="1661155434">
    <w:abstractNumId w:val="12"/>
  </w:num>
  <w:num w:numId="12" w16cid:durableId="1501045034">
    <w:abstractNumId w:val="11"/>
  </w:num>
  <w:num w:numId="13" w16cid:durableId="1260681680">
    <w:abstractNumId w:val="4"/>
  </w:num>
  <w:num w:numId="14" w16cid:durableId="1331324435">
    <w:abstractNumId w:val="8"/>
  </w:num>
  <w:num w:numId="15" w16cid:durableId="522013848">
    <w:abstractNumId w:val="6"/>
  </w:num>
  <w:num w:numId="16" w16cid:durableId="462574937">
    <w:abstractNumId w:val="2"/>
  </w:num>
  <w:num w:numId="17" w16cid:durableId="406193347">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F4FCC"/>
    <w:rsid w:val="00000FED"/>
    <w:rsid w:val="0000434E"/>
    <w:rsid w:val="00006426"/>
    <w:rsid w:val="000211A9"/>
    <w:rsid w:val="00021238"/>
    <w:rsid w:val="00024618"/>
    <w:rsid w:val="00031260"/>
    <w:rsid w:val="0003681A"/>
    <w:rsid w:val="000372B7"/>
    <w:rsid w:val="00050F6E"/>
    <w:rsid w:val="00061EC2"/>
    <w:rsid w:val="00066CE8"/>
    <w:rsid w:val="00080ED0"/>
    <w:rsid w:val="00085B8F"/>
    <w:rsid w:val="00090481"/>
    <w:rsid w:val="00093B61"/>
    <w:rsid w:val="000A04FD"/>
    <w:rsid w:val="000A3826"/>
    <w:rsid w:val="000A6C26"/>
    <w:rsid w:val="000A79AD"/>
    <w:rsid w:val="000B36C8"/>
    <w:rsid w:val="000D52A4"/>
    <w:rsid w:val="000E07BC"/>
    <w:rsid w:val="000E2E21"/>
    <w:rsid w:val="000F1CD4"/>
    <w:rsid w:val="000F4103"/>
    <w:rsid w:val="000F70A7"/>
    <w:rsid w:val="00113CCA"/>
    <w:rsid w:val="00122F25"/>
    <w:rsid w:val="00127228"/>
    <w:rsid w:val="00130181"/>
    <w:rsid w:val="00135980"/>
    <w:rsid w:val="0013786F"/>
    <w:rsid w:val="001569B9"/>
    <w:rsid w:val="00164719"/>
    <w:rsid w:val="00166FC4"/>
    <w:rsid w:val="001677AC"/>
    <w:rsid w:val="00172575"/>
    <w:rsid w:val="00176122"/>
    <w:rsid w:val="001804EA"/>
    <w:rsid w:val="00190A61"/>
    <w:rsid w:val="00197179"/>
    <w:rsid w:val="00197211"/>
    <w:rsid w:val="001A2215"/>
    <w:rsid w:val="001A3342"/>
    <w:rsid w:val="001A38CC"/>
    <w:rsid w:val="001A3E3D"/>
    <w:rsid w:val="001A7049"/>
    <w:rsid w:val="001B1E40"/>
    <w:rsid w:val="001B2FB5"/>
    <w:rsid w:val="001C764E"/>
    <w:rsid w:val="001E1052"/>
    <w:rsid w:val="001E21B1"/>
    <w:rsid w:val="001E2F93"/>
    <w:rsid w:val="001E4554"/>
    <w:rsid w:val="001E560C"/>
    <w:rsid w:val="001E61E5"/>
    <w:rsid w:val="001F2159"/>
    <w:rsid w:val="001F53FD"/>
    <w:rsid w:val="00203393"/>
    <w:rsid w:val="00210B8B"/>
    <w:rsid w:val="00214863"/>
    <w:rsid w:val="002156B4"/>
    <w:rsid w:val="00224FCD"/>
    <w:rsid w:val="00227F3E"/>
    <w:rsid w:val="0023370C"/>
    <w:rsid w:val="00243455"/>
    <w:rsid w:val="00253222"/>
    <w:rsid w:val="00261C13"/>
    <w:rsid w:val="00262847"/>
    <w:rsid w:val="002630A6"/>
    <w:rsid w:val="00281BB2"/>
    <w:rsid w:val="002A03C3"/>
    <w:rsid w:val="002B254E"/>
    <w:rsid w:val="002B39E3"/>
    <w:rsid w:val="002B4CE8"/>
    <w:rsid w:val="002B72E9"/>
    <w:rsid w:val="002C7998"/>
    <w:rsid w:val="002D50FF"/>
    <w:rsid w:val="002D707E"/>
    <w:rsid w:val="002E10F9"/>
    <w:rsid w:val="002F1E53"/>
    <w:rsid w:val="002F2CAA"/>
    <w:rsid w:val="0030052C"/>
    <w:rsid w:val="003232A4"/>
    <w:rsid w:val="003306E1"/>
    <w:rsid w:val="003320E4"/>
    <w:rsid w:val="0033525D"/>
    <w:rsid w:val="003414F3"/>
    <w:rsid w:val="00346EC9"/>
    <w:rsid w:val="00347C92"/>
    <w:rsid w:val="0035613E"/>
    <w:rsid w:val="00363ED3"/>
    <w:rsid w:val="00363EE9"/>
    <w:rsid w:val="00376128"/>
    <w:rsid w:val="0037742E"/>
    <w:rsid w:val="00377D56"/>
    <w:rsid w:val="0038245A"/>
    <w:rsid w:val="003840E6"/>
    <w:rsid w:val="00385CFC"/>
    <w:rsid w:val="0039337A"/>
    <w:rsid w:val="003A3189"/>
    <w:rsid w:val="003A3CA7"/>
    <w:rsid w:val="003B33BD"/>
    <w:rsid w:val="003B569D"/>
    <w:rsid w:val="003C0287"/>
    <w:rsid w:val="003C3C0E"/>
    <w:rsid w:val="003D42A6"/>
    <w:rsid w:val="003D4F21"/>
    <w:rsid w:val="003D4FAC"/>
    <w:rsid w:val="003E7906"/>
    <w:rsid w:val="003F000F"/>
    <w:rsid w:val="003F3C50"/>
    <w:rsid w:val="00406202"/>
    <w:rsid w:val="00406A6A"/>
    <w:rsid w:val="00406B22"/>
    <w:rsid w:val="00407147"/>
    <w:rsid w:val="004078FA"/>
    <w:rsid w:val="00410441"/>
    <w:rsid w:val="00431E08"/>
    <w:rsid w:val="004328A7"/>
    <w:rsid w:val="00434C74"/>
    <w:rsid w:val="004454F3"/>
    <w:rsid w:val="00451F50"/>
    <w:rsid w:val="00456EB4"/>
    <w:rsid w:val="00457827"/>
    <w:rsid w:val="00463E9C"/>
    <w:rsid w:val="004718F3"/>
    <w:rsid w:val="00475040"/>
    <w:rsid w:val="00490C06"/>
    <w:rsid w:val="00493D40"/>
    <w:rsid w:val="00493EE3"/>
    <w:rsid w:val="004967B6"/>
    <w:rsid w:val="004A504B"/>
    <w:rsid w:val="004A6911"/>
    <w:rsid w:val="004B54E0"/>
    <w:rsid w:val="004B7384"/>
    <w:rsid w:val="004C4269"/>
    <w:rsid w:val="004D0DEE"/>
    <w:rsid w:val="004D6236"/>
    <w:rsid w:val="004D7F90"/>
    <w:rsid w:val="004E4DBB"/>
    <w:rsid w:val="004E4E41"/>
    <w:rsid w:val="004E73DB"/>
    <w:rsid w:val="004E7F9C"/>
    <w:rsid w:val="004F3493"/>
    <w:rsid w:val="004F5143"/>
    <w:rsid w:val="00512B09"/>
    <w:rsid w:val="00514CDB"/>
    <w:rsid w:val="005220ED"/>
    <w:rsid w:val="00533796"/>
    <w:rsid w:val="00537343"/>
    <w:rsid w:val="005516F3"/>
    <w:rsid w:val="00555D75"/>
    <w:rsid w:val="00560DF0"/>
    <w:rsid w:val="0056370B"/>
    <w:rsid w:val="0056759C"/>
    <w:rsid w:val="00581F63"/>
    <w:rsid w:val="0059513E"/>
    <w:rsid w:val="005A6AA4"/>
    <w:rsid w:val="005A6D9F"/>
    <w:rsid w:val="005B48FF"/>
    <w:rsid w:val="005C1E32"/>
    <w:rsid w:val="005C670D"/>
    <w:rsid w:val="005D363F"/>
    <w:rsid w:val="00604C15"/>
    <w:rsid w:val="00604EAA"/>
    <w:rsid w:val="0061364D"/>
    <w:rsid w:val="006158D5"/>
    <w:rsid w:val="00625D83"/>
    <w:rsid w:val="00651984"/>
    <w:rsid w:val="006623E7"/>
    <w:rsid w:val="00662B80"/>
    <w:rsid w:val="0066768F"/>
    <w:rsid w:val="00670DB3"/>
    <w:rsid w:val="00670F6C"/>
    <w:rsid w:val="0067318F"/>
    <w:rsid w:val="00676E58"/>
    <w:rsid w:val="00677680"/>
    <w:rsid w:val="006852C7"/>
    <w:rsid w:val="006852CE"/>
    <w:rsid w:val="00687EE7"/>
    <w:rsid w:val="00692D14"/>
    <w:rsid w:val="006971B1"/>
    <w:rsid w:val="006A7A3B"/>
    <w:rsid w:val="006B65C7"/>
    <w:rsid w:val="006C1727"/>
    <w:rsid w:val="006C32FD"/>
    <w:rsid w:val="006C39CE"/>
    <w:rsid w:val="006D0FCC"/>
    <w:rsid w:val="006D21F5"/>
    <w:rsid w:val="006D3089"/>
    <w:rsid w:val="006D6FB1"/>
    <w:rsid w:val="006E126D"/>
    <w:rsid w:val="006E1FC3"/>
    <w:rsid w:val="006E56DA"/>
    <w:rsid w:val="006F2E36"/>
    <w:rsid w:val="00704CE9"/>
    <w:rsid w:val="0070616B"/>
    <w:rsid w:val="00706295"/>
    <w:rsid w:val="00706FDA"/>
    <w:rsid w:val="00711F9A"/>
    <w:rsid w:val="00713810"/>
    <w:rsid w:val="00721C62"/>
    <w:rsid w:val="007303A5"/>
    <w:rsid w:val="00730B3E"/>
    <w:rsid w:val="0073420B"/>
    <w:rsid w:val="00736367"/>
    <w:rsid w:val="0074760E"/>
    <w:rsid w:val="00751FB2"/>
    <w:rsid w:val="00754ABA"/>
    <w:rsid w:val="0075799B"/>
    <w:rsid w:val="00760434"/>
    <w:rsid w:val="00782B0D"/>
    <w:rsid w:val="00790F58"/>
    <w:rsid w:val="00793244"/>
    <w:rsid w:val="00795585"/>
    <w:rsid w:val="007962A4"/>
    <w:rsid w:val="0079781A"/>
    <w:rsid w:val="007A1546"/>
    <w:rsid w:val="007A228C"/>
    <w:rsid w:val="007A368E"/>
    <w:rsid w:val="007A5868"/>
    <w:rsid w:val="007B04CE"/>
    <w:rsid w:val="007B6871"/>
    <w:rsid w:val="007B7A2F"/>
    <w:rsid w:val="007C1FE7"/>
    <w:rsid w:val="007C32EE"/>
    <w:rsid w:val="007C3D33"/>
    <w:rsid w:val="007D294A"/>
    <w:rsid w:val="007D47D2"/>
    <w:rsid w:val="007D6EC0"/>
    <w:rsid w:val="007D7E1D"/>
    <w:rsid w:val="007E503C"/>
    <w:rsid w:val="007E6E6D"/>
    <w:rsid w:val="007F4FCC"/>
    <w:rsid w:val="0080345C"/>
    <w:rsid w:val="0082522F"/>
    <w:rsid w:val="00831979"/>
    <w:rsid w:val="00832A68"/>
    <w:rsid w:val="00851352"/>
    <w:rsid w:val="0085183E"/>
    <w:rsid w:val="00857077"/>
    <w:rsid w:val="00863230"/>
    <w:rsid w:val="00865BD0"/>
    <w:rsid w:val="008717D8"/>
    <w:rsid w:val="0087215C"/>
    <w:rsid w:val="00875D25"/>
    <w:rsid w:val="00880E35"/>
    <w:rsid w:val="00884BC0"/>
    <w:rsid w:val="008875FE"/>
    <w:rsid w:val="00887CEE"/>
    <w:rsid w:val="00887F8E"/>
    <w:rsid w:val="00892CD3"/>
    <w:rsid w:val="00896234"/>
    <w:rsid w:val="00897E43"/>
    <w:rsid w:val="008C222B"/>
    <w:rsid w:val="008C4DDF"/>
    <w:rsid w:val="008C5738"/>
    <w:rsid w:val="008C7EAD"/>
    <w:rsid w:val="008D0CFE"/>
    <w:rsid w:val="008D6152"/>
    <w:rsid w:val="008E7BA9"/>
    <w:rsid w:val="008F0F81"/>
    <w:rsid w:val="008F27BF"/>
    <w:rsid w:val="008F2E64"/>
    <w:rsid w:val="008F7AC0"/>
    <w:rsid w:val="009142EC"/>
    <w:rsid w:val="009149A9"/>
    <w:rsid w:val="009154C3"/>
    <w:rsid w:val="00923540"/>
    <w:rsid w:val="00926767"/>
    <w:rsid w:val="009361D5"/>
    <w:rsid w:val="009428A4"/>
    <w:rsid w:val="00955373"/>
    <w:rsid w:val="009659F4"/>
    <w:rsid w:val="009660E3"/>
    <w:rsid w:val="00970D60"/>
    <w:rsid w:val="00973E6F"/>
    <w:rsid w:val="009767E8"/>
    <w:rsid w:val="0099390E"/>
    <w:rsid w:val="00995F1A"/>
    <w:rsid w:val="009960E5"/>
    <w:rsid w:val="009A7ADC"/>
    <w:rsid w:val="009B0D30"/>
    <w:rsid w:val="009C19B7"/>
    <w:rsid w:val="009C516D"/>
    <w:rsid w:val="009C5ABB"/>
    <w:rsid w:val="009D7C51"/>
    <w:rsid w:val="009E196C"/>
    <w:rsid w:val="009E6A0A"/>
    <w:rsid w:val="009F36BF"/>
    <w:rsid w:val="009F5EBD"/>
    <w:rsid w:val="00A111B6"/>
    <w:rsid w:val="00A2454B"/>
    <w:rsid w:val="00A26D27"/>
    <w:rsid w:val="00A376EE"/>
    <w:rsid w:val="00A42A99"/>
    <w:rsid w:val="00A513E4"/>
    <w:rsid w:val="00A5151A"/>
    <w:rsid w:val="00A57E0A"/>
    <w:rsid w:val="00A8039C"/>
    <w:rsid w:val="00A823F6"/>
    <w:rsid w:val="00A82627"/>
    <w:rsid w:val="00A8719E"/>
    <w:rsid w:val="00AA0A89"/>
    <w:rsid w:val="00AA5368"/>
    <w:rsid w:val="00AA6429"/>
    <w:rsid w:val="00AC01AA"/>
    <w:rsid w:val="00AC4F72"/>
    <w:rsid w:val="00AD1519"/>
    <w:rsid w:val="00AE482E"/>
    <w:rsid w:val="00AF741A"/>
    <w:rsid w:val="00B01ADB"/>
    <w:rsid w:val="00B04161"/>
    <w:rsid w:val="00B056F9"/>
    <w:rsid w:val="00B10FF8"/>
    <w:rsid w:val="00B11E3D"/>
    <w:rsid w:val="00B14D2C"/>
    <w:rsid w:val="00B17E82"/>
    <w:rsid w:val="00B248BB"/>
    <w:rsid w:val="00B328AB"/>
    <w:rsid w:val="00B37EF2"/>
    <w:rsid w:val="00B418CA"/>
    <w:rsid w:val="00B4575A"/>
    <w:rsid w:val="00B5026D"/>
    <w:rsid w:val="00B54EBF"/>
    <w:rsid w:val="00B575BA"/>
    <w:rsid w:val="00B7078F"/>
    <w:rsid w:val="00B71608"/>
    <w:rsid w:val="00B76429"/>
    <w:rsid w:val="00B86471"/>
    <w:rsid w:val="00B956D4"/>
    <w:rsid w:val="00B97446"/>
    <w:rsid w:val="00BA128A"/>
    <w:rsid w:val="00BA7432"/>
    <w:rsid w:val="00BB2764"/>
    <w:rsid w:val="00BB31D3"/>
    <w:rsid w:val="00BC1AA0"/>
    <w:rsid w:val="00BC2495"/>
    <w:rsid w:val="00BC314A"/>
    <w:rsid w:val="00BC7EB9"/>
    <w:rsid w:val="00BD2643"/>
    <w:rsid w:val="00BD4100"/>
    <w:rsid w:val="00BD56B1"/>
    <w:rsid w:val="00BD6558"/>
    <w:rsid w:val="00BF2AD7"/>
    <w:rsid w:val="00BF2F76"/>
    <w:rsid w:val="00BF3022"/>
    <w:rsid w:val="00BF3214"/>
    <w:rsid w:val="00BF5573"/>
    <w:rsid w:val="00C15867"/>
    <w:rsid w:val="00C17AB4"/>
    <w:rsid w:val="00C22398"/>
    <w:rsid w:val="00C2296D"/>
    <w:rsid w:val="00C23155"/>
    <w:rsid w:val="00C26C91"/>
    <w:rsid w:val="00C324C6"/>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1B9C"/>
    <w:rsid w:val="00CC3C9E"/>
    <w:rsid w:val="00CC6A14"/>
    <w:rsid w:val="00CC70A3"/>
    <w:rsid w:val="00CD4442"/>
    <w:rsid w:val="00CD53C3"/>
    <w:rsid w:val="00CD574E"/>
    <w:rsid w:val="00CE4C22"/>
    <w:rsid w:val="00CE76E5"/>
    <w:rsid w:val="00CF0259"/>
    <w:rsid w:val="00CF41EC"/>
    <w:rsid w:val="00CF5D04"/>
    <w:rsid w:val="00D00526"/>
    <w:rsid w:val="00D04DE4"/>
    <w:rsid w:val="00D063F1"/>
    <w:rsid w:val="00D14F22"/>
    <w:rsid w:val="00D15210"/>
    <w:rsid w:val="00D20B7C"/>
    <w:rsid w:val="00D41773"/>
    <w:rsid w:val="00D4741C"/>
    <w:rsid w:val="00D51323"/>
    <w:rsid w:val="00D57918"/>
    <w:rsid w:val="00D73DC6"/>
    <w:rsid w:val="00D74C1A"/>
    <w:rsid w:val="00D754C1"/>
    <w:rsid w:val="00D7604B"/>
    <w:rsid w:val="00D77393"/>
    <w:rsid w:val="00D77A35"/>
    <w:rsid w:val="00D81B3E"/>
    <w:rsid w:val="00D87FAF"/>
    <w:rsid w:val="00D90C70"/>
    <w:rsid w:val="00D90E49"/>
    <w:rsid w:val="00D96ADE"/>
    <w:rsid w:val="00DA0CE2"/>
    <w:rsid w:val="00DA2387"/>
    <w:rsid w:val="00DC31EE"/>
    <w:rsid w:val="00DC6A10"/>
    <w:rsid w:val="00DE220D"/>
    <w:rsid w:val="00DE657E"/>
    <w:rsid w:val="00DF4704"/>
    <w:rsid w:val="00DF4EA3"/>
    <w:rsid w:val="00E024AA"/>
    <w:rsid w:val="00E15C77"/>
    <w:rsid w:val="00E250F1"/>
    <w:rsid w:val="00E3550D"/>
    <w:rsid w:val="00E45FBF"/>
    <w:rsid w:val="00E52838"/>
    <w:rsid w:val="00E614E0"/>
    <w:rsid w:val="00E73F7F"/>
    <w:rsid w:val="00E753E8"/>
    <w:rsid w:val="00E85409"/>
    <w:rsid w:val="00EA00A7"/>
    <w:rsid w:val="00EA429F"/>
    <w:rsid w:val="00EA4F9E"/>
    <w:rsid w:val="00EA63CA"/>
    <w:rsid w:val="00EA6D3B"/>
    <w:rsid w:val="00EB00AD"/>
    <w:rsid w:val="00EB136C"/>
    <w:rsid w:val="00EB480E"/>
    <w:rsid w:val="00EB5EC6"/>
    <w:rsid w:val="00EB7FC9"/>
    <w:rsid w:val="00ED27E8"/>
    <w:rsid w:val="00ED7137"/>
    <w:rsid w:val="00EF0424"/>
    <w:rsid w:val="00EF06EA"/>
    <w:rsid w:val="00F07604"/>
    <w:rsid w:val="00F20BA5"/>
    <w:rsid w:val="00F21088"/>
    <w:rsid w:val="00F327E7"/>
    <w:rsid w:val="00F35746"/>
    <w:rsid w:val="00F41B64"/>
    <w:rsid w:val="00F447C7"/>
    <w:rsid w:val="00F459B4"/>
    <w:rsid w:val="00F5211B"/>
    <w:rsid w:val="00F554A9"/>
    <w:rsid w:val="00F656DC"/>
    <w:rsid w:val="00F716FD"/>
    <w:rsid w:val="00F77C68"/>
    <w:rsid w:val="00F80355"/>
    <w:rsid w:val="00F80AC3"/>
    <w:rsid w:val="00F87C43"/>
    <w:rsid w:val="00FA5722"/>
    <w:rsid w:val="00FB0C81"/>
    <w:rsid w:val="00FC2200"/>
    <w:rsid w:val="00FC2540"/>
    <w:rsid w:val="00FC7C4E"/>
    <w:rsid w:val="00FE1AE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8CEAD"/>
  <w15:docId w15:val="{2501842F-18C4-49D0-9A8A-5134E556E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63E9C"/>
    <w:pPr>
      <w:spacing w:after="160" w:line="240" w:lineRule="exact"/>
    </w:pPr>
    <w:rPr>
      <w:sz w:val="20"/>
      <w:szCs w:val="20"/>
      <w:vertAlign w:val="superscript"/>
      <w:lang w:val="en-US"/>
    </w:rPr>
  </w:style>
  <w:style w:type="paragraph" w:styleId="Caption">
    <w:name w:val="caption"/>
    <w:basedOn w:val="Normal"/>
    <w:next w:val="Normal"/>
    <w:qFormat/>
    <w:rsid w:val="00463E9C"/>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eastAsia="SimSun"/>
      <w:b/>
      <w:snapToGrid w:val="0"/>
      <w:sz w:val="20"/>
      <w:szCs w:val="20"/>
      <w:lang w:val="en-GB" w:eastAsia="fr-FR"/>
    </w:rPr>
  </w:style>
  <w:style w:type="paragraph" w:styleId="ListParagraph">
    <w:name w:val="List Paragraph"/>
    <w:basedOn w:val="Normal"/>
    <w:uiPriority w:val="34"/>
    <w:qFormat/>
    <w:rsid w:val="00892C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EB209CA89D2164EA16F67730CF829B9" ma:contentTypeVersion="5" ma:contentTypeDescription="Create a new document." ma:contentTypeScope="" ma:versionID="e0fca45386a5716e04ea7b0183b0a9a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7FB500F3-D2FA-4A67-B901-8E9C7DF5CABA}"/>
</file>

<file path=docProps/app.xml><?xml version="1.0" encoding="utf-8"?>
<Properties xmlns="http://schemas.openxmlformats.org/officeDocument/2006/extended-properties" xmlns:vt="http://schemas.openxmlformats.org/officeDocument/2006/docPropsVTypes">
  <Template>Eec93G</Template>
  <TotalTime>2</TotalTime>
  <Pages>9</Pages>
  <Words>3197</Words>
  <Characters>18227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استعراض نظام التكاليف الإدارية للصندوق المتعدد الأطراف (المقرران 88/74(ج) و91/67(ب))</vt:lpstr>
    </vt:vector>
  </TitlesOfParts>
  <Company/>
  <LinksUpToDate>false</LinksUpToDate>
  <CharactersWithSpaces>21382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استعراض نظام التكاليف الإدارية للصندوق المتعدد الأطراف (المقرران 88/74(ج) و91/67(ب))</dc:title>
  <dc:creator>Muriel Aguiar</dc:creator>
  <cp:lastModifiedBy>Pamela El Kortbawi</cp:lastModifiedBy>
  <cp:revision>2</cp:revision>
  <cp:lastPrinted>2001-05-26T16:40:00Z</cp:lastPrinted>
  <dcterms:created xsi:type="dcterms:W3CDTF">2023-12-05T23:27:00Z</dcterms:created>
  <dcterms:modified xsi:type="dcterms:W3CDTF">2023-12-05T23:27:00Z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UNEP/OzL.Pro/ExCom/93/101</vt:lpwstr>
  </property>
  <property fmtid="{D5CDD505-2E9C-101B-9397-08002B2CF9AE}" pid="3" name="Revision date">
    <vt:lpwstr>11/30/2023</vt:lpwstr>
  </property>
  <property fmtid="{D5CDD505-2E9C-101B-9397-08002B2CF9AE}" pid="4" name="ContentTypeId">
    <vt:lpwstr>0x0101007EB209CA89D2164EA16F67730CF829B9</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