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8E25614" w14:textId="77777777">
        <w:trPr>
          <w:trHeight w:val="720"/>
        </w:trPr>
        <w:tc>
          <w:tcPr>
            <w:tcW w:w="4410" w:type="dxa"/>
            <w:gridSpan w:val="2"/>
            <w:tcBorders>
              <w:bottom w:val="single" w:sz="18" w:space="0" w:color="auto"/>
            </w:tcBorders>
          </w:tcPr>
          <w:p w14:paraId="7110BF18"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A7FEE36"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80687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E0CE32D"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57216" behindDoc="1" locked="0" layoutInCell="0" allowOverlap="1" wp14:anchorId="128F49AA" wp14:editId="1E09C55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F74321A" w14:textId="77777777" w:rsidR="007E5D09" w:rsidRDefault="00E1360E">
            <w:pPr>
              <w:spacing w:before="120"/>
              <w:jc w:val="left"/>
              <w:rPr>
                <w:lang w:val="en-US" w:bidi="ar-LB"/>
              </w:rPr>
            </w:pPr>
            <w:r>
              <w:rPr>
                <w:lang w:val="en-US" w:bidi="ar-LB"/>
              </w:rPr>
              <w:t>GENERAL</w:t>
            </w:r>
          </w:p>
          <w:p w14:paraId="27B2F9EC" w14:textId="77777777" w:rsidR="007E5D09" w:rsidRDefault="007E5D09">
            <w:pPr>
              <w:spacing w:before="120"/>
              <w:jc w:val="left"/>
              <w:rPr>
                <w:lang w:val="en-US" w:bidi="ar-LB"/>
              </w:rPr>
            </w:pPr>
          </w:p>
          <w:p w14:paraId="182A8A8F" w14:textId="0E6D08DE" w:rsidR="007E5D09" w:rsidRDefault="00BF06FD">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A24174">
              <w:rPr>
                <w:lang w:bidi="ar-LB"/>
              </w:rPr>
              <w:t>UNEP/</w:t>
            </w:r>
            <w:proofErr w:type="spellStart"/>
            <w:r w:rsidR="00A24174">
              <w:rPr>
                <w:lang w:bidi="ar-LB"/>
              </w:rPr>
              <w:t>OzL.Pro</w:t>
            </w:r>
            <w:proofErr w:type="spellEnd"/>
            <w:r w:rsidR="00A24174">
              <w:rPr>
                <w:lang w:bidi="ar-LB"/>
              </w:rPr>
              <w:t>/ExCom/94/63</w:t>
            </w:r>
            <w:r>
              <w:rPr>
                <w:lang w:bidi="ar-LB"/>
              </w:rPr>
              <w:fldChar w:fldCharType="end"/>
            </w:r>
          </w:p>
          <w:p w14:paraId="33124FCA" w14:textId="4DD577BC" w:rsidR="00A907AD" w:rsidRPr="009B0D30" w:rsidRDefault="00A907AD" w:rsidP="00A907AD">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2E4D4C">
              <w:rPr>
                <w:lang w:bidi="ar-LB"/>
              </w:rPr>
              <w:t>29 April 2024</w:t>
            </w:r>
            <w:r w:rsidRPr="009B0D30">
              <w:rPr>
                <w:lang w:bidi="ar-LB"/>
              </w:rPr>
              <w:fldChar w:fldCharType="end"/>
            </w:r>
          </w:p>
          <w:p w14:paraId="608BC8EE" w14:textId="77777777" w:rsidR="00662A73" w:rsidRDefault="00662A73">
            <w:pPr>
              <w:spacing w:before="120"/>
              <w:jc w:val="left"/>
              <w:rPr>
                <w:rtl/>
                <w:lang w:val="en-US" w:bidi="ar-LB"/>
              </w:rPr>
            </w:pPr>
          </w:p>
          <w:p w14:paraId="6DA8366A" w14:textId="77777777" w:rsidR="007E5D09" w:rsidRDefault="00E1360E">
            <w:pPr>
              <w:spacing w:before="120"/>
              <w:jc w:val="left"/>
              <w:rPr>
                <w:lang w:val="en-US" w:bidi="ar-LB"/>
              </w:rPr>
            </w:pPr>
            <w:r>
              <w:rPr>
                <w:lang w:val="en-US" w:bidi="ar-LB"/>
              </w:rPr>
              <w:t>ARABIC</w:t>
            </w:r>
          </w:p>
          <w:p w14:paraId="693C662F"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D2905A5"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39CA6C5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5AB7145"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D251CDD"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53D117FC" w14:textId="77777777" w:rsidR="007E5D09" w:rsidRDefault="007E5D09">
            <w:pPr>
              <w:rPr>
                <w:caps/>
                <w:lang w:val="en-US" w:bidi="ar-LB"/>
              </w:rPr>
            </w:pPr>
          </w:p>
          <w:p w14:paraId="17920640"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77E4787D" wp14:editId="1B3DA564">
                  <wp:simplePos x="0" y="0"/>
                  <wp:positionH relativeFrom="column">
                    <wp:posOffset>299720</wp:posOffset>
                  </wp:positionH>
                  <wp:positionV relativeFrom="paragraph">
                    <wp:posOffset>537210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D912F61" w14:textId="77777777" w:rsidR="007E5D09" w:rsidRDefault="007E5D09">
      <w:pPr>
        <w:pStyle w:val="Caption"/>
        <w:spacing w:line="200" w:lineRule="exact"/>
        <w:ind w:left="187" w:right="187" w:hanging="187"/>
        <w:jc w:val="both"/>
        <w:rPr>
          <w:rFonts w:cs="Akhbar MT"/>
          <w:b/>
          <w:bCs/>
          <w:sz w:val="28"/>
          <w:szCs w:val="28"/>
          <w:rtl/>
          <w:lang w:bidi="ar-LB"/>
        </w:rPr>
      </w:pPr>
    </w:p>
    <w:p w14:paraId="15D3630C"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98B8FC9"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A17F65A"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106F1514" w14:textId="4F8AC02E" w:rsidR="002E4D4C" w:rsidRDefault="00170997" w:rsidP="002E4D4C">
      <w:pPr>
        <w:pStyle w:val="Heading2"/>
        <w:numPr>
          <w:ilvl w:val="0"/>
          <w:numId w:val="0"/>
        </w:numPr>
        <w:bidi/>
        <w:ind w:left="4"/>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r w:rsidR="002E4D4C">
        <w:rPr>
          <w:sz w:val="28"/>
          <w:szCs w:val="28"/>
          <w:rtl/>
          <w:lang w:val="en-US" w:eastAsia="en-CA" w:bidi="ar-LB"/>
        </w:rPr>
        <w:br/>
        <w:t>البند ١٣ من جدول الأعمال المؤقت</w:t>
      </w:r>
      <w:r w:rsidR="002E4D4C">
        <w:rPr>
          <w:rStyle w:val="FootnoteReference"/>
          <w:sz w:val="28"/>
          <w:szCs w:val="28"/>
          <w:rtl/>
          <w:lang w:val="en-US" w:eastAsia="en-CA" w:bidi="ar-LB"/>
        </w:rPr>
        <w:footnoteReference w:id="1"/>
      </w:r>
      <w:r w:rsidR="0071466C">
        <w:rPr>
          <w:sz w:val="28"/>
          <w:szCs w:val="28"/>
          <w:lang w:val="en-US" w:eastAsia="en-CA" w:bidi="ar-LB"/>
        </w:rPr>
        <w:t xml:space="preserve"> </w:t>
      </w:r>
    </w:p>
    <w:p w14:paraId="38F01A57" w14:textId="77777777" w:rsidR="008C6B9E" w:rsidRDefault="008C6B9E" w:rsidP="008C6B9E">
      <w:pPr>
        <w:bidi/>
        <w:rPr>
          <w:rtl/>
          <w:lang w:val="en-US" w:eastAsia="en-CA" w:bidi="ar-LB"/>
        </w:rPr>
      </w:pPr>
    </w:p>
    <w:p w14:paraId="4E717E6E" w14:textId="05889FF0" w:rsidR="008C6B9E" w:rsidRDefault="008C6B9E" w:rsidP="008C6B9E">
      <w:pPr>
        <w:bidi/>
        <w:jc w:val="center"/>
        <w:rPr>
          <w:rFonts w:asciiTheme="majorBidi" w:hAnsiTheme="majorBidi" w:cstheme="majorBidi"/>
          <w:b/>
          <w:bCs/>
          <w:sz w:val="28"/>
          <w:szCs w:val="28"/>
          <w:rtl/>
          <w:lang w:bidi="ar-LB"/>
        </w:rPr>
      </w:pPr>
      <w:r w:rsidRPr="008C6B9E">
        <w:rPr>
          <w:rFonts w:asciiTheme="majorBidi" w:hAnsiTheme="majorBidi" w:cstheme="majorBidi"/>
          <w:b/>
          <w:bCs/>
          <w:sz w:val="28"/>
          <w:szCs w:val="28"/>
          <w:rtl/>
          <w:lang w:bidi="ar-LB"/>
        </w:rPr>
        <w:t>ورقة عن كيفية مساهمة أنشطة التخلص التدريجي من المواد الهيدروكلوروفلوروكربونية والمواد الهيدروفلوروكربونية التي يدعمها الصندوق المتعدد الأطراف</w:t>
      </w:r>
      <w:r w:rsidRPr="008C6B9E">
        <w:rPr>
          <w:rFonts w:asciiTheme="majorBidi" w:hAnsiTheme="majorBidi" w:cstheme="majorBidi"/>
          <w:bCs/>
          <w:sz w:val="28"/>
          <w:szCs w:val="28"/>
          <w:rtl/>
          <w:lang w:bidi="ar-LB"/>
        </w:rPr>
        <w:br/>
      </w:r>
      <w:r w:rsidRPr="008C6B9E">
        <w:rPr>
          <w:rFonts w:asciiTheme="majorBidi" w:hAnsiTheme="majorBidi" w:cstheme="majorBidi"/>
          <w:b/>
          <w:bCs/>
          <w:sz w:val="28"/>
          <w:szCs w:val="28"/>
          <w:rtl/>
          <w:lang w:bidi="ar-LB"/>
        </w:rPr>
        <w:t xml:space="preserve">في التبريد المستدام (المقرر </w:t>
      </w:r>
      <w:r w:rsidR="000C75EC" w:rsidRPr="000C75EC">
        <w:rPr>
          <w:rFonts w:asciiTheme="majorBidi" w:hAnsiTheme="majorBidi" w:cstheme="majorBidi"/>
          <w:b/>
          <w:bCs/>
          <w:szCs w:val="24"/>
          <w:lang w:bidi="ar-LB"/>
        </w:rPr>
        <w:t>92</w:t>
      </w:r>
      <w:r w:rsidRPr="008C6B9E">
        <w:rPr>
          <w:rFonts w:asciiTheme="majorBidi" w:hAnsiTheme="majorBidi" w:cstheme="majorBidi"/>
          <w:b/>
          <w:bCs/>
          <w:sz w:val="28"/>
          <w:szCs w:val="28"/>
          <w:rtl/>
          <w:lang w:bidi="ar-LB"/>
        </w:rPr>
        <w:t>/</w:t>
      </w:r>
      <w:r w:rsidR="000C75EC" w:rsidRPr="000C75EC">
        <w:rPr>
          <w:rFonts w:asciiTheme="majorBidi" w:hAnsiTheme="majorBidi" w:cstheme="majorBidi"/>
          <w:b/>
          <w:bCs/>
          <w:szCs w:val="24"/>
          <w:lang w:bidi="ar-LB"/>
        </w:rPr>
        <w:t>1</w:t>
      </w:r>
      <w:r w:rsidRPr="008C6B9E">
        <w:rPr>
          <w:rFonts w:asciiTheme="majorBidi" w:hAnsiTheme="majorBidi" w:cstheme="majorBidi"/>
          <w:b/>
          <w:bCs/>
          <w:sz w:val="28"/>
          <w:szCs w:val="28"/>
          <w:rtl/>
          <w:lang w:bidi="ar-LB"/>
        </w:rPr>
        <w:t>(ب))</w:t>
      </w:r>
    </w:p>
    <w:p w14:paraId="3F1B19CC" w14:textId="77777777" w:rsidR="008C6B9E" w:rsidRDefault="008C6B9E" w:rsidP="008C6B9E">
      <w:pPr>
        <w:bidi/>
        <w:jc w:val="center"/>
        <w:rPr>
          <w:rFonts w:asciiTheme="majorBidi" w:hAnsiTheme="majorBidi" w:cstheme="majorBidi"/>
          <w:b/>
          <w:bCs/>
          <w:sz w:val="28"/>
          <w:szCs w:val="28"/>
          <w:rtl/>
          <w:lang w:bidi="ar-LB"/>
        </w:rPr>
      </w:pPr>
    </w:p>
    <w:p w14:paraId="0F2CF310" w14:textId="77777777" w:rsidR="00D96553" w:rsidRPr="00C132D3" w:rsidRDefault="00D96553" w:rsidP="00D96553">
      <w:pPr>
        <w:bidi/>
        <w:spacing w:after="240"/>
        <w:textDirection w:val="tbRlV"/>
        <w:rPr>
          <w:rFonts w:asciiTheme="majorBidi" w:hAnsiTheme="majorBidi" w:cstheme="majorBidi"/>
          <w:b/>
          <w:bCs/>
          <w:sz w:val="26"/>
          <w:szCs w:val="26"/>
          <w:lang w:val="ar-SA" w:eastAsia="zh-TW" w:bidi="ar-LB"/>
        </w:rPr>
      </w:pPr>
      <w:r w:rsidRPr="00C132D3">
        <w:rPr>
          <w:rFonts w:asciiTheme="majorBidi" w:hAnsiTheme="majorBidi" w:cstheme="majorBidi"/>
          <w:b/>
          <w:bCs/>
          <w:sz w:val="26"/>
          <w:szCs w:val="26"/>
          <w:rtl/>
          <w:lang w:bidi="ar-LB"/>
        </w:rPr>
        <w:t>خلفية</w:t>
      </w:r>
    </w:p>
    <w:p w14:paraId="3DAAEB26" w14:textId="5D300C9B" w:rsidR="00D96553" w:rsidRPr="00270CAF" w:rsidRDefault="00270CAF" w:rsidP="00270CAF">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في</w:t>
      </w:r>
      <w:r w:rsidR="00D96553" w:rsidRPr="001A3635">
        <w:rPr>
          <w:rFonts w:asciiTheme="majorBidi" w:hAnsiTheme="majorBidi" w:cstheme="majorBidi"/>
          <w:sz w:val="26"/>
          <w:szCs w:val="26"/>
          <w:rtl/>
          <w:lang w:bidi="ar-LB"/>
        </w:rPr>
        <w:t xml:space="preserve"> </w:t>
      </w:r>
      <w:r w:rsidRPr="00C132D3">
        <w:rPr>
          <w:rFonts w:asciiTheme="majorBidi" w:hAnsiTheme="majorBidi" w:cstheme="majorBidi"/>
          <w:sz w:val="26"/>
          <w:szCs w:val="26"/>
          <w:rtl/>
          <w:lang w:bidi="ar-LB"/>
        </w:rPr>
        <w:t xml:space="preserve">الاجتماع الثاني والتسعين، قدم أحد أعضاء اللجنة التنفيذية مشروع مقرر يطلب إلى الأمانة أن تدرس بعض خطط العمل الوطنية للتبريد التي وضعتها البلدان وأن تعد وثيقة عن الكيفية التي يمكن أن تسهم بها أنشطة إزالة المواد الهيدروكلوروفلوروكربونية وأنشطة التخفيض التدريجي للمواد الهيدروفلوروكربونية التي يدعمها الصندوق </w:t>
      </w:r>
      <w:r w:rsidR="000908BA">
        <w:rPr>
          <w:rFonts w:asciiTheme="majorBidi" w:hAnsiTheme="majorBidi" w:cstheme="majorBidi"/>
          <w:sz w:val="26"/>
          <w:szCs w:val="26"/>
          <w:rtl/>
          <w:lang w:bidi="ar-LB"/>
        </w:rPr>
        <w:t>ال</w:t>
      </w:r>
      <w:r w:rsidRPr="00C132D3">
        <w:rPr>
          <w:rFonts w:asciiTheme="majorBidi" w:hAnsiTheme="majorBidi" w:cstheme="majorBidi"/>
          <w:sz w:val="26"/>
          <w:szCs w:val="26"/>
          <w:rtl/>
          <w:lang w:bidi="ar-LB"/>
        </w:rPr>
        <w:t xml:space="preserve">متعدد الأطراف في التبريد المستدام والراحة الحرارية. وقال العضو إن متطلبات التبريد </w:t>
      </w:r>
      <w:r w:rsidR="00E4251B">
        <w:rPr>
          <w:rFonts w:asciiTheme="majorBidi" w:hAnsiTheme="majorBidi" w:cstheme="majorBidi"/>
          <w:sz w:val="26"/>
          <w:szCs w:val="26"/>
          <w:rtl/>
          <w:lang w:bidi="ar-LB"/>
        </w:rPr>
        <w:t>مسأل</w:t>
      </w:r>
      <w:r w:rsidRPr="00C132D3">
        <w:rPr>
          <w:rFonts w:asciiTheme="majorBidi" w:hAnsiTheme="majorBidi" w:cstheme="majorBidi"/>
          <w:sz w:val="26"/>
          <w:szCs w:val="26"/>
          <w:rtl/>
          <w:lang w:bidi="ar-LB"/>
        </w:rPr>
        <w:t xml:space="preserve">ة شاملة لعدة قطاعات وهي ضرورية للنمو الاقتصادي وإنها تفرض </w:t>
      </w:r>
      <w:r w:rsidR="009E7EF5">
        <w:rPr>
          <w:rFonts w:asciiTheme="majorBidi" w:hAnsiTheme="majorBidi" w:cstheme="majorBidi"/>
          <w:sz w:val="26"/>
          <w:szCs w:val="26"/>
          <w:rtl/>
          <w:lang w:bidi="ar-LB"/>
        </w:rPr>
        <w:t>ال</w:t>
      </w:r>
      <w:r w:rsidRPr="00C132D3">
        <w:rPr>
          <w:rFonts w:asciiTheme="majorBidi" w:hAnsiTheme="majorBidi" w:cstheme="majorBidi"/>
          <w:sz w:val="26"/>
          <w:szCs w:val="26"/>
          <w:rtl/>
          <w:lang w:bidi="ar-LB"/>
        </w:rPr>
        <w:t>تحديات و</w:t>
      </w:r>
      <w:r w:rsidR="009E7EF5">
        <w:rPr>
          <w:rFonts w:asciiTheme="majorBidi" w:hAnsiTheme="majorBidi" w:cstheme="majorBidi"/>
          <w:sz w:val="26"/>
          <w:szCs w:val="26"/>
          <w:rtl/>
          <w:lang w:bidi="ar-LB"/>
        </w:rPr>
        <w:t xml:space="preserve">لكنها </w:t>
      </w:r>
      <w:r w:rsidRPr="00C132D3">
        <w:rPr>
          <w:rFonts w:asciiTheme="majorBidi" w:hAnsiTheme="majorBidi" w:cstheme="majorBidi"/>
          <w:sz w:val="26"/>
          <w:szCs w:val="26"/>
          <w:rtl/>
          <w:lang w:bidi="ar-LB"/>
        </w:rPr>
        <w:t xml:space="preserve">تتيح </w:t>
      </w:r>
      <w:r w:rsidR="009E7EF5">
        <w:rPr>
          <w:rFonts w:asciiTheme="majorBidi" w:hAnsiTheme="majorBidi" w:cstheme="majorBidi"/>
          <w:sz w:val="26"/>
          <w:szCs w:val="26"/>
          <w:rtl/>
          <w:lang w:bidi="ar-LB"/>
        </w:rPr>
        <w:t>ال</w:t>
      </w:r>
      <w:r w:rsidRPr="00C132D3">
        <w:rPr>
          <w:rFonts w:asciiTheme="majorBidi" w:hAnsiTheme="majorBidi" w:cstheme="majorBidi"/>
          <w:sz w:val="26"/>
          <w:szCs w:val="26"/>
          <w:rtl/>
          <w:lang w:bidi="ar-LB"/>
        </w:rPr>
        <w:t>فرص على حد سواء من حيث كفاءة استخدام الطاقة أو الا</w:t>
      </w:r>
      <w:r w:rsidR="009E7EF5">
        <w:rPr>
          <w:rFonts w:asciiTheme="majorBidi" w:hAnsiTheme="majorBidi" w:cstheme="majorBidi"/>
          <w:sz w:val="26"/>
          <w:szCs w:val="26"/>
          <w:rtl/>
          <w:lang w:bidi="ar-LB"/>
        </w:rPr>
        <w:t>نت</w:t>
      </w:r>
      <w:r w:rsidRPr="00C132D3">
        <w:rPr>
          <w:rFonts w:asciiTheme="majorBidi" w:hAnsiTheme="majorBidi" w:cstheme="majorBidi"/>
          <w:sz w:val="26"/>
          <w:szCs w:val="26"/>
          <w:rtl/>
          <w:lang w:bidi="ar-LB"/>
        </w:rPr>
        <w:t xml:space="preserve">قال إلى غازات تبريد أقل في إمكانية إحداث الاحترار العالمي. وقد جرى تلبية حصة كبيرة من متطلبات التبريد الشاملة لعدة قطاعات من خلال تكنولوجيات التبريد وتكييف الهواء التي تُستخدم فيها غازات تبريد ذات قدرة على استنفاد الأوزون أو إمكانية لإحداث الاحترار العالمي. ولذلك، فإن الدور الرئيسي الذي يضطلع به الصندوق متعدد الأطراف في دعم البلدان العاملة بموجب المادة </w:t>
      </w:r>
      <w:r w:rsidRPr="00270CAF">
        <w:rPr>
          <w:sz w:val="24"/>
          <w:szCs w:val="24"/>
          <w:lang w:bidi="ar-LB"/>
        </w:rPr>
        <w:t>5</w:t>
      </w:r>
      <w:r w:rsidRPr="00C132D3">
        <w:rPr>
          <w:rFonts w:asciiTheme="majorBidi" w:hAnsiTheme="majorBidi" w:cstheme="majorBidi"/>
          <w:sz w:val="26"/>
          <w:szCs w:val="26"/>
          <w:rtl/>
          <w:lang w:bidi="ar-LB"/>
        </w:rPr>
        <w:t xml:space="preserve"> في الانتقال إلى بدائل رفيقة بالمناخ يتسم بأهمية خاصة. وفي أعقاب المناقشات، طلبت اللجنة التنفيذية إلى الأمانة أن تعدَّ ورقة عن كيفية مساهمة أنشطة التخلص التدريجي من المواد الهيدروكلوروفلوروكربونية و</w:t>
      </w:r>
      <w:r w:rsidR="009E7EF5">
        <w:rPr>
          <w:rFonts w:asciiTheme="majorBidi" w:hAnsiTheme="majorBidi" w:cstheme="majorBidi"/>
          <w:sz w:val="26"/>
          <w:szCs w:val="26"/>
          <w:rtl/>
          <w:lang w:bidi="ar-LB"/>
        </w:rPr>
        <w:t>التخفيض التدريجي ل</w:t>
      </w:r>
      <w:r w:rsidRPr="00C132D3">
        <w:rPr>
          <w:rFonts w:asciiTheme="majorBidi" w:hAnsiTheme="majorBidi" w:cstheme="majorBidi"/>
          <w:sz w:val="26"/>
          <w:szCs w:val="26"/>
          <w:rtl/>
          <w:lang w:bidi="ar-LB"/>
        </w:rPr>
        <w:t xml:space="preserve">لمواد الهيدروفلوروكربونية التي يدعمها الصندوق المتعدد الأطراف في التبريد المستدام (المقرر </w:t>
      </w:r>
      <w:r w:rsidRPr="00270CAF">
        <w:rPr>
          <w:rFonts w:asciiTheme="majorBidi" w:hAnsiTheme="majorBidi" w:cstheme="majorBidi"/>
          <w:sz w:val="24"/>
          <w:szCs w:val="24"/>
          <w:lang w:bidi="ar-LB"/>
        </w:rPr>
        <w:t>92</w:t>
      </w:r>
      <w:r w:rsidRPr="00C132D3">
        <w:rPr>
          <w:rFonts w:asciiTheme="majorBidi" w:hAnsiTheme="majorBidi" w:cstheme="majorBidi"/>
          <w:sz w:val="26"/>
          <w:szCs w:val="26"/>
          <w:rtl/>
          <w:lang w:bidi="ar-LB"/>
        </w:rPr>
        <w:t>/</w:t>
      </w:r>
      <w:r w:rsidRPr="00270CAF">
        <w:rPr>
          <w:rFonts w:asciiTheme="majorBidi" w:hAnsiTheme="majorBidi" w:cstheme="majorBidi"/>
          <w:sz w:val="24"/>
          <w:szCs w:val="24"/>
          <w:lang w:bidi="ar-LB"/>
        </w:rPr>
        <w:t>1</w:t>
      </w:r>
      <w:r w:rsidRPr="00C132D3">
        <w:rPr>
          <w:rFonts w:asciiTheme="majorBidi" w:hAnsiTheme="majorBidi" w:cstheme="majorBidi"/>
          <w:sz w:val="26"/>
          <w:szCs w:val="26"/>
          <w:rtl/>
          <w:lang w:bidi="ar-LB"/>
        </w:rPr>
        <w:t>(ب))، لكي تنظر فيها اللجنة التنفيذية في اجتماعها</w:t>
      </w:r>
      <w:r w:rsidRPr="00270CAF">
        <w:rPr>
          <w:rFonts w:asciiTheme="majorBidi" w:hAnsiTheme="majorBidi" w:cstheme="majorBidi"/>
          <w:sz w:val="26"/>
          <w:szCs w:val="26"/>
          <w:rtl/>
          <w:lang w:bidi="ar-LB"/>
        </w:rPr>
        <w:t xml:space="preserve"> </w:t>
      </w:r>
      <w:r w:rsidRPr="00C132D3">
        <w:rPr>
          <w:rFonts w:asciiTheme="majorBidi" w:hAnsiTheme="majorBidi" w:cstheme="majorBidi"/>
          <w:sz w:val="26"/>
          <w:szCs w:val="26"/>
          <w:rtl/>
          <w:lang w:bidi="ar-LB"/>
        </w:rPr>
        <w:t>الرابع والتسعين</w:t>
      </w:r>
      <w:r>
        <w:rPr>
          <w:rFonts w:asciiTheme="majorBidi" w:hAnsiTheme="majorBidi" w:cstheme="majorBidi"/>
          <w:sz w:val="26"/>
          <w:szCs w:val="26"/>
          <w:rtl/>
          <w:lang w:bidi="ar-LB"/>
        </w:rPr>
        <w:t>.</w:t>
      </w:r>
    </w:p>
    <w:p w14:paraId="03D49C2C" w14:textId="32CD89B8" w:rsidR="00270CAF" w:rsidRPr="00837F3F" w:rsidRDefault="00270CAF" w:rsidP="00270CAF">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sz w:val="26"/>
          <w:szCs w:val="26"/>
          <w:rtl/>
          <w:lang w:val="en-US" w:bidi="ar-LB"/>
        </w:rPr>
        <w:t xml:space="preserve">ولدى إعداد </w:t>
      </w:r>
      <w:r w:rsidRPr="00C132D3">
        <w:rPr>
          <w:rFonts w:asciiTheme="majorBidi" w:hAnsiTheme="majorBidi" w:cstheme="majorBidi"/>
          <w:sz w:val="26"/>
          <w:szCs w:val="26"/>
          <w:rtl/>
          <w:lang w:bidi="ar-LB"/>
        </w:rPr>
        <w:t xml:space="preserve">هذه الورقة، قامت الأمانة باستشارة خبراء تقنيين بشأن تكنولوجيات التبريد المستدامة في تطبيقات التبريد وتكييف الهواء والمضخات الحرارية. وعلاوة على ذلك، لغرض تحليل الكيفية التي يمكن أن يسهم بها التخفيض </w:t>
      </w:r>
      <w:r w:rsidRPr="00C132D3">
        <w:rPr>
          <w:rFonts w:asciiTheme="majorBidi" w:hAnsiTheme="majorBidi" w:cstheme="majorBidi"/>
          <w:sz w:val="26"/>
          <w:szCs w:val="26"/>
          <w:rtl/>
          <w:lang w:bidi="ar-LB"/>
        </w:rPr>
        <w:lastRenderedPageBreak/>
        <w:t xml:space="preserve">التدريجي للمواد الهيدروفلوروكربونية في انبعاثات غازات الدفيئة المباشرة وغير المباشرة في البلدان العاملة بموجب المادة </w:t>
      </w:r>
      <w:r w:rsidR="00837F3F" w:rsidRPr="00837F3F">
        <w:rPr>
          <w:rFonts w:asciiTheme="majorBidi" w:hAnsiTheme="majorBidi" w:cstheme="majorBidi"/>
          <w:sz w:val="24"/>
          <w:szCs w:val="24"/>
          <w:lang w:bidi="ar-LB"/>
        </w:rPr>
        <w:t>5</w:t>
      </w:r>
      <w:r w:rsidRPr="00C132D3">
        <w:rPr>
          <w:rStyle w:val="FootnoteReference"/>
          <w:rFonts w:asciiTheme="majorBidi" w:hAnsiTheme="majorBidi" w:cstheme="majorBidi"/>
          <w:sz w:val="26"/>
          <w:szCs w:val="26"/>
          <w:rtl/>
          <w:lang w:bidi="ar-LB"/>
        </w:rPr>
        <w:footnoteReference w:id="2"/>
      </w:r>
      <w:r w:rsidRPr="00C132D3">
        <w:rPr>
          <w:rFonts w:asciiTheme="majorBidi" w:hAnsiTheme="majorBidi" w:cstheme="majorBidi"/>
          <w:sz w:val="26"/>
          <w:szCs w:val="26"/>
          <w:rtl/>
          <w:lang w:bidi="ar-LB"/>
        </w:rPr>
        <w:t xml:space="preserve">، قامت الأمانة بتحليل البيانات الواردة في تقرير </w:t>
      </w:r>
      <w:r w:rsidR="009E7EF5">
        <w:rPr>
          <w:rFonts w:asciiTheme="majorBidi" w:hAnsiTheme="majorBidi" w:cstheme="majorBidi"/>
          <w:sz w:val="26"/>
          <w:szCs w:val="26"/>
          <w:rtl/>
          <w:lang w:bidi="ar-LB"/>
        </w:rPr>
        <w:t>رصد</w:t>
      </w:r>
      <w:r w:rsidRPr="00C132D3">
        <w:rPr>
          <w:rFonts w:asciiTheme="majorBidi" w:hAnsiTheme="majorBidi" w:cstheme="majorBidi"/>
          <w:sz w:val="26"/>
          <w:szCs w:val="26"/>
          <w:rtl/>
          <w:lang w:bidi="ar-LB"/>
        </w:rPr>
        <w:t xml:space="preserve"> التبريد العالمي لعام </w:t>
      </w:r>
      <w:r w:rsidR="00837F3F" w:rsidRPr="00837F3F">
        <w:rPr>
          <w:rFonts w:asciiTheme="majorBidi" w:hAnsiTheme="majorBidi" w:cstheme="majorBidi"/>
          <w:sz w:val="24"/>
          <w:szCs w:val="24"/>
          <w:lang w:bidi="ar-LB"/>
        </w:rPr>
        <w:t>2023</w:t>
      </w:r>
      <w:r w:rsidR="00837F3F" w:rsidRPr="00642AEE">
        <w:rPr>
          <w:rFonts w:asciiTheme="majorBidi" w:hAnsiTheme="majorBidi" w:cstheme="majorBidi"/>
          <w:lang w:bidi="ar-LB"/>
        </w:rPr>
        <w:t xml:space="preserve"> </w:t>
      </w:r>
      <w:r w:rsidRPr="00C132D3">
        <w:rPr>
          <w:rStyle w:val="FootnoteReference"/>
          <w:rFonts w:asciiTheme="majorBidi" w:hAnsiTheme="majorBidi" w:cstheme="majorBidi"/>
          <w:sz w:val="26"/>
          <w:szCs w:val="26"/>
          <w:rtl/>
          <w:lang w:bidi="ar-LB"/>
        </w:rPr>
        <w:footnoteReference w:id="3"/>
      </w:r>
      <w:r w:rsidR="00837F3F">
        <w:rPr>
          <w:rFonts w:asciiTheme="majorBidi" w:hAnsiTheme="majorBidi" w:cstheme="majorBidi"/>
          <w:rtl/>
          <w:lang w:bidi="ar-LB"/>
        </w:rPr>
        <w:t xml:space="preserve"> </w:t>
      </w:r>
      <w:r w:rsidRPr="00C132D3">
        <w:rPr>
          <w:rFonts w:asciiTheme="majorBidi" w:hAnsiTheme="majorBidi" w:cstheme="majorBidi"/>
          <w:sz w:val="26"/>
          <w:szCs w:val="26"/>
          <w:rtl/>
          <w:lang w:bidi="ar-LB"/>
        </w:rPr>
        <w:t xml:space="preserve">الصادر عن برنامج الأمم المتحدة للبيئة (اليونيب)؛ واستعراض خطط التبريد الوطنية بما في ذلك موجز خطط العمل الوطنية </w:t>
      </w:r>
      <w:r w:rsidR="008E56C5">
        <w:rPr>
          <w:rFonts w:asciiTheme="majorBidi" w:hAnsiTheme="majorBidi" w:cstheme="majorBidi"/>
          <w:sz w:val="26"/>
          <w:szCs w:val="26"/>
          <w:rtl/>
          <w:lang w:bidi="ar-LB"/>
        </w:rPr>
        <w:t>في مجا</w:t>
      </w:r>
      <w:r w:rsidRPr="00C132D3">
        <w:rPr>
          <w:rFonts w:asciiTheme="majorBidi" w:hAnsiTheme="majorBidi" w:cstheme="majorBidi"/>
          <w:sz w:val="26"/>
          <w:szCs w:val="26"/>
          <w:rtl/>
          <w:lang w:bidi="ar-LB"/>
        </w:rPr>
        <w:t>ل</w:t>
      </w:r>
      <w:r w:rsidR="008E56C5">
        <w:rPr>
          <w:rFonts w:asciiTheme="majorBidi" w:hAnsiTheme="majorBidi" w:cstheme="majorBidi"/>
          <w:sz w:val="26"/>
          <w:szCs w:val="26"/>
          <w:rtl/>
          <w:lang w:bidi="ar-LB"/>
        </w:rPr>
        <w:t xml:space="preserve"> ا</w:t>
      </w:r>
      <w:r w:rsidRPr="00C132D3">
        <w:rPr>
          <w:rFonts w:asciiTheme="majorBidi" w:hAnsiTheme="majorBidi" w:cstheme="majorBidi"/>
          <w:sz w:val="26"/>
          <w:szCs w:val="26"/>
          <w:rtl/>
          <w:lang w:bidi="ar-LB"/>
        </w:rPr>
        <w:t>لتبريد  التي يدعمها برنامج الأمم المتحدة الإنمائي [اليوئنديبي) والتقارير المماثلة على المستوى القطري بشأن التبريد؛ كما اطلعت على تقييم لجنة الخيارات التقنية للتبريد وتكييف الهواء والمضخات الحرارية</w:t>
      </w:r>
      <w:r w:rsidR="00837F3F">
        <w:rPr>
          <w:rFonts w:asciiTheme="majorBidi" w:hAnsiTheme="majorBidi" w:cstheme="majorBidi"/>
          <w:sz w:val="26"/>
          <w:szCs w:val="26"/>
          <w:rtl/>
          <w:lang w:bidi="ar-LB"/>
        </w:rPr>
        <w:t xml:space="preserve"> </w:t>
      </w:r>
      <w:r w:rsidRPr="00C132D3">
        <w:rPr>
          <w:rFonts w:asciiTheme="majorBidi" w:hAnsiTheme="majorBidi" w:cstheme="majorBidi"/>
          <w:sz w:val="26"/>
          <w:szCs w:val="26"/>
          <w:rtl/>
          <w:lang w:bidi="ar-LB"/>
        </w:rPr>
        <w:t xml:space="preserve">لعام </w:t>
      </w:r>
      <w:r w:rsidR="00837F3F" w:rsidRPr="00837F3F">
        <w:rPr>
          <w:rFonts w:asciiTheme="majorBidi" w:hAnsiTheme="majorBidi" w:cstheme="majorBidi"/>
          <w:sz w:val="24"/>
          <w:szCs w:val="24"/>
          <w:lang w:bidi="ar-LB"/>
        </w:rPr>
        <w:t>2022</w:t>
      </w:r>
      <w:r w:rsidRPr="00C132D3">
        <w:rPr>
          <w:rFonts w:asciiTheme="majorBidi" w:hAnsiTheme="majorBidi" w:cstheme="majorBidi"/>
          <w:sz w:val="26"/>
          <w:szCs w:val="26"/>
          <w:rtl/>
          <w:lang w:bidi="ar-LB"/>
        </w:rPr>
        <w:t>.  وأخيرا</w:t>
      </w:r>
      <w:r w:rsidR="00837F3F">
        <w:rPr>
          <w:rFonts w:asciiTheme="majorBidi" w:hAnsiTheme="majorBidi" w:cstheme="majorBidi"/>
          <w:sz w:val="26"/>
          <w:szCs w:val="26"/>
          <w:rtl/>
          <w:lang w:bidi="ar-LB"/>
        </w:rPr>
        <w:t>ً</w:t>
      </w:r>
      <w:r w:rsidRPr="00C132D3">
        <w:rPr>
          <w:rFonts w:asciiTheme="majorBidi" w:hAnsiTheme="majorBidi" w:cstheme="majorBidi"/>
          <w:sz w:val="26"/>
          <w:szCs w:val="26"/>
          <w:rtl/>
          <w:lang w:bidi="ar-LB"/>
        </w:rPr>
        <w:t>، حصلت الأمانة على مدخلات أسهمت بها الوكالات</w:t>
      </w:r>
      <w:r>
        <w:rPr>
          <w:rFonts w:asciiTheme="majorBidi" w:hAnsiTheme="majorBidi" w:cstheme="majorBidi"/>
          <w:sz w:val="26"/>
          <w:szCs w:val="26"/>
          <w:rtl/>
          <w:lang w:bidi="ar-LB"/>
        </w:rPr>
        <w:t xml:space="preserve"> </w:t>
      </w:r>
      <w:r w:rsidRPr="00C132D3">
        <w:rPr>
          <w:rFonts w:asciiTheme="majorBidi" w:hAnsiTheme="majorBidi" w:cstheme="majorBidi"/>
          <w:sz w:val="26"/>
          <w:szCs w:val="26"/>
          <w:rtl/>
          <w:lang w:bidi="ar-LB"/>
        </w:rPr>
        <w:t>الثنائية والمنفذة</w:t>
      </w:r>
      <w:r>
        <w:rPr>
          <w:rFonts w:asciiTheme="majorBidi" w:hAnsiTheme="majorBidi" w:cstheme="majorBidi"/>
          <w:sz w:val="26"/>
          <w:szCs w:val="26"/>
          <w:rtl/>
          <w:lang w:bidi="ar-LB"/>
        </w:rPr>
        <w:t>.</w:t>
      </w:r>
    </w:p>
    <w:p w14:paraId="405011C1" w14:textId="12292C37" w:rsidR="00837F3F" w:rsidRPr="009C7C3D" w:rsidRDefault="00837F3F" w:rsidP="00837F3F">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sz w:val="26"/>
          <w:szCs w:val="26"/>
          <w:rtl/>
          <w:lang w:val="en-US" w:bidi="ar-LB"/>
        </w:rPr>
        <w:t>وبالإضافة</w:t>
      </w:r>
      <w:r w:rsidRPr="00837F3F">
        <w:rPr>
          <w:rFonts w:asciiTheme="majorBidi" w:hAnsiTheme="majorBidi" w:cstheme="majorBidi"/>
          <w:sz w:val="26"/>
          <w:szCs w:val="26"/>
          <w:rtl/>
          <w:lang w:bidi="ar-LB"/>
        </w:rPr>
        <w:t xml:space="preserve"> </w:t>
      </w:r>
      <w:r w:rsidRPr="00C132D3">
        <w:rPr>
          <w:rFonts w:asciiTheme="majorBidi" w:hAnsiTheme="majorBidi" w:cstheme="majorBidi"/>
          <w:sz w:val="26"/>
          <w:szCs w:val="26"/>
          <w:rtl/>
          <w:lang w:bidi="ar-LB"/>
        </w:rPr>
        <w:t>إلى وصف الجوانب المتعلقة بالتبريد المستدام والقطاعات ذات الصلة التي يغطيها تمويل الصندوق متعدد الأطراف، تبحث هذه الوثيقة تأثير أنشطة إزالة المواد الهيدروكلوروفلوروكربونية والتخفيض التدريجي للمواد الهيدروفلوروكربونية على تحقيق التبريد المستدام، وتحلل الانبعاثات المباشرة وغير المباشرة فضلا</w:t>
      </w:r>
      <w:r w:rsidR="00990CE4">
        <w:rPr>
          <w:rFonts w:asciiTheme="majorBidi" w:hAnsiTheme="majorBidi" w:cstheme="majorBidi"/>
          <w:sz w:val="26"/>
          <w:szCs w:val="26"/>
          <w:rtl/>
          <w:lang w:bidi="ar-LB"/>
        </w:rPr>
        <w:t>ً</w:t>
      </w:r>
      <w:r w:rsidRPr="00C132D3">
        <w:rPr>
          <w:rFonts w:asciiTheme="majorBidi" w:hAnsiTheme="majorBidi" w:cstheme="majorBidi"/>
          <w:sz w:val="26"/>
          <w:szCs w:val="26"/>
          <w:rtl/>
          <w:lang w:bidi="ar-LB"/>
        </w:rPr>
        <w:t xml:space="preserve"> عن الاتجاهات الناجمة عن احتياجات التبريد في المستقبل، وتعرض ما يمكن عمله فيما يتعلق بالتبريد المستدام في إطار خطط إدارة إزالة   المواد الهيدروكلوروفلوروكربونية وخطط تنفيذ تعديل كيغالي للمواد</w:t>
      </w:r>
      <w:r w:rsidRPr="00837F3F">
        <w:rPr>
          <w:rFonts w:asciiTheme="majorBidi" w:hAnsiTheme="majorBidi" w:cstheme="majorBidi"/>
          <w:sz w:val="26"/>
          <w:szCs w:val="26"/>
          <w:rtl/>
          <w:lang w:bidi="ar-LB"/>
        </w:rPr>
        <w:t xml:space="preserve"> </w:t>
      </w:r>
      <w:r w:rsidRPr="00C132D3">
        <w:rPr>
          <w:rFonts w:asciiTheme="majorBidi" w:hAnsiTheme="majorBidi" w:cstheme="majorBidi"/>
          <w:sz w:val="26"/>
          <w:szCs w:val="26"/>
          <w:rtl/>
          <w:lang w:bidi="ar-LB"/>
        </w:rPr>
        <w:t>الهيدروفلوروكربونية</w:t>
      </w:r>
      <w:r>
        <w:rPr>
          <w:rFonts w:asciiTheme="majorBidi" w:hAnsiTheme="majorBidi" w:cstheme="majorBidi"/>
          <w:sz w:val="26"/>
          <w:szCs w:val="26"/>
          <w:rtl/>
          <w:lang w:bidi="ar-LB"/>
        </w:rPr>
        <w:t>.</w:t>
      </w:r>
    </w:p>
    <w:p w14:paraId="73B168C5" w14:textId="52C1FC65" w:rsidR="009C7C3D" w:rsidRPr="00837F3F" w:rsidRDefault="009C7C3D" w:rsidP="009C7C3D">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b/>
          <w:bCs/>
          <w:sz w:val="26"/>
          <w:szCs w:val="26"/>
          <w:rtl/>
          <w:lang w:bidi="ar-LB"/>
        </w:rPr>
        <w:t>الجوانب المتعلقة بالتبريد المستدام</w:t>
      </w:r>
      <w:r w:rsidRPr="00C132D3">
        <w:rPr>
          <w:rStyle w:val="FootnoteReference"/>
          <w:rFonts w:asciiTheme="majorBidi" w:hAnsiTheme="majorBidi" w:cstheme="majorBidi"/>
          <w:b/>
          <w:bCs/>
          <w:sz w:val="26"/>
          <w:szCs w:val="26"/>
          <w:rtl/>
          <w:lang w:bidi="ar-LB"/>
        </w:rPr>
        <w:footnoteReference w:id="4"/>
      </w:r>
    </w:p>
    <w:p w14:paraId="3E58C2D7" w14:textId="0D49098C" w:rsidR="009C7C3D" w:rsidRDefault="00837F3F" w:rsidP="009C7C3D">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يتعلق</w:t>
      </w:r>
      <w:r w:rsidR="009C7C3D">
        <w:rPr>
          <w:rFonts w:asciiTheme="majorBidi" w:hAnsiTheme="majorBidi" w:cstheme="majorBidi"/>
          <w:sz w:val="26"/>
          <w:szCs w:val="26"/>
          <w:rtl/>
          <w:lang w:bidi="ar-LB"/>
        </w:rPr>
        <w:t xml:space="preserve"> </w:t>
      </w:r>
      <w:r w:rsidR="009C7C3D" w:rsidRPr="00C132D3">
        <w:rPr>
          <w:rFonts w:asciiTheme="majorBidi" w:hAnsiTheme="majorBidi" w:cstheme="majorBidi"/>
          <w:sz w:val="26"/>
          <w:szCs w:val="26"/>
          <w:rtl/>
          <w:lang w:bidi="ar-LB"/>
        </w:rPr>
        <w:t xml:space="preserve">التبريد المستدام بتحقيق التبريد والتثليج </w:t>
      </w:r>
      <w:r w:rsidR="00B63917" w:rsidRPr="00C132D3">
        <w:rPr>
          <w:rFonts w:asciiTheme="majorBidi" w:hAnsiTheme="majorBidi" w:cstheme="majorBidi"/>
          <w:sz w:val="26"/>
          <w:szCs w:val="26"/>
          <w:rtl/>
          <w:lang w:bidi="ar-LB"/>
        </w:rPr>
        <w:t xml:space="preserve">المريح </w:t>
      </w:r>
      <w:r w:rsidR="009C7C3D" w:rsidRPr="00C132D3">
        <w:rPr>
          <w:rFonts w:asciiTheme="majorBidi" w:hAnsiTheme="majorBidi" w:cstheme="majorBidi"/>
          <w:sz w:val="26"/>
          <w:szCs w:val="26"/>
          <w:rtl/>
          <w:lang w:bidi="ar-LB"/>
        </w:rPr>
        <w:t>في سلسلة التبريد، مع الحد الأدنى من انبعاثات غازات الدفيئة المباشرة وغير المباشرة وغيرها من الآثار البيئية الضارة ، وذلك باستخدام ت</w:t>
      </w:r>
      <w:r w:rsidR="00286BD3">
        <w:rPr>
          <w:rFonts w:asciiTheme="majorBidi" w:hAnsiTheme="majorBidi" w:cstheme="majorBidi"/>
          <w:sz w:val="26"/>
          <w:szCs w:val="26"/>
          <w:rtl/>
          <w:lang w:bidi="ar-LB"/>
        </w:rPr>
        <w:t>ك</w:t>
      </w:r>
      <w:r w:rsidR="009C7C3D" w:rsidRPr="00C132D3">
        <w:rPr>
          <w:rFonts w:asciiTheme="majorBidi" w:hAnsiTheme="majorBidi" w:cstheme="majorBidi"/>
          <w:sz w:val="26"/>
          <w:szCs w:val="26"/>
          <w:rtl/>
          <w:lang w:bidi="ar-LB"/>
        </w:rPr>
        <w:t>ن</w:t>
      </w:r>
      <w:r w:rsidR="00286BD3">
        <w:rPr>
          <w:rFonts w:asciiTheme="majorBidi" w:hAnsiTheme="majorBidi" w:cstheme="majorBidi"/>
          <w:sz w:val="26"/>
          <w:szCs w:val="26"/>
          <w:rtl/>
          <w:lang w:bidi="ar-LB"/>
        </w:rPr>
        <w:t>ولوج</w:t>
      </w:r>
      <w:r w:rsidR="009C7C3D" w:rsidRPr="00C132D3">
        <w:rPr>
          <w:rFonts w:asciiTheme="majorBidi" w:hAnsiTheme="majorBidi" w:cstheme="majorBidi"/>
          <w:sz w:val="26"/>
          <w:szCs w:val="26"/>
          <w:rtl/>
          <w:lang w:bidi="ar-LB"/>
        </w:rPr>
        <w:t xml:space="preserve">يات ميسورة التكلفة ومجدية من الوجهتين التقنية والاقتصادية وقابلة للتطوير. </w:t>
      </w:r>
      <w:r w:rsidR="001655F4">
        <w:rPr>
          <w:rFonts w:asciiTheme="majorBidi" w:hAnsiTheme="majorBidi" w:cstheme="majorBidi"/>
          <w:sz w:val="26"/>
          <w:szCs w:val="26"/>
          <w:rtl/>
          <w:lang w:bidi="ar-LB"/>
        </w:rPr>
        <w:t>و</w:t>
      </w:r>
      <w:r w:rsidR="009C7C3D" w:rsidRPr="00C132D3">
        <w:rPr>
          <w:rFonts w:asciiTheme="majorBidi" w:hAnsiTheme="majorBidi" w:cstheme="majorBidi"/>
          <w:sz w:val="26"/>
          <w:szCs w:val="26"/>
          <w:rtl/>
          <w:lang w:bidi="ar-LB"/>
        </w:rPr>
        <w:t xml:space="preserve">بشكل عام، تتمثل أكبر فائدة </w:t>
      </w:r>
      <w:r w:rsidR="008C0AF7">
        <w:rPr>
          <w:rFonts w:asciiTheme="majorBidi" w:hAnsiTheme="majorBidi" w:cstheme="majorBidi"/>
          <w:sz w:val="26"/>
          <w:szCs w:val="26"/>
          <w:rtl/>
          <w:lang w:bidi="ar-LB"/>
        </w:rPr>
        <w:t xml:space="preserve">تُجنى </w:t>
      </w:r>
      <w:r w:rsidR="009C7C3D" w:rsidRPr="00C132D3">
        <w:rPr>
          <w:rFonts w:asciiTheme="majorBidi" w:hAnsiTheme="majorBidi" w:cstheme="majorBidi"/>
          <w:sz w:val="26"/>
          <w:szCs w:val="26"/>
          <w:rtl/>
          <w:lang w:bidi="ar-LB"/>
        </w:rPr>
        <w:t>من تنفيذ التبريد المستدام في تقليل استهلاك الطاقة اللازم لتحقيق نفس المستوى من التبريد، بما في ذلك خفض احتياجات التبريد "إلى الحجم المناسب". ويمكن أن يشمل التبريد المستدام أيضاً تدخلات تتجاوز اختيار ت</w:t>
      </w:r>
      <w:r w:rsidR="001B65CF">
        <w:rPr>
          <w:rFonts w:asciiTheme="majorBidi" w:hAnsiTheme="majorBidi" w:cstheme="majorBidi"/>
          <w:sz w:val="26"/>
          <w:szCs w:val="26"/>
          <w:rtl/>
          <w:lang w:bidi="ar-LB"/>
        </w:rPr>
        <w:t>ك</w:t>
      </w:r>
      <w:r w:rsidR="009C7C3D" w:rsidRPr="00C132D3">
        <w:rPr>
          <w:rFonts w:asciiTheme="majorBidi" w:hAnsiTheme="majorBidi" w:cstheme="majorBidi"/>
          <w:sz w:val="26"/>
          <w:szCs w:val="26"/>
          <w:rtl/>
          <w:lang w:bidi="ar-LB"/>
        </w:rPr>
        <w:t>ن</w:t>
      </w:r>
      <w:r w:rsidR="001B65CF">
        <w:rPr>
          <w:rFonts w:asciiTheme="majorBidi" w:hAnsiTheme="majorBidi" w:cstheme="majorBidi"/>
          <w:sz w:val="26"/>
          <w:szCs w:val="26"/>
          <w:rtl/>
          <w:lang w:bidi="ar-LB"/>
        </w:rPr>
        <w:t>ولوج</w:t>
      </w:r>
      <w:r w:rsidR="009C7C3D" w:rsidRPr="00C132D3">
        <w:rPr>
          <w:rFonts w:asciiTheme="majorBidi" w:hAnsiTheme="majorBidi" w:cstheme="majorBidi"/>
          <w:sz w:val="26"/>
          <w:szCs w:val="26"/>
          <w:rtl/>
          <w:lang w:bidi="ar-LB"/>
        </w:rPr>
        <w:t xml:space="preserve">يات التبريد </w:t>
      </w:r>
      <w:r w:rsidR="001B65CF" w:rsidRPr="00C132D3">
        <w:rPr>
          <w:rFonts w:asciiTheme="majorBidi" w:hAnsiTheme="majorBidi" w:cstheme="majorBidi"/>
          <w:sz w:val="26"/>
          <w:szCs w:val="26"/>
          <w:rtl/>
          <w:lang w:bidi="ar-LB"/>
        </w:rPr>
        <w:t>واستخدام</w:t>
      </w:r>
      <w:r w:rsidR="001B65CF">
        <w:rPr>
          <w:rFonts w:asciiTheme="majorBidi" w:hAnsiTheme="majorBidi" w:cstheme="majorBidi"/>
          <w:sz w:val="26"/>
          <w:szCs w:val="26"/>
          <w:rtl/>
          <w:lang w:bidi="ar-LB"/>
        </w:rPr>
        <w:t>ها</w:t>
      </w:r>
      <w:r w:rsidR="001B65CF" w:rsidRPr="00C132D3">
        <w:rPr>
          <w:rFonts w:asciiTheme="majorBidi" w:hAnsiTheme="majorBidi" w:cstheme="majorBidi"/>
          <w:sz w:val="26"/>
          <w:szCs w:val="26"/>
          <w:rtl/>
          <w:lang w:bidi="ar-LB"/>
        </w:rPr>
        <w:t xml:space="preserve"> </w:t>
      </w:r>
      <w:r w:rsidR="009C7C3D" w:rsidRPr="00C132D3">
        <w:rPr>
          <w:rFonts w:asciiTheme="majorBidi" w:hAnsiTheme="majorBidi" w:cstheme="majorBidi"/>
          <w:sz w:val="26"/>
          <w:szCs w:val="26"/>
          <w:rtl/>
          <w:lang w:bidi="ar-LB"/>
        </w:rPr>
        <w:t xml:space="preserve">وتشمل التخلص من غازات التبريد بطريقة مسؤولة. ويساهم التبريد المستدام في تحقيق الأهداف </w:t>
      </w:r>
      <w:r w:rsidR="009C7C3D" w:rsidRPr="009C7C3D">
        <w:rPr>
          <w:rFonts w:asciiTheme="majorBidi" w:hAnsiTheme="majorBidi" w:cstheme="majorBidi"/>
          <w:sz w:val="24"/>
          <w:szCs w:val="24"/>
          <w:lang w:bidi="ar-LB"/>
        </w:rPr>
        <w:t>2</w:t>
      </w:r>
      <w:r w:rsidR="009C7C3D" w:rsidRPr="00C132D3">
        <w:rPr>
          <w:rFonts w:asciiTheme="majorBidi" w:hAnsiTheme="majorBidi" w:cstheme="majorBidi"/>
          <w:sz w:val="26"/>
          <w:szCs w:val="26"/>
          <w:rtl/>
          <w:lang w:bidi="ar-LB"/>
        </w:rPr>
        <w:t xml:space="preserve"> و</w:t>
      </w:r>
      <w:r w:rsidR="009C7C3D" w:rsidRPr="009C7C3D">
        <w:rPr>
          <w:rFonts w:asciiTheme="majorBidi" w:hAnsiTheme="majorBidi" w:cstheme="majorBidi"/>
          <w:sz w:val="24"/>
          <w:szCs w:val="24"/>
          <w:lang w:bidi="ar-LB"/>
        </w:rPr>
        <w:t>3</w:t>
      </w:r>
      <w:r w:rsidR="009C7C3D" w:rsidRPr="00C132D3">
        <w:rPr>
          <w:rFonts w:asciiTheme="majorBidi" w:hAnsiTheme="majorBidi" w:cstheme="majorBidi"/>
          <w:sz w:val="26"/>
          <w:szCs w:val="26"/>
          <w:rtl/>
          <w:lang w:bidi="ar-LB"/>
        </w:rPr>
        <w:t xml:space="preserve"> </w:t>
      </w:r>
      <w:r w:rsidR="001B65CF">
        <w:rPr>
          <w:rFonts w:asciiTheme="majorBidi" w:hAnsiTheme="majorBidi" w:cstheme="majorBidi"/>
          <w:sz w:val="26"/>
          <w:szCs w:val="26"/>
          <w:rtl/>
          <w:lang w:bidi="ar-LB"/>
        </w:rPr>
        <w:t>و</w:t>
      </w:r>
      <w:r w:rsidR="009C7C3D" w:rsidRPr="009C7C3D">
        <w:rPr>
          <w:rFonts w:asciiTheme="majorBidi" w:hAnsiTheme="majorBidi" w:cstheme="majorBidi"/>
          <w:sz w:val="24"/>
          <w:szCs w:val="24"/>
          <w:lang w:bidi="ar-LB"/>
        </w:rPr>
        <w:t>4</w:t>
      </w:r>
      <w:r w:rsidR="009C7C3D" w:rsidRPr="00C132D3">
        <w:rPr>
          <w:rFonts w:asciiTheme="majorBidi" w:hAnsiTheme="majorBidi" w:cstheme="majorBidi"/>
          <w:sz w:val="26"/>
          <w:szCs w:val="26"/>
          <w:rtl/>
          <w:lang w:bidi="ar-LB"/>
        </w:rPr>
        <w:t xml:space="preserve"> و</w:t>
      </w:r>
      <w:r w:rsidR="009C7C3D" w:rsidRPr="009C7C3D">
        <w:rPr>
          <w:rFonts w:asciiTheme="majorBidi" w:hAnsiTheme="majorBidi" w:cstheme="majorBidi"/>
          <w:sz w:val="24"/>
          <w:szCs w:val="24"/>
          <w:lang w:bidi="ar-LB"/>
        </w:rPr>
        <w:t>8</w:t>
      </w:r>
      <w:r w:rsidR="009C7C3D" w:rsidRPr="00C132D3">
        <w:rPr>
          <w:rFonts w:asciiTheme="majorBidi" w:hAnsiTheme="majorBidi" w:cstheme="majorBidi"/>
          <w:sz w:val="26"/>
          <w:szCs w:val="26"/>
          <w:rtl/>
          <w:lang w:bidi="ar-LB"/>
        </w:rPr>
        <w:t xml:space="preserve"> و</w:t>
      </w:r>
      <w:r w:rsidR="009C7C3D" w:rsidRPr="009C7C3D">
        <w:rPr>
          <w:rFonts w:asciiTheme="majorBidi" w:hAnsiTheme="majorBidi" w:cstheme="majorBidi"/>
          <w:sz w:val="24"/>
          <w:szCs w:val="24"/>
          <w:lang w:bidi="ar-LB"/>
        </w:rPr>
        <w:t>9</w:t>
      </w:r>
      <w:r w:rsidR="009C7C3D" w:rsidRPr="00C132D3">
        <w:rPr>
          <w:rFonts w:asciiTheme="majorBidi" w:hAnsiTheme="majorBidi" w:cstheme="majorBidi"/>
          <w:sz w:val="26"/>
          <w:szCs w:val="26"/>
          <w:rtl/>
          <w:lang w:bidi="ar-LB"/>
        </w:rPr>
        <w:t xml:space="preserve"> و</w:t>
      </w:r>
      <w:r w:rsidR="009C7C3D" w:rsidRPr="009C7C3D">
        <w:rPr>
          <w:rFonts w:asciiTheme="majorBidi" w:hAnsiTheme="majorBidi" w:cstheme="majorBidi"/>
          <w:sz w:val="24"/>
          <w:szCs w:val="24"/>
          <w:lang w:bidi="ar-LB"/>
        </w:rPr>
        <w:t>10</w:t>
      </w:r>
      <w:r w:rsidR="009C7C3D" w:rsidRPr="00C132D3">
        <w:rPr>
          <w:rFonts w:asciiTheme="majorBidi" w:hAnsiTheme="majorBidi" w:cstheme="majorBidi"/>
          <w:sz w:val="26"/>
          <w:szCs w:val="26"/>
          <w:rtl/>
          <w:lang w:bidi="ar-LB"/>
        </w:rPr>
        <w:t xml:space="preserve"> و</w:t>
      </w:r>
      <w:r w:rsidR="009C7C3D" w:rsidRPr="009C7C3D">
        <w:rPr>
          <w:rFonts w:asciiTheme="majorBidi" w:hAnsiTheme="majorBidi" w:cstheme="majorBidi"/>
          <w:sz w:val="24"/>
          <w:szCs w:val="24"/>
          <w:lang w:bidi="ar-LB"/>
        </w:rPr>
        <w:t>11</w:t>
      </w:r>
      <w:r w:rsidR="009C7C3D" w:rsidRPr="00C132D3">
        <w:rPr>
          <w:rFonts w:asciiTheme="majorBidi" w:hAnsiTheme="majorBidi" w:cstheme="majorBidi"/>
          <w:sz w:val="26"/>
          <w:szCs w:val="26"/>
          <w:rtl/>
          <w:lang w:bidi="ar-LB"/>
        </w:rPr>
        <w:t xml:space="preserve"> و</w:t>
      </w:r>
      <w:r w:rsidR="009C7C3D" w:rsidRPr="009C7C3D">
        <w:rPr>
          <w:rFonts w:asciiTheme="majorBidi" w:hAnsiTheme="majorBidi" w:cstheme="majorBidi"/>
          <w:sz w:val="24"/>
          <w:szCs w:val="24"/>
          <w:lang w:bidi="ar-LB"/>
        </w:rPr>
        <w:t>12</w:t>
      </w:r>
      <w:r w:rsidR="009C7C3D" w:rsidRPr="00C132D3">
        <w:rPr>
          <w:rFonts w:asciiTheme="majorBidi" w:hAnsiTheme="majorBidi" w:cstheme="majorBidi"/>
          <w:sz w:val="26"/>
          <w:szCs w:val="26"/>
          <w:rtl/>
          <w:lang w:bidi="ar-LB"/>
        </w:rPr>
        <w:t xml:space="preserve"> من أهداف التنمية</w:t>
      </w:r>
      <w:r w:rsidR="009C7C3D">
        <w:rPr>
          <w:rFonts w:asciiTheme="majorBidi" w:hAnsiTheme="majorBidi" w:cstheme="majorBidi"/>
          <w:sz w:val="26"/>
          <w:szCs w:val="26"/>
          <w:rtl/>
          <w:lang w:bidi="ar-LB"/>
        </w:rPr>
        <w:t xml:space="preserve"> </w:t>
      </w:r>
      <w:r w:rsidR="009C7C3D" w:rsidRPr="00C132D3">
        <w:rPr>
          <w:rFonts w:asciiTheme="majorBidi" w:hAnsiTheme="majorBidi" w:cstheme="majorBidi"/>
          <w:sz w:val="26"/>
          <w:szCs w:val="26"/>
          <w:rtl/>
          <w:lang w:bidi="ar-LB"/>
        </w:rPr>
        <w:t>المستدامة</w:t>
      </w:r>
      <w:r w:rsidR="009C7C3D" w:rsidRPr="00C132D3">
        <w:rPr>
          <w:rStyle w:val="FootnoteReference"/>
          <w:rFonts w:asciiTheme="majorBidi" w:hAnsiTheme="majorBidi" w:cstheme="majorBidi"/>
          <w:sz w:val="26"/>
          <w:szCs w:val="26"/>
          <w:rtl/>
          <w:lang w:bidi="ar-LB"/>
        </w:rPr>
        <w:footnoteReference w:id="5"/>
      </w:r>
      <w:r w:rsidR="009C7C3D" w:rsidRPr="00C132D3">
        <w:rPr>
          <w:rFonts w:asciiTheme="majorBidi" w:hAnsiTheme="majorBidi" w:cstheme="majorBidi"/>
          <w:sz w:val="26"/>
          <w:szCs w:val="26"/>
          <w:rtl/>
          <w:lang w:bidi="ar-LB"/>
        </w:rPr>
        <w:t>.</w:t>
      </w:r>
    </w:p>
    <w:p w14:paraId="7086E3A6" w14:textId="77777777" w:rsidR="00F26893" w:rsidRDefault="00F26893" w:rsidP="009C7C3D">
      <w:pPr>
        <w:pStyle w:val="StyleHeader4Para4Left0Firstline0"/>
        <w:widowControl/>
        <w:numPr>
          <w:ilvl w:val="0"/>
          <w:numId w:val="0"/>
        </w:numPr>
        <w:tabs>
          <w:tab w:val="clear" w:pos="2880"/>
          <w:tab w:val="clear" w:pos="5760"/>
          <w:tab w:val="left" w:pos="713"/>
        </w:tabs>
        <w:bidi/>
        <w:spacing w:after="120" w:line="360" w:lineRule="exact"/>
        <w:rPr>
          <w:rFonts w:asciiTheme="majorBidi" w:hAnsiTheme="majorBidi" w:cstheme="majorBidi"/>
          <w:b/>
          <w:bCs/>
          <w:sz w:val="26"/>
          <w:szCs w:val="26"/>
          <w:rtl/>
          <w:lang w:bidi="ar-LB"/>
        </w:rPr>
      </w:pPr>
    </w:p>
    <w:p w14:paraId="09791BCE" w14:textId="5E229A50" w:rsidR="009C7C3D" w:rsidRPr="009C7C3D" w:rsidRDefault="009C7C3D" w:rsidP="00F26893">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b/>
          <w:bCs/>
          <w:sz w:val="26"/>
          <w:szCs w:val="26"/>
          <w:rtl/>
          <w:lang w:bidi="ar-LB"/>
        </w:rPr>
        <w:t>القطاعات المشمولة بتمويل الصندوق المتعدد الأطراف فيما يتعلق بالتبريد المستدام</w:t>
      </w:r>
    </w:p>
    <w:p w14:paraId="76A19F38" w14:textId="1D82FE87" w:rsidR="009C7C3D" w:rsidRPr="009C7C3D" w:rsidRDefault="009C7C3D" w:rsidP="009C7C3D">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على مدى </w:t>
      </w:r>
      <w:r w:rsidRPr="00C132D3">
        <w:rPr>
          <w:rFonts w:asciiTheme="majorBidi" w:hAnsiTheme="majorBidi" w:cstheme="majorBidi"/>
          <w:sz w:val="26"/>
          <w:szCs w:val="26"/>
          <w:rtl/>
          <w:lang w:bidi="ar-LB"/>
        </w:rPr>
        <w:t xml:space="preserve">أكثر من ثلاثة عقود، تعالج الأنشطة المتعلقة بإزالة المواد المستنفدة للأوزون في مختلف تطبيقات التبريد وتكييف الهواء والمضخات الحرارية بدعم من الصندوق المتعدد الأطراف. وتشمل هذه التطبيقات الثلاجات </w:t>
      </w:r>
      <w:r w:rsidRPr="00C132D3">
        <w:rPr>
          <w:rFonts w:asciiTheme="majorBidi" w:hAnsiTheme="majorBidi" w:cstheme="majorBidi"/>
          <w:sz w:val="26"/>
          <w:szCs w:val="26"/>
          <w:rtl/>
          <w:lang w:bidi="ar-LB"/>
        </w:rPr>
        <w:lastRenderedPageBreak/>
        <w:t xml:space="preserve">المنزلية والتبريد التجاري والصناعي والخاص بوسائل النقل وتكييف الهواء السكني والتجاري والصناعي والمتنقل والمبردات. وقد تناولت المشروعات بشكل رئيسي تحويل </w:t>
      </w:r>
      <w:r w:rsidR="001D37F6">
        <w:rPr>
          <w:rFonts w:asciiTheme="majorBidi" w:hAnsiTheme="majorBidi" w:cstheme="majorBidi"/>
          <w:sz w:val="26"/>
          <w:szCs w:val="26"/>
          <w:rtl/>
          <w:lang w:bidi="ar-LB"/>
        </w:rPr>
        <w:t>غازات</w:t>
      </w:r>
      <w:r w:rsidRPr="00C132D3">
        <w:rPr>
          <w:rFonts w:asciiTheme="majorBidi" w:hAnsiTheme="majorBidi" w:cstheme="majorBidi"/>
          <w:sz w:val="26"/>
          <w:szCs w:val="26"/>
          <w:rtl/>
          <w:lang w:bidi="ar-LB"/>
        </w:rPr>
        <w:t xml:space="preserve"> التبريد وتحويل رغاوي العزل إلى تكنولوجيات بديلة.</w:t>
      </w:r>
    </w:p>
    <w:p w14:paraId="4220EFB1" w14:textId="0E05FDD5" w:rsidR="009C7C3D" w:rsidRPr="00A00C77" w:rsidRDefault="009C7C3D" w:rsidP="009C7C3D">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وما فتئت </w:t>
      </w:r>
      <w:r w:rsidRPr="00C132D3">
        <w:rPr>
          <w:rFonts w:asciiTheme="majorBidi" w:hAnsiTheme="majorBidi" w:cstheme="majorBidi"/>
          <w:sz w:val="26"/>
          <w:szCs w:val="26"/>
          <w:rtl/>
          <w:lang w:bidi="ar-LB"/>
        </w:rPr>
        <w:t>تتزايد التطبيقات القائمة على المواد الهيدروفلوروكربونية كما أن استهلاك المواد الهيدروفلوروكربونية في تلك التطبيقات في ازدياد. وعلاوة على ذلك، سوف توجد تطبيقات جديدة يمكن أن تنطوي على نمو في استهلاك المواد الهيدروفلور</w:t>
      </w:r>
      <w:r w:rsidR="00386805">
        <w:rPr>
          <w:rFonts w:asciiTheme="majorBidi" w:hAnsiTheme="majorBidi" w:cstheme="majorBidi" w:hint="cs"/>
          <w:sz w:val="26"/>
          <w:szCs w:val="26"/>
          <w:rtl/>
          <w:lang w:bidi="ar-LB"/>
        </w:rPr>
        <w:t>و</w:t>
      </w:r>
      <w:r w:rsidRPr="00C132D3">
        <w:rPr>
          <w:rFonts w:asciiTheme="majorBidi" w:hAnsiTheme="majorBidi" w:cstheme="majorBidi"/>
          <w:sz w:val="26"/>
          <w:szCs w:val="26"/>
          <w:rtl/>
          <w:lang w:bidi="ar-LB"/>
        </w:rPr>
        <w:t>كربونية (مثل مراكز البيانات، والمجففات القلّابة)</w:t>
      </w:r>
      <w:r w:rsidRPr="00C132D3">
        <w:rPr>
          <w:rStyle w:val="FootnoteReference"/>
          <w:rFonts w:asciiTheme="majorBidi" w:hAnsiTheme="majorBidi" w:cstheme="majorBidi"/>
          <w:sz w:val="26"/>
          <w:szCs w:val="26"/>
          <w:rtl/>
          <w:lang w:bidi="ar-LB"/>
        </w:rPr>
        <w:footnoteReference w:id="6"/>
      </w:r>
      <w:r w:rsidRPr="00C132D3">
        <w:rPr>
          <w:rFonts w:asciiTheme="majorBidi" w:hAnsiTheme="majorBidi" w:cstheme="majorBidi"/>
          <w:sz w:val="26"/>
          <w:szCs w:val="26"/>
          <w:rtl/>
          <w:lang w:bidi="ar-LB"/>
        </w:rPr>
        <w:t>. وخلال التخفيض التدريجي للمواد الهيدروفلوروكربونية، ستجري معالجة هذه التطبيقات المستهلكة للهيدروفلوروكربون بناءً على هيكل الصناعة الوطنية واتجاهات استهلاك المواد الهيدروفلوروكربونية، فضلاً عن السياسات العامة والمبادئ التوجيهية التي تقرُّها اللجنة التنفيذية. ومن المتوقع التحول إلى تكنولوجيات بديلة، ويمكن أن تشمل التدخلات تجنب النمو في استهلاك  المواد الهيدروفلوروكربونية في هذه التطبيقات، كما يمكن أن تشمل دعم التحول إلى بدائل.</w:t>
      </w:r>
    </w:p>
    <w:p w14:paraId="477350B7" w14:textId="16E78DC7" w:rsidR="00A00C77" w:rsidRPr="009C7C3D" w:rsidRDefault="00A00C77" w:rsidP="00A00C77">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b/>
          <w:bCs/>
          <w:sz w:val="26"/>
          <w:szCs w:val="26"/>
          <w:rtl/>
          <w:lang w:bidi="ar-LB"/>
        </w:rPr>
        <w:t>تأثير أنشطة إزالة المواد الهيدروكلوروفلوروكربونية وأنشطة التخفيض التدريجي للمواد الهيدروفلوروكرب</w:t>
      </w:r>
      <w:r w:rsidR="00386805">
        <w:rPr>
          <w:rFonts w:asciiTheme="majorBidi" w:hAnsiTheme="majorBidi" w:cstheme="majorBidi" w:hint="cs"/>
          <w:b/>
          <w:bCs/>
          <w:sz w:val="26"/>
          <w:szCs w:val="26"/>
          <w:rtl/>
          <w:lang w:bidi="ar-LB"/>
        </w:rPr>
        <w:t>و</w:t>
      </w:r>
      <w:r w:rsidRPr="00C132D3">
        <w:rPr>
          <w:rFonts w:asciiTheme="majorBidi" w:hAnsiTheme="majorBidi" w:cstheme="majorBidi"/>
          <w:b/>
          <w:bCs/>
          <w:sz w:val="26"/>
          <w:szCs w:val="26"/>
          <w:rtl/>
          <w:lang w:bidi="ar-LB"/>
        </w:rPr>
        <w:t>نية على تحقيق التبريد المستدام</w:t>
      </w:r>
    </w:p>
    <w:p w14:paraId="0007818F" w14:textId="7EB7959E" w:rsidR="009C7C3D" w:rsidRPr="009C7C3D" w:rsidRDefault="009C7C3D" w:rsidP="009C7C3D">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ما برح </w:t>
      </w:r>
      <w:r w:rsidRPr="00C132D3">
        <w:rPr>
          <w:rFonts w:asciiTheme="majorBidi" w:hAnsiTheme="majorBidi" w:cstheme="majorBidi"/>
          <w:sz w:val="26"/>
          <w:szCs w:val="26"/>
          <w:rtl/>
          <w:lang w:bidi="ar-LB"/>
        </w:rPr>
        <w:t>الصندوق المتعدد الأطراف، على مدى أكثر من ثلاثة عقود، يدعم التدخلات في قطاعي التبريد وتكييف الهواء والرغاوى التي مكنت من التحوُّل إلى تكنولوجيات تبريد أكثر ملاءمة للبيئة. ولم تسفر هذه الأنشطة عن التحول في مجال الصناعة إلى بدائل صديقة للأوزون فحسب، بل ساعدت الصناعة أيضاً، ولا سيما المؤسسات الصغيرة والمتوسطة الحجم والمؤسسات العاملة في قطاع خدمة التبريد وتكييف الهواء، على إدارة انتقالها إلى البدائل بطريقة مأمونة مع ضمان استمرارية الأعمال في الوقت ذاته. علاوة على ذلك، أتاحت أنشطة نشر المعلومات والتوعية الموجهة إلى مختلف أصحاب المصلحة بدعم من الصندوق المتعدد الأطراف اعتماد تكنولوجيات صديقة للبيئة.</w:t>
      </w:r>
    </w:p>
    <w:p w14:paraId="00E7357B" w14:textId="57ECF117" w:rsidR="009C7C3D" w:rsidRPr="00F87457" w:rsidRDefault="009C7C3D" w:rsidP="009C7C3D">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ويرد </w:t>
      </w:r>
      <w:r w:rsidRPr="00C132D3">
        <w:rPr>
          <w:rFonts w:asciiTheme="majorBidi" w:hAnsiTheme="majorBidi" w:cstheme="majorBidi"/>
          <w:sz w:val="26"/>
          <w:szCs w:val="26"/>
          <w:rtl/>
          <w:lang w:bidi="ar-LB"/>
        </w:rPr>
        <w:t>أدناه موجز للملاحظات الهامة في هذا الصدد المستندة إلى الخبرة المكتسبة من تنفيذ خطط إدارة إزالة المواد الهيدروكلوروفلوروكربونية.</w:t>
      </w:r>
    </w:p>
    <w:p w14:paraId="054F9F16" w14:textId="6B9F4C5E" w:rsidR="00F87457" w:rsidRDefault="00F87457" w:rsidP="00F87457">
      <w:pPr>
        <w:pStyle w:val="StyleHeader4Para4Left0Firstline0"/>
        <w:widowControl/>
        <w:numPr>
          <w:ilvl w:val="0"/>
          <w:numId w:val="0"/>
        </w:numPr>
        <w:tabs>
          <w:tab w:val="clear" w:pos="2880"/>
          <w:tab w:val="clear" w:pos="5760"/>
          <w:tab w:val="left" w:pos="713"/>
        </w:tabs>
        <w:bidi/>
        <w:spacing w:after="120" w:line="360" w:lineRule="exact"/>
        <w:rPr>
          <w:rFonts w:asciiTheme="majorBidi" w:hAnsiTheme="majorBidi" w:cstheme="majorBidi"/>
          <w:sz w:val="26"/>
          <w:szCs w:val="26"/>
          <w:rtl/>
          <w:lang w:bidi="ar-LB"/>
        </w:rPr>
      </w:pPr>
      <w:r w:rsidRPr="00C132D3">
        <w:rPr>
          <w:rFonts w:asciiTheme="majorBidi" w:hAnsiTheme="majorBidi" w:cstheme="majorBidi"/>
          <w:sz w:val="26"/>
          <w:szCs w:val="26"/>
          <w:u w:val="single"/>
          <w:rtl/>
          <w:lang w:bidi="ar-LB"/>
        </w:rPr>
        <w:t>فيما يتعلق بالتصنيع</w:t>
      </w:r>
    </w:p>
    <w:p w14:paraId="0FC2CB27" w14:textId="11EAA735" w:rsidR="00F87457" w:rsidRPr="00F87457" w:rsidRDefault="00F87457" w:rsidP="00F87457">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sz w:val="26"/>
          <w:szCs w:val="26"/>
          <w:rtl/>
          <w:lang w:val="en-US" w:bidi="ar-LB"/>
        </w:rPr>
        <w:t xml:space="preserve">في إطار </w:t>
      </w:r>
      <w:r w:rsidRPr="00C132D3">
        <w:rPr>
          <w:rFonts w:asciiTheme="majorBidi" w:hAnsiTheme="majorBidi" w:cstheme="majorBidi"/>
          <w:sz w:val="26"/>
          <w:szCs w:val="26"/>
          <w:rtl/>
          <w:lang w:bidi="ar-LB"/>
        </w:rPr>
        <w:t>خطط إدارة إزالة المواد الهيدروكلوروفلوروكربونية وغيرها من مشاريع التخلص التدريجي من المواد المستنفدة للأوزون، ركز النهج على تحقيق أهداف الامتثال</w:t>
      </w:r>
      <w:r w:rsidRPr="00C132D3">
        <w:rPr>
          <w:rStyle w:val="FootnoteReference"/>
          <w:rFonts w:asciiTheme="majorBidi" w:hAnsiTheme="majorBidi" w:cstheme="majorBidi"/>
          <w:sz w:val="26"/>
          <w:szCs w:val="26"/>
          <w:rtl/>
          <w:lang w:bidi="ar-LB"/>
        </w:rPr>
        <w:footnoteReference w:id="7"/>
      </w:r>
      <w:r w:rsidRPr="00C132D3">
        <w:rPr>
          <w:rFonts w:asciiTheme="majorBidi" w:hAnsiTheme="majorBidi" w:cstheme="majorBidi"/>
          <w:sz w:val="26"/>
          <w:szCs w:val="26"/>
          <w:rtl/>
          <w:lang w:bidi="ar-LB"/>
        </w:rPr>
        <w:t xml:space="preserve">المحددة لتلك المواد. وجرى تقسيم خطط التنفيذ إلى أهداف سنوية على مدى أطر زمنية مختلفة (على سبيل المثال، المرحلة الأولى من خطط إدارة إزالة المواد الهيدروكلوروفلوروكربونية للبلدان غير ذات حجم الاستهلاك المنخفض التي تركز على تحقيق هدف الإزالة لعام </w:t>
      </w:r>
      <w:r w:rsidR="00A83056" w:rsidRPr="00A24174">
        <w:rPr>
          <w:sz w:val="26"/>
          <w:szCs w:val="26"/>
          <w:lang w:bidi="ar-LB"/>
        </w:rPr>
        <w:t>2015</w:t>
      </w:r>
      <w:r w:rsidRPr="00C132D3">
        <w:rPr>
          <w:rFonts w:asciiTheme="majorBidi" w:hAnsiTheme="majorBidi" w:cstheme="majorBidi"/>
          <w:sz w:val="26"/>
          <w:szCs w:val="26"/>
          <w:rtl/>
          <w:lang w:bidi="ar-LB"/>
        </w:rPr>
        <w:t>). وفي حين جرى أخذ الخطط الطويلة الأجل لتحقيق إزالة المواد الهيدروكلوروفلوروكربونية في الاعتبار عند وضع الاستراتيجية الشاملة للإزالة في البلدان، فقد شكلت الأهداف المتعلقة بخفض الاستهلاك والامتثال لكل إطار من الأطر الزمنية المحددة الأساس لتقديم الدعم لتمويل المشروعات.</w:t>
      </w:r>
    </w:p>
    <w:p w14:paraId="4BAFF340" w14:textId="06CD1DDE" w:rsidR="00F87457" w:rsidRPr="00F87457" w:rsidRDefault="00F87457" w:rsidP="00F87457">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bidi="ar-LB"/>
        </w:rPr>
        <w:t xml:space="preserve">وكان </w:t>
      </w:r>
      <w:r w:rsidRPr="00C132D3">
        <w:rPr>
          <w:rFonts w:asciiTheme="majorBidi" w:hAnsiTheme="majorBidi" w:cstheme="majorBidi"/>
          <w:sz w:val="26"/>
          <w:szCs w:val="26"/>
          <w:rtl/>
          <w:lang w:bidi="ar-LB"/>
        </w:rPr>
        <w:t xml:space="preserve">مجال الأولوية أثناء تنفيذ خطة إدارة إزالة المواد الهيدروكلوروفلوروكربونية، من حيث الجوهر، يتمثل في إزالة الهيدروكلوروفلوروكربون- </w:t>
      </w:r>
      <w:r w:rsidR="00922E6F" w:rsidRPr="00922E6F">
        <w:rPr>
          <w:sz w:val="24"/>
          <w:szCs w:val="24"/>
          <w:lang w:bidi="ar-LB"/>
        </w:rPr>
        <w:t>141b</w:t>
      </w:r>
      <w:r w:rsidRPr="00C132D3">
        <w:rPr>
          <w:rFonts w:asciiTheme="majorBidi" w:hAnsiTheme="majorBidi" w:cstheme="majorBidi"/>
          <w:sz w:val="26"/>
          <w:szCs w:val="26"/>
          <w:rtl/>
          <w:lang w:bidi="ar-LB"/>
        </w:rPr>
        <w:t xml:space="preserve"> المستخدم كمذيب وعامل نفخ رغوي. ويرجع ذلك إلى أنه يتسم بحجم أكبر من قدرات استنفاد الأوزون مقارنة بالهيدروكلوروفلوروكربون-</w:t>
      </w:r>
      <w:r w:rsidR="00922E6F" w:rsidRPr="00922E6F">
        <w:rPr>
          <w:sz w:val="24"/>
          <w:szCs w:val="24"/>
          <w:lang w:bidi="ar-LB"/>
        </w:rPr>
        <w:t>22</w:t>
      </w:r>
      <w:r w:rsidRPr="00C132D3">
        <w:rPr>
          <w:rFonts w:asciiTheme="majorBidi" w:hAnsiTheme="majorBidi" w:cstheme="majorBidi"/>
          <w:sz w:val="26"/>
          <w:szCs w:val="26"/>
          <w:rtl/>
          <w:lang w:bidi="ar-LB"/>
        </w:rPr>
        <w:t xml:space="preserve"> ولأن المواد الهيدروكلوروفلوروكربونية الأخرى، والبدائل ذات الإمكانية المنخفضة على إحداث </w:t>
      </w:r>
      <w:r w:rsidRPr="00C132D3">
        <w:rPr>
          <w:rFonts w:asciiTheme="majorBidi" w:hAnsiTheme="majorBidi" w:cstheme="majorBidi"/>
          <w:sz w:val="26"/>
          <w:szCs w:val="26"/>
          <w:rtl/>
          <w:lang w:bidi="ar-LB"/>
        </w:rPr>
        <w:lastRenderedPageBreak/>
        <w:t>الاحترار العالمي، كانت متاحة كبدائل للهيدروكلوروفلوروكربون-</w:t>
      </w:r>
      <w:r w:rsidR="00922E6F" w:rsidRPr="00922E6F">
        <w:rPr>
          <w:sz w:val="24"/>
          <w:szCs w:val="24"/>
          <w:lang w:bidi="ar-LB"/>
        </w:rPr>
        <w:t>141b</w:t>
      </w:r>
      <w:r w:rsidRPr="00922E6F">
        <w:rPr>
          <w:sz w:val="24"/>
          <w:szCs w:val="24"/>
          <w:rtl/>
          <w:lang w:bidi="ar-LB"/>
        </w:rPr>
        <w:t xml:space="preserve"> </w:t>
      </w:r>
      <w:r w:rsidRPr="00C132D3">
        <w:rPr>
          <w:rFonts w:asciiTheme="majorBidi" w:hAnsiTheme="majorBidi" w:cstheme="majorBidi"/>
          <w:sz w:val="26"/>
          <w:szCs w:val="26"/>
          <w:rtl/>
          <w:lang w:bidi="ar-LB"/>
        </w:rPr>
        <w:t xml:space="preserve">في جميع التطبيقات تقريباً. وكانت نسبة أقل من </w:t>
      </w:r>
      <w:r w:rsidR="00922E6F" w:rsidRPr="00922E6F">
        <w:rPr>
          <w:sz w:val="24"/>
          <w:szCs w:val="24"/>
          <w:lang w:bidi="ar-LB"/>
        </w:rPr>
        <w:t>1</w:t>
      </w:r>
      <w:r w:rsidRPr="00C132D3">
        <w:rPr>
          <w:rFonts w:asciiTheme="majorBidi" w:hAnsiTheme="majorBidi" w:cstheme="majorBidi"/>
          <w:sz w:val="26"/>
          <w:szCs w:val="26"/>
          <w:rtl/>
          <w:lang w:bidi="ar-LB"/>
        </w:rPr>
        <w:t xml:space="preserve"> في المائة من مشروعات إزالة الهيدروكلوروفلوروكربون-</w:t>
      </w:r>
      <w:r w:rsidR="00922E6F" w:rsidRPr="00922E6F">
        <w:rPr>
          <w:sz w:val="24"/>
          <w:szCs w:val="24"/>
          <w:lang w:bidi="ar-LB"/>
        </w:rPr>
        <w:t>141b</w:t>
      </w:r>
      <w:r w:rsidRPr="00C132D3">
        <w:rPr>
          <w:rFonts w:asciiTheme="majorBidi" w:hAnsiTheme="majorBidi" w:cstheme="majorBidi"/>
          <w:sz w:val="26"/>
          <w:szCs w:val="26"/>
          <w:rtl/>
          <w:lang w:bidi="ar-LB"/>
        </w:rPr>
        <w:t xml:space="preserve"> مخصصة للتحويل إلى عوامل نفخ رغوية ذات قدرة عالية على إحداث الاحترار العالمي.</w:t>
      </w:r>
    </w:p>
    <w:p w14:paraId="5B8EEC32" w14:textId="78EBB7AB" w:rsidR="00F87457" w:rsidRPr="00F87457" w:rsidRDefault="00F87457" w:rsidP="00F87457">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bidi="ar-LB"/>
        </w:rPr>
        <w:t xml:space="preserve">وكانت </w:t>
      </w:r>
      <w:r w:rsidRPr="00C132D3">
        <w:rPr>
          <w:rFonts w:asciiTheme="majorBidi" w:hAnsiTheme="majorBidi" w:cstheme="majorBidi"/>
          <w:sz w:val="26"/>
          <w:szCs w:val="26"/>
          <w:rtl/>
          <w:lang w:bidi="ar-LB"/>
        </w:rPr>
        <w:t>الشركات المصنعة لأجهزة مكيفات الهواء من أكبر مستهلكي الهيدروكلوروفلوروكربون-</w:t>
      </w:r>
      <w:r w:rsidR="00922E6F" w:rsidRPr="00922E6F">
        <w:rPr>
          <w:sz w:val="24"/>
          <w:szCs w:val="24"/>
          <w:lang w:bidi="ar-LB"/>
        </w:rPr>
        <w:t>22</w:t>
      </w:r>
      <w:r w:rsidRPr="00C132D3">
        <w:rPr>
          <w:rFonts w:asciiTheme="majorBidi" w:hAnsiTheme="majorBidi" w:cstheme="majorBidi"/>
          <w:sz w:val="26"/>
          <w:szCs w:val="26"/>
          <w:rtl/>
          <w:lang w:bidi="ar-LB"/>
        </w:rPr>
        <w:t>. وفي البداية، كان الصندوق المتعدد الأطراف يدعم عمليات التحويل إلى غاز التبريد ر-</w:t>
      </w:r>
      <w:r w:rsidR="00922E6F" w:rsidRPr="00922E6F">
        <w:rPr>
          <w:sz w:val="24"/>
          <w:szCs w:val="24"/>
          <w:lang w:bidi="ar-LB"/>
        </w:rPr>
        <w:t>410A</w:t>
      </w:r>
      <w:r w:rsidRPr="00C132D3">
        <w:rPr>
          <w:rFonts w:asciiTheme="majorBidi" w:hAnsiTheme="majorBidi" w:cstheme="majorBidi"/>
          <w:sz w:val="26"/>
          <w:szCs w:val="26"/>
          <w:rtl/>
          <w:lang w:bidi="ar-LB"/>
        </w:rPr>
        <w:t>، مع مراعاة الجدوى التقنية، والجدوى الاقتصادية، والاستراتيجية القطرية في ذلك الوقت. وبعد الاجتماع الثامن والستين، مع تزايد توافر البدائل ذات القدرة المنخفضة والأكثر انخفاضاً على إحداث الاحترار العالمي، توقفت اللجنة التنفيذية عن توفير التمويل لمشاريع التحويل إلى غاز التبريد ر-</w:t>
      </w:r>
      <w:r w:rsidR="00922E6F" w:rsidRPr="00922E6F">
        <w:rPr>
          <w:sz w:val="24"/>
          <w:szCs w:val="24"/>
          <w:lang w:bidi="ar-LB"/>
        </w:rPr>
        <w:t>410A</w:t>
      </w:r>
      <w:r w:rsidRPr="00C132D3">
        <w:rPr>
          <w:rFonts w:asciiTheme="majorBidi" w:hAnsiTheme="majorBidi" w:cstheme="majorBidi"/>
          <w:sz w:val="26"/>
          <w:szCs w:val="26"/>
          <w:rtl/>
          <w:lang w:bidi="ar-LB"/>
        </w:rPr>
        <w:t xml:space="preserve"> في تطبيقات تكييف الهواء نظراً لقدرة هذه المادة المرتفعة على إحداث الاحترار العالمي. ويعتقد أن الشركات المصنعة التي لم تحصل على دعم الصندوق المتعدد الأطراف لتحويلها قد تحولت بدرجة  كبيرة إلى غاز التبريد ر-</w:t>
      </w:r>
      <w:r w:rsidR="00922E6F" w:rsidRPr="00922E6F">
        <w:rPr>
          <w:sz w:val="24"/>
          <w:szCs w:val="24"/>
          <w:lang w:bidi="ar-LB"/>
        </w:rPr>
        <w:t>410A</w:t>
      </w:r>
      <w:r w:rsidRPr="00C132D3">
        <w:rPr>
          <w:rFonts w:asciiTheme="majorBidi" w:hAnsiTheme="majorBidi" w:cstheme="majorBidi"/>
          <w:sz w:val="26"/>
          <w:szCs w:val="26"/>
          <w:rtl/>
          <w:lang w:bidi="ar-LB"/>
        </w:rPr>
        <w:t xml:space="preserve">، مما جعل التحويل الكامل إلى بدائل منخفضة أو أشد انخفاضاً على إحداث الاحترار العالمي في هذه التطبيقات أمراً صعباً. ومع ذلك، يبدو أنه قد استعيض عن التكنولوجيا السائدة في أحد البلدان الكبيرة العاملة بموجب المادة </w:t>
      </w:r>
      <w:r w:rsidR="00922E6F" w:rsidRPr="00922E6F">
        <w:rPr>
          <w:sz w:val="24"/>
          <w:szCs w:val="24"/>
          <w:lang w:bidi="ar-LB"/>
        </w:rPr>
        <w:t>5</w:t>
      </w:r>
      <w:r w:rsidRPr="00C132D3">
        <w:rPr>
          <w:rFonts w:asciiTheme="majorBidi" w:hAnsiTheme="majorBidi" w:cstheme="majorBidi"/>
          <w:sz w:val="26"/>
          <w:szCs w:val="26"/>
          <w:rtl/>
          <w:lang w:bidi="ar-LB"/>
        </w:rPr>
        <w:t xml:space="preserve"> بالهيدروفلوروكربون-</w:t>
      </w:r>
      <w:r w:rsidR="00922E6F" w:rsidRPr="00922E6F">
        <w:rPr>
          <w:sz w:val="24"/>
          <w:szCs w:val="24"/>
          <w:lang w:bidi="ar-LB"/>
        </w:rPr>
        <w:t>32</w:t>
      </w:r>
      <w:r w:rsidRPr="00C132D3">
        <w:rPr>
          <w:rFonts w:asciiTheme="majorBidi" w:hAnsiTheme="majorBidi" w:cstheme="majorBidi"/>
          <w:sz w:val="26"/>
          <w:szCs w:val="26"/>
          <w:rtl/>
          <w:lang w:bidi="ar-LB"/>
        </w:rPr>
        <w:t xml:space="preserve"> على الرغم من أن الصندوق المتعدد الأطراف لم يقدم الدعم لهذا التحوُّل.</w:t>
      </w:r>
    </w:p>
    <w:p w14:paraId="2D390E28" w14:textId="78ACC618" w:rsidR="00F87457" w:rsidRPr="00F87457" w:rsidRDefault="00F87457" w:rsidP="00F87457">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bidi="ar-LB"/>
        </w:rPr>
        <w:t xml:space="preserve">وفي حين </w:t>
      </w:r>
      <w:r w:rsidRPr="00C132D3">
        <w:rPr>
          <w:rFonts w:asciiTheme="majorBidi" w:hAnsiTheme="majorBidi" w:cstheme="majorBidi"/>
          <w:sz w:val="26"/>
          <w:szCs w:val="26"/>
          <w:rtl/>
          <w:lang w:bidi="ar-LB"/>
        </w:rPr>
        <w:t xml:space="preserve">أن الصندوق المتعدد الأطراف قد دعم تحويل مكيفات الهواء إلى غاز التبريد </w:t>
      </w:r>
      <w:r w:rsidR="00922E6F" w:rsidRPr="00922E6F">
        <w:rPr>
          <w:sz w:val="24"/>
          <w:szCs w:val="24"/>
          <w:lang w:bidi="ar-LB"/>
        </w:rPr>
        <w:t>R-290</w:t>
      </w:r>
      <w:r w:rsidRPr="00C132D3">
        <w:rPr>
          <w:rFonts w:asciiTheme="majorBidi" w:hAnsiTheme="majorBidi" w:cstheme="majorBidi"/>
          <w:sz w:val="26"/>
          <w:szCs w:val="26"/>
          <w:rtl/>
          <w:lang w:bidi="ar-LB"/>
        </w:rPr>
        <w:t>، فإن تصنيع هذه المعدات على الخطوط المحولة كان محدودا حتى الآن، وخاصةً بالنسبة لوحدات تكييف الهواء التي تزيد قدرتها على التبريد عن طن واحد. ورغم أن مجموعة متنوعة من التحديات (على سبيل المثال ، عدم توفر الضواغط ، والافتقار إلى اللوائح التنظيمية لاعتماد السوق لمكيفات الهواء المعتمدة على الهيدروكربون، وطول الوقت اللازم لتركيب الوحدات المنفصلة) ربما تكون قد ساهمت في التصنيع المحدود، فقد كان من العوامل الحاسمة في هذ الصدد على الأرجح المنافسة من المنتجات التي تستخدم مبردات أخرى كانت تعتبر أكثر ملاءمة للسوق وأكثر أماناً.</w:t>
      </w:r>
    </w:p>
    <w:p w14:paraId="732D3E68" w14:textId="2443EF10" w:rsidR="00F87457" w:rsidRPr="00F87457" w:rsidRDefault="00F87457" w:rsidP="00F87457">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bidi="ar-LB"/>
        </w:rPr>
        <w:t xml:space="preserve">وتمَّت </w:t>
      </w:r>
      <w:r w:rsidRPr="00C132D3">
        <w:rPr>
          <w:rFonts w:asciiTheme="majorBidi" w:hAnsiTheme="majorBidi" w:cstheme="majorBidi"/>
          <w:sz w:val="26"/>
          <w:szCs w:val="26"/>
          <w:rtl/>
          <w:lang w:bidi="ar-LB"/>
        </w:rPr>
        <w:t>الموافقة على تحويل عدد محدود من المشروعات من الهيدروكلوروفلوروكربون-</w:t>
      </w:r>
      <w:r w:rsidR="00922E6F" w:rsidRPr="00922E6F">
        <w:rPr>
          <w:sz w:val="24"/>
          <w:szCs w:val="24"/>
          <w:lang w:bidi="ar-LB"/>
        </w:rPr>
        <w:t>22</w:t>
      </w:r>
      <w:r w:rsidRPr="00C132D3">
        <w:rPr>
          <w:rFonts w:asciiTheme="majorBidi" w:hAnsiTheme="majorBidi" w:cstheme="majorBidi"/>
          <w:sz w:val="26"/>
          <w:szCs w:val="26"/>
          <w:rtl/>
          <w:lang w:bidi="ar-LB"/>
        </w:rPr>
        <w:t xml:space="preserve"> إلى بدائل في تصنيع تطبيقات التبريد، وبصفة رئيسية تطبيقات التبريد التجاري حيث كان استهلاك الهيدروكلوروفلوروكربون-</w:t>
      </w:r>
      <w:r w:rsidR="00922E6F" w:rsidRPr="00922E6F">
        <w:rPr>
          <w:sz w:val="24"/>
          <w:szCs w:val="24"/>
          <w:lang w:bidi="ar-LB"/>
        </w:rPr>
        <w:t>22</w:t>
      </w:r>
      <w:r w:rsidRPr="00C132D3">
        <w:rPr>
          <w:rFonts w:asciiTheme="majorBidi" w:hAnsiTheme="majorBidi" w:cstheme="majorBidi"/>
          <w:sz w:val="26"/>
          <w:szCs w:val="26"/>
          <w:rtl/>
          <w:lang w:bidi="ar-LB"/>
        </w:rPr>
        <w:t xml:space="preserve"> منخفضا</w:t>
      </w:r>
      <w:r w:rsidR="00922E6F">
        <w:rPr>
          <w:rFonts w:asciiTheme="majorBidi" w:hAnsiTheme="majorBidi" w:cstheme="majorBidi"/>
          <w:sz w:val="26"/>
          <w:szCs w:val="26"/>
          <w:rtl/>
          <w:lang w:bidi="ar-LB"/>
        </w:rPr>
        <w:t>ً</w:t>
      </w:r>
      <w:r w:rsidRPr="00C132D3">
        <w:rPr>
          <w:rFonts w:asciiTheme="majorBidi" w:hAnsiTheme="majorBidi" w:cstheme="majorBidi"/>
          <w:sz w:val="26"/>
          <w:szCs w:val="26"/>
          <w:rtl/>
          <w:lang w:bidi="ar-LB"/>
        </w:rPr>
        <w:t xml:space="preserve"> نسبيا</w:t>
      </w:r>
      <w:r w:rsidR="00922E6F">
        <w:rPr>
          <w:rFonts w:asciiTheme="majorBidi" w:hAnsiTheme="majorBidi" w:cstheme="majorBidi"/>
          <w:sz w:val="26"/>
          <w:szCs w:val="26"/>
          <w:rtl/>
          <w:lang w:bidi="ar-LB"/>
        </w:rPr>
        <w:t>ً</w:t>
      </w:r>
      <w:r w:rsidRPr="00C132D3">
        <w:rPr>
          <w:rFonts w:asciiTheme="majorBidi" w:hAnsiTheme="majorBidi" w:cstheme="majorBidi"/>
          <w:sz w:val="26"/>
          <w:szCs w:val="26"/>
          <w:rtl/>
          <w:lang w:bidi="ar-LB"/>
        </w:rPr>
        <w:t xml:space="preserve"> في تصنيع معدات التبريد. وكان من المعروف أيضاً أن معظم المؤسسات التي تصنع معدات التبريد التجاري تستخدم  هيدروفلوروكربونات منخفضة التكلفة (مثل غاز التبريد  </w:t>
      </w:r>
      <w:r w:rsidR="00922E6F" w:rsidRPr="00922E6F">
        <w:rPr>
          <w:sz w:val="24"/>
          <w:szCs w:val="24"/>
          <w:lang w:bidi="ar-LB"/>
        </w:rPr>
        <w:t>R</w:t>
      </w:r>
      <w:r w:rsidR="00922E6F" w:rsidRPr="00922E6F">
        <w:rPr>
          <w:sz w:val="24"/>
          <w:szCs w:val="24"/>
          <w:lang w:bidi="ar-LB"/>
        </w:rPr>
        <w:noBreakHyphen/>
        <w:t>404A</w:t>
      </w:r>
      <w:r w:rsidRPr="00C132D3">
        <w:rPr>
          <w:rFonts w:asciiTheme="majorBidi" w:hAnsiTheme="majorBidi" w:cstheme="majorBidi"/>
          <w:sz w:val="26"/>
          <w:szCs w:val="26"/>
          <w:rtl/>
          <w:lang w:bidi="ar-LB"/>
        </w:rPr>
        <w:t xml:space="preserve"> الذي تبلغ قدرته على إحداث الاحترار العالمي </w:t>
      </w:r>
      <w:r w:rsidR="00922E6F" w:rsidRPr="00922E6F">
        <w:rPr>
          <w:sz w:val="24"/>
          <w:szCs w:val="24"/>
          <w:lang w:bidi="ar-LB"/>
        </w:rPr>
        <w:t>3,922</w:t>
      </w:r>
      <w:r w:rsidRPr="00C132D3">
        <w:rPr>
          <w:rFonts w:asciiTheme="majorBidi" w:hAnsiTheme="majorBidi" w:cstheme="majorBidi"/>
          <w:sz w:val="26"/>
          <w:szCs w:val="26"/>
          <w:rtl/>
          <w:lang w:bidi="ar-LB"/>
        </w:rPr>
        <w:t>))</w:t>
      </w:r>
      <w:r w:rsidRPr="00C132D3">
        <w:rPr>
          <w:rStyle w:val="FootnoteReference"/>
          <w:rFonts w:asciiTheme="majorBidi" w:hAnsiTheme="majorBidi" w:cstheme="majorBidi"/>
          <w:sz w:val="26"/>
          <w:szCs w:val="26"/>
          <w:rtl/>
          <w:lang w:bidi="ar-LB"/>
        </w:rPr>
        <w:footnoteReference w:id="8"/>
      </w:r>
      <w:r w:rsidRPr="00C132D3">
        <w:rPr>
          <w:rFonts w:asciiTheme="majorBidi" w:hAnsiTheme="majorBidi" w:cstheme="majorBidi"/>
          <w:sz w:val="26"/>
          <w:szCs w:val="26"/>
          <w:rtl/>
          <w:lang w:bidi="ar-LB"/>
        </w:rPr>
        <w:t>. ولم يتم رصد ذلك والإبلاغ عنه نظراً لعدم خضوع المواد الهيدروفلوروكربونية للرقابة بموجب بروتوكول مونتريال قبل التصديق على تعديل كيغالي وتنفيذه ولعدم وجود آليات متاحة لإجراء تقييم قطاعي شامل للتكنولوجيا في أثناء تنفيذ المشروعات.</w:t>
      </w:r>
    </w:p>
    <w:p w14:paraId="7CCCB88B" w14:textId="48B67984" w:rsidR="00F87457" w:rsidRPr="00F87457" w:rsidRDefault="00F87457" w:rsidP="00F87457">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bidi="ar-LB"/>
        </w:rPr>
        <w:t xml:space="preserve">وقُذّم </w:t>
      </w:r>
      <w:r w:rsidRPr="00C132D3">
        <w:rPr>
          <w:rFonts w:asciiTheme="majorBidi" w:hAnsiTheme="majorBidi" w:cstheme="majorBidi"/>
          <w:sz w:val="26"/>
          <w:szCs w:val="26"/>
          <w:rtl/>
          <w:lang w:bidi="ar-LB"/>
        </w:rPr>
        <w:t xml:space="preserve">دعم إضافي للمؤسسات الصغيرة والمتوسطة الحجم لتنفيذ مشروعات التحويل. ومن خلال المقررين </w:t>
      </w:r>
      <w:r w:rsidR="00C75BC1" w:rsidRPr="00C75BC1">
        <w:rPr>
          <w:sz w:val="24"/>
          <w:szCs w:val="24"/>
          <w:lang w:bidi="ar-LB"/>
        </w:rPr>
        <w:t>60</w:t>
      </w:r>
      <w:r w:rsidRPr="00C75BC1">
        <w:rPr>
          <w:rFonts w:asciiTheme="majorBidi" w:hAnsiTheme="majorBidi" w:cstheme="majorBidi"/>
          <w:sz w:val="24"/>
          <w:szCs w:val="24"/>
          <w:rtl/>
          <w:lang w:bidi="ar-LB"/>
        </w:rPr>
        <w:t>/</w:t>
      </w:r>
      <w:r w:rsidR="00C75BC1" w:rsidRPr="00C75BC1">
        <w:rPr>
          <w:sz w:val="24"/>
          <w:szCs w:val="24"/>
          <w:lang w:bidi="ar-LB"/>
        </w:rPr>
        <w:t>44</w:t>
      </w:r>
      <w:r w:rsidRPr="00C132D3">
        <w:rPr>
          <w:rFonts w:asciiTheme="majorBidi" w:hAnsiTheme="majorBidi" w:cstheme="majorBidi"/>
          <w:sz w:val="26"/>
          <w:szCs w:val="26"/>
          <w:rtl/>
          <w:lang w:bidi="ar-LB"/>
        </w:rPr>
        <w:t xml:space="preserve"> و</w:t>
      </w:r>
      <w:r w:rsidR="00C75BC1" w:rsidRPr="00C75BC1">
        <w:rPr>
          <w:sz w:val="24"/>
          <w:szCs w:val="24"/>
          <w:lang w:bidi="ar-LB"/>
        </w:rPr>
        <w:t>74</w:t>
      </w:r>
      <w:r w:rsidRPr="00C75BC1">
        <w:rPr>
          <w:sz w:val="24"/>
          <w:szCs w:val="24"/>
          <w:rtl/>
          <w:lang w:bidi="ar-LB"/>
        </w:rPr>
        <w:t>/</w:t>
      </w:r>
      <w:r w:rsidR="00C75BC1" w:rsidRPr="00C75BC1">
        <w:rPr>
          <w:sz w:val="24"/>
          <w:szCs w:val="24"/>
          <w:lang w:bidi="ar-LB"/>
        </w:rPr>
        <w:t>50</w:t>
      </w:r>
      <w:r w:rsidRPr="00C132D3">
        <w:rPr>
          <w:rStyle w:val="FootnoteReference"/>
          <w:rFonts w:asciiTheme="majorBidi" w:hAnsiTheme="majorBidi" w:cstheme="majorBidi"/>
          <w:sz w:val="26"/>
          <w:szCs w:val="26"/>
          <w:rtl/>
          <w:lang w:bidi="ar-LB"/>
        </w:rPr>
        <w:footnoteReference w:id="9"/>
      </w:r>
      <w:r w:rsidRPr="00C132D3">
        <w:rPr>
          <w:rFonts w:asciiTheme="majorBidi" w:hAnsiTheme="majorBidi" w:cstheme="majorBidi"/>
          <w:sz w:val="26"/>
          <w:szCs w:val="26"/>
          <w:rtl/>
          <w:lang w:bidi="ar-LB"/>
        </w:rPr>
        <w:t xml:space="preserve">، أتيح تمويل إضافي لمشروعات تحويل المؤسسات الصغيرة والمتوسطة </w:t>
      </w:r>
      <w:r w:rsidRPr="00C132D3">
        <w:rPr>
          <w:rFonts w:asciiTheme="majorBidi" w:hAnsiTheme="majorBidi" w:cstheme="majorBidi"/>
          <w:sz w:val="26"/>
          <w:szCs w:val="26"/>
          <w:rtl/>
          <w:lang w:bidi="ar-LB"/>
        </w:rPr>
        <w:lastRenderedPageBreak/>
        <w:t>الحجم إلى تكنولوجيات التبريد ذات إمكانية إحداث الاحترار العالمي المنخفضة. وبالإضافة إلى ذلك، جرى تقديم المساعدة التقنية أيضاً إلى المؤسسات الصغيرة والمتوسطة الحجم لزيادة وعيها بتكنولوجيات غازات التبريد ذات إمكانية إحداث الاحترار العالمي المنخفضة ولتيسير اعتمادها لتلك التكنولوجيات. وتجدر الإشارة إلى أن المؤسسات الصغيرة والمتوسطة الحجم، ولا سيما في مجال تصنيع/تجميع أجهزة التبريد التجاري، تحتاج إلى مساعدة خاصة للتحويل لافتقارها إلى القدرات التقنية والمالية اللازمة لاعتماد تكنولوجيات التبريد ذات إمكانية إحداث الاحترار العالمي المنخفضة.</w:t>
      </w:r>
    </w:p>
    <w:p w14:paraId="4C902CE7" w14:textId="3BCA501F" w:rsidR="00F87457" w:rsidRDefault="00F87457" w:rsidP="00F87457">
      <w:pPr>
        <w:pStyle w:val="StyleHeader4Para4Left0Firstline0"/>
        <w:widowControl/>
        <w:numPr>
          <w:ilvl w:val="0"/>
          <w:numId w:val="0"/>
        </w:numPr>
        <w:tabs>
          <w:tab w:val="clear" w:pos="2880"/>
          <w:tab w:val="clear" w:pos="5760"/>
        </w:tabs>
        <w:bidi/>
        <w:spacing w:after="120" w:line="360" w:lineRule="exact"/>
        <w:rPr>
          <w:rFonts w:asciiTheme="majorBidi" w:hAnsiTheme="majorBidi" w:cstheme="majorBidi"/>
          <w:sz w:val="26"/>
          <w:szCs w:val="26"/>
          <w:rtl/>
          <w:lang w:bidi="ar-LB"/>
        </w:rPr>
      </w:pPr>
      <w:r w:rsidRPr="00C132D3">
        <w:rPr>
          <w:rFonts w:asciiTheme="majorBidi" w:hAnsiTheme="majorBidi" w:cstheme="majorBidi"/>
          <w:sz w:val="26"/>
          <w:szCs w:val="26"/>
          <w:u w:val="single"/>
          <w:rtl/>
          <w:lang w:bidi="ar-LB"/>
        </w:rPr>
        <w:t>دعم قطاع الخدمة وبناء القدرات</w:t>
      </w:r>
    </w:p>
    <w:p w14:paraId="19B2C15A" w14:textId="41488A08" w:rsidR="00F87457" w:rsidRPr="00F87457" w:rsidRDefault="00F87457" w:rsidP="00F87457">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sz w:val="26"/>
          <w:szCs w:val="26"/>
          <w:rtl/>
          <w:lang w:val="en-US" w:bidi="ar-LB"/>
        </w:rPr>
        <w:t xml:space="preserve">كان </w:t>
      </w:r>
      <w:r w:rsidRPr="00C132D3">
        <w:rPr>
          <w:rFonts w:asciiTheme="majorBidi" w:hAnsiTheme="majorBidi" w:cstheme="majorBidi"/>
          <w:sz w:val="26"/>
          <w:szCs w:val="26"/>
          <w:rtl/>
          <w:lang w:bidi="ar-LB"/>
        </w:rPr>
        <w:t>الدعم المقدم لقطاع الخدمة يشمل، في جملة أمور، تدريب تقنيي التبريد ومنحهم شهادات اعتماد في ممارسات الخدمة الجيدة</w:t>
      </w:r>
      <w:r w:rsidRPr="00C132D3">
        <w:rPr>
          <w:rStyle w:val="FootnoteReference"/>
          <w:rFonts w:asciiTheme="majorBidi" w:hAnsiTheme="majorBidi" w:cstheme="majorBidi"/>
          <w:sz w:val="26"/>
          <w:szCs w:val="26"/>
          <w:rtl/>
          <w:lang w:bidi="ar-LB"/>
        </w:rPr>
        <w:footnoteReference w:id="10"/>
      </w:r>
      <w:r w:rsidRPr="00C132D3">
        <w:rPr>
          <w:rFonts w:asciiTheme="majorBidi" w:hAnsiTheme="majorBidi" w:cstheme="majorBidi"/>
          <w:sz w:val="26"/>
          <w:szCs w:val="26"/>
          <w:rtl/>
          <w:lang w:bidi="ar-LB"/>
        </w:rPr>
        <w:t>؛ وتوفير الأدوات والمعدات الأساسية للفنيين والمؤسسات التقنية التي تقدم التدريب للفنيين؛ وتوسيع نطاق الاعتماد ليشمل مؤسسات الخدمة المشاركة في تركيب معدات التبريد وخدمتها وصيانتها وإيقاف تشغيلها؛ وتقديم الدعم التنظيمي للتشجيع على اعتماد التقنيين، وتقديم الدعم في وضع واعتماد المعايير  وقواعد الممارسة لقطاع الخدمة، ومواصلة تعزيز رابطات التبريد وتكييف الهواء ومشاركتها في تعزيز الأنشطة المتعلقة ببروتوكول مونتريال أو تنفيذها؛ ووضع مخططات لاسترداد غازات التبريد وإعادة تدويرها وكذلك مراكز الاستصلاح ، بما في ذلك تقديم الدعم التنظيمي لاسترداد غازات التبريد وإعادة تدويرها حيثما أمكن ذلك</w:t>
      </w:r>
      <w:r w:rsidRPr="00C132D3">
        <w:rPr>
          <w:rStyle w:val="FootnoteReference"/>
          <w:rFonts w:asciiTheme="majorBidi" w:hAnsiTheme="majorBidi" w:cstheme="majorBidi"/>
          <w:sz w:val="26"/>
          <w:szCs w:val="26"/>
          <w:rtl/>
          <w:lang w:bidi="ar-LB"/>
        </w:rPr>
        <w:footnoteReference w:id="11"/>
      </w:r>
      <w:r w:rsidRPr="00C132D3">
        <w:rPr>
          <w:rFonts w:asciiTheme="majorBidi" w:hAnsiTheme="majorBidi" w:cstheme="majorBidi"/>
          <w:sz w:val="26"/>
          <w:szCs w:val="26"/>
          <w:rtl/>
          <w:lang w:bidi="ar-LB"/>
        </w:rPr>
        <w:t>.</w:t>
      </w:r>
    </w:p>
    <w:p w14:paraId="080F7728" w14:textId="51D57156" w:rsidR="00F87457" w:rsidRPr="00931384" w:rsidRDefault="00F87457" w:rsidP="00F87457">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bidi="ar-LB"/>
        </w:rPr>
        <w:t xml:space="preserve">ويسَّرت </w:t>
      </w:r>
      <w:r w:rsidRPr="00C132D3">
        <w:rPr>
          <w:rFonts w:asciiTheme="majorBidi" w:hAnsiTheme="majorBidi" w:cstheme="majorBidi"/>
          <w:sz w:val="26"/>
          <w:szCs w:val="26"/>
          <w:rtl/>
          <w:lang w:bidi="ar-LB"/>
        </w:rPr>
        <w:t>أنشطة قطاع الخدمة ممارسات الخدمة الجيدة بما في ذلك تعزيز التركيب والصيانة المناسبين لمختلف معدات التبريد وتكييف الهواء والمضخات الحرارية، واسترداد الهيدروكلوروفلوروكربون-</w:t>
      </w:r>
      <w:r w:rsidR="00C75BC1" w:rsidRPr="00922E6F">
        <w:rPr>
          <w:sz w:val="24"/>
          <w:szCs w:val="24"/>
          <w:lang w:bidi="ar-LB"/>
        </w:rPr>
        <w:t>22</w:t>
      </w:r>
      <w:r w:rsidRPr="00C132D3">
        <w:rPr>
          <w:rFonts w:asciiTheme="majorBidi" w:hAnsiTheme="majorBidi" w:cstheme="majorBidi"/>
          <w:sz w:val="26"/>
          <w:szCs w:val="26"/>
          <w:rtl/>
          <w:lang w:bidi="ar-LB"/>
        </w:rPr>
        <w:t xml:space="preserve"> وإعادة استخدامه، وممارسات الخدمة الآمنة باستخدام البدائل بما في ذلك غازات التبريد ذات إمكانية إحداث الاحترار العالمي المنخفضة، ودعم البنية التحتية لمؤسسات التدريب وكذلك بناء قدرات جمعيات التبريد وتكييف الهواء والمضخات الحرارية لدعم التدريب المستمر، مما أدى بشكل غير مباشر إلى اعتماد تكنولوجيات ذات قدرة منخفضة على إحداث الاحترار العالمي في تطبيقات التبريد وتكييف الهواء والمضخات الحرارية المختلفة</w:t>
      </w:r>
      <w:r w:rsidRPr="00C132D3">
        <w:rPr>
          <w:rStyle w:val="FootnoteReference"/>
          <w:rFonts w:asciiTheme="majorBidi" w:hAnsiTheme="majorBidi" w:cstheme="majorBidi"/>
          <w:sz w:val="26"/>
          <w:szCs w:val="26"/>
          <w:rtl/>
          <w:lang w:bidi="ar-LB"/>
        </w:rPr>
        <w:footnoteReference w:id="12"/>
      </w:r>
      <w:r w:rsidRPr="00C132D3">
        <w:rPr>
          <w:rFonts w:asciiTheme="majorBidi" w:hAnsiTheme="majorBidi" w:cstheme="majorBidi"/>
          <w:sz w:val="26"/>
          <w:szCs w:val="26"/>
          <w:rtl/>
          <w:lang w:bidi="ar-LB"/>
        </w:rPr>
        <w:t>.</w:t>
      </w:r>
    </w:p>
    <w:p w14:paraId="626D345E" w14:textId="3450AA63" w:rsidR="00931384" w:rsidRPr="00931384" w:rsidRDefault="00931384" w:rsidP="00931384">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bidi="ar-LB"/>
        </w:rPr>
        <w:t xml:space="preserve">وفي </w:t>
      </w:r>
      <w:r w:rsidRPr="00C132D3">
        <w:rPr>
          <w:rFonts w:asciiTheme="majorBidi" w:hAnsiTheme="majorBidi" w:cstheme="majorBidi"/>
          <w:sz w:val="26"/>
          <w:szCs w:val="26"/>
          <w:rtl/>
          <w:lang w:bidi="ar-LB"/>
        </w:rPr>
        <w:t xml:space="preserve">أثناء تنفيذ خطط إدارة إزالة المواد الهيدروكلوروفلوروكربونية، أفيد بأن الهيدروكربونات تستخدم في عدة بلدان عاملة بموجب المادة </w:t>
      </w:r>
      <w:r w:rsidR="00D75165" w:rsidRPr="00D75165">
        <w:rPr>
          <w:sz w:val="24"/>
          <w:szCs w:val="24"/>
          <w:lang w:bidi="ar-LB"/>
        </w:rPr>
        <w:t>5</w:t>
      </w:r>
      <w:r w:rsidRPr="00C132D3">
        <w:rPr>
          <w:rFonts w:asciiTheme="majorBidi" w:hAnsiTheme="majorBidi" w:cstheme="majorBidi"/>
          <w:sz w:val="26"/>
          <w:szCs w:val="26"/>
          <w:rtl/>
          <w:lang w:bidi="ar-LB"/>
        </w:rPr>
        <w:t xml:space="preserve"> في تحديث وتشغيل و/أو ملء المعدات القائمة على الهيدروكلوروفلوروكربون-</w:t>
      </w:r>
      <w:r w:rsidR="00D75165" w:rsidRPr="00D75165">
        <w:rPr>
          <w:sz w:val="24"/>
          <w:szCs w:val="24"/>
          <w:lang w:bidi="ar-LB"/>
        </w:rPr>
        <w:t>22</w:t>
      </w:r>
      <w:r w:rsidRPr="00C132D3">
        <w:rPr>
          <w:rFonts w:asciiTheme="majorBidi" w:hAnsiTheme="majorBidi" w:cstheme="majorBidi"/>
          <w:sz w:val="26"/>
          <w:szCs w:val="26"/>
          <w:rtl/>
          <w:lang w:bidi="ar-LB"/>
        </w:rPr>
        <w:t xml:space="preserve">. وأثيرت شواغل بشأن الاستخدام المأمون لغازات التبريد القابلة للاشتعال في هذه النظم المصممة للمبردات غير القابلة للاشتعال وما يرتبط بذلك من مخاطر بالنسبة للتقنيين والمستخدمين النهائيين. ورداً على هذه الممارسة، لاحظت اللجنة التنفيذية أنه إذا شارك البلد في التعديل التحديثي لمعدات التبريد وتكييف الهواء المعتمدة على المواد الهيدروكلوروفلوروكربونية لتعمل بغازات التبريد القابلة للاشتعال أو السامة وما يرتبط بها من خدمة بمساعدة من الصندوق، فإن </w:t>
      </w:r>
      <w:r w:rsidRPr="00C132D3">
        <w:rPr>
          <w:rFonts w:asciiTheme="majorBidi" w:hAnsiTheme="majorBidi" w:cstheme="majorBidi"/>
          <w:sz w:val="26"/>
          <w:szCs w:val="26"/>
          <w:rtl/>
          <w:lang w:bidi="ar-LB"/>
        </w:rPr>
        <w:lastRenderedPageBreak/>
        <w:t xml:space="preserve">البلد يفعل ذلك على أساس أنه يتحمل جميع المسؤوليات والمخاطر المرتبطة بذلك وأن هذا التعديل التحديثي ينبغي ألا يتم إلا وفقاً للمعايير والبروتوكولات ذات الصلة (المقرران </w:t>
      </w:r>
      <w:r w:rsidR="00D75165" w:rsidRPr="001D13B0">
        <w:rPr>
          <w:sz w:val="24"/>
          <w:szCs w:val="24"/>
          <w:lang w:bidi="ar-LB"/>
        </w:rPr>
        <w:t>72</w:t>
      </w:r>
      <w:r w:rsidRPr="00C132D3">
        <w:rPr>
          <w:rFonts w:asciiTheme="majorBidi" w:hAnsiTheme="majorBidi" w:cstheme="majorBidi"/>
          <w:sz w:val="26"/>
          <w:szCs w:val="26"/>
          <w:rtl/>
          <w:lang w:bidi="ar-LB"/>
        </w:rPr>
        <w:t>/</w:t>
      </w:r>
      <w:r w:rsidR="001D13B0" w:rsidRPr="001D13B0">
        <w:rPr>
          <w:sz w:val="24"/>
          <w:szCs w:val="24"/>
          <w:lang w:bidi="ar-LB"/>
        </w:rPr>
        <w:t>17</w:t>
      </w:r>
      <w:r w:rsidRPr="00C132D3">
        <w:rPr>
          <w:rFonts w:asciiTheme="majorBidi" w:hAnsiTheme="majorBidi" w:cstheme="majorBidi"/>
          <w:sz w:val="26"/>
          <w:szCs w:val="26"/>
          <w:rtl/>
          <w:lang w:bidi="ar-LB"/>
        </w:rPr>
        <w:t xml:space="preserve"> و </w:t>
      </w:r>
      <w:r w:rsidR="001D13B0" w:rsidRPr="001D13B0">
        <w:rPr>
          <w:sz w:val="24"/>
          <w:szCs w:val="24"/>
          <w:lang w:bidi="ar-LB"/>
        </w:rPr>
        <w:t>73</w:t>
      </w:r>
      <w:r w:rsidRPr="00C132D3">
        <w:rPr>
          <w:rFonts w:asciiTheme="majorBidi" w:hAnsiTheme="majorBidi" w:cstheme="majorBidi"/>
          <w:sz w:val="26"/>
          <w:szCs w:val="26"/>
          <w:rtl/>
          <w:lang w:bidi="ar-LB"/>
        </w:rPr>
        <w:t>/</w:t>
      </w:r>
      <w:r w:rsidR="001D13B0" w:rsidRPr="001D13B0">
        <w:rPr>
          <w:sz w:val="24"/>
          <w:szCs w:val="24"/>
          <w:lang w:bidi="ar-LB"/>
        </w:rPr>
        <w:t>34</w:t>
      </w:r>
      <w:r w:rsidRPr="00C132D3">
        <w:rPr>
          <w:rFonts w:asciiTheme="majorBidi" w:hAnsiTheme="majorBidi" w:cstheme="majorBidi"/>
          <w:sz w:val="26"/>
          <w:szCs w:val="26"/>
          <w:rtl/>
          <w:lang w:bidi="ar-LB"/>
        </w:rPr>
        <w:t>)</w:t>
      </w:r>
      <w:r w:rsidRPr="00C132D3">
        <w:rPr>
          <w:rStyle w:val="FootnoteReference"/>
          <w:rFonts w:asciiTheme="majorBidi" w:hAnsiTheme="majorBidi" w:cstheme="majorBidi"/>
          <w:sz w:val="26"/>
          <w:szCs w:val="26"/>
          <w:rtl/>
          <w:lang w:bidi="ar-LB"/>
        </w:rPr>
        <w:footnoteReference w:id="13"/>
      </w:r>
      <w:r w:rsidRPr="00C132D3">
        <w:rPr>
          <w:rFonts w:asciiTheme="majorBidi" w:hAnsiTheme="majorBidi" w:cstheme="majorBidi"/>
          <w:sz w:val="26"/>
          <w:szCs w:val="26"/>
          <w:rtl/>
          <w:lang w:bidi="ar-LB"/>
        </w:rPr>
        <w:t>.</w:t>
      </w:r>
    </w:p>
    <w:p w14:paraId="407AA045" w14:textId="5054DC32" w:rsidR="00931384" w:rsidRPr="00931384" w:rsidRDefault="00931384" w:rsidP="00931384">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bidi="ar-LB"/>
        </w:rPr>
        <w:t xml:space="preserve">وفي </w:t>
      </w:r>
      <w:r w:rsidRPr="00C132D3">
        <w:rPr>
          <w:rFonts w:asciiTheme="majorBidi" w:hAnsiTheme="majorBidi" w:cstheme="majorBidi"/>
          <w:sz w:val="26"/>
          <w:szCs w:val="26"/>
          <w:rtl/>
          <w:lang w:bidi="ar-LB"/>
        </w:rPr>
        <w:t>الاجتماع الثاني والتسعين، نظرت اللجنة التنفيذية في تقرير عن مخططات حوافز المستخدمين النهائيين الممولة في إطار خطط إدارة إزالة المواد الهيدروكلوروفلوروكربونية الموافق عليها</w:t>
      </w:r>
      <w:r w:rsidRPr="00C132D3">
        <w:rPr>
          <w:rStyle w:val="FootnoteReference"/>
          <w:rFonts w:asciiTheme="majorBidi" w:hAnsiTheme="majorBidi" w:cstheme="majorBidi"/>
          <w:sz w:val="26"/>
          <w:szCs w:val="26"/>
          <w:rtl/>
          <w:lang w:bidi="ar-LB"/>
        </w:rPr>
        <w:footnoteReference w:id="14"/>
      </w:r>
      <w:r w:rsidRPr="00C132D3">
        <w:rPr>
          <w:rFonts w:asciiTheme="majorBidi" w:hAnsiTheme="majorBidi" w:cstheme="majorBidi"/>
          <w:sz w:val="26"/>
          <w:szCs w:val="26"/>
          <w:rtl/>
          <w:lang w:bidi="ar-LB"/>
        </w:rPr>
        <w:t>. وعقب مناقشات اللجنة التنفيذية للتقرير، طلبت اللجنة، في جملة أمو</w:t>
      </w:r>
      <w:r w:rsidR="0079406E">
        <w:rPr>
          <w:rFonts w:asciiTheme="majorBidi" w:hAnsiTheme="majorBidi" w:cstheme="majorBidi"/>
          <w:sz w:val="26"/>
          <w:szCs w:val="26"/>
          <w:rtl/>
          <w:lang w:bidi="ar-LB"/>
        </w:rPr>
        <w:t>ر</w:t>
      </w:r>
      <w:r w:rsidRPr="00C132D3">
        <w:rPr>
          <w:rFonts w:asciiTheme="majorBidi" w:hAnsiTheme="majorBidi" w:cstheme="majorBidi"/>
          <w:sz w:val="26"/>
          <w:szCs w:val="26"/>
          <w:rtl/>
          <w:lang w:bidi="ar-LB"/>
        </w:rPr>
        <w:t xml:space="preserve">، إلى البلدان العاملة بموجب المادة </w:t>
      </w:r>
      <w:r w:rsidR="0079406E" w:rsidRPr="0079406E">
        <w:rPr>
          <w:sz w:val="24"/>
          <w:szCs w:val="24"/>
          <w:lang w:bidi="ar-LB"/>
        </w:rPr>
        <w:t>5</w:t>
      </w:r>
      <w:r w:rsidRPr="00C132D3">
        <w:rPr>
          <w:rFonts w:asciiTheme="majorBidi" w:hAnsiTheme="majorBidi" w:cstheme="majorBidi"/>
          <w:sz w:val="26"/>
          <w:szCs w:val="26"/>
          <w:rtl/>
          <w:lang w:bidi="ar-LB"/>
        </w:rPr>
        <w:t xml:space="preserve"> والوكالات الثنائية والمنفذة أن تنظر، عند تصميم خطط حوافز المستخدم النهائي، في العوامل التي من شأنها أن تسهم في استدامة وقابلية التوسع في اعتماد المستخدمين النهائيين لبدائل ذات إمكانية منخفضة لإحداث الاحترار العالمي، مثل المكاسب المحتملة في كفاءة استخدام الطاقة والفرص المتاحة لطرائق ومصادر التمويل الإضافية،  كلما كان ذلك ممكنا وعلى أساس طوعي (المقرر </w:t>
      </w:r>
      <w:r w:rsidR="0079406E" w:rsidRPr="0079406E">
        <w:rPr>
          <w:sz w:val="24"/>
          <w:szCs w:val="24"/>
          <w:lang w:bidi="ar-LB"/>
        </w:rPr>
        <w:t>92</w:t>
      </w:r>
      <w:r w:rsidRPr="00C132D3">
        <w:rPr>
          <w:rFonts w:asciiTheme="majorBidi" w:hAnsiTheme="majorBidi" w:cstheme="majorBidi"/>
          <w:sz w:val="26"/>
          <w:szCs w:val="26"/>
          <w:rtl/>
          <w:lang w:bidi="ar-LB"/>
        </w:rPr>
        <w:t>/</w:t>
      </w:r>
      <w:r w:rsidR="0079406E" w:rsidRPr="0079406E">
        <w:rPr>
          <w:sz w:val="24"/>
          <w:szCs w:val="24"/>
          <w:lang w:bidi="ar-LB"/>
        </w:rPr>
        <w:t>36</w:t>
      </w:r>
      <w:r w:rsidRPr="00C132D3">
        <w:rPr>
          <w:rFonts w:asciiTheme="majorBidi" w:hAnsiTheme="majorBidi" w:cstheme="majorBidi"/>
          <w:sz w:val="26"/>
          <w:szCs w:val="26"/>
          <w:rtl/>
          <w:lang w:bidi="ar-LB"/>
        </w:rPr>
        <w:t xml:space="preserve"> (هـ)).</w:t>
      </w:r>
    </w:p>
    <w:p w14:paraId="61A67FFB" w14:textId="170B0D7A" w:rsidR="00931384" w:rsidRPr="00931384" w:rsidRDefault="00931384" w:rsidP="00931384">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bidi="ar-LB"/>
        </w:rPr>
        <w:t xml:space="preserve">قُدّم </w:t>
      </w:r>
      <w:r w:rsidRPr="00C132D3">
        <w:rPr>
          <w:rFonts w:asciiTheme="majorBidi" w:hAnsiTheme="majorBidi" w:cstheme="majorBidi"/>
          <w:sz w:val="26"/>
          <w:szCs w:val="26"/>
          <w:rtl/>
          <w:lang w:bidi="ar-LB"/>
        </w:rPr>
        <w:t>الدعم إلى المؤسسات العاملة في مجال التركيب والتجميع المحليين في إطار خطط إدارة إزالة المواد الهيدروكلوروفلوروكربونية وفقاً للمبادئ التوجيهية للسياسة العامة لقطاع الخدمة. وبالنظر إلى أن كمية المواد الهيدروكلوروفلوروكربونية المستخدمة في هذه التطبيقات لم تكن مرتفعة، فقد طُلِب دعم إضافي محدود، ومن ثم تم توفيره لهذه المؤسسات بموجب خطط إدارة إزالة المواد الهيدروكلوروفلوروكربونية</w:t>
      </w:r>
      <w:r w:rsidRPr="00C132D3">
        <w:rPr>
          <w:rStyle w:val="FootnoteReference"/>
          <w:rFonts w:asciiTheme="majorBidi" w:hAnsiTheme="majorBidi" w:cstheme="majorBidi"/>
          <w:sz w:val="26"/>
          <w:szCs w:val="26"/>
          <w:rtl/>
          <w:lang w:bidi="ar-LB"/>
        </w:rPr>
        <w:footnoteReference w:id="15"/>
      </w:r>
      <w:r w:rsidRPr="00C132D3">
        <w:rPr>
          <w:rFonts w:asciiTheme="majorBidi" w:hAnsiTheme="majorBidi" w:cstheme="majorBidi"/>
          <w:sz w:val="26"/>
          <w:szCs w:val="26"/>
          <w:rtl/>
          <w:lang w:bidi="ar-LB"/>
        </w:rPr>
        <w:t>.</w:t>
      </w:r>
    </w:p>
    <w:p w14:paraId="06449620" w14:textId="13E17283" w:rsidR="00931384" w:rsidRPr="00F87457" w:rsidRDefault="00931384" w:rsidP="00931384">
      <w:pPr>
        <w:pStyle w:val="StyleHeader4Para4Left0Firstline0"/>
        <w:widowControl/>
        <w:numPr>
          <w:ilvl w:val="0"/>
          <w:numId w:val="24"/>
        </w:numPr>
        <w:tabs>
          <w:tab w:val="clear" w:pos="2880"/>
          <w:tab w:val="clear" w:pos="5760"/>
        </w:tabs>
        <w:bidi/>
        <w:spacing w:after="120" w:line="360" w:lineRule="exact"/>
        <w:ind w:left="1440" w:hanging="720"/>
        <w:rPr>
          <w:sz w:val="26"/>
          <w:szCs w:val="26"/>
          <w:lang w:val="en-US" w:bidi="ar-LB"/>
        </w:rPr>
      </w:pPr>
      <w:r>
        <w:rPr>
          <w:rFonts w:asciiTheme="majorBidi" w:hAnsiTheme="majorBidi" w:cstheme="majorBidi"/>
          <w:sz w:val="26"/>
          <w:szCs w:val="26"/>
          <w:rtl/>
          <w:lang w:val="en-US" w:bidi="ar-LB"/>
        </w:rPr>
        <w:t xml:space="preserve">ولم </w:t>
      </w:r>
      <w:r w:rsidRPr="00C132D3">
        <w:rPr>
          <w:rFonts w:asciiTheme="majorBidi" w:hAnsiTheme="majorBidi" w:cstheme="majorBidi"/>
          <w:sz w:val="26"/>
          <w:szCs w:val="26"/>
          <w:rtl/>
          <w:lang w:bidi="ar-LB"/>
        </w:rPr>
        <w:t>يُضطلع بتنفيذ المشاريع ورصد الأنشطة فقط لتحقيق إنجاز المشاريع في الوقت المناسب وبفعالية من حيث التكلفة، وإنما أيضاً لخفض الاستهلاك وفقاً لأهداف الامتثال. ولم يتم عموما</w:t>
      </w:r>
      <w:r w:rsidR="0079406E">
        <w:rPr>
          <w:rFonts w:asciiTheme="majorBidi" w:hAnsiTheme="majorBidi" w:cstheme="majorBidi"/>
          <w:sz w:val="26"/>
          <w:szCs w:val="26"/>
          <w:rtl/>
          <w:lang w:bidi="ar-LB"/>
        </w:rPr>
        <w:t>ً</w:t>
      </w:r>
      <w:r w:rsidRPr="00C132D3">
        <w:rPr>
          <w:rFonts w:asciiTheme="majorBidi" w:hAnsiTheme="majorBidi" w:cstheme="majorBidi"/>
          <w:sz w:val="26"/>
          <w:szCs w:val="26"/>
          <w:rtl/>
          <w:lang w:bidi="ar-LB"/>
        </w:rPr>
        <w:t xml:space="preserve"> رصد أثر أنشطة التحويل على النمو في استهلاك المواد الهيدروفلوروكربونية أو الإبلاغ عنه، حيث أن هذه المواد، خلال الفترة السابقة لشهر أكتوبر/تشرين الأول </w:t>
      </w:r>
      <w:r w:rsidR="0079406E" w:rsidRPr="0079406E">
        <w:rPr>
          <w:sz w:val="24"/>
          <w:szCs w:val="24"/>
          <w:lang w:bidi="ar-LB"/>
        </w:rPr>
        <w:t>2016</w:t>
      </w:r>
      <w:r w:rsidRPr="00C132D3">
        <w:rPr>
          <w:rFonts w:asciiTheme="majorBidi" w:hAnsiTheme="majorBidi" w:cstheme="majorBidi"/>
          <w:sz w:val="26"/>
          <w:szCs w:val="26"/>
          <w:rtl/>
          <w:lang w:bidi="ar-LB"/>
        </w:rPr>
        <w:t>، لم تكن خاضعة للرقابة بموجب بروتوكول مونتريال أو بموجب اللوائح الوطنية.</w:t>
      </w:r>
    </w:p>
    <w:p w14:paraId="03980110" w14:textId="6C0A942F" w:rsidR="00A00C77" w:rsidRPr="00A00C77" w:rsidRDefault="00A00C77" w:rsidP="00A00C77">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وعلى الرغم </w:t>
      </w:r>
      <w:r w:rsidRPr="00C132D3">
        <w:rPr>
          <w:rFonts w:asciiTheme="majorBidi" w:hAnsiTheme="majorBidi" w:cstheme="majorBidi"/>
          <w:sz w:val="26"/>
          <w:szCs w:val="26"/>
          <w:rtl/>
          <w:lang w:bidi="ar-LB"/>
        </w:rPr>
        <w:t xml:space="preserve">من الدعم المقدم إلى البلدان العاملة بموجب المادة </w:t>
      </w:r>
      <w:r w:rsidR="00F22304" w:rsidRPr="00F22304">
        <w:rPr>
          <w:sz w:val="24"/>
          <w:szCs w:val="24"/>
          <w:lang w:bidi="ar-LB"/>
        </w:rPr>
        <w:t>5</w:t>
      </w:r>
      <w:r w:rsidRPr="00C132D3">
        <w:rPr>
          <w:rFonts w:asciiTheme="majorBidi" w:hAnsiTheme="majorBidi" w:cstheme="majorBidi"/>
          <w:sz w:val="26"/>
          <w:szCs w:val="26"/>
          <w:rtl/>
          <w:lang w:bidi="ar-LB"/>
        </w:rPr>
        <w:t xml:space="preserve"> لاعتماد بدائل للمواد الهيدروكلوروفلوروكربونية ذات إمكانية منخفضة لإحداث الاحترار العالمي في مختلف تطبيقات التبريد وتكييف الهواء والمضخات الحرارية </w:t>
      </w:r>
      <w:r w:rsidR="00386805" w:rsidRPr="00C132D3">
        <w:rPr>
          <w:rFonts w:asciiTheme="majorBidi" w:hAnsiTheme="majorBidi" w:cstheme="majorBidi" w:hint="cs"/>
          <w:sz w:val="26"/>
          <w:szCs w:val="26"/>
          <w:rtl/>
          <w:lang w:bidi="ar-LB"/>
        </w:rPr>
        <w:t>والرغاوى</w:t>
      </w:r>
      <w:r w:rsidRPr="00C132D3">
        <w:rPr>
          <w:rFonts w:asciiTheme="majorBidi" w:hAnsiTheme="majorBidi" w:cstheme="majorBidi"/>
          <w:sz w:val="26"/>
          <w:szCs w:val="26"/>
          <w:rtl/>
          <w:lang w:bidi="ar-LB"/>
        </w:rPr>
        <w:t xml:space="preserve">، كان هناك إقبال كبير على المعدات والتكنولوجيات القائمة على المواد الهيدروفلوروكربونية في البلدان العاملة بموجب المادة </w:t>
      </w:r>
      <w:r w:rsidR="00017941" w:rsidRPr="00F22304">
        <w:rPr>
          <w:sz w:val="24"/>
          <w:szCs w:val="24"/>
          <w:lang w:bidi="ar-LB"/>
        </w:rPr>
        <w:t>5</w:t>
      </w:r>
      <w:r w:rsidRPr="00C132D3">
        <w:rPr>
          <w:rFonts w:asciiTheme="majorBidi" w:hAnsiTheme="majorBidi" w:cstheme="majorBidi"/>
          <w:sz w:val="26"/>
          <w:szCs w:val="26"/>
          <w:rtl/>
          <w:lang w:bidi="ar-LB"/>
        </w:rPr>
        <w:t xml:space="preserve"> نظراً لجملة أمور منها مستويات تطور التكنولوجيا التي أثرت على توافر التكنولوجيات الناضجة في الأسواق بأسعار تنافسية؛ والحذر الذي تمارسه الصناعة في اعتماد تكنولوجيات منخفضة القدرة على إحداث الاحترار العالمي؛ وعوامل السوق والعوامل التنظيمية. وكان هذا واضحاً بشكل خاص في قطاع تكييف الهواء السكني حيث اعتُمِدت في كثير من الأحيان تكنولوجيات عالية الكفاءة في استخدام الطاقة تعتمد على المواد الهيدروفلوروكربونية ذات إمكانية إحداث الاحترار العالمي المرتفعة (مثل أجهزة تكييف الهواء القائمة على غاز التبريد </w:t>
      </w:r>
      <w:r w:rsidR="00017941" w:rsidRPr="00017941">
        <w:rPr>
          <w:sz w:val="24"/>
          <w:szCs w:val="24"/>
          <w:lang w:bidi="ar-LB"/>
        </w:rPr>
        <w:t>R</w:t>
      </w:r>
      <w:r w:rsidR="00017941" w:rsidRPr="00017941">
        <w:rPr>
          <w:sz w:val="24"/>
          <w:szCs w:val="24"/>
          <w:lang w:bidi="ar-LB"/>
        </w:rPr>
        <w:noBreakHyphen/>
        <w:t>410A</w:t>
      </w:r>
      <w:r w:rsidRPr="00C132D3">
        <w:rPr>
          <w:rFonts w:asciiTheme="majorBidi" w:hAnsiTheme="majorBidi" w:cstheme="majorBidi"/>
          <w:sz w:val="26"/>
          <w:szCs w:val="26"/>
          <w:rtl/>
          <w:lang w:bidi="ar-LB"/>
        </w:rPr>
        <w:t xml:space="preserve"> الموفرة للطاقة) ، لا سيما في وقت مبكر من إزالة المواد الهيدروكلوروفلوروكربونية. وساعد هذا التحول البلدان على تحقيق إزالة المواد الهيدروكلوروفلوروكربونية بشكل أسرع. غير أن هذا أدى أيضاً إلى زيادة مخزون التكنولوجيات القائمة على المواد الهيدروفلوروكربونية في التطبيقات التي كانت تستخدم المواد الهيدروكلوروفلوروكربونية من قبل.</w:t>
      </w:r>
    </w:p>
    <w:p w14:paraId="3EA36619" w14:textId="6D4978A5" w:rsidR="00A00C77" w:rsidRPr="00A00C77" w:rsidRDefault="00A00C77" w:rsidP="00A00C77">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lastRenderedPageBreak/>
        <w:t xml:space="preserve">وقد أدى </w:t>
      </w:r>
      <w:r w:rsidRPr="00C132D3">
        <w:rPr>
          <w:rFonts w:asciiTheme="majorBidi" w:hAnsiTheme="majorBidi" w:cstheme="majorBidi"/>
          <w:sz w:val="26"/>
          <w:szCs w:val="26"/>
          <w:rtl/>
          <w:lang w:bidi="ar-LB"/>
        </w:rPr>
        <w:t xml:space="preserve">اعتماد تعديل كيغالي في عام </w:t>
      </w:r>
      <w:r w:rsidR="008E1332" w:rsidRPr="008E1332">
        <w:rPr>
          <w:sz w:val="24"/>
          <w:szCs w:val="24"/>
          <w:lang w:bidi="ar-LB"/>
        </w:rPr>
        <w:t>2016</w:t>
      </w:r>
      <w:r w:rsidRPr="00C132D3">
        <w:rPr>
          <w:rFonts w:asciiTheme="majorBidi" w:hAnsiTheme="majorBidi" w:cstheme="majorBidi"/>
          <w:sz w:val="26"/>
          <w:szCs w:val="26"/>
          <w:rtl/>
          <w:lang w:bidi="ar-LB"/>
        </w:rPr>
        <w:t xml:space="preserve"> إلى زيادة واسعة في مستويات الوعي فيما يتعلق بالتأثير المناخي لاستخدام التكنولوجيات القائمة على المواد الهيدروفلوروكربونية في تطبيقات التبريد وتكييف الهواء والمضخات الحرارية، وضرورة التخلص التدريجي من التكنولوجيات القائمة على المواد الهيدروفلوروكربونية. واعتباراً من الاجتماع الثالث والتسعين، تلق</w:t>
      </w:r>
      <w:r w:rsidR="008E1332">
        <w:rPr>
          <w:rFonts w:asciiTheme="majorBidi" w:hAnsiTheme="majorBidi" w:cstheme="majorBidi"/>
          <w:sz w:val="26"/>
          <w:szCs w:val="26"/>
          <w:rtl/>
          <w:lang w:bidi="ar-LB"/>
        </w:rPr>
        <w:t>ت</w:t>
      </w:r>
      <w:r w:rsidRPr="00C132D3">
        <w:rPr>
          <w:rFonts w:asciiTheme="majorBidi" w:hAnsiTheme="majorBidi" w:cstheme="majorBidi"/>
          <w:sz w:val="26"/>
          <w:szCs w:val="26"/>
          <w:rtl/>
          <w:lang w:bidi="ar-LB"/>
        </w:rPr>
        <w:t xml:space="preserve"> </w:t>
      </w:r>
      <w:r w:rsidR="008E1332" w:rsidRPr="008E1332">
        <w:rPr>
          <w:sz w:val="24"/>
          <w:szCs w:val="24"/>
          <w:lang w:bidi="ar-LB"/>
        </w:rPr>
        <w:t>106</w:t>
      </w:r>
      <w:r w:rsidRPr="00C132D3">
        <w:rPr>
          <w:rFonts w:asciiTheme="majorBidi" w:hAnsiTheme="majorBidi" w:cstheme="majorBidi"/>
          <w:sz w:val="26"/>
          <w:szCs w:val="26"/>
          <w:rtl/>
          <w:lang w:bidi="ar-LB"/>
        </w:rPr>
        <w:t xml:space="preserve"> بلدان تمويلا</w:t>
      </w:r>
      <w:r w:rsidR="008E1332">
        <w:rPr>
          <w:rFonts w:asciiTheme="majorBidi" w:hAnsiTheme="majorBidi" w:cstheme="majorBidi"/>
          <w:sz w:val="26"/>
          <w:szCs w:val="26"/>
          <w:rtl/>
          <w:lang w:bidi="ar-LB"/>
        </w:rPr>
        <w:t>ً</w:t>
      </w:r>
      <w:r w:rsidRPr="00C132D3">
        <w:rPr>
          <w:rFonts w:asciiTheme="majorBidi" w:hAnsiTheme="majorBidi" w:cstheme="majorBidi"/>
          <w:sz w:val="26"/>
          <w:szCs w:val="26"/>
          <w:rtl/>
          <w:lang w:bidi="ar-LB"/>
        </w:rPr>
        <w:t xml:space="preserve"> لإعداد خطط تنفيذ تعديل كيغالي للمواد الهيدروفلوروكربونية، وتلقى </w:t>
      </w:r>
      <w:r w:rsidR="008E1332" w:rsidRPr="008E1332">
        <w:rPr>
          <w:sz w:val="24"/>
          <w:szCs w:val="24"/>
          <w:lang w:bidi="ar-LB"/>
        </w:rPr>
        <w:t>24</w:t>
      </w:r>
      <w:r w:rsidRPr="00C132D3">
        <w:rPr>
          <w:rFonts w:asciiTheme="majorBidi" w:hAnsiTheme="majorBidi" w:cstheme="majorBidi"/>
          <w:sz w:val="26"/>
          <w:szCs w:val="26"/>
          <w:rtl/>
          <w:lang w:bidi="ar-LB"/>
        </w:rPr>
        <w:t xml:space="preserve"> بلداً تمويلا لخطط تنفيذ تعديل كيغالي، كما</w:t>
      </w:r>
      <w:r w:rsidR="00386805">
        <w:rPr>
          <w:rFonts w:asciiTheme="majorBidi" w:hAnsiTheme="majorBidi" w:cstheme="majorBidi"/>
          <w:sz w:val="26"/>
          <w:szCs w:val="26"/>
          <w:lang w:bidi="ar-LB"/>
        </w:rPr>
        <w:t xml:space="preserve"> </w:t>
      </w:r>
      <w:r w:rsidRPr="00C132D3">
        <w:rPr>
          <w:rFonts w:asciiTheme="majorBidi" w:hAnsiTheme="majorBidi" w:cstheme="majorBidi"/>
          <w:sz w:val="26"/>
          <w:szCs w:val="26"/>
          <w:rtl/>
          <w:lang w:bidi="ar-LB"/>
        </w:rPr>
        <w:t xml:space="preserve">حصل </w:t>
      </w:r>
      <w:r w:rsidR="008E1332" w:rsidRPr="008E1332">
        <w:rPr>
          <w:sz w:val="24"/>
          <w:szCs w:val="24"/>
          <w:lang w:bidi="ar-LB"/>
        </w:rPr>
        <w:t>14</w:t>
      </w:r>
      <w:r w:rsidRPr="00C132D3">
        <w:rPr>
          <w:rFonts w:asciiTheme="majorBidi" w:hAnsiTheme="majorBidi" w:cstheme="majorBidi"/>
          <w:sz w:val="26"/>
          <w:szCs w:val="26"/>
          <w:rtl/>
          <w:lang w:bidi="ar-LB"/>
        </w:rPr>
        <w:t xml:space="preserve"> بلدا</w:t>
      </w:r>
      <w:r w:rsidR="008E1332">
        <w:rPr>
          <w:rFonts w:asciiTheme="majorBidi" w:hAnsiTheme="majorBidi" w:cstheme="majorBidi"/>
          <w:sz w:val="26"/>
          <w:szCs w:val="26"/>
          <w:rtl/>
          <w:lang w:bidi="ar-LB"/>
        </w:rPr>
        <w:t>ً على</w:t>
      </w:r>
      <w:r w:rsidRPr="00C132D3">
        <w:rPr>
          <w:rFonts w:asciiTheme="majorBidi" w:hAnsiTheme="majorBidi" w:cstheme="majorBidi"/>
          <w:sz w:val="26"/>
          <w:szCs w:val="26"/>
          <w:rtl/>
          <w:lang w:bidi="ar-LB"/>
        </w:rPr>
        <w:t xml:space="preserve"> الموافقة على مشروعات استثمارية قائمة بذاتها للتخفيض التدريجي للمواد الهيدروفلوروكربونية. وعلاوة على ذلك، من المتوقع تقديم خطط تنفيذ تعديل كيغالي للمواد الهيدروفلوروكربونية لبلدان إضافية خلال الـ </w:t>
      </w:r>
      <w:r w:rsidR="000F378E" w:rsidRPr="008E1332">
        <w:rPr>
          <w:sz w:val="24"/>
          <w:szCs w:val="24"/>
          <w:lang w:bidi="ar-LB"/>
        </w:rPr>
        <w:t>24</w:t>
      </w:r>
      <w:r w:rsidR="000F378E" w:rsidRPr="00C132D3">
        <w:rPr>
          <w:rFonts w:asciiTheme="majorBidi" w:hAnsiTheme="majorBidi" w:cstheme="majorBidi"/>
          <w:sz w:val="26"/>
          <w:szCs w:val="26"/>
          <w:rtl/>
          <w:lang w:bidi="ar-LB"/>
        </w:rPr>
        <w:t xml:space="preserve"> </w:t>
      </w:r>
      <w:r w:rsidRPr="00C132D3">
        <w:rPr>
          <w:rFonts w:asciiTheme="majorBidi" w:hAnsiTheme="majorBidi" w:cstheme="majorBidi"/>
          <w:sz w:val="26"/>
          <w:szCs w:val="26"/>
          <w:rtl/>
          <w:lang w:bidi="ar-LB"/>
        </w:rPr>
        <w:t xml:space="preserve">شهراً  القادمة، بما في ذلك البلدان العاملة بموجب المادة </w:t>
      </w:r>
      <w:r w:rsidR="00FA3EA1" w:rsidRPr="00FA3EA1">
        <w:rPr>
          <w:sz w:val="24"/>
          <w:szCs w:val="24"/>
          <w:lang w:bidi="ar-LB"/>
        </w:rPr>
        <w:t>5</w:t>
      </w:r>
      <w:r w:rsidRPr="00C132D3">
        <w:rPr>
          <w:rFonts w:asciiTheme="majorBidi" w:hAnsiTheme="majorBidi" w:cstheme="majorBidi"/>
          <w:sz w:val="26"/>
          <w:szCs w:val="26"/>
          <w:rtl/>
          <w:lang w:bidi="ar-LB"/>
        </w:rPr>
        <w:t xml:space="preserve"> التي يُتوقع أن تصدق على تعديل كيغالي في المستقبل القريب. وبالنظر إلى أن خطط تنفيذ تعديل كيغالي التي تمت الموافقة عليها لا تزال في مراحل مبكرة جداً من التنفيذ، فمن الصعب تقييم أثرها على معدل اعتماد التكنولوجيات ذات إمكانية إحداث الاحترار العالمي المنخفضة واتجاهات استهلاك تلك التكنولوجيات. وتجدر الإشارة إلى أن عدة شركات لتصنيع أجهزة التبريد المنزلي والتجاري القائمة بذاتها التي تتلقى المساعدة من خلال المشروعات الاستثمارية في المواد الهيدروفلوروكربونية قد أكملت عمليات تحويلها إلى البدائل ذات القدرة المنخفضة على إحداث الاحترار العالمي.</w:t>
      </w:r>
    </w:p>
    <w:p w14:paraId="16792502" w14:textId="78FD72CB" w:rsidR="00A00C77" w:rsidRPr="00A00C77" w:rsidRDefault="00A00C77" w:rsidP="00A00C77">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وعقب </w:t>
      </w:r>
      <w:r w:rsidRPr="00C132D3">
        <w:rPr>
          <w:rFonts w:asciiTheme="majorBidi" w:hAnsiTheme="majorBidi" w:cstheme="majorBidi"/>
          <w:sz w:val="26"/>
          <w:szCs w:val="26"/>
          <w:rtl/>
          <w:lang w:bidi="ar-LB"/>
        </w:rPr>
        <w:t>اعتماد تعديل كيغالي لبروتوكول مونتريال، تواصل اللجنة التنفيذية مناقشة مختلف جوانب السياسة العامة الرامية إلى تقديم الدعم للحفاظ على كفاءة استخدام الطاقة و/أو تعزيزها مع اعتماد تكنولوجيات بديلة في سياق إزالة المواد الهيدروكلوروفلوروكربونية/التخفيض التدريجي للمواد الهيدروفلوروكربونية.</w:t>
      </w:r>
    </w:p>
    <w:p w14:paraId="64511A7D" w14:textId="7566FD40" w:rsidR="00A00C77" w:rsidRPr="00931384" w:rsidRDefault="00A00C77" w:rsidP="00A00C77">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ويتوفر </w:t>
      </w:r>
      <w:r w:rsidRPr="00C132D3">
        <w:rPr>
          <w:rFonts w:asciiTheme="majorBidi" w:hAnsiTheme="majorBidi" w:cstheme="majorBidi"/>
          <w:sz w:val="26"/>
          <w:szCs w:val="26"/>
          <w:rtl/>
          <w:lang w:bidi="ar-LB"/>
        </w:rPr>
        <w:t xml:space="preserve">الدعم حالياً للمشروعات التجريبية المتعلقة بكفاءة استخدام الطاقة في سياق التخفيض التدريجي للمواد الهيدروفلوروكربونية (المقرر </w:t>
      </w:r>
      <w:r w:rsidR="00FA3EA1" w:rsidRPr="00FA3EA1">
        <w:rPr>
          <w:sz w:val="24"/>
          <w:szCs w:val="24"/>
          <w:lang w:bidi="ar-LB"/>
        </w:rPr>
        <w:t>91</w:t>
      </w:r>
      <w:r w:rsidRPr="00C132D3">
        <w:rPr>
          <w:rFonts w:asciiTheme="majorBidi" w:hAnsiTheme="majorBidi" w:cstheme="majorBidi"/>
          <w:sz w:val="26"/>
          <w:szCs w:val="26"/>
          <w:rtl/>
          <w:lang w:bidi="ar-LB"/>
        </w:rPr>
        <w:t>/</w:t>
      </w:r>
      <w:r w:rsidR="00FA3EA1" w:rsidRPr="00FA3EA1">
        <w:rPr>
          <w:sz w:val="24"/>
          <w:szCs w:val="24"/>
          <w:lang w:bidi="ar-LB"/>
        </w:rPr>
        <w:t>65</w:t>
      </w:r>
      <w:r w:rsidRPr="00C132D3">
        <w:rPr>
          <w:rFonts w:asciiTheme="majorBidi" w:hAnsiTheme="majorBidi" w:cstheme="majorBidi"/>
          <w:sz w:val="26"/>
          <w:szCs w:val="26"/>
          <w:rtl/>
          <w:lang w:bidi="ar-LB"/>
        </w:rPr>
        <w:t xml:space="preserve">) وللأنشطة المتصلة بكفاءة استخدام الطاقة في قطاع الخدمة بالنسبة للبلدان ذات حجم الاستهلاك المنخفض عند اعتماد تكنولوجيات ذات قدرة منخفضة على إحداث الاحترار العالمي مع إزالة المواد الهيدروكلوروفلوروكربونية في الوقت ذاته (المقرر </w:t>
      </w:r>
      <w:r w:rsidR="00FA3EA1" w:rsidRPr="00FA3EA1">
        <w:rPr>
          <w:sz w:val="24"/>
          <w:szCs w:val="24"/>
          <w:lang w:bidi="ar-LB"/>
        </w:rPr>
        <w:t>89</w:t>
      </w:r>
      <w:r w:rsidRPr="00C132D3">
        <w:rPr>
          <w:rFonts w:asciiTheme="majorBidi" w:hAnsiTheme="majorBidi" w:cstheme="majorBidi"/>
          <w:sz w:val="26"/>
          <w:szCs w:val="26"/>
          <w:rtl/>
          <w:lang w:bidi="ar-LB"/>
        </w:rPr>
        <w:t>/</w:t>
      </w:r>
      <w:r w:rsidR="00FA3EA1" w:rsidRPr="00FA3EA1">
        <w:rPr>
          <w:sz w:val="24"/>
          <w:szCs w:val="24"/>
          <w:lang w:bidi="ar-LB"/>
        </w:rPr>
        <w:t>6</w:t>
      </w:r>
      <w:r w:rsidRPr="00C132D3">
        <w:rPr>
          <w:rFonts w:asciiTheme="majorBidi" w:hAnsiTheme="majorBidi" w:cstheme="majorBidi"/>
          <w:sz w:val="26"/>
          <w:szCs w:val="26"/>
          <w:rtl/>
          <w:lang w:bidi="ar-LB"/>
        </w:rPr>
        <w:t xml:space="preserve">). وتواصل اللجنة التنفيذية مشاوراتها المتعلقة بأنشطة الحفاظ على كفاءة استخدام الطاقة و/أو تعزيزها مع التخفيض التدريجي للمواد الهيدروفلوروكربونية على النحو الوارد في الوثيقة </w:t>
      </w:r>
      <w:r w:rsidR="00FA3EA1" w:rsidRPr="00FA3EA1">
        <w:rPr>
          <w:sz w:val="24"/>
          <w:szCs w:val="24"/>
          <w:lang w:bidi="ar-LB"/>
        </w:rPr>
        <w:t>UNEP/OzL.Pro/ExCom/94/61</w:t>
      </w:r>
      <w:r w:rsidRPr="00C132D3">
        <w:rPr>
          <w:rFonts w:asciiTheme="majorBidi" w:hAnsiTheme="majorBidi" w:cstheme="majorBidi"/>
          <w:sz w:val="26"/>
          <w:szCs w:val="26"/>
          <w:rtl/>
          <w:lang w:bidi="ar-LB"/>
        </w:rPr>
        <w:t>).</w:t>
      </w:r>
    </w:p>
    <w:p w14:paraId="4546209E" w14:textId="77777777" w:rsidR="00FA3EA1" w:rsidRDefault="00FA3EA1" w:rsidP="00931384">
      <w:pPr>
        <w:pStyle w:val="StyleHeader4Para4Left0Firstline0"/>
        <w:widowControl/>
        <w:numPr>
          <w:ilvl w:val="0"/>
          <w:numId w:val="0"/>
        </w:numPr>
        <w:tabs>
          <w:tab w:val="clear" w:pos="2880"/>
          <w:tab w:val="clear" w:pos="5760"/>
          <w:tab w:val="left" w:pos="713"/>
        </w:tabs>
        <w:bidi/>
        <w:spacing w:after="120" w:line="360" w:lineRule="exact"/>
        <w:rPr>
          <w:rFonts w:asciiTheme="majorBidi" w:hAnsiTheme="majorBidi" w:cstheme="majorBidi"/>
          <w:b/>
          <w:bCs/>
          <w:sz w:val="26"/>
          <w:szCs w:val="26"/>
          <w:rtl/>
          <w:lang w:bidi="ar-LB"/>
        </w:rPr>
      </w:pPr>
    </w:p>
    <w:p w14:paraId="3B81E106" w14:textId="0B0E790A" w:rsidR="00931384" w:rsidRPr="00A00C77" w:rsidRDefault="00931384" w:rsidP="00FA3EA1">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b/>
          <w:bCs/>
          <w:sz w:val="26"/>
          <w:szCs w:val="26"/>
          <w:rtl/>
          <w:lang w:bidi="ar-LB"/>
        </w:rPr>
        <w:t>تحليل الانبعاثات المباشر</w:t>
      </w:r>
      <w:r>
        <w:rPr>
          <w:rFonts w:asciiTheme="majorBidi" w:hAnsiTheme="majorBidi" w:cstheme="majorBidi"/>
          <w:b/>
          <w:bCs/>
          <w:sz w:val="26"/>
          <w:szCs w:val="26"/>
          <w:rtl/>
          <w:lang w:bidi="ar-LB"/>
        </w:rPr>
        <w:t>ة</w:t>
      </w:r>
      <w:r w:rsidRPr="00C132D3">
        <w:rPr>
          <w:rFonts w:asciiTheme="majorBidi" w:hAnsiTheme="majorBidi" w:cstheme="majorBidi"/>
          <w:b/>
          <w:bCs/>
          <w:sz w:val="26"/>
          <w:szCs w:val="26"/>
          <w:rtl/>
          <w:lang w:bidi="ar-LB"/>
        </w:rPr>
        <w:t xml:space="preserve"> وغير المباشر</w:t>
      </w:r>
      <w:r>
        <w:rPr>
          <w:rFonts w:asciiTheme="majorBidi" w:hAnsiTheme="majorBidi" w:cstheme="majorBidi"/>
          <w:b/>
          <w:bCs/>
          <w:sz w:val="26"/>
          <w:szCs w:val="26"/>
          <w:rtl/>
          <w:lang w:bidi="ar-LB"/>
        </w:rPr>
        <w:t>ة</w:t>
      </w:r>
      <w:r w:rsidRPr="00C132D3">
        <w:rPr>
          <w:rFonts w:asciiTheme="majorBidi" w:hAnsiTheme="majorBidi" w:cstheme="majorBidi"/>
          <w:b/>
          <w:bCs/>
          <w:sz w:val="26"/>
          <w:szCs w:val="26"/>
          <w:rtl/>
          <w:lang w:bidi="ar-LB"/>
        </w:rPr>
        <w:t xml:space="preserve"> والاتجاهات الناتجة عن احتياجات التبريد في المستقبل</w:t>
      </w:r>
    </w:p>
    <w:p w14:paraId="55EBE146" w14:textId="6BB3987C" w:rsidR="00A00C77" w:rsidRPr="00931384" w:rsidRDefault="00A00C77" w:rsidP="00A00C77">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يقدم </w:t>
      </w:r>
      <w:r w:rsidRPr="00C132D3">
        <w:rPr>
          <w:rFonts w:asciiTheme="majorBidi" w:hAnsiTheme="majorBidi" w:cstheme="majorBidi"/>
          <w:sz w:val="26"/>
          <w:szCs w:val="26"/>
          <w:rtl/>
          <w:lang w:bidi="ar-LB"/>
        </w:rPr>
        <w:t xml:space="preserve">تقرير </w:t>
      </w:r>
      <w:r>
        <w:rPr>
          <w:rFonts w:asciiTheme="majorBidi" w:hAnsiTheme="majorBidi" w:cstheme="majorBidi"/>
          <w:sz w:val="26"/>
          <w:szCs w:val="26"/>
          <w:rtl/>
          <w:lang w:bidi="ar-LB"/>
        </w:rPr>
        <w:t>رصد</w:t>
      </w:r>
      <w:r w:rsidRPr="00C132D3">
        <w:rPr>
          <w:rFonts w:asciiTheme="majorBidi" w:hAnsiTheme="majorBidi" w:cstheme="majorBidi"/>
          <w:sz w:val="26"/>
          <w:szCs w:val="26"/>
          <w:rtl/>
          <w:lang w:bidi="ar-LB"/>
        </w:rPr>
        <w:t xml:space="preserve"> التبريد العالمي لعام </w:t>
      </w:r>
      <w:r w:rsidR="00535694" w:rsidRPr="00535694">
        <w:rPr>
          <w:sz w:val="24"/>
          <w:szCs w:val="24"/>
          <w:lang w:bidi="ar-LB"/>
        </w:rPr>
        <w:t>2023</w:t>
      </w:r>
      <w:r w:rsidRPr="00C132D3">
        <w:rPr>
          <w:rFonts w:asciiTheme="majorBidi" w:hAnsiTheme="majorBidi" w:cstheme="majorBidi"/>
          <w:sz w:val="26"/>
          <w:szCs w:val="26"/>
          <w:rtl/>
          <w:lang w:bidi="ar-LB"/>
        </w:rPr>
        <w:t xml:space="preserve"> معلومات عن الاتجاهات المتعلقة بالانبعاثات المباشرة وغير المباشرة حتى عام </w:t>
      </w:r>
      <w:r w:rsidR="00D84E9B" w:rsidRPr="00D84E9B">
        <w:rPr>
          <w:sz w:val="24"/>
          <w:szCs w:val="24"/>
          <w:lang w:bidi="ar-LB"/>
        </w:rPr>
        <w:t>2050</w:t>
      </w:r>
      <w:r w:rsidRPr="00C132D3">
        <w:rPr>
          <w:rFonts w:asciiTheme="majorBidi" w:hAnsiTheme="majorBidi" w:cstheme="majorBidi"/>
          <w:sz w:val="26"/>
          <w:szCs w:val="26"/>
          <w:rtl/>
          <w:lang w:bidi="ar-LB"/>
        </w:rPr>
        <w:t>، بما في ذلك سيناريوهات مختلفة اعتمادا</w:t>
      </w:r>
      <w:r w:rsidR="00D84E9B">
        <w:rPr>
          <w:rFonts w:asciiTheme="majorBidi" w:hAnsiTheme="majorBidi" w:cstheme="majorBidi"/>
          <w:sz w:val="26"/>
          <w:szCs w:val="26"/>
          <w:rtl/>
          <w:lang w:bidi="ar-LB"/>
        </w:rPr>
        <w:t>ً</w:t>
      </w:r>
      <w:r w:rsidRPr="00C132D3">
        <w:rPr>
          <w:rFonts w:asciiTheme="majorBidi" w:hAnsiTheme="majorBidi" w:cstheme="majorBidi"/>
          <w:sz w:val="26"/>
          <w:szCs w:val="26"/>
          <w:rtl/>
          <w:lang w:bidi="ar-LB"/>
        </w:rPr>
        <w:t xml:space="preserve"> على معدل اعتماد التقنيات التي يمكن أن تقلل من الانبعاثات المباشرة (على سبيل المثال ، التخفيض التدريجي الأسرع للمواد الهيدروفلوروكربونية مقارنة بأهداف تعديل كيغالي) والانبعاثات غير المباشرة (على سبيل المثال ، تأثير الزيادة في كفاءة استخدام الطاقة أو اعتماد التبريد السلبي). وتجدر الإشارة إلى أن تحليل النتائج الوارد أدناه لا يحكم مسبقاً على أي قرارات خاصة بالسياسات المتعلقة بالتبريد المستدام؛ بل يقدم ملخصاً لمختلف التدخلات الممكنة وأثر تلك التدخلات. وعلاوة على ذلك، تستند تقديرات الانبعاثات إلى نمذجة الانبعاثات المباشرة وغير المباشرة التي أجريت إلى جانب المدخلات المقدمة من خبراء في اتجاهات التكنولوجيا في مختلف تطبيقات التبريد وفي توليد الكهرباء.</w:t>
      </w:r>
    </w:p>
    <w:p w14:paraId="1B703279" w14:textId="3B811CD5" w:rsidR="00931384" w:rsidRPr="00A00C77" w:rsidRDefault="00931384" w:rsidP="00931384">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sz w:val="26"/>
          <w:szCs w:val="26"/>
          <w:u w:val="single"/>
          <w:rtl/>
          <w:lang w:bidi="ar-LB"/>
        </w:rPr>
        <w:t>الطلب على التبريد وانبعاثات غازات الدفيئة</w:t>
      </w:r>
    </w:p>
    <w:p w14:paraId="54B86115" w14:textId="30411A97" w:rsidR="00A00C77" w:rsidRPr="00A00C77" w:rsidRDefault="00A00C77" w:rsidP="00A00C77">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من المتوقع </w:t>
      </w:r>
      <w:r w:rsidRPr="00C132D3">
        <w:rPr>
          <w:rFonts w:asciiTheme="majorBidi" w:hAnsiTheme="majorBidi" w:cstheme="majorBidi"/>
          <w:sz w:val="26"/>
          <w:szCs w:val="26"/>
          <w:rtl/>
          <w:lang w:bidi="ar-LB"/>
        </w:rPr>
        <w:t xml:space="preserve">أن ينمو الطلب على التبريد مقدراً بتيراواط قدرة التبريد المركبة في البلدان العاملة بموجب المادة </w:t>
      </w:r>
      <w:r w:rsidR="00D84E9B" w:rsidRPr="00AB4EDA">
        <w:rPr>
          <w:sz w:val="24"/>
          <w:szCs w:val="24"/>
          <w:lang w:bidi="ar-LB"/>
        </w:rPr>
        <w:t>5</w:t>
      </w:r>
      <w:r w:rsidRPr="00C132D3">
        <w:rPr>
          <w:rFonts w:asciiTheme="majorBidi" w:hAnsiTheme="majorBidi" w:cstheme="majorBidi"/>
          <w:sz w:val="26"/>
          <w:szCs w:val="26"/>
          <w:rtl/>
          <w:lang w:bidi="ar-LB"/>
        </w:rPr>
        <w:t xml:space="preserve"> من </w:t>
      </w:r>
      <w:r w:rsidR="00D84E9B" w:rsidRPr="00AB4EDA">
        <w:rPr>
          <w:sz w:val="24"/>
          <w:szCs w:val="24"/>
          <w:lang w:bidi="ar-LB"/>
        </w:rPr>
        <w:t>10.1</w:t>
      </w:r>
      <w:r w:rsidRPr="00C132D3">
        <w:rPr>
          <w:rFonts w:asciiTheme="majorBidi" w:hAnsiTheme="majorBidi" w:cstheme="majorBidi"/>
          <w:sz w:val="26"/>
          <w:szCs w:val="26"/>
          <w:rtl/>
          <w:lang w:bidi="ar-LB"/>
        </w:rPr>
        <w:t xml:space="preserve"> تيراواط في عام </w:t>
      </w:r>
      <w:r w:rsidR="00D84E9B" w:rsidRPr="00AB4EDA">
        <w:rPr>
          <w:sz w:val="24"/>
          <w:szCs w:val="24"/>
          <w:lang w:bidi="ar-LB"/>
        </w:rPr>
        <w:t>2022</w:t>
      </w:r>
      <w:r w:rsidRPr="00C132D3">
        <w:rPr>
          <w:rFonts w:asciiTheme="majorBidi" w:hAnsiTheme="majorBidi" w:cstheme="majorBidi"/>
          <w:sz w:val="26"/>
          <w:szCs w:val="26"/>
          <w:rtl/>
          <w:lang w:bidi="ar-LB"/>
        </w:rPr>
        <w:t xml:space="preserve"> إلى </w:t>
      </w:r>
      <w:r w:rsidR="00D84E9B" w:rsidRPr="00AB4EDA">
        <w:rPr>
          <w:sz w:val="24"/>
          <w:szCs w:val="24"/>
          <w:lang w:bidi="ar-LB"/>
        </w:rPr>
        <w:t xml:space="preserve">39.4 </w:t>
      </w:r>
      <w:r w:rsidRPr="00C132D3">
        <w:rPr>
          <w:rFonts w:asciiTheme="majorBidi" w:hAnsiTheme="majorBidi" w:cstheme="majorBidi"/>
          <w:sz w:val="26"/>
          <w:szCs w:val="26"/>
          <w:rtl/>
          <w:lang w:bidi="ar-LB"/>
        </w:rPr>
        <w:t xml:space="preserve"> تيراواط في عام </w:t>
      </w:r>
      <w:r w:rsidR="00D84E9B" w:rsidRPr="00AB4EDA">
        <w:rPr>
          <w:sz w:val="24"/>
          <w:szCs w:val="24"/>
          <w:lang w:bidi="ar-LB"/>
        </w:rPr>
        <w:t xml:space="preserve">39.4 </w:t>
      </w:r>
      <w:r w:rsidRPr="00C132D3">
        <w:rPr>
          <w:rFonts w:asciiTheme="majorBidi" w:hAnsiTheme="majorBidi" w:cstheme="majorBidi"/>
          <w:sz w:val="26"/>
          <w:szCs w:val="26"/>
          <w:rtl/>
          <w:lang w:bidi="ar-LB"/>
        </w:rPr>
        <w:t xml:space="preserve"> في ظل سيناريو العمل كالمعتاد. ويأخذ سيناريو </w:t>
      </w:r>
      <w:r w:rsidRPr="00C132D3">
        <w:rPr>
          <w:rFonts w:asciiTheme="majorBidi" w:hAnsiTheme="majorBidi" w:cstheme="majorBidi"/>
          <w:sz w:val="26"/>
          <w:szCs w:val="26"/>
          <w:rtl/>
          <w:lang w:bidi="ar-LB"/>
        </w:rPr>
        <w:lastRenderedPageBreak/>
        <w:t xml:space="preserve">العمل كالمعتاد في الاعتبار، </w:t>
      </w:r>
      <w:r w:rsidRPr="00DD3EC2">
        <w:rPr>
          <w:rFonts w:asciiTheme="majorBidi" w:hAnsiTheme="majorBidi" w:cstheme="majorBidi"/>
          <w:i/>
          <w:iCs/>
          <w:sz w:val="26"/>
          <w:szCs w:val="26"/>
          <w:rtl/>
          <w:lang w:bidi="ar-LB"/>
        </w:rPr>
        <w:t>في جملة أمور</w:t>
      </w:r>
      <w:r w:rsidRPr="00C132D3">
        <w:rPr>
          <w:rFonts w:asciiTheme="majorBidi" w:hAnsiTheme="majorBidi" w:cstheme="majorBidi"/>
          <w:sz w:val="26"/>
          <w:szCs w:val="26"/>
          <w:rtl/>
          <w:lang w:bidi="ar-LB"/>
        </w:rPr>
        <w:t xml:space="preserve">، التنبؤات السكانية المستندة إلى تقديرات الأمم المتحدة للنمو المتوسط؛ وتوقعات الناتج المحلي الإجمالي المستندة إلى اتفاقية الأمم المتحدة الإطارية بشأن تغير المناخ - المسار الاجتماعي والاقتصادي المشترك 2 </w:t>
      </w:r>
      <w:r w:rsidR="000A2B34">
        <w:rPr>
          <w:rFonts w:asciiTheme="majorBidi" w:hAnsiTheme="majorBidi" w:cstheme="majorBidi"/>
          <w:sz w:val="26"/>
          <w:szCs w:val="26"/>
          <w:rtl/>
          <w:lang w:bidi="ar-LB"/>
        </w:rPr>
        <w:t>(</w:t>
      </w:r>
      <w:r w:rsidRPr="00C132D3">
        <w:rPr>
          <w:rFonts w:asciiTheme="majorBidi" w:hAnsiTheme="majorBidi" w:cstheme="majorBidi"/>
          <w:sz w:val="26"/>
          <w:szCs w:val="26"/>
          <w:lang w:bidi="ar-LB"/>
        </w:rPr>
        <w:t>’’</w:t>
      </w:r>
      <w:r w:rsidRPr="00C132D3">
        <w:rPr>
          <w:rFonts w:asciiTheme="majorBidi" w:hAnsiTheme="majorBidi" w:cstheme="majorBidi"/>
          <w:sz w:val="26"/>
          <w:szCs w:val="26"/>
          <w:rtl/>
          <w:lang w:bidi="ar-LB"/>
        </w:rPr>
        <w:t>منتصف الطريق‘‘)</w:t>
      </w:r>
      <w:r w:rsidRPr="00C132D3">
        <w:rPr>
          <w:rStyle w:val="FootnoteReference"/>
          <w:rFonts w:asciiTheme="majorBidi" w:hAnsiTheme="majorBidi" w:cstheme="majorBidi"/>
          <w:sz w:val="26"/>
          <w:szCs w:val="26"/>
          <w:rtl/>
          <w:lang w:bidi="ar-LB"/>
        </w:rPr>
        <w:footnoteReference w:id="16"/>
      </w:r>
      <w:r w:rsidRPr="00C132D3">
        <w:rPr>
          <w:rFonts w:asciiTheme="majorBidi" w:hAnsiTheme="majorBidi" w:cstheme="majorBidi"/>
          <w:sz w:val="26"/>
          <w:szCs w:val="26"/>
          <w:rtl/>
          <w:lang w:bidi="ar-LB"/>
        </w:rPr>
        <w:t>؛ وغير ذلك من بارامترات الاقتصاد الكلي مثل الحصول على الكهرباء وعدد الأسر المعيشية وعدد المركبات.</w:t>
      </w:r>
    </w:p>
    <w:p w14:paraId="7B5BC3D5" w14:textId="7DEE3193" w:rsidR="00A00C77" w:rsidRPr="00A00C77" w:rsidRDefault="00A00C77" w:rsidP="00A00C77">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وفي إطار </w:t>
      </w:r>
      <w:r w:rsidRPr="00C132D3">
        <w:rPr>
          <w:rFonts w:asciiTheme="majorBidi" w:hAnsiTheme="majorBidi" w:cstheme="majorBidi"/>
          <w:sz w:val="26"/>
          <w:szCs w:val="26"/>
          <w:rtl/>
          <w:lang w:bidi="ar-LB"/>
        </w:rPr>
        <w:t xml:space="preserve">سيناريو تحسين سبل الوصول الذي يأخذ في الاعتبار المعدات الإضافية (أي الحصول على ثلاجة منزلية ومكيف هواء صغير لأفقر </w:t>
      </w:r>
      <w:r w:rsidR="00D4340C" w:rsidRPr="00AB4EDA">
        <w:rPr>
          <w:sz w:val="24"/>
          <w:szCs w:val="24"/>
          <w:lang w:bidi="ar-LB"/>
        </w:rPr>
        <w:t>1</w:t>
      </w:r>
      <w:r w:rsidRPr="00C132D3">
        <w:rPr>
          <w:rFonts w:asciiTheme="majorBidi" w:hAnsiTheme="majorBidi" w:cstheme="majorBidi"/>
          <w:sz w:val="26"/>
          <w:szCs w:val="26"/>
          <w:rtl/>
          <w:lang w:bidi="ar-LB"/>
        </w:rPr>
        <w:t xml:space="preserve"> بليون أسرة معيشية)</w:t>
      </w:r>
      <w:r w:rsidRPr="00C132D3">
        <w:rPr>
          <w:rStyle w:val="FootnoteReference"/>
          <w:rFonts w:asciiTheme="majorBidi" w:hAnsiTheme="majorBidi" w:cstheme="majorBidi"/>
          <w:sz w:val="26"/>
          <w:szCs w:val="26"/>
          <w:rtl/>
          <w:lang w:bidi="ar-LB"/>
        </w:rPr>
        <w:footnoteReference w:id="17"/>
      </w:r>
      <w:r w:rsidRPr="00C132D3">
        <w:rPr>
          <w:rFonts w:asciiTheme="majorBidi" w:hAnsiTheme="majorBidi" w:cstheme="majorBidi"/>
          <w:sz w:val="26"/>
          <w:szCs w:val="26"/>
          <w:rtl/>
          <w:lang w:bidi="ar-LB"/>
        </w:rPr>
        <w:t xml:space="preserve">، يقدر الطلب على التبريد في البلدان العاملة بموجب المادة </w:t>
      </w:r>
      <w:r w:rsidR="00D4340C" w:rsidRPr="00AB4EDA">
        <w:rPr>
          <w:sz w:val="24"/>
          <w:szCs w:val="24"/>
          <w:lang w:bidi="ar-LB"/>
        </w:rPr>
        <w:t>5</w:t>
      </w:r>
      <w:r w:rsidRPr="00C132D3">
        <w:rPr>
          <w:rFonts w:asciiTheme="majorBidi" w:hAnsiTheme="majorBidi" w:cstheme="majorBidi"/>
          <w:sz w:val="26"/>
          <w:szCs w:val="26"/>
          <w:rtl/>
          <w:lang w:bidi="ar-LB"/>
        </w:rPr>
        <w:t xml:space="preserve"> في عام </w:t>
      </w:r>
      <w:r w:rsidR="00D4340C" w:rsidRPr="00AB4EDA">
        <w:rPr>
          <w:sz w:val="24"/>
          <w:szCs w:val="24"/>
          <w:lang w:bidi="ar-LB"/>
        </w:rPr>
        <w:t>2050</w:t>
      </w:r>
      <w:r w:rsidRPr="00C132D3">
        <w:rPr>
          <w:rFonts w:asciiTheme="majorBidi" w:hAnsiTheme="majorBidi" w:cstheme="majorBidi"/>
          <w:sz w:val="26"/>
          <w:szCs w:val="26"/>
          <w:rtl/>
          <w:lang w:bidi="ar-LB"/>
        </w:rPr>
        <w:t xml:space="preserve"> بنحو </w:t>
      </w:r>
      <w:r w:rsidR="00D4340C" w:rsidRPr="00AB4EDA">
        <w:rPr>
          <w:sz w:val="24"/>
          <w:szCs w:val="24"/>
          <w:lang w:bidi="ar-LB"/>
        </w:rPr>
        <w:t>43.2</w:t>
      </w:r>
      <w:r w:rsidRPr="00C132D3">
        <w:rPr>
          <w:rFonts w:asciiTheme="majorBidi" w:hAnsiTheme="majorBidi" w:cstheme="majorBidi"/>
          <w:sz w:val="26"/>
          <w:szCs w:val="26"/>
          <w:rtl/>
          <w:lang w:bidi="ar-LB"/>
        </w:rPr>
        <w:t xml:space="preserve"> تيراواط. ويترجم ذلك إلى نمو في نصيب الفرد من الطلب على التبريد من </w:t>
      </w:r>
      <w:r w:rsidR="00D4340C" w:rsidRPr="00AB4EDA">
        <w:rPr>
          <w:sz w:val="24"/>
          <w:szCs w:val="24"/>
          <w:lang w:bidi="ar-LB"/>
        </w:rPr>
        <w:t>1.5</w:t>
      </w:r>
      <w:r w:rsidRPr="00C132D3">
        <w:rPr>
          <w:rFonts w:asciiTheme="majorBidi" w:hAnsiTheme="majorBidi" w:cstheme="majorBidi"/>
          <w:sz w:val="26"/>
          <w:szCs w:val="26"/>
          <w:rtl/>
          <w:lang w:bidi="ar-LB"/>
        </w:rPr>
        <w:t xml:space="preserve"> كيلوواط في عام </w:t>
      </w:r>
      <w:r w:rsidR="00D4340C" w:rsidRPr="00AB4EDA">
        <w:rPr>
          <w:sz w:val="24"/>
          <w:szCs w:val="24"/>
          <w:lang w:bidi="ar-LB"/>
        </w:rPr>
        <w:t>2022</w:t>
      </w:r>
      <w:r w:rsidRPr="00C132D3">
        <w:rPr>
          <w:rFonts w:asciiTheme="majorBidi" w:hAnsiTheme="majorBidi" w:cstheme="majorBidi"/>
          <w:sz w:val="26"/>
          <w:szCs w:val="26"/>
          <w:rtl/>
          <w:lang w:bidi="ar-LB"/>
        </w:rPr>
        <w:t xml:space="preserve"> إلى </w:t>
      </w:r>
      <w:r w:rsidR="00D4340C" w:rsidRPr="00AB4EDA">
        <w:rPr>
          <w:sz w:val="24"/>
          <w:szCs w:val="24"/>
          <w:lang w:bidi="ar-LB"/>
        </w:rPr>
        <w:t>4.8</w:t>
      </w:r>
      <w:r w:rsidRPr="00C132D3">
        <w:rPr>
          <w:rFonts w:asciiTheme="majorBidi" w:hAnsiTheme="majorBidi" w:cstheme="majorBidi"/>
          <w:sz w:val="26"/>
          <w:szCs w:val="26"/>
          <w:rtl/>
          <w:lang w:bidi="ar-LB"/>
        </w:rPr>
        <w:t xml:space="preserve"> كيلوواط في عام </w:t>
      </w:r>
      <w:r w:rsidR="00D4340C" w:rsidRPr="00AB4EDA">
        <w:rPr>
          <w:sz w:val="24"/>
          <w:szCs w:val="24"/>
          <w:lang w:bidi="ar-LB"/>
        </w:rPr>
        <w:t>2050</w:t>
      </w:r>
      <w:r w:rsidRPr="00C132D3">
        <w:rPr>
          <w:rFonts w:asciiTheme="majorBidi" w:hAnsiTheme="majorBidi" w:cstheme="majorBidi"/>
          <w:sz w:val="26"/>
          <w:szCs w:val="26"/>
          <w:rtl/>
          <w:lang w:bidi="ar-LB"/>
        </w:rPr>
        <w:t xml:space="preserve">. ومن المتوقع أن يبلغ مضاعف النمو (أي نسبة الطلب على التبريد في عام </w:t>
      </w:r>
      <w:r w:rsidR="00324411" w:rsidRPr="00AB4EDA">
        <w:rPr>
          <w:sz w:val="24"/>
          <w:szCs w:val="24"/>
          <w:lang w:bidi="ar-LB"/>
        </w:rPr>
        <w:t>2050</w:t>
      </w:r>
      <w:r w:rsidRPr="00C132D3">
        <w:rPr>
          <w:rFonts w:asciiTheme="majorBidi" w:hAnsiTheme="majorBidi" w:cstheme="majorBidi"/>
          <w:sz w:val="26"/>
          <w:szCs w:val="26"/>
          <w:rtl/>
          <w:lang w:bidi="ar-LB"/>
        </w:rPr>
        <w:t xml:space="preserve"> (سيناريو العمل كالمعتاد) مقارنة بعام </w:t>
      </w:r>
      <w:r w:rsidR="00324411" w:rsidRPr="00AB4EDA">
        <w:rPr>
          <w:sz w:val="24"/>
          <w:szCs w:val="24"/>
          <w:lang w:bidi="ar-LB"/>
        </w:rPr>
        <w:t>2022</w:t>
      </w:r>
      <w:r w:rsidRPr="00C132D3">
        <w:rPr>
          <w:rFonts w:asciiTheme="majorBidi" w:hAnsiTheme="majorBidi" w:cstheme="majorBidi"/>
          <w:sz w:val="26"/>
          <w:szCs w:val="26"/>
          <w:rtl/>
          <w:lang w:bidi="ar-LB"/>
        </w:rPr>
        <w:t>) أعلاه في بلدان أفريقيا ومنطقة آسيا والمحيط الهادئ تليها منطقتا أمريكا اللاتينية والبحر الكاريبي وأوروبا الشرقية.</w:t>
      </w:r>
    </w:p>
    <w:p w14:paraId="163E5FD2" w14:textId="2DDBB82C" w:rsidR="00A00C77" w:rsidRPr="00931384" w:rsidRDefault="00A00C77" w:rsidP="00A00C77">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ومن المتوقع </w:t>
      </w:r>
      <w:r w:rsidRPr="00C132D3">
        <w:rPr>
          <w:rFonts w:asciiTheme="majorBidi" w:hAnsiTheme="majorBidi" w:cstheme="majorBidi"/>
          <w:sz w:val="26"/>
          <w:szCs w:val="26"/>
          <w:rtl/>
          <w:lang w:bidi="ar-LB"/>
        </w:rPr>
        <w:t xml:space="preserve">أن تنمو انبعاثات غازات الدفيئة السنوية من معدات التبريد المستخدمة في البلدان العاملة بموجب المادة </w:t>
      </w:r>
      <w:r w:rsidR="00324411" w:rsidRPr="00AB4EDA">
        <w:rPr>
          <w:sz w:val="24"/>
          <w:szCs w:val="24"/>
          <w:lang w:bidi="ar-LB"/>
        </w:rPr>
        <w:t>5</w:t>
      </w:r>
      <w:r w:rsidRPr="00C132D3">
        <w:rPr>
          <w:rFonts w:asciiTheme="majorBidi" w:hAnsiTheme="majorBidi" w:cstheme="majorBidi"/>
          <w:sz w:val="26"/>
          <w:szCs w:val="26"/>
          <w:rtl/>
          <w:lang w:bidi="ar-LB"/>
        </w:rPr>
        <w:t xml:space="preserve"> من </w:t>
      </w:r>
      <w:r w:rsidR="00324411" w:rsidRPr="00AB4EDA">
        <w:rPr>
          <w:sz w:val="24"/>
          <w:szCs w:val="24"/>
          <w:lang w:bidi="ar-LB"/>
        </w:rPr>
        <w:t>2.70</w:t>
      </w:r>
      <w:r w:rsidRPr="00C132D3">
        <w:rPr>
          <w:rFonts w:asciiTheme="majorBidi" w:hAnsiTheme="majorBidi" w:cstheme="majorBidi"/>
          <w:sz w:val="26"/>
          <w:szCs w:val="26"/>
          <w:rtl/>
          <w:lang w:bidi="ar-LB"/>
        </w:rPr>
        <w:t xml:space="preserve"> بليون طن من مكافئ ثاني أكسيد الكربون في عام </w:t>
      </w:r>
      <w:r w:rsidR="00324411" w:rsidRPr="00AB4EDA">
        <w:rPr>
          <w:sz w:val="24"/>
          <w:szCs w:val="24"/>
          <w:lang w:bidi="ar-LB"/>
        </w:rPr>
        <w:t>2022</w:t>
      </w:r>
      <w:r w:rsidRPr="00C132D3">
        <w:rPr>
          <w:rFonts w:asciiTheme="majorBidi" w:hAnsiTheme="majorBidi" w:cstheme="majorBidi"/>
          <w:sz w:val="26"/>
          <w:szCs w:val="26"/>
          <w:rtl/>
          <w:lang w:bidi="ar-LB"/>
        </w:rPr>
        <w:t xml:space="preserve"> إلى </w:t>
      </w:r>
      <w:r w:rsidR="00324411" w:rsidRPr="00AB4EDA">
        <w:rPr>
          <w:sz w:val="24"/>
          <w:szCs w:val="24"/>
          <w:lang w:bidi="ar-LB"/>
        </w:rPr>
        <w:t>7.47</w:t>
      </w:r>
      <w:r w:rsidRPr="00C132D3">
        <w:rPr>
          <w:rFonts w:asciiTheme="majorBidi" w:hAnsiTheme="majorBidi" w:cstheme="majorBidi"/>
          <w:sz w:val="26"/>
          <w:szCs w:val="26"/>
          <w:rtl/>
          <w:lang w:bidi="ar-LB"/>
        </w:rPr>
        <w:t xml:space="preserve"> بلايين طن من مكافئ ثاني أكسيد الكربون في ظل النمو وفقاً لسيناريو العمل كالمعتاد و </w:t>
      </w:r>
      <w:r w:rsidR="00324411" w:rsidRPr="00AB4EDA">
        <w:rPr>
          <w:sz w:val="24"/>
          <w:szCs w:val="24"/>
          <w:lang w:bidi="ar-LB"/>
        </w:rPr>
        <w:t>8.15</w:t>
      </w:r>
      <w:r w:rsidR="00324411">
        <w:rPr>
          <w:sz w:val="24"/>
          <w:szCs w:val="24"/>
          <w:rtl/>
          <w:lang w:bidi="ar-LB"/>
        </w:rPr>
        <w:t xml:space="preserve"> </w:t>
      </w:r>
      <w:r w:rsidRPr="00C132D3">
        <w:rPr>
          <w:rFonts w:asciiTheme="majorBidi" w:hAnsiTheme="majorBidi" w:cstheme="majorBidi"/>
          <w:sz w:val="26"/>
          <w:szCs w:val="26"/>
          <w:rtl/>
          <w:lang w:bidi="ar-LB"/>
        </w:rPr>
        <w:t xml:space="preserve">بلايين طن من مكافئ ثاني أكسيد الكربون في ظل النمو وفقاً لسيناريو تحسين سبل الوصول، على التوالي، في عام </w:t>
      </w:r>
      <w:r w:rsidR="00324411" w:rsidRPr="00AB4EDA">
        <w:rPr>
          <w:sz w:val="24"/>
          <w:szCs w:val="24"/>
          <w:lang w:bidi="ar-LB"/>
        </w:rPr>
        <w:t>2050</w:t>
      </w:r>
      <w:r>
        <w:rPr>
          <w:rFonts w:asciiTheme="majorBidi" w:hAnsiTheme="majorBidi" w:cstheme="majorBidi"/>
          <w:sz w:val="26"/>
          <w:szCs w:val="26"/>
          <w:rtl/>
          <w:lang w:bidi="ar-LB"/>
        </w:rPr>
        <w:t>.</w:t>
      </w:r>
    </w:p>
    <w:p w14:paraId="61E8FF92" w14:textId="210FF61C" w:rsidR="00931384" w:rsidRPr="00F7480C" w:rsidRDefault="00931384" w:rsidP="00931384">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sz w:val="26"/>
          <w:szCs w:val="26"/>
          <w:u w:val="single"/>
          <w:rtl/>
          <w:lang w:bidi="ar-LB"/>
        </w:rPr>
        <w:t>التدخلات الممكنة للحد من انبعاثات غازات الدفيئة</w:t>
      </w:r>
    </w:p>
    <w:p w14:paraId="5A2A7F50" w14:textId="1F49707D" w:rsidR="00F7480C" w:rsidRPr="00931384"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يتضمن </w:t>
      </w:r>
      <w:r w:rsidRPr="00C132D3">
        <w:rPr>
          <w:rFonts w:asciiTheme="majorBidi" w:hAnsiTheme="majorBidi" w:cstheme="majorBidi"/>
          <w:sz w:val="26"/>
          <w:szCs w:val="26"/>
          <w:rtl/>
          <w:lang w:bidi="ar-LB"/>
        </w:rPr>
        <w:t>تقرير</w:t>
      </w:r>
      <w:r w:rsidR="009A0292">
        <w:rPr>
          <w:rFonts w:asciiTheme="majorBidi" w:hAnsiTheme="majorBidi" w:cstheme="majorBidi"/>
          <w:sz w:val="26"/>
          <w:szCs w:val="26"/>
          <w:rtl/>
          <w:lang w:bidi="ar-LB"/>
        </w:rPr>
        <w:t xml:space="preserve"> الرصد العالمي للتبريد لعام</w:t>
      </w:r>
      <w:r w:rsidRPr="00C132D3">
        <w:rPr>
          <w:rFonts w:asciiTheme="majorBidi" w:hAnsiTheme="majorBidi" w:cstheme="majorBidi"/>
          <w:sz w:val="26"/>
          <w:szCs w:val="26"/>
          <w:rtl/>
          <w:lang w:bidi="ar-LB"/>
        </w:rPr>
        <w:t xml:space="preserve"> </w:t>
      </w:r>
      <w:r w:rsidR="009A0292" w:rsidRPr="00AB4EDA">
        <w:rPr>
          <w:sz w:val="24"/>
          <w:szCs w:val="24"/>
          <w:lang w:bidi="ar-LB"/>
        </w:rPr>
        <w:t>2023</w:t>
      </w:r>
      <w:r w:rsidRPr="00C132D3">
        <w:rPr>
          <w:rFonts w:asciiTheme="majorBidi" w:hAnsiTheme="majorBidi" w:cstheme="majorBidi"/>
          <w:sz w:val="26"/>
          <w:szCs w:val="26"/>
          <w:rtl/>
          <w:lang w:bidi="ar-LB"/>
        </w:rPr>
        <w:t xml:space="preserve"> تقديرات لتأثير التدخلات المختلفة على مستويات انبعاثات غازات الدفيئة في عام </w:t>
      </w:r>
      <w:r w:rsidR="009A0292" w:rsidRPr="00AB4EDA">
        <w:rPr>
          <w:sz w:val="24"/>
          <w:szCs w:val="24"/>
          <w:lang w:bidi="ar-LB"/>
        </w:rPr>
        <w:t>2050</w:t>
      </w:r>
      <w:r w:rsidRPr="00C132D3">
        <w:rPr>
          <w:rFonts w:asciiTheme="majorBidi" w:hAnsiTheme="majorBidi" w:cstheme="majorBidi"/>
          <w:sz w:val="26"/>
          <w:szCs w:val="26"/>
          <w:rtl/>
          <w:lang w:bidi="ar-LB"/>
        </w:rPr>
        <w:t xml:space="preserve"> من جميع البلدان. ويعرض الجدول </w:t>
      </w:r>
      <w:r w:rsidR="009A0292" w:rsidRPr="00AB4EDA">
        <w:rPr>
          <w:sz w:val="24"/>
          <w:szCs w:val="24"/>
          <w:lang w:bidi="ar-LB"/>
        </w:rPr>
        <w:t>1</w:t>
      </w:r>
      <w:r w:rsidRPr="00C132D3">
        <w:rPr>
          <w:rFonts w:asciiTheme="majorBidi" w:hAnsiTheme="majorBidi" w:cstheme="majorBidi"/>
          <w:sz w:val="26"/>
          <w:szCs w:val="26"/>
          <w:rtl/>
          <w:lang w:bidi="ar-LB"/>
        </w:rPr>
        <w:t xml:space="preserve"> معلومات عن تقديرات الأثر الذي تحدثه مختلف السياسات في البلدان العاملة بموجب المادة </w:t>
      </w:r>
      <w:r w:rsidR="009A0292" w:rsidRPr="00AB4EDA">
        <w:rPr>
          <w:sz w:val="24"/>
          <w:szCs w:val="24"/>
          <w:lang w:bidi="ar-LB"/>
        </w:rPr>
        <w:t>5</w:t>
      </w:r>
      <w:r w:rsidRPr="00C132D3">
        <w:rPr>
          <w:rFonts w:asciiTheme="majorBidi" w:hAnsiTheme="majorBidi" w:cstheme="majorBidi"/>
          <w:sz w:val="26"/>
          <w:szCs w:val="26"/>
          <w:rtl/>
          <w:lang w:bidi="ar-LB"/>
        </w:rPr>
        <w:t xml:space="preserve"> على الانبعاثات. ويتبيَّن من التقديرات الواردة في التقرير أن التدخلات المختلفة يمكن أن تقلّل انبعاثات غازات الدفيئة المباشرة وغير المباشرة المرتبطة بالتبريد في عام </w:t>
      </w:r>
      <w:r w:rsidR="00121B3B" w:rsidRPr="00AB4EDA">
        <w:rPr>
          <w:sz w:val="24"/>
          <w:szCs w:val="24"/>
          <w:lang w:bidi="ar-LB"/>
        </w:rPr>
        <w:t>2050</w:t>
      </w:r>
      <w:r w:rsidRPr="00C132D3">
        <w:rPr>
          <w:rFonts w:asciiTheme="majorBidi" w:hAnsiTheme="majorBidi" w:cstheme="majorBidi"/>
          <w:sz w:val="26"/>
          <w:szCs w:val="26"/>
          <w:rtl/>
          <w:lang w:bidi="ar-LB"/>
        </w:rPr>
        <w:t xml:space="preserve"> من </w:t>
      </w:r>
      <w:r w:rsidR="00121B3B" w:rsidRPr="00AB4EDA">
        <w:rPr>
          <w:sz w:val="24"/>
          <w:szCs w:val="24"/>
          <w:lang w:bidi="ar-LB"/>
        </w:rPr>
        <w:t>8.15</w:t>
      </w:r>
      <w:r w:rsidRPr="00C132D3">
        <w:rPr>
          <w:rFonts w:asciiTheme="majorBidi" w:hAnsiTheme="majorBidi" w:cstheme="majorBidi"/>
          <w:sz w:val="26"/>
          <w:szCs w:val="26"/>
          <w:rtl/>
          <w:lang w:bidi="ar-LB"/>
        </w:rPr>
        <w:t xml:space="preserve"> بلايين طن من مكافئ ثاني أكسيد الكربون إلى </w:t>
      </w:r>
      <w:r w:rsidR="00121B3B" w:rsidRPr="00AB4EDA">
        <w:rPr>
          <w:sz w:val="24"/>
          <w:szCs w:val="24"/>
          <w:lang w:bidi="ar-LB"/>
        </w:rPr>
        <w:t>2.11</w:t>
      </w:r>
      <w:r w:rsidRPr="00C132D3">
        <w:rPr>
          <w:rFonts w:asciiTheme="majorBidi" w:hAnsiTheme="majorBidi" w:cstheme="majorBidi"/>
          <w:sz w:val="26"/>
          <w:szCs w:val="26"/>
          <w:rtl/>
          <w:lang w:bidi="ar-LB"/>
        </w:rPr>
        <w:t xml:space="preserve"> بليون طن من مكافئ ثاني أكسيد الكربون</w:t>
      </w:r>
      <w:r w:rsidRPr="00C132D3">
        <w:rPr>
          <w:rStyle w:val="FootnoteReference"/>
          <w:rFonts w:asciiTheme="majorBidi" w:hAnsiTheme="majorBidi" w:cstheme="majorBidi"/>
          <w:sz w:val="26"/>
          <w:szCs w:val="26"/>
          <w:rtl/>
          <w:lang w:bidi="ar-LB"/>
        </w:rPr>
        <w:footnoteReference w:id="18"/>
      </w:r>
      <w:r w:rsidRPr="00C132D3">
        <w:rPr>
          <w:rFonts w:asciiTheme="majorBidi" w:hAnsiTheme="majorBidi" w:cstheme="majorBidi"/>
          <w:sz w:val="26"/>
          <w:szCs w:val="26"/>
          <w:rtl/>
          <w:lang w:bidi="ar-LB"/>
        </w:rPr>
        <w:t>.</w:t>
      </w:r>
    </w:p>
    <w:p w14:paraId="02843370" w14:textId="741F17B4" w:rsidR="00931384" w:rsidRPr="00893A93" w:rsidRDefault="00931384" w:rsidP="00931384">
      <w:pPr>
        <w:pStyle w:val="StyleHeader4Para4Left0Firstline0"/>
        <w:widowControl/>
        <w:numPr>
          <w:ilvl w:val="0"/>
          <w:numId w:val="0"/>
        </w:numPr>
        <w:tabs>
          <w:tab w:val="clear" w:pos="2880"/>
          <w:tab w:val="clear" w:pos="5760"/>
          <w:tab w:val="left" w:pos="713"/>
        </w:tabs>
        <w:bidi/>
        <w:spacing w:after="120" w:line="360" w:lineRule="exact"/>
        <w:rPr>
          <w:rFonts w:asciiTheme="majorBidi" w:hAnsiTheme="majorBidi" w:cstheme="majorBidi"/>
          <w:sz w:val="24"/>
          <w:szCs w:val="24"/>
          <w:rtl/>
          <w:lang w:bidi="ar-LB"/>
        </w:rPr>
      </w:pPr>
      <w:r w:rsidRPr="00893A93">
        <w:rPr>
          <w:rFonts w:asciiTheme="majorBidi" w:hAnsiTheme="majorBidi" w:cstheme="majorBidi"/>
          <w:b/>
          <w:bCs/>
          <w:sz w:val="24"/>
          <w:szCs w:val="24"/>
          <w:rtl/>
          <w:lang w:bidi="ar-LB"/>
        </w:rPr>
        <w:t xml:space="preserve">الجدول </w:t>
      </w:r>
      <w:r w:rsidR="00121B3B" w:rsidRPr="00893A93">
        <w:rPr>
          <w:rFonts w:asciiTheme="majorBidi" w:hAnsiTheme="majorBidi" w:cstheme="majorBidi"/>
          <w:b/>
          <w:sz w:val="24"/>
          <w:szCs w:val="24"/>
          <w:lang w:bidi="ar-LB"/>
        </w:rPr>
        <w:t>1</w:t>
      </w:r>
      <w:r w:rsidRPr="00893A93">
        <w:rPr>
          <w:rFonts w:asciiTheme="majorBidi" w:hAnsiTheme="majorBidi" w:cstheme="majorBidi"/>
          <w:b/>
          <w:bCs/>
          <w:sz w:val="24"/>
          <w:szCs w:val="24"/>
          <w:rtl/>
          <w:lang w:bidi="ar-LB"/>
        </w:rPr>
        <w:t xml:space="preserve"> -</w:t>
      </w:r>
      <w:r w:rsidRPr="00893A93">
        <w:rPr>
          <w:rFonts w:asciiTheme="majorBidi" w:hAnsiTheme="majorBidi" w:cstheme="majorBidi"/>
          <w:bCs/>
          <w:sz w:val="24"/>
          <w:szCs w:val="24"/>
          <w:rtl/>
          <w:lang w:bidi="ar-LB"/>
        </w:rPr>
        <w:t xml:space="preserve"> </w:t>
      </w:r>
      <w:r w:rsidRPr="00893A93">
        <w:rPr>
          <w:rFonts w:asciiTheme="majorBidi" w:hAnsiTheme="majorBidi" w:cstheme="majorBidi"/>
          <w:b/>
          <w:bCs/>
          <w:sz w:val="24"/>
          <w:szCs w:val="24"/>
          <w:rtl/>
          <w:lang w:bidi="ar-LB"/>
        </w:rPr>
        <w:t xml:space="preserve">أثر التدخلات الرامية لتحقيق التبريد المستدام في البلدان العاملة بموجب المادة </w:t>
      </w:r>
      <w:r w:rsidR="00121B3B" w:rsidRPr="00893A93">
        <w:rPr>
          <w:rFonts w:asciiTheme="majorBidi" w:hAnsiTheme="majorBidi" w:cstheme="majorBidi"/>
          <w:b/>
          <w:sz w:val="24"/>
          <w:szCs w:val="24"/>
          <w:lang w:bidi="ar-LB"/>
        </w:rPr>
        <w:t>5</w:t>
      </w:r>
      <w:r w:rsidRPr="00893A93">
        <w:rPr>
          <w:rFonts w:asciiTheme="majorBidi" w:hAnsiTheme="majorBidi" w:cstheme="majorBidi"/>
          <w:b/>
          <w:bCs/>
          <w:sz w:val="24"/>
          <w:szCs w:val="24"/>
          <w:rtl/>
          <w:lang w:bidi="ar-LB"/>
        </w:rPr>
        <w:t xml:space="preserve"> على الانبعاثات المباشرة وغير المباشرة في عام </w:t>
      </w:r>
      <w:r w:rsidR="00121B3B" w:rsidRPr="00893A93">
        <w:rPr>
          <w:rFonts w:asciiTheme="majorBidi" w:hAnsiTheme="majorBidi" w:cstheme="majorBidi"/>
          <w:b/>
          <w:sz w:val="24"/>
          <w:szCs w:val="24"/>
          <w:lang w:bidi="ar-LB"/>
        </w:rPr>
        <w:t>2050</w:t>
      </w:r>
      <w:r w:rsidRPr="00893A93">
        <w:rPr>
          <w:rFonts w:asciiTheme="majorBidi" w:hAnsiTheme="majorBidi" w:cstheme="majorBidi"/>
          <w:b/>
          <w:bCs/>
          <w:sz w:val="24"/>
          <w:szCs w:val="24"/>
          <w:rtl/>
          <w:lang w:bidi="ar-LB"/>
        </w:rPr>
        <w:t xml:space="preserve"> </w:t>
      </w:r>
      <w:r w:rsidRPr="00893A93">
        <w:rPr>
          <w:rStyle w:val="FootnoteReference"/>
          <w:rFonts w:asciiTheme="majorBidi" w:hAnsiTheme="majorBidi" w:cstheme="majorBidi"/>
          <w:b/>
          <w:bCs/>
          <w:sz w:val="24"/>
          <w:szCs w:val="24"/>
          <w:rtl/>
          <w:lang w:bidi="ar-LB"/>
        </w:rPr>
        <w:footnoteReference w:id="19"/>
      </w:r>
      <w:r w:rsidRPr="00893A93">
        <w:rPr>
          <w:rFonts w:asciiTheme="majorBidi" w:hAnsiTheme="majorBidi" w:cstheme="majorBidi"/>
          <w:b/>
          <w:bCs/>
          <w:sz w:val="24"/>
          <w:szCs w:val="24"/>
          <w:rtl/>
          <w:lang w:bidi="ar-LB"/>
        </w:rPr>
        <w:t>في إطار النمو وفقاً لسيناريو تحسين سبل الوصول</w:t>
      </w:r>
    </w:p>
    <w:tbl>
      <w:tblPr>
        <w:bidiVisual/>
        <w:tblW w:w="9360" w:type="dxa"/>
        <w:tblInd w:w="-5" w:type="dxa"/>
        <w:tblLayout w:type="fixed"/>
        <w:tblLook w:val="04A0" w:firstRow="1" w:lastRow="0" w:firstColumn="1" w:lastColumn="0" w:noHBand="0" w:noVBand="1"/>
      </w:tblPr>
      <w:tblGrid>
        <w:gridCol w:w="3690"/>
        <w:gridCol w:w="1890"/>
        <w:gridCol w:w="1890"/>
        <w:gridCol w:w="1890"/>
      </w:tblGrid>
      <w:tr w:rsidR="00FC21BD" w:rsidRPr="00642AEE" w14:paraId="3E0FA7B1" w14:textId="77777777" w:rsidTr="00FC21BD">
        <w:trPr>
          <w:trHeight w:val="290"/>
          <w:tblHeader/>
        </w:trPr>
        <w:tc>
          <w:tcPr>
            <w:tcW w:w="3690" w:type="dxa"/>
            <w:tcBorders>
              <w:top w:val="single" w:sz="4" w:space="0" w:color="auto"/>
              <w:left w:val="single" w:sz="4" w:space="0" w:color="auto"/>
              <w:bottom w:val="single" w:sz="4" w:space="0" w:color="auto"/>
              <w:right w:val="single" w:sz="4" w:space="0" w:color="auto"/>
            </w:tcBorders>
            <w:vAlign w:val="center"/>
          </w:tcPr>
          <w:p w14:paraId="4F7D6E81" w14:textId="6E38F204" w:rsidR="00FC21BD" w:rsidRPr="00642AEE" w:rsidRDefault="00FC21BD" w:rsidP="00FC21BD">
            <w:pPr>
              <w:bidi/>
              <w:jc w:val="left"/>
              <w:rPr>
                <w:rFonts w:asciiTheme="majorBidi" w:hAnsiTheme="majorBidi" w:cstheme="majorBidi"/>
                <w:b/>
                <w:bCs/>
                <w:sz w:val="20"/>
                <w:lang w:eastAsia="en-CA" w:bidi="ar-LB"/>
              </w:rPr>
            </w:pPr>
            <w:r w:rsidRPr="00552920">
              <w:rPr>
                <w:rFonts w:asciiTheme="majorBidi" w:hAnsiTheme="majorBidi" w:cstheme="majorBidi"/>
                <w:b/>
                <w:bCs/>
                <w:sz w:val="22"/>
                <w:szCs w:val="22"/>
                <w:rtl/>
                <w:lang w:bidi="ar-LB"/>
              </w:rPr>
              <w:t>التدخلات</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667EE3AA" w14:textId="0187FC42" w:rsidR="00FC21BD" w:rsidRPr="00642AEE" w:rsidRDefault="00FC21BD" w:rsidP="00FC21BD">
            <w:pPr>
              <w:bidi/>
              <w:jc w:val="center"/>
              <w:rPr>
                <w:rFonts w:asciiTheme="majorBidi" w:hAnsiTheme="majorBidi" w:cstheme="majorBidi"/>
                <w:b/>
                <w:bCs/>
                <w:sz w:val="20"/>
                <w:lang w:eastAsia="en-CA" w:bidi="ar-LB"/>
              </w:rPr>
            </w:pPr>
            <w:r w:rsidRPr="00552920">
              <w:rPr>
                <w:rFonts w:asciiTheme="majorBidi" w:hAnsiTheme="majorBidi" w:cstheme="majorBidi"/>
                <w:b/>
                <w:bCs/>
                <w:sz w:val="22"/>
                <w:szCs w:val="22"/>
                <w:rtl/>
                <w:lang w:bidi="ar-LB"/>
              </w:rPr>
              <w:t xml:space="preserve">إجمالي الانبعاثات في عام </w:t>
            </w:r>
            <w:r w:rsidRPr="00642AEE">
              <w:rPr>
                <w:rFonts w:asciiTheme="majorBidi" w:hAnsiTheme="majorBidi" w:cstheme="majorBidi"/>
                <w:b/>
                <w:bCs/>
                <w:sz w:val="20"/>
                <w:lang w:eastAsia="en-CA" w:bidi="ar-LB"/>
              </w:rPr>
              <w:t>2050</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2CF0E798" w14:textId="4AF17401" w:rsidR="00FC21BD" w:rsidRPr="00642AEE" w:rsidRDefault="00FC21BD" w:rsidP="00FC21BD">
            <w:pPr>
              <w:bidi/>
              <w:jc w:val="center"/>
              <w:rPr>
                <w:rFonts w:asciiTheme="majorBidi" w:hAnsiTheme="majorBidi" w:cstheme="majorBidi"/>
                <w:b/>
                <w:bCs/>
                <w:sz w:val="20"/>
                <w:lang w:eastAsia="en-CA" w:bidi="ar-LB"/>
              </w:rPr>
            </w:pPr>
            <w:r w:rsidRPr="00552920">
              <w:rPr>
                <w:rFonts w:asciiTheme="majorBidi" w:hAnsiTheme="majorBidi" w:cstheme="majorBidi"/>
                <w:b/>
                <w:bCs/>
                <w:sz w:val="22"/>
                <w:szCs w:val="22"/>
                <w:rtl/>
                <w:lang w:bidi="ar-LB"/>
              </w:rPr>
              <w:t>انبعاثات غازات التبريد المباشرة</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30F18F35" w14:textId="0202FC35" w:rsidR="00FC21BD" w:rsidRPr="00642AEE" w:rsidRDefault="00FC21BD" w:rsidP="00FC21BD">
            <w:pPr>
              <w:bidi/>
              <w:jc w:val="center"/>
              <w:rPr>
                <w:rFonts w:asciiTheme="majorBidi" w:hAnsiTheme="majorBidi" w:cstheme="majorBidi"/>
                <w:b/>
                <w:bCs/>
                <w:sz w:val="20"/>
                <w:lang w:eastAsia="en-CA" w:bidi="ar-LB"/>
              </w:rPr>
            </w:pPr>
            <w:r w:rsidRPr="00552920">
              <w:rPr>
                <w:rFonts w:asciiTheme="majorBidi" w:hAnsiTheme="majorBidi" w:cstheme="majorBidi"/>
                <w:b/>
                <w:bCs/>
                <w:sz w:val="22"/>
                <w:szCs w:val="22"/>
                <w:rtl/>
                <w:lang w:bidi="ar-LB"/>
              </w:rPr>
              <w:t>انبعاثات الطاقة غير المباشرة</w:t>
            </w:r>
          </w:p>
        </w:tc>
      </w:tr>
      <w:tr w:rsidR="002208B8" w:rsidRPr="00642AEE" w14:paraId="4CA50597" w14:textId="77777777" w:rsidTr="00FC21BD">
        <w:trPr>
          <w:trHeight w:val="238"/>
          <w:tblHeader/>
        </w:trPr>
        <w:tc>
          <w:tcPr>
            <w:tcW w:w="3690" w:type="dxa"/>
            <w:tcBorders>
              <w:top w:val="single" w:sz="4" w:space="0" w:color="auto"/>
              <w:left w:val="single" w:sz="4" w:space="0" w:color="auto"/>
              <w:bottom w:val="single" w:sz="4" w:space="0" w:color="auto"/>
              <w:right w:val="single" w:sz="4" w:space="0" w:color="auto"/>
            </w:tcBorders>
            <w:vAlign w:val="bottom"/>
          </w:tcPr>
          <w:p w14:paraId="55CA979E" w14:textId="77777777" w:rsidR="002208B8" w:rsidRPr="00642AEE" w:rsidRDefault="002208B8" w:rsidP="002208B8">
            <w:pPr>
              <w:bidi/>
              <w:jc w:val="left"/>
              <w:rPr>
                <w:rFonts w:asciiTheme="majorBidi" w:hAnsiTheme="majorBidi" w:cstheme="majorBidi"/>
                <w:b/>
                <w:bCs/>
                <w:sz w:val="20"/>
                <w:lang w:eastAsia="en-CA" w:bidi="ar-LB"/>
              </w:rPr>
            </w:pPr>
          </w:p>
        </w:tc>
        <w:tc>
          <w:tcPr>
            <w:tcW w:w="5670" w:type="dxa"/>
            <w:gridSpan w:val="3"/>
            <w:tcBorders>
              <w:top w:val="single" w:sz="4" w:space="0" w:color="auto"/>
              <w:left w:val="nil"/>
              <w:bottom w:val="single" w:sz="4" w:space="0" w:color="auto"/>
              <w:right w:val="single" w:sz="4" w:space="0" w:color="auto"/>
            </w:tcBorders>
            <w:shd w:val="clear" w:color="auto" w:fill="auto"/>
            <w:noWrap/>
            <w:vAlign w:val="bottom"/>
          </w:tcPr>
          <w:p w14:paraId="2F32D869" w14:textId="7E48FF10" w:rsidR="002208B8" w:rsidRPr="00893A93" w:rsidRDefault="002208B8" w:rsidP="002208B8">
            <w:pPr>
              <w:bidi/>
              <w:jc w:val="center"/>
              <w:rPr>
                <w:rFonts w:asciiTheme="majorBidi" w:hAnsiTheme="majorBidi" w:cstheme="majorBidi"/>
                <w:b/>
                <w:bCs/>
                <w:sz w:val="20"/>
                <w:lang w:eastAsia="en-CA" w:bidi="ar-LB"/>
              </w:rPr>
            </w:pPr>
            <w:r w:rsidRPr="00893A93">
              <w:rPr>
                <w:rFonts w:asciiTheme="majorBidi" w:hAnsiTheme="majorBidi" w:cstheme="majorBidi"/>
                <w:b/>
                <w:bCs/>
                <w:sz w:val="20"/>
                <w:rtl/>
                <w:lang w:bidi="ar-LB"/>
              </w:rPr>
              <w:t>بليون طن من مكافئ ثاني أكسيد الكربون</w:t>
            </w:r>
          </w:p>
        </w:tc>
      </w:tr>
      <w:tr w:rsidR="002208B8" w:rsidRPr="00642AEE" w14:paraId="4742FB8B" w14:textId="77777777" w:rsidTr="00FC21BD">
        <w:trPr>
          <w:trHeight w:val="238"/>
        </w:trPr>
        <w:tc>
          <w:tcPr>
            <w:tcW w:w="3690" w:type="dxa"/>
            <w:tcBorders>
              <w:top w:val="single" w:sz="4" w:space="0" w:color="auto"/>
              <w:left w:val="single" w:sz="4" w:space="0" w:color="auto"/>
              <w:bottom w:val="single" w:sz="4" w:space="0" w:color="auto"/>
              <w:right w:val="single" w:sz="4" w:space="0" w:color="auto"/>
            </w:tcBorders>
            <w:vAlign w:val="bottom"/>
          </w:tcPr>
          <w:p w14:paraId="7B3B20F5" w14:textId="19A977D2" w:rsidR="002208B8" w:rsidRPr="00642AEE" w:rsidRDefault="002208B8" w:rsidP="002208B8">
            <w:pPr>
              <w:bidi/>
              <w:jc w:val="left"/>
              <w:rPr>
                <w:rFonts w:asciiTheme="majorBidi" w:hAnsiTheme="majorBidi" w:cstheme="majorBidi"/>
                <w:sz w:val="20"/>
                <w:lang w:eastAsia="en-CA" w:bidi="ar-LB"/>
              </w:rPr>
            </w:pPr>
            <w:r w:rsidRPr="00552920">
              <w:rPr>
                <w:rFonts w:asciiTheme="majorBidi" w:hAnsiTheme="majorBidi" w:cstheme="majorBidi"/>
                <w:sz w:val="22"/>
                <w:szCs w:val="22"/>
                <w:rtl/>
                <w:lang w:bidi="ar-LB"/>
              </w:rPr>
              <w:t>عدم اتخاذ تدابير السياسة العامة</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7AF53FFA" w14:textId="77777777" w:rsidR="002208B8" w:rsidRPr="00642AEE" w:rsidRDefault="002208B8" w:rsidP="002208B8">
            <w:pPr>
              <w:jc w:val="right"/>
              <w:rPr>
                <w:rFonts w:asciiTheme="majorBidi" w:hAnsiTheme="majorBidi" w:cstheme="majorBidi"/>
                <w:sz w:val="20"/>
                <w:lang w:eastAsia="en-CA" w:bidi="ar-LB"/>
              </w:rPr>
            </w:pPr>
            <w:bookmarkStart w:id="0" w:name="_Hlk164186748"/>
            <w:r w:rsidRPr="00642AEE">
              <w:rPr>
                <w:rFonts w:asciiTheme="majorBidi" w:hAnsiTheme="majorBidi" w:cstheme="majorBidi"/>
                <w:sz w:val="20"/>
                <w:lang w:eastAsia="en-CA" w:bidi="ar-LB"/>
              </w:rPr>
              <w:t>8.15</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2DA44AE3"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1.22</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12D9C40E"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6.93</w:t>
            </w:r>
          </w:p>
        </w:tc>
      </w:tr>
      <w:tr w:rsidR="002208B8" w:rsidRPr="00642AEE" w14:paraId="66768B84" w14:textId="77777777" w:rsidTr="00FC21BD">
        <w:trPr>
          <w:trHeight w:val="238"/>
        </w:trPr>
        <w:tc>
          <w:tcPr>
            <w:tcW w:w="3690" w:type="dxa"/>
            <w:tcBorders>
              <w:top w:val="nil"/>
              <w:left w:val="single" w:sz="4" w:space="0" w:color="auto"/>
              <w:bottom w:val="single" w:sz="4" w:space="0" w:color="auto"/>
              <w:right w:val="single" w:sz="4" w:space="0" w:color="auto"/>
            </w:tcBorders>
            <w:vAlign w:val="bottom"/>
          </w:tcPr>
          <w:p w14:paraId="2340D61D" w14:textId="15666A37" w:rsidR="002208B8" w:rsidRPr="00642AEE" w:rsidRDefault="002208B8" w:rsidP="002208B8">
            <w:pPr>
              <w:bidi/>
              <w:jc w:val="left"/>
              <w:rPr>
                <w:rFonts w:asciiTheme="majorBidi" w:hAnsiTheme="majorBidi" w:cstheme="majorBidi"/>
                <w:sz w:val="20"/>
                <w:lang w:eastAsia="en-CA" w:bidi="ar-LB"/>
              </w:rPr>
            </w:pPr>
            <w:r w:rsidRPr="00552920">
              <w:rPr>
                <w:rFonts w:asciiTheme="majorBidi" w:hAnsiTheme="majorBidi" w:cstheme="majorBidi"/>
                <w:sz w:val="22"/>
                <w:szCs w:val="22"/>
                <w:rtl/>
                <w:lang w:bidi="ar-LB"/>
              </w:rPr>
              <w:t>الامتثال لتعديل كيغالي</w:t>
            </w:r>
          </w:p>
        </w:tc>
        <w:tc>
          <w:tcPr>
            <w:tcW w:w="1890" w:type="dxa"/>
            <w:tcBorders>
              <w:top w:val="nil"/>
              <w:left w:val="nil"/>
              <w:bottom w:val="single" w:sz="4" w:space="0" w:color="auto"/>
              <w:right w:val="single" w:sz="4" w:space="0" w:color="auto"/>
            </w:tcBorders>
            <w:shd w:val="clear" w:color="auto" w:fill="auto"/>
            <w:noWrap/>
            <w:vAlign w:val="bottom"/>
            <w:hideMark/>
          </w:tcPr>
          <w:p w14:paraId="1FDC9744"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7.22</w:t>
            </w:r>
          </w:p>
        </w:tc>
        <w:tc>
          <w:tcPr>
            <w:tcW w:w="1890" w:type="dxa"/>
            <w:tcBorders>
              <w:top w:val="nil"/>
              <w:left w:val="nil"/>
              <w:bottom w:val="single" w:sz="4" w:space="0" w:color="auto"/>
              <w:right w:val="single" w:sz="4" w:space="0" w:color="auto"/>
            </w:tcBorders>
            <w:shd w:val="clear" w:color="auto" w:fill="auto"/>
            <w:noWrap/>
            <w:vAlign w:val="bottom"/>
            <w:hideMark/>
          </w:tcPr>
          <w:p w14:paraId="6CA3C0FA"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0.29</w:t>
            </w:r>
          </w:p>
        </w:tc>
        <w:tc>
          <w:tcPr>
            <w:tcW w:w="1890" w:type="dxa"/>
            <w:tcBorders>
              <w:top w:val="nil"/>
              <w:left w:val="nil"/>
              <w:bottom w:val="single" w:sz="4" w:space="0" w:color="auto"/>
              <w:right w:val="single" w:sz="4" w:space="0" w:color="auto"/>
            </w:tcBorders>
            <w:shd w:val="clear" w:color="auto" w:fill="auto"/>
            <w:noWrap/>
            <w:vAlign w:val="bottom"/>
            <w:hideMark/>
          </w:tcPr>
          <w:p w14:paraId="612F1647"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6.93</w:t>
            </w:r>
          </w:p>
        </w:tc>
      </w:tr>
      <w:tr w:rsidR="002208B8" w:rsidRPr="00642AEE" w14:paraId="48EC13E8" w14:textId="77777777" w:rsidTr="00FC21BD">
        <w:trPr>
          <w:trHeight w:val="238"/>
        </w:trPr>
        <w:tc>
          <w:tcPr>
            <w:tcW w:w="3690" w:type="dxa"/>
            <w:tcBorders>
              <w:top w:val="nil"/>
              <w:left w:val="single" w:sz="4" w:space="0" w:color="auto"/>
              <w:bottom w:val="single" w:sz="4" w:space="0" w:color="auto"/>
              <w:right w:val="single" w:sz="4" w:space="0" w:color="auto"/>
            </w:tcBorders>
            <w:vAlign w:val="bottom"/>
          </w:tcPr>
          <w:p w14:paraId="2E5CC1B8" w14:textId="224E8471" w:rsidR="002208B8" w:rsidRPr="00642AEE" w:rsidRDefault="002208B8" w:rsidP="002208B8">
            <w:pPr>
              <w:bidi/>
              <w:jc w:val="left"/>
              <w:rPr>
                <w:rFonts w:asciiTheme="majorBidi" w:hAnsiTheme="majorBidi" w:cstheme="majorBidi"/>
                <w:sz w:val="20"/>
                <w:lang w:eastAsia="en-CA" w:bidi="ar-LB"/>
              </w:rPr>
            </w:pPr>
            <w:r w:rsidRPr="00552920">
              <w:rPr>
                <w:rFonts w:asciiTheme="majorBidi" w:hAnsiTheme="majorBidi" w:cstheme="majorBidi"/>
                <w:sz w:val="22"/>
                <w:szCs w:val="22"/>
                <w:rtl/>
                <w:lang w:bidi="ar-LB"/>
              </w:rPr>
              <w:t>المكاسب الناتجة عن زيادة الكفاءة في استخدام الطاقة في إطار سيناريو العمل كالمعتاد</w:t>
            </w:r>
            <w:r w:rsidRPr="00552920">
              <w:rPr>
                <w:rStyle w:val="FootnoteReference"/>
                <w:rFonts w:asciiTheme="majorBidi" w:hAnsiTheme="majorBidi" w:cstheme="majorBidi"/>
                <w:sz w:val="22"/>
                <w:szCs w:val="22"/>
                <w:rtl/>
                <w:lang w:bidi="ar-LB"/>
              </w:rPr>
              <w:footnoteReference w:id="20"/>
            </w:r>
            <w:r w:rsidRPr="00552920">
              <w:rPr>
                <w:rFonts w:asciiTheme="majorBidi" w:hAnsiTheme="majorBidi" w:cstheme="majorBidi"/>
                <w:sz w:val="22"/>
                <w:szCs w:val="22"/>
                <w:rtl/>
                <w:lang w:bidi="ar-LB"/>
              </w:rPr>
              <w:t>؛</w:t>
            </w:r>
          </w:p>
        </w:tc>
        <w:tc>
          <w:tcPr>
            <w:tcW w:w="1890" w:type="dxa"/>
            <w:tcBorders>
              <w:top w:val="nil"/>
              <w:left w:val="nil"/>
              <w:bottom w:val="single" w:sz="4" w:space="0" w:color="auto"/>
              <w:right w:val="single" w:sz="4" w:space="0" w:color="auto"/>
            </w:tcBorders>
            <w:shd w:val="clear" w:color="auto" w:fill="auto"/>
            <w:noWrap/>
            <w:vAlign w:val="bottom"/>
            <w:hideMark/>
          </w:tcPr>
          <w:p w14:paraId="7C4FE9E3"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5.49</w:t>
            </w:r>
          </w:p>
        </w:tc>
        <w:tc>
          <w:tcPr>
            <w:tcW w:w="1890" w:type="dxa"/>
            <w:tcBorders>
              <w:top w:val="nil"/>
              <w:left w:val="nil"/>
              <w:bottom w:val="single" w:sz="4" w:space="0" w:color="auto"/>
              <w:right w:val="single" w:sz="4" w:space="0" w:color="auto"/>
            </w:tcBorders>
            <w:shd w:val="clear" w:color="auto" w:fill="auto"/>
            <w:noWrap/>
            <w:vAlign w:val="bottom"/>
            <w:hideMark/>
          </w:tcPr>
          <w:p w14:paraId="20CCA0D4"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0.29</w:t>
            </w:r>
          </w:p>
        </w:tc>
        <w:tc>
          <w:tcPr>
            <w:tcW w:w="1890" w:type="dxa"/>
            <w:tcBorders>
              <w:top w:val="nil"/>
              <w:left w:val="nil"/>
              <w:bottom w:val="single" w:sz="4" w:space="0" w:color="auto"/>
              <w:right w:val="single" w:sz="4" w:space="0" w:color="auto"/>
            </w:tcBorders>
            <w:shd w:val="clear" w:color="auto" w:fill="auto"/>
            <w:noWrap/>
            <w:vAlign w:val="bottom"/>
            <w:hideMark/>
          </w:tcPr>
          <w:p w14:paraId="6542A620"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5.20</w:t>
            </w:r>
          </w:p>
        </w:tc>
      </w:tr>
      <w:tr w:rsidR="002208B8" w:rsidRPr="00642AEE" w14:paraId="4D70E8A9" w14:textId="77777777" w:rsidTr="00FC21BD">
        <w:trPr>
          <w:trHeight w:val="238"/>
        </w:trPr>
        <w:tc>
          <w:tcPr>
            <w:tcW w:w="3690" w:type="dxa"/>
            <w:tcBorders>
              <w:top w:val="nil"/>
              <w:left w:val="single" w:sz="4" w:space="0" w:color="auto"/>
              <w:bottom w:val="single" w:sz="4" w:space="0" w:color="auto"/>
              <w:right w:val="single" w:sz="4" w:space="0" w:color="auto"/>
            </w:tcBorders>
            <w:vAlign w:val="bottom"/>
          </w:tcPr>
          <w:p w14:paraId="5806BD91" w14:textId="3F2CDDA7" w:rsidR="002208B8" w:rsidRPr="00642AEE" w:rsidRDefault="002208B8" w:rsidP="002208B8">
            <w:pPr>
              <w:bidi/>
              <w:jc w:val="left"/>
              <w:rPr>
                <w:rFonts w:asciiTheme="majorBidi" w:hAnsiTheme="majorBidi" w:cstheme="majorBidi"/>
                <w:sz w:val="20"/>
                <w:lang w:eastAsia="en-CA" w:bidi="ar-LB"/>
              </w:rPr>
            </w:pPr>
            <w:r w:rsidRPr="00552920">
              <w:rPr>
                <w:rFonts w:asciiTheme="majorBidi" w:hAnsiTheme="majorBidi" w:cstheme="majorBidi"/>
                <w:sz w:val="22"/>
                <w:szCs w:val="22"/>
                <w:rtl/>
                <w:lang w:bidi="ar-LB"/>
              </w:rPr>
              <w:t>تقليل الحمل</w:t>
            </w:r>
            <w:r w:rsidRPr="00552920">
              <w:rPr>
                <w:rStyle w:val="FootnoteReference"/>
                <w:rFonts w:asciiTheme="majorBidi" w:hAnsiTheme="majorBidi" w:cstheme="majorBidi"/>
                <w:sz w:val="22"/>
                <w:szCs w:val="22"/>
                <w:rtl/>
                <w:lang w:bidi="ar-LB"/>
              </w:rPr>
              <w:footnoteReference w:id="21"/>
            </w:r>
          </w:p>
        </w:tc>
        <w:tc>
          <w:tcPr>
            <w:tcW w:w="1890" w:type="dxa"/>
            <w:tcBorders>
              <w:top w:val="nil"/>
              <w:left w:val="nil"/>
              <w:bottom w:val="single" w:sz="4" w:space="0" w:color="auto"/>
              <w:right w:val="single" w:sz="4" w:space="0" w:color="auto"/>
            </w:tcBorders>
            <w:shd w:val="clear" w:color="auto" w:fill="auto"/>
            <w:noWrap/>
            <w:vAlign w:val="bottom"/>
            <w:hideMark/>
          </w:tcPr>
          <w:p w14:paraId="47B7AAF7"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4.32</w:t>
            </w:r>
          </w:p>
        </w:tc>
        <w:tc>
          <w:tcPr>
            <w:tcW w:w="1890" w:type="dxa"/>
            <w:tcBorders>
              <w:top w:val="nil"/>
              <w:left w:val="nil"/>
              <w:bottom w:val="single" w:sz="4" w:space="0" w:color="auto"/>
              <w:right w:val="single" w:sz="4" w:space="0" w:color="auto"/>
            </w:tcBorders>
            <w:shd w:val="clear" w:color="auto" w:fill="auto"/>
            <w:noWrap/>
            <w:vAlign w:val="bottom"/>
            <w:hideMark/>
          </w:tcPr>
          <w:p w14:paraId="6C269CB8"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0.24</w:t>
            </w:r>
          </w:p>
        </w:tc>
        <w:tc>
          <w:tcPr>
            <w:tcW w:w="1890" w:type="dxa"/>
            <w:tcBorders>
              <w:top w:val="nil"/>
              <w:left w:val="nil"/>
              <w:bottom w:val="single" w:sz="4" w:space="0" w:color="auto"/>
              <w:right w:val="single" w:sz="4" w:space="0" w:color="auto"/>
            </w:tcBorders>
            <w:shd w:val="clear" w:color="auto" w:fill="auto"/>
            <w:noWrap/>
            <w:vAlign w:val="bottom"/>
            <w:hideMark/>
          </w:tcPr>
          <w:p w14:paraId="20573AA1"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4.08</w:t>
            </w:r>
          </w:p>
        </w:tc>
      </w:tr>
      <w:tr w:rsidR="002208B8" w:rsidRPr="00642AEE" w14:paraId="194C1133" w14:textId="77777777" w:rsidTr="00FC21BD">
        <w:trPr>
          <w:trHeight w:val="238"/>
        </w:trPr>
        <w:tc>
          <w:tcPr>
            <w:tcW w:w="3690" w:type="dxa"/>
            <w:tcBorders>
              <w:top w:val="nil"/>
              <w:left w:val="single" w:sz="4" w:space="0" w:color="auto"/>
              <w:bottom w:val="single" w:sz="4" w:space="0" w:color="auto"/>
              <w:right w:val="single" w:sz="4" w:space="0" w:color="auto"/>
            </w:tcBorders>
            <w:vAlign w:val="bottom"/>
          </w:tcPr>
          <w:p w14:paraId="32C95F22" w14:textId="345148B8" w:rsidR="002208B8" w:rsidRPr="00642AEE" w:rsidRDefault="002208B8" w:rsidP="002208B8">
            <w:pPr>
              <w:bidi/>
              <w:jc w:val="left"/>
              <w:rPr>
                <w:rFonts w:asciiTheme="majorBidi" w:hAnsiTheme="majorBidi" w:cstheme="majorBidi"/>
                <w:sz w:val="20"/>
                <w:lang w:eastAsia="en-CA" w:bidi="ar-LB"/>
              </w:rPr>
            </w:pPr>
            <w:r w:rsidRPr="00552920">
              <w:rPr>
                <w:rFonts w:asciiTheme="majorBidi" w:hAnsiTheme="majorBidi" w:cstheme="majorBidi"/>
                <w:sz w:val="22"/>
                <w:szCs w:val="22"/>
                <w:rtl/>
                <w:lang w:bidi="ar-LB"/>
              </w:rPr>
              <w:lastRenderedPageBreak/>
              <w:t>أفضل سيناريو لتحقيق مكاسب في كفاءة استخدام الطاقة</w:t>
            </w:r>
            <w:r w:rsidRPr="00552920">
              <w:rPr>
                <w:rStyle w:val="FootnoteReference"/>
                <w:rFonts w:asciiTheme="majorBidi" w:hAnsiTheme="majorBidi" w:cstheme="majorBidi"/>
                <w:sz w:val="22"/>
                <w:szCs w:val="22"/>
                <w:rtl/>
                <w:lang w:bidi="ar-LB"/>
              </w:rPr>
              <w:footnoteReference w:id="22"/>
            </w:r>
            <w:r w:rsidRPr="00552920">
              <w:rPr>
                <w:rFonts w:asciiTheme="majorBidi" w:hAnsiTheme="majorBidi" w:cstheme="majorBidi"/>
                <w:sz w:val="22"/>
                <w:szCs w:val="22"/>
                <w:rtl/>
                <w:lang w:bidi="ar-LB"/>
              </w:rPr>
              <w:t xml:space="preserve">؛ </w:t>
            </w:r>
          </w:p>
        </w:tc>
        <w:tc>
          <w:tcPr>
            <w:tcW w:w="1890" w:type="dxa"/>
            <w:tcBorders>
              <w:top w:val="nil"/>
              <w:left w:val="nil"/>
              <w:bottom w:val="single" w:sz="4" w:space="0" w:color="auto"/>
              <w:right w:val="single" w:sz="4" w:space="0" w:color="auto"/>
            </w:tcBorders>
            <w:shd w:val="clear" w:color="auto" w:fill="auto"/>
            <w:noWrap/>
            <w:vAlign w:val="bottom"/>
            <w:hideMark/>
          </w:tcPr>
          <w:p w14:paraId="65705ADF"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2.25</w:t>
            </w:r>
          </w:p>
        </w:tc>
        <w:tc>
          <w:tcPr>
            <w:tcW w:w="1890" w:type="dxa"/>
            <w:tcBorders>
              <w:top w:val="nil"/>
              <w:left w:val="nil"/>
              <w:bottom w:val="single" w:sz="4" w:space="0" w:color="auto"/>
              <w:right w:val="single" w:sz="4" w:space="0" w:color="auto"/>
            </w:tcBorders>
            <w:shd w:val="clear" w:color="auto" w:fill="auto"/>
            <w:noWrap/>
            <w:vAlign w:val="bottom"/>
            <w:hideMark/>
          </w:tcPr>
          <w:p w14:paraId="225AF8CD"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0.24</w:t>
            </w:r>
          </w:p>
        </w:tc>
        <w:tc>
          <w:tcPr>
            <w:tcW w:w="1890" w:type="dxa"/>
            <w:tcBorders>
              <w:top w:val="nil"/>
              <w:left w:val="nil"/>
              <w:bottom w:val="single" w:sz="4" w:space="0" w:color="auto"/>
              <w:right w:val="single" w:sz="4" w:space="0" w:color="auto"/>
            </w:tcBorders>
            <w:shd w:val="clear" w:color="auto" w:fill="auto"/>
            <w:noWrap/>
            <w:vAlign w:val="bottom"/>
            <w:hideMark/>
          </w:tcPr>
          <w:p w14:paraId="17079782"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2.01</w:t>
            </w:r>
          </w:p>
        </w:tc>
      </w:tr>
      <w:tr w:rsidR="002208B8" w:rsidRPr="00642AEE" w14:paraId="342B435E" w14:textId="77777777" w:rsidTr="00FC21BD">
        <w:trPr>
          <w:trHeight w:val="238"/>
        </w:trPr>
        <w:tc>
          <w:tcPr>
            <w:tcW w:w="3690" w:type="dxa"/>
            <w:tcBorders>
              <w:top w:val="nil"/>
              <w:left w:val="single" w:sz="4" w:space="0" w:color="auto"/>
              <w:bottom w:val="single" w:sz="4" w:space="0" w:color="auto"/>
              <w:right w:val="single" w:sz="4" w:space="0" w:color="auto"/>
            </w:tcBorders>
            <w:vAlign w:val="bottom"/>
          </w:tcPr>
          <w:p w14:paraId="074504A8" w14:textId="432BD989" w:rsidR="002208B8" w:rsidRPr="00642AEE" w:rsidRDefault="002208B8" w:rsidP="002208B8">
            <w:pPr>
              <w:bidi/>
              <w:jc w:val="left"/>
              <w:rPr>
                <w:rFonts w:asciiTheme="majorBidi" w:hAnsiTheme="majorBidi" w:cstheme="majorBidi"/>
                <w:sz w:val="20"/>
                <w:lang w:eastAsia="en-CA" w:bidi="ar-LB"/>
              </w:rPr>
            </w:pPr>
            <w:r w:rsidRPr="00552920">
              <w:rPr>
                <w:rFonts w:asciiTheme="majorBidi" w:hAnsiTheme="majorBidi" w:cstheme="majorBidi"/>
                <w:sz w:val="22"/>
                <w:szCs w:val="22"/>
                <w:rtl/>
                <w:lang w:bidi="ar-LB"/>
              </w:rPr>
              <w:t>التخفيض التدريجي السريع للمواد الهيدروفلوروكربونية</w:t>
            </w:r>
            <w:r w:rsidRPr="00552920">
              <w:rPr>
                <w:rStyle w:val="FootnoteReference"/>
                <w:rFonts w:asciiTheme="majorBidi" w:hAnsiTheme="majorBidi" w:cstheme="majorBidi"/>
                <w:sz w:val="22"/>
                <w:szCs w:val="22"/>
                <w:rtl/>
                <w:lang w:bidi="ar-LB"/>
              </w:rPr>
              <w:footnoteReference w:id="23"/>
            </w:r>
          </w:p>
        </w:tc>
        <w:tc>
          <w:tcPr>
            <w:tcW w:w="1890" w:type="dxa"/>
            <w:tcBorders>
              <w:top w:val="nil"/>
              <w:left w:val="nil"/>
              <w:bottom w:val="single" w:sz="4" w:space="0" w:color="auto"/>
              <w:right w:val="single" w:sz="4" w:space="0" w:color="auto"/>
            </w:tcBorders>
            <w:shd w:val="clear" w:color="auto" w:fill="auto"/>
            <w:noWrap/>
            <w:vAlign w:val="bottom"/>
            <w:hideMark/>
          </w:tcPr>
          <w:p w14:paraId="2A7F6C45"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2.11</w:t>
            </w:r>
          </w:p>
        </w:tc>
        <w:tc>
          <w:tcPr>
            <w:tcW w:w="1890" w:type="dxa"/>
            <w:tcBorders>
              <w:top w:val="nil"/>
              <w:left w:val="nil"/>
              <w:bottom w:val="single" w:sz="4" w:space="0" w:color="auto"/>
              <w:right w:val="single" w:sz="4" w:space="0" w:color="auto"/>
            </w:tcBorders>
            <w:shd w:val="clear" w:color="auto" w:fill="auto"/>
            <w:noWrap/>
            <w:vAlign w:val="bottom"/>
            <w:hideMark/>
          </w:tcPr>
          <w:p w14:paraId="75696064"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0.10</w:t>
            </w:r>
          </w:p>
        </w:tc>
        <w:tc>
          <w:tcPr>
            <w:tcW w:w="1890" w:type="dxa"/>
            <w:tcBorders>
              <w:top w:val="nil"/>
              <w:left w:val="nil"/>
              <w:bottom w:val="single" w:sz="4" w:space="0" w:color="auto"/>
              <w:right w:val="single" w:sz="4" w:space="0" w:color="auto"/>
            </w:tcBorders>
            <w:shd w:val="clear" w:color="auto" w:fill="auto"/>
            <w:noWrap/>
            <w:vAlign w:val="bottom"/>
            <w:hideMark/>
          </w:tcPr>
          <w:p w14:paraId="66A3C78C" w14:textId="77777777" w:rsidR="002208B8" w:rsidRPr="00642AEE" w:rsidRDefault="002208B8" w:rsidP="002208B8">
            <w:pPr>
              <w:jc w:val="right"/>
              <w:rPr>
                <w:rFonts w:asciiTheme="majorBidi" w:hAnsiTheme="majorBidi" w:cstheme="majorBidi"/>
                <w:sz w:val="20"/>
                <w:lang w:eastAsia="en-CA" w:bidi="ar-LB"/>
              </w:rPr>
            </w:pPr>
            <w:r w:rsidRPr="00642AEE">
              <w:rPr>
                <w:rFonts w:asciiTheme="majorBidi" w:hAnsiTheme="majorBidi" w:cstheme="majorBidi"/>
                <w:sz w:val="20"/>
                <w:lang w:eastAsia="en-CA" w:bidi="ar-LB"/>
              </w:rPr>
              <w:t>2.01</w:t>
            </w:r>
          </w:p>
        </w:tc>
      </w:tr>
      <w:bookmarkEnd w:id="0"/>
    </w:tbl>
    <w:p w14:paraId="330F1B3F" w14:textId="77777777" w:rsidR="002208B8" w:rsidRPr="002208B8" w:rsidRDefault="002208B8" w:rsidP="002208B8">
      <w:pPr>
        <w:pStyle w:val="StyleHeader4Para4Left0Firstline0"/>
        <w:widowControl/>
        <w:numPr>
          <w:ilvl w:val="0"/>
          <w:numId w:val="0"/>
        </w:numPr>
        <w:tabs>
          <w:tab w:val="clear" w:pos="2880"/>
          <w:tab w:val="clear" w:pos="5760"/>
          <w:tab w:val="left" w:pos="713"/>
        </w:tabs>
        <w:bidi/>
        <w:spacing w:after="120" w:line="240" w:lineRule="exact"/>
        <w:rPr>
          <w:sz w:val="4"/>
          <w:szCs w:val="4"/>
          <w:rtl/>
          <w:lang w:val="en-US" w:bidi="ar-LB"/>
        </w:rPr>
      </w:pPr>
    </w:p>
    <w:p w14:paraId="7CA5FFFA" w14:textId="5673C9BC" w:rsidR="002208B8" w:rsidRPr="00931384" w:rsidRDefault="002208B8" w:rsidP="002208B8">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sz w:val="26"/>
          <w:szCs w:val="26"/>
          <w:u w:val="single"/>
          <w:rtl/>
          <w:lang w:bidi="ar-LB"/>
        </w:rPr>
        <w:t>التخفيضات في الانبعاثات المباشرة في مختلف التطبيقات</w:t>
      </w:r>
    </w:p>
    <w:p w14:paraId="176FB501" w14:textId="36A636A5" w:rsidR="00F7480C" w:rsidRPr="002208B8"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يعرض </w:t>
      </w:r>
      <w:r w:rsidRPr="00C132D3">
        <w:rPr>
          <w:rFonts w:asciiTheme="majorBidi" w:hAnsiTheme="majorBidi" w:cstheme="majorBidi"/>
          <w:sz w:val="26"/>
          <w:szCs w:val="26"/>
          <w:rtl/>
          <w:lang w:bidi="ar-LB"/>
        </w:rPr>
        <w:t xml:space="preserve">الجدول </w:t>
      </w:r>
      <w:r w:rsidR="00121B3B" w:rsidRPr="00AB4EDA">
        <w:rPr>
          <w:sz w:val="24"/>
          <w:szCs w:val="24"/>
          <w:lang w:bidi="ar-LB"/>
        </w:rPr>
        <w:t>2</w:t>
      </w:r>
      <w:r w:rsidRPr="00C132D3">
        <w:rPr>
          <w:rFonts w:asciiTheme="majorBidi" w:hAnsiTheme="majorBidi" w:cstheme="majorBidi"/>
          <w:sz w:val="26"/>
          <w:szCs w:val="26"/>
          <w:rtl/>
          <w:lang w:bidi="ar-LB"/>
        </w:rPr>
        <w:t xml:space="preserve"> تقييماً للانبعاثات المباشرة التراكمية من التبريد (أي الانبعاثات من غازات التبريد المستخدمة في التطبيقات المختلفة) في إطار ’’السيناريو المتوافق مع كيغالي‘‘ في ست مجموعات تطبيقات، هي تبريد الأماكن السكنية، وسلسلة التبريد السكني، وتبريد الأماكن غير السكنية، وسلسلة التبريد غير السكني، وتبريد الأماكن في وسائل النقل، وسلسلة تبريد وسائل النقل. ويبين الجدول أيضاً الانخفاض في الانبعاثات غير المباشرة الناتج عن انخفاض استهلاك الطاقة، بالإضافة إلى انخفاض الانبعاثات  بأطنان مكافئ ثاني أكسيد الكربون في إطار سيناريو’’الكسب في  كفاءة استخدام الطاقة في إطار العمل كالمعتاد‘‘ و سيناريو’’</w:t>
      </w:r>
      <w:r w:rsidR="00386805">
        <w:rPr>
          <w:rFonts w:asciiTheme="majorBidi" w:hAnsiTheme="majorBidi" w:cstheme="majorBidi"/>
          <w:sz w:val="26"/>
          <w:szCs w:val="26"/>
          <w:lang w:bidi="ar-LB"/>
        </w:rPr>
        <w:t xml:space="preserve"> </w:t>
      </w:r>
      <w:r w:rsidRPr="00C132D3">
        <w:rPr>
          <w:rFonts w:asciiTheme="majorBidi" w:hAnsiTheme="majorBidi" w:cstheme="majorBidi"/>
          <w:sz w:val="26"/>
          <w:szCs w:val="26"/>
          <w:rtl/>
          <w:lang w:bidi="ar-LB"/>
        </w:rPr>
        <w:t>أفضل مكاسب في كفاءة استخدام الطاقة‘‘. ويساهم تبريد المساحات السكنية وتبريد المساحات غير السكنية وسلسلة التبريد غير السكني وتبريد المساحات في وسائل النقل في أعلى تقدير لانبعاثات المواد الهيدروفلوروكربونية المباشرة التراكمية. وتمثل القطاعات الثلاثة لتبريد الأماكن نسبة كبيرة من قدرة التبريد المركبة.</w:t>
      </w:r>
    </w:p>
    <w:p w14:paraId="73885A28" w14:textId="0966A76A" w:rsidR="002208B8" w:rsidRPr="00893A93" w:rsidRDefault="002208B8" w:rsidP="002208B8">
      <w:pPr>
        <w:pStyle w:val="StyleHeader4Para4Left0Firstline0"/>
        <w:widowControl/>
        <w:numPr>
          <w:ilvl w:val="0"/>
          <w:numId w:val="0"/>
        </w:numPr>
        <w:tabs>
          <w:tab w:val="clear" w:pos="2880"/>
          <w:tab w:val="clear" w:pos="5760"/>
          <w:tab w:val="left" w:pos="713"/>
        </w:tabs>
        <w:bidi/>
        <w:spacing w:after="120" w:line="360" w:lineRule="exact"/>
        <w:rPr>
          <w:rFonts w:asciiTheme="majorBidi" w:hAnsiTheme="majorBidi" w:cstheme="majorBidi"/>
          <w:b/>
          <w:bCs/>
          <w:sz w:val="24"/>
          <w:szCs w:val="24"/>
          <w:rtl/>
          <w:lang w:bidi="ar-LB"/>
        </w:rPr>
      </w:pPr>
      <w:r w:rsidRPr="00893A93">
        <w:rPr>
          <w:rFonts w:asciiTheme="majorBidi" w:hAnsiTheme="majorBidi" w:cstheme="majorBidi"/>
          <w:b/>
          <w:bCs/>
          <w:sz w:val="24"/>
          <w:szCs w:val="24"/>
          <w:rtl/>
          <w:lang w:bidi="ar-LB"/>
        </w:rPr>
        <w:t xml:space="preserve">الجدول </w:t>
      </w:r>
      <w:r w:rsidR="006635AA" w:rsidRPr="00893A93">
        <w:rPr>
          <w:rFonts w:asciiTheme="majorBidi" w:eastAsiaTheme="minorHAnsi" w:hAnsiTheme="majorBidi" w:cstheme="majorBidi"/>
          <w:b/>
          <w:bCs/>
          <w:sz w:val="24"/>
          <w:szCs w:val="24"/>
          <w:lang w:val="en-US" w:bidi="ar-LB"/>
        </w:rPr>
        <w:t>2</w:t>
      </w:r>
      <w:r w:rsidRPr="00893A93">
        <w:rPr>
          <w:rFonts w:asciiTheme="majorBidi" w:hAnsiTheme="majorBidi" w:cstheme="majorBidi"/>
          <w:b/>
          <w:bCs/>
          <w:sz w:val="24"/>
          <w:szCs w:val="24"/>
          <w:rtl/>
          <w:lang w:bidi="ar-LB"/>
        </w:rPr>
        <w:t xml:space="preserve"> -</w:t>
      </w:r>
      <w:r w:rsidRPr="00893A93">
        <w:rPr>
          <w:rFonts w:asciiTheme="majorBidi" w:hAnsiTheme="majorBidi" w:cstheme="majorBidi"/>
          <w:bCs/>
          <w:sz w:val="24"/>
          <w:szCs w:val="24"/>
          <w:rtl/>
          <w:lang w:bidi="ar-LB"/>
        </w:rPr>
        <w:t xml:space="preserve"> </w:t>
      </w:r>
      <w:r w:rsidR="006635AA" w:rsidRPr="00893A93">
        <w:rPr>
          <w:rFonts w:asciiTheme="majorBidi" w:hAnsiTheme="majorBidi" w:cstheme="majorBidi"/>
          <w:bCs/>
          <w:sz w:val="24"/>
          <w:szCs w:val="24"/>
          <w:rtl/>
          <w:lang w:bidi="ar-LB"/>
        </w:rPr>
        <w:t>ال</w:t>
      </w:r>
      <w:r w:rsidRPr="00893A93">
        <w:rPr>
          <w:rFonts w:asciiTheme="majorBidi" w:hAnsiTheme="majorBidi" w:cstheme="majorBidi"/>
          <w:b/>
          <w:bCs/>
          <w:sz w:val="24"/>
          <w:szCs w:val="24"/>
          <w:rtl/>
          <w:lang w:bidi="ar-LB"/>
        </w:rPr>
        <w:t xml:space="preserve">انبعاثات </w:t>
      </w:r>
      <w:r w:rsidR="006635AA" w:rsidRPr="00893A93">
        <w:rPr>
          <w:rFonts w:asciiTheme="majorBidi" w:hAnsiTheme="majorBidi" w:cstheme="majorBidi"/>
          <w:b/>
          <w:bCs/>
          <w:sz w:val="24"/>
          <w:szCs w:val="24"/>
          <w:rtl/>
          <w:lang w:bidi="ar-LB"/>
        </w:rPr>
        <w:t>التراكمية ل</w:t>
      </w:r>
      <w:r w:rsidRPr="00893A93">
        <w:rPr>
          <w:rFonts w:asciiTheme="majorBidi" w:hAnsiTheme="majorBidi" w:cstheme="majorBidi"/>
          <w:b/>
          <w:bCs/>
          <w:sz w:val="24"/>
          <w:szCs w:val="24"/>
          <w:rtl/>
          <w:lang w:bidi="ar-LB"/>
        </w:rPr>
        <w:t xml:space="preserve">لتبريد المباشر من </w:t>
      </w:r>
      <w:r w:rsidR="00D21159" w:rsidRPr="00893A93">
        <w:rPr>
          <w:rFonts w:asciiTheme="majorBidi" w:eastAsiaTheme="minorHAnsi" w:hAnsiTheme="majorBidi" w:cstheme="majorBidi"/>
          <w:b/>
          <w:bCs/>
          <w:sz w:val="24"/>
          <w:szCs w:val="24"/>
          <w:lang w:val="en-US" w:bidi="ar-LB"/>
        </w:rPr>
        <w:t>2024</w:t>
      </w:r>
      <w:r w:rsidRPr="00893A93">
        <w:rPr>
          <w:rFonts w:asciiTheme="majorBidi" w:hAnsiTheme="majorBidi" w:cstheme="majorBidi"/>
          <w:b/>
          <w:bCs/>
          <w:sz w:val="24"/>
          <w:szCs w:val="24"/>
          <w:rtl/>
          <w:lang w:bidi="ar-LB"/>
        </w:rPr>
        <w:t xml:space="preserve"> إلى </w:t>
      </w:r>
      <w:r w:rsidR="00D21159" w:rsidRPr="00893A93">
        <w:rPr>
          <w:rFonts w:asciiTheme="majorBidi" w:eastAsiaTheme="minorHAnsi" w:hAnsiTheme="majorBidi" w:cstheme="majorBidi"/>
          <w:b/>
          <w:bCs/>
          <w:sz w:val="24"/>
          <w:szCs w:val="24"/>
          <w:lang w:val="en-US" w:bidi="ar-LB"/>
        </w:rPr>
        <w:t>2050</w:t>
      </w:r>
    </w:p>
    <w:tbl>
      <w:tblPr>
        <w:bidiVisual/>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1028"/>
        <w:gridCol w:w="1206"/>
        <w:gridCol w:w="1116"/>
        <w:gridCol w:w="1118"/>
        <w:gridCol w:w="1193"/>
        <w:gridCol w:w="1191"/>
      </w:tblGrid>
      <w:tr w:rsidR="00151A70" w:rsidRPr="00642AEE" w14:paraId="5E27694A" w14:textId="77777777" w:rsidTr="00151A70">
        <w:trPr>
          <w:trHeight w:val="300"/>
        </w:trPr>
        <w:tc>
          <w:tcPr>
            <w:tcW w:w="1335" w:type="pct"/>
          </w:tcPr>
          <w:p w14:paraId="4B2EA8C6" w14:textId="54153A4F" w:rsidR="00151A70" w:rsidRPr="00642AEE" w:rsidRDefault="00151A70" w:rsidP="00151A70">
            <w:pPr>
              <w:keepNext/>
              <w:bidi/>
              <w:rPr>
                <w:rFonts w:asciiTheme="majorBidi" w:hAnsiTheme="majorBidi" w:cstheme="majorBidi"/>
                <w:b/>
                <w:bCs/>
                <w:sz w:val="20"/>
                <w:lang w:eastAsia="en-CA" w:bidi="ar-LB"/>
              </w:rPr>
            </w:pPr>
            <w:r w:rsidRPr="004D7018">
              <w:rPr>
                <w:rFonts w:asciiTheme="majorBidi" w:hAnsiTheme="majorBidi" w:cstheme="majorBidi"/>
                <w:b/>
                <w:bCs/>
                <w:sz w:val="22"/>
                <w:szCs w:val="22"/>
                <w:rtl/>
                <w:lang w:bidi="ar-LB"/>
              </w:rPr>
              <w:t>التفاصيل</w:t>
            </w:r>
            <w:r w:rsidRPr="004D7018">
              <w:rPr>
                <w:rStyle w:val="FootnoteReference"/>
                <w:rFonts w:asciiTheme="majorBidi" w:hAnsiTheme="majorBidi" w:cstheme="majorBidi"/>
                <w:b/>
                <w:bCs/>
                <w:sz w:val="22"/>
                <w:szCs w:val="22"/>
                <w:rtl/>
                <w:lang w:bidi="ar-LB"/>
              </w:rPr>
              <w:footnoteReference w:id="24"/>
            </w:r>
          </w:p>
        </w:tc>
        <w:tc>
          <w:tcPr>
            <w:tcW w:w="1195" w:type="pct"/>
            <w:gridSpan w:val="2"/>
            <w:shd w:val="clear" w:color="auto" w:fill="auto"/>
          </w:tcPr>
          <w:p w14:paraId="3F7F7869" w14:textId="04D1E69E" w:rsidR="00151A70" w:rsidRPr="00881FDC" w:rsidRDefault="00151A70" w:rsidP="00151A70">
            <w:pPr>
              <w:keepNext/>
              <w:bidi/>
              <w:jc w:val="center"/>
              <w:rPr>
                <w:rFonts w:asciiTheme="majorBidi" w:eastAsiaTheme="minorHAnsi" w:hAnsiTheme="majorBidi" w:cstheme="majorBidi"/>
                <w:b/>
                <w:bCs/>
                <w:sz w:val="20"/>
                <w:lang w:bidi="ar-LB"/>
              </w:rPr>
            </w:pPr>
            <w:r w:rsidRPr="00881FDC">
              <w:rPr>
                <w:rFonts w:asciiTheme="majorBidi" w:hAnsiTheme="majorBidi" w:cstheme="majorBidi"/>
                <w:b/>
                <w:bCs/>
                <w:sz w:val="20"/>
                <w:rtl/>
                <w:lang w:bidi="ar-LB"/>
              </w:rPr>
              <w:t>متوافق مع تعديل كيغالي</w:t>
            </w:r>
          </w:p>
        </w:tc>
        <w:tc>
          <w:tcPr>
            <w:tcW w:w="1195" w:type="pct"/>
            <w:gridSpan w:val="2"/>
            <w:shd w:val="clear" w:color="auto" w:fill="auto"/>
          </w:tcPr>
          <w:p w14:paraId="183B24B2" w14:textId="36B78911" w:rsidR="00151A70" w:rsidRPr="00881FDC" w:rsidRDefault="00151A70" w:rsidP="00151A70">
            <w:pPr>
              <w:keepNext/>
              <w:bidi/>
              <w:jc w:val="center"/>
              <w:rPr>
                <w:rFonts w:asciiTheme="majorBidi" w:eastAsiaTheme="minorHAnsi" w:hAnsiTheme="majorBidi" w:cstheme="majorBidi"/>
                <w:b/>
                <w:bCs/>
                <w:sz w:val="20"/>
                <w:lang w:bidi="ar-LB"/>
              </w:rPr>
            </w:pPr>
            <w:r w:rsidRPr="00881FDC">
              <w:rPr>
                <w:rFonts w:asciiTheme="majorBidi" w:hAnsiTheme="majorBidi" w:cstheme="majorBidi"/>
                <w:b/>
                <w:bCs/>
                <w:sz w:val="20"/>
                <w:rtl/>
                <w:lang w:bidi="ar-LB"/>
              </w:rPr>
              <w:t xml:space="preserve">الاستهلاك التراكمي للطاقة، من </w:t>
            </w:r>
            <w:r w:rsidR="00626159" w:rsidRPr="00881FDC">
              <w:rPr>
                <w:rFonts w:asciiTheme="majorBidi" w:hAnsiTheme="majorBidi" w:cstheme="majorBidi"/>
                <w:b/>
                <w:bCs/>
                <w:sz w:val="20"/>
                <w:lang w:eastAsia="en-CA" w:bidi="ar-LB"/>
              </w:rPr>
              <w:t>2024</w:t>
            </w:r>
            <w:r w:rsidRPr="00881FDC">
              <w:rPr>
                <w:rFonts w:asciiTheme="majorBidi" w:hAnsiTheme="majorBidi" w:cstheme="majorBidi"/>
                <w:b/>
                <w:bCs/>
                <w:sz w:val="20"/>
                <w:rtl/>
                <w:lang w:bidi="ar-LB"/>
              </w:rPr>
              <w:t xml:space="preserve"> إلى </w:t>
            </w:r>
            <w:r w:rsidR="00626159" w:rsidRPr="00881FDC">
              <w:rPr>
                <w:rFonts w:asciiTheme="majorBidi" w:hAnsiTheme="majorBidi" w:cstheme="majorBidi"/>
                <w:b/>
                <w:bCs/>
                <w:sz w:val="20"/>
                <w:lang w:eastAsia="en-CA" w:bidi="ar-LB"/>
              </w:rPr>
              <w:t>2050</w:t>
            </w:r>
            <w:r w:rsidRPr="00881FDC">
              <w:rPr>
                <w:rFonts w:asciiTheme="majorBidi" w:hAnsiTheme="majorBidi" w:cstheme="majorBidi"/>
                <w:b/>
                <w:bCs/>
                <w:sz w:val="20"/>
                <w:rtl/>
                <w:lang w:bidi="ar-LB"/>
              </w:rPr>
              <w:t xml:space="preserve"> ('000 تيراواط ساعة)</w:t>
            </w:r>
          </w:p>
        </w:tc>
        <w:tc>
          <w:tcPr>
            <w:tcW w:w="1275" w:type="pct"/>
            <w:gridSpan w:val="2"/>
            <w:tcBorders>
              <w:bottom w:val="single" w:sz="4" w:space="0" w:color="auto"/>
            </w:tcBorders>
          </w:tcPr>
          <w:p w14:paraId="2FFB7E42" w14:textId="451CC0D7" w:rsidR="00151A70" w:rsidRPr="00881FDC" w:rsidRDefault="00151A70" w:rsidP="00151A70">
            <w:pPr>
              <w:keepNext/>
              <w:bidi/>
              <w:jc w:val="center"/>
              <w:rPr>
                <w:rFonts w:asciiTheme="majorBidi" w:hAnsiTheme="majorBidi" w:cstheme="majorBidi"/>
                <w:b/>
                <w:bCs/>
                <w:sz w:val="20"/>
                <w:lang w:eastAsia="en-CA" w:bidi="ar-LB"/>
              </w:rPr>
            </w:pPr>
            <w:r w:rsidRPr="00881FDC">
              <w:rPr>
                <w:rFonts w:asciiTheme="majorBidi" w:hAnsiTheme="majorBidi" w:cstheme="majorBidi"/>
                <w:b/>
                <w:bCs/>
                <w:sz w:val="20"/>
                <w:rtl/>
                <w:lang w:bidi="ar-LB"/>
              </w:rPr>
              <w:t xml:space="preserve">الانبعاثات التراكمية غير المباشرة، من </w:t>
            </w:r>
            <w:r w:rsidR="00626159" w:rsidRPr="00881FDC">
              <w:rPr>
                <w:rFonts w:asciiTheme="majorBidi" w:hAnsiTheme="majorBidi" w:cstheme="majorBidi"/>
                <w:b/>
                <w:bCs/>
                <w:sz w:val="20"/>
                <w:lang w:eastAsia="en-CA" w:bidi="ar-LB"/>
              </w:rPr>
              <w:t>2024</w:t>
            </w:r>
            <w:r w:rsidR="00626159" w:rsidRPr="00881FDC">
              <w:rPr>
                <w:rFonts w:asciiTheme="majorBidi" w:hAnsiTheme="majorBidi" w:cstheme="majorBidi"/>
                <w:b/>
                <w:bCs/>
                <w:sz w:val="20"/>
                <w:rtl/>
                <w:lang w:bidi="ar-LB"/>
              </w:rPr>
              <w:t xml:space="preserve"> </w:t>
            </w:r>
            <w:r w:rsidRPr="00881FDC">
              <w:rPr>
                <w:rFonts w:asciiTheme="majorBidi" w:hAnsiTheme="majorBidi" w:cstheme="majorBidi"/>
                <w:b/>
                <w:bCs/>
                <w:sz w:val="20"/>
                <w:rtl/>
                <w:lang w:bidi="ar-LB"/>
              </w:rPr>
              <w:t xml:space="preserve"> إلى </w:t>
            </w:r>
            <w:r w:rsidR="00626159" w:rsidRPr="00881FDC">
              <w:rPr>
                <w:rFonts w:asciiTheme="majorBidi" w:hAnsiTheme="majorBidi" w:cstheme="majorBidi"/>
                <w:b/>
                <w:bCs/>
                <w:sz w:val="20"/>
                <w:lang w:eastAsia="en-CA" w:bidi="ar-LB"/>
              </w:rPr>
              <w:t>2050</w:t>
            </w:r>
            <w:r w:rsidRPr="00881FDC">
              <w:rPr>
                <w:rFonts w:asciiTheme="majorBidi" w:hAnsiTheme="majorBidi" w:cstheme="majorBidi"/>
                <w:b/>
                <w:bCs/>
                <w:sz w:val="20"/>
                <w:rtl/>
                <w:lang w:bidi="ar-LB"/>
              </w:rPr>
              <w:t xml:space="preserve"> (مليون طن من مكافئ لثاني أكسيد الكربون)</w:t>
            </w:r>
          </w:p>
        </w:tc>
      </w:tr>
      <w:tr w:rsidR="00151A70" w:rsidRPr="00642AEE" w14:paraId="1E18E0CD" w14:textId="77777777" w:rsidTr="00151A70">
        <w:trPr>
          <w:trHeight w:val="300"/>
        </w:trPr>
        <w:tc>
          <w:tcPr>
            <w:tcW w:w="1335" w:type="pct"/>
          </w:tcPr>
          <w:p w14:paraId="1DB39155" w14:textId="77777777" w:rsidR="00151A70" w:rsidRPr="00642AEE" w:rsidRDefault="00151A70" w:rsidP="00151A70">
            <w:pPr>
              <w:rPr>
                <w:rFonts w:asciiTheme="majorBidi" w:hAnsiTheme="majorBidi" w:cstheme="majorBidi"/>
                <w:b/>
                <w:bCs/>
                <w:sz w:val="20"/>
                <w:lang w:eastAsia="en-CA" w:bidi="ar-LB"/>
              </w:rPr>
            </w:pPr>
          </w:p>
        </w:tc>
        <w:tc>
          <w:tcPr>
            <w:tcW w:w="550" w:type="pct"/>
            <w:shd w:val="clear" w:color="auto" w:fill="auto"/>
          </w:tcPr>
          <w:p w14:paraId="16FAA58B" w14:textId="77777777" w:rsidR="00151A70" w:rsidRPr="00881FDC" w:rsidRDefault="00151A70" w:rsidP="00151A70">
            <w:pPr>
              <w:bidi/>
              <w:jc w:val="center"/>
              <w:textDirection w:val="tbRlV"/>
              <w:rPr>
                <w:rFonts w:asciiTheme="majorBidi" w:hAnsiTheme="majorBidi" w:cstheme="majorBidi"/>
                <w:b/>
                <w:bCs/>
                <w:sz w:val="20"/>
                <w:lang w:val="ar-SA" w:eastAsia="zh-TW" w:bidi="ar-LB"/>
              </w:rPr>
            </w:pPr>
            <w:r w:rsidRPr="00881FDC">
              <w:rPr>
                <w:rFonts w:asciiTheme="majorBidi" w:hAnsiTheme="majorBidi" w:cstheme="majorBidi"/>
                <w:b/>
                <w:bCs/>
                <w:sz w:val="20"/>
                <w:rtl/>
                <w:lang w:bidi="ar-LB"/>
              </w:rPr>
              <w:t>بليون طن</w:t>
            </w:r>
            <w:r w:rsidRPr="00881FDC">
              <w:rPr>
                <w:rFonts w:asciiTheme="majorBidi" w:hAnsiTheme="majorBidi" w:cstheme="majorBidi"/>
                <w:bCs/>
                <w:sz w:val="20"/>
                <w:rtl/>
                <w:lang w:bidi="ar-LB"/>
              </w:rPr>
              <w:t xml:space="preserve"> </w:t>
            </w:r>
          </w:p>
          <w:p w14:paraId="6DAA2EE7" w14:textId="28AD8AE2" w:rsidR="00151A70" w:rsidRPr="00BF06FD" w:rsidRDefault="00151A70" w:rsidP="00151A70">
            <w:pPr>
              <w:bidi/>
              <w:jc w:val="center"/>
              <w:rPr>
                <w:rFonts w:asciiTheme="majorBidi" w:eastAsiaTheme="minorHAnsi" w:hAnsiTheme="majorBidi" w:cstheme="majorBidi"/>
                <w:b/>
                <w:bCs/>
                <w:sz w:val="20"/>
                <w:lang w:bidi="ar-LB"/>
              </w:rPr>
            </w:pPr>
            <w:r w:rsidRPr="00881FDC">
              <w:rPr>
                <w:rFonts w:asciiTheme="majorBidi" w:hAnsiTheme="majorBidi" w:cstheme="majorBidi"/>
                <w:b/>
                <w:bCs/>
                <w:sz w:val="20"/>
                <w:rtl/>
                <w:lang w:bidi="ar-LB"/>
              </w:rPr>
              <w:t>من مكافئ ثاني أكسيد الكربون</w:t>
            </w:r>
            <w:r w:rsidRPr="00881FDC">
              <w:rPr>
                <w:rFonts w:asciiTheme="majorBidi" w:hAnsiTheme="majorBidi" w:cstheme="majorBidi"/>
                <w:bCs/>
                <w:sz w:val="20"/>
                <w:rtl/>
                <w:lang w:bidi="ar-LB"/>
              </w:rPr>
              <w:t xml:space="preserve"> </w:t>
            </w:r>
          </w:p>
        </w:tc>
        <w:tc>
          <w:tcPr>
            <w:tcW w:w="645" w:type="pct"/>
          </w:tcPr>
          <w:p w14:paraId="34D632B4" w14:textId="30D5554E" w:rsidR="00151A70" w:rsidRPr="00881FDC" w:rsidRDefault="00151A70" w:rsidP="00151A70">
            <w:pPr>
              <w:bidi/>
              <w:jc w:val="center"/>
              <w:rPr>
                <w:rFonts w:asciiTheme="majorBidi" w:hAnsiTheme="majorBidi" w:cstheme="majorBidi"/>
                <w:b/>
                <w:bCs/>
                <w:sz w:val="20"/>
                <w:lang w:eastAsia="en-CA" w:bidi="ar-LB"/>
              </w:rPr>
            </w:pPr>
            <w:r w:rsidRPr="00881FDC">
              <w:rPr>
                <w:rFonts w:asciiTheme="majorBidi" w:hAnsiTheme="majorBidi" w:cstheme="majorBidi"/>
                <w:b/>
                <w:bCs/>
                <w:sz w:val="20"/>
                <w:rtl/>
                <w:lang w:bidi="ar-LB"/>
              </w:rPr>
              <w:t>النسبة المئوية من المجموع</w:t>
            </w:r>
            <w:r w:rsidR="003275EF" w:rsidRPr="00881FDC">
              <w:rPr>
                <w:rFonts w:asciiTheme="majorBidi" w:hAnsiTheme="majorBidi" w:cstheme="majorBidi"/>
                <w:b/>
                <w:bCs/>
                <w:sz w:val="20"/>
                <w:rtl/>
                <w:lang w:bidi="ar-LB"/>
              </w:rPr>
              <w:br/>
            </w:r>
            <w:r w:rsidRPr="00881FDC">
              <w:rPr>
                <w:rFonts w:asciiTheme="majorBidi" w:hAnsiTheme="majorBidi" w:cstheme="majorBidi"/>
                <w:b/>
                <w:bCs/>
                <w:sz w:val="20"/>
                <w:rtl/>
                <w:lang w:bidi="ar-LB"/>
              </w:rPr>
              <w:t>(في المائة):</w:t>
            </w:r>
          </w:p>
        </w:tc>
        <w:tc>
          <w:tcPr>
            <w:tcW w:w="597" w:type="pct"/>
            <w:shd w:val="clear" w:color="auto" w:fill="auto"/>
          </w:tcPr>
          <w:p w14:paraId="1863F4B1" w14:textId="4569523F" w:rsidR="00151A70" w:rsidRPr="00881FDC" w:rsidRDefault="00151A70" w:rsidP="00151A70">
            <w:pPr>
              <w:bidi/>
              <w:jc w:val="center"/>
              <w:rPr>
                <w:rFonts w:asciiTheme="majorBidi" w:hAnsiTheme="majorBidi" w:cstheme="majorBidi"/>
                <w:b/>
                <w:bCs/>
                <w:sz w:val="20"/>
                <w:lang w:eastAsia="en-CA" w:bidi="ar-LB"/>
              </w:rPr>
            </w:pPr>
            <w:r w:rsidRPr="00881FDC">
              <w:rPr>
                <w:rFonts w:asciiTheme="majorBidi" w:hAnsiTheme="majorBidi" w:cstheme="majorBidi"/>
                <w:b/>
                <w:bCs/>
                <w:sz w:val="20"/>
                <w:rtl/>
                <w:lang w:bidi="ar-LB"/>
              </w:rPr>
              <w:t>المكاسب الناتجة عن زيادة الكفاءة في استخدام الطاقة في إطار سيناريو العمل كالمعتاد؛</w:t>
            </w:r>
          </w:p>
        </w:tc>
        <w:tc>
          <w:tcPr>
            <w:tcW w:w="598" w:type="pct"/>
            <w:tcBorders>
              <w:right w:val="single" w:sz="4" w:space="0" w:color="auto"/>
            </w:tcBorders>
            <w:shd w:val="clear" w:color="auto" w:fill="auto"/>
          </w:tcPr>
          <w:p w14:paraId="4DAEE0D9" w14:textId="3310F75E" w:rsidR="00151A70" w:rsidRPr="00881FDC" w:rsidRDefault="00151A70" w:rsidP="00151A70">
            <w:pPr>
              <w:bidi/>
              <w:jc w:val="center"/>
              <w:rPr>
                <w:rFonts w:asciiTheme="majorBidi" w:hAnsiTheme="majorBidi" w:cstheme="majorBidi"/>
                <w:b/>
                <w:bCs/>
                <w:sz w:val="20"/>
                <w:lang w:eastAsia="en-CA" w:bidi="ar-LB"/>
              </w:rPr>
            </w:pPr>
            <w:r w:rsidRPr="00881FDC">
              <w:rPr>
                <w:rFonts w:asciiTheme="majorBidi" w:hAnsiTheme="majorBidi" w:cstheme="majorBidi"/>
                <w:b/>
                <w:bCs/>
                <w:sz w:val="20"/>
                <w:rtl/>
                <w:lang w:bidi="ar-LB"/>
              </w:rPr>
              <w:t>أفضل سيناريو لتحقيق مكاسب في كفاءة استخدام الطاقة؛</w:t>
            </w:r>
          </w:p>
        </w:tc>
        <w:tc>
          <w:tcPr>
            <w:tcW w:w="638" w:type="pct"/>
            <w:tcBorders>
              <w:bottom w:val="single" w:sz="4" w:space="0" w:color="auto"/>
            </w:tcBorders>
            <w:shd w:val="clear" w:color="auto" w:fill="auto"/>
          </w:tcPr>
          <w:p w14:paraId="48F4C7AA" w14:textId="5C2531F1" w:rsidR="00151A70" w:rsidRPr="00881FDC" w:rsidRDefault="00151A70" w:rsidP="00151A70">
            <w:pPr>
              <w:bidi/>
              <w:jc w:val="center"/>
              <w:rPr>
                <w:rFonts w:asciiTheme="majorBidi" w:hAnsiTheme="majorBidi" w:cstheme="majorBidi"/>
                <w:b/>
                <w:bCs/>
                <w:sz w:val="20"/>
                <w:lang w:eastAsia="en-CA" w:bidi="ar-LB"/>
              </w:rPr>
            </w:pPr>
            <w:r w:rsidRPr="00881FDC">
              <w:rPr>
                <w:rFonts w:asciiTheme="majorBidi" w:hAnsiTheme="majorBidi" w:cstheme="majorBidi"/>
                <w:b/>
                <w:bCs/>
                <w:sz w:val="20"/>
                <w:rtl/>
                <w:lang w:bidi="ar-LB"/>
              </w:rPr>
              <w:t>المكاسب الناتجة عن زيادة الكفاءة في استخدام الطاقة في إطار سيناريو العمل كالمعتاد؛</w:t>
            </w:r>
          </w:p>
        </w:tc>
        <w:tc>
          <w:tcPr>
            <w:tcW w:w="637" w:type="pct"/>
            <w:tcBorders>
              <w:bottom w:val="single" w:sz="4" w:space="0" w:color="auto"/>
            </w:tcBorders>
            <w:shd w:val="clear" w:color="auto" w:fill="auto"/>
          </w:tcPr>
          <w:p w14:paraId="719C8EA2" w14:textId="1FC76CCB" w:rsidR="00151A70" w:rsidRPr="00881FDC" w:rsidRDefault="00151A70" w:rsidP="00151A70">
            <w:pPr>
              <w:bidi/>
              <w:jc w:val="center"/>
              <w:rPr>
                <w:rFonts w:asciiTheme="majorBidi" w:hAnsiTheme="majorBidi" w:cstheme="majorBidi"/>
                <w:b/>
                <w:bCs/>
                <w:sz w:val="20"/>
                <w:lang w:eastAsia="en-CA" w:bidi="ar-LB"/>
              </w:rPr>
            </w:pPr>
            <w:r w:rsidRPr="00881FDC">
              <w:rPr>
                <w:rFonts w:asciiTheme="majorBidi" w:hAnsiTheme="majorBidi" w:cstheme="majorBidi"/>
                <w:b/>
                <w:bCs/>
                <w:sz w:val="20"/>
                <w:rtl/>
                <w:lang w:bidi="ar-LB"/>
              </w:rPr>
              <w:t>أفضل سيناريو لتحقيق مكاسب في كفاءة استخدام الطاقة؛</w:t>
            </w:r>
          </w:p>
        </w:tc>
      </w:tr>
      <w:tr w:rsidR="00151A70" w:rsidRPr="00642AEE" w14:paraId="5D8D72CE" w14:textId="77777777" w:rsidTr="00151A70">
        <w:trPr>
          <w:trHeight w:val="235"/>
        </w:trPr>
        <w:tc>
          <w:tcPr>
            <w:tcW w:w="1335" w:type="pct"/>
            <w:shd w:val="clear" w:color="auto" w:fill="D9D9D9" w:themeFill="background1" w:themeFillShade="D9"/>
          </w:tcPr>
          <w:p w14:paraId="4ED0C8E9" w14:textId="14E98BF8" w:rsidR="00151A70" w:rsidRPr="00642AEE" w:rsidRDefault="00151A70" w:rsidP="00151A70">
            <w:pPr>
              <w:bidi/>
              <w:jc w:val="left"/>
              <w:rPr>
                <w:rFonts w:asciiTheme="majorBidi" w:hAnsiTheme="majorBidi" w:cstheme="majorBidi"/>
                <w:sz w:val="20"/>
                <w:lang w:eastAsia="en-CA" w:bidi="ar-LB"/>
              </w:rPr>
            </w:pPr>
            <w:r w:rsidRPr="004D7018">
              <w:rPr>
                <w:rFonts w:asciiTheme="majorBidi" w:hAnsiTheme="majorBidi" w:cstheme="majorBidi"/>
                <w:sz w:val="22"/>
                <w:szCs w:val="22"/>
                <w:rtl/>
                <w:lang w:bidi="ar-LB"/>
              </w:rPr>
              <w:t>تبريد المساحات السكنية</w:t>
            </w:r>
          </w:p>
        </w:tc>
        <w:tc>
          <w:tcPr>
            <w:tcW w:w="550" w:type="pct"/>
            <w:shd w:val="clear" w:color="auto" w:fill="auto"/>
            <w:vAlign w:val="bottom"/>
          </w:tcPr>
          <w:p w14:paraId="0FC30146"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8.31</w:t>
            </w:r>
          </w:p>
        </w:tc>
        <w:tc>
          <w:tcPr>
            <w:tcW w:w="645" w:type="pct"/>
            <w:shd w:val="clear" w:color="auto" w:fill="D9D9D9" w:themeFill="background1" w:themeFillShade="D9"/>
            <w:vAlign w:val="bottom"/>
          </w:tcPr>
          <w:p w14:paraId="471490E7"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32.1</w:t>
            </w:r>
          </w:p>
        </w:tc>
        <w:tc>
          <w:tcPr>
            <w:tcW w:w="597" w:type="pct"/>
            <w:shd w:val="clear" w:color="auto" w:fill="auto"/>
            <w:vAlign w:val="bottom"/>
          </w:tcPr>
          <w:p w14:paraId="7B07C9C7"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68.635</w:t>
            </w:r>
          </w:p>
        </w:tc>
        <w:tc>
          <w:tcPr>
            <w:tcW w:w="598" w:type="pct"/>
            <w:tcBorders>
              <w:right w:val="single" w:sz="4" w:space="0" w:color="auto"/>
            </w:tcBorders>
            <w:shd w:val="clear" w:color="auto" w:fill="auto"/>
            <w:vAlign w:val="bottom"/>
          </w:tcPr>
          <w:p w14:paraId="74D4CBA7"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39.345</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2295C952"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41.54 </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675907CF"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20.62 </w:t>
            </w:r>
          </w:p>
        </w:tc>
      </w:tr>
      <w:tr w:rsidR="00151A70" w:rsidRPr="00642AEE" w14:paraId="4B61EB0F" w14:textId="77777777" w:rsidTr="00151A70">
        <w:trPr>
          <w:trHeight w:val="235"/>
        </w:trPr>
        <w:tc>
          <w:tcPr>
            <w:tcW w:w="1335" w:type="pct"/>
          </w:tcPr>
          <w:p w14:paraId="4E635706" w14:textId="5EAB6F86" w:rsidR="00151A70" w:rsidRPr="00642AEE" w:rsidRDefault="00151A70" w:rsidP="00151A70">
            <w:pPr>
              <w:bidi/>
              <w:jc w:val="left"/>
              <w:rPr>
                <w:rFonts w:asciiTheme="majorBidi" w:hAnsiTheme="majorBidi" w:cstheme="majorBidi"/>
                <w:sz w:val="20"/>
                <w:lang w:eastAsia="en-CA" w:bidi="ar-LB"/>
              </w:rPr>
            </w:pPr>
            <w:r w:rsidRPr="004D7018">
              <w:rPr>
                <w:rFonts w:asciiTheme="majorBidi" w:hAnsiTheme="majorBidi" w:cstheme="majorBidi"/>
                <w:sz w:val="22"/>
                <w:szCs w:val="22"/>
                <w:rtl/>
                <w:lang w:bidi="ar-LB"/>
              </w:rPr>
              <w:t>سلسلة أجهزة التبريد السكني</w:t>
            </w:r>
          </w:p>
        </w:tc>
        <w:tc>
          <w:tcPr>
            <w:tcW w:w="550" w:type="pct"/>
            <w:shd w:val="clear" w:color="auto" w:fill="auto"/>
            <w:vAlign w:val="bottom"/>
          </w:tcPr>
          <w:p w14:paraId="66CA95EE"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0.15</w:t>
            </w:r>
          </w:p>
        </w:tc>
        <w:tc>
          <w:tcPr>
            <w:tcW w:w="645" w:type="pct"/>
            <w:shd w:val="clear" w:color="auto" w:fill="auto"/>
            <w:vAlign w:val="bottom"/>
          </w:tcPr>
          <w:p w14:paraId="04E6C586"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0.6</w:t>
            </w:r>
          </w:p>
        </w:tc>
        <w:tc>
          <w:tcPr>
            <w:tcW w:w="597" w:type="pct"/>
            <w:shd w:val="clear" w:color="auto" w:fill="auto"/>
            <w:vAlign w:val="bottom"/>
          </w:tcPr>
          <w:p w14:paraId="24345509"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14.816</w:t>
            </w:r>
          </w:p>
        </w:tc>
        <w:tc>
          <w:tcPr>
            <w:tcW w:w="598" w:type="pct"/>
            <w:tcBorders>
              <w:right w:val="single" w:sz="4" w:space="0" w:color="auto"/>
            </w:tcBorders>
            <w:shd w:val="clear" w:color="auto" w:fill="auto"/>
            <w:vAlign w:val="bottom"/>
          </w:tcPr>
          <w:p w14:paraId="06AF0C52"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8.992</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0478554C"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7.53 </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176CFE3B"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4.46 </w:t>
            </w:r>
          </w:p>
        </w:tc>
      </w:tr>
      <w:tr w:rsidR="00151A70" w:rsidRPr="00642AEE" w14:paraId="741ADDEB" w14:textId="77777777" w:rsidTr="00151A70">
        <w:trPr>
          <w:trHeight w:val="235"/>
        </w:trPr>
        <w:tc>
          <w:tcPr>
            <w:tcW w:w="1335" w:type="pct"/>
            <w:shd w:val="clear" w:color="auto" w:fill="D9D9D9" w:themeFill="background1" w:themeFillShade="D9"/>
          </w:tcPr>
          <w:p w14:paraId="44EF0A30" w14:textId="71E25DFD" w:rsidR="00151A70" w:rsidRPr="00642AEE" w:rsidRDefault="00151A70" w:rsidP="00151A70">
            <w:pPr>
              <w:bidi/>
              <w:jc w:val="left"/>
              <w:rPr>
                <w:rFonts w:asciiTheme="majorBidi" w:hAnsiTheme="majorBidi" w:cstheme="majorBidi"/>
                <w:sz w:val="20"/>
                <w:lang w:eastAsia="en-CA" w:bidi="ar-LB"/>
              </w:rPr>
            </w:pPr>
            <w:r w:rsidRPr="004D7018">
              <w:rPr>
                <w:rFonts w:asciiTheme="majorBidi" w:hAnsiTheme="majorBidi" w:cstheme="majorBidi"/>
                <w:sz w:val="22"/>
                <w:szCs w:val="22"/>
                <w:rtl/>
                <w:lang w:bidi="ar-LB"/>
              </w:rPr>
              <w:t>تبريد المساحات غير السكنية</w:t>
            </w:r>
          </w:p>
        </w:tc>
        <w:tc>
          <w:tcPr>
            <w:tcW w:w="550" w:type="pct"/>
            <w:shd w:val="clear" w:color="auto" w:fill="auto"/>
            <w:vAlign w:val="bottom"/>
          </w:tcPr>
          <w:p w14:paraId="7DB2F4A7"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4.98</w:t>
            </w:r>
          </w:p>
        </w:tc>
        <w:tc>
          <w:tcPr>
            <w:tcW w:w="645" w:type="pct"/>
            <w:shd w:val="clear" w:color="auto" w:fill="D9D9D9" w:themeFill="background1" w:themeFillShade="D9"/>
            <w:vAlign w:val="bottom"/>
          </w:tcPr>
          <w:p w14:paraId="5560AEEA"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19.2</w:t>
            </w:r>
          </w:p>
        </w:tc>
        <w:tc>
          <w:tcPr>
            <w:tcW w:w="597" w:type="pct"/>
            <w:shd w:val="clear" w:color="auto" w:fill="auto"/>
            <w:vAlign w:val="bottom"/>
          </w:tcPr>
          <w:p w14:paraId="792337C6"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24.411</w:t>
            </w:r>
          </w:p>
        </w:tc>
        <w:tc>
          <w:tcPr>
            <w:tcW w:w="598" w:type="pct"/>
            <w:tcBorders>
              <w:right w:val="single" w:sz="4" w:space="0" w:color="auto"/>
            </w:tcBorders>
            <w:shd w:val="clear" w:color="auto" w:fill="auto"/>
            <w:vAlign w:val="bottom"/>
          </w:tcPr>
          <w:p w14:paraId="571F8EEE"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15.306</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70BB1ECB"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14.83 </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559945E2"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7.81 </w:t>
            </w:r>
          </w:p>
        </w:tc>
      </w:tr>
      <w:tr w:rsidR="00151A70" w:rsidRPr="00642AEE" w14:paraId="15C6F74C" w14:textId="77777777" w:rsidTr="00151A70">
        <w:trPr>
          <w:trHeight w:val="235"/>
        </w:trPr>
        <w:tc>
          <w:tcPr>
            <w:tcW w:w="1335" w:type="pct"/>
            <w:shd w:val="clear" w:color="auto" w:fill="D9D9D9" w:themeFill="background1" w:themeFillShade="D9"/>
          </w:tcPr>
          <w:p w14:paraId="7B546B7D" w14:textId="143CABD9" w:rsidR="00151A70" w:rsidRPr="00642AEE" w:rsidRDefault="00151A70" w:rsidP="00151A70">
            <w:pPr>
              <w:bidi/>
              <w:jc w:val="left"/>
              <w:rPr>
                <w:rFonts w:asciiTheme="majorBidi" w:hAnsiTheme="majorBidi" w:cstheme="majorBidi"/>
                <w:sz w:val="20"/>
                <w:lang w:eastAsia="en-CA" w:bidi="ar-LB"/>
              </w:rPr>
            </w:pPr>
            <w:r w:rsidRPr="004D7018">
              <w:rPr>
                <w:rFonts w:asciiTheme="majorBidi" w:hAnsiTheme="majorBidi" w:cstheme="majorBidi"/>
                <w:sz w:val="22"/>
                <w:szCs w:val="22"/>
                <w:rtl/>
                <w:lang w:bidi="ar-LB"/>
              </w:rPr>
              <w:t>سلسلة أجهزة التبريد غير السكني</w:t>
            </w:r>
          </w:p>
        </w:tc>
        <w:tc>
          <w:tcPr>
            <w:tcW w:w="550" w:type="pct"/>
            <w:shd w:val="clear" w:color="auto" w:fill="auto"/>
            <w:vAlign w:val="bottom"/>
          </w:tcPr>
          <w:p w14:paraId="030910A3"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8.85</w:t>
            </w:r>
          </w:p>
        </w:tc>
        <w:tc>
          <w:tcPr>
            <w:tcW w:w="645" w:type="pct"/>
            <w:shd w:val="clear" w:color="auto" w:fill="D9D9D9" w:themeFill="background1" w:themeFillShade="D9"/>
            <w:vAlign w:val="bottom"/>
          </w:tcPr>
          <w:p w14:paraId="0DCFE8D4"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34.2</w:t>
            </w:r>
          </w:p>
        </w:tc>
        <w:tc>
          <w:tcPr>
            <w:tcW w:w="597" w:type="pct"/>
            <w:shd w:val="clear" w:color="auto" w:fill="auto"/>
            <w:vAlign w:val="bottom"/>
          </w:tcPr>
          <w:p w14:paraId="7C23B58D"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32.002</w:t>
            </w:r>
          </w:p>
        </w:tc>
        <w:tc>
          <w:tcPr>
            <w:tcW w:w="598" w:type="pct"/>
            <w:tcBorders>
              <w:right w:val="single" w:sz="4" w:space="0" w:color="auto"/>
            </w:tcBorders>
            <w:shd w:val="clear" w:color="auto" w:fill="auto"/>
            <w:vAlign w:val="bottom"/>
          </w:tcPr>
          <w:p w14:paraId="00F8DD56"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20.683</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664FCA23"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18.03 </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1E0A8CC4"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10.32 </w:t>
            </w:r>
          </w:p>
        </w:tc>
      </w:tr>
      <w:tr w:rsidR="00151A70" w:rsidRPr="00642AEE" w14:paraId="77C2EA9A" w14:textId="77777777" w:rsidTr="00151A70">
        <w:trPr>
          <w:trHeight w:val="235"/>
        </w:trPr>
        <w:tc>
          <w:tcPr>
            <w:tcW w:w="1335" w:type="pct"/>
            <w:shd w:val="clear" w:color="auto" w:fill="D9D9D9" w:themeFill="background1" w:themeFillShade="D9"/>
          </w:tcPr>
          <w:p w14:paraId="25EE4AA7" w14:textId="76995DE6" w:rsidR="00151A70" w:rsidRPr="00642AEE" w:rsidRDefault="00151A70" w:rsidP="00151A70">
            <w:pPr>
              <w:bidi/>
              <w:jc w:val="left"/>
              <w:rPr>
                <w:rFonts w:asciiTheme="majorBidi" w:hAnsiTheme="majorBidi" w:cstheme="majorBidi"/>
                <w:sz w:val="20"/>
                <w:lang w:eastAsia="en-CA" w:bidi="ar-LB"/>
              </w:rPr>
            </w:pPr>
            <w:r w:rsidRPr="004D7018">
              <w:rPr>
                <w:rFonts w:asciiTheme="majorBidi" w:hAnsiTheme="majorBidi" w:cstheme="majorBidi"/>
                <w:sz w:val="22"/>
                <w:szCs w:val="22"/>
                <w:rtl/>
                <w:lang w:bidi="ar-LB"/>
              </w:rPr>
              <w:t>تبريد مساحات وسائل النقل</w:t>
            </w:r>
          </w:p>
        </w:tc>
        <w:tc>
          <w:tcPr>
            <w:tcW w:w="550" w:type="pct"/>
            <w:shd w:val="clear" w:color="auto" w:fill="auto"/>
            <w:vAlign w:val="bottom"/>
          </w:tcPr>
          <w:p w14:paraId="50AFFAEB"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3.36</w:t>
            </w:r>
          </w:p>
        </w:tc>
        <w:tc>
          <w:tcPr>
            <w:tcW w:w="645" w:type="pct"/>
            <w:shd w:val="clear" w:color="auto" w:fill="D9D9D9" w:themeFill="background1" w:themeFillShade="D9"/>
            <w:vAlign w:val="bottom"/>
          </w:tcPr>
          <w:p w14:paraId="0A39DC52"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13.0</w:t>
            </w:r>
          </w:p>
        </w:tc>
        <w:tc>
          <w:tcPr>
            <w:tcW w:w="597" w:type="pct"/>
            <w:shd w:val="clear" w:color="auto" w:fill="auto"/>
            <w:vAlign w:val="bottom"/>
          </w:tcPr>
          <w:p w14:paraId="68C5EC2F"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24.616</w:t>
            </w:r>
          </w:p>
        </w:tc>
        <w:tc>
          <w:tcPr>
            <w:tcW w:w="598" w:type="pct"/>
            <w:tcBorders>
              <w:right w:val="single" w:sz="4" w:space="0" w:color="auto"/>
            </w:tcBorders>
            <w:shd w:val="clear" w:color="auto" w:fill="auto"/>
            <w:vAlign w:val="bottom"/>
          </w:tcPr>
          <w:p w14:paraId="0C02C256"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17.768</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60E60900"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8.27 </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73F421D5"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4.92 </w:t>
            </w:r>
          </w:p>
        </w:tc>
      </w:tr>
      <w:tr w:rsidR="00151A70" w:rsidRPr="00642AEE" w14:paraId="3DACF88B" w14:textId="77777777" w:rsidTr="00151A70">
        <w:trPr>
          <w:trHeight w:val="235"/>
        </w:trPr>
        <w:tc>
          <w:tcPr>
            <w:tcW w:w="1335" w:type="pct"/>
          </w:tcPr>
          <w:p w14:paraId="7F1F6673" w14:textId="74B437FD" w:rsidR="00151A70" w:rsidRPr="00642AEE" w:rsidRDefault="00151A70" w:rsidP="00151A70">
            <w:pPr>
              <w:bidi/>
              <w:jc w:val="left"/>
              <w:rPr>
                <w:rFonts w:asciiTheme="majorBidi" w:hAnsiTheme="majorBidi" w:cstheme="majorBidi"/>
                <w:sz w:val="20"/>
                <w:lang w:eastAsia="en-CA" w:bidi="ar-LB"/>
              </w:rPr>
            </w:pPr>
            <w:r w:rsidRPr="004D7018">
              <w:rPr>
                <w:rFonts w:asciiTheme="majorBidi" w:hAnsiTheme="majorBidi" w:cstheme="majorBidi"/>
                <w:sz w:val="22"/>
                <w:szCs w:val="22"/>
                <w:rtl/>
                <w:lang w:bidi="ar-LB"/>
              </w:rPr>
              <w:lastRenderedPageBreak/>
              <w:t>سلسلة تبريد وسائل النقل</w:t>
            </w:r>
          </w:p>
        </w:tc>
        <w:tc>
          <w:tcPr>
            <w:tcW w:w="550" w:type="pct"/>
            <w:shd w:val="clear" w:color="auto" w:fill="auto"/>
            <w:vAlign w:val="bottom"/>
          </w:tcPr>
          <w:p w14:paraId="553115BA"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0.25</w:t>
            </w:r>
          </w:p>
        </w:tc>
        <w:tc>
          <w:tcPr>
            <w:tcW w:w="645" w:type="pct"/>
            <w:shd w:val="clear" w:color="auto" w:fill="auto"/>
            <w:vAlign w:val="bottom"/>
          </w:tcPr>
          <w:p w14:paraId="571B57A3" w14:textId="77777777" w:rsidR="00151A70" w:rsidRPr="00642AEE" w:rsidRDefault="00151A70" w:rsidP="00151A70">
            <w:pPr>
              <w:jc w:val="right"/>
              <w:rPr>
                <w:rFonts w:asciiTheme="majorBidi" w:hAnsiTheme="majorBidi" w:cstheme="majorBidi"/>
                <w:sz w:val="20"/>
                <w:lang w:eastAsia="en-CA" w:bidi="ar-LB"/>
              </w:rPr>
            </w:pPr>
            <w:r w:rsidRPr="00642AEE">
              <w:rPr>
                <w:rFonts w:asciiTheme="majorBidi" w:hAnsiTheme="majorBidi" w:cstheme="majorBidi"/>
                <w:sz w:val="20"/>
                <w:lang w:bidi="ar-LB"/>
              </w:rPr>
              <w:t>1.0</w:t>
            </w:r>
          </w:p>
        </w:tc>
        <w:tc>
          <w:tcPr>
            <w:tcW w:w="597" w:type="pct"/>
            <w:shd w:val="clear" w:color="auto" w:fill="auto"/>
            <w:vAlign w:val="bottom"/>
          </w:tcPr>
          <w:p w14:paraId="4EFDE49A"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3.349</w:t>
            </w:r>
          </w:p>
        </w:tc>
        <w:tc>
          <w:tcPr>
            <w:tcW w:w="598" w:type="pct"/>
            <w:tcBorders>
              <w:right w:val="single" w:sz="4" w:space="0" w:color="auto"/>
            </w:tcBorders>
            <w:shd w:val="clear" w:color="auto" w:fill="auto"/>
            <w:vAlign w:val="bottom"/>
          </w:tcPr>
          <w:p w14:paraId="7D37C05B"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2.108</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5EDB7026"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0.99 </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236A3CD8" w14:textId="77777777" w:rsidR="00151A70" w:rsidRPr="00642AEE" w:rsidRDefault="00151A70" w:rsidP="00151A70">
            <w:pPr>
              <w:jc w:val="right"/>
              <w:rPr>
                <w:rFonts w:asciiTheme="majorBidi" w:hAnsiTheme="majorBidi" w:cstheme="majorBidi"/>
                <w:sz w:val="20"/>
                <w:lang w:bidi="ar-LB"/>
              </w:rPr>
            </w:pPr>
            <w:r w:rsidRPr="00642AEE">
              <w:rPr>
                <w:rFonts w:asciiTheme="majorBidi" w:hAnsiTheme="majorBidi" w:cstheme="majorBidi"/>
                <w:sz w:val="20"/>
                <w:lang w:bidi="ar-LB"/>
              </w:rPr>
              <w:t xml:space="preserve">       0.53 </w:t>
            </w:r>
          </w:p>
        </w:tc>
      </w:tr>
      <w:tr w:rsidR="00151A70" w:rsidRPr="00642AEE" w14:paraId="5993D454" w14:textId="77777777" w:rsidTr="00151A70">
        <w:trPr>
          <w:trHeight w:val="235"/>
        </w:trPr>
        <w:tc>
          <w:tcPr>
            <w:tcW w:w="1335" w:type="pct"/>
            <w:vAlign w:val="center"/>
          </w:tcPr>
          <w:p w14:paraId="0B0A26BE" w14:textId="40D4D36E" w:rsidR="00151A70" w:rsidRPr="00642AEE" w:rsidRDefault="00151A70" w:rsidP="00151A70">
            <w:pPr>
              <w:bidi/>
              <w:jc w:val="left"/>
              <w:rPr>
                <w:rFonts w:asciiTheme="majorBidi" w:hAnsiTheme="majorBidi" w:cstheme="majorBidi"/>
                <w:b/>
                <w:bCs/>
                <w:sz w:val="20"/>
                <w:lang w:eastAsia="en-CA" w:bidi="ar-LB"/>
              </w:rPr>
            </w:pPr>
            <w:r w:rsidRPr="004D7018">
              <w:rPr>
                <w:rFonts w:asciiTheme="majorBidi" w:hAnsiTheme="majorBidi" w:cstheme="majorBidi"/>
                <w:b/>
                <w:bCs/>
                <w:sz w:val="22"/>
                <w:szCs w:val="22"/>
                <w:rtl/>
                <w:lang w:bidi="ar-LB"/>
              </w:rPr>
              <w:t>المجموع</w:t>
            </w:r>
          </w:p>
        </w:tc>
        <w:tc>
          <w:tcPr>
            <w:tcW w:w="550" w:type="pct"/>
            <w:shd w:val="clear" w:color="auto" w:fill="auto"/>
            <w:vAlign w:val="center"/>
          </w:tcPr>
          <w:p w14:paraId="1F9D5112" w14:textId="77777777" w:rsidR="00151A70" w:rsidRPr="00642AEE" w:rsidRDefault="00151A70" w:rsidP="00151A70">
            <w:pPr>
              <w:jc w:val="right"/>
              <w:rPr>
                <w:rFonts w:asciiTheme="majorBidi" w:eastAsiaTheme="minorHAnsi" w:hAnsiTheme="majorBidi" w:cstheme="majorBidi"/>
                <w:b/>
                <w:bCs/>
                <w:sz w:val="20"/>
                <w:lang w:bidi="ar-LB"/>
              </w:rPr>
            </w:pPr>
            <w:r w:rsidRPr="00642AEE">
              <w:rPr>
                <w:rFonts w:asciiTheme="majorBidi" w:hAnsiTheme="majorBidi" w:cstheme="majorBidi"/>
                <w:b/>
                <w:bCs/>
                <w:sz w:val="20"/>
                <w:lang w:bidi="ar-LB"/>
              </w:rPr>
              <w:t>25.90</w:t>
            </w:r>
          </w:p>
        </w:tc>
        <w:tc>
          <w:tcPr>
            <w:tcW w:w="645" w:type="pct"/>
            <w:shd w:val="clear" w:color="auto" w:fill="auto"/>
            <w:vAlign w:val="center"/>
          </w:tcPr>
          <w:p w14:paraId="713BD94E" w14:textId="77777777" w:rsidR="00151A70" w:rsidRPr="00642AEE" w:rsidRDefault="00151A70" w:rsidP="00151A70">
            <w:pPr>
              <w:jc w:val="right"/>
              <w:rPr>
                <w:rFonts w:asciiTheme="majorBidi" w:hAnsiTheme="majorBidi" w:cstheme="majorBidi"/>
                <w:b/>
                <w:bCs/>
                <w:sz w:val="20"/>
                <w:lang w:eastAsia="en-CA" w:bidi="ar-LB"/>
              </w:rPr>
            </w:pPr>
            <w:r w:rsidRPr="00642AEE">
              <w:rPr>
                <w:rFonts w:asciiTheme="majorBidi" w:hAnsiTheme="majorBidi" w:cstheme="majorBidi"/>
                <w:b/>
                <w:bCs/>
                <w:sz w:val="20"/>
                <w:lang w:bidi="ar-LB"/>
              </w:rPr>
              <w:t>100.0</w:t>
            </w:r>
          </w:p>
        </w:tc>
        <w:tc>
          <w:tcPr>
            <w:tcW w:w="597" w:type="pct"/>
            <w:shd w:val="clear" w:color="auto" w:fill="auto"/>
            <w:vAlign w:val="center"/>
          </w:tcPr>
          <w:p w14:paraId="200C8744" w14:textId="77777777" w:rsidR="00151A70" w:rsidRPr="00642AEE" w:rsidRDefault="00151A70" w:rsidP="00151A70">
            <w:pPr>
              <w:jc w:val="right"/>
              <w:rPr>
                <w:rFonts w:asciiTheme="majorBidi" w:hAnsiTheme="majorBidi" w:cstheme="majorBidi"/>
                <w:b/>
                <w:bCs/>
                <w:sz w:val="20"/>
                <w:lang w:bidi="ar-LB"/>
              </w:rPr>
            </w:pPr>
            <w:r w:rsidRPr="00642AEE">
              <w:rPr>
                <w:rFonts w:asciiTheme="majorBidi" w:hAnsiTheme="majorBidi" w:cstheme="majorBidi"/>
                <w:b/>
                <w:bCs/>
                <w:sz w:val="20"/>
                <w:lang w:bidi="ar-LB"/>
              </w:rPr>
              <w:t>167.829</w:t>
            </w:r>
          </w:p>
        </w:tc>
        <w:tc>
          <w:tcPr>
            <w:tcW w:w="598" w:type="pct"/>
            <w:tcBorders>
              <w:right w:val="single" w:sz="4" w:space="0" w:color="auto"/>
            </w:tcBorders>
            <w:shd w:val="clear" w:color="auto" w:fill="auto"/>
            <w:vAlign w:val="center"/>
          </w:tcPr>
          <w:p w14:paraId="1BADEDFC" w14:textId="77777777" w:rsidR="00151A70" w:rsidRPr="00642AEE" w:rsidRDefault="00151A70" w:rsidP="00151A70">
            <w:pPr>
              <w:jc w:val="right"/>
              <w:rPr>
                <w:rFonts w:asciiTheme="majorBidi" w:hAnsiTheme="majorBidi" w:cstheme="majorBidi"/>
                <w:b/>
                <w:bCs/>
                <w:sz w:val="20"/>
                <w:lang w:bidi="ar-LB"/>
              </w:rPr>
            </w:pPr>
            <w:r w:rsidRPr="00642AEE">
              <w:rPr>
                <w:rFonts w:asciiTheme="majorBidi" w:hAnsiTheme="majorBidi" w:cstheme="majorBidi"/>
                <w:b/>
                <w:bCs/>
                <w:sz w:val="20"/>
                <w:lang w:bidi="ar-LB"/>
              </w:rPr>
              <w:t>104.202</w:t>
            </w:r>
          </w:p>
        </w:tc>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7A8F8B73" w14:textId="77777777" w:rsidR="00151A70" w:rsidRPr="00642AEE" w:rsidRDefault="00151A70" w:rsidP="00151A70">
            <w:pPr>
              <w:jc w:val="right"/>
              <w:rPr>
                <w:rFonts w:asciiTheme="majorBidi" w:hAnsiTheme="majorBidi" w:cstheme="majorBidi"/>
                <w:b/>
                <w:bCs/>
                <w:sz w:val="20"/>
                <w:lang w:bidi="ar-LB"/>
              </w:rPr>
            </w:pPr>
            <w:r w:rsidRPr="00642AEE">
              <w:rPr>
                <w:rFonts w:asciiTheme="majorBidi" w:hAnsiTheme="majorBidi" w:cstheme="majorBidi"/>
                <w:b/>
                <w:bCs/>
                <w:sz w:val="20"/>
                <w:lang w:bidi="ar-LB"/>
              </w:rPr>
              <w:t>91.20</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6FE5AFBD" w14:textId="77777777" w:rsidR="00151A70" w:rsidRPr="00642AEE" w:rsidRDefault="00151A70" w:rsidP="00151A70">
            <w:pPr>
              <w:jc w:val="right"/>
              <w:rPr>
                <w:rFonts w:asciiTheme="majorBidi" w:hAnsiTheme="majorBidi" w:cstheme="majorBidi"/>
                <w:b/>
                <w:bCs/>
                <w:sz w:val="20"/>
                <w:lang w:bidi="ar-LB"/>
              </w:rPr>
            </w:pPr>
            <w:r w:rsidRPr="00642AEE">
              <w:rPr>
                <w:rFonts w:asciiTheme="majorBidi" w:hAnsiTheme="majorBidi" w:cstheme="majorBidi"/>
                <w:b/>
                <w:bCs/>
                <w:sz w:val="20"/>
                <w:lang w:bidi="ar-LB"/>
              </w:rPr>
              <w:t>48.66</w:t>
            </w:r>
          </w:p>
        </w:tc>
      </w:tr>
    </w:tbl>
    <w:p w14:paraId="06D912F8" w14:textId="2276BD48" w:rsidR="002208B8" w:rsidRPr="00F7480C" w:rsidRDefault="00151A70" w:rsidP="00151A70">
      <w:pPr>
        <w:pStyle w:val="StyleHeader4Para4Left0Firstline0"/>
        <w:widowControl/>
        <w:numPr>
          <w:ilvl w:val="0"/>
          <w:numId w:val="0"/>
        </w:numPr>
        <w:tabs>
          <w:tab w:val="clear" w:pos="2880"/>
          <w:tab w:val="clear" w:pos="5760"/>
          <w:tab w:val="left" w:pos="713"/>
        </w:tabs>
        <w:bidi/>
        <w:spacing w:before="240" w:after="120" w:line="360" w:lineRule="exact"/>
        <w:rPr>
          <w:sz w:val="26"/>
          <w:szCs w:val="26"/>
          <w:lang w:val="en-US" w:bidi="ar-LB"/>
        </w:rPr>
      </w:pPr>
      <w:r w:rsidRPr="00C132D3">
        <w:rPr>
          <w:rFonts w:asciiTheme="majorBidi" w:hAnsiTheme="majorBidi" w:cstheme="majorBidi"/>
          <w:sz w:val="26"/>
          <w:szCs w:val="26"/>
          <w:u w:val="single"/>
          <w:rtl/>
          <w:lang w:bidi="ar-LB"/>
        </w:rPr>
        <w:t>التخفيضات في ذروة الطلب على الطاقة</w:t>
      </w:r>
    </w:p>
    <w:p w14:paraId="53BEE296" w14:textId="4B741012" w:rsidR="00F7480C" w:rsidRPr="00151A70"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يقدم </w:t>
      </w:r>
      <w:r w:rsidRPr="00C132D3">
        <w:rPr>
          <w:rFonts w:asciiTheme="majorBidi" w:hAnsiTheme="majorBidi" w:cstheme="majorBidi"/>
          <w:sz w:val="26"/>
          <w:szCs w:val="26"/>
          <w:rtl/>
          <w:lang w:bidi="ar-LB"/>
        </w:rPr>
        <w:t xml:space="preserve">نموذج توقعات انبعاثات التبريد العالمي المتصلة بالمواد الهيدروفلوروكربونية تقديرات لاستهلاك الكهرباء (تيراواط/ساعة) في السنة. ويمكن تقدير متوسط الطلب السنوي بالتيراواط بقسمة رقم التيراواط/ساعة على </w:t>
      </w:r>
      <w:r w:rsidR="00CA4D6F" w:rsidRPr="00AB4EDA">
        <w:rPr>
          <w:sz w:val="24"/>
          <w:szCs w:val="24"/>
          <w:lang w:bidi="ar-LB"/>
        </w:rPr>
        <w:t>8,760</w:t>
      </w:r>
      <w:r w:rsidRPr="00C132D3">
        <w:rPr>
          <w:rFonts w:asciiTheme="majorBidi" w:hAnsiTheme="majorBidi" w:cstheme="majorBidi"/>
          <w:sz w:val="26"/>
          <w:szCs w:val="26"/>
          <w:rtl/>
          <w:lang w:bidi="ar-LB"/>
        </w:rPr>
        <w:t xml:space="preserve"> (عدد الساعات في السنة). غير أن هذا المتوسط أقل بكثير من ذروة الطلب، التي ستكون أعلى بسبب الحمل المتزامن لمعدات تكييف الهواء أو، على سبيل المثال، السيارات الكهربائية الجاري شحنها. وفي ضوء ما سبق، يعرض الجدول </w:t>
      </w:r>
      <w:r w:rsidR="00C41574" w:rsidRPr="00AB4EDA">
        <w:rPr>
          <w:sz w:val="24"/>
          <w:szCs w:val="24"/>
          <w:lang w:bidi="ar-LB"/>
        </w:rPr>
        <w:t>3</w:t>
      </w:r>
      <w:r w:rsidRPr="00C132D3">
        <w:rPr>
          <w:rFonts w:asciiTheme="majorBidi" w:hAnsiTheme="majorBidi" w:cstheme="majorBidi"/>
          <w:sz w:val="26"/>
          <w:szCs w:val="26"/>
          <w:rtl/>
          <w:lang w:bidi="ar-LB"/>
        </w:rPr>
        <w:t xml:space="preserve"> تقديرات ذروة الطلب بالتيراواط باستخدام ’’معامل ذروة الطلب‘‘</w:t>
      </w:r>
      <w:r w:rsidRPr="00C132D3">
        <w:rPr>
          <w:rStyle w:val="FootnoteReference"/>
          <w:rFonts w:asciiTheme="majorBidi" w:hAnsiTheme="majorBidi" w:cstheme="majorBidi"/>
          <w:sz w:val="26"/>
          <w:szCs w:val="26"/>
          <w:rtl/>
          <w:lang w:bidi="ar-LB"/>
        </w:rPr>
        <w:footnoteReference w:id="25"/>
      </w:r>
      <w:r w:rsidRPr="00C132D3">
        <w:rPr>
          <w:rFonts w:asciiTheme="majorBidi" w:hAnsiTheme="majorBidi" w:cstheme="majorBidi"/>
          <w:sz w:val="26"/>
          <w:szCs w:val="26"/>
          <w:rtl/>
          <w:lang w:bidi="ar-LB"/>
        </w:rPr>
        <w:t xml:space="preserve"> البالغ </w:t>
      </w:r>
      <w:r w:rsidR="00CA4D6F" w:rsidRPr="00AB4EDA">
        <w:rPr>
          <w:sz w:val="24"/>
          <w:szCs w:val="24"/>
          <w:lang w:bidi="ar-LB"/>
        </w:rPr>
        <w:t>2.3</w:t>
      </w:r>
      <w:r w:rsidRPr="00C132D3">
        <w:rPr>
          <w:rFonts w:asciiTheme="majorBidi" w:hAnsiTheme="majorBidi" w:cstheme="majorBidi"/>
          <w:sz w:val="26"/>
          <w:szCs w:val="26"/>
          <w:rtl/>
          <w:lang w:bidi="ar-LB"/>
        </w:rPr>
        <w:t>.</w:t>
      </w:r>
    </w:p>
    <w:p w14:paraId="17C5E143" w14:textId="1697C4DD" w:rsidR="00151A70" w:rsidRPr="00893A93" w:rsidRDefault="00151A70" w:rsidP="00151A70">
      <w:pPr>
        <w:pStyle w:val="StyleHeader4Para4Left0Firstline0"/>
        <w:widowControl/>
        <w:numPr>
          <w:ilvl w:val="0"/>
          <w:numId w:val="0"/>
        </w:numPr>
        <w:tabs>
          <w:tab w:val="clear" w:pos="2880"/>
          <w:tab w:val="clear" w:pos="5760"/>
          <w:tab w:val="left" w:pos="713"/>
        </w:tabs>
        <w:bidi/>
        <w:spacing w:after="120" w:line="360" w:lineRule="exact"/>
        <w:rPr>
          <w:rFonts w:asciiTheme="majorBidi" w:hAnsiTheme="majorBidi" w:cstheme="majorBidi"/>
          <w:b/>
          <w:bCs/>
          <w:sz w:val="24"/>
          <w:szCs w:val="24"/>
          <w:rtl/>
          <w:lang w:bidi="ar-LB"/>
        </w:rPr>
      </w:pPr>
      <w:r w:rsidRPr="00893A93">
        <w:rPr>
          <w:rFonts w:asciiTheme="majorBidi" w:hAnsiTheme="majorBidi" w:cstheme="majorBidi"/>
          <w:b/>
          <w:bCs/>
          <w:sz w:val="24"/>
          <w:szCs w:val="24"/>
          <w:rtl/>
          <w:lang w:bidi="ar-LB"/>
        </w:rPr>
        <w:t>الجدول 3 -</w:t>
      </w:r>
      <w:r w:rsidRPr="00893A93">
        <w:rPr>
          <w:rFonts w:asciiTheme="majorBidi" w:hAnsiTheme="majorBidi" w:cstheme="majorBidi"/>
          <w:bCs/>
          <w:sz w:val="24"/>
          <w:szCs w:val="24"/>
          <w:rtl/>
          <w:lang w:bidi="ar-LB"/>
        </w:rPr>
        <w:t xml:space="preserve"> </w:t>
      </w:r>
      <w:r w:rsidRPr="00893A93">
        <w:rPr>
          <w:rFonts w:asciiTheme="majorBidi" w:hAnsiTheme="majorBidi" w:cstheme="majorBidi"/>
          <w:b/>
          <w:bCs/>
          <w:sz w:val="24"/>
          <w:szCs w:val="24"/>
          <w:rtl/>
          <w:lang w:bidi="ar-LB"/>
        </w:rPr>
        <w:t>استهلاك الكهرباء وذروة الطلب في إطار سيناريو ’’مكاسب كفاءة الطاقة في ظل العمل كالمعتاد‘‘ وسيناريو ’’أفضل مكاسب في كفاءة استخدام الطاقة</w:t>
      </w:r>
      <w:r w:rsidRPr="00893A93">
        <w:rPr>
          <w:rFonts w:asciiTheme="majorBidi" w:hAnsiTheme="majorBidi" w:cstheme="majorBidi"/>
          <w:b/>
          <w:bCs/>
          <w:sz w:val="24"/>
          <w:szCs w:val="24"/>
          <w:lang w:bidi="ar-LB"/>
        </w:rPr>
        <w:t>‘‘</w:t>
      </w:r>
    </w:p>
    <w:tbl>
      <w:tblPr>
        <w:bidiVisual/>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799"/>
        <w:gridCol w:w="1799"/>
        <w:gridCol w:w="1799"/>
        <w:gridCol w:w="1799"/>
      </w:tblGrid>
      <w:tr w:rsidR="00464D03" w:rsidRPr="00642AEE" w14:paraId="44D8A5E6" w14:textId="77777777" w:rsidTr="00464D03">
        <w:trPr>
          <w:trHeight w:val="232"/>
        </w:trPr>
        <w:tc>
          <w:tcPr>
            <w:tcW w:w="2160" w:type="dxa"/>
          </w:tcPr>
          <w:p w14:paraId="66B50155" w14:textId="6ACE033D" w:rsidR="00464D03" w:rsidRPr="00642AEE" w:rsidRDefault="00464D03" w:rsidP="00464D03">
            <w:pPr>
              <w:bidi/>
              <w:jc w:val="center"/>
              <w:rPr>
                <w:rFonts w:asciiTheme="majorBidi" w:hAnsiTheme="majorBidi" w:cstheme="majorBidi"/>
                <w:b/>
                <w:bCs/>
                <w:sz w:val="20"/>
                <w:lang w:eastAsia="en-CA" w:bidi="ar-LB"/>
              </w:rPr>
            </w:pPr>
            <w:r w:rsidRPr="006563C2">
              <w:rPr>
                <w:rFonts w:asciiTheme="majorBidi" w:hAnsiTheme="majorBidi" w:cstheme="majorBidi"/>
                <w:b/>
                <w:bCs/>
                <w:sz w:val="22"/>
                <w:szCs w:val="22"/>
                <w:rtl/>
                <w:lang w:bidi="ar-LB"/>
              </w:rPr>
              <w:t>التفاصيل</w:t>
            </w:r>
          </w:p>
        </w:tc>
        <w:tc>
          <w:tcPr>
            <w:tcW w:w="1799" w:type="dxa"/>
            <w:shd w:val="clear" w:color="auto" w:fill="auto"/>
            <w:noWrap/>
            <w:hideMark/>
          </w:tcPr>
          <w:p w14:paraId="53F440A6" w14:textId="77777777" w:rsidR="00464D03" w:rsidRPr="00642AEE" w:rsidRDefault="00464D03" w:rsidP="00464D03">
            <w:pPr>
              <w:bidi/>
              <w:jc w:val="center"/>
              <w:rPr>
                <w:rFonts w:asciiTheme="majorBidi" w:hAnsiTheme="majorBidi" w:cstheme="majorBidi"/>
                <w:b/>
                <w:bCs/>
                <w:sz w:val="20"/>
                <w:lang w:eastAsia="en-CA" w:bidi="ar-LB"/>
              </w:rPr>
            </w:pPr>
            <w:r w:rsidRPr="00642AEE">
              <w:rPr>
                <w:rFonts w:asciiTheme="majorBidi" w:hAnsiTheme="majorBidi" w:cstheme="majorBidi"/>
                <w:b/>
                <w:bCs/>
                <w:sz w:val="20"/>
                <w:lang w:eastAsia="en-CA" w:bidi="ar-LB"/>
              </w:rPr>
              <w:t>2022</w:t>
            </w:r>
          </w:p>
        </w:tc>
        <w:tc>
          <w:tcPr>
            <w:tcW w:w="1799" w:type="dxa"/>
            <w:shd w:val="clear" w:color="auto" w:fill="auto"/>
            <w:noWrap/>
            <w:hideMark/>
          </w:tcPr>
          <w:p w14:paraId="5C60F413" w14:textId="77777777" w:rsidR="00464D03" w:rsidRPr="00642AEE" w:rsidRDefault="00464D03" w:rsidP="00464D03">
            <w:pPr>
              <w:bidi/>
              <w:jc w:val="center"/>
              <w:rPr>
                <w:rFonts w:asciiTheme="majorBidi" w:hAnsiTheme="majorBidi" w:cstheme="majorBidi"/>
                <w:b/>
                <w:bCs/>
                <w:sz w:val="20"/>
                <w:lang w:eastAsia="en-CA" w:bidi="ar-LB"/>
              </w:rPr>
            </w:pPr>
            <w:r w:rsidRPr="00642AEE">
              <w:rPr>
                <w:rFonts w:asciiTheme="majorBidi" w:hAnsiTheme="majorBidi" w:cstheme="majorBidi"/>
                <w:b/>
                <w:bCs/>
                <w:sz w:val="20"/>
                <w:lang w:eastAsia="en-CA" w:bidi="ar-LB"/>
              </w:rPr>
              <w:t>2030</w:t>
            </w:r>
          </w:p>
        </w:tc>
        <w:tc>
          <w:tcPr>
            <w:tcW w:w="1799" w:type="dxa"/>
            <w:shd w:val="clear" w:color="auto" w:fill="auto"/>
            <w:noWrap/>
            <w:hideMark/>
          </w:tcPr>
          <w:p w14:paraId="0E805998" w14:textId="77777777" w:rsidR="00464D03" w:rsidRPr="00642AEE" w:rsidRDefault="00464D03" w:rsidP="00464D03">
            <w:pPr>
              <w:bidi/>
              <w:jc w:val="center"/>
              <w:rPr>
                <w:rFonts w:asciiTheme="majorBidi" w:hAnsiTheme="majorBidi" w:cstheme="majorBidi"/>
                <w:b/>
                <w:bCs/>
                <w:sz w:val="20"/>
                <w:lang w:eastAsia="en-CA" w:bidi="ar-LB"/>
              </w:rPr>
            </w:pPr>
            <w:r w:rsidRPr="00642AEE">
              <w:rPr>
                <w:rFonts w:asciiTheme="majorBidi" w:hAnsiTheme="majorBidi" w:cstheme="majorBidi"/>
                <w:b/>
                <w:bCs/>
                <w:sz w:val="20"/>
                <w:lang w:eastAsia="en-CA" w:bidi="ar-LB"/>
              </w:rPr>
              <w:t>2040</w:t>
            </w:r>
          </w:p>
        </w:tc>
        <w:tc>
          <w:tcPr>
            <w:tcW w:w="1799" w:type="dxa"/>
            <w:shd w:val="clear" w:color="auto" w:fill="auto"/>
            <w:noWrap/>
            <w:hideMark/>
          </w:tcPr>
          <w:p w14:paraId="6CF9C3C7" w14:textId="77777777" w:rsidR="00464D03" w:rsidRPr="00642AEE" w:rsidRDefault="00464D03" w:rsidP="00464D03">
            <w:pPr>
              <w:bidi/>
              <w:jc w:val="center"/>
              <w:rPr>
                <w:rFonts w:asciiTheme="majorBidi" w:hAnsiTheme="majorBidi" w:cstheme="majorBidi"/>
                <w:b/>
                <w:bCs/>
                <w:sz w:val="20"/>
                <w:lang w:eastAsia="en-CA" w:bidi="ar-LB"/>
              </w:rPr>
            </w:pPr>
            <w:r w:rsidRPr="00642AEE">
              <w:rPr>
                <w:rFonts w:asciiTheme="majorBidi" w:hAnsiTheme="majorBidi" w:cstheme="majorBidi"/>
                <w:b/>
                <w:bCs/>
                <w:sz w:val="20"/>
                <w:lang w:eastAsia="en-CA" w:bidi="ar-LB"/>
              </w:rPr>
              <w:t>2050</w:t>
            </w:r>
          </w:p>
        </w:tc>
      </w:tr>
      <w:tr w:rsidR="00464D03" w:rsidRPr="00642AEE" w14:paraId="6A78233C" w14:textId="77777777" w:rsidTr="00464D03">
        <w:trPr>
          <w:trHeight w:val="232"/>
        </w:trPr>
        <w:tc>
          <w:tcPr>
            <w:tcW w:w="2160" w:type="dxa"/>
          </w:tcPr>
          <w:p w14:paraId="497AD300" w14:textId="77777777" w:rsidR="00464D03" w:rsidRPr="00642AEE" w:rsidRDefault="00464D03" w:rsidP="00464D03">
            <w:pPr>
              <w:bidi/>
              <w:jc w:val="center"/>
              <w:rPr>
                <w:rFonts w:asciiTheme="majorBidi" w:hAnsiTheme="majorBidi" w:cstheme="majorBidi"/>
                <w:sz w:val="20"/>
                <w:lang w:eastAsia="en-CA" w:bidi="ar-LB"/>
              </w:rPr>
            </w:pPr>
          </w:p>
        </w:tc>
        <w:tc>
          <w:tcPr>
            <w:tcW w:w="7196" w:type="dxa"/>
            <w:gridSpan w:val="4"/>
            <w:shd w:val="clear" w:color="auto" w:fill="auto"/>
            <w:noWrap/>
            <w:hideMark/>
          </w:tcPr>
          <w:p w14:paraId="1CA469B6" w14:textId="24C26428" w:rsidR="00464D03" w:rsidRPr="00642AEE" w:rsidRDefault="00464D03" w:rsidP="00464D03">
            <w:pPr>
              <w:bidi/>
              <w:jc w:val="center"/>
              <w:rPr>
                <w:rFonts w:asciiTheme="majorBidi" w:hAnsiTheme="majorBidi" w:cstheme="majorBidi"/>
                <w:b/>
                <w:bCs/>
                <w:sz w:val="20"/>
                <w:lang w:eastAsia="en-CA" w:bidi="ar-LB"/>
              </w:rPr>
            </w:pPr>
            <w:r w:rsidRPr="006563C2">
              <w:rPr>
                <w:rFonts w:asciiTheme="majorBidi" w:hAnsiTheme="majorBidi" w:cstheme="majorBidi"/>
                <w:b/>
                <w:bCs/>
                <w:sz w:val="22"/>
                <w:szCs w:val="22"/>
                <w:rtl/>
                <w:lang w:bidi="ar-LB"/>
              </w:rPr>
              <w:t>تيراواط/ساعة في السنة</w:t>
            </w:r>
          </w:p>
        </w:tc>
      </w:tr>
      <w:tr w:rsidR="00464D03" w:rsidRPr="00642AEE" w14:paraId="7E680EAA" w14:textId="77777777" w:rsidTr="00464D03">
        <w:trPr>
          <w:trHeight w:val="232"/>
        </w:trPr>
        <w:tc>
          <w:tcPr>
            <w:tcW w:w="2160" w:type="dxa"/>
          </w:tcPr>
          <w:p w14:paraId="2386A6CE" w14:textId="7C5F27F4" w:rsidR="00464D03" w:rsidRPr="00642AEE" w:rsidRDefault="00464D03" w:rsidP="00464D03">
            <w:pPr>
              <w:bidi/>
              <w:rPr>
                <w:rFonts w:asciiTheme="majorBidi" w:hAnsiTheme="majorBidi" w:cstheme="majorBidi"/>
                <w:sz w:val="20"/>
                <w:lang w:eastAsia="en-CA" w:bidi="ar-LB"/>
              </w:rPr>
            </w:pPr>
            <w:r w:rsidRPr="006563C2">
              <w:rPr>
                <w:rFonts w:asciiTheme="majorBidi" w:hAnsiTheme="majorBidi" w:cstheme="majorBidi"/>
                <w:sz w:val="22"/>
                <w:szCs w:val="22"/>
                <w:rtl/>
                <w:lang w:bidi="ar-LB"/>
              </w:rPr>
              <w:t>المكاسب في الكفاءة في ظل سيناريو العمل كالمعتاد</w:t>
            </w:r>
          </w:p>
        </w:tc>
        <w:tc>
          <w:tcPr>
            <w:tcW w:w="1799" w:type="dxa"/>
            <w:shd w:val="clear" w:color="auto" w:fill="auto"/>
            <w:noWrap/>
            <w:hideMark/>
          </w:tcPr>
          <w:p w14:paraId="1D306F71"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3,024</w:t>
            </w:r>
          </w:p>
        </w:tc>
        <w:tc>
          <w:tcPr>
            <w:tcW w:w="1799" w:type="dxa"/>
            <w:shd w:val="clear" w:color="auto" w:fill="auto"/>
            <w:noWrap/>
            <w:hideMark/>
          </w:tcPr>
          <w:p w14:paraId="66300123"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4,290</w:t>
            </w:r>
          </w:p>
        </w:tc>
        <w:tc>
          <w:tcPr>
            <w:tcW w:w="1799" w:type="dxa"/>
            <w:shd w:val="clear" w:color="auto" w:fill="auto"/>
            <w:noWrap/>
            <w:hideMark/>
          </w:tcPr>
          <w:p w14:paraId="5AA899AB"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6,477</w:t>
            </w:r>
          </w:p>
        </w:tc>
        <w:tc>
          <w:tcPr>
            <w:tcW w:w="1799" w:type="dxa"/>
            <w:shd w:val="clear" w:color="auto" w:fill="auto"/>
            <w:noWrap/>
            <w:hideMark/>
          </w:tcPr>
          <w:p w14:paraId="111C1BED"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10,042</w:t>
            </w:r>
          </w:p>
        </w:tc>
      </w:tr>
      <w:tr w:rsidR="00464D03" w:rsidRPr="00642AEE" w14:paraId="15012C3A" w14:textId="77777777" w:rsidTr="00464D03">
        <w:trPr>
          <w:trHeight w:val="232"/>
        </w:trPr>
        <w:tc>
          <w:tcPr>
            <w:tcW w:w="2160" w:type="dxa"/>
          </w:tcPr>
          <w:p w14:paraId="1BD8EC77" w14:textId="698CB1F3" w:rsidR="00464D03" w:rsidRPr="00642AEE" w:rsidRDefault="00464D03" w:rsidP="00464D03">
            <w:pPr>
              <w:bidi/>
              <w:rPr>
                <w:rFonts w:asciiTheme="majorBidi" w:hAnsiTheme="majorBidi" w:cstheme="majorBidi"/>
                <w:sz w:val="20"/>
                <w:lang w:eastAsia="en-CA" w:bidi="ar-LB"/>
              </w:rPr>
            </w:pPr>
            <w:r w:rsidRPr="006563C2">
              <w:rPr>
                <w:rFonts w:asciiTheme="majorBidi" w:hAnsiTheme="majorBidi" w:cstheme="majorBidi"/>
                <w:sz w:val="22"/>
                <w:szCs w:val="22"/>
                <w:rtl/>
                <w:lang w:bidi="ar-LB"/>
              </w:rPr>
              <w:t>المكاسب المرتفعة في الكفاءة</w:t>
            </w:r>
          </w:p>
        </w:tc>
        <w:tc>
          <w:tcPr>
            <w:tcW w:w="1799" w:type="dxa"/>
            <w:shd w:val="clear" w:color="auto" w:fill="auto"/>
            <w:noWrap/>
            <w:hideMark/>
          </w:tcPr>
          <w:p w14:paraId="2EBDE9A2"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2,930</w:t>
            </w:r>
          </w:p>
        </w:tc>
        <w:tc>
          <w:tcPr>
            <w:tcW w:w="1799" w:type="dxa"/>
            <w:shd w:val="clear" w:color="auto" w:fill="auto"/>
            <w:noWrap/>
            <w:hideMark/>
          </w:tcPr>
          <w:p w14:paraId="46B8CA30"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2,979</w:t>
            </w:r>
          </w:p>
        </w:tc>
        <w:tc>
          <w:tcPr>
            <w:tcW w:w="1799" w:type="dxa"/>
            <w:shd w:val="clear" w:color="auto" w:fill="auto"/>
            <w:noWrap/>
            <w:hideMark/>
          </w:tcPr>
          <w:p w14:paraId="3A316137"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3,168</w:t>
            </w:r>
          </w:p>
        </w:tc>
        <w:tc>
          <w:tcPr>
            <w:tcW w:w="1799" w:type="dxa"/>
            <w:shd w:val="clear" w:color="auto" w:fill="auto"/>
            <w:noWrap/>
            <w:hideMark/>
          </w:tcPr>
          <w:p w14:paraId="136B434A"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3,864</w:t>
            </w:r>
          </w:p>
        </w:tc>
      </w:tr>
      <w:tr w:rsidR="00464D03" w:rsidRPr="00642AEE" w14:paraId="4E502FCC" w14:textId="77777777" w:rsidTr="00464D03">
        <w:trPr>
          <w:trHeight w:val="232"/>
        </w:trPr>
        <w:tc>
          <w:tcPr>
            <w:tcW w:w="2160" w:type="dxa"/>
          </w:tcPr>
          <w:p w14:paraId="17FF02C5" w14:textId="77777777" w:rsidR="00464D03" w:rsidRPr="00642AEE" w:rsidRDefault="00464D03" w:rsidP="00464D03">
            <w:pPr>
              <w:bidi/>
              <w:rPr>
                <w:rFonts w:asciiTheme="majorBidi" w:hAnsiTheme="majorBidi" w:cstheme="majorBidi"/>
                <w:sz w:val="20"/>
                <w:lang w:eastAsia="en-CA" w:bidi="ar-LB"/>
              </w:rPr>
            </w:pPr>
          </w:p>
        </w:tc>
        <w:tc>
          <w:tcPr>
            <w:tcW w:w="7196" w:type="dxa"/>
            <w:gridSpan w:val="4"/>
            <w:shd w:val="clear" w:color="auto" w:fill="auto"/>
            <w:noWrap/>
            <w:hideMark/>
          </w:tcPr>
          <w:p w14:paraId="4EDEA441" w14:textId="73C4B354" w:rsidR="00464D03" w:rsidRPr="00642AEE" w:rsidRDefault="00464D03" w:rsidP="00464D03">
            <w:pPr>
              <w:bidi/>
              <w:jc w:val="center"/>
              <w:rPr>
                <w:rFonts w:asciiTheme="majorBidi" w:hAnsiTheme="majorBidi" w:cstheme="majorBidi"/>
                <w:b/>
                <w:bCs/>
                <w:sz w:val="20"/>
                <w:lang w:eastAsia="en-CA" w:bidi="ar-LB"/>
              </w:rPr>
            </w:pPr>
            <w:r w:rsidRPr="006563C2">
              <w:rPr>
                <w:rFonts w:asciiTheme="majorBidi" w:hAnsiTheme="majorBidi" w:cstheme="majorBidi"/>
                <w:b/>
                <w:bCs/>
                <w:sz w:val="22"/>
                <w:szCs w:val="22"/>
                <w:rtl/>
                <w:lang w:bidi="ar-LB"/>
              </w:rPr>
              <w:t xml:space="preserve">متوسط الطلب السنوي بالتيراواط (باستخدام </w:t>
            </w:r>
            <w:r w:rsidR="00C41574" w:rsidRPr="00C41574">
              <w:rPr>
                <w:rFonts w:asciiTheme="majorBidi" w:hAnsiTheme="majorBidi" w:cstheme="majorBidi"/>
                <w:b/>
                <w:bCs/>
                <w:sz w:val="20"/>
                <w:lang w:eastAsia="en-CA" w:bidi="ar-LB"/>
              </w:rPr>
              <w:t>8,760</w:t>
            </w:r>
            <w:r w:rsidRPr="00C41574">
              <w:rPr>
                <w:rFonts w:asciiTheme="majorBidi" w:hAnsiTheme="majorBidi" w:cstheme="majorBidi"/>
                <w:b/>
                <w:bCs/>
                <w:sz w:val="20"/>
                <w:rtl/>
                <w:lang w:bidi="ar-LB"/>
              </w:rPr>
              <w:t xml:space="preserve"> </w:t>
            </w:r>
            <w:r w:rsidRPr="006563C2">
              <w:rPr>
                <w:rFonts w:asciiTheme="majorBidi" w:hAnsiTheme="majorBidi" w:cstheme="majorBidi"/>
                <w:b/>
                <w:bCs/>
                <w:sz w:val="22"/>
                <w:szCs w:val="22"/>
                <w:rtl/>
                <w:lang w:bidi="ar-LB"/>
              </w:rPr>
              <w:t>ساعة)</w:t>
            </w:r>
          </w:p>
        </w:tc>
      </w:tr>
      <w:tr w:rsidR="00464D03" w:rsidRPr="00642AEE" w14:paraId="5E3F1F7A" w14:textId="77777777" w:rsidTr="00464D03">
        <w:trPr>
          <w:trHeight w:val="232"/>
        </w:trPr>
        <w:tc>
          <w:tcPr>
            <w:tcW w:w="2160" w:type="dxa"/>
          </w:tcPr>
          <w:p w14:paraId="58B8B138" w14:textId="5593B049" w:rsidR="00464D03" w:rsidRPr="00642AEE" w:rsidRDefault="00464D03" w:rsidP="00464D03">
            <w:pPr>
              <w:bidi/>
              <w:rPr>
                <w:rFonts w:asciiTheme="majorBidi" w:hAnsiTheme="majorBidi" w:cstheme="majorBidi"/>
                <w:sz w:val="20"/>
                <w:lang w:eastAsia="en-CA" w:bidi="ar-LB"/>
              </w:rPr>
            </w:pPr>
            <w:r w:rsidRPr="006563C2">
              <w:rPr>
                <w:rFonts w:asciiTheme="majorBidi" w:hAnsiTheme="majorBidi" w:cstheme="majorBidi"/>
                <w:sz w:val="22"/>
                <w:szCs w:val="22"/>
                <w:rtl/>
                <w:lang w:bidi="ar-LB"/>
              </w:rPr>
              <w:t>المكاسب في الكفاءة في ظل سيناريو العمل كالمعتاد</w:t>
            </w:r>
          </w:p>
        </w:tc>
        <w:tc>
          <w:tcPr>
            <w:tcW w:w="1799" w:type="dxa"/>
            <w:shd w:val="clear" w:color="auto" w:fill="auto"/>
            <w:noWrap/>
            <w:hideMark/>
          </w:tcPr>
          <w:p w14:paraId="2E5B4C9D"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0.35</w:t>
            </w:r>
          </w:p>
        </w:tc>
        <w:tc>
          <w:tcPr>
            <w:tcW w:w="1799" w:type="dxa"/>
            <w:shd w:val="clear" w:color="auto" w:fill="auto"/>
            <w:noWrap/>
            <w:hideMark/>
          </w:tcPr>
          <w:p w14:paraId="7F96E0B3"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0.49</w:t>
            </w:r>
          </w:p>
        </w:tc>
        <w:tc>
          <w:tcPr>
            <w:tcW w:w="1799" w:type="dxa"/>
            <w:shd w:val="clear" w:color="auto" w:fill="auto"/>
            <w:noWrap/>
            <w:hideMark/>
          </w:tcPr>
          <w:p w14:paraId="5A371FAC"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0.74</w:t>
            </w:r>
          </w:p>
        </w:tc>
        <w:tc>
          <w:tcPr>
            <w:tcW w:w="1799" w:type="dxa"/>
            <w:shd w:val="clear" w:color="auto" w:fill="auto"/>
            <w:noWrap/>
            <w:hideMark/>
          </w:tcPr>
          <w:p w14:paraId="0FC6F203"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1.15</w:t>
            </w:r>
          </w:p>
        </w:tc>
      </w:tr>
      <w:tr w:rsidR="00464D03" w:rsidRPr="00642AEE" w14:paraId="71ED94E2" w14:textId="77777777" w:rsidTr="00464D03">
        <w:trPr>
          <w:trHeight w:val="232"/>
        </w:trPr>
        <w:tc>
          <w:tcPr>
            <w:tcW w:w="2160" w:type="dxa"/>
          </w:tcPr>
          <w:p w14:paraId="2AA127E8" w14:textId="1DDEC7C6" w:rsidR="00464D03" w:rsidRPr="00642AEE" w:rsidRDefault="00464D03" w:rsidP="00464D03">
            <w:pPr>
              <w:bidi/>
              <w:rPr>
                <w:rFonts w:asciiTheme="majorBidi" w:hAnsiTheme="majorBidi" w:cstheme="majorBidi"/>
                <w:sz w:val="20"/>
                <w:lang w:eastAsia="en-CA" w:bidi="ar-LB"/>
              </w:rPr>
            </w:pPr>
            <w:r w:rsidRPr="006563C2">
              <w:rPr>
                <w:rFonts w:asciiTheme="majorBidi" w:hAnsiTheme="majorBidi" w:cstheme="majorBidi"/>
                <w:sz w:val="22"/>
                <w:szCs w:val="22"/>
                <w:rtl/>
                <w:lang w:bidi="ar-LB"/>
              </w:rPr>
              <w:t>المكاسب المرتفعة في الكفاءة</w:t>
            </w:r>
          </w:p>
        </w:tc>
        <w:tc>
          <w:tcPr>
            <w:tcW w:w="1799" w:type="dxa"/>
            <w:shd w:val="clear" w:color="auto" w:fill="auto"/>
            <w:noWrap/>
            <w:hideMark/>
          </w:tcPr>
          <w:p w14:paraId="4E7EEBF7"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0.33</w:t>
            </w:r>
          </w:p>
        </w:tc>
        <w:tc>
          <w:tcPr>
            <w:tcW w:w="1799" w:type="dxa"/>
            <w:shd w:val="clear" w:color="auto" w:fill="auto"/>
            <w:noWrap/>
            <w:hideMark/>
          </w:tcPr>
          <w:p w14:paraId="762F2EC8"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0.34</w:t>
            </w:r>
          </w:p>
        </w:tc>
        <w:tc>
          <w:tcPr>
            <w:tcW w:w="1799" w:type="dxa"/>
            <w:shd w:val="clear" w:color="auto" w:fill="auto"/>
            <w:noWrap/>
            <w:hideMark/>
          </w:tcPr>
          <w:p w14:paraId="0B229683"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0.36</w:t>
            </w:r>
          </w:p>
        </w:tc>
        <w:tc>
          <w:tcPr>
            <w:tcW w:w="1799" w:type="dxa"/>
            <w:shd w:val="clear" w:color="auto" w:fill="auto"/>
            <w:noWrap/>
            <w:hideMark/>
          </w:tcPr>
          <w:p w14:paraId="48F4C9C6"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0.44</w:t>
            </w:r>
          </w:p>
        </w:tc>
      </w:tr>
      <w:tr w:rsidR="00464D03" w:rsidRPr="00642AEE" w14:paraId="7DDB04B0" w14:textId="77777777" w:rsidTr="00464D03">
        <w:trPr>
          <w:trHeight w:val="232"/>
        </w:trPr>
        <w:tc>
          <w:tcPr>
            <w:tcW w:w="2160" w:type="dxa"/>
          </w:tcPr>
          <w:p w14:paraId="12E33876" w14:textId="77777777" w:rsidR="00464D03" w:rsidRPr="00642AEE" w:rsidRDefault="00464D03" w:rsidP="00464D03">
            <w:pPr>
              <w:bidi/>
              <w:rPr>
                <w:rFonts w:asciiTheme="majorBidi" w:hAnsiTheme="majorBidi" w:cstheme="majorBidi"/>
                <w:sz w:val="20"/>
                <w:lang w:eastAsia="en-CA" w:bidi="ar-LB"/>
              </w:rPr>
            </w:pPr>
          </w:p>
        </w:tc>
        <w:tc>
          <w:tcPr>
            <w:tcW w:w="7196" w:type="dxa"/>
            <w:gridSpan w:val="4"/>
            <w:shd w:val="clear" w:color="auto" w:fill="auto"/>
            <w:noWrap/>
            <w:hideMark/>
          </w:tcPr>
          <w:p w14:paraId="31E6C9DE" w14:textId="3F9CD599" w:rsidR="00464D03" w:rsidRPr="00642AEE" w:rsidRDefault="00464D03" w:rsidP="00464D03">
            <w:pPr>
              <w:bidi/>
              <w:jc w:val="center"/>
              <w:rPr>
                <w:rFonts w:asciiTheme="majorBidi" w:hAnsiTheme="majorBidi" w:cstheme="majorBidi"/>
                <w:b/>
                <w:bCs/>
                <w:sz w:val="20"/>
                <w:lang w:eastAsia="en-CA" w:bidi="ar-LB"/>
              </w:rPr>
            </w:pPr>
            <w:r w:rsidRPr="006563C2">
              <w:rPr>
                <w:rFonts w:asciiTheme="majorBidi" w:hAnsiTheme="majorBidi" w:cstheme="majorBidi"/>
                <w:b/>
                <w:bCs/>
                <w:sz w:val="22"/>
                <w:szCs w:val="22"/>
                <w:rtl/>
                <w:lang w:bidi="ar-LB"/>
              </w:rPr>
              <w:t xml:space="preserve">ذروة الطلب بالتيراواط، معامل ذروة الطلب </w:t>
            </w:r>
            <w:r w:rsidR="00307112" w:rsidRPr="00307112">
              <w:rPr>
                <w:rFonts w:asciiTheme="majorBidi" w:hAnsiTheme="majorBidi" w:cstheme="majorBidi"/>
                <w:b/>
                <w:bCs/>
                <w:sz w:val="20"/>
                <w:lang w:eastAsia="en-CA" w:bidi="ar-LB"/>
              </w:rPr>
              <w:t>2.3</w:t>
            </w:r>
          </w:p>
        </w:tc>
      </w:tr>
      <w:tr w:rsidR="00464D03" w:rsidRPr="00642AEE" w14:paraId="7B506756" w14:textId="77777777" w:rsidTr="00464D03">
        <w:trPr>
          <w:trHeight w:val="232"/>
        </w:trPr>
        <w:tc>
          <w:tcPr>
            <w:tcW w:w="2160" w:type="dxa"/>
          </w:tcPr>
          <w:p w14:paraId="55EFC24F" w14:textId="06A2B5F3" w:rsidR="00464D03" w:rsidRPr="00642AEE" w:rsidRDefault="00464D03" w:rsidP="00464D03">
            <w:pPr>
              <w:bidi/>
              <w:rPr>
                <w:rFonts w:asciiTheme="majorBidi" w:hAnsiTheme="majorBidi" w:cstheme="majorBidi"/>
                <w:sz w:val="20"/>
                <w:lang w:eastAsia="en-CA" w:bidi="ar-LB"/>
              </w:rPr>
            </w:pPr>
            <w:r w:rsidRPr="006563C2">
              <w:rPr>
                <w:rFonts w:asciiTheme="majorBidi" w:hAnsiTheme="majorBidi" w:cstheme="majorBidi"/>
                <w:sz w:val="22"/>
                <w:szCs w:val="22"/>
                <w:rtl/>
                <w:lang w:bidi="ar-LB"/>
              </w:rPr>
              <w:t>المكاسب في الكفاءة في ظل سيناريو العمل كالمعتاد</w:t>
            </w:r>
          </w:p>
        </w:tc>
        <w:tc>
          <w:tcPr>
            <w:tcW w:w="1799" w:type="dxa"/>
            <w:shd w:val="clear" w:color="auto" w:fill="auto"/>
            <w:noWrap/>
            <w:hideMark/>
          </w:tcPr>
          <w:p w14:paraId="504DB208"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0.79</w:t>
            </w:r>
          </w:p>
        </w:tc>
        <w:tc>
          <w:tcPr>
            <w:tcW w:w="1799" w:type="dxa"/>
            <w:shd w:val="clear" w:color="auto" w:fill="auto"/>
            <w:noWrap/>
            <w:hideMark/>
          </w:tcPr>
          <w:p w14:paraId="4FB3B193"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1.13</w:t>
            </w:r>
          </w:p>
        </w:tc>
        <w:tc>
          <w:tcPr>
            <w:tcW w:w="1799" w:type="dxa"/>
            <w:shd w:val="clear" w:color="auto" w:fill="auto"/>
            <w:noWrap/>
            <w:hideMark/>
          </w:tcPr>
          <w:p w14:paraId="3BB037FC"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1.70</w:t>
            </w:r>
          </w:p>
        </w:tc>
        <w:tc>
          <w:tcPr>
            <w:tcW w:w="1799" w:type="dxa"/>
            <w:shd w:val="clear" w:color="auto" w:fill="auto"/>
            <w:noWrap/>
            <w:hideMark/>
          </w:tcPr>
          <w:p w14:paraId="72608161"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2.64</w:t>
            </w:r>
          </w:p>
        </w:tc>
      </w:tr>
      <w:tr w:rsidR="00464D03" w:rsidRPr="00642AEE" w14:paraId="629DF568" w14:textId="77777777" w:rsidTr="00464D03">
        <w:trPr>
          <w:trHeight w:val="232"/>
        </w:trPr>
        <w:tc>
          <w:tcPr>
            <w:tcW w:w="2160" w:type="dxa"/>
          </w:tcPr>
          <w:p w14:paraId="5A1C9A7D" w14:textId="2B2AD58A" w:rsidR="00464D03" w:rsidRPr="00642AEE" w:rsidRDefault="00464D03" w:rsidP="00464D03">
            <w:pPr>
              <w:bidi/>
              <w:rPr>
                <w:rFonts w:asciiTheme="majorBidi" w:hAnsiTheme="majorBidi" w:cstheme="majorBidi"/>
                <w:sz w:val="20"/>
                <w:lang w:eastAsia="en-CA" w:bidi="ar-LB"/>
              </w:rPr>
            </w:pPr>
            <w:r w:rsidRPr="006563C2">
              <w:rPr>
                <w:rFonts w:asciiTheme="majorBidi" w:hAnsiTheme="majorBidi" w:cstheme="majorBidi"/>
                <w:sz w:val="22"/>
                <w:szCs w:val="22"/>
                <w:rtl/>
                <w:lang w:bidi="ar-LB"/>
              </w:rPr>
              <w:t>المكاسب المرتفعة في الكفاءة</w:t>
            </w:r>
          </w:p>
        </w:tc>
        <w:tc>
          <w:tcPr>
            <w:tcW w:w="1799" w:type="dxa"/>
            <w:shd w:val="clear" w:color="auto" w:fill="auto"/>
            <w:noWrap/>
            <w:hideMark/>
          </w:tcPr>
          <w:p w14:paraId="52353F3B"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0.77</w:t>
            </w:r>
          </w:p>
        </w:tc>
        <w:tc>
          <w:tcPr>
            <w:tcW w:w="1799" w:type="dxa"/>
            <w:shd w:val="clear" w:color="auto" w:fill="auto"/>
            <w:noWrap/>
            <w:hideMark/>
          </w:tcPr>
          <w:p w14:paraId="5FC79000"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0.78</w:t>
            </w:r>
          </w:p>
        </w:tc>
        <w:tc>
          <w:tcPr>
            <w:tcW w:w="1799" w:type="dxa"/>
            <w:shd w:val="clear" w:color="auto" w:fill="auto"/>
            <w:noWrap/>
            <w:hideMark/>
          </w:tcPr>
          <w:p w14:paraId="05EC3A7A"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0.83</w:t>
            </w:r>
          </w:p>
        </w:tc>
        <w:tc>
          <w:tcPr>
            <w:tcW w:w="1799" w:type="dxa"/>
            <w:shd w:val="clear" w:color="auto" w:fill="auto"/>
            <w:noWrap/>
            <w:hideMark/>
          </w:tcPr>
          <w:p w14:paraId="528C1211" w14:textId="77777777" w:rsidR="00464D03" w:rsidRPr="00642AEE" w:rsidRDefault="00464D03" w:rsidP="00464D03">
            <w:pPr>
              <w:bidi/>
              <w:jc w:val="center"/>
              <w:rPr>
                <w:rFonts w:asciiTheme="majorBidi" w:hAnsiTheme="majorBidi" w:cstheme="majorBidi"/>
                <w:sz w:val="20"/>
                <w:lang w:eastAsia="en-CA" w:bidi="ar-LB"/>
              </w:rPr>
            </w:pPr>
            <w:r w:rsidRPr="00642AEE">
              <w:rPr>
                <w:rFonts w:asciiTheme="majorBidi" w:hAnsiTheme="majorBidi" w:cstheme="majorBidi"/>
                <w:sz w:val="20"/>
                <w:lang w:eastAsia="en-CA" w:bidi="ar-LB"/>
              </w:rPr>
              <w:t>1.01</w:t>
            </w:r>
          </w:p>
        </w:tc>
      </w:tr>
    </w:tbl>
    <w:p w14:paraId="393A5D5F" w14:textId="060F76F0" w:rsidR="00464D03" w:rsidRDefault="00464D03" w:rsidP="00D11176">
      <w:pPr>
        <w:pStyle w:val="StyleHeader4Para4Left0Firstline0"/>
        <w:widowControl/>
        <w:numPr>
          <w:ilvl w:val="0"/>
          <w:numId w:val="0"/>
        </w:numPr>
        <w:tabs>
          <w:tab w:val="clear" w:pos="2880"/>
          <w:tab w:val="clear" w:pos="5760"/>
          <w:tab w:val="left" w:pos="713"/>
        </w:tabs>
        <w:bidi/>
        <w:spacing w:after="120" w:line="280" w:lineRule="exact"/>
        <w:rPr>
          <w:rFonts w:asciiTheme="majorBidi" w:hAnsiTheme="majorBidi" w:cstheme="majorBidi"/>
          <w:sz w:val="22"/>
          <w:szCs w:val="22"/>
          <w:rtl/>
          <w:lang w:bidi="ar-LB"/>
        </w:rPr>
      </w:pPr>
      <w:r w:rsidRPr="006563C2">
        <w:rPr>
          <w:rFonts w:asciiTheme="majorBidi" w:hAnsiTheme="majorBidi" w:cstheme="majorBidi"/>
          <w:sz w:val="22"/>
          <w:szCs w:val="22"/>
          <w:rtl/>
          <w:lang w:bidi="ar-LB"/>
        </w:rPr>
        <w:t>ملاحظة</w:t>
      </w:r>
      <w:r w:rsidRPr="006563C2">
        <w:rPr>
          <w:rFonts w:asciiTheme="majorBidi" w:hAnsiTheme="majorBidi" w:cstheme="majorBidi"/>
          <w:sz w:val="22"/>
          <w:szCs w:val="22"/>
          <w:lang w:bidi="ar-LB"/>
        </w:rPr>
        <w:t>:</w:t>
      </w:r>
      <w:r w:rsidRPr="006563C2">
        <w:rPr>
          <w:rFonts w:asciiTheme="majorBidi" w:hAnsiTheme="majorBidi" w:cstheme="majorBidi"/>
          <w:sz w:val="22"/>
          <w:szCs w:val="22"/>
          <w:rtl/>
          <w:lang w:bidi="ar-LB"/>
        </w:rPr>
        <w:t xml:space="preserve"> </w:t>
      </w:r>
      <w:r w:rsidR="00D11176" w:rsidRPr="00D11176">
        <w:rPr>
          <w:rFonts w:asciiTheme="majorBidi" w:hAnsiTheme="majorBidi" w:cstheme="majorBidi"/>
          <w:lang w:bidi="ar-LB"/>
        </w:rPr>
        <w:t>1</w:t>
      </w:r>
      <w:r w:rsidRPr="006563C2">
        <w:rPr>
          <w:rFonts w:asciiTheme="majorBidi" w:hAnsiTheme="majorBidi" w:cstheme="majorBidi"/>
          <w:sz w:val="22"/>
          <w:szCs w:val="22"/>
          <w:rtl/>
          <w:lang w:bidi="ar-LB"/>
        </w:rPr>
        <w:t xml:space="preserve"> تيراواط يساوي </w:t>
      </w:r>
      <w:r w:rsidR="00D11176" w:rsidRPr="00D11176">
        <w:rPr>
          <w:rFonts w:asciiTheme="majorBidi" w:hAnsiTheme="majorBidi" w:cstheme="majorBidi"/>
          <w:lang w:bidi="ar-LB"/>
        </w:rPr>
        <w:t>1</w:t>
      </w:r>
      <w:r w:rsidRPr="006563C2">
        <w:rPr>
          <w:rFonts w:asciiTheme="majorBidi" w:hAnsiTheme="majorBidi" w:cstheme="majorBidi"/>
          <w:sz w:val="22"/>
          <w:szCs w:val="22"/>
          <w:rtl/>
          <w:lang w:bidi="ar-LB"/>
        </w:rPr>
        <w:t xml:space="preserve"> مليون ميجاوات؛ وحيث إن التكلفة الاستثمارية تقدر بنحو </w:t>
      </w:r>
      <w:r w:rsidR="00D11176" w:rsidRPr="00D11176">
        <w:rPr>
          <w:rFonts w:asciiTheme="majorBidi" w:hAnsiTheme="majorBidi" w:cstheme="majorBidi"/>
          <w:lang w:bidi="ar-LB"/>
        </w:rPr>
        <w:t>2</w:t>
      </w:r>
      <w:r w:rsidRPr="006563C2">
        <w:rPr>
          <w:rFonts w:asciiTheme="majorBidi" w:hAnsiTheme="majorBidi" w:cstheme="majorBidi"/>
          <w:sz w:val="22"/>
          <w:szCs w:val="22"/>
          <w:rtl/>
          <w:lang w:bidi="ar-LB"/>
        </w:rPr>
        <w:t xml:space="preserve"> مليون دولار أمريكي لكل ميجاوات لتوليد الطاقة، فإن الوفورات الناتجة عن تجنب الاستثمارات في محطات توليد الطاقة كبيرة</w:t>
      </w:r>
    </w:p>
    <w:p w14:paraId="1558B1A8" w14:textId="0BA7A38F" w:rsidR="00F7480C" w:rsidRPr="00F7480C" w:rsidRDefault="00F7480C" w:rsidP="004D01E1">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وتؤدي </w:t>
      </w:r>
      <w:r w:rsidRPr="00C132D3">
        <w:rPr>
          <w:rFonts w:asciiTheme="majorBidi" w:hAnsiTheme="majorBidi" w:cstheme="majorBidi"/>
          <w:sz w:val="26"/>
          <w:szCs w:val="26"/>
          <w:rtl/>
          <w:lang w:bidi="ar-LB"/>
        </w:rPr>
        <w:t>المكاسب في كفاءة الطاقة إلى تحقيق وفورات في الاستثمارات الرأسمالية في الهياكل الأساسية للمعدات اللازمة لتوليد الطاقة ونقلها وتوزيعها، ويمكن أن تسهم أيضاً في تحقيق وفورات مباشرة في النفقات الحكومية عندما يكون استهلاك الطاقة مدعوماً.</w:t>
      </w:r>
    </w:p>
    <w:p w14:paraId="0C68B953" w14:textId="6939C40F" w:rsidR="00F7480C" w:rsidRPr="004D01E1"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ويمكن </w:t>
      </w:r>
      <w:r w:rsidRPr="00C132D3">
        <w:rPr>
          <w:rFonts w:asciiTheme="majorBidi" w:hAnsiTheme="majorBidi" w:cstheme="majorBidi"/>
          <w:sz w:val="26"/>
          <w:szCs w:val="26"/>
          <w:rtl/>
          <w:lang w:bidi="ar-LB"/>
        </w:rPr>
        <w:t xml:space="preserve">تحقيق انخفاض كبير في استهلاك الطاقة من خلال تقليل الحمل ، الأمر الذي يمكن تحقيقه من خلال تدابير التبريد السلبي؛ يمكن تقليل حمل التبريد البالغ بالمستويات الحالية </w:t>
      </w:r>
      <w:r w:rsidR="00D11176" w:rsidRPr="00AB4EDA">
        <w:rPr>
          <w:sz w:val="24"/>
          <w:szCs w:val="24"/>
          <w:lang w:bidi="ar-LB"/>
        </w:rPr>
        <w:t>43.2</w:t>
      </w:r>
      <w:r w:rsidRPr="00C132D3">
        <w:rPr>
          <w:rFonts w:asciiTheme="majorBidi" w:hAnsiTheme="majorBidi" w:cstheme="majorBidi"/>
          <w:sz w:val="26"/>
          <w:szCs w:val="26"/>
          <w:rtl/>
          <w:lang w:bidi="ar-LB"/>
        </w:rPr>
        <w:t xml:space="preserve"> تيراواط إلى حوالي </w:t>
      </w:r>
      <w:r w:rsidR="00D11176" w:rsidRPr="00AB4EDA">
        <w:rPr>
          <w:sz w:val="24"/>
          <w:szCs w:val="24"/>
          <w:lang w:bidi="ar-LB"/>
        </w:rPr>
        <w:t>33</w:t>
      </w:r>
      <w:r w:rsidRPr="00C132D3">
        <w:rPr>
          <w:rFonts w:asciiTheme="majorBidi" w:hAnsiTheme="majorBidi" w:cstheme="majorBidi"/>
          <w:sz w:val="26"/>
          <w:szCs w:val="26"/>
          <w:rtl/>
          <w:lang w:bidi="ar-LB"/>
        </w:rPr>
        <w:t xml:space="preserve"> تيراواط بحلول عام </w:t>
      </w:r>
      <w:r w:rsidR="00D11176" w:rsidRPr="00AB4EDA">
        <w:rPr>
          <w:sz w:val="24"/>
          <w:szCs w:val="24"/>
          <w:lang w:bidi="ar-LB"/>
        </w:rPr>
        <w:t>2050</w:t>
      </w:r>
      <w:r w:rsidRPr="00C132D3">
        <w:rPr>
          <w:rFonts w:asciiTheme="majorBidi" w:hAnsiTheme="majorBidi" w:cstheme="majorBidi"/>
          <w:sz w:val="26"/>
          <w:szCs w:val="26"/>
          <w:rtl/>
          <w:lang w:bidi="ar-LB"/>
        </w:rPr>
        <w:t xml:space="preserve"> من خلال هذه التدابير. وبالنسبة للمباني، يمكن لتدابير من قبيل الأسطح العاكسة والتظليل والعزل المحسن أن تقلل بشكل كبير من أحمال التبريد. أما بالنسبة لتطبيقات التبريد، فيمكن أن تساهم تدابير مثل إضافة الأبواب إلى نوافذ العرض في محال التجزئة والإضاءة عالية الكفاءة في المخازن الباردة ومراوح المبخر ذات السرعة المتغيرة في تقليل حمل التبريد بشكل كبير. وتتسم تقنيات تخفيض حمل التبريد هذه بأعلى قدر من الفعالية من حيث التكلفة بالنسبة للنُظم الجديدة، ولكن يمكن أيضا تطبيق العديد منها على النُظم الحالية.</w:t>
      </w:r>
    </w:p>
    <w:p w14:paraId="7D124C24" w14:textId="03BC9C5D" w:rsidR="004D01E1" w:rsidRPr="00F7480C" w:rsidRDefault="004D01E1" w:rsidP="004D01E1">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b/>
          <w:bCs/>
          <w:sz w:val="26"/>
          <w:szCs w:val="26"/>
          <w:rtl/>
          <w:lang w:bidi="ar-LB"/>
        </w:rPr>
        <w:lastRenderedPageBreak/>
        <w:t>ما يمكن عمله فيما يتعلق بالتبريد المستدام في المستقبل في إطار خطط إدارة إزالة المواد الهيدروكلوروفلوروكربونية وخطط تنفيذ تعديل كيغالي للخفض التدريجي للمواد الهيدروفلوروكربونية</w:t>
      </w:r>
    </w:p>
    <w:p w14:paraId="5AEAC194" w14:textId="2394D5BF" w:rsidR="00F7480C" w:rsidRPr="00F7480C"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تؤدي </w:t>
      </w:r>
      <w:r w:rsidRPr="00C132D3">
        <w:rPr>
          <w:rFonts w:asciiTheme="majorBidi" w:hAnsiTheme="majorBidi" w:cstheme="majorBidi"/>
          <w:sz w:val="26"/>
          <w:szCs w:val="26"/>
          <w:rtl/>
          <w:lang w:bidi="ar-LB"/>
        </w:rPr>
        <w:t>الأنشطة الممولة في إطار الصندوق المتعدد الأطراف دوراً رئيسياً في التشجيع على اعتماد تكنولوجيات التبريد المستدامة في تطبيقات التبريد وتكييف الهواء. ويبين التحليل الوارد أعلاه ما يمكن أن تحدثه أنشطة التخفيض التدريجي للمواد الهيدروفلوروكربونية بموجب تعديل كيغالي، والتحوُّل إلى معدات عالية الكفاءة في استخدام الطاقة باستخدام تكنولوجيا التبريد ذات إمكانية إحداث الاحترار العالمي المنخفضة، والتشغيل الفعال لمعدات التبريد، من تأثير كبير على التبريد المستدام. وسوف تستفيد البلدان في إطار كل من سيناريو العمل كالمعتاد من حيث حصول الناس على الكهرباء وفي إطار سيناريو زيادة سبل الحصول على المعدات.</w:t>
      </w:r>
    </w:p>
    <w:p w14:paraId="1D61CF56" w14:textId="65E0E90C" w:rsidR="00F7480C" w:rsidRPr="004D01E1"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وبالإضافة </w:t>
      </w:r>
      <w:r w:rsidRPr="00C132D3">
        <w:rPr>
          <w:rFonts w:asciiTheme="majorBidi" w:hAnsiTheme="majorBidi" w:cstheme="majorBidi"/>
          <w:sz w:val="26"/>
          <w:szCs w:val="26"/>
          <w:rtl/>
          <w:lang w:bidi="ar-LB"/>
        </w:rPr>
        <w:t>إلى ذلك، فإن الصندوق المتعدد الأطراف في وضع فريد يتيح له مواصلة تنفيذ الأنشطة الرامية إلى تحقيق التبريد المستدام من خلال: الالتزامات الوطنية الملزمة بالامتثال لأهداف بروتوكول مونتريال؛ والربط الشبكي بين وحدات الأوزون الوطنية والصناعة؛ والأخذ بنهج قطري لاعتماد التكنولوجيات المستدامة؛ واتباع نهج متوازن يتفادى عدم التطابق بين العرض والطلب؛ والتعزيز المؤسسي. وعلاوة على ذلك، يمكن للصندوق المتعدد الأطراف أن يعمل على وضع نُهُج ومشروعات للتبريد المستدام بالتعاون مع مؤسسات أخرى.</w:t>
      </w:r>
    </w:p>
    <w:p w14:paraId="6B8F8E65" w14:textId="609D5EB7" w:rsidR="004D01E1" w:rsidRPr="00F7480C" w:rsidRDefault="004D01E1" w:rsidP="004D01E1">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sz w:val="26"/>
          <w:szCs w:val="26"/>
          <w:u w:val="single"/>
          <w:rtl/>
          <w:lang w:bidi="ar-LB"/>
        </w:rPr>
        <w:t>تعزيز جمع البيانات المتعلقة بالتبريد المستدام</w:t>
      </w:r>
    </w:p>
    <w:p w14:paraId="36E802D9" w14:textId="2BC970EF" w:rsidR="00F7480C" w:rsidRPr="00F7480C"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sidRPr="00F7480C">
        <w:rPr>
          <w:rFonts w:asciiTheme="majorBidi" w:hAnsiTheme="majorBidi" w:cstheme="majorBidi"/>
          <w:i/>
          <w:iCs/>
          <w:sz w:val="26"/>
          <w:szCs w:val="26"/>
          <w:rtl/>
          <w:lang w:bidi="ar-LB"/>
        </w:rPr>
        <w:t>يلزم</w:t>
      </w:r>
      <w:r>
        <w:rPr>
          <w:rFonts w:asciiTheme="majorBidi" w:hAnsiTheme="majorBidi" w:cstheme="majorBidi"/>
          <w:sz w:val="26"/>
          <w:szCs w:val="26"/>
          <w:rtl/>
          <w:lang w:bidi="ar-LB"/>
        </w:rPr>
        <w:t xml:space="preserve"> </w:t>
      </w:r>
      <w:r w:rsidRPr="00C132D3">
        <w:rPr>
          <w:rFonts w:asciiTheme="majorBidi" w:hAnsiTheme="majorBidi" w:cstheme="majorBidi"/>
          <w:i/>
          <w:iCs/>
          <w:sz w:val="26"/>
          <w:szCs w:val="26"/>
          <w:rtl/>
          <w:lang w:bidi="ar-LB"/>
        </w:rPr>
        <w:t>تعزيز جمع البيانات بشأن البنية التحتية للتبريد المتعلقة باستهلاك المواد الهيدروفلوروكربونية وكفاءة الطاقة إلى جانب الأنماط والاتجاهات من أجل فهم العوائق والتدخلات بهدف تحقيق التبريد المستدام.</w:t>
      </w:r>
      <w:r w:rsidRPr="00C132D3">
        <w:rPr>
          <w:rFonts w:asciiTheme="majorBidi" w:hAnsiTheme="majorBidi" w:cstheme="majorBidi"/>
          <w:sz w:val="26"/>
          <w:szCs w:val="26"/>
          <w:rtl/>
          <w:lang w:bidi="ar-LB"/>
        </w:rPr>
        <w:t xml:space="preserve"> ويمثل تقييم هيكل القطاع / الصناعة واتجاهات التكنولوجيا المتعلقة بالتبريد المريح وسلاسل التبريد أمراً بالغ الأهمية لتحديد خطط عمل محددة لتعزيز التبريد المستدام</w:t>
      </w:r>
      <w:r w:rsidRPr="00C132D3">
        <w:rPr>
          <w:rStyle w:val="FootnoteReference"/>
          <w:rFonts w:asciiTheme="majorBidi" w:hAnsiTheme="majorBidi" w:cstheme="majorBidi"/>
          <w:sz w:val="26"/>
          <w:szCs w:val="26"/>
          <w:rtl/>
          <w:lang w:bidi="ar-LB"/>
        </w:rPr>
        <w:footnoteReference w:id="26"/>
      </w:r>
      <w:r w:rsidRPr="00C132D3">
        <w:rPr>
          <w:rFonts w:asciiTheme="majorBidi" w:hAnsiTheme="majorBidi" w:cstheme="majorBidi"/>
          <w:sz w:val="26"/>
          <w:szCs w:val="26"/>
          <w:rtl/>
          <w:lang w:bidi="ar-LB"/>
        </w:rPr>
        <w:t>. وسيتطلب ذلك نُهُجاً خاصة بكل بلد لجمع البيانات المتعلقة بتطبيقات التبريد وتحليلها.  ويمكن استخدام إعداد وتنفيذ أنشطة خطة تنفيذ تعديل كيغالي لجمع المعلومات وإشراك أصحاب المصلحة الذين يتعاملون مع تطبيقات التبريد أو يستخدمونها عند تصميم الإجراءات وتدخلات السياسة العامة للحد من الاعتماد على المعدات القائمة على المواد الهيدروفلوروكربونية. وبالإضافة إلى ذلك، يمكن استخدام الأنشطة التي تقدم بدعم من مصادر تمويل غير تابعة للصندوق المتعدد الأطراف لجمع المعلومات التي يمكن أن تشمل بيانات قطاعية.</w:t>
      </w:r>
    </w:p>
    <w:p w14:paraId="768D1497" w14:textId="74B98F0C" w:rsidR="00F7480C" w:rsidRPr="004D01E1"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i/>
          <w:iCs/>
          <w:sz w:val="26"/>
          <w:szCs w:val="26"/>
          <w:rtl/>
          <w:lang w:bidi="ar-LB"/>
        </w:rPr>
        <w:t xml:space="preserve">وتؤدي </w:t>
      </w:r>
      <w:r w:rsidRPr="00C132D3">
        <w:rPr>
          <w:rFonts w:asciiTheme="majorBidi" w:hAnsiTheme="majorBidi" w:cstheme="majorBidi"/>
          <w:i/>
          <w:iCs/>
          <w:sz w:val="26"/>
          <w:szCs w:val="26"/>
          <w:rtl/>
          <w:lang w:bidi="ar-LB"/>
        </w:rPr>
        <w:t xml:space="preserve">المعلومات المتعلقة بتكنولوجيات عوامل نفخ </w:t>
      </w:r>
      <w:r w:rsidR="00386805" w:rsidRPr="00C132D3">
        <w:rPr>
          <w:rFonts w:asciiTheme="majorBidi" w:hAnsiTheme="majorBidi" w:cstheme="majorBidi" w:hint="cs"/>
          <w:i/>
          <w:iCs/>
          <w:sz w:val="26"/>
          <w:szCs w:val="26"/>
          <w:rtl/>
          <w:lang w:bidi="ar-LB"/>
        </w:rPr>
        <w:t>الرغاوى</w:t>
      </w:r>
      <w:r w:rsidRPr="00C132D3">
        <w:rPr>
          <w:rFonts w:asciiTheme="majorBidi" w:hAnsiTheme="majorBidi" w:cstheme="majorBidi"/>
          <w:i/>
          <w:iCs/>
          <w:sz w:val="26"/>
          <w:szCs w:val="26"/>
          <w:rtl/>
          <w:lang w:bidi="ar-LB"/>
        </w:rPr>
        <w:t xml:space="preserve"> وحلول العزل الأخرى دورا</w:t>
      </w:r>
      <w:r w:rsidR="00D116C3">
        <w:rPr>
          <w:rFonts w:asciiTheme="majorBidi" w:hAnsiTheme="majorBidi" w:cstheme="majorBidi"/>
          <w:i/>
          <w:iCs/>
          <w:sz w:val="26"/>
          <w:szCs w:val="26"/>
          <w:rtl/>
          <w:lang w:bidi="ar-LB"/>
        </w:rPr>
        <w:t>ً</w:t>
      </w:r>
      <w:r w:rsidRPr="00C132D3">
        <w:rPr>
          <w:rFonts w:asciiTheme="majorBidi" w:hAnsiTheme="majorBidi" w:cstheme="majorBidi"/>
          <w:i/>
          <w:iCs/>
          <w:sz w:val="26"/>
          <w:szCs w:val="26"/>
          <w:rtl/>
          <w:lang w:bidi="ar-LB"/>
        </w:rPr>
        <w:t xml:space="preserve"> مهما</w:t>
      </w:r>
      <w:r w:rsidR="00D116C3">
        <w:rPr>
          <w:rFonts w:asciiTheme="majorBidi" w:hAnsiTheme="majorBidi" w:cstheme="majorBidi"/>
          <w:i/>
          <w:iCs/>
          <w:sz w:val="26"/>
          <w:szCs w:val="26"/>
          <w:rtl/>
          <w:lang w:bidi="ar-LB"/>
        </w:rPr>
        <w:t>ً</w:t>
      </w:r>
      <w:r w:rsidRPr="00C132D3">
        <w:rPr>
          <w:rFonts w:asciiTheme="majorBidi" w:hAnsiTheme="majorBidi" w:cstheme="majorBidi"/>
          <w:i/>
          <w:iCs/>
          <w:sz w:val="26"/>
          <w:szCs w:val="26"/>
          <w:rtl/>
          <w:lang w:bidi="ar-LB"/>
        </w:rPr>
        <w:t xml:space="preserve"> في الحد من فقدان التبريد، وبالتالي ، يلزم رصدها باستمرار لتعزيز اعتماد تكنولوجيات التبريد المستدامة.</w:t>
      </w:r>
      <w:r w:rsidRPr="00C132D3">
        <w:rPr>
          <w:rFonts w:asciiTheme="majorBidi" w:hAnsiTheme="majorBidi" w:cstheme="majorBidi"/>
          <w:sz w:val="26"/>
          <w:szCs w:val="26"/>
          <w:rtl/>
          <w:lang w:bidi="ar-LB"/>
        </w:rPr>
        <w:t xml:space="preserve">  </w:t>
      </w:r>
      <w:r w:rsidR="0069237E">
        <w:rPr>
          <w:rFonts w:asciiTheme="majorBidi" w:hAnsiTheme="majorBidi" w:cstheme="majorBidi"/>
          <w:sz w:val="26"/>
          <w:szCs w:val="26"/>
          <w:rtl/>
          <w:lang w:bidi="ar-LB"/>
        </w:rPr>
        <w:t>و</w:t>
      </w:r>
      <w:r w:rsidRPr="00C132D3">
        <w:rPr>
          <w:rFonts w:asciiTheme="majorBidi" w:hAnsiTheme="majorBidi" w:cstheme="majorBidi"/>
          <w:sz w:val="26"/>
          <w:szCs w:val="26"/>
          <w:rtl/>
          <w:lang w:bidi="ar-LB"/>
        </w:rPr>
        <w:t>يجب أن يشمل اعتماد التبريد المستدام في مختلف التطبيقات (مثل عزل المباني وعزل البنية التحتية لسلسلة التبريد لتقليل فقد التبريد) اعتماد تكنولوجيات العزل المستدام ذات إمكانية إحداث الاحترار العالمي المنخفضة، مع التركيز بشكل خاص على المؤسسات الصغيرة والمتوسطة الحجم المشاركة في تصنيع منتجات الرغوة العازلة. ويلزم جمع البيانات المتعلقة برغوة العزل المستخدمة في تطبيقات التبريد وتكييف الهواء والمضخات الحرارية وتحليلها باستمرار بهدف ضمان تشغيل المعدات بكفاءة في استخدام الطاقة.</w:t>
      </w:r>
    </w:p>
    <w:p w14:paraId="297D5510" w14:textId="6D2383FF" w:rsidR="004D01E1" w:rsidRPr="00F7480C" w:rsidRDefault="004D01E1" w:rsidP="004D01E1">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sidRPr="00C132D3">
        <w:rPr>
          <w:rFonts w:asciiTheme="majorBidi" w:hAnsiTheme="majorBidi" w:cstheme="majorBidi"/>
          <w:sz w:val="26"/>
          <w:szCs w:val="26"/>
          <w:u w:val="single"/>
          <w:rtl/>
          <w:lang w:bidi="ar-LB"/>
        </w:rPr>
        <w:t>البرامج الم</w:t>
      </w:r>
      <w:r w:rsidR="00554C1A">
        <w:rPr>
          <w:rFonts w:asciiTheme="majorBidi" w:hAnsiTheme="majorBidi" w:cstheme="majorBidi"/>
          <w:sz w:val="26"/>
          <w:szCs w:val="26"/>
          <w:u w:val="single"/>
          <w:rtl/>
          <w:lang w:bidi="ar-LB"/>
        </w:rPr>
        <w:t>حددة ال</w:t>
      </w:r>
      <w:r w:rsidRPr="00C132D3">
        <w:rPr>
          <w:rFonts w:asciiTheme="majorBidi" w:hAnsiTheme="majorBidi" w:cstheme="majorBidi"/>
          <w:sz w:val="26"/>
          <w:szCs w:val="26"/>
          <w:u w:val="single"/>
          <w:rtl/>
          <w:lang w:bidi="ar-LB"/>
        </w:rPr>
        <w:t>هدف لتعزيز التبريد المستدام في إطار خطط إدارة إزالة المواد الهيدروكلوروفلوروكربونية وخطط تنفيذ تعديل كيغالي للخفض التدريجي للمواد الهيدروفلوروكربونية</w:t>
      </w:r>
    </w:p>
    <w:p w14:paraId="39947899" w14:textId="43352A4A" w:rsidR="00F7480C" w:rsidRPr="00F7480C"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i/>
          <w:iCs/>
          <w:sz w:val="26"/>
          <w:szCs w:val="26"/>
          <w:rtl/>
          <w:lang w:bidi="ar-LB"/>
        </w:rPr>
        <w:lastRenderedPageBreak/>
        <w:t xml:space="preserve">يمكن </w:t>
      </w:r>
      <w:r w:rsidRPr="00C132D3">
        <w:rPr>
          <w:rFonts w:asciiTheme="majorBidi" w:hAnsiTheme="majorBidi" w:cstheme="majorBidi"/>
          <w:i/>
          <w:iCs/>
          <w:sz w:val="26"/>
          <w:szCs w:val="26"/>
          <w:rtl/>
          <w:lang w:bidi="ar-LB"/>
        </w:rPr>
        <w:t>تنفيذ الأنشطة في إطار خطط إدارة إزالة المواد الهيدروكلوروفلوروكربونية لتجنب اعتماد تكنولوجيات الإحلال القائمة على المواد الهيدروفلوروكربونية ذات القدرة العالية على إحداث  الاحترار العالمي.</w:t>
      </w:r>
      <w:r w:rsidRPr="00C132D3">
        <w:rPr>
          <w:rFonts w:asciiTheme="majorBidi" w:hAnsiTheme="majorBidi" w:cstheme="majorBidi"/>
          <w:sz w:val="26"/>
          <w:szCs w:val="26"/>
          <w:rtl/>
          <w:lang w:bidi="ar-LB"/>
        </w:rPr>
        <w:t xml:space="preserve"> وسيتطلب تنفيذ خطط إدارة إزالة المواد الهيدروكلوروفلوروكربونية المتبقية اتباع نهج كلي مع أنشطة خطط تنفيذ تعديل كيغالي القائمة والمخطط لها التي يجري الشروع فيها، لتجنب اعتماد تكنولوجيات الإحلال القائمة على المواد الهيدروفلوروكربونية ذات القدرة العالية على إحداث الاحترار العالمي ولتشجيع اعتماد تكنولوجيات التبريد المتسمة بالكفاءة في استخدام الطاقة وذات القدرة المنخفضة على إحداث الاحترار العالمي.</w:t>
      </w:r>
    </w:p>
    <w:p w14:paraId="55EF11D6" w14:textId="0B9E37E2" w:rsidR="00F7480C" w:rsidRPr="00F7480C"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i/>
          <w:iCs/>
          <w:sz w:val="26"/>
          <w:szCs w:val="26"/>
          <w:rtl/>
          <w:lang w:bidi="ar-LB"/>
        </w:rPr>
        <w:t xml:space="preserve">ويمكن </w:t>
      </w:r>
      <w:r w:rsidRPr="00C132D3">
        <w:rPr>
          <w:rFonts w:asciiTheme="majorBidi" w:hAnsiTheme="majorBidi" w:cstheme="majorBidi"/>
          <w:i/>
          <w:iCs/>
          <w:sz w:val="26"/>
          <w:szCs w:val="26"/>
          <w:rtl/>
          <w:lang w:bidi="ar-LB"/>
        </w:rPr>
        <w:t>النظر في استراتيجية على مستوى القطاعات/التطبيقات للإزالة الشاملة للمواد الهيدروفلوروكربونية إلى جانب اعتماد تكنولوجيات مستدامة تتسم بالكفاءة في استخدام الطاقة كجزء من خطط تنفيذ تعديل كيغالي.</w:t>
      </w:r>
      <w:r w:rsidRPr="00C132D3">
        <w:rPr>
          <w:rFonts w:asciiTheme="majorBidi" w:hAnsiTheme="majorBidi" w:cstheme="majorBidi"/>
          <w:sz w:val="26"/>
          <w:szCs w:val="26"/>
          <w:rtl/>
          <w:lang w:bidi="ar-LB"/>
        </w:rPr>
        <w:t xml:space="preserve"> ويمكن أن يشمل ذلك قطاعات فردية أو قطاعات متعددة وفقاً لهيكل الصناعة الوطنية لتحقيق حلول التبريد المستدامة. وفي أثناء تنفيذ خطط إدارة إزالة المواد الهيدروكلوروفلوروكربونية، تضمنت بعض خطط التنفيذ استراتيجيات قطاعية ساعدت على خفض استهلاك المواد الهيدروكلوروفلوروكربونية بين جميع مستخدمي هذه المواد في القطاع ووضعت سياسة شاملة ومجموعة تدابير تنظيمية لإدامة إزالة المواد الهيدروكلوروفلوروكربونية. وكجزء من خطط تنفيذ تعديل كيغالي للمواد الهيدروفلوروكربونية، على سبيل المثال، يمكن أن يؤدي الإسراع بالتخلص التدريجي  من الهيدروفلوروكربون-</w:t>
      </w:r>
      <w:r w:rsidR="00C0411E" w:rsidRPr="00AB4EDA">
        <w:rPr>
          <w:sz w:val="24"/>
          <w:szCs w:val="24"/>
          <w:lang w:bidi="ar-LB"/>
        </w:rPr>
        <w:t>134a</w:t>
      </w:r>
      <w:r w:rsidRPr="00C132D3">
        <w:rPr>
          <w:rFonts w:asciiTheme="majorBidi" w:hAnsiTheme="majorBidi" w:cstheme="majorBidi"/>
          <w:sz w:val="26"/>
          <w:szCs w:val="26"/>
          <w:rtl/>
          <w:lang w:bidi="ar-LB"/>
        </w:rPr>
        <w:t xml:space="preserve"> وغاز التبريد </w:t>
      </w:r>
      <w:r w:rsidR="00C0411E" w:rsidRPr="00AB4EDA">
        <w:rPr>
          <w:sz w:val="24"/>
          <w:szCs w:val="24"/>
          <w:lang w:bidi="ar-LB"/>
        </w:rPr>
        <w:t>R-404A</w:t>
      </w:r>
      <w:r w:rsidRPr="00C132D3">
        <w:rPr>
          <w:rFonts w:asciiTheme="majorBidi" w:hAnsiTheme="majorBidi" w:cstheme="majorBidi"/>
          <w:sz w:val="26"/>
          <w:szCs w:val="26"/>
          <w:rtl/>
          <w:lang w:bidi="ar-LB"/>
        </w:rPr>
        <w:t xml:space="preserve"> في تصنيع معدات التبريد التجاري القائمة بذاتها على المستوى القطاعي إلى خفض الطلب الطويل الأجل على المواد الهيدروفلوروكربونية في هذه التطبيقات. ويمكن أن يكون للاستراتيجيات القطاعية في اعتماد أنواع معينة من التكنولوجيات (مثل الاستخدام الآمن لغازات التبريد القابلة للاشتعال ذات القدرة المنخفضة على إحداث الاحترار العالمي) آثار غير مباشرة على التطبيقات/القطاعات الأخرى ذات الصلة، ومن ثم تؤدي لتعظيم الفوائد من هذا النهج.</w:t>
      </w:r>
    </w:p>
    <w:p w14:paraId="5A93C6E4" w14:textId="550B34B3" w:rsidR="00F7480C" w:rsidRPr="004D01E1" w:rsidRDefault="00F7480C" w:rsidP="00F7480C">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ويمكن </w:t>
      </w:r>
      <w:r w:rsidRPr="00C132D3">
        <w:rPr>
          <w:rFonts w:asciiTheme="majorBidi" w:hAnsiTheme="majorBidi" w:cstheme="majorBidi"/>
          <w:sz w:val="26"/>
          <w:szCs w:val="26"/>
          <w:rtl/>
          <w:lang w:bidi="ar-LB"/>
        </w:rPr>
        <w:t>النظر في القيام بالتدخلات التالية خلال تنفيذ خطة تنفيذ تعديل كيغالي للمواد الهيدروفلوروكربونية من أجل تحقيق التبريد المستدام، مع ملاحظة أن هذه التدخلات لا يستبعد بعضها بعضاً.</w:t>
      </w:r>
    </w:p>
    <w:p w14:paraId="562C653E" w14:textId="2B71A600" w:rsidR="004D01E1" w:rsidRPr="002956A4" w:rsidRDefault="002956A4" w:rsidP="002956A4">
      <w:pPr>
        <w:pStyle w:val="StyleHeader4Para4Left0Firstline0"/>
        <w:widowControl/>
        <w:numPr>
          <w:ilvl w:val="0"/>
          <w:numId w:val="27"/>
        </w:numPr>
        <w:tabs>
          <w:tab w:val="clear" w:pos="2880"/>
          <w:tab w:val="clear" w:pos="5760"/>
        </w:tabs>
        <w:bidi/>
        <w:spacing w:after="120" w:line="360" w:lineRule="exact"/>
        <w:ind w:left="1440" w:hanging="720"/>
        <w:rPr>
          <w:sz w:val="26"/>
          <w:szCs w:val="26"/>
          <w:lang w:val="en-US" w:bidi="ar-LB"/>
        </w:rPr>
      </w:pPr>
      <w:r w:rsidRPr="002956A4">
        <w:rPr>
          <w:i/>
          <w:iCs/>
          <w:sz w:val="26"/>
          <w:szCs w:val="26"/>
          <w:rtl/>
          <w:lang w:val="en-US" w:bidi="ar-LB"/>
        </w:rPr>
        <w:t>تنفيذ</w:t>
      </w:r>
      <w:r>
        <w:rPr>
          <w:sz w:val="26"/>
          <w:szCs w:val="26"/>
          <w:rtl/>
          <w:lang w:val="en-US" w:bidi="ar-LB"/>
        </w:rPr>
        <w:t xml:space="preserve"> </w:t>
      </w:r>
      <w:r w:rsidRPr="00C132D3">
        <w:rPr>
          <w:rFonts w:asciiTheme="majorBidi" w:hAnsiTheme="majorBidi" w:cstheme="majorBidi"/>
          <w:i/>
          <w:iCs/>
          <w:sz w:val="26"/>
          <w:szCs w:val="26"/>
          <w:rtl/>
          <w:lang w:bidi="ar-LB"/>
        </w:rPr>
        <w:t>التدخلات المتعلقة بكفاءة استخدام الطاقة مع تحويل التصنيع من المواد الهيدروفلوروكربونية إلى البدائل.</w:t>
      </w:r>
      <w:r w:rsidRPr="00C132D3">
        <w:rPr>
          <w:rFonts w:asciiTheme="majorBidi" w:hAnsiTheme="majorBidi" w:cstheme="majorBidi"/>
          <w:sz w:val="26"/>
          <w:szCs w:val="26"/>
          <w:rtl/>
          <w:lang w:bidi="ar-LB"/>
        </w:rPr>
        <w:t xml:space="preserve"> ومن شأن هذا النهج المتكامل لمعالجة تحويل غازات التبريد ودمج كفاءة استخدام الطاقة في تصميم المعدات أن يكون حلاً فعالاً من حيث التكلفة لتعظيم التأثير الإيجابي على المناخ.</w:t>
      </w:r>
    </w:p>
    <w:p w14:paraId="71AD06A1" w14:textId="3F3380E0" w:rsidR="002956A4" w:rsidRPr="002956A4" w:rsidRDefault="002956A4" w:rsidP="002956A4">
      <w:pPr>
        <w:pStyle w:val="StyleHeader4Para4Left0Firstline0"/>
        <w:widowControl/>
        <w:numPr>
          <w:ilvl w:val="0"/>
          <w:numId w:val="27"/>
        </w:numPr>
        <w:tabs>
          <w:tab w:val="clear" w:pos="2880"/>
          <w:tab w:val="clear" w:pos="5760"/>
        </w:tabs>
        <w:bidi/>
        <w:spacing w:after="120" w:line="360" w:lineRule="exact"/>
        <w:ind w:left="1440" w:hanging="720"/>
        <w:rPr>
          <w:sz w:val="26"/>
          <w:szCs w:val="26"/>
          <w:lang w:val="en-US" w:bidi="ar-LB"/>
        </w:rPr>
      </w:pPr>
      <w:r>
        <w:rPr>
          <w:i/>
          <w:iCs/>
          <w:sz w:val="26"/>
          <w:szCs w:val="26"/>
          <w:rtl/>
          <w:lang w:val="en-US" w:bidi="ar-LB"/>
        </w:rPr>
        <w:t xml:space="preserve">الاضطلاع </w:t>
      </w:r>
      <w:r w:rsidRPr="00C132D3">
        <w:rPr>
          <w:rFonts w:asciiTheme="majorBidi" w:hAnsiTheme="majorBidi" w:cstheme="majorBidi"/>
          <w:i/>
          <w:iCs/>
          <w:sz w:val="26"/>
          <w:szCs w:val="26"/>
          <w:rtl/>
          <w:lang w:bidi="ar-LB"/>
        </w:rPr>
        <w:t>ببرامج للتعجيل باعتماد معدات التبريد وتكييف الهواء والمضخات الحرارية التي تتميز بالكفاءة في استخدام الطاقة والقائمة على غازات التبريد ذات القدرة المنخفضة على إحداث الاحترار العالمي.</w:t>
      </w:r>
      <w:r w:rsidRPr="00C132D3">
        <w:rPr>
          <w:rFonts w:asciiTheme="majorBidi" w:hAnsiTheme="majorBidi" w:cstheme="majorBidi"/>
          <w:sz w:val="26"/>
          <w:szCs w:val="26"/>
          <w:rtl/>
          <w:lang w:bidi="ar-LB"/>
        </w:rPr>
        <w:t xml:space="preserve"> وهذا من شأنه أن يؤدي إلى انخفاض استهلاك الطاقة من استخدام معدات التبريد وتكييف الهواء والمضخات الحرارية في كل من البلدان التي تصنع وتستورد هذه المعدات وسيكون مفيدا</w:t>
      </w:r>
      <w:r w:rsidR="003303CF">
        <w:rPr>
          <w:rFonts w:asciiTheme="majorBidi" w:hAnsiTheme="majorBidi" w:cstheme="majorBidi"/>
          <w:sz w:val="26"/>
          <w:szCs w:val="26"/>
          <w:rtl/>
          <w:lang w:bidi="ar-LB"/>
        </w:rPr>
        <w:t>ً</w:t>
      </w:r>
      <w:r w:rsidRPr="00C132D3">
        <w:rPr>
          <w:rFonts w:asciiTheme="majorBidi" w:hAnsiTheme="majorBidi" w:cstheme="majorBidi"/>
          <w:sz w:val="26"/>
          <w:szCs w:val="26"/>
          <w:rtl/>
          <w:lang w:bidi="ar-LB"/>
        </w:rPr>
        <w:t xml:space="preserve"> للمستهلكين والحكومات حيث ستكون هناك وفورات في استهلاك الطاقة واحتياجات الطاقة الناتجة عن معدات التبريد وتكييف الهواء والمضخات الحرارية. ويجب أن يشمل هذا النهج تقليل الطلب على التبريد إلى أدنى حد في تطبيقات المستخدم النهائي المختلفة؛ وإيجاد الحجم الصحيح لمعدات التبريد وتكييف الهواء والمضخات الحرارية من حيث التصميم والتركيب؛ وضمان الممارسات الجيدة والآمنة لتركيب وصيانة وخدمة المعدات بما في ذلك استرداد غازات التبريد وإعادة استخدامها؛ والقيام بالإدارة المسؤولة لنهاية عمر الاستخدام. وينبغي استكمال هذه الأنشطة ببرامج مناسبة  ومحددة الهدف للتوعية والتواصل، وبناء قدرات المؤسسات الوطنية ذات الصلة، وتشجيع </w:t>
      </w:r>
      <w:r w:rsidRPr="00C132D3">
        <w:rPr>
          <w:rFonts w:asciiTheme="majorBidi" w:hAnsiTheme="majorBidi" w:cstheme="majorBidi"/>
          <w:sz w:val="26"/>
          <w:szCs w:val="26"/>
          <w:rtl/>
          <w:lang w:bidi="ar-LB"/>
        </w:rPr>
        <w:lastRenderedPageBreak/>
        <w:t>التمويل المبتكر لاعتماد معدات التبريد وتكييف الهواء والمضخات الحرارية القائمة على غازات التبريد المتسمة بالكفاءة في استخدام الطاقة وذات القدرة المنخفضة على إحداث الاحترار العالمي.</w:t>
      </w:r>
    </w:p>
    <w:p w14:paraId="33D80DC2" w14:textId="05FC6774" w:rsidR="002956A4" w:rsidRPr="002956A4" w:rsidRDefault="002956A4" w:rsidP="002956A4">
      <w:pPr>
        <w:pStyle w:val="StyleHeader4Para4Left0Firstline0"/>
        <w:widowControl/>
        <w:numPr>
          <w:ilvl w:val="0"/>
          <w:numId w:val="27"/>
        </w:numPr>
        <w:tabs>
          <w:tab w:val="clear" w:pos="2880"/>
          <w:tab w:val="clear" w:pos="5760"/>
        </w:tabs>
        <w:bidi/>
        <w:spacing w:after="120" w:line="360" w:lineRule="exact"/>
        <w:ind w:left="1440" w:hanging="720"/>
        <w:rPr>
          <w:sz w:val="26"/>
          <w:szCs w:val="26"/>
          <w:lang w:val="en-US" w:bidi="ar-LB"/>
        </w:rPr>
      </w:pPr>
      <w:r>
        <w:rPr>
          <w:i/>
          <w:iCs/>
          <w:sz w:val="26"/>
          <w:szCs w:val="26"/>
          <w:rtl/>
          <w:lang w:val="en-US" w:bidi="ar-LB"/>
        </w:rPr>
        <w:t xml:space="preserve">الاضطلاع </w:t>
      </w:r>
      <w:r w:rsidRPr="00C132D3">
        <w:rPr>
          <w:rFonts w:asciiTheme="majorBidi" w:hAnsiTheme="majorBidi" w:cstheme="majorBidi"/>
          <w:i/>
          <w:iCs/>
          <w:sz w:val="26"/>
          <w:szCs w:val="26"/>
          <w:rtl/>
          <w:lang w:bidi="ar-LB"/>
        </w:rPr>
        <w:t>ببرامج دعم المستخدم النهائي للحد من الاعتماد على المعدات القائمة على المواد الهيدروفلوروكربونية.</w:t>
      </w:r>
      <w:r w:rsidRPr="00C132D3">
        <w:rPr>
          <w:rFonts w:asciiTheme="majorBidi" w:hAnsiTheme="majorBidi" w:cstheme="majorBidi"/>
          <w:sz w:val="26"/>
          <w:szCs w:val="26"/>
          <w:rtl/>
          <w:lang w:bidi="ar-LB"/>
        </w:rPr>
        <w:t xml:space="preserve"> وسيؤدي تقليل الاعتماد على المعدات القائمة على المواد الهيدروفلوروكربونية إلى الحدّ من الطلب على المواد الهيدروفلوروكربونية لأغراض الشحن الأولي وإعادة الشحن، وسيعجّل باعتماد بدائل للمعدات القائمة على هذه المواد. وسيوفر هذا بدوره إشارات السوق لموردي المعدات للترويج لتلك التكنولوجيات البديلة. وفي حين يقدَّم الدعم للمشروعات التي تنطوي على عرض تكنولوجيات ذات قدرة منخفضة على إحداث الاحترار العالمي وحوافز للمستعملين النهائيين، إلا أن حجمها محدود كما أن قابلية التوسع في التكنولوجيات التي أثبتت جدواها محدودة أيضاً.</w:t>
      </w:r>
    </w:p>
    <w:p w14:paraId="52EEC1F9" w14:textId="35E3F7F4" w:rsidR="002956A4" w:rsidRPr="002956A4" w:rsidRDefault="002956A4" w:rsidP="002956A4">
      <w:pPr>
        <w:pStyle w:val="StyleHeader4Para4Left0Firstline0"/>
        <w:widowControl/>
        <w:numPr>
          <w:ilvl w:val="0"/>
          <w:numId w:val="27"/>
        </w:numPr>
        <w:tabs>
          <w:tab w:val="clear" w:pos="2880"/>
          <w:tab w:val="clear" w:pos="5760"/>
        </w:tabs>
        <w:bidi/>
        <w:spacing w:after="120" w:line="360" w:lineRule="exact"/>
        <w:ind w:left="1440" w:hanging="720"/>
        <w:rPr>
          <w:sz w:val="26"/>
          <w:szCs w:val="26"/>
          <w:lang w:val="en-US" w:bidi="ar-LB"/>
        </w:rPr>
      </w:pPr>
      <w:r>
        <w:rPr>
          <w:i/>
          <w:iCs/>
          <w:sz w:val="26"/>
          <w:szCs w:val="26"/>
          <w:rtl/>
          <w:lang w:val="en-US" w:bidi="ar-LB"/>
        </w:rPr>
        <w:t xml:space="preserve">الإدارة </w:t>
      </w:r>
      <w:r w:rsidRPr="00C132D3">
        <w:rPr>
          <w:rFonts w:asciiTheme="majorBidi" w:hAnsiTheme="majorBidi" w:cstheme="majorBidi"/>
          <w:i/>
          <w:iCs/>
          <w:sz w:val="26"/>
          <w:szCs w:val="26"/>
          <w:rtl/>
          <w:lang w:bidi="ar-LB"/>
        </w:rPr>
        <w:t>الفعالة لنهاية عمر المعدات التي تستخدم المواد الهيدروفلوروكربونية.</w:t>
      </w:r>
      <w:r w:rsidRPr="00C132D3">
        <w:rPr>
          <w:rFonts w:asciiTheme="majorBidi" w:hAnsiTheme="majorBidi" w:cstheme="majorBidi"/>
          <w:sz w:val="26"/>
          <w:szCs w:val="26"/>
          <w:rtl/>
          <w:lang w:bidi="ar-LB"/>
        </w:rPr>
        <w:t xml:space="preserve"> وسيتطلب ذلك مزيجاً من إذكاء الوعي والتوعية الإعلامية، والتدريب على استرداد غازات التبريد والتخلص المأمون من المعدات في نهاية عمرها الإنتاجي، وتحديث مدونات الممارسات/اللوائح ذات الصلة بشأن الإدارة المأمونة في نهاية العمر الافتراضي. ويلزم التخلص بشكل آمن من غازات التبريد المستعادة التي لا يمكن إعادة استخدامها، كما يلزم وضع نُهُج مبتكرة لإدارة لخدمات اللوجستية وتمويل التخلص منها وتدميرها. وقد ينطوي ذلك على اتباع نهج كلي لإدارة النفايات الخطرة بما في ذلك نفايات غازات التبريد. وبالإضافة إلى ذلك، نظرا</w:t>
      </w:r>
      <w:r w:rsidR="003303CF">
        <w:rPr>
          <w:rFonts w:asciiTheme="majorBidi" w:hAnsiTheme="majorBidi" w:cstheme="majorBidi"/>
          <w:sz w:val="26"/>
          <w:szCs w:val="26"/>
          <w:rtl/>
          <w:lang w:bidi="ar-LB"/>
        </w:rPr>
        <w:t>ً</w:t>
      </w:r>
      <w:r w:rsidRPr="00C132D3">
        <w:rPr>
          <w:rFonts w:asciiTheme="majorBidi" w:hAnsiTheme="majorBidi" w:cstheme="majorBidi"/>
          <w:sz w:val="26"/>
          <w:szCs w:val="26"/>
          <w:rtl/>
          <w:lang w:bidi="ar-LB"/>
        </w:rPr>
        <w:t xml:space="preserve"> لارتفاع مستوى الاستثمار والعمليات اللوجستية المعنية، قد يكون من المفيد إنشاء مراكز إقليمية يمكنها استصلاح غازات التبريد وتشغيل مرافق التدمير.</w:t>
      </w:r>
    </w:p>
    <w:p w14:paraId="1501B323" w14:textId="19FAA94D" w:rsidR="002956A4" w:rsidRPr="002956A4" w:rsidRDefault="002956A4" w:rsidP="002956A4">
      <w:pPr>
        <w:pStyle w:val="StyleHeader4Para4Left0Firstline0"/>
        <w:widowControl/>
        <w:numPr>
          <w:ilvl w:val="0"/>
          <w:numId w:val="27"/>
        </w:numPr>
        <w:tabs>
          <w:tab w:val="clear" w:pos="2880"/>
          <w:tab w:val="clear" w:pos="5760"/>
        </w:tabs>
        <w:bidi/>
        <w:spacing w:after="120" w:line="360" w:lineRule="exact"/>
        <w:ind w:left="1440" w:hanging="720"/>
        <w:rPr>
          <w:sz w:val="26"/>
          <w:szCs w:val="26"/>
          <w:lang w:val="en-US" w:bidi="ar-LB"/>
        </w:rPr>
      </w:pPr>
      <w:r>
        <w:rPr>
          <w:i/>
          <w:iCs/>
          <w:sz w:val="26"/>
          <w:szCs w:val="26"/>
          <w:rtl/>
          <w:lang w:val="en-US" w:bidi="ar-LB"/>
        </w:rPr>
        <w:t xml:space="preserve">تحديد </w:t>
      </w:r>
      <w:r w:rsidRPr="00C132D3">
        <w:rPr>
          <w:rFonts w:asciiTheme="majorBidi" w:hAnsiTheme="majorBidi" w:cstheme="majorBidi"/>
          <w:i/>
          <w:iCs/>
          <w:sz w:val="26"/>
          <w:szCs w:val="26"/>
          <w:rtl/>
          <w:lang w:bidi="ar-LB"/>
        </w:rPr>
        <w:t>آليات لإجراء تقييم شامل لاستهلاك</w:t>
      </w:r>
      <w:r w:rsidR="00386805" w:rsidRPr="00386805">
        <w:rPr>
          <w:rtl/>
        </w:rPr>
        <w:t xml:space="preserve"> </w:t>
      </w:r>
      <w:r w:rsidR="00386805" w:rsidRPr="00386805">
        <w:rPr>
          <w:rFonts w:asciiTheme="majorBidi" w:hAnsiTheme="majorBidi"/>
          <w:sz w:val="26"/>
          <w:szCs w:val="26"/>
          <w:rtl/>
          <w:lang w:bidi="ar-LB"/>
        </w:rPr>
        <w:t>الهيدروفلوروكربون</w:t>
      </w:r>
      <w:r w:rsidR="00386805" w:rsidRPr="00386805">
        <w:rPr>
          <w:rFonts w:asciiTheme="majorBidi" w:hAnsiTheme="majorBidi"/>
          <w:i/>
          <w:iCs/>
          <w:sz w:val="26"/>
          <w:szCs w:val="26"/>
          <w:rtl/>
          <w:lang w:bidi="ar-LB"/>
        </w:rPr>
        <w:t xml:space="preserve"> </w:t>
      </w:r>
      <w:r w:rsidRPr="00C132D3">
        <w:rPr>
          <w:rFonts w:asciiTheme="majorBidi" w:hAnsiTheme="majorBidi" w:cstheme="majorBidi"/>
          <w:i/>
          <w:iCs/>
          <w:sz w:val="26"/>
          <w:szCs w:val="26"/>
          <w:rtl/>
          <w:lang w:bidi="ar-LB"/>
        </w:rPr>
        <w:t>في التطبيقات المختلفة.</w:t>
      </w:r>
      <w:r w:rsidRPr="00C132D3">
        <w:rPr>
          <w:rFonts w:asciiTheme="majorBidi" w:hAnsiTheme="majorBidi" w:cstheme="majorBidi"/>
          <w:sz w:val="26"/>
          <w:szCs w:val="26"/>
          <w:rtl/>
          <w:lang w:bidi="ar-LB"/>
        </w:rPr>
        <w:t xml:space="preserve"> وهذا أمر بالغ الأهمية لتنفيذ السياسات واللوائح الرامية إلى الحد من استخدام المواد الخاضعة للرقابة (مثل النهج القطاعي لتحقيق النتائج) التي ستنطبق على كل من المؤسسات المؤهلة لتمويل الصندوق المتعدد الأطراف وغير المؤهلة للحصول على التمويل.</w:t>
      </w:r>
    </w:p>
    <w:p w14:paraId="6871CA96" w14:textId="3A4F7219" w:rsidR="002956A4" w:rsidRPr="002956A4" w:rsidRDefault="002956A4" w:rsidP="002956A4">
      <w:pPr>
        <w:pStyle w:val="StyleHeader4Para4Left0Firstline0"/>
        <w:widowControl/>
        <w:numPr>
          <w:ilvl w:val="0"/>
          <w:numId w:val="27"/>
        </w:numPr>
        <w:tabs>
          <w:tab w:val="clear" w:pos="2880"/>
          <w:tab w:val="clear" w:pos="5760"/>
        </w:tabs>
        <w:bidi/>
        <w:spacing w:after="120" w:line="360" w:lineRule="exact"/>
        <w:ind w:left="1440" w:hanging="720"/>
        <w:rPr>
          <w:sz w:val="26"/>
          <w:szCs w:val="26"/>
          <w:lang w:val="en-US" w:bidi="ar-LB"/>
        </w:rPr>
      </w:pPr>
      <w:r>
        <w:rPr>
          <w:i/>
          <w:iCs/>
          <w:sz w:val="26"/>
          <w:szCs w:val="26"/>
          <w:rtl/>
          <w:lang w:val="en-US" w:bidi="ar-LB"/>
        </w:rPr>
        <w:t xml:space="preserve">الأخذ </w:t>
      </w:r>
      <w:r w:rsidRPr="00C132D3">
        <w:rPr>
          <w:rFonts w:asciiTheme="majorBidi" w:hAnsiTheme="majorBidi" w:cstheme="majorBidi"/>
          <w:i/>
          <w:iCs/>
          <w:sz w:val="26"/>
          <w:szCs w:val="26"/>
          <w:rtl/>
          <w:lang w:bidi="ar-LB"/>
        </w:rPr>
        <w:t>بنهج متكامل مع تنسيق مؤسسي قوي لتنفيذ أنشطة التبريد المستدام.</w:t>
      </w:r>
      <w:r w:rsidRPr="00C132D3">
        <w:rPr>
          <w:rFonts w:asciiTheme="majorBidi" w:hAnsiTheme="majorBidi" w:cstheme="majorBidi"/>
          <w:sz w:val="26"/>
          <w:szCs w:val="26"/>
          <w:rtl/>
          <w:lang w:bidi="ar-LB"/>
        </w:rPr>
        <w:t xml:space="preserve"> ويتطلب التبريد المستدام اعتماد تكنولوجيات ذات كفاءة في استخدام الطاقة تعتمد على غازات التبريد ذات القدرة المنخفضة على إحداث الاحترار العالمي، وهذا يستلزم اتباع نهج متكامل يشمل المشروعات الممولة من الصندوق متعدد الأطراف مع التدخلات الأخرى ذات الصلة بالطاقة. وفي حين تجري معالجة اعتماد تكنولوجيا التبريد ذات القدرة المنخفضة على إحداث الاحترار العالمي بشكل رئيسي من خلال مشروعات خطط تنفيذ تعديل كيغالي وغيرها من المشروعات الممولة من الصندوق المتعدد الأطراف، فإن الجوانب المتعلقة بكفاءة استخدام الطاقة تحتاج إلى معالجة من خلال آليات تنسيق مؤسسية قوية مع السلطات المعنية بكفاءة الطاقة.  وبالنظر إلى أن خطط العمل الوطنية للتبريد توفر خطة شاملة لتلبية احتياجات التبريد على المستوى الوطني ويتم إعدادها بمشاركة العديد من أصحاب المصلحة، فإن دمج خطط تنفيذ تعديل كيغالي مع المكونات ذات الصلة من خطط العمل الوطنية للتبريد التي تتناول سلسلة التبريد وتطبيقات التبريد المريح يمكن أن يؤدي دوراً مهماً في دعم اعتماد تقنيات التبريد المستدام. ويمكن للبلدان أن تنظر في تعزيز تنسيق وحدات الأوزون الوطنية مع مختلف الجهات صاحبة المصلحة/الآليات المؤسسية المشاركة في تطوير/تنفيذ خطة العمل الوطنية للتبريد (على سبيل المثال، المشاركة في اجتماعات التنسيق، وتقديم مدخلات في تخطيط أنشطة خطة العمل </w:t>
      </w:r>
      <w:r w:rsidRPr="00C132D3">
        <w:rPr>
          <w:rFonts w:asciiTheme="majorBidi" w:hAnsiTheme="majorBidi" w:cstheme="majorBidi"/>
          <w:sz w:val="26"/>
          <w:szCs w:val="26"/>
          <w:rtl/>
          <w:lang w:bidi="ar-LB"/>
        </w:rPr>
        <w:lastRenderedPageBreak/>
        <w:t>الوطنية للتبريد من أجل تعظيم النُهُج التكميلية في اعتماد تكنولوجيات التبريد المستدام، وتقديم المدخلات أثناء استعراض أهداف المساهمة المحددة وطنياً للبلد المعني). ومع مرور الوقت، ورهناً بتطور خطط العمل الوطنية للتبريد، يمكن تعديل الدور المحدد لوحدة الأوزون الوطنية في هذه العملية. ويمكن اعتماد نُهُج مماثلة فيما يتعلق بالخطط القطاعية الأخرى التي تشمل تطبيقات خطط العمل الوطنية للتبريد على المستوى الوطني (على سبيل المثال، خطط تنمية قطاع السياحة، وتعزيز البنية التحتية لسلسلة التبريد).</w:t>
      </w:r>
    </w:p>
    <w:p w14:paraId="18F6A5FA" w14:textId="42FC7F9F" w:rsidR="002956A4" w:rsidRPr="003223B2" w:rsidRDefault="002956A4" w:rsidP="002956A4">
      <w:pPr>
        <w:pStyle w:val="StyleHeader4Para4Left0Firstline0"/>
        <w:widowControl/>
        <w:numPr>
          <w:ilvl w:val="0"/>
          <w:numId w:val="0"/>
        </w:numPr>
        <w:tabs>
          <w:tab w:val="clear" w:pos="2880"/>
          <w:tab w:val="clear" w:pos="5760"/>
        </w:tabs>
        <w:bidi/>
        <w:spacing w:after="120" w:line="360" w:lineRule="exact"/>
        <w:rPr>
          <w:sz w:val="26"/>
          <w:szCs w:val="26"/>
          <w:rtl/>
          <w:lang w:val="en-US" w:bidi="ar-LB"/>
        </w:rPr>
      </w:pPr>
      <w:r w:rsidRPr="00C132D3">
        <w:rPr>
          <w:rFonts w:asciiTheme="majorBidi" w:hAnsiTheme="majorBidi" w:cstheme="majorBidi"/>
          <w:b/>
          <w:bCs/>
          <w:sz w:val="26"/>
          <w:szCs w:val="26"/>
          <w:rtl/>
          <w:lang w:bidi="ar-LB"/>
        </w:rPr>
        <w:t>التوصي</w:t>
      </w:r>
      <w:r w:rsidR="009E6458">
        <w:rPr>
          <w:rFonts w:asciiTheme="majorBidi" w:hAnsiTheme="majorBidi" w:cstheme="majorBidi"/>
          <w:b/>
          <w:bCs/>
          <w:sz w:val="26"/>
          <w:szCs w:val="26"/>
          <w:rtl/>
          <w:lang w:bidi="ar-LB"/>
        </w:rPr>
        <w:t>ـــــــ</w:t>
      </w:r>
      <w:r w:rsidRPr="00C132D3">
        <w:rPr>
          <w:rFonts w:asciiTheme="majorBidi" w:hAnsiTheme="majorBidi" w:cstheme="majorBidi"/>
          <w:b/>
          <w:bCs/>
          <w:sz w:val="26"/>
          <w:szCs w:val="26"/>
          <w:rtl/>
          <w:lang w:bidi="ar-LB"/>
        </w:rPr>
        <w:t>ة</w:t>
      </w:r>
    </w:p>
    <w:p w14:paraId="482752EF" w14:textId="2945917A" w:rsidR="00F7480C" w:rsidRPr="00D01680" w:rsidRDefault="00F7480C" w:rsidP="00F3090D">
      <w:pPr>
        <w:pStyle w:val="StyleHeader4Para4Left0Firstline0"/>
        <w:widowControl/>
        <w:numPr>
          <w:ilvl w:val="0"/>
          <w:numId w:val="23"/>
        </w:numPr>
        <w:tabs>
          <w:tab w:val="clear" w:pos="2880"/>
          <w:tab w:val="clear" w:pos="5760"/>
          <w:tab w:val="left" w:pos="713"/>
        </w:tabs>
        <w:bidi/>
        <w:spacing w:after="120" w:line="360" w:lineRule="exact"/>
        <w:ind w:left="0" w:firstLine="0"/>
        <w:jc w:val="left"/>
        <w:rPr>
          <w:sz w:val="26"/>
          <w:szCs w:val="26"/>
          <w:lang w:val="en-US" w:bidi="ar-LB"/>
        </w:rPr>
      </w:pPr>
      <w:r>
        <w:rPr>
          <w:rFonts w:asciiTheme="majorBidi" w:hAnsiTheme="majorBidi" w:cstheme="majorBidi"/>
          <w:sz w:val="26"/>
          <w:szCs w:val="26"/>
          <w:rtl/>
          <w:lang w:bidi="ar-LB"/>
        </w:rPr>
        <w:t xml:space="preserve">قد </w:t>
      </w:r>
      <w:r w:rsidRPr="00C132D3">
        <w:rPr>
          <w:rFonts w:asciiTheme="majorBidi" w:hAnsiTheme="majorBidi" w:cstheme="majorBidi"/>
          <w:sz w:val="26"/>
          <w:szCs w:val="26"/>
          <w:rtl/>
          <w:lang w:bidi="ar-LB"/>
        </w:rPr>
        <w:t xml:space="preserve">ترغب اللجنة التنفيذية في أن تحيط علماً بالمعلومات الواردة في الوثيقة </w:t>
      </w:r>
      <w:r w:rsidRPr="00C132D3">
        <w:rPr>
          <w:rFonts w:asciiTheme="majorBidi" w:hAnsiTheme="majorBidi" w:cstheme="majorBidi"/>
          <w:sz w:val="26"/>
          <w:szCs w:val="26"/>
          <w:lang w:bidi="ar-LB"/>
        </w:rPr>
        <w:t>UNEP/OzL.Pro/ExCom/94/63</w:t>
      </w:r>
      <w:r w:rsidRPr="00C132D3">
        <w:rPr>
          <w:rFonts w:asciiTheme="majorBidi" w:hAnsiTheme="majorBidi" w:cstheme="majorBidi"/>
          <w:sz w:val="26"/>
          <w:szCs w:val="26"/>
          <w:rtl/>
          <w:lang w:bidi="ar-LB"/>
        </w:rPr>
        <w:t xml:space="preserve"> فيما يتعلق بالكيفية التي يمكن بها لأنشطة إزالة المواد الهيدروكلوروفلوروكربونية وأنشطة التخفيض التدريجي للمواد الهيدروفلوروكربونية التي يدعمها الصندوق المتعدد الأطراف أن تسهم في</w:t>
      </w:r>
      <w:r w:rsidR="00291CF2">
        <w:rPr>
          <w:rFonts w:asciiTheme="majorBidi" w:hAnsiTheme="majorBidi" w:cstheme="majorBidi"/>
          <w:sz w:val="26"/>
          <w:szCs w:val="26"/>
          <w:rtl/>
          <w:lang w:bidi="ar-LB"/>
        </w:rPr>
        <w:t xml:space="preserve"> تحقيق</w:t>
      </w:r>
      <w:r w:rsidRPr="00C132D3">
        <w:rPr>
          <w:rFonts w:asciiTheme="majorBidi" w:hAnsiTheme="majorBidi" w:cstheme="majorBidi"/>
          <w:sz w:val="26"/>
          <w:szCs w:val="26"/>
          <w:rtl/>
          <w:lang w:bidi="ar-LB"/>
        </w:rPr>
        <w:t xml:space="preserve"> التبريد المستدام.</w:t>
      </w:r>
    </w:p>
    <w:p w14:paraId="30C7D79C" w14:textId="77777777" w:rsidR="00D01680" w:rsidRPr="002956A4" w:rsidRDefault="00D01680" w:rsidP="009623C0">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p>
    <w:p w14:paraId="5F1935DA" w14:textId="1B311388" w:rsidR="007E5D09" w:rsidRPr="00F3090D" w:rsidRDefault="002956A4" w:rsidP="00F3090D">
      <w:pPr>
        <w:pStyle w:val="StyleHeader4Para4Left0Firstline0"/>
        <w:widowControl/>
        <w:numPr>
          <w:ilvl w:val="0"/>
          <w:numId w:val="0"/>
        </w:numPr>
        <w:tabs>
          <w:tab w:val="clear" w:pos="2880"/>
          <w:tab w:val="clear" w:pos="5760"/>
          <w:tab w:val="left" w:pos="713"/>
        </w:tabs>
        <w:bidi/>
        <w:spacing w:after="120" w:line="360" w:lineRule="exact"/>
        <w:ind w:left="3600" w:hanging="360"/>
        <w:rPr>
          <w:rFonts w:cs="Arabic Transparent"/>
          <w:b/>
          <w:bCs/>
          <w:sz w:val="26"/>
          <w:szCs w:val="26"/>
          <w:lang w:val="en-CA" w:bidi="ar-LB"/>
        </w:rPr>
      </w:pPr>
      <w:r>
        <w:rPr>
          <w:rFonts w:asciiTheme="majorBidi" w:hAnsiTheme="majorBidi" w:cstheme="majorBidi"/>
          <w:sz w:val="26"/>
          <w:szCs w:val="26"/>
          <w:rtl/>
          <w:lang w:bidi="ar-LB"/>
        </w:rPr>
        <w:t>ـــــــــــــــــــــــــــــــ</w:t>
      </w:r>
    </w:p>
    <w:p w14:paraId="6533DC5C" w14:textId="77777777" w:rsidR="007E5D09" w:rsidRDefault="007E5D09">
      <w:pPr>
        <w:pStyle w:val="Heading3"/>
        <w:numPr>
          <w:ilvl w:val="0"/>
          <w:numId w:val="0"/>
        </w:numPr>
        <w:ind w:left="1361"/>
        <w:rPr>
          <w:lang w:bidi="ar-LB"/>
        </w:rPr>
      </w:pPr>
    </w:p>
    <w:p w14:paraId="1199B268" w14:textId="77777777" w:rsidR="007E5D09" w:rsidRDefault="007E5D09">
      <w:pPr>
        <w:pStyle w:val="StyleHeader4Para4Left0Firstline0"/>
        <w:numPr>
          <w:ilvl w:val="0"/>
          <w:numId w:val="0"/>
        </w:numPr>
        <w:rPr>
          <w:rtl/>
          <w:lang w:bidi="ar-LB"/>
        </w:rPr>
      </w:pPr>
    </w:p>
    <w:p w14:paraId="586989C6" w14:textId="77777777" w:rsidR="007E5D09" w:rsidRDefault="007E5D09">
      <w:pPr>
        <w:pStyle w:val="StyleHeader4Para4Left0Firstline0"/>
        <w:numPr>
          <w:ilvl w:val="0"/>
          <w:numId w:val="0"/>
        </w:numPr>
        <w:rPr>
          <w:rtl/>
          <w:lang w:bidi="ar-LB"/>
        </w:rPr>
      </w:pPr>
    </w:p>
    <w:p w14:paraId="63D74F43" w14:textId="77777777" w:rsidR="007E5D09" w:rsidRDefault="007E5D09">
      <w:pPr>
        <w:pStyle w:val="StyleHeader4Para4Left0Firstline0"/>
        <w:numPr>
          <w:ilvl w:val="0"/>
          <w:numId w:val="0"/>
        </w:numPr>
        <w:rPr>
          <w:rtl/>
          <w:lang w:bidi="ar-LB"/>
        </w:rPr>
      </w:pPr>
    </w:p>
    <w:p w14:paraId="5608B17A" w14:textId="77777777" w:rsidR="007E5D09" w:rsidRDefault="007E5D09">
      <w:pPr>
        <w:pStyle w:val="StyleHeader4Para4Left0Firstline0"/>
        <w:numPr>
          <w:ilvl w:val="0"/>
          <w:numId w:val="0"/>
        </w:numPr>
        <w:rPr>
          <w:rtl/>
          <w:lang w:bidi="ar-LB"/>
        </w:rPr>
      </w:pPr>
    </w:p>
    <w:p w14:paraId="268D83FE" w14:textId="77777777" w:rsidR="007E5D09" w:rsidRDefault="007E5D09">
      <w:pPr>
        <w:pStyle w:val="StyleHeader4Para4Left0Firstline0"/>
        <w:numPr>
          <w:ilvl w:val="0"/>
          <w:numId w:val="0"/>
        </w:numPr>
        <w:rPr>
          <w:rtl/>
          <w:lang w:bidi="ar-LB"/>
        </w:rPr>
      </w:pPr>
    </w:p>
    <w:p w14:paraId="1E0D659E" w14:textId="77777777" w:rsidR="007E5D09" w:rsidRDefault="007E5D09">
      <w:pPr>
        <w:pStyle w:val="StyleHeader4Para4Left0Firstline0"/>
        <w:numPr>
          <w:ilvl w:val="0"/>
          <w:numId w:val="0"/>
        </w:numPr>
        <w:rPr>
          <w:rtl/>
          <w:lang w:bidi="ar-LB"/>
        </w:rPr>
      </w:pPr>
    </w:p>
    <w:p w14:paraId="030016AC" w14:textId="77777777" w:rsidR="007E5D09" w:rsidRDefault="007E5D09">
      <w:pPr>
        <w:pStyle w:val="StyleHeader4Para4Left0Firstline0"/>
        <w:numPr>
          <w:ilvl w:val="0"/>
          <w:numId w:val="0"/>
        </w:numPr>
        <w:rPr>
          <w:rtl/>
          <w:lang w:bidi="ar-LB"/>
        </w:rPr>
      </w:pPr>
    </w:p>
    <w:p w14:paraId="357287C5" w14:textId="77777777" w:rsidR="007E5D09" w:rsidRDefault="007E5D09">
      <w:pPr>
        <w:pStyle w:val="StyleHeader4Para4Left0Firstline0"/>
        <w:numPr>
          <w:ilvl w:val="0"/>
          <w:numId w:val="0"/>
        </w:numPr>
        <w:rPr>
          <w:rtl/>
          <w:lang w:bidi="ar-LB"/>
        </w:rPr>
      </w:pPr>
    </w:p>
    <w:p w14:paraId="05CF6EC2" w14:textId="77777777" w:rsidR="007E5D09" w:rsidRDefault="007E5D09">
      <w:pPr>
        <w:pStyle w:val="StyleHeader4Para4Left0Firstline0"/>
        <w:numPr>
          <w:ilvl w:val="0"/>
          <w:numId w:val="0"/>
        </w:numPr>
        <w:rPr>
          <w:lang w:bidi="ar-LB"/>
        </w:rPr>
      </w:pPr>
    </w:p>
    <w:p w14:paraId="01D8B8F6" w14:textId="77777777" w:rsidR="007E5D09" w:rsidRDefault="007E5D09">
      <w:pPr>
        <w:rPr>
          <w:rtl/>
          <w:lang w:val="en-CA" w:bidi="ar-LB"/>
        </w:rPr>
      </w:pPr>
    </w:p>
    <w:p w14:paraId="723C567C" w14:textId="77777777" w:rsidR="007E5D09" w:rsidRDefault="007E5D09">
      <w:pPr>
        <w:rPr>
          <w:rtl/>
          <w:lang w:val="en-CA" w:bidi="ar-LB"/>
        </w:rPr>
      </w:pPr>
    </w:p>
    <w:p w14:paraId="0FCEB7D5" w14:textId="77777777" w:rsidR="007E5D09" w:rsidRDefault="007E5D09">
      <w:pPr>
        <w:rPr>
          <w:rtl/>
          <w:lang w:val="en-CA" w:bidi="ar-LB"/>
        </w:rPr>
      </w:pPr>
    </w:p>
    <w:p w14:paraId="086F1643" w14:textId="77777777" w:rsidR="007E5D09" w:rsidRDefault="007E5D09">
      <w:pPr>
        <w:rPr>
          <w:rtl/>
          <w:lang w:val="en-CA" w:bidi="ar-LB"/>
        </w:rPr>
      </w:pPr>
    </w:p>
    <w:p w14:paraId="28B5BE71" w14:textId="77777777" w:rsidR="007E5D09" w:rsidRDefault="007E5D09">
      <w:pPr>
        <w:rPr>
          <w:rtl/>
          <w:lang w:val="en-CA" w:bidi="ar-LB"/>
        </w:rPr>
      </w:pPr>
    </w:p>
    <w:p w14:paraId="5F57AE12" w14:textId="77777777" w:rsidR="007E5D09" w:rsidRDefault="007E5D09">
      <w:pPr>
        <w:rPr>
          <w:rtl/>
          <w:lang w:val="en-CA" w:bidi="ar-LB"/>
        </w:rPr>
      </w:pPr>
    </w:p>
    <w:p w14:paraId="41BDCB25" w14:textId="77777777" w:rsidR="007E5D09" w:rsidRDefault="007E5D09">
      <w:pPr>
        <w:rPr>
          <w:rtl/>
          <w:lang w:val="en-CA" w:bidi="ar-LB"/>
        </w:rPr>
      </w:pPr>
    </w:p>
    <w:p w14:paraId="292725C8" w14:textId="77777777" w:rsidR="007E5D09" w:rsidRDefault="007E5D09">
      <w:pPr>
        <w:rPr>
          <w:rtl/>
          <w:lang w:val="en-CA" w:bidi="ar-LB"/>
        </w:rPr>
      </w:pPr>
    </w:p>
    <w:p w14:paraId="5791E1C6" w14:textId="77777777" w:rsidR="007E5D09" w:rsidRDefault="007E5D09">
      <w:pPr>
        <w:rPr>
          <w:rtl/>
          <w:lang w:val="en-CA" w:bidi="ar-LB"/>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24DD0" w14:textId="77777777" w:rsidR="00290C40" w:rsidRDefault="00290C40">
      <w:r>
        <w:separator/>
      </w:r>
    </w:p>
  </w:endnote>
  <w:endnote w:type="continuationSeparator" w:id="0">
    <w:p w14:paraId="38FC6B3B" w14:textId="77777777" w:rsidR="00290C40" w:rsidRDefault="0029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C1085"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57F3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EE96E" w14:textId="77777777" w:rsidR="00F44F68" w:rsidRDefault="00F44F68" w:rsidP="00F44F6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4E0AC2" w14:textId="77777777" w:rsidR="00F44F68" w:rsidRDefault="00F44F68" w:rsidP="00F44F6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8E0870F"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FFC67" w14:textId="77777777" w:rsidR="00290C40" w:rsidRDefault="00290C40">
      <w:r>
        <w:separator/>
      </w:r>
    </w:p>
  </w:footnote>
  <w:footnote w:type="continuationSeparator" w:id="0">
    <w:p w14:paraId="4C6C58DD" w14:textId="77777777" w:rsidR="00290C40" w:rsidRDefault="00290C40">
      <w:r>
        <w:continuationSeparator/>
      </w:r>
    </w:p>
  </w:footnote>
  <w:footnote w:id="1">
    <w:p w14:paraId="598FD290" w14:textId="7183A5A2" w:rsidR="002E4D4C" w:rsidRDefault="002E4D4C" w:rsidP="002E4D4C">
      <w:pPr>
        <w:pStyle w:val="FootnoteText"/>
        <w:bidi/>
        <w:rPr>
          <w:rtl/>
          <w:lang w:bidi="ar-SA"/>
        </w:rPr>
      </w:pPr>
      <w:r>
        <w:rPr>
          <w:rStyle w:val="FootnoteReference"/>
        </w:rPr>
        <w:footnoteRef/>
      </w:r>
      <w:r>
        <w:rPr>
          <w:rFonts w:hint="cs"/>
          <w:rtl/>
        </w:rPr>
        <w:t xml:space="preserve">  </w:t>
      </w:r>
      <w:r w:rsidRPr="001E1147">
        <w:rPr>
          <w:lang w:val="en-US"/>
        </w:rPr>
        <w:t>UNEP/OzL.Pro/ExCom/9</w:t>
      </w:r>
      <w:r>
        <w:rPr>
          <w:lang w:val="en-US"/>
        </w:rPr>
        <w:t>4</w:t>
      </w:r>
      <w:r w:rsidRPr="001E1147">
        <w:rPr>
          <w:lang w:val="en-US"/>
        </w:rPr>
        <w:t>/1</w:t>
      </w:r>
    </w:p>
  </w:footnote>
  <w:footnote w:id="2">
    <w:p w14:paraId="30625882" w14:textId="77777777" w:rsidR="00270CAF" w:rsidRPr="003239B2" w:rsidRDefault="00270CAF" w:rsidP="00270CAF">
      <w:pPr>
        <w:pStyle w:val="FootnoteText"/>
        <w:bidi/>
        <w:textDirection w:val="tbRlV"/>
        <w:rPr>
          <w:lang w:val="ar-SA" w:eastAsia="zh-TW" w:bidi="en-GB"/>
        </w:rPr>
      </w:pPr>
      <w:r w:rsidRPr="003239B2">
        <w:rPr>
          <w:rStyle w:val="FootnoteReference"/>
          <w:rtl/>
        </w:rPr>
        <w:footnoteRef/>
      </w:r>
      <w:r>
        <w:rPr>
          <w:rtl/>
        </w:rPr>
        <w:t xml:space="preserve"> يجري تقدير الانبعاثات المباشرة لغازات الدفيئة على أساس استهلاك المواد الهيدروفلوروكربونية على النحو المتبع في إطار بروتوكول مونتريال؛ أما الانبعاثات غير المباشرة فيجري تقديرها بناء على مستويات استهلاك الطاقة للمعدات المختلفة وكثافة الكربون لمصدر الطاقة الذي الذي يزود هذه المعدات بالطاقة.</w:t>
      </w:r>
    </w:p>
  </w:footnote>
  <w:footnote w:id="3">
    <w:p w14:paraId="47EA2FC5" w14:textId="6D42D13C" w:rsidR="00270CAF" w:rsidRPr="00B35D30" w:rsidRDefault="00270CAF" w:rsidP="00270CAF">
      <w:pPr>
        <w:pStyle w:val="FootnoteText"/>
        <w:bidi/>
        <w:textDirection w:val="tbRlV"/>
        <w:rPr>
          <w:lang w:val="en-US" w:eastAsia="zh-TW" w:bidi="en-GB"/>
        </w:rPr>
      </w:pPr>
      <w:r w:rsidRPr="003239B2">
        <w:rPr>
          <w:rStyle w:val="FootnoteReference"/>
          <w:rtl/>
        </w:rPr>
        <w:footnoteRef/>
      </w:r>
      <w:r>
        <w:rPr>
          <w:rtl/>
        </w:rPr>
        <w:t xml:space="preserve"> </w:t>
      </w:r>
      <w:hyperlink r:id="rId1" w:history="1">
        <w:r w:rsidR="00B35D30" w:rsidRPr="003239B2">
          <w:rPr>
            <w:rStyle w:val="Hyperlink"/>
          </w:rPr>
          <w:t>Global Cooling Watch 2023 | UNEP - UN Environment Programme</w:t>
        </w:r>
      </w:hyperlink>
      <w:r w:rsidR="00B35D30" w:rsidRPr="003239B2">
        <w:rPr>
          <w:rStyle w:val="Hyperlink"/>
        </w:rPr>
        <w:t xml:space="preserve">, </w:t>
      </w:r>
      <w:r w:rsidR="00B35D30" w:rsidRPr="003239B2">
        <w:rPr>
          <w:rFonts w:asciiTheme="majorBidi" w:hAnsiTheme="majorBidi" w:cstheme="majorBidi"/>
        </w:rPr>
        <w:t>(“Keeping it chill - How to meet cooling demand, while cutting emissions”)</w:t>
      </w:r>
      <w:r>
        <w:rPr>
          <w:rtl/>
        </w:rPr>
        <w:t xml:space="preserve"> </w:t>
      </w:r>
    </w:p>
  </w:footnote>
  <w:footnote w:id="4">
    <w:p w14:paraId="76FC9D95" w14:textId="726491D8" w:rsidR="009C7C3D" w:rsidRPr="003239B2" w:rsidRDefault="009C7C3D" w:rsidP="009C7C3D">
      <w:pPr>
        <w:pStyle w:val="FootnoteText"/>
        <w:bidi/>
        <w:textDirection w:val="tbRlV"/>
        <w:rPr>
          <w:rFonts w:asciiTheme="majorBidi" w:hAnsiTheme="majorBidi" w:cstheme="majorBidi"/>
          <w:lang w:val="ar-SA" w:eastAsia="zh-TW" w:bidi="en-GB"/>
        </w:rPr>
      </w:pPr>
      <w:r w:rsidRPr="003239B2">
        <w:rPr>
          <w:rStyle w:val="FootnoteReference"/>
          <w:rFonts w:asciiTheme="majorBidi" w:hAnsiTheme="majorBidi" w:cstheme="majorBidi"/>
          <w:rtl/>
        </w:rPr>
        <w:footnoteRef/>
      </w:r>
      <w:r>
        <w:rPr>
          <w:rtl/>
        </w:rPr>
        <w:t xml:space="preserve"> في تقرير </w:t>
      </w:r>
      <w:r w:rsidR="00B35D30">
        <w:rPr>
          <w:rFonts w:hint="cs"/>
          <w:rtl/>
        </w:rPr>
        <w:t>رصد</w:t>
      </w:r>
      <w:r>
        <w:rPr>
          <w:rtl/>
        </w:rPr>
        <w:t xml:space="preserve"> التبريد العالمي لعام </w:t>
      </w:r>
      <w:r w:rsidR="00B35D30" w:rsidRPr="00B35D30">
        <w:rPr>
          <w:rFonts w:asciiTheme="majorBidi" w:hAnsiTheme="majorBidi" w:cstheme="majorBidi"/>
          <w:sz w:val="18"/>
          <w:szCs w:val="18"/>
          <w:lang w:val="en-US"/>
        </w:rPr>
        <w:t>2023</w:t>
      </w:r>
      <w:r>
        <w:rPr>
          <w:rtl/>
        </w:rPr>
        <w:t xml:space="preserve">، يُعرَّف التبريد المستدام بأنه التكنولوجيات والنُهُج التي يمكن الوصول إليها وبأسعار معقولة والقابلة للتطوير في مجال التبريد ولكنها تقلل من الآثار الواقعة على الناس والكوكب، عن طريق أمور منها إحداث تخفيضات كبيرة في انبعاثات غازات الدفيئة. ويمكن أن يتجاوز التبريد المستدام الانبعاثات المباشرة لغازات التبريد واستهلاك الطاقة المرتبط بتشغيل معدات التبريد. ويمكن أن يشمل ذلك الحد الأدنى من استخدام الموارد الطبيعية في تشييد المباني ومواد البناء المستدامة وغيرها من التدخلات المماثلة. ولأغراض هذه الوثيقة، لن يُنظر في هذه التدخلات مرة أخرى نظراً لعدم صلتهابتنفيذ بروتوكول مونتريال.  </w:t>
      </w:r>
    </w:p>
  </w:footnote>
  <w:footnote w:id="5">
    <w:p w14:paraId="43F8A260" w14:textId="50F0E428" w:rsidR="009C7C3D" w:rsidRPr="003239B2" w:rsidRDefault="009C7C3D" w:rsidP="009C7C3D">
      <w:pPr>
        <w:pStyle w:val="FootnoteText"/>
        <w:bidi/>
        <w:textDirection w:val="tbRlV"/>
        <w:rPr>
          <w:lang w:val="ar-SA" w:eastAsia="zh-TW" w:bidi="en-GB"/>
        </w:rPr>
      </w:pPr>
      <w:r w:rsidRPr="003239B2">
        <w:rPr>
          <w:rStyle w:val="FootnoteReference"/>
          <w:rtl/>
        </w:rPr>
        <w:footnoteRef/>
      </w:r>
      <w:r>
        <w:rPr>
          <w:rtl/>
        </w:rPr>
        <w:t xml:space="preserve"> </w:t>
      </w:r>
      <w:r w:rsidRPr="00B35D30">
        <w:rPr>
          <w:b/>
          <w:bCs/>
          <w:rtl/>
        </w:rPr>
        <w:t xml:space="preserve">الهدف </w:t>
      </w:r>
      <w:r w:rsidR="00B35D30">
        <w:rPr>
          <w:rFonts w:ascii="Simplified Arabic" w:cs="Simplified Arabic"/>
          <w:b/>
          <w:bCs/>
        </w:rPr>
        <w:t>2</w:t>
      </w:r>
      <w:r w:rsidRPr="00B35D30">
        <w:rPr>
          <w:b/>
          <w:bCs/>
          <w:rtl/>
        </w:rPr>
        <w:t xml:space="preserve"> من أهداف التنمية المستدامة</w:t>
      </w:r>
      <w:r>
        <w:rPr>
          <w:rtl/>
        </w:rPr>
        <w:t xml:space="preserve"> - القضاء على الجوع وتوفير الأمن الغذائي والتغذية المحّسنة وتعزيز الزراعة المستدامة</w:t>
      </w:r>
      <w:r w:rsidR="00B35D30">
        <w:rPr>
          <w:rFonts w:hint="cs"/>
          <w:rtl/>
        </w:rPr>
        <w:t>؛</w:t>
      </w:r>
      <w:r>
        <w:rPr>
          <w:rtl/>
        </w:rPr>
        <w:t xml:space="preserve"> ا</w:t>
      </w:r>
      <w:r w:rsidRPr="00B35D30">
        <w:rPr>
          <w:b/>
          <w:bCs/>
          <w:rtl/>
        </w:rPr>
        <w:t xml:space="preserve">لهدف </w:t>
      </w:r>
      <w:r w:rsidR="00B35D30">
        <w:rPr>
          <w:rFonts w:ascii="Simplified Arabic" w:cs="Simplified Arabic"/>
          <w:b/>
          <w:bCs/>
        </w:rPr>
        <w:t>3</w:t>
      </w:r>
      <w:r w:rsidR="00B35D30">
        <w:rPr>
          <w:rFonts w:ascii="Simplified Arabic" w:cs="Simplified Arabic" w:hint="cs"/>
          <w:rtl/>
        </w:rPr>
        <w:t>:</w:t>
      </w:r>
      <w:r>
        <w:rPr>
          <w:rtl/>
        </w:rPr>
        <w:t xml:space="preserve"> ضمان تمتّع الجميع بأنماط عيش صحية وبالرفاهية في جميع الأعمار</w:t>
      </w:r>
      <w:r w:rsidR="00B35D30">
        <w:rPr>
          <w:rFonts w:hint="cs"/>
          <w:rtl/>
        </w:rPr>
        <w:t>؛</w:t>
      </w:r>
      <w:r>
        <w:rPr>
          <w:rtl/>
        </w:rPr>
        <w:t xml:space="preserve"> ا</w:t>
      </w:r>
      <w:r w:rsidRPr="00B35D30">
        <w:rPr>
          <w:b/>
          <w:bCs/>
          <w:rtl/>
        </w:rPr>
        <w:t xml:space="preserve">لهدف </w:t>
      </w:r>
      <w:r w:rsidR="00B35D30">
        <w:rPr>
          <w:rFonts w:ascii="Simplified Arabic" w:cs="Simplified Arabic"/>
          <w:b/>
          <w:bCs/>
        </w:rPr>
        <w:t>4</w:t>
      </w:r>
      <w:r w:rsidR="00B35D30">
        <w:rPr>
          <w:rFonts w:ascii="Simplified Arabic" w:cs="Simplified Arabic" w:hint="cs"/>
          <w:rtl/>
        </w:rPr>
        <w:t>:</w:t>
      </w:r>
      <w:r>
        <w:rPr>
          <w:rtl/>
        </w:rPr>
        <w:t xml:space="preserve"> ضمان التعليم الجيد المنصف والشامل للجميع وتعزيز فرص التعلّم مدى الحياة للجميع</w:t>
      </w:r>
      <w:r w:rsidR="00B35D30">
        <w:rPr>
          <w:rFonts w:hint="cs"/>
          <w:rtl/>
        </w:rPr>
        <w:t>؛</w:t>
      </w:r>
      <w:r>
        <w:rPr>
          <w:rtl/>
        </w:rPr>
        <w:t xml:space="preserve"> </w:t>
      </w:r>
      <w:r w:rsidRPr="00B35D30">
        <w:rPr>
          <w:b/>
          <w:bCs/>
          <w:rtl/>
        </w:rPr>
        <w:t>الهدف</w:t>
      </w:r>
      <w:r w:rsidR="00B35D30">
        <w:rPr>
          <w:b/>
          <w:bCs/>
        </w:rPr>
        <w:t>8</w:t>
      </w:r>
      <w:r w:rsidR="00B35D30">
        <w:t xml:space="preserve"> </w:t>
      </w:r>
      <w:r w:rsidR="009C2407">
        <w:rPr>
          <w:rFonts w:hint="cs"/>
          <w:rtl/>
        </w:rPr>
        <w:t>: تعز</w:t>
      </w:r>
      <w:r>
        <w:rPr>
          <w:rtl/>
        </w:rPr>
        <w:t>يز النمو الاقتصادي المطرد والشامل للجميع والمستدام، والعمالة الكاملة والمنتجة، وتوفير العمل اللائق للجميع</w:t>
      </w:r>
      <w:r w:rsidR="00B35D30">
        <w:rPr>
          <w:rFonts w:hint="cs"/>
          <w:rtl/>
        </w:rPr>
        <w:t>؛</w:t>
      </w:r>
      <w:r>
        <w:rPr>
          <w:rtl/>
        </w:rPr>
        <w:t xml:space="preserve"> </w:t>
      </w:r>
      <w:r w:rsidRPr="00B35D30">
        <w:rPr>
          <w:b/>
          <w:bCs/>
          <w:rtl/>
        </w:rPr>
        <w:t xml:space="preserve">الهدف </w:t>
      </w:r>
      <w:r w:rsidR="009C2407" w:rsidRPr="003239B2">
        <w:rPr>
          <w:b/>
          <w:bCs/>
        </w:rPr>
        <w:t>9</w:t>
      </w:r>
      <w:r w:rsidR="009C2407">
        <w:rPr>
          <w:rFonts w:hint="cs"/>
          <w:b/>
          <w:bCs/>
          <w:rtl/>
          <w:lang w:bidi="ar-SA"/>
        </w:rPr>
        <w:t>:</w:t>
      </w:r>
      <w:r>
        <w:rPr>
          <w:rtl/>
        </w:rPr>
        <w:t xml:space="preserve"> إقامة بنى تحتية قادرة على الصمود، وتحفيز التصنيع المستدام الشامل للجميع، وتشجيع الابتكار</w:t>
      </w:r>
      <w:r w:rsidR="00B35D30">
        <w:rPr>
          <w:rFonts w:hint="cs"/>
          <w:rtl/>
        </w:rPr>
        <w:t>؛</w:t>
      </w:r>
      <w:r>
        <w:rPr>
          <w:rtl/>
        </w:rPr>
        <w:t xml:space="preserve"> ا</w:t>
      </w:r>
      <w:r w:rsidRPr="00B35D30">
        <w:rPr>
          <w:b/>
          <w:bCs/>
          <w:rtl/>
        </w:rPr>
        <w:t xml:space="preserve">لهدف </w:t>
      </w:r>
      <w:r w:rsidR="009C2407" w:rsidRPr="003239B2">
        <w:rPr>
          <w:b/>
          <w:bCs/>
        </w:rPr>
        <w:t>10</w:t>
      </w:r>
      <w:r w:rsidR="009C2407">
        <w:rPr>
          <w:rFonts w:hint="cs"/>
          <w:b/>
          <w:bCs/>
          <w:rtl/>
        </w:rPr>
        <w:t>:</w:t>
      </w:r>
      <w:r>
        <w:rPr>
          <w:rtl/>
        </w:rPr>
        <w:t xml:space="preserve"> الحد من انعدام المساواة داخل البلدان وفيما بينها</w:t>
      </w:r>
      <w:r w:rsidR="00B35D30">
        <w:rPr>
          <w:rFonts w:hint="cs"/>
          <w:rtl/>
        </w:rPr>
        <w:t>؛</w:t>
      </w:r>
      <w:r>
        <w:rPr>
          <w:rtl/>
        </w:rPr>
        <w:t xml:space="preserve"> </w:t>
      </w:r>
      <w:r w:rsidRPr="00B35D30">
        <w:rPr>
          <w:b/>
          <w:bCs/>
          <w:rtl/>
        </w:rPr>
        <w:t xml:space="preserve">الهدف </w:t>
      </w:r>
      <w:r w:rsidR="009C2407" w:rsidRPr="003239B2">
        <w:rPr>
          <w:b/>
          <w:bCs/>
        </w:rPr>
        <w:t>11</w:t>
      </w:r>
      <w:r w:rsidR="009C2407">
        <w:rPr>
          <w:rFonts w:hint="cs"/>
          <w:b/>
          <w:bCs/>
          <w:rtl/>
        </w:rPr>
        <w:t>:</w:t>
      </w:r>
      <w:r>
        <w:rPr>
          <w:rtl/>
        </w:rPr>
        <w:t xml:space="preserve"> جعْل المدن والمستوطنات البشرية شاملة للجميع وآمنة وقادرة على الصمود ومستدامة</w:t>
      </w:r>
      <w:r w:rsidR="00B35D30">
        <w:rPr>
          <w:rFonts w:hint="cs"/>
          <w:rtl/>
        </w:rPr>
        <w:t>؛</w:t>
      </w:r>
      <w:r>
        <w:rPr>
          <w:rtl/>
        </w:rPr>
        <w:t xml:space="preserve"> </w:t>
      </w:r>
      <w:r w:rsidRPr="00B35D30">
        <w:rPr>
          <w:b/>
          <w:bCs/>
          <w:rtl/>
        </w:rPr>
        <w:t xml:space="preserve">الهدف </w:t>
      </w:r>
      <w:r w:rsidR="009C2407" w:rsidRPr="003239B2">
        <w:rPr>
          <w:b/>
          <w:bCs/>
        </w:rPr>
        <w:t>12</w:t>
      </w:r>
      <w:r w:rsidR="009C2407">
        <w:rPr>
          <w:rFonts w:hint="cs"/>
          <w:b/>
          <w:bCs/>
          <w:rtl/>
        </w:rPr>
        <w:t>:</w:t>
      </w:r>
      <w:r>
        <w:rPr>
          <w:rtl/>
        </w:rPr>
        <w:t xml:space="preserve"> ضمان وجود أنماط استهلاك وإنتاج مستدامة.</w:t>
      </w:r>
    </w:p>
  </w:footnote>
  <w:footnote w:id="6">
    <w:p w14:paraId="7FD19B4B" w14:textId="1AA13C01" w:rsidR="009C7C3D" w:rsidRDefault="009C7C3D" w:rsidP="00A83056">
      <w:pPr>
        <w:pStyle w:val="FootnoteText"/>
        <w:bidi/>
        <w:textDirection w:val="tbRlV"/>
        <w:rPr>
          <w:lang w:val="ar-SA" w:eastAsia="zh-TW" w:bidi="en-GB"/>
        </w:rPr>
      </w:pPr>
      <w:r>
        <w:rPr>
          <w:rStyle w:val="FootnoteReference"/>
          <w:rtl/>
        </w:rPr>
        <w:footnoteRef/>
      </w:r>
      <w:r>
        <w:rPr>
          <w:rtl/>
        </w:rPr>
        <w:t xml:space="preserve"> يخضع النمو في استهلاك المواد الهيدروفلوروكربونية لعوامل تقنية وسوقية وتنظيمية؛ ومن ثم، رغم أن الاستهلاك في هذه التطبيقات على ما يبدو سوف ينمو، فلا يمكن تحديد مدى النمو بشكل واضح في هذه </w:t>
      </w:r>
      <w:r w:rsidR="009920D1">
        <w:rPr>
          <w:rFonts w:hint="cs"/>
          <w:rtl/>
        </w:rPr>
        <w:t>المرحلة.</w:t>
      </w:r>
    </w:p>
  </w:footnote>
  <w:footnote w:id="7">
    <w:p w14:paraId="0BD3F170" w14:textId="77777777" w:rsidR="00F87457" w:rsidRPr="003239B2" w:rsidRDefault="00F87457" w:rsidP="00F87457">
      <w:pPr>
        <w:pStyle w:val="FootnoteText"/>
        <w:bidi/>
        <w:textDirection w:val="tbRlV"/>
        <w:rPr>
          <w:lang w:val="ar-SA" w:eastAsia="zh-TW" w:bidi="en-GB"/>
        </w:rPr>
      </w:pPr>
      <w:r w:rsidRPr="003239B2">
        <w:rPr>
          <w:rStyle w:val="FootnoteReference"/>
          <w:rtl/>
        </w:rPr>
        <w:footnoteRef/>
      </w:r>
      <w:r>
        <w:rPr>
          <w:rtl/>
        </w:rPr>
        <w:t xml:space="preserve"> في بعض الحالات، رهناً بالاستراتيجية الوطنية، كانت اللجنة التنفيذية تنظر في تقديم الدعم لأنشطة تتجاوز أهداف الامتثال وتوافق عليها.</w:t>
      </w:r>
    </w:p>
  </w:footnote>
  <w:footnote w:id="8">
    <w:p w14:paraId="1715A940" w14:textId="1DF91B31" w:rsidR="00F87457" w:rsidRPr="003239B2" w:rsidRDefault="00F87457" w:rsidP="00F87457">
      <w:pPr>
        <w:pStyle w:val="FootnoteText"/>
        <w:bidi/>
        <w:textDirection w:val="tbRlV"/>
        <w:rPr>
          <w:lang w:val="ar-SA" w:eastAsia="zh-TW" w:bidi="en-GB"/>
        </w:rPr>
      </w:pPr>
      <w:r w:rsidRPr="003239B2">
        <w:rPr>
          <w:rStyle w:val="FootnoteReference"/>
          <w:rtl/>
        </w:rPr>
        <w:footnoteRef/>
      </w:r>
      <w:r>
        <w:rPr>
          <w:rtl/>
        </w:rPr>
        <w:t xml:space="preserve"> استمرت مؤسسات تصنيع معدات التبريد التجاري التي لم تكن مشمولة بخطط إدارة إدارة إزالة المواد الهيدروكلوروفلوروكربونية لعدم الأهلية ولأسباب أخرى في العمل والنمو باستخدام غازات التبريد القائمة على المواد الهيدروفلوروكربونية؛ علاوة على ذلك، جرى استخدام غازات التبريد ذات القدرة المنخفضة على إحداث الاحترار العالمي مثل </w:t>
      </w:r>
      <w:r w:rsidR="00C75BC1" w:rsidRPr="003239B2">
        <w:t>R-290</w:t>
      </w:r>
      <w:r w:rsidR="00C75BC1">
        <w:rPr>
          <w:rFonts w:hint="cs"/>
          <w:rtl/>
        </w:rPr>
        <w:t xml:space="preserve"> </w:t>
      </w:r>
      <w:r>
        <w:rPr>
          <w:rtl/>
        </w:rPr>
        <w:t xml:space="preserve">و الغاز </w:t>
      </w:r>
      <w:r w:rsidR="00C75BC1" w:rsidRPr="003239B2">
        <w:t>R-600a</w:t>
      </w:r>
      <w:r>
        <w:rPr>
          <w:rtl/>
        </w:rPr>
        <w:t xml:space="preserve"> وثاني أكسيد الكربون، وإن كان ذلك إلى بدرجة محدودة، في عدد محدود من مؤسسات التصنيع.</w:t>
      </w:r>
    </w:p>
  </w:footnote>
  <w:footnote w:id="9">
    <w:p w14:paraId="72A19DF6" w14:textId="5A5E947B" w:rsidR="00F87457" w:rsidRPr="008A410A" w:rsidRDefault="00F87457" w:rsidP="00F87457">
      <w:pPr>
        <w:pStyle w:val="FootnoteText"/>
        <w:bidi/>
        <w:textDirection w:val="tbRlV"/>
        <w:rPr>
          <w:lang w:val="ar-SA" w:eastAsia="zh-TW" w:bidi="en-GB"/>
        </w:rPr>
      </w:pPr>
      <w:r w:rsidRPr="003239B2">
        <w:rPr>
          <w:rStyle w:val="FootnoteReference"/>
          <w:rtl/>
        </w:rPr>
        <w:footnoteRef/>
      </w:r>
      <w:r>
        <w:rPr>
          <w:rtl/>
        </w:rPr>
        <w:t xml:space="preserve"> بموجب هذين المقررين، تم توفير تمويل إضافي بنسبة تصل إلى </w:t>
      </w:r>
      <w:r w:rsidR="00C75BC1" w:rsidRPr="008A410A">
        <w:t>25</w:t>
      </w:r>
      <w:r>
        <w:rPr>
          <w:rtl/>
        </w:rPr>
        <w:t xml:space="preserve"> في المائة للتحوُّل إلى بدائل منخفضة القدرة على إحداث الاحترار العالمي، وفي حالة المؤسسات الصغيرة والمتوسطة  الحجم التي تستهلك أقل من </w:t>
      </w:r>
      <w:r w:rsidR="00C75BC1" w:rsidRPr="008A410A">
        <w:t>20</w:t>
      </w:r>
      <w:r>
        <w:rPr>
          <w:rtl/>
        </w:rPr>
        <w:t xml:space="preserve"> طناً في السنة، تم توفير تمويل إضافي تصل نسبته إلى </w:t>
      </w:r>
      <w:r w:rsidR="00C75BC1" w:rsidRPr="008A410A">
        <w:t>40</w:t>
      </w:r>
      <w:r>
        <w:rPr>
          <w:rtl/>
        </w:rPr>
        <w:t xml:space="preserve"> في المائة. </w:t>
      </w:r>
    </w:p>
  </w:footnote>
  <w:footnote w:id="10">
    <w:p w14:paraId="16E43A70" w14:textId="77777777" w:rsidR="00F87457" w:rsidRPr="008A410A" w:rsidRDefault="00F87457" w:rsidP="00F87457">
      <w:pPr>
        <w:pStyle w:val="FootnoteText"/>
        <w:bidi/>
        <w:textDirection w:val="tbRlV"/>
        <w:rPr>
          <w:lang w:val="ar-SA" w:eastAsia="zh-TW" w:bidi="en-GB"/>
        </w:rPr>
      </w:pPr>
      <w:r w:rsidRPr="008A410A">
        <w:rPr>
          <w:rStyle w:val="FootnoteReference"/>
          <w:rtl/>
        </w:rPr>
        <w:footnoteRef/>
      </w:r>
      <w:r>
        <w:rPr>
          <w:rtl/>
        </w:rPr>
        <w:t xml:space="preserve"> ويشمل ذلك احتواء المواد الخاضعة للرقابة من خلال الصيانة الوقائية ، وتحسين جودة التركيب، والحفاظ على / تحسين كفاءة استخدام الطاقة للمعدات من خلال ضوابط التحكم المناسبة، والتنظيف المناسب للمعدات بما في ذلك المبادلات الحرارية، والتدريب على التعامل الآمن مع غازات التبريد القابلة للاشتعال والتدريب المتخصص لجماهير مستهدفة محددة، مثل استخدام المعدات القائمة على ثاني أكسيد الكربون في محلات السوبر ماركت.</w:t>
      </w:r>
    </w:p>
  </w:footnote>
  <w:footnote w:id="11">
    <w:p w14:paraId="4CA292E2" w14:textId="6AB7110B" w:rsidR="00F87457" w:rsidRPr="003239B2" w:rsidRDefault="00F87457" w:rsidP="00F87457">
      <w:pPr>
        <w:pStyle w:val="FootnoteText"/>
        <w:bidi/>
        <w:textDirection w:val="tbRlV"/>
        <w:rPr>
          <w:lang w:val="ar-SA" w:eastAsia="zh-TW" w:bidi="en-GB"/>
        </w:rPr>
      </w:pPr>
      <w:r w:rsidRPr="008A410A">
        <w:rPr>
          <w:rStyle w:val="FootnoteReference"/>
          <w:rtl/>
        </w:rPr>
        <w:footnoteRef/>
      </w:r>
      <w:r>
        <w:rPr>
          <w:rtl/>
        </w:rPr>
        <w:t xml:space="preserve"> بموجب المقررين </w:t>
      </w:r>
      <w:r w:rsidR="00C75BC1" w:rsidRPr="008A410A">
        <w:t>89</w:t>
      </w:r>
      <w:r>
        <w:rPr>
          <w:rFonts w:ascii="Simplified Arabic" w:cs="Simplified Arabic"/>
          <w:rtl/>
        </w:rPr>
        <w:t>/</w:t>
      </w:r>
      <w:r w:rsidR="00C75BC1" w:rsidRPr="008A410A">
        <w:t>6</w:t>
      </w:r>
      <w:r>
        <w:rPr>
          <w:rtl/>
        </w:rPr>
        <w:t xml:space="preserve"> و</w:t>
      </w:r>
      <w:r w:rsidR="00C75BC1" w:rsidRPr="008A410A">
        <w:t>91</w:t>
      </w:r>
      <w:r>
        <w:rPr>
          <w:rFonts w:ascii="Simplified Arabic" w:cs="Simplified Arabic"/>
          <w:rtl/>
        </w:rPr>
        <w:t>/</w:t>
      </w:r>
      <w:r w:rsidR="00C75BC1" w:rsidRPr="008A410A">
        <w:t>65</w:t>
      </w:r>
      <w:r>
        <w:rPr>
          <w:rtl/>
        </w:rPr>
        <w:t xml:space="preserve">، يتاح حالياً دعم إضافي للبلدان العاملة بموجب المادة </w:t>
      </w:r>
      <w:r w:rsidR="00C75BC1" w:rsidRPr="008A410A">
        <w:t>5</w:t>
      </w:r>
      <w:r>
        <w:rPr>
          <w:rtl/>
        </w:rPr>
        <w:t xml:space="preserve"> لإدراج الأنشطة المتعلقة بكفاءة استخدام الطاقة في خطط إدارة إزالة المواد الهيدروكلوروفلوروكربونية الحالية والمقبلة للبلدان ذات حجم الاستهلاك المنخفض وفي سياق التخفيض التدريجي للمواد الهيدروفلوروكربونية؛ وسيُعرف أثر هذه الأنشطة على مدى السنوات القليلة المقبلة.</w:t>
      </w:r>
    </w:p>
  </w:footnote>
  <w:footnote w:id="12">
    <w:p w14:paraId="57DEE43D" w14:textId="77777777" w:rsidR="00F87457" w:rsidRPr="003239B2" w:rsidRDefault="00F87457" w:rsidP="00F87457">
      <w:pPr>
        <w:pStyle w:val="FootnoteText"/>
        <w:bidi/>
        <w:textDirection w:val="tbRlV"/>
        <w:rPr>
          <w:lang w:val="ar-SA" w:eastAsia="zh-TW" w:bidi="en-GB"/>
        </w:rPr>
      </w:pPr>
      <w:r w:rsidRPr="003239B2">
        <w:rPr>
          <w:rStyle w:val="FootnoteReference"/>
          <w:rtl/>
        </w:rPr>
        <w:footnoteRef/>
      </w:r>
      <w:r>
        <w:rPr>
          <w:rtl/>
        </w:rPr>
        <w:t xml:space="preserve"> </w:t>
      </w:r>
      <w:r>
        <w:t>UNEP/OzL.Pro/ExCom/82/64</w:t>
      </w:r>
    </w:p>
  </w:footnote>
  <w:footnote w:id="13">
    <w:p w14:paraId="0A065056" w14:textId="77777777" w:rsidR="00931384" w:rsidRPr="003239B2" w:rsidRDefault="00931384" w:rsidP="00931384">
      <w:pPr>
        <w:pStyle w:val="FootnoteText"/>
        <w:bidi/>
        <w:textDirection w:val="tbRlV"/>
        <w:rPr>
          <w:lang w:val="ar-SA" w:eastAsia="zh-TW" w:bidi="en-GB"/>
        </w:rPr>
      </w:pPr>
      <w:r w:rsidRPr="003239B2">
        <w:rPr>
          <w:rStyle w:val="FootnoteReference"/>
          <w:rtl/>
        </w:rPr>
        <w:footnoteRef/>
      </w:r>
      <w:r>
        <w:rPr>
          <w:rtl/>
        </w:rPr>
        <w:t xml:space="preserve"> تدرك الأمانة أن الهيدروكربونات كانت مستخدمة في تطبيقات التبريد المنزلي لأكثر من عقدين وأن الثلاجات المنزلية القائمة على المواد الهيدروفلوروكربونية ربما تكون قد تم تعديلها وتحديثها لاستخدام الهيدروكربونات؛ وعلى الرغم من أن هذه ليست ممارسة مأمونة، فمن المحتمل أن تحد شحنة غاز التبريد الصغيرة من المخاطر المرتبطة بمثل هذه التعديلات التحديثية. </w:t>
      </w:r>
    </w:p>
  </w:footnote>
  <w:footnote w:id="14">
    <w:p w14:paraId="52A7FE80" w14:textId="77777777" w:rsidR="00931384" w:rsidRDefault="00931384" w:rsidP="00931384">
      <w:pPr>
        <w:pStyle w:val="FootnoteText"/>
        <w:bidi/>
        <w:textDirection w:val="tbRlV"/>
        <w:rPr>
          <w:lang w:val="ar-SA" w:eastAsia="zh-TW" w:bidi="en-GB"/>
        </w:rPr>
      </w:pPr>
      <w:r>
        <w:rPr>
          <w:rStyle w:val="FootnoteReference"/>
          <w:rtl/>
        </w:rPr>
        <w:footnoteRef/>
      </w:r>
      <w:r>
        <w:rPr>
          <w:rtl/>
        </w:rPr>
        <w:t xml:space="preserve"> </w:t>
      </w:r>
      <w:r>
        <w:t>UNEP/OzL.Pro/ExCom/92/43</w:t>
      </w:r>
    </w:p>
  </w:footnote>
  <w:footnote w:id="15">
    <w:p w14:paraId="6D6648BC" w14:textId="284EF76A" w:rsidR="00931384" w:rsidRPr="003239B2" w:rsidRDefault="00931384" w:rsidP="00931384">
      <w:pPr>
        <w:pStyle w:val="FootnoteText"/>
        <w:bidi/>
        <w:textDirection w:val="tbRlV"/>
        <w:rPr>
          <w:lang w:val="ar-SA" w:eastAsia="zh-TW" w:bidi="en-GB"/>
        </w:rPr>
      </w:pPr>
      <w:r w:rsidRPr="003239B2">
        <w:rPr>
          <w:rStyle w:val="FootnoteReference"/>
          <w:rtl/>
        </w:rPr>
        <w:footnoteRef/>
      </w:r>
      <w:r>
        <w:rPr>
          <w:rtl/>
        </w:rPr>
        <w:t xml:space="preserve"> كانت التطبيقات التي تنشط فيها مؤسسات التركيب والتجميع المحلية تستخدم بشكل رئيسي المواد الهيدروفلوروكربونية، سواء في التبريد أو في تكييف الهواء.</w:t>
      </w:r>
    </w:p>
  </w:footnote>
  <w:footnote w:id="16">
    <w:p w14:paraId="64FFBB23" w14:textId="1514D2C2" w:rsidR="00A00C77" w:rsidRPr="003239B2" w:rsidRDefault="00A00C77" w:rsidP="00A00C77">
      <w:pPr>
        <w:pStyle w:val="FootnoteText"/>
        <w:bidi/>
        <w:textDirection w:val="tbRlV"/>
        <w:rPr>
          <w:lang w:val="ar-SA" w:eastAsia="zh-TW" w:bidi="en-GB"/>
        </w:rPr>
      </w:pPr>
      <w:r w:rsidRPr="003239B2">
        <w:rPr>
          <w:rStyle w:val="FootnoteReference"/>
          <w:rtl/>
        </w:rPr>
        <w:footnoteRef/>
      </w:r>
      <w:r>
        <w:rPr>
          <w:rtl/>
        </w:rPr>
        <w:t xml:space="preserve"> المسار الاجتماعي والاقتصادي المشترك</w:t>
      </w:r>
      <w:r w:rsidR="009A0292">
        <w:rPr>
          <w:rFonts w:hint="cs"/>
          <w:rtl/>
        </w:rPr>
        <w:t>-</w:t>
      </w:r>
      <w:r w:rsidR="009A0292" w:rsidRPr="003239B2">
        <w:t>2</w:t>
      </w:r>
      <w:r>
        <w:rPr>
          <w:rtl/>
        </w:rPr>
        <w:t xml:space="preserve"> هو سيناريو ينطوي على تحديات متوسطة تواجه التخفيف من آثار المخاطر والتكيف.</w:t>
      </w:r>
    </w:p>
  </w:footnote>
  <w:footnote w:id="17">
    <w:p w14:paraId="788F9A04" w14:textId="7E7CFD39" w:rsidR="00A00C77" w:rsidRPr="003239B2" w:rsidRDefault="00A00C77" w:rsidP="00A00C77">
      <w:pPr>
        <w:pStyle w:val="FootnoteText"/>
        <w:bidi/>
        <w:textDirection w:val="tbRlV"/>
        <w:rPr>
          <w:lang w:val="ar-SA" w:eastAsia="zh-TW" w:bidi="en-GB"/>
        </w:rPr>
      </w:pPr>
      <w:r w:rsidRPr="003239B2">
        <w:rPr>
          <w:rStyle w:val="FootnoteReference"/>
          <w:rtl/>
        </w:rPr>
        <w:footnoteRef/>
      </w:r>
      <w:r>
        <w:rPr>
          <w:rtl/>
        </w:rPr>
        <w:t xml:space="preserve"> لا يتضمن سيناريو العمل كالمعتاد الموضح أعلاه حصول </w:t>
      </w:r>
      <w:r w:rsidR="009A0292" w:rsidRPr="003239B2">
        <w:t>1</w:t>
      </w:r>
      <w:r>
        <w:rPr>
          <w:rtl/>
        </w:rPr>
        <w:t xml:space="preserve"> بليون أسرة معيشية على ذلك.</w:t>
      </w:r>
    </w:p>
  </w:footnote>
  <w:footnote w:id="18">
    <w:p w14:paraId="015DC367" w14:textId="5EFECDB1" w:rsidR="00F7480C" w:rsidRPr="003239B2" w:rsidRDefault="00F7480C" w:rsidP="00F7480C">
      <w:pPr>
        <w:pStyle w:val="FootnoteText"/>
        <w:bidi/>
        <w:textDirection w:val="tbRlV"/>
        <w:rPr>
          <w:lang w:val="ar-SA" w:eastAsia="zh-TW" w:bidi="en-GB"/>
        </w:rPr>
      </w:pPr>
      <w:r w:rsidRPr="003239B2">
        <w:rPr>
          <w:rStyle w:val="FootnoteReference"/>
          <w:rtl/>
        </w:rPr>
        <w:footnoteRef/>
      </w:r>
      <w:r>
        <w:rPr>
          <w:rtl/>
        </w:rPr>
        <w:t xml:space="preserve"> لا يتضمن الجدول </w:t>
      </w:r>
      <w:r w:rsidR="006635AA">
        <w:t>1</w:t>
      </w:r>
      <w:r>
        <w:rPr>
          <w:rtl/>
        </w:rPr>
        <w:t xml:space="preserve"> أي تخفيضات في الانبعاثات مرتبطة بخفض انبعاثات الكربون من شبكة الكهرباء. وسيوفر خفض انبعاثات الكربون من الكهرباء مزيداً من التخفيضات في الانبعاثات، ولكنه بشكل عام لن يتأثر بأصحاب المصلحة في قطاع التبريد.</w:t>
      </w:r>
    </w:p>
  </w:footnote>
  <w:footnote w:id="19">
    <w:p w14:paraId="730763BE" w14:textId="33C1DEAB" w:rsidR="00931384" w:rsidRPr="003239B2" w:rsidRDefault="00931384" w:rsidP="00931384">
      <w:pPr>
        <w:pStyle w:val="FootnoteText"/>
        <w:bidi/>
        <w:textDirection w:val="tbRlV"/>
        <w:rPr>
          <w:lang w:val="ar-SA" w:eastAsia="zh-TW" w:bidi="en-GB"/>
        </w:rPr>
      </w:pPr>
      <w:r w:rsidRPr="003239B2">
        <w:rPr>
          <w:rStyle w:val="FootnoteReference"/>
          <w:rtl/>
        </w:rPr>
        <w:footnoteRef/>
      </w:r>
      <w:r>
        <w:rPr>
          <w:rtl/>
        </w:rPr>
        <w:t xml:space="preserve"> يعرض الجدول </w:t>
      </w:r>
      <w:r w:rsidR="006635AA">
        <w:t>1</w:t>
      </w:r>
      <w:r>
        <w:rPr>
          <w:rtl/>
        </w:rPr>
        <w:t xml:space="preserve"> تقديرات انبعاثات غازات الدفيئة في عام </w:t>
      </w:r>
      <w:r w:rsidR="006635AA" w:rsidRPr="003239B2">
        <w:t>2050</w:t>
      </w:r>
      <w:r>
        <w:rPr>
          <w:rtl/>
        </w:rPr>
        <w:t xml:space="preserve"> وليس التأثير التراكمي من عام </w:t>
      </w:r>
      <w:r w:rsidR="006635AA">
        <w:t>2024</w:t>
      </w:r>
      <w:r>
        <w:rPr>
          <w:rtl/>
        </w:rPr>
        <w:t>.</w:t>
      </w:r>
    </w:p>
  </w:footnote>
  <w:footnote w:id="20">
    <w:p w14:paraId="393B9E18" w14:textId="1335C9A3" w:rsidR="002208B8" w:rsidRPr="003239B2" w:rsidRDefault="002208B8" w:rsidP="00FC21BD">
      <w:pPr>
        <w:pStyle w:val="FootnoteText"/>
        <w:bidi/>
        <w:textDirection w:val="tbRlV"/>
        <w:rPr>
          <w:lang w:val="ar-SA" w:eastAsia="zh-TW" w:bidi="en-GB"/>
        </w:rPr>
      </w:pPr>
      <w:r w:rsidRPr="003239B2">
        <w:rPr>
          <w:rStyle w:val="FootnoteReference"/>
          <w:rtl/>
        </w:rPr>
        <w:footnoteRef/>
      </w:r>
      <w:r>
        <w:rPr>
          <w:rtl/>
        </w:rPr>
        <w:t xml:space="preserve"> يجري تقدير سيناريو كسب كفاءة الطاقة في إطار سيناريو العمل كالمعتاد بناء على المكاسب المتوقع تحقيقها في كفاءة استخدام الطاقة في إطار سيناريو العمل كالمعتاد للتطبيقات المختلفة خلال الفترة من </w:t>
      </w:r>
      <w:r w:rsidR="006635AA">
        <w:t>2024</w:t>
      </w:r>
      <w:r>
        <w:rPr>
          <w:rtl/>
        </w:rPr>
        <w:t xml:space="preserve"> إلى </w:t>
      </w:r>
      <w:r w:rsidR="006635AA" w:rsidRPr="003239B2">
        <w:t>2040</w:t>
      </w:r>
      <w:r>
        <w:rPr>
          <w:rtl/>
        </w:rPr>
        <w:t xml:space="preserve"> على فرض أن الشركات المصنعة للمعدات ستُدخل ببطء تحسينات في كفاءة استخدام الطاقة حتى بدون اتخاذ مزيد من تدابير السياسة العامة، ولكن معدل تحسين الكفاءة هذا أبطأ بكثير مما هو ممكن تقنياً مع اتخاذ تدابير سياساتية أقوى.</w:t>
      </w:r>
    </w:p>
  </w:footnote>
  <w:footnote w:id="21">
    <w:p w14:paraId="37402ED4" w14:textId="0B3ED8BA" w:rsidR="002208B8" w:rsidRPr="003239B2" w:rsidRDefault="002208B8" w:rsidP="00FC21BD">
      <w:pPr>
        <w:pStyle w:val="FootnoteText"/>
        <w:bidi/>
        <w:textDirection w:val="tbRlV"/>
        <w:rPr>
          <w:lang w:val="ar-SA" w:eastAsia="zh-TW" w:bidi="en-GB"/>
        </w:rPr>
      </w:pPr>
      <w:r w:rsidRPr="003239B2">
        <w:rPr>
          <w:rStyle w:val="FootnoteReference"/>
          <w:rtl/>
        </w:rPr>
        <w:footnoteRef/>
      </w:r>
      <w:r>
        <w:rPr>
          <w:rtl/>
        </w:rPr>
        <w:t xml:space="preserve"> تدابير التبريد السلبي التي من شأنها أن تؤدي إلى خفض الحمل بنحو </w:t>
      </w:r>
      <w:r w:rsidR="006635AA" w:rsidRPr="003239B2">
        <w:t>25</w:t>
      </w:r>
      <w:r>
        <w:rPr>
          <w:rtl/>
        </w:rPr>
        <w:t xml:space="preserve"> في المائة في عام </w:t>
      </w:r>
      <w:r w:rsidR="006635AA" w:rsidRPr="003239B2">
        <w:t>2050</w:t>
      </w:r>
      <w:r>
        <w:rPr>
          <w:rtl/>
        </w:rPr>
        <w:t>.</w:t>
      </w:r>
    </w:p>
  </w:footnote>
  <w:footnote w:id="22">
    <w:p w14:paraId="2D5F7C2F" w14:textId="4B8364A0" w:rsidR="002208B8" w:rsidRPr="003239B2" w:rsidRDefault="002208B8" w:rsidP="00FC21BD">
      <w:pPr>
        <w:pStyle w:val="FootnoteText"/>
        <w:bidi/>
        <w:textDirection w:val="tbRlV"/>
        <w:rPr>
          <w:lang w:val="ar-SA" w:eastAsia="zh-TW" w:bidi="en-GB"/>
        </w:rPr>
      </w:pPr>
      <w:r w:rsidRPr="003239B2">
        <w:rPr>
          <w:rStyle w:val="FootnoteReference"/>
          <w:rtl/>
        </w:rPr>
        <w:footnoteRef/>
      </w:r>
      <w:r>
        <w:rPr>
          <w:rtl/>
        </w:rPr>
        <w:t xml:space="preserve"> يتعلق أفضل سيناريو لتحقيق مكاسب في كفاءة الطاقة بالإدخال السريع للتكنولوجيات الموفرة للطاقة مع افتراض الاستيعاب السريع للمعدات العالية الكفاءة المتاحة حالياً والتحسينات المستمرة في الكفاءة استنادا</w:t>
      </w:r>
      <w:r w:rsidR="006635AA">
        <w:rPr>
          <w:rFonts w:hint="cs"/>
          <w:rtl/>
        </w:rPr>
        <w:t>ً</w:t>
      </w:r>
      <w:r>
        <w:rPr>
          <w:rtl/>
        </w:rPr>
        <w:t xml:space="preserve"> إلى التطورات التقنية الجديدة.</w:t>
      </w:r>
    </w:p>
  </w:footnote>
  <w:footnote w:id="23">
    <w:p w14:paraId="04453B09" w14:textId="784F62BB" w:rsidR="002208B8" w:rsidRPr="003239B2" w:rsidRDefault="002208B8" w:rsidP="00FC21BD">
      <w:pPr>
        <w:pStyle w:val="FootnoteText"/>
        <w:bidi/>
        <w:textDirection w:val="tbRlV"/>
        <w:rPr>
          <w:lang w:val="ar-SA" w:eastAsia="zh-TW" w:bidi="en-GB"/>
        </w:rPr>
      </w:pPr>
      <w:r w:rsidRPr="003239B2">
        <w:rPr>
          <w:rStyle w:val="FootnoteReference"/>
          <w:rtl/>
        </w:rPr>
        <w:footnoteRef/>
      </w:r>
      <w:r>
        <w:rPr>
          <w:rtl/>
        </w:rPr>
        <w:t xml:space="preserve"> في سيناريو التخفيض التدريجي السريع للمواد الهيدروفلوروكربونية، يُتجنب استخدام المواد الهيدروفلوروكربونية ذات إمكانية إحداث الاحترار العالمي المرتفعة للغاية في أقرب وقت ممكن عملياً (القفز السريع). </w:t>
      </w:r>
      <w:r w:rsidR="006635AA">
        <w:rPr>
          <w:rFonts w:hint="cs"/>
          <w:rtl/>
        </w:rPr>
        <w:t>و</w:t>
      </w:r>
      <w:r>
        <w:rPr>
          <w:rtl/>
        </w:rPr>
        <w:t xml:space="preserve">عندما يكون خيار </w:t>
      </w:r>
      <w:r w:rsidR="006635AA">
        <w:rPr>
          <w:rtl/>
        </w:rPr>
        <w:t>إمكانية إحداث الاحترار العالمي</w:t>
      </w:r>
      <w:r>
        <w:rPr>
          <w:rtl/>
        </w:rPr>
        <w:t xml:space="preserve"> المنخفض للغاية متاحا بالفعل على نطاق واسع (مثل </w:t>
      </w:r>
      <w:r w:rsidR="006635AA">
        <w:rPr>
          <w:rFonts w:hint="cs"/>
          <w:rtl/>
        </w:rPr>
        <w:t>الهيدروكربونات</w:t>
      </w:r>
      <w:r>
        <w:rPr>
          <w:rtl/>
        </w:rPr>
        <w:t xml:space="preserve"> للمعدات الصغيرة المحكمة الختم والهيدروفلوروأولفين-</w:t>
      </w:r>
      <w:r w:rsidR="006635AA" w:rsidRPr="003239B2">
        <w:t>1234yf</w:t>
      </w:r>
      <w:r>
        <w:rPr>
          <w:rtl/>
        </w:rPr>
        <w:t xml:space="preserve"> لتكييف هواء السيارة) توضع نماذج لهذه الخيارات. وعندما يكون خيار التكنولوجيا على المدى الطويل أقل وضوحاً (مثل تكييف الهواء المنفصل)، تقدَّم خيارات ’’أدنى في إمكانية إحداث الاحترار العالمي‘‘، مع الانتقال إلى بدائل منخفضة الاحترار العالمي خلال ثلاثينيات القرن الحالي.  </w:t>
      </w:r>
    </w:p>
  </w:footnote>
  <w:footnote w:id="24">
    <w:p w14:paraId="4D6ACA8E" w14:textId="77777777" w:rsidR="00151A70" w:rsidRPr="003239B2" w:rsidRDefault="00151A70" w:rsidP="00151A70">
      <w:pPr>
        <w:pStyle w:val="FootnoteText"/>
        <w:bidi/>
        <w:textDirection w:val="tbRlV"/>
        <w:rPr>
          <w:lang w:val="ar-SA" w:eastAsia="zh-TW" w:bidi="en-GB"/>
        </w:rPr>
      </w:pPr>
      <w:r w:rsidRPr="003239B2">
        <w:rPr>
          <w:rStyle w:val="FootnoteReference"/>
          <w:rtl/>
        </w:rPr>
        <w:footnoteRef/>
      </w:r>
      <w:r>
        <w:rPr>
          <w:rtl/>
        </w:rPr>
        <w:t xml:space="preserve"> يتعلق تبريد المساحات السكنية بمكيفات الهواء السكنية. تتعلق سلسلة أجهزة التبريد السكني بالتبريد المنزلي؛ ويتعلق تبريد المساحات غير السكنية بتكييف الهواء التجاري والصناعي. ويتعلق تبريد المساحات غير السكنية بتكييف الهواء التجاري والصناعي. ويتعلق تبريد حيز وسائل النقل بتكييف هواء وسائل النقل، بما في ذلك أجهزة تكييف الهواء المتنقلة؛ وتتعلق سلسلة أجهزة تبريد وسائل النقل بتبريد وسائل النقل؛</w:t>
      </w:r>
    </w:p>
  </w:footnote>
  <w:footnote w:id="25">
    <w:p w14:paraId="29C1F181" w14:textId="77777777" w:rsidR="00F7480C" w:rsidRPr="003239B2" w:rsidRDefault="00F7480C" w:rsidP="00F7480C">
      <w:pPr>
        <w:pStyle w:val="FootnoteText"/>
        <w:bidi/>
        <w:textDirection w:val="tbRlV"/>
        <w:rPr>
          <w:lang w:val="ar-SA" w:eastAsia="zh-TW" w:bidi="en-GB"/>
        </w:rPr>
      </w:pPr>
      <w:r w:rsidRPr="003239B2">
        <w:rPr>
          <w:rStyle w:val="FootnoteReference"/>
          <w:rtl/>
        </w:rPr>
        <w:footnoteRef/>
      </w:r>
      <w:r>
        <w:rPr>
          <w:rtl/>
        </w:rPr>
        <w:t xml:space="preserve"> نظرًا للطبيعة المعقدة لتقييم ذروة الطلب على الطاقة، يُستخدم ’’معامل ذروة الطلب‘‘ لعمل تقديرات ذروة الطلب على الطاقة؛ ويمكن أن يختلف المعامل حسب الظروف المحلية.</w:t>
      </w:r>
    </w:p>
  </w:footnote>
  <w:footnote w:id="26">
    <w:p w14:paraId="69FE4CF3" w14:textId="543CD3EA" w:rsidR="00F7480C" w:rsidRPr="003239B2" w:rsidRDefault="00F7480C" w:rsidP="00F7480C">
      <w:pPr>
        <w:pStyle w:val="FootnoteText"/>
        <w:bidi/>
        <w:textDirection w:val="tbRlV"/>
        <w:rPr>
          <w:lang w:val="ar-SA" w:eastAsia="zh-TW" w:bidi="en-GB"/>
        </w:rPr>
      </w:pPr>
      <w:r w:rsidRPr="003239B2">
        <w:rPr>
          <w:rStyle w:val="FootnoteReference"/>
          <w:rtl/>
        </w:rPr>
        <w:footnoteRef/>
      </w:r>
      <w:r>
        <w:rPr>
          <w:rtl/>
        </w:rPr>
        <w:t xml:space="preserve"> ستكون عمليات جمع البيانات مدفوعة بالأهداف الرئيسية لجمع هذه البيانات. </w:t>
      </w:r>
      <w:r w:rsidR="0069237E">
        <w:rPr>
          <w:rFonts w:hint="cs"/>
          <w:rtl/>
        </w:rPr>
        <w:t>و</w:t>
      </w:r>
      <w:r>
        <w:rPr>
          <w:rtl/>
        </w:rPr>
        <w:t>بالنسبة للتدخلات التي تتجاوز تنفيذ خطة تنفيذ تعديل كيغالي للمواد الهيدروفلوروكربونية، قد يلزم جمع البيانات (على سبيل المثال ، كيفية استخدام تكنولوجيات التبريد على مستوى المزرعة وعمليات ما بعد الحصاد قبل المعالجة، والمشاكل التي ووجهت في سياق الحصول على التبريد، والحاجة إلى تدخلات لإحداث تغييرات سلوكية بين المستهلكين) بواسطة أصحاب المصلحة الآخرين مشفوعة بمدخلات من وحدة الأوزون الوطنية.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0FE84" w14:textId="129937B0" w:rsidR="007E5D09" w:rsidRDefault="00BF06FD" w:rsidP="00B3572D">
    <w:pPr>
      <w:jc w:val="right"/>
    </w:pPr>
    <w:r>
      <w:fldChar w:fldCharType="begin"/>
    </w:r>
    <w:r>
      <w:instrText xml:space="preserve"> DOCPROPERTY "Document number"  \* MERGEFORMAT </w:instrText>
    </w:r>
    <w:r>
      <w:fldChar w:fldCharType="separate"/>
    </w:r>
    <w:r w:rsidR="00033FD3">
      <w:t>UNEP/</w:t>
    </w:r>
    <w:proofErr w:type="spellStart"/>
    <w:r w:rsidR="00033FD3">
      <w:t>OzL.Pro</w:t>
    </w:r>
    <w:proofErr w:type="spellEnd"/>
    <w:r w:rsidR="00033FD3">
      <w:t>/ExCom/94/63</w:t>
    </w:r>
    <w:r>
      <w:fldChar w:fldCharType="end"/>
    </w:r>
  </w:p>
  <w:p w14:paraId="5370D8BB" w14:textId="77777777" w:rsidR="007E5D09" w:rsidRDefault="007E5D09"/>
  <w:p w14:paraId="2B37626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E61D0" w14:textId="095AA3E7" w:rsidR="007E5D09" w:rsidRDefault="00BF06FD" w:rsidP="00B3572D">
    <w:pPr>
      <w:jc w:val="left"/>
    </w:pPr>
    <w:r>
      <w:fldChar w:fldCharType="begin"/>
    </w:r>
    <w:r>
      <w:instrText xml:space="preserve"> DOCPROPERTY "Document number"  \* MERGEFORMAT </w:instrText>
    </w:r>
    <w:r>
      <w:fldChar w:fldCharType="separate"/>
    </w:r>
    <w:r w:rsidR="00033FD3">
      <w:t>UNEP/</w:t>
    </w:r>
    <w:proofErr w:type="spellStart"/>
    <w:r w:rsidR="00033FD3">
      <w:t>OzL.Pro</w:t>
    </w:r>
    <w:proofErr w:type="spellEnd"/>
    <w:r w:rsidR="00033FD3">
      <w:t>/ExCom/94/63</w:t>
    </w:r>
    <w:r>
      <w:fldChar w:fldCharType="end"/>
    </w:r>
  </w:p>
  <w:p w14:paraId="5F5B1F42" w14:textId="77777777" w:rsidR="007E5D09" w:rsidRDefault="007E5D09"/>
  <w:p w14:paraId="45CB17BE"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171AFA"/>
    <w:multiLevelType w:val="hybridMultilevel"/>
    <w:tmpl w:val="3AFAE5B0"/>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8F47FF"/>
    <w:multiLevelType w:val="hybridMultilevel"/>
    <w:tmpl w:val="AF1EA094"/>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0635063"/>
    <w:multiLevelType w:val="hybridMultilevel"/>
    <w:tmpl w:val="9288FDAC"/>
    <w:lvl w:ilvl="0" w:tplc="6A20E890">
      <w:start w:val="1"/>
      <w:numFmt w:val="decimal"/>
      <w:lvlText w:val="%1."/>
      <w:lvlJc w:val="left"/>
      <w:pPr>
        <w:ind w:left="720" w:hanging="360"/>
      </w:pPr>
      <w:rPr>
        <w:rFonts w:hint="default"/>
        <w:b w:val="0"/>
        <w:bCs w:val="0"/>
        <w:lang w:val="en-U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7"/>
  </w:num>
  <w:num w:numId="18" w16cid:durableId="1318270324">
    <w:abstractNumId w:val="18"/>
  </w:num>
  <w:num w:numId="19" w16cid:durableId="2133593865">
    <w:abstractNumId w:val="20"/>
  </w:num>
  <w:num w:numId="20" w16cid:durableId="1935045211">
    <w:abstractNumId w:val="15"/>
  </w:num>
  <w:num w:numId="21" w16cid:durableId="1318917148">
    <w:abstractNumId w:val="12"/>
  </w:num>
  <w:num w:numId="22" w16cid:durableId="1824200708">
    <w:abstractNumId w:val="14"/>
  </w:num>
  <w:num w:numId="23" w16cid:durableId="1531649607">
    <w:abstractNumId w:val="19"/>
  </w:num>
  <w:num w:numId="24" w16cid:durableId="1899898176">
    <w:abstractNumId w:val="16"/>
  </w:num>
  <w:num w:numId="25" w16cid:durableId="169489337">
    <w:abstractNumId w:val="20"/>
  </w:num>
  <w:num w:numId="26" w16cid:durableId="1995184055">
    <w:abstractNumId w:val="20"/>
  </w:num>
  <w:num w:numId="27" w16cid:durableId="136551671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D4C"/>
    <w:rsid w:val="00013372"/>
    <w:rsid w:val="00017133"/>
    <w:rsid w:val="00017941"/>
    <w:rsid w:val="0003197D"/>
    <w:rsid w:val="00033FD3"/>
    <w:rsid w:val="00035F8C"/>
    <w:rsid w:val="0004254A"/>
    <w:rsid w:val="00045FFB"/>
    <w:rsid w:val="000540DA"/>
    <w:rsid w:val="000861FE"/>
    <w:rsid w:val="000908BA"/>
    <w:rsid w:val="000A2B34"/>
    <w:rsid w:val="000C2FE8"/>
    <w:rsid w:val="000C75EC"/>
    <w:rsid w:val="000E0770"/>
    <w:rsid w:val="000F378E"/>
    <w:rsid w:val="00121B3B"/>
    <w:rsid w:val="00151A70"/>
    <w:rsid w:val="001655F4"/>
    <w:rsid w:val="00170997"/>
    <w:rsid w:val="001B65CF"/>
    <w:rsid w:val="001D13B0"/>
    <w:rsid w:val="001D2B45"/>
    <w:rsid w:val="001D37F6"/>
    <w:rsid w:val="002208B8"/>
    <w:rsid w:val="0022104F"/>
    <w:rsid w:val="00270CAF"/>
    <w:rsid w:val="00286BD3"/>
    <w:rsid w:val="00290C40"/>
    <w:rsid w:val="00291CF2"/>
    <w:rsid w:val="002956A4"/>
    <w:rsid w:val="002B535E"/>
    <w:rsid w:val="002E4D4C"/>
    <w:rsid w:val="002E6A6F"/>
    <w:rsid w:val="002E6CB7"/>
    <w:rsid w:val="002E7EF7"/>
    <w:rsid w:val="002F505F"/>
    <w:rsid w:val="00307112"/>
    <w:rsid w:val="003223B2"/>
    <w:rsid w:val="00324411"/>
    <w:rsid w:val="0032579D"/>
    <w:rsid w:val="003275EF"/>
    <w:rsid w:val="003303CF"/>
    <w:rsid w:val="0035441C"/>
    <w:rsid w:val="00386805"/>
    <w:rsid w:val="003C2491"/>
    <w:rsid w:val="003C2739"/>
    <w:rsid w:val="003F258A"/>
    <w:rsid w:val="003F2852"/>
    <w:rsid w:val="00416AD7"/>
    <w:rsid w:val="00464D03"/>
    <w:rsid w:val="004A3268"/>
    <w:rsid w:val="004C5B74"/>
    <w:rsid w:val="004D01E1"/>
    <w:rsid w:val="00511834"/>
    <w:rsid w:val="0053096E"/>
    <w:rsid w:val="00535694"/>
    <w:rsid w:val="00554C1A"/>
    <w:rsid w:val="005B65DF"/>
    <w:rsid w:val="005C7D4A"/>
    <w:rsid w:val="00624AEF"/>
    <w:rsid w:val="00626159"/>
    <w:rsid w:val="00662A73"/>
    <w:rsid w:val="006635AA"/>
    <w:rsid w:val="0067266A"/>
    <w:rsid w:val="006759DA"/>
    <w:rsid w:val="0069237E"/>
    <w:rsid w:val="006F01AB"/>
    <w:rsid w:val="006F2A2C"/>
    <w:rsid w:val="00702662"/>
    <w:rsid w:val="0071466C"/>
    <w:rsid w:val="00714901"/>
    <w:rsid w:val="00786775"/>
    <w:rsid w:val="00791A1A"/>
    <w:rsid w:val="0079406E"/>
    <w:rsid w:val="007C6EF9"/>
    <w:rsid w:val="007D141D"/>
    <w:rsid w:val="007D567C"/>
    <w:rsid w:val="007E5D09"/>
    <w:rsid w:val="00837F3F"/>
    <w:rsid w:val="00881FDC"/>
    <w:rsid w:val="00885865"/>
    <w:rsid w:val="00893A93"/>
    <w:rsid w:val="008C0AF7"/>
    <w:rsid w:val="008C6B9E"/>
    <w:rsid w:val="008E1332"/>
    <w:rsid w:val="008E2901"/>
    <w:rsid w:val="008E3DF3"/>
    <w:rsid w:val="008E56C5"/>
    <w:rsid w:val="00920424"/>
    <w:rsid w:val="00922E6F"/>
    <w:rsid w:val="00931384"/>
    <w:rsid w:val="009623C0"/>
    <w:rsid w:val="00983FD1"/>
    <w:rsid w:val="00990CE4"/>
    <w:rsid w:val="009920D1"/>
    <w:rsid w:val="009A0292"/>
    <w:rsid w:val="009C2407"/>
    <w:rsid w:val="009C46B2"/>
    <w:rsid w:val="009C7C3D"/>
    <w:rsid w:val="009E6458"/>
    <w:rsid w:val="009E7EF5"/>
    <w:rsid w:val="00A00C77"/>
    <w:rsid w:val="00A24174"/>
    <w:rsid w:val="00A44778"/>
    <w:rsid w:val="00A755B6"/>
    <w:rsid w:val="00A76C31"/>
    <w:rsid w:val="00A83056"/>
    <w:rsid w:val="00A907AD"/>
    <w:rsid w:val="00AB4886"/>
    <w:rsid w:val="00B11DB6"/>
    <w:rsid w:val="00B3572D"/>
    <w:rsid w:val="00B35D30"/>
    <w:rsid w:val="00B40E87"/>
    <w:rsid w:val="00B63917"/>
    <w:rsid w:val="00B81E83"/>
    <w:rsid w:val="00BB1C42"/>
    <w:rsid w:val="00BF06FD"/>
    <w:rsid w:val="00C0337B"/>
    <w:rsid w:val="00C0411E"/>
    <w:rsid w:val="00C12FF8"/>
    <w:rsid w:val="00C27B58"/>
    <w:rsid w:val="00C41574"/>
    <w:rsid w:val="00C47CB5"/>
    <w:rsid w:val="00C55EF2"/>
    <w:rsid w:val="00C718E6"/>
    <w:rsid w:val="00C75BC1"/>
    <w:rsid w:val="00CA4D6F"/>
    <w:rsid w:val="00D006A9"/>
    <w:rsid w:val="00D01680"/>
    <w:rsid w:val="00D03BF1"/>
    <w:rsid w:val="00D11176"/>
    <w:rsid w:val="00D116C3"/>
    <w:rsid w:val="00D21159"/>
    <w:rsid w:val="00D4340C"/>
    <w:rsid w:val="00D45C4D"/>
    <w:rsid w:val="00D6339B"/>
    <w:rsid w:val="00D6531C"/>
    <w:rsid w:val="00D75165"/>
    <w:rsid w:val="00D84E9B"/>
    <w:rsid w:val="00D96553"/>
    <w:rsid w:val="00DD3EC2"/>
    <w:rsid w:val="00E1360E"/>
    <w:rsid w:val="00E27B62"/>
    <w:rsid w:val="00E4251B"/>
    <w:rsid w:val="00E577FA"/>
    <w:rsid w:val="00E86EBE"/>
    <w:rsid w:val="00E955E2"/>
    <w:rsid w:val="00EC108E"/>
    <w:rsid w:val="00EF566C"/>
    <w:rsid w:val="00F22304"/>
    <w:rsid w:val="00F26893"/>
    <w:rsid w:val="00F3090D"/>
    <w:rsid w:val="00F35086"/>
    <w:rsid w:val="00F44F68"/>
    <w:rsid w:val="00F7480C"/>
    <w:rsid w:val="00F87457"/>
    <w:rsid w:val="00FA3EA1"/>
    <w:rsid w:val="00FB4C69"/>
    <w:rsid w:val="00FC21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3FA9C"/>
  <w15:docId w15:val="{875F3AB8-8C4C-DB46-A79B-D7314240C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character" w:styleId="Hyperlink">
    <w:name w:val="Hyperlink"/>
    <w:basedOn w:val="DefaultParagraphFont"/>
    <w:uiPriority w:val="99"/>
    <w:semiHidden/>
    <w:unhideWhenUsed/>
    <w:rsid w:val="00B35D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resources/global-cooling-watch-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C21709EE3BD94EA798D8654E6EB778" ma:contentTypeVersion="5" ma:contentTypeDescription="Create a new document." ma:contentTypeScope="" ma:versionID="fd7461d9089b192242f615c4dc2ed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D730CDD0-58DB-4C1C-A465-E1C1451063E3}"/>
</file>

<file path=docProps/app.xml><?xml version="1.0" encoding="utf-8"?>
<Properties xmlns="http://schemas.openxmlformats.org/officeDocument/2006/extended-properties" xmlns:vt="http://schemas.openxmlformats.org/officeDocument/2006/docPropsVTypes">
  <Template>Normal</Template>
  <TotalTime>279</TotalTime>
  <Pages>14</Pages>
  <Words>5242</Words>
  <Characters>29898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ورقة عن كيفية مساهمة أنشطة التخلص التدريجي من المواد الهيدروكلوروفلوروكربونية والمواد الهيدروفلوروكربونية التي يدعمها الصندوق المتعدد الأطراف</vt:lpstr>
    </vt:vector>
  </TitlesOfParts>
  <Company>UNMFS</Company>
  <LinksUpToDate>false</LinksUpToDate>
  <CharactersWithSpaces>35070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ورقة عن كيفية مساهمة أنشطة التخلص التدريجي من المواد الهيدروكلوروفلوروكربونية والمواد الهيدروفلوروكربونية التي يدعمها الصندوق المتعدد الأطراف في التبريد المستدام (المقرر 92/1(ب)) </dc:title>
  <dc:creator>User</dc:creator>
  <cp:lastModifiedBy>Angela Xue He Yan</cp:lastModifiedBy>
  <cp:revision>77</cp:revision>
  <cp:lastPrinted>2024-05-03T12:41:00Z</cp:lastPrinted>
  <dcterms:created xsi:type="dcterms:W3CDTF">2024-05-02T12:09:00Z</dcterms:created>
  <dcterms:modified xsi:type="dcterms:W3CDTF">2024-05-03T12:41:00Z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UNEP/OzL.Pro/ExCom/94/63</vt:lpwstr>
  </property>
  <property fmtid="{D5CDD505-2E9C-101B-9397-08002B2CF9AE}" pid="3" name="Revision date">
    <vt:lpwstr>2 May 2024</vt:lpwstr>
  </property>
  <property fmtid="{D5CDD505-2E9C-101B-9397-08002B2CF9AE}" pid="4" name="ContentTypeId">
    <vt:lpwstr>0x0101009FC21709EE3BD94EA798D8654E6EB778</vt:lpwstr>
  </property>
  <property fmtid="{D5CDD505-2E9C-101B-9397-08002B2CF9AE}" pid="5" name="Order">
    <vt:r8>147400</vt:r8>
  </property>
  <property fmtid="{D5CDD505-2E9C-101B-9397-08002B2CF9AE}" pid="6" name="MediaServiceImageTags">
    <vt:lpwstr/>
  </property>
  <property fmtid="{D5CDD505-2E9C-101B-9397-08002B2CF9AE}" pid="7" name="lcf76f155ced4ddcb4097134ff3c332f">
    <vt:lpwstr/>
  </property>
</Properties>
</file>