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BDCF87E" w14:textId="77777777">
        <w:trPr>
          <w:trHeight w:val="720"/>
        </w:trPr>
        <w:tc>
          <w:tcPr>
            <w:tcW w:w="4410" w:type="dxa"/>
            <w:gridSpan w:val="2"/>
            <w:tcBorders>
              <w:bottom w:val="single" w:sz="18" w:space="0" w:color="auto"/>
            </w:tcBorders>
          </w:tcPr>
          <w:p w14:paraId="5BDCF87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BDCF87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BDCF8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BDCF87F"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BDCF8C1" wp14:editId="5BDCF8C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5BDCF8C3" wp14:editId="5BDCF8C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5BDCF880" w14:textId="77777777" w:rsidR="007E5D09" w:rsidRDefault="00E1360E">
            <w:pPr>
              <w:spacing w:before="120"/>
              <w:jc w:val="left"/>
              <w:rPr>
                <w:lang w:val="en-US"/>
              </w:rPr>
            </w:pPr>
            <w:r>
              <w:rPr>
                <w:lang w:val="en-US"/>
              </w:rPr>
              <w:t>GENERAL</w:t>
            </w:r>
          </w:p>
          <w:p w14:paraId="5BDCF881" w14:textId="77777777" w:rsidR="007E5D09" w:rsidRDefault="007E5D09">
            <w:pPr>
              <w:spacing w:before="120"/>
              <w:jc w:val="left"/>
              <w:rPr>
                <w:lang w:val="en-US"/>
              </w:rPr>
            </w:pPr>
          </w:p>
          <w:p w14:paraId="5BDCF882" w14:textId="57B0CF05" w:rsidR="007E5D09" w:rsidRDefault="00601208">
            <w:pPr>
              <w:rPr>
                <w:rtl/>
              </w:rPr>
            </w:pPr>
            <w:r>
              <w:fldChar w:fldCharType="begin"/>
            </w:r>
            <w:r w:rsidR="0053096E">
              <w:instrText xml:space="preserve"> DOCPROPERTY "Document number"  \* MERGEFORMAT </w:instrText>
            </w:r>
            <w:r>
              <w:fldChar w:fldCharType="separate"/>
            </w:r>
            <w:r w:rsidR="00EC4198">
              <w:t>UNEP/</w:t>
            </w:r>
            <w:proofErr w:type="spellStart"/>
            <w:r w:rsidR="00EC4198">
              <w:t>OzL.Pro</w:t>
            </w:r>
            <w:proofErr w:type="spellEnd"/>
            <w:r w:rsidR="00EC4198">
              <w:t>/ExCom/92/55</w:t>
            </w:r>
            <w:r>
              <w:fldChar w:fldCharType="end"/>
            </w:r>
          </w:p>
          <w:p w14:paraId="5BDCF883" w14:textId="77777777" w:rsidR="00662A73" w:rsidRPr="003F73BA" w:rsidRDefault="003C0CEB" w:rsidP="00662A73">
            <w:pPr>
              <w:spacing w:before="120"/>
              <w:jc w:val="left"/>
            </w:pPr>
            <w:r w:rsidRPr="00842BC7">
              <w:t>2 June</w:t>
            </w:r>
            <w:r w:rsidRPr="00586165">
              <w:t xml:space="preserve"> 2023</w:t>
            </w:r>
          </w:p>
          <w:p w14:paraId="5BDCF884" w14:textId="77777777" w:rsidR="00662A73" w:rsidRDefault="00662A73">
            <w:pPr>
              <w:spacing w:before="120"/>
              <w:jc w:val="left"/>
              <w:rPr>
                <w:rtl/>
                <w:lang w:val="en-US" w:bidi="ar-AE"/>
              </w:rPr>
            </w:pPr>
          </w:p>
          <w:p w14:paraId="5BDCF885" w14:textId="77777777" w:rsidR="007E5D09" w:rsidRDefault="00E1360E">
            <w:pPr>
              <w:spacing w:before="120"/>
              <w:jc w:val="left"/>
              <w:rPr>
                <w:lang w:val="en-US"/>
              </w:rPr>
            </w:pPr>
            <w:r>
              <w:rPr>
                <w:lang w:val="en-US"/>
              </w:rPr>
              <w:t>ARABIC</w:t>
            </w:r>
          </w:p>
          <w:p w14:paraId="5BDCF88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BDCF8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BDCF8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BDCF88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BDCF88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BDCF88B" w14:textId="77777777" w:rsidR="007E5D09" w:rsidRDefault="007E5D09">
            <w:pPr>
              <w:rPr>
                <w:caps/>
                <w:lang w:val="en-US"/>
              </w:rPr>
            </w:pPr>
          </w:p>
          <w:p w14:paraId="5BDCF88C" w14:textId="77777777" w:rsidR="007E5D09" w:rsidRDefault="007E5D09">
            <w:pPr>
              <w:rPr>
                <w:lang w:val="en-US"/>
              </w:rPr>
            </w:pPr>
          </w:p>
        </w:tc>
      </w:tr>
    </w:tbl>
    <w:p w14:paraId="5BDCF88E" w14:textId="77777777" w:rsidR="007E5D09" w:rsidRDefault="007E5D09">
      <w:pPr>
        <w:pStyle w:val="Caption"/>
        <w:spacing w:line="200" w:lineRule="exact"/>
        <w:ind w:left="187" w:right="187" w:hanging="187"/>
        <w:jc w:val="both"/>
        <w:rPr>
          <w:rFonts w:cs="Akhbar MT"/>
          <w:b/>
          <w:bCs/>
          <w:sz w:val="28"/>
          <w:szCs w:val="28"/>
          <w:rtl/>
        </w:rPr>
      </w:pPr>
    </w:p>
    <w:p w14:paraId="5BDCF88F"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BDCF890"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BDCF89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5BDCF892"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5BDCF893" w14:textId="77777777" w:rsidR="003C0CEB" w:rsidRPr="003C0CEB" w:rsidRDefault="003C0CEB" w:rsidP="003C0CEB">
      <w:pPr>
        <w:pStyle w:val="0Heading0"/>
        <w:bidi/>
        <w:ind w:left="4"/>
        <w:rPr>
          <w:sz w:val="26"/>
          <w:szCs w:val="26"/>
          <w:rtl/>
          <w:lang w:bidi="ar-SY"/>
        </w:rPr>
      </w:pPr>
      <w:r w:rsidRPr="003C0CEB">
        <w:rPr>
          <w:sz w:val="26"/>
          <w:szCs w:val="26"/>
          <w:rtl/>
          <w:lang w:bidi="ar-SY"/>
        </w:rPr>
        <w:t xml:space="preserve">البند </w:t>
      </w:r>
      <w:r>
        <w:rPr>
          <w:rFonts w:hint="cs"/>
          <w:sz w:val="26"/>
          <w:szCs w:val="26"/>
          <w:rtl/>
          <w:lang w:bidi="ar-SY"/>
        </w:rPr>
        <w:t>15 من جدول الأعمال المؤقت</w:t>
      </w:r>
      <w:r>
        <w:rPr>
          <w:rStyle w:val="FootnoteReference"/>
          <w:sz w:val="26"/>
          <w:szCs w:val="26"/>
          <w:rtl/>
          <w:lang w:bidi="ar-SY"/>
        </w:rPr>
        <w:footnoteReference w:id="1"/>
      </w:r>
    </w:p>
    <w:p w14:paraId="5BDCF894" w14:textId="77777777" w:rsidR="00702662" w:rsidRPr="003C0CEB" w:rsidRDefault="00702662" w:rsidP="003C0CEB">
      <w:pPr>
        <w:bidi/>
        <w:spacing w:after="240"/>
        <w:jc w:val="left"/>
        <w:rPr>
          <w:sz w:val="26"/>
          <w:szCs w:val="26"/>
          <w:rtl/>
          <w:lang w:val="en-US" w:eastAsia="zh-CN" w:bidi="ar-SY"/>
        </w:rPr>
      </w:pPr>
    </w:p>
    <w:p w14:paraId="5BDCF895" w14:textId="77777777" w:rsidR="007E5D09" w:rsidRPr="003C0CEB" w:rsidRDefault="003C0CEB" w:rsidP="00CD5AA1">
      <w:pPr>
        <w:pStyle w:val="Heading2"/>
        <w:widowControl/>
        <w:numPr>
          <w:ilvl w:val="0"/>
          <w:numId w:val="0"/>
        </w:numPr>
        <w:bidi/>
        <w:ind w:left="4"/>
        <w:jc w:val="center"/>
        <w:rPr>
          <w:b/>
          <w:bCs/>
          <w:sz w:val="32"/>
          <w:szCs w:val="32"/>
          <w:rtl/>
          <w:lang w:val="en-CA" w:bidi="ar-EG"/>
        </w:rPr>
      </w:pPr>
      <w:r w:rsidRPr="003C0CEB">
        <w:rPr>
          <w:rFonts w:hint="cs"/>
          <w:b/>
          <w:bCs/>
          <w:sz w:val="32"/>
          <w:szCs w:val="32"/>
          <w:rtl/>
          <w:lang w:val="en-CA" w:bidi="ar-EG"/>
        </w:rPr>
        <w:t>تقرير الفريق الفرعي المعني بقطاع الإنتاج</w:t>
      </w:r>
    </w:p>
    <w:p w14:paraId="5BDCF896" w14:textId="77777777" w:rsidR="007E5D09" w:rsidRPr="0080735F" w:rsidRDefault="003C0CEB" w:rsidP="00CD5AA1">
      <w:pPr>
        <w:pStyle w:val="StyleHeader4Para4Left0Firstline0"/>
        <w:widowControl/>
        <w:numPr>
          <w:ilvl w:val="0"/>
          <w:numId w:val="0"/>
        </w:numPr>
        <w:bidi/>
        <w:rPr>
          <w:b/>
          <w:bCs/>
          <w:sz w:val="26"/>
          <w:szCs w:val="26"/>
          <w:rtl/>
          <w:lang w:bidi="ar-EG"/>
        </w:rPr>
      </w:pPr>
      <w:r w:rsidRPr="0080735F">
        <w:rPr>
          <w:rFonts w:hint="cs"/>
          <w:b/>
          <w:bCs/>
          <w:sz w:val="26"/>
          <w:szCs w:val="26"/>
          <w:rtl/>
          <w:lang w:bidi="ar-EG"/>
        </w:rPr>
        <w:t>مقدمة</w:t>
      </w:r>
    </w:p>
    <w:p w14:paraId="5BDCF897" w14:textId="77777777" w:rsidR="003C0CEB" w:rsidRPr="00D71E96" w:rsidRDefault="003C0CEB" w:rsidP="00C0282C">
      <w:pPr>
        <w:pStyle w:val="Heading1"/>
        <w:numPr>
          <w:ilvl w:val="0"/>
          <w:numId w:val="24"/>
        </w:numPr>
        <w:bidi/>
        <w:ind w:left="0" w:firstLine="0"/>
        <w:rPr>
          <w:sz w:val="26"/>
          <w:szCs w:val="26"/>
        </w:rPr>
      </w:pPr>
      <w:r w:rsidRPr="00D71E96">
        <w:rPr>
          <w:sz w:val="26"/>
          <w:szCs w:val="26"/>
          <w:rtl/>
        </w:rPr>
        <w:t xml:space="preserve">اجتمع الفريق الفرعي المعني بقطاع </w:t>
      </w:r>
      <w:r w:rsidRPr="00D71E96">
        <w:rPr>
          <w:rFonts w:hint="cs"/>
          <w:sz w:val="26"/>
          <w:szCs w:val="26"/>
          <w:rtl/>
        </w:rPr>
        <w:t>الإنتاج</w:t>
      </w:r>
      <w:r w:rsidRPr="00D71E96">
        <w:rPr>
          <w:sz w:val="26"/>
          <w:szCs w:val="26"/>
          <w:rtl/>
        </w:rPr>
        <w:t xml:space="preserve"> يومي </w:t>
      </w:r>
      <w:r>
        <w:rPr>
          <w:rFonts w:hint="cs"/>
          <w:sz w:val="26"/>
          <w:szCs w:val="26"/>
          <w:rtl/>
        </w:rPr>
        <w:t>31 مايو/أيار</w:t>
      </w:r>
      <w:r w:rsidRPr="00D71E96">
        <w:rPr>
          <w:sz w:val="26"/>
          <w:szCs w:val="26"/>
          <w:rtl/>
        </w:rPr>
        <w:t xml:space="preserve"> و</w:t>
      </w:r>
      <w:r>
        <w:rPr>
          <w:rFonts w:hint="cs"/>
          <w:sz w:val="26"/>
          <w:szCs w:val="26"/>
          <w:rtl/>
        </w:rPr>
        <w:t>2</w:t>
      </w:r>
      <w:r w:rsidRPr="00D71E96">
        <w:rPr>
          <w:sz w:val="26"/>
          <w:szCs w:val="26"/>
          <w:rtl/>
        </w:rPr>
        <w:t xml:space="preserve"> </w:t>
      </w:r>
      <w:r>
        <w:rPr>
          <w:rFonts w:hint="cs"/>
          <w:sz w:val="26"/>
          <w:szCs w:val="26"/>
          <w:rtl/>
        </w:rPr>
        <w:t>يونيه/حزيران</w:t>
      </w:r>
      <w:r w:rsidRPr="00D71E96">
        <w:rPr>
          <w:sz w:val="26"/>
          <w:szCs w:val="26"/>
          <w:rtl/>
        </w:rPr>
        <w:t xml:space="preserve"> 202</w:t>
      </w:r>
      <w:r>
        <w:rPr>
          <w:rFonts w:hint="cs"/>
          <w:sz w:val="26"/>
          <w:szCs w:val="26"/>
          <w:rtl/>
        </w:rPr>
        <w:t>3</w:t>
      </w:r>
      <w:r w:rsidRPr="00D71E96">
        <w:rPr>
          <w:sz w:val="26"/>
          <w:szCs w:val="26"/>
          <w:rtl/>
        </w:rPr>
        <w:t xml:space="preserve"> على هامش الاجتماع ال</w:t>
      </w:r>
      <w:r>
        <w:rPr>
          <w:rFonts w:hint="cs"/>
          <w:sz w:val="26"/>
          <w:szCs w:val="26"/>
          <w:rtl/>
        </w:rPr>
        <w:t>ثان</w:t>
      </w:r>
      <w:r w:rsidRPr="00D71E96">
        <w:rPr>
          <w:sz w:val="26"/>
          <w:szCs w:val="26"/>
          <w:rtl/>
        </w:rPr>
        <w:t>ي والتسعين</w:t>
      </w:r>
      <w:r>
        <w:rPr>
          <w:rFonts w:hint="cs"/>
          <w:sz w:val="26"/>
          <w:szCs w:val="26"/>
          <w:rtl/>
        </w:rPr>
        <w:t xml:space="preserve"> للجنة التنفيذية للصندوق المتعدد الأطراف</w:t>
      </w:r>
      <w:r w:rsidRPr="00D71E96">
        <w:rPr>
          <w:sz w:val="26"/>
          <w:szCs w:val="26"/>
          <w:rtl/>
        </w:rPr>
        <w:t xml:space="preserve">. وتألف من ممثلي </w:t>
      </w:r>
      <w:r>
        <w:rPr>
          <w:rFonts w:hint="cs"/>
          <w:sz w:val="26"/>
          <w:szCs w:val="26"/>
          <w:rtl/>
        </w:rPr>
        <w:t>أستراليا، و</w:t>
      </w:r>
      <w:r w:rsidRPr="00D71E96">
        <w:rPr>
          <w:sz w:val="26"/>
          <w:szCs w:val="26"/>
          <w:rtl/>
        </w:rPr>
        <w:t>البرازيل</w:t>
      </w:r>
      <w:r>
        <w:rPr>
          <w:rFonts w:hint="cs"/>
          <w:sz w:val="26"/>
          <w:szCs w:val="26"/>
          <w:rtl/>
        </w:rPr>
        <w:t xml:space="preserve">، والصين، وكوبا، </w:t>
      </w:r>
      <w:r w:rsidRPr="00D71E96">
        <w:rPr>
          <w:sz w:val="26"/>
          <w:szCs w:val="26"/>
          <w:rtl/>
        </w:rPr>
        <w:t>وفنلندا</w:t>
      </w:r>
      <w:r>
        <w:rPr>
          <w:rFonts w:hint="cs"/>
          <w:sz w:val="26"/>
          <w:szCs w:val="26"/>
          <w:rtl/>
        </w:rPr>
        <w:t>،</w:t>
      </w:r>
      <w:r w:rsidRPr="00D71E96">
        <w:rPr>
          <w:sz w:val="26"/>
          <w:szCs w:val="26"/>
          <w:rtl/>
        </w:rPr>
        <w:t xml:space="preserve"> وإيطاليا</w:t>
      </w:r>
      <w:r>
        <w:rPr>
          <w:rFonts w:hint="cs"/>
          <w:sz w:val="26"/>
          <w:szCs w:val="26"/>
          <w:rtl/>
        </w:rPr>
        <w:t>، وكينيا</w:t>
      </w:r>
      <w:r w:rsidRPr="00D71E96">
        <w:rPr>
          <w:sz w:val="26"/>
          <w:szCs w:val="26"/>
          <w:rtl/>
        </w:rPr>
        <w:t xml:space="preserve"> والولايات المتحدة الأمريكية</w:t>
      </w:r>
      <w:r>
        <w:rPr>
          <w:rFonts w:hint="cs"/>
          <w:sz w:val="26"/>
          <w:szCs w:val="26"/>
          <w:rtl/>
        </w:rPr>
        <w:t>،</w:t>
      </w:r>
      <w:r w:rsidRPr="00D71E96">
        <w:rPr>
          <w:sz w:val="26"/>
          <w:szCs w:val="26"/>
          <w:rtl/>
        </w:rPr>
        <w:t xml:space="preserve"> مع قيام </w:t>
      </w:r>
      <w:r>
        <w:rPr>
          <w:rFonts w:hint="cs"/>
          <w:sz w:val="26"/>
          <w:szCs w:val="26"/>
          <w:rtl/>
        </w:rPr>
        <w:t>أستراليا</w:t>
      </w:r>
      <w:r w:rsidRPr="00D71E96">
        <w:rPr>
          <w:sz w:val="26"/>
          <w:szCs w:val="26"/>
          <w:rtl/>
        </w:rPr>
        <w:t xml:space="preserve"> بدور الميسّر. كما حضر ممثلو البنك الدولي بصفة مراقب.</w:t>
      </w:r>
    </w:p>
    <w:p w14:paraId="5BDCF898" w14:textId="77777777" w:rsidR="003C0CEB" w:rsidRPr="00D71E96" w:rsidRDefault="003C0CEB" w:rsidP="0080735F">
      <w:pPr>
        <w:autoSpaceDE w:val="0"/>
        <w:autoSpaceDN w:val="0"/>
        <w:bidi/>
        <w:adjustRightInd w:val="0"/>
        <w:spacing w:after="240"/>
        <w:ind w:left="2430" w:hanging="2430"/>
        <w:rPr>
          <w:bCs/>
          <w:sz w:val="26"/>
          <w:szCs w:val="26"/>
        </w:rPr>
      </w:pPr>
      <w:r w:rsidRPr="00D71E96">
        <w:rPr>
          <w:bCs/>
          <w:sz w:val="26"/>
          <w:szCs w:val="26"/>
          <w:rtl/>
        </w:rPr>
        <w:t xml:space="preserve">البند 1 من جدول الأعمال: </w:t>
      </w:r>
      <w:r>
        <w:rPr>
          <w:bCs/>
          <w:sz w:val="26"/>
          <w:szCs w:val="26"/>
          <w:rtl/>
        </w:rPr>
        <w:tab/>
      </w:r>
      <w:r w:rsidRPr="00D71E96">
        <w:rPr>
          <w:bCs/>
          <w:sz w:val="26"/>
          <w:szCs w:val="26"/>
          <w:rtl/>
        </w:rPr>
        <w:t>إقرار جدول الأعمال</w:t>
      </w:r>
    </w:p>
    <w:p w14:paraId="5BDCF899" w14:textId="77777777" w:rsidR="003C0CEB" w:rsidRPr="00D71E96" w:rsidRDefault="003C0CEB" w:rsidP="00CD5AA1">
      <w:pPr>
        <w:pStyle w:val="Heading1"/>
        <w:numPr>
          <w:ilvl w:val="0"/>
          <w:numId w:val="24"/>
        </w:numPr>
        <w:bidi/>
        <w:ind w:left="0" w:firstLine="0"/>
        <w:rPr>
          <w:sz w:val="26"/>
          <w:szCs w:val="26"/>
        </w:rPr>
      </w:pPr>
      <w:r w:rsidRPr="00D71E96">
        <w:rPr>
          <w:sz w:val="26"/>
          <w:szCs w:val="26"/>
          <w:rtl/>
        </w:rPr>
        <w:t>رحب مُيسِّر الفريق الفرعي بالمشاركين.</w:t>
      </w:r>
    </w:p>
    <w:p w14:paraId="5BDCF89A" w14:textId="77777777" w:rsidR="003C0CEB" w:rsidRPr="00D71E96" w:rsidRDefault="00C0282C" w:rsidP="00C0282C">
      <w:pPr>
        <w:pStyle w:val="Heading1"/>
        <w:numPr>
          <w:ilvl w:val="0"/>
          <w:numId w:val="24"/>
        </w:numPr>
        <w:bidi/>
        <w:ind w:left="0" w:firstLine="0"/>
        <w:rPr>
          <w:sz w:val="26"/>
          <w:szCs w:val="26"/>
        </w:rPr>
      </w:pPr>
      <w:r>
        <w:rPr>
          <w:rFonts w:hint="cs"/>
          <w:sz w:val="26"/>
          <w:szCs w:val="26"/>
          <w:rtl/>
        </w:rPr>
        <w:t>و</w:t>
      </w:r>
      <w:r w:rsidR="003C0CEB" w:rsidRPr="00D71E96">
        <w:rPr>
          <w:sz w:val="26"/>
          <w:szCs w:val="26"/>
          <w:rtl/>
        </w:rPr>
        <w:t>أقر الفريق الفرعي جدول الأعمال المؤقت على النحو الو</w:t>
      </w:r>
      <w:r>
        <w:rPr>
          <w:rFonts w:hint="cs"/>
          <w:sz w:val="26"/>
          <w:szCs w:val="26"/>
          <w:rtl/>
        </w:rPr>
        <w:t>ا</w:t>
      </w:r>
      <w:r w:rsidR="003C0CEB" w:rsidRPr="00D71E96">
        <w:rPr>
          <w:sz w:val="26"/>
          <w:szCs w:val="26"/>
          <w:rtl/>
        </w:rPr>
        <w:t xml:space="preserve">رد في الوثيقة </w:t>
      </w:r>
      <w:r w:rsidR="003C0CEB" w:rsidRPr="00CD5AA1">
        <w:rPr>
          <w:szCs w:val="24"/>
        </w:rPr>
        <w:t>UNEP/</w:t>
      </w:r>
      <w:proofErr w:type="spellStart"/>
      <w:r w:rsidR="003C0CEB" w:rsidRPr="00CD5AA1">
        <w:rPr>
          <w:szCs w:val="24"/>
        </w:rPr>
        <w:t>OzL.Pro</w:t>
      </w:r>
      <w:proofErr w:type="spellEnd"/>
      <w:r w:rsidR="003C0CEB" w:rsidRPr="00CD5AA1">
        <w:rPr>
          <w:szCs w:val="24"/>
        </w:rPr>
        <w:t>/ExCom/92/SGP/1</w:t>
      </w:r>
      <w:r w:rsidR="003C0CEB">
        <w:rPr>
          <w:rFonts w:hint="cs"/>
          <w:sz w:val="26"/>
          <w:szCs w:val="26"/>
          <w:rtl/>
        </w:rPr>
        <w:t>، بصيغته المعدلة شفويا لحذف النظر في البند المتعلق ب</w:t>
      </w:r>
      <w:r>
        <w:rPr>
          <w:rFonts w:hint="cs"/>
          <w:sz w:val="26"/>
          <w:szCs w:val="26"/>
          <w:rtl/>
        </w:rPr>
        <w:t xml:space="preserve">مشروع </w:t>
      </w:r>
      <w:r w:rsidR="003C0CEB">
        <w:rPr>
          <w:rFonts w:hint="cs"/>
          <w:sz w:val="26"/>
          <w:szCs w:val="26"/>
          <w:rtl/>
        </w:rPr>
        <w:t>المبادئ التوجيهية لقطا</w:t>
      </w:r>
      <w:r>
        <w:rPr>
          <w:rFonts w:hint="cs"/>
          <w:sz w:val="26"/>
          <w:szCs w:val="26"/>
          <w:rtl/>
        </w:rPr>
        <w:t>ع</w:t>
      </w:r>
      <w:r w:rsidR="003C0CEB">
        <w:rPr>
          <w:rFonts w:hint="cs"/>
          <w:sz w:val="26"/>
          <w:szCs w:val="26"/>
          <w:rtl/>
        </w:rPr>
        <w:t xml:space="preserve"> إنتاج الهيدروكلوروفلوروكربون (المقرر 91/72)، ولإدراج </w:t>
      </w:r>
      <w:r w:rsidR="00F073C9">
        <w:rPr>
          <w:rFonts w:hint="cs"/>
          <w:sz w:val="26"/>
          <w:szCs w:val="26"/>
          <w:rtl/>
        </w:rPr>
        <w:t>النظر في البنود المتعلقة بالمبادئ التوجيهية لقطاع إنتاج الهيدروفلوروكربون وانبعاثات المنتج الفرعي الهيدروفلوروكربون-23 لإنتاج الهيدروكلوروفلوروكربون-22 تحت عنوان مسائل أخرى.</w:t>
      </w:r>
    </w:p>
    <w:p w14:paraId="5BDCF89B" w14:textId="77777777" w:rsidR="003C0CEB" w:rsidRPr="00EB66E1" w:rsidRDefault="003C0CEB" w:rsidP="0080735F">
      <w:pPr>
        <w:autoSpaceDE w:val="0"/>
        <w:autoSpaceDN w:val="0"/>
        <w:bidi/>
        <w:adjustRightInd w:val="0"/>
        <w:spacing w:after="240"/>
        <w:ind w:left="2430" w:hanging="2430"/>
        <w:rPr>
          <w:bCs/>
          <w:sz w:val="26"/>
          <w:szCs w:val="26"/>
        </w:rPr>
      </w:pPr>
      <w:r w:rsidRPr="00EB66E1">
        <w:rPr>
          <w:bCs/>
          <w:sz w:val="26"/>
          <w:szCs w:val="26"/>
          <w:rtl/>
        </w:rPr>
        <w:t>البند 2 من جدول الأعمال:</w:t>
      </w:r>
      <w:r w:rsidR="00CF190E">
        <w:rPr>
          <w:bCs/>
          <w:sz w:val="26"/>
          <w:szCs w:val="26"/>
          <w:rtl/>
        </w:rPr>
        <w:tab/>
      </w:r>
      <w:r w:rsidRPr="00EB66E1">
        <w:rPr>
          <w:bCs/>
          <w:sz w:val="26"/>
          <w:szCs w:val="26"/>
          <w:rtl/>
        </w:rPr>
        <w:t>تنظيم العمل</w:t>
      </w:r>
    </w:p>
    <w:p w14:paraId="5BDCF89C" w14:textId="77777777" w:rsidR="003C0CEB" w:rsidRPr="00D71E96" w:rsidRDefault="003C0CEB" w:rsidP="00CD5AA1">
      <w:pPr>
        <w:pStyle w:val="Heading1"/>
        <w:numPr>
          <w:ilvl w:val="0"/>
          <w:numId w:val="24"/>
        </w:numPr>
        <w:bidi/>
        <w:ind w:left="0" w:firstLine="0"/>
        <w:rPr>
          <w:sz w:val="26"/>
          <w:szCs w:val="26"/>
        </w:rPr>
      </w:pPr>
      <w:r w:rsidRPr="00D71E96">
        <w:rPr>
          <w:sz w:val="26"/>
          <w:szCs w:val="26"/>
          <w:rtl/>
        </w:rPr>
        <w:t>وافق الفريق الفرعي على متابعة تنظيم العمل الذي اقترحه الميسر.</w:t>
      </w:r>
    </w:p>
    <w:p w14:paraId="5BDCF89D" w14:textId="77777777" w:rsidR="003C0CEB" w:rsidRPr="00EB66E1" w:rsidRDefault="003C0CEB" w:rsidP="0080735F">
      <w:pPr>
        <w:keepNext/>
        <w:autoSpaceDE w:val="0"/>
        <w:autoSpaceDN w:val="0"/>
        <w:bidi/>
        <w:adjustRightInd w:val="0"/>
        <w:spacing w:after="240"/>
        <w:ind w:left="2430" w:hanging="2430"/>
        <w:rPr>
          <w:bCs/>
          <w:sz w:val="26"/>
          <w:szCs w:val="26"/>
        </w:rPr>
      </w:pPr>
      <w:r w:rsidRPr="00EB66E1">
        <w:rPr>
          <w:bCs/>
          <w:sz w:val="26"/>
          <w:szCs w:val="26"/>
          <w:rtl/>
        </w:rPr>
        <w:lastRenderedPageBreak/>
        <w:t xml:space="preserve">البند 3 من جدول الأعمال: </w:t>
      </w:r>
      <w:r>
        <w:rPr>
          <w:bCs/>
          <w:sz w:val="26"/>
          <w:szCs w:val="26"/>
          <w:rtl/>
        </w:rPr>
        <w:tab/>
      </w:r>
      <w:r w:rsidR="00763B59" w:rsidRPr="00763B59">
        <w:rPr>
          <w:b/>
          <w:bCs/>
          <w:sz w:val="26"/>
          <w:szCs w:val="26"/>
          <w:rtl/>
        </w:rPr>
        <w:t>تقرير التحقق للفترة 2020-2021 بشأن تجار المواد الهيدروكلوروفلوروكربونية في الصين</w:t>
      </w:r>
      <w:r w:rsidR="00763B59">
        <w:rPr>
          <w:rFonts w:hint="cs"/>
          <w:bCs/>
          <w:sz w:val="26"/>
          <w:szCs w:val="26"/>
          <w:rtl/>
        </w:rPr>
        <w:t xml:space="preserve"> (المقرر 91/71(ب)(2)</w:t>
      </w:r>
      <w:r w:rsidR="007972FD">
        <w:rPr>
          <w:rFonts w:hint="cs"/>
          <w:bCs/>
          <w:sz w:val="26"/>
          <w:szCs w:val="26"/>
          <w:rtl/>
        </w:rPr>
        <w:t>)</w:t>
      </w:r>
    </w:p>
    <w:p w14:paraId="5BDCF89E" w14:textId="77777777" w:rsidR="003C0CEB" w:rsidRPr="00D71E96" w:rsidRDefault="003C0CEB" w:rsidP="00C0282C">
      <w:pPr>
        <w:pStyle w:val="Heading1"/>
        <w:keepNext/>
        <w:numPr>
          <w:ilvl w:val="0"/>
          <w:numId w:val="24"/>
        </w:numPr>
        <w:bidi/>
        <w:ind w:left="0" w:firstLine="0"/>
        <w:rPr>
          <w:sz w:val="26"/>
          <w:szCs w:val="26"/>
        </w:rPr>
      </w:pPr>
      <w:r w:rsidRPr="00D71E96">
        <w:rPr>
          <w:sz w:val="26"/>
          <w:szCs w:val="26"/>
          <w:rtl/>
        </w:rPr>
        <w:t>قدم</w:t>
      </w:r>
      <w:r w:rsidR="00763B59">
        <w:rPr>
          <w:rFonts w:hint="cs"/>
          <w:sz w:val="26"/>
          <w:szCs w:val="26"/>
          <w:rtl/>
        </w:rPr>
        <w:t>ت</w:t>
      </w:r>
      <w:r w:rsidRPr="00D71E96">
        <w:rPr>
          <w:sz w:val="26"/>
          <w:szCs w:val="26"/>
          <w:rtl/>
        </w:rPr>
        <w:t xml:space="preserve"> ممثل</w:t>
      </w:r>
      <w:r w:rsidR="00763B59">
        <w:rPr>
          <w:rFonts w:hint="cs"/>
          <w:sz w:val="26"/>
          <w:szCs w:val="26"/>
          <w:rtl/>
        </w:rPr>
        <w:t>ة</w:t>
      </w:r>
      <w:r w:rsidRPr="00D71E96">
        <w:rPr>
          <w:sz w:val="26"/>
          <w:szCs w:val="26"/>
          <w:rtl/>
        </w:rPr>
        <w:t xml:space="preserve"> الأمانة الوثيقة </w:t>
      </w:r>
      <w:r w:rsidRPr="007972FD">
        <w:rPr>
          <w:szCs w:val="24"/>
        </w:rPr>
        <w:t>UNEP/</w:t>
      </w:r>
      <w:proofErr w:type="spellStart"/>
      <w:r w:rsidRPr="007972FD">
        <w:rPr>
          <w:szCs w:val="24"/>
        </w:rPr>
        <w:t>OzL.Pro</w:t>
      </w:r>
      <w:proofErr w:type="spellEnd"/>
      <w:r w:rsidRPr="007972FD">
        <w:rPr>
          <w:szCs w:val="24"/>
        </w:rPr>
        <w:t>/ExCom/</w:t>
      </w:r>
      <w:r w:rsidR="00763B59" w:rsidRPr="007972FD">
        <w:rPr>
          <w:szCs w:val="24"/>
        </w:rPr>
        <w:t>92</w:t>
      </w:r>
      <w:r w:rsidRPr="007972FD">
        <w:rPr>
          <w:szCs w:val="24"/>
        </w:rPr>
        <w:t>/SGP/2</w:t>
      </w:r>
      <w:r w:rsidRPr="00D71E96">
        <w:rPr>
          <w:sz w:val="26"/>
          <w:szCs w:val="26"/>
          <w:rtl/>
        </w:rPr>
        <w:t xml:space="preserve">، التي تعرض </w:t>
      </w:r>
      <w:r w:rsidR="00763B59" w:rsidRPr="00E55891">
        <w:rPr>
          <w:sz w:val="26"/>
          <w:szCs w:val="26"/>
          <w:rtl/>
        </w:rPr>
        <w:t>تقرير التحقق للفترة 2020-2021 بشأن تجار المواد الهيدروكلوروفلوروكربونية في الصين</w:t>
      </w:r>
      <w:r w:rsidR="00763B59">
        <w:rPr>
          <w:rFonts w:hint="cs"/>
          <w:sz w:val="26"/>
          <w:szCs w:val="26"/>
          <w:rtl/>
        </w:rPr>
        <w:t xml:space="preserve"> (المقرر 91/71(ب)(2)</w:t>
      </w:r>
      <w:r w:rsidR="007972FD">
        <w:rPr>
          <w:rFonts w:hint="cs"/>
          <w:sz w:val="26"/>
          <w:szCs w:val="26"/>
          <w:rtl/>
        </w:rPr>
        <w:t>)</w:t>
      </w:r>
      <w:r w:rsidRPr="00D71E96">
        <w:rPr>
          <w:sz w:val="26"/>
          <w:szCs w:val="26"/>
          <w:rtl/>
        </w:rPr>
        <w:t xml:space="preserve">. </w:t>
      </w:r>
      <w:r w:rsidR="00763B59">
        <w:rPr>
          <w:rFonts w:hint="cs"/>
          <w:sz w:val="26"/>
          <w:szCs w:val="26"/>
          <w:rtl/>
        </w:rPr>
        <w:t>وقالت إن</w:t>
      </w:r>
      <w:r w:rsidR="00DA7ECC">
        <w:rPr>
          <w:rFonts w:hint="cs"/>
          <w:sz w:val="26"/>
          <w:szCs w:val="26"/>
          <w:rtl/>
        </w:rPr>
        <w:t xml:space="preserve"> التقرير ق</w:t>
      </w:r>
      <w:r w:rsidR="007972FD">
        <w:rPr>
          <w:rFonts w:hint="cs"/>
          <w:sz w:val="26"/>
          <w:szCs w:val="26"/>
          <w:rtl/>
        </w:rPr>
        <w:t>ُ</w:t>
      </w:r>
      <w:r w:rsidR="00DA7ECC">
        <w:rPr>
          <w:rFonts w:hint="cs"/>
          <w:sz w:val="26"/>
          <w:szCs w:val="26"/>
          <w:rtl/>
        </w:rPr>
        <w:t>دم استجابة للمقرر 91/71(ب)(2). وتمثل الغرض من التحقق في اكتساب فهم كامل لتجار المواد الهيد</w:t>
      </w:r>
      <w:r w:rsidR="007972FD">
        <w:rPr>
          <w:rFonts w:hint="cs"/>
          <w:sz w:val="26"/>
          <w:szCs w:val="26"/>
          <w:rtl/>
        </w:rPr>
        <w:t>روكلوروفلوروكربونية ومبيعاتهم لهذه ال</w:t>
      </w:r>
      <w:r w:rsidR="00DA7ECC">
        <w:rPr>
          <w:rFonts w:hint="cs"/>
          <w:sz w:val="26"/>
          <w:szCs w:val="26"/>
          <w:rtl/>
        </w:rPr>
        <w:t xml:space="preserve">مواد، والتحقق </w:t>
      </w:r>
      <w:r w:rsidR="007972FD">
        <w:rPr>
          <w:rFonts w:hint="cs"/>
          <w:sz w:val="26"/>
          <w:szCs w:val="26"/>
          <w:rtl/>
        </w:rPr>
        <w:t>عن ما إذا كان هناك أي إعادة بيع ل</w:t>
      </w:r>
      <w:r w:rsidR="00C0282C">
        <w:rPr>
          <w:rFonts w:hint="cs"/>
          <w:sz w:val="26"/>
          <w:szCs w:val="26"/>
          <w:rtl/>
        </w:rPr>
        <w:t>لمواد الوسيطة ل</w:t>
      </w:r>
      <w:r w:rsidR="007972FD">
        <w:rPr>
          <w:rFonts w:hint="cs"/>
          <w:sz w:val="26"/>
          <w:szCs w:val="26"/>
          <w:rtl/>
        </w:rPr>
        <w:t>لهيدروكلوروفلوروكربون كاستخدام خاضع للرقابة من جانب التجار؛ والتنبؤ بمبيعات التجار من المواد الهيدروكلوروفلوروكربونية في الفترة 2022-2024؛ وتقديم اقتراحات لتعزيز إدارة مشتريات ومبيعات الهيدروكلوروفلوروكربون</w:t>
      </w:r>
      <w:r w:rsidR="00DA7ECC">
        <w:rPr>
          <w:rFonts w:hint="cs"/>
          <w:sz w:val="26"/>
          <w:szCs w:val="26"/>
          <w:rtl/>
        </w:rPr>
        <w:t xml:space="preserve"> </w:t>
      </w:r>
      <w:r w:rsidR="007972FD">
        <w:rPr>
          <w:rFonts w:hint="cs"/>
          <w:sz w:val="26"/>
          <w:szCs w:val="26"/>
          <w:rtl/>
        </w:rPr>
        <w:t xml:space="preserve">من جانب التجار. ولوحظ </w:t>
      </w:r>
      <w:r w:rsidR="005E0B7D">
        <w:rPr>
          <w:rFonts w:hint="cs"/>
          <w:sz w:val="26"/>
          <w:szCs w:val="26"/>
          <w:rtl/>
        </w:rPr>
        <w:t>أن التحقق لم ي</w:t>
      </w:r>
      <w:r w:rsidR="007972FD">
        <w:rPr>
          <w:rFonts w:hint="cs"/>
          <w:sz w:val="26"/>
          <w:szCs w:val="26"/>
          <w:rtl/>
        </w:rPr>
        <w:t>كشف أي إعادة بيع ل</w:t>
      </w:r>
      <w:r w:rsidR="00C0282C">
        <w:rPr>
          <w:rFonts w:hint="cs"/>
          <w:sz w:val="26"/>
          <w:szCs w:val="26"/>
          <w:rtl/>
        </w:rPr>
        <w:t>لمواد الوسيطة</w:t>
      </w:r>
      <w:r w:rsidR="007972FD">
        <w:rPr>
          <w:rFonts w:hint="cs"/>
          <w:sz w:val="26"/>
          <w:szCs w:val="26"/>
          <w:rtl/>
        </w:rPr>
        <w:t xml:space="preserve"> </w:t>
      </w:r>
      <w:r w:rsidR="00C0282C">
        <w:rPr>
          <w:rFonts w:hint="cs"/>
          <w:sz w:val="26"/>
          <w:szCs w:val="26"/>
          <w:rtl/>
        </w:rPr>
        <w:t>ل</w:t>
      </w:r>
      <w:r w:rsidR="007972FD">
        <w:rPr>
          <w:rFonts w:hint="cs"/>
          <w:sz w:val="26"/>
          <w:szCs w:val="26"/>
          <w:rtl/>
        </w:rPr>
        <w:t>لهيدروكلورفلوروكربون لغرض الاستخدام الخاضع للرقابة، و</w:t>
      </w:r>
      <w:r w:rsidR="005E0B7D">
        <w:rPr>
          <w:rFonts w:hint="cs"/>
          <w:sz w:val="26"/>
          <w:szCs w:val="26"/>
          <w:rtl/>
        </w:rPr>
        <w:t xml:space="preserve">يبدو </w:t>
      </w:r>
      <w:r w:rsidR="00C0282C">
        <w:rPr>
          <w:rFonts w:hint="cs"/>
          <w:sz w:val="26"/>
          <w:szCs w:val="26"/>
          <w:rtl/>
        </w:rPr>
        <w:t>وجود نظام قوي</w:t>
      </w:r>
      <w:r w:rsidR="007972FD">
        <w:rPr>
          <w:rFonts w:hint="cs"/>
          <w:sz w:val="26"/>
          <w:szCs w:val="26"/>
          <w:rtl/>
        </w:rPr>
        <w:t xml:space="preserve"> لإدارة مبيعات المواد الهيدروكلوروفلوروكربونية لضمان عدم </w:t>
      </w:r>
      <w:r w:rsidR="005E0B7D">
        <w:rPr>
          <w:rFonts w:hint="cs"/>
          <w:sz w:val="26"/>
          <w:szCs w:val="26"/>
          <w:rtl/>
        </w:rPr>
        <w:t>تحويل</w:t>
      </w:r>
      <w:r w:rsidR="007972FD">
        <w:rPr>
          <w:rFonts w:hint="cs"/>
          <w:sz w:val="26"/>
          <w:szCs w:val="26"/>
          <w:rtl/>
        </w:rPr>
        <w:t xml:space="preserve"> ال</w:t>
      </w:r>
      <w:r w:rsidR="00C0282C">
        <w:rPr>
          <w:rFonts w:hint="cs"/>
          <w:sz w:val="26"/>
          <w:szCs w:val="26"/>
          <w:rtl/>
        </w:rPr>
        <w:t>مواد الوسيطة</w:t>
      </w:r>
      <w:r w:rsidR="007972FD">
        <w:rPr>
          <w:rFonts w:hint="cs"/>
          <w:sz w:val="26"/>
          <w:szCs w:val="26"/>
          <w:rtl/>
        </w:rPr>
        <w:t xml:space="preserve"> لغرض الاستخدام الخاضع للرقابة. وحدد التقرير خمسة تدابير موصى بها لتحسين إدارة الهيدروكلوروفلوروكربون عند التجار</w:t>
      </w:r>
      <w:r w:rsidRPr="00D71E96">
        <w:rPr>
          <w:sz w:val="26"/>
          <w:szCs w:val="26"/>
          <w:rtl/>
        </w:rPr>
        <w:t>.</w:t>
      </w:r>
    </w:p>
    <w:p w14:paraId="5BDCF89F" w14:textId="77777777" w:rsidR="003C0CEB" w:rsidRPr="00D71E96" w:rsidRDefault="007972FD" w:rsidP="00351C14">
      <w:pPr>
        <w:pStyle w:val="Heading1"/>
        <w:numPr>
          <w:ilvl w:val="0"/>
          <w:numId w:val="24"/>
        </w:numPr>
        <w:bidi/>
        <w:ind w:left="0" w:firstLine="0"/>
        <w:rPr>
          <w:sz w:val="26"/>
          <w:szCs w:val="26"/>
          <w:lang w:val="en-US"/>
        </w:rPr>
      </w:pPr>
      <w:r>
        <w:rPr>
          <w:rFonts w:hint="cs"/>
          <w:sz w:val="26"/>
          <w:szCs w:val="26"/>
          <w:rtl/>
          <w:lang w:val="en-US"/>
        </w:rPr>
        <w:t>و</w:t>
      </w:r>
      <w:r w:rsidR="003C0CEB" w:rsidRPr="00D71E96">
        <w:rPr>
          <w:sz w:val="26"/>
          <w:szCs w:val="26"/>
          <w:rtl/>
          <w:lang w:val="en-US"/>
        </w:rPr>
        <w:t xml:space="preserve">في المناقشة التالية، تم الإعراب عن التقدير </w:t>
      </w:r>
      <w:r w:rsidR="00351C14">
        <w:rPr>
          <w:rFonts w:hint="cs"/>
          <w:sz w:val="26"/>
          <w:szCs w:val="26"/>
          <w:rtl/>
          <w:lang w:val="en-US"/>
        </w:rPr>
        <w:t>ل</w:t>
      </w:r>
      <w:r w:rsidR="003C0CEB" w:rsidRPr="00D71E96">
        <w:rPr>
          <w:sz w:val="26"/>
          <w:szCs w:val="26"/>
          <w:rtl/>
          <w:lang w:val="en-US"/>
        </w:rPr>
        <w:t>حكومة الصين</w:t>
      </w:r>
      <w:r w:rsidR="005E0B7D">
        <w:rPr>
          <w:rFonts w:hint="cs"/>
          <w:sz w:val="26"/>
          <w:szCs w:val="26"/>
          <w:rtl/>
          <w:lang w:val="en-US"/>
        </w:rPr>
        <w:t xml:space="preserve"> والبنك الدولي</w:t>
      </w:r>
      <w:r w:rsidR="003C0CEB" w:rsidRPr="00D71E96">
        <w:rPr>
          <w:sz w:val="26"/>
          <w:szCs w:val="26"/>
          <w:rtl/>
          <w:lang w:val="en-US"/>
        </w:rPr>
        <w:t xml:space="preserve"> </w:t>
      </w:r>
      <w:r w:rsidR="00351C14">
        <w:rPr>
          <w:rFonts w:hint="cs"/>
          <w:sz w:val="26"/>
          <w:szCs w:val="26"/>
          <w:rtl/>
          <w:lang w:val="en-US"/>
        </w:rPr>
        <w:t>على ا</w:t>
      </w:r>
      <w:r w:rsidR="00C8241E">
        <w:rPr>
          <w:rFonts w:hint="cs"/>
          <w:sz w:val="26"/>
          <w:szCs w:val="26"/>
          <w:rtl/>
          <w:lang w:val="en-US"/>
        </w:rPr>
        <w:t xml:space="preserve">لتقرير عن للتحقق من تجار الهيدروكلوروفلوروكربون في الصين. وطلب أحد الأعضاء، ملاحظا أن التحقق استهدف أساسا السوق المحلي، معلومات عن كيفية إدارة </w:t>
      </w:r>
      <w:r w:rsidR="004D3807">
        <w:rPr>
          <w:rFonts w:hint="cs"/>
          <w:sz w:val="26"/>
          <w:szCs w:val="26"/>
          <w:rtl/>
          <w:lang w:val="en-US"/>
        </w:rPr>
        <w:t>التجار ل</w:t>
      </w:r>
      <w:r w:rsidR="00C8241E">
        <w:rPr>
          <w:rFonts w:hint="cs"/>
          <w:sz w:val="26"/>
          <w:szCs w:val="26"/>
          <w:rtl/>
          <w:lang w:val="en-US"/>
        </w:rPr>
        <w:t xml:space="preserve">تصدير </w:t>
      </w:r>
      <w:r w:rsidR="00351C14">
        <w:rPr>
          <w:rFonts w:hint="cs"/>
          <w:sz w:val="26"/>
          <w:szCs w:val="26"/>
          <w:rtl/>
          <w:lang w:val="en-US"/>
        </w:rPr>
        <w:t>المواد الوسيطة ل</w:t>
      </w:r>
      <w:r w:rsidR="00C8241E">
        <w:rPr>
          <w:rFonts w:hint="cs"/>
          <w:sz w:val="26"/>
          <w:szCs w:val="26"/>
          <w:rtl/>
          <w:lang w:val="en-US"/>
        </w:rPr>
        <w:t xml:space="preserve">لهيدروكلوروفلوروكربون. وردت ممثلة الأمانة أن رصد التصدير كان قد أجري بما يتمشى مع اللوائح الوطنية في الصين، </w:t>
      </w:r>
      <w:r w:rsidR="00351C14">
        <w:rPr>
          <w:rFonts w:hint="cs"/>
          <w:sz w:val="26"/>
          <w:szCs w:val="26"/>
          <w:rtl/>
          <w:lang w:val="en-US"/>
        </w:rPr>
        <w:t>حيث</w:t>
      </w:r>
      <w:r w:rsidR="00C8241E">
        <w:rPr>
          <w:rFonts w:hint="cs"/>
          <w:sz w:val="26"/>
          <w:szCs w:val="26"/>
          <w:rtl/>
          <w:lang w:val="en-US"/>
        </w:rPr>
        <w:t xml:space="preserve"> </w:t>
      </w:r>
      <w:r w:rsidR="00374EDB">
        <w:rPr>
          <w:rFonts w:hint="cs"/>
          <w:sz w:val="26"/>
          <w:szCs w:val="26"/>
          <w:rtl/>
          <w:lang w:val="en-US"/>
        </w:rPr>
        <w:t xml:space="preserve">قدم التجار المتوقعون طلبا لمكتب الإستيراد- التصدير للموافقة عليه، وبعد ذلك </w:t>
      </w:r>
      <w:r w:rsidR="004D3807">
        <w:rPr>
          <w:rFonts w:hint="cs"/>
          <w:sz w:val="26"/>
          <w:szCs w:val="26"/>
          <w:rtl/>
          <w:lang w:val="en-US"/>
        </w:rPr>
        <w:t xml:space="preserve">ستصدر </w:t>
      </w:r>
      <w:r w:rsidR="00374EDB">
        <w:rPr>
          <w:rFonts w:hint="cs"/>
          <w:sz w:val="26"/>
          <w:szCs w:val="26"/>
          <w:rtl/>
          <w:lang w:val="en-US"/>
        </w:rPr>
        <w:t xml:space="preserve">إدارة الجمارك الترخيص وإقرار الجمارك. وكان على المنتجين تقديم </w:t>
      </w:r>
      <w:r w:rsidR="00351C14">
        <w:rPr>
          <w:rFonts w:hint="cs"/>
          <w:sz w:val="26"/>
          <w:szCs w:val="26"/>
          <w:rtl/>
          <w:lang w:val="en-US"/>
        </w:rPr>
        <w:t>أ</w:t>
      </w:r>
      <w:r w:rsidR="00374EDB">
        <w:rPr>
          <w:rFonts w:hint="cs"/>
          <w:sz w:val="26"/>
          <w:szCs w:val="26"/>
          <w:rtl/>
          <w:lang w:val="en-US"/>
        </w:rPr>
        <w:t xml:space="preserve">دلة </w:t>
      </w:r>
      <w:r w:rsidR="00351C14">
        <w:rPr>
          <w:rFonts w:hint="cs"/>
          <w:sz w:val="26"/>
          <w:szCs w:val="26"/>
          <w:rtl/>
          <w:lang w:val="en-US"/>
        </w:rPr>
        <w:t xml:space="preserve">على </w:t>
      </w:r>
      <w:r w:rsidR="00374EDB">
        <w:rPr>
          <w:rFonts w:hint="cs"/>
          <w:sz w:val="26"/>
          <w:szCs w:val="26"/>
          <w:rtl/>
          <w:lang w:val="en-US"/>
        </w:rPr>
        <w:t>أن المبيعات كانت للمواد ال</w:t>
      </w:r>
      <w:r w:rsidR="00351C14">
        <w:rPr>
          <w:rFonts w:hint="cs"/>
          <w:sz w:val="26"/>
          <w:szCs w:val="26"/>
          <w:rtl/>
          <w:lang w:val="en-US"/>
        </w:rPr>
        <w:t>وسيط</w:t>
      </w:r>
      <w:r w:rsidR="00374EDB">
        <w:rPr>
          <w:rFonts w:hint="cs"/>
          <w:sz w:val="26"/>
          <w:szCs w:val="26"/>
          <w:rtl/>
          <w:lang w:val="en-US"/>
        </w:rPr>
        <w:t xml:space="preserve">ة أو للاستخدام الخاضع للرقابة. ويمكن أن تكون مثل هذه الأدلة </w:t>
      </w:r>
      <w:r w:rsidR="004D3807">
        <w:rPr>
          <w:rFonts w:hint="cs"/>
          <w:sz w:val="26"/>
          <w:szCs w:val="26"/>
          <w:rtl/>
          <w:lang w:val="en-US"/>
        </w:rPr>
        <w:t xml:space="preserve">في شكل </w:t>
      </w:r>
      <w:r w:rsidR="00374EDB">
        <w:rPr>
          <w:rFonts w:hint="cs"/>
          <w:sz w:val="26"/>
          <w:szCs w:val="26"/>
          <w:rtl/>
          <w:lang w:val="en-US"/>
        </w:rPr>
        <w:t xml:space="preserve">عقد مبيعات من المنتج أو بيانات من المستوردين عن طبيعة الاستيراد، </w:t>
      </w:r>
      <w:r w:rsidR="004D3807">
        <w:rPr>
          <w:rFonts w:hint="cs"/>
          <w:sz w:val="26"/>
          <w:szCs w:val="26"/>
          <w:rtl/>
          <w:lang w:val="en-US"/>
        </w:rPr>
        <w:t>وقام</w:t>
      </w:r>
      <w:r w:rsidR="00374EDB">
        <w:rPr>
          <w:rFonts w:hint="cs"/>
          <w:sz w:val="26"/>
          <w:szCs w:val="26"/>
          <w:rtl/>
          <w:lang w:val="en-US"/>
        </w:rPr>
        <w:t xml:space="preserve"> مكتب الاستيراد- التصدير </w:t>
      </w:r>
      <w:r w:rsidR="004D3807">
        <w:rPr>
          <w:rFonts w:hint="cs"/>
          <w:sz w:val="26"/>
          <w:szCs w:val="26"/>
          <w:rtl/>
          <w:lang w:val="en-US"/>
        </w:rPr>
        <w:t>بتسجيل ا</w:t>
      </w:r>
      <w:r w:rsidR="00374EDB">
        <w:rPr>
          <w:rFonts w:hint="cs"/>
          <w:sz w:val="26"/>
          <w:szCs w:val="26"/>
          <w:rtl/>
          <w:lang w:val="en-US"/>
        </w:rPr>
        <w:t>لبيانات ذات الصلة. وأضاف ممثل البن</w:t>
      </w:r>
      <w:r w:rsidR="004D3807">
        <w:rPr>
          <w:rFonts w:hint="cs"/>
          <w:sz w:val="26"/>
          <w:szCs w:val="26"/>
          <w:rtl/>
          <w:lang w:val="en-US"/>
        </w:rPr>
        <w:t>ك</w:t>
      </w:r>
      <w:r w:rsidR="00374EDB">
        <w:rPr>
          <w:rFonts w:hint="cs"/>
          <w:sz w:val="26"/>
          <w:szCs w:val="26"/>
          <w:rtl/>
          <w:lang w:val="en-US"/>
        </w:rPr>
        <w:t xml:space="preserve"> الدولي أن التحقق المستقل بواسطة البن</w:t>
      </w:r>
      <w:r w:rsidR="004D3807">
        <w:rPr>
          <w:rFonts w:hint="cs"/>
          <w:sz w:val="26"/>
          <w:szCs w:val="26"/>
          <w:rtl/>
          <w:lang w:val="en-US"/>
        </w:rPr>
        <w:t>ك</w:t>
      </w:r>
      <w:r w:rsidR="00374EDB">
        <w:rPr>
          <w:rFonts w:hint="cs"/>
          <w:sz w:val="26"/>
          <w:szCs w:val="26"/>
          <w:rtl/>
          <w:lang w:val="en-US"/>
        </w:rPr>
        <w:t xml:space="preserve"> الدولي حصل على سجلات التصدير من المنتجين و</w:t>
      </w:r>
      <w:r w:rsidR="004D3807">
        <w:rPr>
          <w:rFonts w:hint="cs"/>
          <w:sz w:val="26"/>
          <w:szCs w:val="26"/>
          <w:rtl/>
          <w:lang w:val="en-US"/>
        </w:rPr>
        <w:t>قارن تلك المعلومات بالبيانات المقدمة من مكتب الاستيراد- التصدير من أجل ضمان الاتساق. وقد انخفضت أي اختلافات ناشئة بدرجة ملحوظة على مدى السنوات القليلة السابقة وهي الآن اختلافات طفيفة.</w:t>
      </w:r>
    </w:p>
    <w:p w14:paraId="5BDCF8A0" w14:textId="77777777" w:rsidR="003C0CEB" w:rsidRPr="00D71E96" w:rsidRDefault="00CF190E" w:rsidP="00351C14">
      <w:pPr>
        <w:pStyle w:val="Heading1"/>
        <w:numPr>
          <w:ilvl w:val="0"/>
          <w:numId w:val="24"/>
        </w:numPr>
        <w:bidi/>
        <w:ind w:left="0" w:firstLine="0"/>
        <w:rPr>
          <w:sz w:val="26"/>
          <w:szCs w:val="26"/>
          <w:lang w:val="en-US"/>
        </w:rPr>
      </w:pPr>
      <w:r>
        <w:rPr>
          <w:rFonts w:hint="cs"/>
          <w:sz w:val="26"/>
          <w:szCs w:val="26"/>
          <w:rtl/>
          <w:lang w:val="en-US"/>
        </w:rPr>
        <w:t>وبالنسبة ل</w:t>
      </w:r>
      <w:r w:rsidR="004D3807">
        <w:rPr>
          <w:rFonts w:hint="cs"/>
          <w:sz w:val="26"/>
          <w:szCs w:val="26"/>
          <w:rtl/>
          <w:lang w:val="en-US"/>
        </w:rPr>
        <w:t xml:space="preserve">مسألة التوصيات الخمس المحددة في الفقرة 21 من الوثيقة </w:t>
      </w:r>
      <w:r w:rsidR="00CD5AA1" w:rsidRPr="00CD5AA1">
        <w:rPr>
          <w:szCs w:val="24"/>
        </w:rPr>
        <w:t>UNEP/</w:t>
      </w:r>
      <w:proofErr w:type="spellStart"/>
      <w:r w:rsidR="00CD5AA1" w:rsidRPr="00CD5AA1">
        <w:rPr>
          <w:szCs w:val="24"/>
        </w:rPr>
        <w:t>OzL.Pro</w:t>
      </w:r>
      <w:proofErr w:type="spellEnd"/>
      <w:r w:rsidR="00CD5AA1" w:rsidRPr="00CD5AA1">
        <w:rPr>
          <w:szCs w:val="24"/>
        </w:rPr>
        <w:t>/ExCom/92/SGP/</w:t>
      </w:r>
      <w:r w:rsidR="00CD5AA1">
        <w:rPr>
          <w:szCs w:val="24"/>
        </w:rPr>
        <w:t>2</w:t>
      </w:r>
      <w:r w:rsidR="004D3807">
        <w:rPr>
          <w:rFonts w:hint="cs"/>
          <w:sz w:val="26"/>
          <w:szCs w:val="26"/>
          <w:rtl/>
          <w:lang w:val="en-US"/>
        </w:rPr>
        <w:t>، طلب العديد من</w:t>
      </w:r>
      <w:r w:rsidR="003C0CEB" w:rsidRPr="00D71E96">
        <w:rPr>
          <w:sz w:val="26"/>
          <w:szCs w:val="26"/>
          <w:rtl/>
          <w:lang w:val="en-US"/>
        </w:rPr>
        <w:t xml:space="preserve"> الأعضاء </w:t>
      </w:r>
      <w:r w:rsidR="004D3807">
        <w:rPr>
          <w:rFonts w:hint="cs"/>
          <w:sz w:val="26"/>
          <w:szCs w:val="26"/>
          <w:rtl/>
          <w:lang w:val="en-US"/>
        </w:rPr>
        <w:t>توضيحات</w:t>
      </w:r>
      <w:r w:rsidR="003C0CEB" w:rsidRPr="00D71E96">
        <w:rPr>
          <w:sz w:val="26"/>
          <w:szCs w:val="26"/>
          <w:rtl/>
          <w:lang w:val="en-US"/>
        </w:rPr>
        <w:t xml:space="preserve"> </w:t>
      </w:r>
      <w:r w:rsidR="004D3807">
        <w:rPr>
          <w:rFonts w:hint="cs"/>
          <w:sz w:val="26"/>
          <w:szCs w:val="26"/>
          <w:rtl/>
          <w:lang w:val="en-US"/>
        </w:rPr>
        <w:t>عن طريقة المضي قدما، بما في ذلك الشكل الذي ينبغي أن تتخذه المتابعة والاستجابة من حكومة الصين، وكيفية الإبلاغ عن أي تطورات</w:t>
      </w:r>
      <w:r w:rsidR="003C0CEB" w:rsidRPr="00D71E96">
        <w:rPr>
          <w:sz w:val="26"/>
          <w:szCs w:val="26"/>
          <w:rtl/>
          <w:lang w:val="en-US"/>
        </w:rPr>
        <w:t>.</w:t>
      </w:r>
      <w:r w:rsidR="004D3807">
        <w:rPr>
          <w:rFonts w:hint="cs"/>
          <w:sz w:val="26"/>
          <w:szCs w:val="26"/>
          <w:rtl/>
          <w:lang w:val="en-US"/>
        </w:rPr>
        <w:t xml:space="preserve"> وقال ممثل الصين إن تقرير التحقق </w:t>
      </w:r>
      <w:r>
        <w:rPr>
          <w:rFonts w:hint="cs"/>
          <w:sz w:val="26"/>
          <w:szCs w:val="26"/>
          <w:rtl/>
          <w:lang w:val="en-US"/>
        </w:rPr>
        <w:t xml:space="preserve">طرح مقترحات مفيدة للغاية </w:t>
      </w:r>
      <w:r w:rsidR="00351C14">
        <w:rPr>
          <w:rFonts w:hint="cs"/>
          <w:sz w:val="26"/>
          <w:szCs w:val="26"/>
          <w:rtl/>
          <w:lang w:val="en-US"/>
        </w:rPr>
        <w:t>س</w:t>
      </w:r>
      <w:r>
        <w:rPr>
          <w:rFonts w:hint="cs"/>
          <w:sz w:val="26"/>
          <w:szCs w:val="26"/>
          <w:rtl/>
          <w:lang w:val="en-US"/>
        </w:rPr>
        <w:t>تنظر فيها الحكومة عند إدارة المبيعات المحلية للمواد المستنفدة للأوزون. ونظر الفريق الفرعي في التغييرات الممكنة للتوصيات التي اقترحتها الأمانة، بما في ذلك الحاجة إلى ضمان أن تراعي التوصيات الواردة في التقرير الإطار المؤسسي والأدوار المطبقة للحكومة في إدارة المواد المستنفدة للأوزون.</w:t>
      </w:r>
    </w:p>
    <w:p w14:paraId="5BDCF8A1" w14:textId="77777777" w:rsidR="00CF190E" w:rsidRDefault="00CF190E" w:rsidP="00CD5AA1">
      <w:pPr>
        <w:pStyle w:val="Heading1"/>
        <w:numPr>
          <w:ilvl w:val="0"/>
          <w:numId w:val="24"/>
        </w:numPr>
        <w:bidi/>
        <w:ind w:left="0" w:firstLine="0"/>
        <w:rPr>
          <w:sz w:val="26"/>
          <w:szCs w:val="26"/>
        </w:rPr>
      </w:pPr>
      <w:r>
        <w:rPr>
          <w:rFonts w:hint="cs"/>
          <w:sz w:val="26"/>
          <w:szCs w:val="26"/>
          <w:rtl/>
        </w:rPr>
        <w:t>وبناء عليه، وعقب مشاورات غير رسمية بواسطة أعضاء الفريق الفرعي، نظر الفريق الفرعي في مشروع توصية منقح.</w:t>
      </w:r>
    </w:p>
    <w:p w14:paraId="5BDCF8A2" w14:textId="77777777" w:rsidR="00CF190E" w:rsidRDefault="00CF190E" w:rsidP="00CD5AA1">
      <w:pPr>
        <w:pStyle w:val="Heading1"/>
        <w:numPr>
          <w:ilvl w:val="0"/>
          <w:numId w:val="24"/>
        </w:numPr>
        <w:bidi/>
        <w:ind w:left="0" w:firstLine="0"/>
        <w:rPr>
          <w:sz w:val="26"/>
          <w:szCs w:val="26"/>
        </w:rPr>
      </w:pPr>
      <w:r>
        <w:rPr>
          <w:rFonts w:hint="cs"/>
          <w:sz w:val="26"/>
          <w:szCs w:val="26"/>
          <w:rtl/>
        </w:rPr>
        <w:t>وأوصى الفريق الفرعي المعني بقطاع الإنتاج اللجنة التنفيذية بما يلي:</w:t>
      </w:r>
    </w:p>
    <w:p w14:paraId="5BDCF8A3" w14:textId="77777777" w:rsidR="00CF190E" w:rsidRDefault="00CF190E" w:rsidP="00CD5AA1">
      <w:pPr>
        <w:pStyle w:val="Heading1"/>
        <w:numPr>
          <w:ilvl w:val="0"/>
          <w:numId w:val="25"/>
        </w:numPr>
        <w:bidi/>
        <w:ind w:left="1440" w:hanging="720"/>
        <w:rPr>
          <w:sz w:val="26"/>
          <w:szCs w:val="26"/>
        </w:rPr>
      </w:pPr>
      <w:r>
        <w:rPr>
          <w:rFonts w:hint="cs"/>
          <w:sz w:val="26"/>
          <w:szCs w:val="26"/>
          <w:rtl/>
        </w:rPr>
        <w:t xml:space="preserve">الإحاطة علما بالتقرير عن التحقق من تجار </w:t>
      </w:r>
      <w:r w:rsidR="00CD5AA1">
        <w:rPr>
          <w:rFonts w:hint="cs"/>
          <w:sz w:val="26"/>
          <w:szCs w:val="26"/>
          <w:rtl/>
        </w:rPr>
        <w:t>المواد الهيدروكلوروفلوروكربونية في الصين في عامي 2020 و2021، المقدم من حكومة الصين من خلال البنك الدولي</w:t>
      </w:r>
      <w:r>
        <w:rPr>
          <w:rFonts w:hint="cs"/>
          <w:sz w:val="26"/>
          <w:szCs w:val="26"/>
          <w:rtl/>
        </w:rPr>
        <w:t>؛</w:t>
      </w:r>
    </w:p>
    <w:p w14:paraId="5BDCF8A4" w14:textId="77777777" w:rsidR="00CF190E" w:rsidRDefault="00CD5AA1" w:rsidP="00CD5AA1">
      <w:pPr>
        <w:pStyle w:val="Heading1"/>
        <w:numPr>
          <w:ilvl w:val="0"/>
          <w:numId w:val="25"/>
        </w:numPr>
        <w:bidi/>
        <w:ind w:left="1440" w:hanging="720"/>
        <w:rPr>
          <w:sz w:val="26"/>
          <w:szCs w:val="26"/>
        </w:rPr>
      </w:pPr>
      <w:r>
        <w:rPr>
          <w:rFonts w:hint="cs"/>
          <w:sz w:val="26"/>
          <w:szCs w:val="26"/>
          <w:rtl/>
        </w:rPr>
        <w:t>دعوة حكومة الصين، من خلال البنك الدولي، إلى إدراج معلومات عن الأنشطة التي نفذتها الحكومة أو التي ستتخذها نحو تنفيذ التوصيات الواردة في تقرير التحقق وذلك في التقرير المرحلي للشريحة الثانية، عند تقديم الشريحة الثالثة من خطة إدارة إزالة قطاع إنتاج الهيدروكلوروفلوروكربون</w:t>
      </w:r>
      <w:r w:rsidR="00CF190E">
        <w:rPr>
          <w:rFonts w:hint="cs"/>
          <w:sz w:val="26"/>
          <w:szCs w:val="26"/>
          <w:rtl/>
        </w:rPr>
        <w:t>.</w:t>
      </w:r>
    </w:p>
    <w:p w14:paraId="5BDCF8A5" w14:textId="77777777" w:rsidR="0080735F" w:rsidRPr="003638D3" w:rsidRDefault="00CD5AA1" w:rsidP="003638D3">
      <w:pPr>
        <w:pStyle w:val="Heading1"/>
        <w:numPr>
          <w:ilvl w:val="0"/>
          <w:numId w:val="0"/>
        </w:numPr>
        <w:bidi/>
        <w:ind w:left="2430" w:hanging="2430"/>
        <w:rPr>
          <w:b/>
          <w:bCs/>
          <w:sz w:val="26"/>
          <w:szCs w:val="26"/>
          <w:rtl/>
          <w:lang w:bidi="ar-EG"/>
        </w:rPr>
      </w:pPr>
      <w:r w:rsidRPr="0080735F">
        <w:rPr>
          <w:rFonts w:hint="cs"/>
          <w:b/>
          <w:bCs/>
          <w:sz w:val="26"/>
          <w:szCs w:val="26"/>
          <w:rtl/>
        </w:rPr>
        <w:lastRenderedPageBreak/>
        <w:t>البند 4 من جدول الأعمال:</w:t>
      </w:r>
      <w:r w:rsidRPr="0080735F">
        <w:rPr>
          <w:rFonts w:hint="cs"/>
          <w:b/>
          <w:bCs/>
          <w:sz w:val="26"/>
          <w:szCs w:val="26"/>
          <w:rtl/>
        </w:rPr>
        <w:tab/>
      </w:r>
      <w:r w:rsidRPr="0080735F">
        <w:rPr>
          <w:b/>
          <w:bCs/>
          <w:sz w:val="26"/>
          <w:szCs w:val="26"/>
          <w:rtl/>
          <w:lang w:bidi="ar-EG"/>
        </w:rPr>
        <w:t>مشروع المبادئ التوجيهية والنموذج القياسي المستخدم للتحقق من إزا</w:t>
      </w:r>
      <w:r w:rsidR="003638D3">
        <w:rPr>
          <w:b/>
          <w:bCs/>
          <w:sz w:val="26"/>
          <w:szCs w:val="26"/>
          <w:rtl/>
          <w:lang w:bidi="ar-EG"/>
        </w:rPr>
        <w:t>لة إنتاج المواد المستنفدة للأوز</w:t>
      </w:r>
      <w:r w:rsidR="00922EF1">
        <w:rPr>
          <w:rFonts w:hint="cs"/>
          <w:b/>
          <w:bCs/>
          <w:sz w:val="26"/>
          <w:szCs w:val="26"/>
          <w:rtl/>
          <w:lang w:bidi="ar-EG"/>
        </w:rPr>
        <w:t>ون</w:t>
      </w:r>
    </w:p>
    <w:p w14:paraId="5BDCF8A6" w14:textId="77777777" w:rsidR="0080735F" w:rsidRDefault="0080735F" w:rsidP="00922EF1">
      <w:pPr>
        <w:pStyle w:val="Heading1"/>
        <w:numPr>
          <w:ilvl w:val="0"/>
          <w:numId w:val="24"/>
        </w:numPr>
        <w:bidi/>
        <w:ind w:left="0" w:firstLine="0"/>
        <w:rPr>
          <w:sz w:val="26"/>
          <w:szCs w:val="26"/>
        </w:rPr>
      </w:pPr>
      <w:r>
        <w:rPr>
          <w:rFonts w:hint="cs"/>
          <w:sz w:val="26"/>
          <w:szCs w:val="26"/>
          <w:rtl/>
        </w:rPr>
        <w:t xml:space="preserve">قدم ممثل الأمانة الوثيقة </w:t>
      </w:r>
      <w:r w:rsidRPr="000037DC">
        <w:rPr>
          <w:lang w:val="en-US"/>
        </w:rPr>
        <w:t>UNEP/</w:t>
      </w:r>
      <w:proofErr w:type="spellStart"/>
      <w:r w:rsidRPr="000037DC">
        <w:rPr>
          <w:lang w:val="en-US"/>
        </w:rPr>
        <w:t>OzL.Pro</w:t>
      </w:r>
      <w:proofErr w:type="spellEnd"/>
      <w:r w:rsidRPr="000037DC">
        <w:rPr>
          <w:lang w:val="en-US"/>
        </w:rPr>
        <w:t>/ExCom/92/SGP/</w:t>
      </w:r>
      <w:r>
        <w:rPr>
          <w:lang w:val="en-US"/>
        </w:rPr>
        <w:t>3</w:t>
      </w:r>
      <w:r>
        <w:rPr>
          <w:rFonts w:hint="cs"/>
          <w:sz w:val="26"/>
          <w:szCs w:val="26"/>
          <w:rtl/>
        </w:rPr>
        <w:t>، التي تعرض مشروع المبادئ التو</w:t>
      </w:r>
      <w:r w:rsidR="003254B1">
        <w:rPr>
          <w:rFonts w:hint="cs"/>
          <w:sz w:val="26"/>
          <w:szCs w:val="26"/>
          <w:rtl/>
        </w:rPr>
        <w:t>ج</w:t>
      </w:r>
      <w:r>
        <w:rPr>
          <w:rFonts w:hint="cs"/>
          <w:sz w:val="26"/>
          <w:szCs w:val="26"/>
          <w:rtl/>
        </w:rPr>
        <w:t>يهية والنموذج القياسي المستخدم للتحقق من إزالة إنتاج المواد المستنفدة للأوزون. وقال إن الوثيقة تضمنت معلومات ذات صلة عن الوسائل لتعريف أفضل للتكامل ال</w:t>
      </w:r>
      <w:r w:rsidR="003254B1">
        <w:rPr>
          <w:rFonts w:hint="cs"/>
          <w:sz w:val="26"/>
          <w:szCs w:val="26"/>
          <w:rtl/>
        </w:rPr>
        <w:t>رأس</w:t>
      </w:r>
      <w:r>
        <w:rPr>
          <w:rFonts w:hint="cs"/>
          <w:sz w:val="26"/>
          <w:szCs w:val="26"/>
          <w:rtl/>
        </w:rPr>
        <w:t>ي، وتضمنت أيضا تغييرات على مشروع المبادئ التوجيهية المنقحة في المقرر 83/7</w:t>
      </w:r>
      <w:r w:rsidR="00922EF1">
        <w:rPr>
          <w:rFonts w:hint="cs"/>
          <w:sz w:val="26"/>
          <w:szCs w:val="26"/>
          <w:rtl/>
        </w:rPr>
        <w:t>0</w:t>
      </w:r>
      <w:r>
        <w:rPr>
          <w:rFonts w:hint="cs"/>
          <w:sz w:val="26"/>
          <w:szCs w:val="26"/>
          <w:rtl/>
        </w:rPr>
        <w:t xml:space="preserve">(ب) والناشئة </w:t>
      </w:r>
      <w:r w:rsidR="00922EF1">
        <w:rPr>
          <w:rFonts w:hint="cs"/>
          <w:sz w:val="26"/>
          <w:szCs w:val="26"/>
          <w:rtl/>
        </w:rPr>
        <w:t>ع</w:t>
      </w:r>
      <w:r>
        <w:rPr>
          <w:rFonts w:hint="cs"/>
          <w:sz w:val="26"/>
          <w:szCs w:val="26"/>
          <w:rtl/>
        </w:rPr>
        <w:t xml:space="preserve">ن المشاورات التي أجرتها الأمانة مع البنك الدولي في الفترة الفاصلة بين الدورات. وتضمنت الوثيقة أيضا، ضمن التوصيات المحددة في الفقرة 19، تعريفا مقترحا "لمرفق متكامل </w:t>
      </w:r>
      <w:r w:rsidR="003254B1">
        <w:rPr>
          <w:rFonts w:hint="cs"/>
          <w:sz w:val="26"/>
          <w:szCs w:val="26"/>
          <w:rtl/>
        </w:rPr>
        <w:t>رأس</w:t>
      </w:r>
      <w:r>
        <w:rPr>
          <w:rFonts w:hint="cs"/>
          <w:sz w:val="26"/>
          <w:szCs w:val="26"/>
          <w:rtl/>
        </w:rPr>
        <w:t>يا."</w:t>
      </w:r>
    </w:p>
    <w:p w14:paraId="5BDCF8A7" w14:textId="77777777" w:rsidR="00125F03" w:rsidRDefault="003638D3" w:rsidP="00922EF1">
      <w:pPr>
        <w:pStyle w:val="Heading1"/>
        <w:numPr>
          <w:ilvl w:val="0"/>
          <w:numId w:val="24"/>
        </w:numPr>
        <w:bidi/>
        <w:ind w:left="0" w:firstLine="0"/>
        <w:rPr>
          <w:sz w:val="26"/>
          <w:szCs w:val="26"/>
        </w:rPr>
      </w:pPr>
      <w:r>
        <w:rPr>
          <w:rFonts w:hint="cs"/>
          <w:sz w:val="26"/>
          <w:szCs w:val="26"/>
          <w:rtl/>
        </w:rPr>
        <w:t>وفي المناقشة التال</w:t>
      </w:r>
      <w:r w:rsidR="00922EF1">
        <w:rPr>
          <w:rFonts w:hint="cs"/>
          <w:sz w:val="26"/>
          <w:szCs w:val="26"/>
          <w:rtl/>
        </w:rPr>
        <w:t>ي</w:t>
      </w:r>
      <w:r>
        <w:rPr>
          <w:rFonts w:hint="cs"/>
          <w:sz w:val="26"/>
          <w:szCs w:val="26"/>
          <w:rtl/>
        </w:rPr>
        <w:t xml:space="preserve">ة، أثير عدد من القضايا بخصوص جوانب التعريف المقترح </w:t>
      </w:r>
      <w:r w:rsidR="003254B1">
        <w:rPr>
          <w:rFonts w:hint="cs"/>
          <w:sz w:val="26"/>
          <w:szCs w:val="26"/>
          <w:rtl/>
        </w:rPr>
        <w:t>"</w:t>
      </w:r>
      <w:r>
        <w:rPr>
          <w:rFonts w:hint="cs"/>
          <w:sz w:val="26"/>
          <w:szCs w:val="26"/>
          <w:rtl/>
        </w:rPr>
        <w:t xml:space="preserve">لمرفق متكامل </w:t>
      </w:r>
      <w:r w:rsidR="003254B1">
        <w:rPr>
          <w:rFonts w:hint="cs"/>
          <w:sz w:val="26"/>
          <w:szCs w:val="26"/>
          <w:rtl/>
        </w:rPr>
        <w:t>رأس</w:t>
      </w:r>
      <w:r>
        <w:rPr>
          <w:rFonts w:hint="cs"/>
          <w:sz w:val="26"/>
          <w:szCs w:val="26"/>
          <w:rtl/>
        </w:rPr>
        <w:t xml:space="preserve">يا"، بما في ذلك استخدام اعتبارات الملكية كمعيار للتعريف بدلا من العمليات الفنية، سواء كان خط إنتاج الهيدروكلوروفلوروكربون والمرفق اللاحق </w:t>
      </w:r>
      <w:r w:rsidR="00125F03">
        <w:rPr>
          <w:rFonts w:hint="cs"/>
          <w:sz w:val="26"/>
          <w:szCs w:val="26"/>
          <w:rtl/>
        </w:rPr>
        <w:t>موجودين بالقرب من الواحد الآخر، وكيفية نقل المواد الهيدروكلوروفلوروكربونية بين الإثنين. وقالت عضوة أخرى إن استخدام مصطلح "كيان قانوني" كمعيار لتعريف مرفق متكامل رأسيا يمكن أن يشكل مشاكل في بلدها، حيث يمكن حسب القانون أن تكون المرافق السابقة والمرافق اللاحقة مملوكة من كيانات منفصلة داخل نفس المجموعة.</w:t>
      </w:r>
    </w:p>
    <w:p w14:paraId="5BDCF8A8" w14:textId="77777777" w:rsidR="00125F03" w:rsidRDefault="00125F03" w:rsidP="00125F03">
      <w:pPr>
        <w:pStyle w:val="Heading1"/>
        <w:numPr>
          <w:ilvl w:val="0"/>
          <w:numId w:val="24"/>
        </w:numPr>
        <w:bidi/>
        <w:ind w:left="0" w:firstLine="0"/>
        <w:rPr>
          <w:sz w:val="26"/>
          <w:szCs w:val="26"/>
        </w:rPr>
      </w:pPr>
      <w:r>
        <w:rPr>
          <w:rFonts w:hint="cs"/>
          <w:sz w:val="26"/>
          <w:szCs w:val="26"/>
          <w:rtl/>
        </w:rPr>
        <w:t>ورد ممثل الأمانة بأن التعريف المقترح استند إلى فرضية أن آلية الإنفاذ التي تضمن عدم وجود مبيعات للمواد الهيدروكلوروفلوروكربونية خارج المؤسسة كان أكثر الخصائص القوية للنظر عن الآلية المستخدمة لنقل المواد الهيدروكلوروفلوروكربونية إلى المرفق اللاحق. وبطريقة عملية، ستكون معظم مثل هذه المؤسسات قائمة في مكان واحد وتستخدم طريقة النقل عن طريق الأنابيب، نظرا للتكلقة الكبيرة للنقل إلى أماكن منفصلة أخرى. وبالإضافة إلى ذلك، كانت المرافق المتكاملة رأسيا عادة لديها خزانات للتخزين، وهي ممارسة مشتركة في عمليات إنتاج المواد الكيميائية، وبهذا السياق قد لا تكون وسيلة النقل خاصية مفيدة للتركيز عليها.</w:t>
      </w:r>
    </w:p>
    <w:p w14:paraId="5BDCF8A9" w14:textId="77777777" w:rsidR="0080735F" w:rsidRDefault="00CD4C57" w:rsidP="00CD4C57">
      <w:pPr>
        <w:pStyle w:val="Heading1"/>
        <w:numPr>
          <w:ilvl w:val="0"/>
          <w:numId w:val="24"/>
        </w:numPr>
        <w:bidi/>
        <w:ind w:left="0" w:firstLine="0"/>
        <w:rPr>
          <w:sz w:val="26"/>
          <w:szCs w:val="26"/>
        </w:rPr>
      </w:pPr>
      <w:r>
        <w:rPr>
          <w:rFonts w:hint="cs"/>
          <w:sz w:val="26"/>
          <w:szCs w:val="26"/>
          <w:rtl/>
        </w:rPr>
        <w:t>وعقب بعض المناقشة، نظر الفريق الفرعي في تعديل التعريف الوارد في ال</w:t>
      </w:r>
      <w:r w:rsidR="001848EB">
        <w:rPr>
          <w:rFonts w:hint="cs"/>
          <w:sz w:val="26"/>
          <w:szCs w:val="26"/>
          <w:rtl/>
        </w:rPr>
        <w:t>ت</w:t>
      </w:r>
      <w:r>
        <w:rPr>
          <w:rFonts w:hint="cs"/>
          <w:sz w:val="26"/>
          <w:szCs w:val="26"/>
          <w:rtl/>
        </w:rPr>
        <w:t xml:space="preserve">وصية الواردة في الفقرة 19 من الوثيقة </w:t>
      </w:r>
      <w:r w:rsidR="003254B1" w:rsidRPr="000037DC">
        <w:rPr>
          <w:lang w:val="en-US"/>
        </w:rPr>
        <w:t>UNEP/</w:t>
      </w:r>
      <w:proofErr w:type="spellStart"/>
      <w:r w:rsidR="003254B1" w:rsidRPr="000037DC">
        <w:rPr>
          <w:lang w:val="en-US"/>
        </w:rPr>
        <w:t>OzL.Pro</w:t>
      </w:r>
      <w:proofErr w:type="spellEnd"/>
      <w:r w:rsidR="003254B1" w:rsidRPr="000037DC">
        <w:rPr>
          <w:lang w:val="en-US"/>
        </w:rPr>
        <w:t>/ExCom/92/SGP/</w:t>
      </w:r>
      <w:r w:rsidR="003254B1">
        <w:rPr>
          <w:lang w:val="en-US"/>
        </w:rPr>
        <w:t>3</w:t>
      </w:r>
      <w:r>
        <w:rPr>
          <w:rFonts w:hint="cs"/>
          <w:sz w:val="26"/>
          <w:szCs w:val="26"/>
          <w:rtl/>
        </w:rPr>
        <w:t xml:space="preserve"> عن طريق حذف الإشارة إلى المرفق الذي كان مملوكا أو مشغلا أو مراقبا من نفس الكيان القانوني.</w:t>
      </w:r>
    </w:p>
    <w:p w14:paraId="5BDCF8AA" w14:textId="77777777" w:rsidR="0080735F" w:rsidRDefault="00125F03" w:rsidP="001848EB">
      <w:pPr>
        <w:pStyle w:val="Heading1"/>
        <w:numPr>
          <w:ilvl w:val="0"/>
          <w:numId w:val="24"/>
        </w:numPr>
        <w:bidi/>
        <w:ind w:left="0" w:firstLine="0"/>
        <w:rPr>
          <w:sz w:val="26"/>
          <w:szCs w:val="26"/>
        </w:rPr>
      </w:pPr>
      <w:r>
        <w:rPr>
          <w:rFonts w:hint="cs"/>
          <w:sz w:val="26"/>
          <w:szCs w:val="26"/>
          <w:rtl/>
        </w:rPr>
        <w:t>وبناء عليه، ناقش الفريق الفرعي المزيد من التغييرا</w:t>
      </w:r>
      <w:r w:rsidR="001848EB">
        <w:rPr>
          <w:rFonts w:hint="cs"/>
          <w:sz w:val="26"/>
          <w:szCs w:val="26"/>
          <w:rtl/>
        </w:rPr>
        <w:t>ت</w:t>
      </w:r>
      <w:r>
        <w:rPr>
          <w:rFonts w:hint="cs"/>
          <w:sz w:val="26"/>
          <w:szCs w:val="26"/>
          <w:rtl/>
        </w:rPr>
        <w:t xml:space="preserve"> على التوصية الواردة في الفقرة 19. وقال أحد الأعضاء</w:t>
      </w:r>
      <w:r w:rsidR="001848EB">
        <w:rPr>
          <w:rFonts w:hint="cs"/>
          <w:sz w:val="26"/>
          <w:szCs w:val="26"/>
          <w:rtl/>
        </w:rPr>
        <w:t xml:space="preserve"> إنه لغرض الاتساق، ينبغي استخدام مصطلح "المواد المستنفدة للأوزون" بدلا من "المواد الخاضعة للرقابة"، وأن المصطلح الأول ينبغي أن يحل محل المصطلح الأخير عندما يحدث.  واقترح العديد من الأعضاء تعديلات على النص في مشروع التوصية، وخاصة فيما يتعلق بالفقرة (أ)، بشأن تعريف "مرفق متكامل رأسيا"، والفقرة (ب)، عما إذا طلب أم لا إدراج المعلومات الوطنية عن التغيير في مستوى المخزونات في المرافق المتكاملة رأسيا التي لم تخضع للتحقق السنوي. وظل النص ذي الصلة بين قوسين.</w:t>
      </w:r>
    </w:p>
    <w:p w14:paraId="5BDCF8AB" w14:textId="77777777" w:rsidR="00F57CD7" w:rsidRDefault="001848EB" w:rsidP="0080735F">
      <w:pPr>
        <w:pStyle w:val="Heading1"/>
        <w:numPr>
          <w:ilvl w:val="0"/>
          <w:numId w:val="24"/>
        </w:numPr>
        <w:bidi/>
        <w:ind w:left="0" w:firstLine="0"/>
        <w:rPr>
          <w:sz w:val="26"/>
          <w:szCs w:val="26"/>
        </w:rPr>
      </w:pPr>
      <w:r>
        <w:rPr>
          <w:rFonts w:hint="cs"/>
          <w:sz w:val="26"/>
          <w:szCs w:val="26"/>
          <w:rtl/>
        </w:rPr>
        <w:t xml:space="preserve">وناقش الأعضاء أيضا المزيد من مشروع المبادئ التوجيهية المنقح والنموذج القياسي المستخدم للتحقق من إزالة إنتاج المواد المستنفدة للأوزون على النحو الوارد في المرفق الأول بالوثيقة </w:t>
      </w:r>
      <w:r w:rsidRPr="000037DC">
        <w:rPr>
          <w:lang w:val="en-US"/>
        </w:rPr>
        <w:t>UNEP/</w:t>
      </w:r>
      <w:proofErr w:type="spellStart"/>
      <w:r w:rsidRPr="000037DC">
        <w:rPr>
          <w:lang w:val="en-US"/>
        </w:rPr>
        <w:t>OzL.Pro</w:t>
      </w:r>
      <w:proofErr w:type="spellEnd"/>
      <w:r w:rsidRPr="000037DC">
        <w:rPr>
          <w:lang w:val="en-US"/>
        </w:rPr>
        <w:t>/ExCom/92/SGP/</w:t>
      </w:r>
      <w:r>
        <w:rPr>
          <w:lang w:val="en-US"/>
        </w:rPr>
        <w:t>3</w:t>
      </w:r>
      <w:r>
        <w:rPr>
          <w:rFonts w:hint="cs"/>
          <w:sz w:val="26"/>
          <w:szCs w:val="26"/>
          <w:rtl/>
        </w:rPr>
        <w:t>.</w:t>
      </w:r>
      <w:r>
        <w:rPr>
          <w:rFonts w:hint="cs"/>
          <w:sz w:val="26"/>
          <w:szCs w:val="26"/>
          <w:rtl/>
          <w:lang w:bidi="ar-EG"/>
        </w:rPr>
        <w:t xml:space="preserve"> وطرح الأعضاء المقترحات النصية بخصوص الفقرات 3 و9 و15 و17 و21 من مشروع المبادئ التوجيهية. واقترح الميسر أن إجراء المزيد من المناقشات سيساعد في إحراز التقدم حول هذه المسائل، وحص الأعضاء على </w:t>
      </w:r>
      <w:r w:rsidR="00922EF1">
        <w:rPr>
          <w:rFonts w:hint="cs"/>
          <w:sz w:val="26"/>
          <w:szCs w:val="26"/>
          <w:rtl/>
          <w:lang w:bidi="ar-EG"/>
        </w:rPr>
        <w:t>الحد من المناقشات في الاجتماع القادم للفريق العامل بشأن هذه القضايا، وعدم إدخال قضايا إضافية فيما يتعلق بالمبادئ التوجيهية.</w:t>
      </w:r>
    </w:p>
    <w:p w14:paraId="5BDCF8AC" w14:textId="77777777" w:rsidR="0080735F" w:rsidRDefault="00922EF1" w:rsidP="00F57CD7">
      <w:pPr>
        <w:pStyle w:val="Heading1"/>
        <w:numPr>
          <w:ilvl w:val="0"/>
          <w:numId w:val="24"/>
        </w:numPr>
        <w:bidi/>
        <w:ind w:left="0" w:firstLine="0"/>
        <w:rPr>
          <w:sz w:val="26"/>
          <w:szCs w:val="26"/>
        </w:rPr>
      </w:pPr>
      <w:r>
        <w:rPr>
          <w:rFonts w:hint="cs"/>
          <w:sz w:val="26"/>
          <w:szCs w:val="26"/>
          <w:rtl/>
        </w:rPr>
        <w:t>واتفق الفريق الفرعي على مواصلة مناقشة هذه المسألة في اجتماعه القادم خلال الاجتماع الثالث والتسعين للجنة التنفيذية على أساس جملة أمور من بينها نص العمل المناقش خلال الاجتماع الثاني والتسعين</w:t>
      </w:r>
      <w:r w:rsidR="00F57CD7">
        <w:rPr>
          <w:rFonts w:hint="cs"/>
          <w:sz w:val="26"/>
          <w:szCs w:val="26"/>
          <w:rtl/>
        </w:rPr>
        <w:t>.</w:t>
      </w:r>
    </w:p>
    <w:p w14:paraId="5BDCF8AD" w14:textId="77777777" w:rsidR="0080735F" w:rsidRPr="0080735F" w:rsidRDefault="0080735F" w:rsidP="00F85E89">
      <w:pPr>
        <w:pStyle w:val="Heading1"/>
        <w:keepNext/>
        <w:numPr>
          <w:ilvl w:val="0"/>
          <w:numId w:val="0"/>
        </w:numPr>
        <w:bidi/>
        <w:ind w:left="2606" w:hanging="2606"/>
        <w:rPr>
          <w:b/>
          <w:bCs/>
          <w:sz w:val="26"/>
          <w:szCs w:val="26"/>
          <w:rtl/>
        </w:rPr>
      </w:pPr>
      <w:r w:rsidRPr="0080735F">
        <w:rPr>
          <w:rFonts w:hint="cs"/>
          <w:b/>
          <w:bCs/>
          <w:sz w:val="26"/>
          <w:szCs w:val="26"/>
          <w:rtl/>
        </w:rPr>
        <w:lastRenderedPageBreak/>
        <w:t>البند 5 من جدول الأعمال:</w:t>
      </w:r>
      <w:r w:rsidRPr="0080735F">
        <w:rPr>
          <w:rFonts w:hint="cs"/>
          <w:b/>
          <w:bCs/>
          <w:sz w:val="26"/>
          <w:szCs w:val="26"/>
          <w:rtl/>
        </w:rPr>
        <w:tab/>
        <w:t>مسائل أخرى</w:t>
      </w:r>
    </w:p>
    <w:p w14:paraId="5BDCF8AE" w14:textId="77777777" w:rsidR="0080735F" w:rsidRPr="0080735F" w:rsidRDefault="0080735F" w:rsidP="0080735F">
      <w:pPr>
        <w:pStyle w:val="Heading1"/>
        <w:numPr>
          <w:ilvl w:val="0"/>
          <w:numId w:val="26"/>
        </w:numPr>
        <w:bidi/>
        <w:ind w:hanging="720"/>
        <w:rPr>
          <w:b/>
          <w:bCs/>
          <w:sz w:val="26"/>
          <w:szCs w:val="26"/>
        </w:rPr>
      </w:pPr>
      <w:r w:rsidRPr="0080735F">
        <w:rPr>
          <w:rFonts w:hint="cs"/>
          <w:b/>
          <w:bCs/>
          <w:sz w:val="26"/>
          <w:szCs w:val="26"/>
          <w:rtl/>
        </w:rPr>
        <w:t>المبادئ التوجيهية لقطاع إنتاج الهيدروفلوروكربون</w:t>
      </w:r>
    </w:p>
    <w:p w14:paraId="5BDCF8AF" w14:textId="77777777" w:rsidR="0080735F" w:rsidRDefault="00F85E89" w:rsidP="00F85E89">
      <w:pPr>
        <w:pStyle w:val="Heading1"/>
        <w:numPr>
          <w:ilvl w:val="0"/>
          <w:numId w:val="24"/>
        </w:numPr>
        <w:bidi/>
        <w:ind w:left="0" w:firstLine="0"/>
        <w:rPr>
          <w:sz w:val="26"/>
          <w:szCs w:val="26"/>
        </w:rPr>
      </w:pPr>
      <w:r>
        <w:rPr>
          <w:rFonts w:hint="cs"/>
          <w:sz w:val="26"/>
          <w:szCs w:val="26"/>
          <w:rtl/>
          <w:lang w:val="en-US" w:bidi="ar-EG"/>
        </w:rPr>
        <w:t>قال مؤيد بند جدول الأعمال إن الوقت</w:t>
      </w:r>
      <w:r>
        <w:rPr>
          <w:rFonts w:hint="cs"/>
          <w:sz w:val="26"/>
          <w:szCs w:val="26"/>
          <w:rtl/>
          <w:lang w:bidi="ar-EG"/>
        </w:rPr>
        <w:t xml:space="preserve"> قد حان للفريق الفرعي للنظر فيما إذا كانت هناك حاجة أم لا إلى المبادئ التوجيهية لقطاع إنتاج الهيدروفلوروكربون. وأشار ممثل الأمانة إلى أن المسألة قد نظر فيها الفريق الفرعي المعني بقطاع الإنتاج في السابق، ولاحظ أن النظر السابق للمبادئ التوجيهية م</w:t>
      </w:r>
      <w:r w:rsidR="00B86B8A">
        <w:rPr>
          <w:rFonts w:hint="cs"/>
          <w:sz w:val="26"/>
          <w:szCs w:val="26"/>
          <w:rtl/>
          <w:lang w:bidi="ar-EG"/>
        </w:rPr>
        <w:t>ن جانب اللجنة التنفيذية قد سبقه</w:t>
      </w:r>
      <w:r>
        <w:rPr>
          <w:rFonts w:hint="cs"/>
          <w:sz w:val="26"/>
          <w:szCs w:val="26"/>
          <w:rtl/>
          <w:lang w:bidi="ar-EG"/>
        </w:rPr>
        <w:t xml:space="preserve"> عادة تقديم </w:t>
      </w:r>
      <w:r w:rsidR="00B86B8A">
        <w:rPr>
          <w:rFonts w:hint="cs"/>
          <w:sz w:val="26"/>
          <w:szCs w:val="26"/>
          <w:rtl/>
          <w:lang w:bidi="ar-EG"/>
        </w:rPr>
        <w:t>ل</w:t>
      </w:r>
      <w:r>
        <w:rPr>
          <w:rFonts w:hint="cs"/>
          <w:sz w:val="26"/>
          <w:szCs w:val="26"/>
          <w:rtl/>
          <w:lang w:bidi="ar-EG"/>
        </w:rPr>
        <w:t>بيانات إنتاج مبلغ عنها رسميا من بلدان المادة 5 ذات الصلة.</w:t>
      </w:r>
    </w:p>
    <w:p w14:paraId="5BDCF8B0" w14:textId="77777777" w:rsidR="0080735F" w:rsidRDefault="00F85E89" w:rsidP="0080735F">
      <w:pPr>
        <w:pStyle w:val="Heading1"/>
        <w:numPr>
          <w:ilvl w:val="0"/>
          <w:numId w:val="24"/>
        </w:numPr>
        <w:bidi/>
        <w:ind w:left="0" w:firstLine="0"/>
        <w:rPr>
          <w:sz w:val="26"/>
          <w:szCs w:val="26"/>
        </w:rPr>
      </w:pPr>
      <w:r>
        <w:rPr>
          <w:rFonts w:hint="cs"/>
          <w:sz w:val="26"/>
          <w:szCs w:val="26"/>
          <w:rtl/>
        </w:rPr>
        <w:t>ومع ملاحظة أن هناك ثلاثة بلدان فقط أبلغت عن إنتاج المواد الهيدروفلوروكربونية، وافق الفريق الفرعي على النظر في مثل هذه المشروعات على أساس كل حالة على حدة، بدلا من إعداد مبادئ توجيهية للخفض التدريجي لإنتاج الهيدروفلوروكربون.</w:t>
      </w:r>
    </w:p>
    <w:p w14:paraId="5BDCF8B1" w14:textId="77777777" w:rsidR="0080735F" w:rsidRDefault="0080735F" w:rsidP="0080735F">
      <w:pPr>
        <w:pStyle w:val="Heading1"/>
        <w:numPr>
          <w:ilvl w:val="0"/>
          <w:numId w:val="26"/>
        </w:numPr>
        <w:bidi/>
        <w:ind w:left="0" w:firstLine="0"/>
        <w:rPr>
          <w:sz w:val="26"/>
          <w:szCs w:val="26"/>
        </w:rPr>
      </w:pPr>
      <w:r>
        <w:rPr>
          <w:rFonts w:hint="cs"/>
          <w:b/>
          <w:bCs/>
          <w:sz w:val="26"/>
          <w:szCs w:val="26"/>
          <w:rtl/>
        </w:rPr>
        <w:t>انبعاثات الهيدروفلوروكربون-23</w:t>
      </w:r>
    </w:p>
    <w:p w14:paraId="5BDCF8B2" w14:textId="77777777" w:rsidR="0080735F" w:rsidRDefault="00F85E89" w:rsidP="00B86B8A">
      <w:pPr>
        <w:pStyle w:val="Heading1"/>
        <w:numPr>
          <w:ilvl w:val="0"/>
          <w:numId w:val="24"/>
        </w:numPr>
        <w:bidi/>
        <w:ind w:left="0" w:firstLine="0"/>
        <w:rPr>
          <w:sz w:val="26"/>
          <w:szCs w:val="26"/>
        </w:rPr>
      </w:pPr>
      <w:r>
        <w:rPr>
          <w:rFonts w:hint="cs"/>
          <w:sz w:val="26"/>
          <w:szCs w:val="26"/>
          <w:rtl/>
        </w:rPr>
        <w:t>أثار مؤيد بند جدول الأعمال مسألة الزيادة المقلقة في انبعاثات الهيدروفلوروكربون-23 في الغلاف الجوي، على النحو المشار إليه في الو</w:t>
      </w:r>
      <w:r w:rsidR="00E47CD9">
        <w:rPr>
          <w:rFonts w:hint="cs"/>
          <w:sz w:val="26"/>
          <w:szCs w:val="26"/>
          <w:rtl/>
        </w:rPr>
        <w:t>ر</w:t>
      </w:r>
      <w:r>
        <w:rPr>
          <w:rFonts w:hint="cs"/>
          <w:sz w:val="26"/>
          <w:szCs w:val="26"/>
          <w:rtl/>
        </w:rPr>
        <w:t xml:space="preserve">قات العلمية الأخيرة </w:t>
      </w:r>
      <w:r w:rsidR="00E47CD9">
        <w:rPr>
          <w:rFonts w:hint="cs"/>
          <w:sz w:val="26"/>
          <w:szCs w:val="26"/>
          <w:rtl/>
        </w:rPr>
        <w:t xml:space="preserve">بشأن هذه المسألة. وبينما كان من المشجع أن المشروعات الأخيرة التي نظرت فيها اللجنة التنفيذية، للأرجنتين والمكسيك، تناولت الرقابة على انبعاثات الهيدروفلوروكربون-23 المولد في إنتاج الهيدروكلوروفلوروكربون-22، ما زالت هناك حاجة </w:t>
      </w:r>
      <w:r w:rsidR="00B86B8A">
        <w:rPr>
          <w:rFonts w:hint="cs"/>
          <w:sz w:val="26"/>
          <w:szCs w:val="26"/>
          <w:rtl/>
        </w:rPr>
        <w:t>عاجل</w:t>
      </w:r>
      <w:r w:rsidR="00E47CD9">
        <w:rPr>
          <w:rFonts w:hint="cs"/>
          <w:sz w:val="26"/>
          <w:szCs w:val="26"/>
          <w:rtl/>
        </w:rPr>
        <w:t xml:space="preserve">ة إلى </w:t>
      </w:r>
      <w:r w:rsidR="00B86B8A">
        <w:rPr>
          <w:rFonts w:hint="cs"/>
          <w:sz w:val="26"/>
          <w:szCs w:val="26"/>
          <w:rtl/>
        </w:rPr>
        <w:t>ال</w:t>
      </w:r>
      <w:r w:rsidR="00E47CD9">
        <w:rPr>
          <w:rFonts w:hint="cs"/>
          <w:sz w:val="26"/>
          <w:szCs w:val="26"/>
          <w:rtl/>
        </w:rPr>
        <w:t>مزيد من تدابير التخفيف. ولاحظ أن حظة العمل للهند تضمنت تمويلا لإعداد مشروع ممكن للرقابة على المنتج الفرعي الهيدروفلوروكربون</w:t>
      </w:r>
      <w:r w:rsidR="00B86B8A">
        <w:rPr>
          <w:rFonts w:hint="cs"/>
          <w:sz w:val="26"/>
          <w:szCs w:val="26"/>
          <w:rtl/>
        </w:rPr>
        <w:t>-23</w:t>
      </w:r>
      <w:r w:rsidR="00E47CD9">
        <w:rPr>
          <w:rFonts w:hint="cs"/>
          <w:sz w:val="26"/>
          <w:szCs w:val="26"/>
          <w:rtl/>
        </w:rPr>
        <w:t xml:space="preserve">، وطلب المزيد من المعلومات عن حالة هذا المشروع. وأشار أيضا إلى تقليل التباين فيما يتعلق ببيانات المادة 7 عن انبعاثات الهيدروفلوروكربون-23 في الصين، وتطلع إلى تقديم تقرير عن تلك المسألة إلى اللجنة التنفيذية في اجتماعها الثالث والتسعين، </w:t>
      </w:r>
      <w:r w:rsidR="00B86B8A">
        <w:rPr>
          <w:rFonts w:hint="cs"/>
          <w:sz w:val="26"/>
          <w:szCs w:val="26"/>
          <w:rtl/>
        </w:rPr>
        <w:t>بينما لاحظ أيضا</w:t>
      </w:r>
      <w:r w:rsidR="00E47CD9">
        <w:rPr>
          <w:rFonts w:hint="cs"/>
          <w:sz w:val="26"/>
          <w:szCs w:val="26"/>
          <w:rtl/>
        </w:rPr>
        <w:t xml:space="preserve"> الإبلاغ المشجع من الصين </w:t>
      </w:r>
      <w:r w:rsidR="00B86B8A">
        <w:rPr>
          <w:rFonts w:hint="cs"/>
          <w:sz w:val="26"/>
          <w:szCs w:val="26"/>
          <w:rtl/>
        </w:rPr>
        <w:t>ع</w:t>
      </w:r>
      <w:r w:rsidR="00E47CD9">
        <w:rPr>
          <w:rFonts w:hint="cs"/>
          <w:sz w:val="26"/>
          <w:szCs w:val="26"/>
          <w:rtl/>
        </w:rPr>
        <w:t>ن جمع وتدمير الهيدروفلوروكربون-23 بموجب خطة إدارة إزالة إنتاج المواد الهيدروكلوروفلوروكربونية للبلد.</w:t>
      </w:r>
    </w:p>
    <w:p w14:paraId="5BDCF8B3" w14:textId="77777777" w:rsidR="0080735F" w:rsidRDefault="00E47CD9" w:rsidP="00B86B8A">
      <w:pPr>
        <w:pStyle w:val="Heading1"/>
        <w:numPr>
          <w:ilvl w:val="0"/>
          <w:numId w:val="24"/>
        </w:numPr>
        <w:bidi/>
        <w:ind w:left="0" w:firstLine="0"/>
        <w:rPr>
          <w:sz w:val="26"/>
          <w:szCs w:val="26"/>
        </w:rPr>
      </w:pPr>
      <w:r>
        <w:rPr>
          <w:rFonts w:hint="cs"/>
          <w:sz w:val="26"/>
          <w:szCs w:val="26"/>
          <w:rtl/>
        </w:rPr>
        <w:t xml:space="preserve">وأكد ممثل الهند أن خطة العمل اشتملت على النظر في </w:t>
      </w:r>
      <w:r w:rsidR="00B86B8A">
        <w:rPr>
          <w:rFonts w:hint="cs"/>
          <w:sz w:val="26"/>
          <w:szCs w:val="26"/>
          <w:rtl/>
        </w:rPr>
        <w:t>ال</w:t>
      </w:r>
      <w:r>
        <w:rPr>
          <w:rFonts w:hint="cs"/>
          <w:sz w:val="26"/>
          <w:szCs w:val="26"/>
          <w:rtl/>
        </w:rPr>
        <w:t xml:space="preserve">مشروعات </w:t>
      </w:r>
      <w:r w:rsidR="00B86B8A">
        <w:rPr>
          <w:rFonts w:hint="cs"/>
          <w:sz w:val="26"/>
          <w:szCs w:val="26"/>
          <w:rtl/>
        </w:rPr>
        <w:t>الم</w:t>
      </w:r>
      <w:r>
        <w:rPr>
          <w:rFonts w:hint="cs"/>
          <w:sz w:val="26"/>
          <w:szCs w:val="26"/>
          <w:rtl/>
        </w:rPr>
        <w:t>تعلق</w:t>
      </w:r>
      <w:r w:rsidR="00B86B8A">
        <w:rPr>
          <w:rFonts w:hint="cs"/>
          <w:sz w:val="26"/>
          <w:szCs w:val="26"/>
          <w:rtl/>
        </w:rPr>
        <w:t>ة</w:t>
      </w:r>
      <w:r>
        <w:rPr>
          <w:rFonts w:hint="cs"/>
          <w:sz w:val="26"/>
          <w:szCs w:val="26"/>
          <w:rtl/>
        </w:rPr>
        <w:t xml:space="preserve"> بالهيدروفلوروكربون-23، ولكن المشاورات مع أصحاب المصلحة لم تنتهي في الوقت </w:t>
      </w:r>
      <w:r w:rsidR="00B86B8A">
        <w:rPr>
          <w:rFonts w:hint="cs"/>
          <w:sz w:val="26"/>
          <w:szCs w:val="26"/>
          <w:rtl/>
        </w:rPr>
        <w:t xml:space="preserve">المناسب </w:t>
      </w:r>
      <w:r>
        <w:rPr>
          <w:rFonts w:hint="cs"/>
          <w:sz w:val="26"/>
          <w:szCs w:val="26"/>
          <w:rtl/>
        </w:rPr>
        <w:t>لاستكمال عمليات الموافقة الداخلية على مستوى الحكومة. واعتزمت الحكومة تقديم طلب لتمويل الإعداد إلى اللجنة التنفيذية في اجتماعها الثالث والتسعين.</w:t>
      </w:r>
    </w:p>
    <w:p w14:paraId="5BDCF8B4" w14:textId="77777777" w:rsidR="0080735F" w:rsidRDefault="00E47CD9" w:rsidP="00CD1A15">
      <w:pPr>
        <w:pStyle w:val="Heading1"/>
        <w:numPr>
          <w:ilvl w:val="0"/>
          <w:numId w:val="24"/>
        </w:numPr>
        <w:bidi/>
        <w:ind w:left="0" w:firstLine="0"/>
        <w:rPr>
          <w:sz w:val="26"/>
          <w:szCs w:val="26"/>
        </w:rPr>
      </w:pPr>
      <w:r>
        <w:rPr>
          <w:rFonts w:hint="cs"/>
          <w:sz w:val="26"/>
          <w:szCs w:val="26"/>
          <w:rtl/>
        </w:rPr>
        <w:t xml:space="preserve">ووافق عضو آخر على أن البيانات الأخيرة من شبكات الرصد قدمت صورة مقلقة لتزايد انبعاثات الهيدروفلوروكربون-23، وهو الهيدروفلوروكربون ذو الإمكانية الأعلى </w:t>
      </w:r>
      <w:r w:rsidR="00CD1A15">
        <w:rPr>
          <w:rFonts w:hint="cs"/>
          <w:sz w:val="26"/>
          <w:szCs w:val="26"/>
          <w:rtl/>
        </w:rPr>
        <w:t xml:space="preserve">على </w:t>
      </w:r>
      <w:r>
        <w:rPr>
          <w:rFonts w:hint="cs"/>
          <w:sz w:val="26"/>
          <w:szCs w:val="26"/>
          <w:rtl/>
        </w:rPr>
        <w:t xml:space="preserve">إحداث الاحترار العالمي. وعندما بدأت </w:t>
      </w:r>
      <w:r w:rsidR="00CD1A15">
        <w:rPr>
          <w:rFonts w:hint="cs"/>
          <w:sz w:val="26"/>
          <w:szCs w:val="26"/>
          <w:rtl/>
        </w:rPr>
        <w:t>القياسات</w:t>
      </w:r>
      <w:r>
        <w:rPr>
          <w:rFonts w:hint="cs"/>
          <w:sz w:val="26"/>
          <w:szCs w:val="26"/>
          <w:rtl/>
        </w:rPr>
        <w:t xml:space="preserve"> في عام 2008، بلغت تركيزات الهيدروفلوروكربون-23 في الغلاف الجوي حوالي 21 جزءا لكل تريليون، وتزايد</w:t>
      </w:r>
      <w:r>
        <w:rPr>
          <w:rFonts w:hint="cs"/>
          <w:sz w:val="26"/>
          <w:szCs w:val="26"/>
          <w:rtl/>
          <w:lang w:bidi="ar-EG"/>
        </w:rPr>
        <w:t>ت</w:t>
      </w:r>
      <w:r>
        <w:rPr>
          <w:rFonts w:hint="cs"/>
          <w:sz w:val="26"/>
          <w:szCs w:val="26"/>
          <w:rtl/>
        </w:rPr>
        <w:t xml:space="preserve"> منذ ذلك الوقت في تقدم خطي إلى حوالي 35 جزءا لكل تريليون.</w:t>
      </w:r>
      <w:r w:rsidR="00B86B8A">
        <w:rPr>
          <w:rFonts w:hint="cs"/>
          <w:sz w:val="26"/>
          <w:szCs w:val="26"/>
          <w:rtl/>
        </w:rPr>
        <w:t xml:space="preserve"> ويتطلب الوضع إتخاذ إجراء عاجل بموجب بروتوكول مونتريال.</w:t>
      </w:r>
    </w:p>
    <w:p w14:paraId="5BDCF8B5" w14:textId="77777777" w:rsidR="0080735F" w:rsidRDefault="0080735F" w:rsidP="003638D3">
      <w:pPr>
        <w:pStyle w:val="Heading1"/>
        <w:numPr>
          <w:ilvl w:val="0"/>
          <w:numId w:val="0"/>
        </w:numPr>
        <w:bidi/>
        <w:ind w:left="2610" w:hanging="2610"/>
        <w:rPr>
          <w:sz w:val="26"/>
          <w:szCs w:val="26"/>
        </w:rPr>
      </w:pPr>
      <w:r w:rsidRPr="0080735F">
        <w:rPr>
          <w:rFonts w:hint="cs"/>
          <w:b/>
          <w:bCs/>
          <w:sz w:val="26"/>
          <w:szCs w:val="26"/>
          <w:rtl/>
        </w:rPr>
        <w:t xml:space="preserve">البند </w:t>
      </w:r>
      <w:r>
        <w:rPr>
          <w:rFonts w:hint="cs"/>
          <w:b/>
          <w:bCs/>
          <w:sz w:val="26"/>
          <w:szCs w:val="26"/>
          <w:rtl/>
        </w:rPr>
        <w:t>6</w:t>
      </w:r>
      <w:r w:rsidRPr="0080735F">
        <w:rPr>
          <w:rFonts w:hint="cs"/>
          <w:b/>
          <w:bCs/>
          <w:sz w:val="26"/>
          <w:szCs w:val="26"/>
          <w:rtl/>
        </w:rPr>
        <w:t xml:space="preserve"> من جدول الأعمال:</w:t>
      </w:r>
      <w:r w:rsidRPr="0080735F">
        <w:rPr>
          <w:rFonts w:hint="cs"/>
          <w:b/>
          <w:bCs/>
          <w:sz w:val="26"/>
          <w:szCs w:val="26"/>
          <w:rtl/>
        </w:rPr>
        <w:tab/>
      </w:r>
      <w:r w:rsidR="003638D3" w:rsidRPr="003254B1">
        <w:rPr>
          <w:rFonts w:hint="cs"/>
          <w:b/>
          <w:bCs/>
          <w:sz w:val="26"/>
          <w:szCs w:val="26"/>
          <w:rtl/>
        </w:rPr>
        <w:t>اعتماد التقرير</w:t>
      </w:r>
    </w:p>
    <w:p w14:paraId="5BDCF8B6" w14:textId="77777777" w:rsidR="0080735F" w:rsidRDefault="003638D3" w:rsidP="0080735F">
      <w:pPr>
        <w:pStyle w:val="Heading1"/>
        <w:numPr>
          <w:ilvl w:val="0"/>
          <w:numId w:val="24"/>
        </w:numPr>
        <w:bidi/>
        <w:ind w:left="0" w:firstLine="0"/>
        <w:rPr>
          <w:sz w:val="26"/>
          <w:szCs w:val="26"/>
        </w:rPr>
      </w:pPr>
      <w:r>
        <w:rPr>
          <w:rFonts w:hint="cs"/>
          <w:sz w:val="26"/>
          <w:szCs w:val="26"/>
          <w:rtl/>
        </w:rPr>
        <w:t>استعرض الميسر التقرير الحالي وقدمه إلى رئيس اللجنة التنفيذية لإحالته إلى الاجتماع الثاني والتسعين للجنة التنفيذية.</w:t>
      </w:r>
    </w:p>
    <w:p w14:paraId="5BDCF8B7" w14:textId="77777777" w:rsidR="0080735F" w:rsidRDefault="0080735F" w:rsidP="003638D3">
      <w:pPr>
        <w:pStyle w:val="Heading1"/>
        <w:numPr>
          <w:ilvl w:val="0"/>
          <w:numId w:val="0"/>
        </w:numPr>
        <w:bidi/>
        <w:ind w:left="2610" w:hanging="2610"/>
        <w:rPr>
          <w:sz w:val="26"/>
          <w:szCs w:val="26"/>
        </w:rPr>
      </w:pPr>
      <w:r w:rsidRPr="0080735F">
        <w:rPr>
          <w:rFonts w:hint="cs"/>
          <w:b/>
          <w:bCs/>
          <w:sz w:val="26"/>
          <w:szCs w:val="26"/>
          <w:rtl/>
        </w:rPr>
        <w:t xml:space="preserve">البند </w:t>
      </w:r>
      <w:r>
        <w:rPr>
          <w:rFonts w:hint="cs"/>
          <w:b/>
          <w:bCs/>
          <w:sz w:val="26"/>
          <w:szCs w:val="26"/>
          <w:rtl/>
        </w:rPr>
        <w:t>7</w:t>
      </w:r>
      <w:r w:rsidRPr="0080735F">
        <w:rPr>
          <w:rFonts w:hint="cs"/>
          <w:b/>
          <w:bCs/>
          <w:sz w:val="26"/>
          <w:szCs w:val="26"/>
          <w:rtl/>
        </w:rPr>
        <w:t xml:space="preserve"> من جدول الأعمال:</w:t>
      </w:r>
      <w:r w:rsidRPr="0080735F">
        <w:rPr>
          <w:rFonts w:hint="cs"/>
          <w:b/>
          <w:bCs/>
          <w:sz w:val="26"/>
          <w:szCs w:val="26"/>
          <w:rtl/>
        </w:rPr>
        <w:tab/>
      </w:r>
      <w:r w:rsidR="003638D3">
        <w:rPr>
          <w:rFonts w:hint="cs"/>
          <w:b/>
          <w:bCs/>
          <w:sz w:val="26"/>
          <w:szCs w:val="26"/>
          <w:rtl/>
        </w:rPr>
        <w:t>اختتام الاجتماع</w:t>
      </w:r>
    </w:p>
    <w:p w14:paraId="5BDCF8B8" w14:textId="77777777" w:rsidR="003C0CEB" w:rsidRPr="00E47CD9" w:rsidRDefault="003638D3" w:rsidP="00B86B8A">
      <w:pPr>
        <w:pStyle w:val="Heading1"/>
        <w:numPr>
          <w:ilvl w:val="0"/>
          <w:numId w:val="24"/>
        </w:numPr>
        <w:bidi/>
        <w:ind w:left="0" w:firstLine="0"/>
        <w:rPr>
          <w:sz w:val="26"/>
          <w:szCs w:val="26"/>
        </w:rPr>
      </w:pPr>
      <w:r>
        <w:rPr>
          <w:rFonts w:hint="cs"/>
          <w:sz w:val="26"/>
          <w:szCs w:val="26"/>
          <w:rtl/>
        </w:rPr>
        <w:t xml:space="preserve">اختتم اجتماع الفريق </w:t>
      </w:r>
      <w:r w:rsidR="00B86B8A">
        <w:rPr>
          <w:rFonts w:hint="cs"/>
          <w:sz w:val="26"/>
          <w:szCs w:val="26"/>
          <w:rtl/>
        </w:rPr>
        <w:t>الفرعي</w:t>
      </w:r>
      <w:r>
        <w:rPr>
          <w:rFonts w:hint="cs"/>
          <w:sz w:val="26"/>
          <w:szCs w:val="26"/>
          <w:rtl/>
        </w:rPr>
        <w:t xml:space="preserve"> المعني بقطاع الإنتاج في الساعة التاسعة صباحا يوم 2 يونيه/حزيران 2023</w:t>
      </w:r>
      <w:r w:rsidR="0080735F">
        <w:rPr>
          <w:rFonts w:hint="cs"/>
          <w:sz w:val="26"/>
          <w:szCs w:val="26"/>
          <w:rtl/>
        </w:rPr>
        <w:t>.</w:t>
      </w:r>
    </w:p>
    <w:p w14:paraId="5BDCF8B9" w14:textId="77777777" w:rsidR="007E5D09" w:rsidRPr="00B86B8A" w:rsidRDefault="007E5D09">
      <w:pPr>
        <w:rPr>
          <w:rt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BDCF8BF" w14:textId="77777777">
        <w:tc>
          <w:tcPr>
            <w:tcW w:w="1915" w:type="dxa"/>
          </w:tcPr>
          <w:p w14:paraId="5BDCF8BA" w14:textId="77777777" w:rsidR="007E5D09" w:rsidRDefault="007E5D09">
            <w:pPr>
              <w:rPr>
                <w:lang w:val="en-CA"/>
              </w:rPr>
            </w:pPr>
          </w:p>
        </w:tc>
        <w:tc>
          <w:tcPr>
            <w:tcW w:w="1915" w:type="dxa"/>
          </w:tcPr>
          <w:p w14:paraId="5BDCF8BB" w14:textId="77777777" w:rsidR="007E5D09" w:rsidRDefault="007E5D09">
            <w:pPr>
              <w:rPr>
                <w:lang w:val="en-CA"/>
              </w:rPr>
            </w:pPr>
          </w:p>
        </w:tc>
        <w:tc>
          <w:tcPr>
            <w:tcW w:w="1915" w:type="dxa"/>
            <w:tcBorders>
              <w:bottom w:val="single" w:sz="4" w:space="0" w:color="auto"/>
            </w:tcBorders>
          </w:tcPr>
          <w:p w14:paraId="5BDCF8BC" w14:textId="77777777" w:rsidR="007E5D09" w:rsidRDefault="007E5D09">
            <w:pPr>
              <w:rPr>
                <w:b/>
                <w:bCs/>
                <w:lang w:val="en-CA"/>
              </w:rPr>
            </w:pPr>
          </w:p>
        </w:tc>
        <w:tc>
          <w:tcPr>
            <w:tcW w:w="1915" w:type="dxa"/>
          </w:tcPr>
          <w:p w14:paraId="5BDCF8BD" w14:textId="77777777" w:rsidR="007E5D09" w:rsidRDefault="007E5D09">
            <w:pPr>
              <w:rPr>
                <w:lang w:val="en-CA"/>
              </w:rPr>
            </w:pPr>
          </w:p>
        </w:tc>
        <w:tc>
          <w:tcPr>
            <w:tcW w:w="1916" w:type="dxa"/>
          </w:tcPr>
          <w:p w14:paraId="5BDCF8BE" w14:textId="77777777" w:rsidR="007E5D09" w:rsidRDefault="007E5D09">
            <w:pPr>
              <w:rPr>
                <w:lang w:val="en-CA"/>
              </w:rPr>
            </w:pPr>
          </w:p>
        </w:tc>
      </w:tr>
    </w:tbl>
    <w:p w14:paraId="5BDCF8C0" w14:textId="77777777" w:rsidR="007E5D09" w:rsidRPr="00CD1A15" w:rsidRDefault="007E5D09" w:rsidP="00CD1A15">
      <w:pPr>
        <w:rPr>
          <w:lang w:val="en-US"/>
        </w:rPr>
      </w:pPr>
    </w:p>
    <w:sectPr w:rsidR="007E5D09" w:rsidRPr="00CD1A15" w:rsidSect="006216F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CF8C7" w14:textId="77777777" w:rsidR="00375B73" w:rsidRDefault="00375B73">
      <w:r>
        <w:separator/>
      </w:r>
    </w:p>
  </w:endnote>
  <w:endnote w:type="continuationSeparator" w:id="0">
    <w:p w14:paraId="5BDCF8C8" w14:textId="77777777" w:rsidR="00375B73" w:rsidRDefault="0037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F8CF" w14:textId="77777777" w:rsidR="007E5D09" w:rsidRDefault="00601208">
    <w:pPr>
      <w:jc w:val="center"/>
    </w:pPr>
    <w:r>
      <w:fldChar w:fldCharType="begin"/>
    </w:r>
    <w:r w:rsidR="00E1360E">
      <w:instrText xml:space="preserve"> PAGE </w:instrText>
    </w:r>
    <w:r>
      <w:fldChar w:fldCharType="separate"/>
    </w:r>
    <w:r w:rsidR="00CD1A15">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F8D0" w14:textId="77777777" w:rsidR="007E5D09" w:rsidRDefault="00601208">
    <w:pPr>
      <w:jc w:val="center"/>
    </w:pPr>
    <w:r>
      <w:fldChar w:fldCharType="begin"/>
    </w:r>
    <w:r w:rsidR="00E1360E">
      <w:instrText xml:space="preserve"> PAGE </w:instrText>
    </w:r>
    <w:r>
      <w:fldChar w:fldCharType="separate"/>
    </w:r>
    <w:r w:rsidR="00B86B8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BDCF8D1" w14:textId="77777777" w:rsidR="007E5D09" w:rsidRDefault="00601208">
        <w:pPr>
          <w:pStyle w:val="Footer"/>
          <w:jc w:val="center"/>
        </w:pPr>
        <w:r>
          <w:fldChar w:fldCharType="begin"/>
        </w:r>
        <w:r w:rsidR="00E1360E">
          <w:instrText xml:space="preserve"> PAGE   \* MERGEFORMAT </w:instrText>
        </w:r>
        <w:r>
          <w:fldChar w:fldCharType="separate"/>
        </w:r>
        <w:r w:rsidR="001848EB">
          <w:rPr>
            <w:noProof/>
          </w:rPr>
          <w:t>1</w:t>
        </w:r>
        <w:r>
          <w:rPr>
            <w:noProof/>
          </w:rPr>
          <w:fldChar w:fldCharType="end"/>
        </w:r>
      </w:p>
    </w:sdtContent>
  </w:sdt>
  <w:p w14:paraId="5BDCF8D2"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CF8C5" w14:textId="77777777" w:rsidR="00375B73" w:rsidRDefault="00375B73" w:rsidP="003C0CEB">
      <w:pPr>
        <w:bidi/>
      </w:pPr>
      <w:r>
        <w:separator/>
      </w:r>
    </w:p>
  </w:footnote>
  <w:footnote w:type="continuationSeparator" w:id="0">
    <w:p w14:paraId="5BDCF8C6" w14:textId="77777777" w:rsidR="00375B73" w:rsidRDefault="00375B73">
      <w:r>
        <w:continuationSeparator/>
      </w:r>
    </w:p>
  </w:footnote>
  <w:footnote w:id="1">
    <w:p w14:paraId="5BDCF8D3" w14:textId="77777777" w:rsidR="003C0CEB" w:rsidRDefault="003C0CEB" w:rsidP="003C0CEB">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w:t>
      </w:r>
      <w:r w:rsidRPr="00D47A2B">
        <w:t>9</w:t>
      </w:r>
      <w:r>
        <w:t>2</w:t>
      </w:r>
      <w:r w:rsidRPr="00D47A2B">
        <w:t>/1</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F8C9" w14:textId="68CBF880" w:rsidR="007E5D09" w:rsidRDefault="00601208">
    <w:r>
      <w:fldChar w:fldCharType="begin"/>
    </w:r>
    <w:r w:rsidR="0053096E">
      <w:instrText xml:space="preserve"> DOCPROPERTY "Document number"  \* MERGEFORMAT </w:instrText>
    </w:r>
    <w:r>
      <w:fldChar w:fldCharType="separate"/>
    </w:r>
    <w:r w:rsidR="00EC4198">
      <w:t>UNEP/</w:t>
    </w:r>
    <w:proofErr w:type="spellStart"/>
    <w:r w:rsidR="00EC4198">
      <w:t>OzL.Pro</w:t>
    </w:r>
    <w:proofErr w:type="spellEnd"/>
    <w:r w:rsidR="00EC4198">
      <w:t>/ExCom/92/55</w:t>
    </w:r>
    <w:r>
      <w:fldChar w:fldCharType="end"/>
    </w:r>
  </w:p>
  <w:p w14:paraId="5BDCF8CA" w14:textId="77777777" w:rsidR="007E5D09" w:rsidRDefault="007E5D09"/>
  <w:p w14:paraId="5BDCF8C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F8CC" w14:textId="6A1E9C26" w:rsidR="007E5D09" w:rsidRDefault="00601208">
    <w:pPr>
      <w:jc w:val="right"/>
    </w:pPr>
    <w:r>
      <w:fldChar w:fldCharType="begin"/>
    </w:r>
    <w:r w:rsidR="0053096E">
      <w:instrText xml:space="preserve"> DOCPROPERTY "Document number"  \* MERGEFORMAT </w:instrText>
    </w:r>
    <w:r>
      <w:fldChar w:fldCharType="separate"/>
    </w:r>
    <w:r w:rsidR="00EC4198">
      <w:t>UNEP/</w:t>
    </w:r>
    <w:proofErr w:type="spellStart"/>
    <w:r w:rsidR="00EC4198">
      <w:t>OzL.Pro</w:t>
    </w:r>
    <w:proofErr w:type="spellEnd"/>
    <w:r w:rsidR="00EC4198">
      <w:t>/ExCom/92/55</w:t>
    </w:r>
    <w:r>
      <w:fldChar w:fldCharType="end"/>
    </w:r>
  </w:p>
  <w:p w14:paraId="5BDCF8CD" w14:textId="77777777" w:rsidR="007E5D09" w:rsidRDefault="007E5D09"/>
  <w:p w14:paraId="5BDCF8CE"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126D" w14:textId="77777777" w:rsidR="00EC4198" w:rsidRDefault="00EC4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5226F7"/>
    <w:multiLevelType w:val="hybridMultilevel"/>
    <w:tmpl w:val="D2D83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B014F3"/>
    <w:multiLevelType w:val="hybridMultilevel"/>
    <w:tmpl w:val="F73E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62FB5"/>
    <w:multiLevelType w:val="hybridMultilevel"/>
    <w:tmpl w:val="A2FE5FFC"/>
    <w:lvl w:ilvl="0" w:tplc="9AAE88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966532"/>
    <w:multiLevelType w:val="hybridMultilevel"/>
    <w:tmpl w:val="162CD50E"/>
    <w:lvl w:ilvl="0" w:tplc="C710672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232802">
    <w:abstractNumId w:val="10"/>
  </w:num>
  <w:num w:numId="2" w16cid:durableId="1289431646">
    <w:abstractNumId w:val="10"/>
  </w:num>
  <w:num w:numId="3" w16cid:durableId="1366563960">
    <w:abstractNumId w:val="10"/>
  </w:num>
  <w:num w:numId="4" w16cid:durableId="424764800">
    <w:abstractNumId w:val="10"/>
  </w:num>
  <w:num w:numId="5" w16cid:durableId="159278855">
    <w:abstractNumId w:val="10"/>
  </w:num>
  <w:num w:numId="6" w16cid:durableId="254437320">
    <w:abstractNumId w:val="9"/>
  </w:num>
  <w:num w:numId="7" w16cid:durableId="694228644">
    <w:abstractNumId w:val="7"/>
  </w:num>
  <w:num w:numId="8" w16cid:durableId="604994871">
    <w:abstractNumId w:val="6"/>
  </w:num>
  <w:num w:numId="9" w16cid:durableId="845902567">
    <w:abstractNumId w:val="5"/>
  </w:num>
  <w:num w:numId="10" w16cid:durableId="1313831644">
    <w:abstractNumId w:val="4"/>
  </w:num>
  <w:num w:numId="11" w16cid:durableId="1820227144">
    <w:abstractNumId w:val="8"/>
  </w:num>
  <w:num w:numId="12" w16cid:durableId="1823767294">
    <w:abstractNumId w:val="3"/>
  </w:num>
  <w:num w:numId="13" w16cid:durableId="1815172834">
    <w:abstractNumId w:val="2"/>
  </w:num>
  <w:num w:numId="14" w16cid:durableId="2001883032">
    <w:abstractNumId w:val="1"/>
  </w:num>
  <w:num w:numId="15" w16cid:durableId="1971012996">
    <w:abstractNumId w:val="0"/>
  </w:num>
  <w:num w:numId="16" w16cid:durableId="73555749">
    <w:abstractNumId w:val="13"/>
  </w:num>
  <w:num w:numId="17" w16cid:durableId="1918519341">
    <w:abstractNumId w:val="16"/>
  </w:num>
  <w:num w:numId="18" w16cid:durableId="1121417318">
    <w:abstractNumId w:val="17"/>
  </w:num>
  <w:num w:numId="19" w16cid:durableId="231043497">
    <w:abstractNumId w:val="21"/>
  </w:num>
  <w:num w:numId="20" w16cid:durableId="517474454">
    <w:abstractNumId w:val="15"/>
  </w:num>
  <w:num w:numId="21" w16cid:durableId="751895282">
    <w:abstractNumId w:val="12"/>
  </w:num>
  <w:num w:numId="22" w16cid:durableId="512961858">
    <w:abstractNumId w:val="14"/>
  </w:num>
  <w:num w:numId="23" w16cid:durableId="405809343">
    <w:abstractNumId w:val="11"/>
  </w:num>
  <w:num w:numId="24" w16cid:durableId="1247226403">
    <w:abstractNumId w:val="18"/>
  </w:num>
  <w:num w:numId="25" w16cid:durableId="2126195425">
    <w:abstractNumId w:val="20"/>
  </w:num>
  <w:num w:numId="26" w16cid:durableId="192526123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0CEB"/>
    <w:rsid w:val="00013372"/>
    <w:rsid w:val="00017133"/>
    <w:rsid w:val="0004254A"/>
    <w:rsid w:val="000861FE"/>
    <w:rsid w:val="000B084F"/>
    <w:rsid w:val="000C2FE8"/>
    <w:rsid w:val="00125F03"/>
    <w:rsid w:val="001848EB"/>
    <w:rsid w:val="001D2B45"/>
    <w:rsid w:val="002B535E"/>
    <w:rsid w:val="002E6A6F"/>
    <w:rsid w:val="002E7EF7"/>
    <w:rsid w:val="002F505F"/>
    <w:rsid w:val="003254B1"/>
    <w:rsid w:val="00351C14"/>
    <w:rsid w:val="0035441C"/>
    <w:rsid w:val="003638D3"/>
    <w:rsid w:val="00374EDB"/>
    <w:rsid w:val="00375B73"/>
    <w:rsid w:val="003C0CEB"/>
    <w:rsid w:val="003C2739"/>
    <w:rsid w:val="003F2852"/>
    <w:rsid w:val="00416AD7"/>
    <w:rsid w:val="004C5B74"/>
    <w:rsid w:val="004D3807"/>
    <w:rsid w:val="004E5AD8"/>
    <w:rsid w:val="0053096E"/>
    <w:rsid w:val="005B65DF"/>
    <w:rsid w:val="005C7D4A"/>
    <w:rsid w:val="005E0B7D"/>
    <w:rsid w:val="005E3E15"/>
    <w:rsid w:val="00601208"/>
    <w:rsid w:val="006216FA"/>
    <w:rsid w:val="00624AEF"/>
    <w:rsid w:val="00662A73"/>
    <w:rsid w:val="006F2A2C"/>
    <w:rsid w:val="00702662"/>
    <w:rsid w:val="00763B59"/>
    <w:rsid w:val="007672E7"/>
    <w:rsid w:val="00786775"/>
    <w:rsid w:val="00791A1A"/>
    <w:rsid w:val="007972FD"/>
    <w:rsid w:val="007B1459"/>
    <w:rsid w:val="007C6EF9"/>
    <w:rsid w:val="007D141D"/>
    <w:rsid w:val="007D567C"/>
    <w:rsid w:val="007E5D09"/>
    <w:rsid w:val="0080735F"/>
    <w:rsid w:val="00813330"/>
    <w:rsid w:val="00885865"/>
    <w:rsid w:val="008E3DF3"/>
    <w:rsid w:val="00922EF1"/>
    <w:rsid w:val="00954458"/>
    <w:rsid w:val="00983FD1"/>
    <w:rsid w:val="009C46B2"/>
    <w:rsid w:val="00A44778"/>
    <w:rsid w:val="00A755B6"/>
    <w:rsid w:val="00AB4886"/>
    <w:rsid w:val="00B11DB6"/>
    <w:rsid w:val="00B40E87"/>
    <w:rsid w:val="00B81E83"/>
    <w:rsid w:val="00B86B8A"/>
    <w:rsid w:val="00BC44CB"/>
    <w:rsid w:val="00C0282C"/>
    <w:rsid w:val="00C0337B"/>
    <w:rsid w:val="00C27B58"/>
    <w:rsid w:val="00C55EF2"/>
    <w:rsid w:val="00C8241E"/>
    <w:rsid w:val="00CD1A15"/>
    <w:rsid w:val="00CD4C57"/>
    <w:rsid w:val="00CD5AA1"/>
    <w:rsid w:val="00CF190E"/>
    <w:rsid w:val="00D006A9"/>
    <w:rsid w:val="00D45C4D"/>
    <w:rsid w:val="00DA7ECC"/>
    <w:rsid w:val="00E1360E"/>
    <w:rsid w:val="00E47CD9"/>
    <w:rsid w:val="00E86EBE"/>
    <w:rsid w:val="00EC108E"/>
    <w:rsid w:val="00EC4198"/>
    <w:rsid w:val="00F073C9"/>
    <w:rsid w:val="00F57CD7"/>
    <w:rsid w:val="00F85E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CF87C"/>
  <w15:docId w15:val="{64AE5634-AA25-49D5-A6F8-4B8CFA7A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6F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6216F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6216FA"/>
    <w:pPr>
      <w:widowControl w:val="0"/>
      <w:numPr>
        <w:ilvl w:val="1"/>
        <w:numId w:val="2"/>
      </w:numPr>
      <w:spacing w:after="240"/>
      <w:outlineLvl w:val="1"/>
    </w:pPr>
  </w:style>
  <w:style w:type="paragraph" w:styleId="Heading3">
    <w:name w:val="heading 3"/>
    <w:aliases w:val="Char"/>
    <w:basedOn w:val="Normal"/>
    <w:next w:val="Normal"/>
    <w:qFormat/>
    <w:rsid w:val="006216FA"/>
    <w:pPr>
      <w:widowControl w:val="0"/>
      <w:numPr>
        <w:ilvl w:val="2"/>
        <w:numId w:val="3"/>
      </w:numPr>
      <w:spacing w:after="240"/>
      <w:outlineLvl w:val="2"/>
    </w:pPr>
  </w:style>
  <w:style w:type="paragraph" w:styleId="Heading4">
    <w:name w:val="heading 4"/>
    <w:aliases w:val="Heading 11"/>
    <w:basedOn w:val="Normal"/>
    <w:next w:val="Heading9"/>
    <w:qFormat/>
    <w:rsid w:val="006216FA"/>
    <w:pPr>
      <w:keepNext/>
      <w:numPr>
        <w:ilvl w:val="3"/>
        <w:numId w:val="4"/>
      </w:numPr>
      <w:spacing w:before="240" w:after="60"/>
      <w:outlineLvl w:val="3"/>
    </w:pPr>
  </w:style>
  <w:style w:type="paragraph" w:styleId="Heading5">
    <w:name w:val="heading 5"/>
    <w:basedOn w:val="Normal"/>
    <w:next w:val="Normal"/>
    <w:qFormat/>
    <w:rsid w:val="006216FA"/>
    <w:pPr>
      <w:keepNext/>
      <w:numPr>
        <w:numId w:val="20"/>
      </w:numPr>
      <w:spacing w:after="240"/>
      <w:ind w:left="3600" w:hanging="720"/>
      <w:outlineLvl w:val="4"/>
    </w:pPr>
  </w:style>
  <w:style w:type="paragraph" w:styleId="Heading6">
    <w:name w:val="heading 6"/>
    <w:basedOn w:val="Normal"/>
    <w:next w:val="Normal"/>
    <w:qFormat/>
    <w:rsid w:val="006216FA"/>
    <w:pPr>
      <w:numPr>
        <w:ilvl w:val="5"/>
        <w:numId w:val="1"/>
      </w:numPr>
      <w:spacing w:before="240" w:after="60"/>
      <w:outlineLvl w:val="5"/>
    </w:pPr>
    <w:rPr>
      <w:rFonts w:ascii="Arial" w:hAnsi="Arial"/>
      <w:i/>
    </w:rPr>
  </w:style>
  <w:style w:type="paragraph" w:styleId="Heading7">
    <w:name w:val="heading 7"/>
    <w:basedOn w:val="Normal"/>
    <w:next w:val="Normal"/>
    <w:qFormat/>
    <w:rsid w:val="006216FA"/>
    <w:pPr>
      <w:numPr>
        <w:ilvl w:val="6"/>
        <w:numId w:val="1"/>
      </w:numPr>
      <w:spacing w:before="240" w:after="60"/>
      <w:outlineLvl w:val="6"/>
    </w:pPr>
    <w:rPr>
      <w:rFonts w:ascii="Arial" w:hAnsi="Arial"/>
    </w:rPr>
  </w:style>
  <w:style w:type="paragraph" w:styleId="Heading8">
    <w:name w:val="heading 8"/>
    <w:basedOn w:val="Normal"/>
    <w:next w:val="Normal"/>
    <w:qFormat/>
    <w:rsid w:val="006216FA"/>
    <w:pPr>
      <w:outlineLvl w:val="7"/>
    </w:pPr>
    <w:rPr>
      <w:b/>
    </w:rPr>
  </w:style>
  <w:style w:type="paragraph" w:styleId="Heading9">
    <w:name w:val="heading 9"/>
    <w:basedOn w:val="Normal"/>
    <w:next w:val="Normal"/>
    <w:qFormat/>
    <w:rsid w:val="006216F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216FA"/>
    <w:pPr>
      <w:numPr>
        <w:numId w:val="16"/>
      </w:numPr>
    </w:pPr>
  </w:style>
  <w:style w:type="paragraph" w:styleId="Header">
    <w:name w:val="header"/>
    <w:basedOn w:val="Normal"/>
    <w:rsid w:val="006216FA"/>
    <w:pPr>
      <w:tabs>
        <w:tab w:val="center" w:pos="4320"/>
        <w:tab w:val="right" w:pos="8640"/>
      </w:tabs>
    </w:pPr>
  </w:style>
  <w:style w:type="paragraph" w:customStyle="1" w:styleId="sub-title">
    <w:name w:val="sub-title"/>
    <w:rsid w:val="006216FA"/>
    <w:pPr>
      <w:jc w:val="both"/>
      <w:outlineLvl w:val="0"/>
    </w:pPr>
    <w:rPr>
      <w:b/>
      <w:noProof/>
      <w:sz w:val="22"/>
      <w:szCs w:val="22"/>
    </w:rPr>
  </w:style>
  <w:style w:type="paragraph" w:customStyle="1" w:styleId="Title1">
    <w:name w:val="Title1"/>
    <w:rsid w:val="006216FA"/>
    <w:pPr>
      <w:jc w:val="center"/>
      <w:outlineLvl w:val="0"/>
    </w:pPr>
    <w:rPr>
      <w:b/>
      <w:caps/>
      <w:sz w:val="22"/>
      <w:szCs w:val="22"/>
      <w:lang w:val="en-GB"/>
    </w:rPr>
  </w:style>
  <w:style w:type="paragraph" w:customStyle="1" w:styleId="Decision">
    <w:name w:val="Decision"/>
    <w:basedOn w:val="Normal"/>
    <w:rsid w:val="006216FA"/>
    <w:pPr>
      <w:keepLines/>
      <w:jc w:val="right"/>
    </w:pPr>
    <w:rPr>
      <w:b/>
    </w:rPr>
  </w:style>
  <w:style w:type="paragraph" w:customStyle="1" w:styleId="0Heading0">
    <w:name w:val="0 Heading 0"/>
    <w:uiPriority w:val="99"/>
    <w:rsid w:val="006216FA"/>
    <w:rPr>
      <w:sz w:val="22"/>
      <w:szCs w:val="22"/>
      <w:lang w:val="en-GB"/>
    </w:rPr>
  </w:style>
  <w:style w:type="paragraph" w:styleId="Footer">
    <w:name w:val="footer"/>
    <w:basedOn w:val="Normal"/>
    <w:link w:val="FooterChar"/>
    <w:uiPriority w:val="99"/>
    <w:rsid w:val="006216FA"/>
    <w:pPr>
      <w:tabs>
        <w:tab w:val="center" w:pos="4320"/>
        <w:tab w:val="right" w:pos="8640"/>
      </w:tabs>
    </w:pPr>
  </w:style>
  <w:style w:type="numbering" w:styleId="1ai">
    <w:name w:val="Outline List 1"/>
    <w:basedOn w:val="NoList"/>
    <w:semiHidden/>
    <w:rsid w:val="006216FA"/>
    <w:pPr>
      <w:numPr>
        <w:numId w:val="17"/>
      </w:numPr>
    </w:pPr>
  </w:style>
  <w:style w:type="numbering" w:styleId="ArticleSection">
    <w:name w:val="Outline List 3"/>
    <w:basedOn w:val="NoList"/>
    <w:semiHidden/>
    <w:rsid w:val="006216FA"/>
    <w:pPr>
      <w:numPr>
        <w:numId w:val="18"/>
      </w:numPr>
    </w:pPr>
  </w:style>
  <w:style w:type="paragraph" w:styleId="BlockText">
    <w:name w:val="Block Text"/>
    <w:basedOn w:val="Normal"/>
    <w:semiHidden/>
    <w:rsid w:val="006216FA"/>
    <w:pPr>
      <w:spacing w:after="120"/>
      <w:ind w:left="1440" w:right="1440"/>
    </w:pPr>
  </w:style>
  <w:style w:type="paragraph" w:styleId="BodyText3">
    <w:name w:val="Body Text 3"/>
    <w:basedOn w:val="Normal"/>
    <w:semiHidden/>
    <w:rsid w:val="006216FA"/>
    <w:pPr>
      <w:spacing w:after="120"/>
    </w:pPr>
    <w:rPr>
      <w:sz w:val="16"/>
      <w:szCs w:val="16"/>
    </w:rPr>
  </w:style>
  <w:style w:type="paragraph" w:styleId="BodyTextIndent3">
    <w:name w:val="Body Text Indent 3"/>
    <w:basedOn w:val="Normal"/>
    <w:semiHidden/>
    <w:rsid w:val="006216FA"/>
    <w:pPr>
      <w:spacing w:after="120"/>
      <w:ind w:left="360"/>
    </w:pPr>
    <w:rPr>
      <w:sz w:val="16"/>
      <w:szCs w:val="16"/>
    </w:rPr>
  </w:style>
  <w:style w:type="paragraph" w:styleId="PlainText">
    <w:name w:val="Plain Text"/>
    <w:basedOn w:val="Normal"/>
    <w:semiHidden/>
    <w:rsid w:val="006216FA"/>
    <w:rPr>
      <w:rFonts w:ascii="Courier New" w:hAnsi="Courier New" w:cs="Courier New"/>
      <w:sz w:val="20"/>
    </w:rPr>
  </w:style>
  <w:style w:type="table" w:styleId="Table3Deffects1">
    <w:name w:val="Table 3D effects 1"/>
    <w:basedOn w:val="TableNormal"/>
    <w:semiHidden/>
    <w:rsid w:val="006216F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216F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216F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216F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216F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216F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216F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216F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216F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216F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216F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216F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216F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216F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216F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216F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216F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216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216F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216F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216F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216F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216F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216F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216F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216F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216F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216F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216F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216F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216F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216F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216F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216F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216F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216F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216F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216F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216F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216F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216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216F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216F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216F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216FA"/>
    <w:rPr>
      <w:sz w:val="22"/>
      <w:szCs w:val="22"/>
      <w:lang w:val="en-GB"/>
    </w:rPr>
  </w:style>
  <w:style w:type="paragraph" w:customStyle="1" w:styleId="Header4">
    <w:name w:val="Header4"/>
    <w:aliases w:val="Para 4"/>
    <w:basedOn w:val="Normal"/>
    <w:next w:val="Normal"/>
    <w:rsid w:val="006216F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216FA"/>
    <w:rPr>
      <w:sz w:val="16"/>
      <w:szCs w:val="16"/>
    </w:rPr>
  </w:style>
  <w:style w:type="paragraph" w:styleId="Subtitle">
    <w:name w:val="Subtitle"/>
    <w:basedOn w:val="Normal"/>
    <w:qFormat/>
    <w:rsid w:val="006216FA"/>
    <w:pPr>
      <w:spacing w:after="60"/>
      <w:jc w:val="center"/>
      <w:outlineLvl w:val="1"/>
    </w:pPr>
    <w:rPr>
      <w:rFonts w:ascii="Arial" w:hAnsi="Arial" w:cs="Arial"/>
    </w:rPr>
  </w:style>
  <w:style w:type="paragraph" w:styleId="Title">
    <w:name w:val="Title"/>
    <w:basedOn w:val="Normal"/>
    <w:qFormat/>
    <w:rsid w:val="006216FA"/>
    <w:pPr>
      <w:spacing w:before="240" w:after="60"/>
      <w:jc w:val="center"/>
      <w:outlineLvl w:val="0"/>
    </w:pPr>
    <w:rPr>
      <w:rFonts w:ascii="Arial" w:hAnsi="Arial" w:cs="Arial"/>
      <w:b/>
      <w:bCs/>
      <w:kern w:val="28"/>
    </w:rPr>
  </w:style>
  <w:style w:type="paragraph" w:styleId="Date">
    <w:name w:val="Date"/>
    <w:basedOn w:val="Normal"/>
    <w:next w:val="Normal"/>
    <w:rsid w:val="006216FA"/>
  </w:style>
  <w:style w:type="character" w:styleId="PlaceholderText">
    <w:name w:val="Placeholder Text"/>
    <w:basedOn w:val="DefaultParagraphFont"/>
    <w:uiPriority w:val="99"/>
    <w:semiHidden/>
    <w:rsid w:val="006216FA"/>
    <w:rPr>
      <w:color w:val="808080"/>
    </w:rPr>
  </w:style>
  <w:style w:type="paragraph" w:styleId="BalloonText">
    <w:name w:val="Balloon Text"/>
    <w:basedOn w:val="Normal"/>
    <w:link w:val="BalloonTextChar"/>
    <w:uiPriority w:val="99"/>
    <w:semiHidden/>
    <w:unhideWhenUsed/>
    <w:rsid w:val="006216FA"/>
    <w:rPr>
      <w:rFonts w:ascii="Tahoma" w:hAnsi="Tahoma" w:cs="Tahoma"/>
      <w:sz w:val="16"/>
      <w:szCs w:val="16"/>
    </w:rPr>
  </w:style>
  <w:style w:type="character" w:customStyle="1" w:styleId="BalloonTextChar">
    <w:name w:val="Balloon Text Char"/>
    <w:basedOn w:val="DefaultParagraphFont"/>
    <w:link w:val="BalloonText"/>
    <w:uiPriority w:val="99"/>
    <w:semiHidden/>
    <w:rsid w:val="006216FA"/>
    <w:rPr>
      <w:rFonts w:ascii="Tahoma" w:hAnsi="Tahoma" w:cs="Tahoma"/>
      <w:sz w:val="16"/>
      <w:szCs w:val="16"/>
      <w:lang w:val="en-GB"/>
    </w:rPr>
  </w:style>
  <w:style w:type="paragraph" w:styleId="CommentText">
    <w:name w:val="annotation text"/>
    <w:basedOn w:val="Normal"/>
    <w:link w:val="CommentTextChar"/>
    <w:uiPriority w:val="99"/>
    <w:semiHidden/>
    <w:unhideWhenUsed/>
    <w:rsid w:val="006216FA"/>
    <w:rPr>
      <w:sz w:val="20"/>
    </w:rPr>
  </w:style>
  <w:style w:type="character" w:customStyle="1" w:styleId="CommentTextChar">
    <w:name w:val="Comment Text Char"/>
    <w:basedOn w:val="DefaultParagraphFont"/>
    <w:link w:val="CommentText"/>
    <w:uiPriority w:val="99"/>
    <w:semiHidden/>
    <w:rsid w:val="006216FA"/>
    <w:rPr>
      <w:lang w:val="en-GB"/>
    </w:rPr>
  </w:style>
  <w:style w:type="paragraph" w:styleId="CommentSubject">
    <w:name w:val="annotation subject"/>
    <w:basedOn w:val="CommentText"/>
    <w:next w:val="CommentText"/>
    <w:link w:val="CommentSubjectChar"/>
    <w:uiPriority w:val="99"/>
    <w:semiHidden/>
    <w:unhideWhenUsed/>
    <w:rsid w:val="006216FA"/>
    <w:rPr>
      <w:b/>
      <w:bCs/>
    </w:rPr>
  </w:style>
  <w:style w:type="character" w:customStyle="1" w:styleId="CommentSubjectChar">
    <w:name w:val="Comment Subject Char"/>
    <w:basedOn w:val="CommentTextChar"/>
    <w:link w:val="CommentSubject"/>
    <w:uiPriority w:val="99"/>
    <w:semiHidden/>
    <w:rsid w:val="006216FA"/>
    <w:rPr>
      <w:b/>
      <w:bCs/>
      <w:lang w:val="en-GB"/>
    </w:rPr>
  </w:style>
  <w:style w:type="paragraph" w:customStyle="1" w:styleId="StyleHeader4Para4Left0Firstline0">
    <w:name w:val="Style Header4Para 4 + Left:  0&quot; First line:  0&quot;"/>
    <w:basedOn w:val="Header4"/>
    <w:rsid w:val="006216FA"/>
    <w:pPr>
      <w:ind w:left="0" w:firstLine="0"/>
    </w:pPr>
    <w:rPr>
      <w:sz w:val="20"/>
    </w:rPr>
  </w:style>
  <w:style w:type="paragraph" w:styleId="Caption">
    <w:name w:val="caption"/>
    <w:basedOn w:val="Normal"/>
    <w:next w:val="Normal"/>
    <w:qFormat/>
    <w:rsid w:val="006216FA"/>
    <w:pPr>
      <w:bidi/>
      <w:ind w:left="180" w:hanging="180"/>
      <w:jc w:val="lowKashida"/>
    </w:pPr>
    <w:rPr>
      <w:rFonts w:cs="Simplified Arabic"/>
      <w:szCs w:val="32"/>
      <w:lang w:val="en-US" w:eastAsia="en-CA"/>
    </w:rPr>
  </w:style>
  <w:style w:type="character" w:styleId="PageNumber">
    <w:name w:val="page number"/>
    <w:basedOn w:val="DefaultParagraphFont"/>
    <w:semiHidden/>
    <w:rsid w:val="006216FA"/>
  </w:style>
  <w:style w:type="character" w:customStyle="1" w:styleId="FooterChar">
    <w:name w:val="Footer Char"/>
    <w:basedOn w:val="DefaultParagraphFont"/>
    <w:link w:val="Footer"/>
    <w:uiPriority w:val="99"/>
    <w:rsid w:val="006216FA"/>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982514AB5DCF47929E9E930B092888" ma:contentTypeVersion="5" ma:contentTypeDescription="Create a new document." ma:contentTypeScope="" ma:versionID="186ee0cdaf4d7d149bee95cd4f20a91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005620C-22DD-4361-B5B0-580DE91E2A5C}"/>
</file>

<file path=customXml/itemProps4.xml><?xml version="1.0" encoding="utf-8"?>
<ds:datastoreItem xmlns:ds="http://schemas.openxmlformats.org/officeDocument/2006/customXml" ds:itemID="{D1C1B920-E16C-4F95-ACA4-A32CB04C6ABA}"/>
</file>

<file path=docProps/app.xml><?xml version="1.0" encoding="utf-8"?>
<Properties xmlns="http://schemas.openxmlformats.org/officeDocument/2006/extended-properties" xmlns:vt="http://schemas.openxmlformats.org/officeDocument/2006/docPropsVTypes">
  <Template>A92-template</Template>
  <TotalTime>1384</TotalTime>
  <Pages>4</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تقرير الفريق الفرعي المعني بقطاع الإنتاج</vt:lpstr>
    </vt:vector>
  </TitlesOfParts>
  <Company>UNMFS</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                                                                                                                                                                     .</dc:title>
  <dc:creator/>
  <cp:lastModifiedBy>HBE</cp:lastModifiedBy>
  <cp:revision>12</cp:revision>
  <cp:lastPrinted>2001-05-26T16:40:00Z</cp:lastPrinted>
  <dcterms:created xsi:type="dcterms:W3CDTF">2023-06-29T16:26:00Z</dcterms:created>
  <dcterms:modified xsi:type="dcterms:W3CDTF">2023-07-07T17:25:00Z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UNEP/OzL.Pro/ExCom/92/55</vt:lpwstr>
  </property>
  <property fmtid="{D5CDD505-2E9C-101B-9397-08002B2CF9AE}" pid="3" name="Revision date">
    <vt:lpwstr>6/2/2023</vt:lpwstr>
  </property>
  <property fmtid="{D5CDD505-2E9C-101B-9397-08002B2CF9AE}" pid="4" name="ContentTypeId">
    <vt:lpwstr>0x010100FE982514AB5DCF47929E9E930B092888</vt:lpwstr>
  </property>
  <property fmtid="{D5CDD505-2E9C-101B-9397-08002B2CF9AE}" pid="5" name="Order">
    <vt:r8>147400</vt:r8>
  </property>
  <property fmtid="{D5CDD505-2E9C-101B-9397-08002B2CF9AE}" pid="7" name="lcf76f155ced4ddcb4097134ff3c332f">
    <vt:lpwstr/>
  </property>
</Properties>
</file>