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5F389C" w:rsidRPr="009B0D30" w14:paraId="487DBA37" w14:textId="77777777" w:rsidTr="00C41ED8">
        <w:trPr>
          <w:trHeight w:val="720"/>
        </w:trPr>
        <w:tc>
          <w:tcPr>
            <w:tcW w:w="6282" w:type="dxa"/>
            <w:gridSpan w:val="2"/>
            <w:tcBorders>
              <w:bottom w:val="single" w:sz="18" w:space="0" w:color="auto"/>
            </w:tcBorders>
          </w:tcPr>
          <w:p w14:paraId="6E510AB3"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870" w:type="dxa"/>
            <w:tcBorders>
              <w:bottom w:val="single" w:sz="18" w:space="0" w:color="auto"/>
            </w:tcBorders>
          </w:tcPr>
          <w:p w14:paraId="36146BF1" w14:textId="77777777" w:rsidR="005F389C" w:rsidRPr="009B0D30" w:rsidRDefault="005F389C">
            <w:pPr>
              <w:jc w:val="right"/>
              <w:rPr>
                <w:sz w:val="52"/>
                <w:szCs w:val="52"/>
              </w:rPr>
            </w:pPr>
            <w:r>
              <w:rPr>
                <w:rFonts w:ascii="Univers Bold" w:hAnsi="Univers Bold"/>
                <w:b/>
                <w:sz w:val="72"/>
              </w:rPr>
              <w:t>EP</w:t>
            </w:r>
          </w:p>
        </w:tc>
      </w:tr>
      <w:tr w:rsidR="005F389C" w:rsidRPr="009B0D30" w14:paraId="3AA09BEC" w14:textId="77777777" w:rsidTr="00C41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5DBCA1" w14:textId="77777777" w:rsidR="005F389C" w:rsidRPr="009B0D30" w:rsidRDefault="005F389C">
            <w:pPr>
              <w:spacing w:before="120"/>
            </w:pPr>
            <w:r>
              <w:rPr>
                <w:noProof/>
              </w:rPr>
              <mc:AlternateContent>
                <mc:Choice Requires="wpg">
                  <w:drawing>
                    <wp:anchor distT="0" distB="0" distL="114300" distR="114300" simplePos="0" relativeHeight="251658240" behindDoc="0" locked="0" layoutInCell="1" allowOverlap="1" wp14:anchorId="0CD3C49F" wp14:editId="332AC6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760464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0678CED5" w14:textId="77777777" w:rsidR="00C41ED8" w:rsidRDefault="00C41E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91A2E81" w14:textId="74A8B01A"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C76BF51"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12963F99" w14:textId="77777777" w:rsidR="005F389C" w:rsidRPr="009B0D30" w:rsidRDefault="005F389C" w:rsidP="00E664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9129AC3" w14:textId="77777777" w:rsidR="005F389C" w:rsidRPr="009B0D30" w:rsidRDefault="005F389C">
            <w:pPr>
              <w:spacing w:before="720"/>
              <w:ind w:left="158"/>
            </w:pPr>
          </w:p>
        </w:tc>
        <w:tc>
          <w:tcPr>
            <w:tcW w:w="3870" w:type="dxa"/>
            <w:tcBorders>
              <w:top w:val="nil"/>
              <w:left w:val="nil"/>
              <w:bottom w:val="single" w:sz="36" w:space="0" w:color="auto"/>
              <w:right w:val="nil"/>
            </w:tcBorders>
          </w:tcPr>
          <w:p w14:paraId="37450213" w14:textId="77777777" w:rsidR="00C41ED8" w:rsidRDefault="00C41ED8"/>
          <w:p w14:paraId="49C7FDEF" w14:textId="58545B72" w:rsidR="005F389C" w:rsidRPr="009B0D30" w:rsidRDefault="005F389C">
            <w:r>
              <w:t>Distr.</w:t>
            </w:r>
          </w:p>
          <w:p w14:paraId="1865A486" w14:textId="77777777" w:rsidR="005F389C" w:rsidRPr="009B0D30" w:rsidRDefault="005F389C">
            <w:r>
              <w:t>GENERAL</w:t>
            </w:r>
          </w:p>
          <w:p w14:paraId="0E657556" w14:textId="77777777" w:rsidR="005F389C" w:rsidRPr="009B0D30" w:rsidRDefault="005F389C"/>
          <w:p w14:paraId="3EB66B8B" w14:textId="1A3C4356" w:rsidR="005F389C" w:rsidRPr="009B0D30" w:rsidRDefault="00F47497">
            <w:fldSimple w:instr=" DOCPROPERTY &quot;Document number&quot;  \* MERGEFORMAT ">
              <w:r w:rsidR="00C41ED8">
                <w:t>UNEP/OzL.Pro/ExCom/97/27</w:t>
              </w:r>
            </w:fldSimple>
          </w:p>
          <w:p w14:paraId="77488C82" w14:textId="55DDE907" w:rsidR="005F389C" w:rsidRPr="009B0D30" w:rsidRDefault="005F389C">
            <w:r w:rsidRPr="009B0D30">
              <w:fldChar w:fldCharType="begin"/>
            </w:r>
            <w:r w:rsidRPr="009B0D30">
              <w:instrText xml:space="preserve"> DOCPROPERTY "Revision date" \@ "d MMMM YYYY"  \* MERGEFORMAT </w:instrText>
            </w:r>
            <w:r w:rsidRPr="009B0D30">
              <w:fldChar w:fldCharType="separate"/>
            </w:r>
            <w:r w:rsidR="00F47497">
              <w:t xml:space="preserve">13 </w:t>
            </w:r>
            <w:r w:rsidR="00E664EF">
              <w:t xml:space="preserve">de </w:t>
            </w:r>
            <w:r w:rsidR="00F47497">
              <w:t xml:space="preserve">noviembre </w:t>
            </w:r>
            <w:r w:rsidR="00E664EF">
              <w:t xml:space="preserve">de </w:t>
            </w:r>
            <w:r w:rsidR="00F47497">
              <w:t>2025</w:t>
            </w:r>
            <w:r w:rsidRPr="009B0D30">
              <w:fldChar w:fldCharType="end"/>
            </w:r>
          </w:p>
          <w:p w14:paraId="35434F56" w14:textId="77777777" w:rsidR="005F389C" w:rsidRPr="009B0D30" w:rsidRDefault="005F389C">
            <w:pPr>
              <w:rPr>
                <w:caps/>
              </w:rPr>
            </w:pPr>
          </w:p>
          <w:p w14:paraId="1702DAF9" w14:textId="77777777" w:rsidR="00E664EF" w:rsidRDefault="005F389C">
            <w:r>
              <w:t xml:space="preserve">ESPAÑOL </w:t>
            </w:r>
          </w:p>
          <w:p w14:paraId="724776AC" w14:textId="3D418E74" w:rsidR="005F389C" w:rsidRPr="009B0D30" w:rsidRDefault="005F389C">
            <w:r>
              <w:t>ORIGINAL: INGLÉS</w:t>
            </w:r>
          </w:p>
        </w:tc>
      </w:tr>
    </w:tbl>
    <w:p w14:paraId="3E8A74E4" w14:textId="77777777" w:rsidR="005F389C" w:rsidRDefault="005F389C" w:rsidP="005F389C">
      <w:pPr>
        <w:jc w:val="left"/>
      </w:pPr>
      <w:r>
        <w:t>COMITÉ EJECUTIVO DEL FONDO MULTILATERAL</w:t>
      </w:r>
      <w:r>
        <w:br/>
        <w:t xml:space="preserve"> PARA LA APLICACIÓN DEL</w:t>
      </w:r>
      <w:r>
        <w:br/>
        <w:t xml:space="preserve"> PROTOCOLO DE MONTREAL</w:t>
      </w:r>
      <w:r>
        <w:br/>
        <w:t>Nonagésima séptima reunión</w:t>
      </w:r>
    </w:p>
    <w:p w14:paraId="60B32598" w14:textId="3786FEEA" w:rsidR="005F389C" w:rsidRDefault="005F389C" w:rsidP="005F389C">
      <w:pPr>
        <w:jc w:val="left"/>
      </w:pPr>
      <w:r>
        <w:t>Montreal, 1-5 de diciembre de 2025</w:t>
      </w:r>
    </w:p>
    <w:p w14:paraId="53B61F18" w14:textId="074A68E8" w:rsidR="005F389C" w:rsidRDefault="005F389C" w:rsidP="005F389C">
      <w:pPr>
        <w:jc w:val="left"/>
      </w:pPr>
      <w:r>
        <w:t>Punto 9 b) del orden del día provisional</w:t>
      </w:r>
      <w:r w:rsidRPr="00512BEF">
        <w:rPr>
          <w:rStyle w:val="FootnoteReference"/>
        </w:rPr>
        <w:footnoteReference w:id="1"/>
      </w:r>
    </w:p>
    <w:p w14:paraId="1C0CB50B" w14:textId="77777777" w:rsidR="009145E4" w:rsidRDefault="009145E4" w:rsidP="009145E4">
      <w:pPr>
        <w:pStyle w:val="Heading1"/>
        <w:numPr>
          <w:ilvl w:val="0"/>
          <w:numId w:val="0"/>
        </w:numPr>
      </w:pPr>
    </w:p>
    <w:p w14:paraId="0EF27B84" w14:textId="77777777" w:rsidR="00411063" w:rsidRDefault="00411063" w:rsidP="00EE71B9">
      <w:pPr>
        <w:pStyle w:val="Title1"/>
      </w:pPr>
    </w:p>
    <w:p w14:paraId="10389960" w14:textId="34ADE9E3" w:rsidR="004E7F9C" w:rsidRPr="007A73A0" w:rsidRDefault="0064733A" w:rsidP="00EE71B9">
      <w:pPr>
        <w:pStyle w:val="Title1"/>
      </w:pPr>
      <w:r>
        <w:t>COOPERACIÓN BILATERAL</w:t>
      </w:r>
    </w:p>
    <w:p w14:paraId="2B249E23" w14:textId="77777777" w:rsidR="0064733A" w:rsidRDefault="0064733A" w:rsidP="00EE71B9">
      <w:pPr>
        <w:pStyle w:val="Title1"/>
        <w:rPr>
          <w:lang w:val="en-CA"/>
        </w:rPr>
      </w:pPr>
    </w:p>
    <w:p w14:paraId="1C154093" w14:textId="77777777" w:rsidR="00EE71B9" w:rsidRPr="007A73A0" w:rsidRDefault="00EE71B9" w:rsidP="001F0B21">
      <w:pPr>
        <w:pStyle w:val="Title1"/>
        <w:jc w:val="left"/>
        <w:rPr>
          <w:lang w:val="en-CA"/>
        </w:rPr>
      </w:pPr>
    </w:p>
    <w:p w14:paraId="6660A38E" w14:textId="5A0F261D" w:rsidR="008C5738" w:rsidRPr="007A73A0" w:rsidRDefault="0064733A" w:rsidP="00EE71B9">
      <w:pPr>
        <w:pStyle w:val="StyleHeader4Para4Left0Firstline0"/>
        <w:numPr>
          <w:ilvl w:val="0"/>
          <w:numId w:val="0"/>
        </w:numPr>
        <w:rPr>
          <w:b/>
          <w:sz w:val="22"/>
        </w:rPr>
      </w:pPr>
      <w:r>
        <w:rPr>
          <w:b/>
          <w:sz w:val="22"/>
        </w:rPr>
        <w:t>Introducción</w:t>
      </w:r>
    </w:p>
    <w:p w14:paraId="3BEA6902" w14:textId="5F43CF1B" w:rsidR="00A353B7" w:rsidRPr="009D0BC8" w:rsidRDefault="00A353B7" w:rsidP="00BA4977">
      <w:pPr>
        <w:pStyle w:val="Heading1"/>
      </w:pPr>
      <w:r>
        <w:t>El presente documento presenta un panorama general de las solicitudes hechas por dos organismos bilaterales y de su admisibilidad teniendo en cuenta el nivel máximo de cooperación bilateral disponible para 2025 o para el trienio 2024-2026. En él se hace referencia a los documentos pertinentes presentados en la reunión que incluyen el análisis de las solicitudes de cooperación bilateral y contiene la recomendación sobre el año de asignación de la cooperación bilateral.</w:t>
      </w:r>
    </w:p>
    <w:p w14:paraId="2ACB3E88" w14:textId="77777777" w:rsidR="00A353B7" w:rsidRPr="00D0574C" w:rsidRDefault="00A353B7" w:rsidP="00EE71B9">
      <w:pPr>
        <w:widowControl w:val="0"/>
        <w:tabs>
          <w:tab w:val="left" w:pos="720"/>
        </w:tabs>
        <w:spacing w:after="240"/>
        <w:outlineLvl w:val="0"/>
        <w:rPr>
          <w:bCs/>
          <w:u w:val="single"/>
        </w:rPr>
      </w:pPr>
      <w:r>
        <w:rPr>
          <w:bCs/>
          <w:u w:val="single"/>
        </w:rPr>
        <w:t>Sinopsis</w:t>
      </w:r>
    </w:p>
    <w:p w14:paraId="522AA1D9" w14:textId="240455A9" w:rsidR="000A3FFE" w:rsidRPr="00D0574C" w:rsidRDefault="006D3580" w:rsidP="00DF4996">
      <w:pPr>
        <w:pStyle w:val="Heading1"/>
        <w:widowControl w:val="0"/>
      </w:pPr>
      <w:r>
        <w:t xml:space="preserve">En la 97ª reunión se han presentado cinco proyectos por un costo total de USD 877.135, como se muestra en el cuadro 1. </w:t>
      </w:r>
    </w:p>
    <w:p w14:paraId="576A1E82" w14:textId="77777777" w:rsidR="000A3FFE" w:rsidRDefault="000A3FFE">
      <w:pPr>
        <w:jc w:val="left"/>
      </w:pPr>
      <w:r>
        <w:br w:type="page"/>
      </w:r>
    </w:p>
    <w:p w14:paraId="488FF5BF" w14:textId="063A5966" w:rsidR="00A353B7" w:rsidRDefault="00A353B7" w:rsidP="00EE71B9">
      <w:pPr>
        <w:widowControl w:val="0"/>
        <w:outlineLvl w:val="0"/>
        <w:rPr>
          <w:b/>
        </w:rPr>
      </w:pPr>
      <w:r>
        <w:rPr>
          <w:b/>
        </w:rPr>
        <w:lastRenderedPageBreak/>
        <w:t>Cuadro 1. Proyectos para cooperación bilateral presentados en la 97ª reunión</w:t>
      </w:r>
    </w:p>
    <w:tbl>
      <w:tblPr>
        <w:tblStyle w:val="TableGrid"/>
        <w:tblW w:w="9720" w:type="dxa"/>
        <w:tblInd w:w="-5" w:type="dxa"/>
        <w:tblLayout w:type="fixed"/>
        <w:tblLook w:val="04A0" w:firstRow="1" w:lastRow="0" w:firstColumn="1" w:lastColumn="0" w:noHBand="0" w:noVBand="1"/>
      </w:tblPr>
      <w:tblGrid>
        <w:gridCol w:w="990"/>
        <w:gridCol w:w="1080"/>
        <w:gridCol w:w="2520"/>
        <w:gridCol w:w="1170"/>
        <w:gridCol w:w="1350"/>
        <w:gridCol w:w="1440"/>
        <w:gridCol w:w="1170"/>
      </w:tblGrid>
      <w:tr w:rsidR="000F28EB" w:rsidRPr="000A3FFE" w14:paraId="1AA65E76" w14:textId="77777777"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hideMark/>
          </w:tcPr>
          <w:p w14:paraId="671907CB" w14:textId="77777777" w:rsidR="000F28EB" w:rsidRPr="00E664EF" w:rsidRDefault="000F28EB">
            <w:pPr>
              <w:widowControl w:val="0"/>
              <w:jc w:val="center"/>
              <w:rPr>
                <w:b/>
                <w:bCs/>
                <w:sz w:val="16"/>
                <w:szCs w:val="16"/>
              </w:rPr>
            </w:pPr>
            <w:r w:rsidRPr="00E664EF">
              <w:rPr>
                <w:b/>
                <w:bCs/>
                <w:sz w:val="16"/>
                <w:szCs w:val="16"/>
              </w:rPr>
              <w:t>Organismo bilateral</w:t>
            </w:r>
          </w:p>
        </w:tc>
        <w:tc>
          <w:tcPr>
            <w:tcW w:w="1080" w:type="dxa"/>
            <w:tcBorders>
              <w:top w:val="single" w:sz="4" w:space="0" w:color="auto"/>
              <w:left w:val="single" w:sz="4" w:space="0" w:color="auto"/>
              <w:bottom w:val="single" w:sz="4" w:space="0" w:color="auto"/>
              <w:right w:val="single" w:sz="4" w:space="0" w:color="auto"/>
            </w:tcBorders>
            <w:noWrap/>
            <w:hideMark/>
          </w:tcPr>
          <w:p w14:paraId="464CEF28" w14:textId="77777777" w:rsidR="000F28EB" w:rsidRPr="00E664EF" w:rsidRDefault="000F28EB">
            <w:pPr>
              <w:widowControl w:val="0"/>
              <w:jc w:val="center"/>
              <w:rPr>
                <w:b/>
                <w:bCs/>
                <w:sz w:val="16"/>
                <w:szCs w:val="16"/>
              </w:rPr>
            </w:pPr>
            <w:r w:rsidRPr="00E664EF">
              <w:rPr>
                <w:b/>
                <w:bCs/>
                <w:sz w:val="16"/>
                <w:szCs w:val="16"/>
              </w:rPr>
              <w:t>País</w:t>
            </w:r>
          </w:p>
        </w:tc>
        <w:tc>
          <w:tcPr>
            <w:tcW w:w="2520" w:type="dxa"/>
            <w:tcBorders>
              <w:top w:val="single" w:sz="4" w:space="0" w:color="auto"/>
              <w:left w:val="single" w:sz="4" w:space="0" w:color="auto"/>
              <w:bottom w:val="single" w:sz="4" w:space="0" w:color="auto"/>
              <w:right w:val="single" w:sz="4" w:space="0" w:color="auto"/>
            </w:tcBorders>
            <w:noWrap/>
            <w:hideMark/>
          </w:tcPr>
          <w:p w14:paraId="107FA767" w14:textId="77777777" w:rsidR="000F28EB" w:rsidRPr="00E664EF" w:rsidRDefault="000F28EB">
            <w:pPr>
              <w:widowControl w:val="0"/>
              <w:jc w:val="center"/>
              <w:rPr>
                <w:b/>
                <w:bCs/>
                <w:sz w:val="16"/>
                <w:szCs w:val="16"/>
              </w:rPr>
            </w:pPr>
            <w:r w:rsidRPr="00E664EF">
              <w:rPr>
                <w:b/>
                <w:bCs/>
                <w:sz w:val="16"/>
                <w:szCs w:val="16"/>
              </w:rPr>
              <w:t>Título del proyecto</w:t>
            </w:r>
          </w:p>
        </w:tc>
        <w:tc>
          <w:tcPr>
            <w:tcW w:w="1170" w:type="dxa"/>
            <w:tcBorders>
              <w:top w:val="single" w:sz="4" w:space="0" w:color="auto"/>
              <w:left w:val="single" w:sz="4" w:space="0" w:color="auto"/>
              <w:bottom w:val="single" w:sz="4" w:space="0" w:color="auto"/>
              <w:right w:val="single" w:sz="4" w:space="0" w:color="auto"/>
            </w:tcBorders>
            <w:noWrap/>
            <w:hideMark/>
          </w:tcPr>
          <w:p w14:paraId="0C45D40B" w14:textId="25120900" w:rsidR="000F28EB" w:rsidRPr="00E664EF" w:rsidRDefault="000F28EB">
            <w:pPr>
              <w:widowControl w:val="0"/>
              <w:jc w:val="center"/>
              <w:rPr>
                <w:b/>
                <w:bCs/>
                <w:sz w:val="16"/>
                <w:szCs w:val="16"/>
              </w:rPr>
            </w:pPr>
            <w:r w:rsidRPr="00E664EF">
              <w:rPr>
                <w:b/>
                <w:bCs/>
                <w:sz w:val="16"/>
                <w:szCs w:val="16"/>
              </w:rPr>
              <w:t>Financia</w:t>
            </w:r>
            <w:r w:rsidR="00E664EF">
              <w:rPr>
                <w:b/>
                <w:bCs/>
                <w:sz w:val="16"/>
                <w:szCs w:val="16"/>
              </w:rPr>
              <w:t>-</w:t>
            </w:r>
            <w:r w:rsidRPr="00E664EF">
              <w:rPr>
                <w:b/>
                <w:bCs/>
                <w:sz w:val="16"/>
                <w:szCs w:val="16"/>
              </w:rPr>
              <w:t>miento solicitado</w:t>
            </w:r>
          </w:p>
          <w:p w14:paraId="6DE45142" w14:textId="77777777" w:rsidR="000F28EB" w:rsidRPr="00E664EF" w:rsidRDefault="000F28EB">
            <w:pPr>
              <w:widowControl w:val="0"/>
              <w:jc w:val="center"/>
              <w:rPr>
                <w:b/>
                <w:bCs/>
                <w:sz w:val="16"/>
                <w:szCs w:val="16"/>
              </w:rPr>
            </w:pPr>
            <w:r w:rsidRPr="00E664EF">
              <w:rPr>
                <w:b/>
                <w:bCs/>
                <w:sz w:val="16"/>
                <w:szCs w:val="16"/>
              </w:rPr>
              <w:t>(USD)</w:t>
            </w:r>
          </w:p>
        </w:tc>
        <w:tc>
          <w:tcPr>
            <w:tcW w:w="1350" w:type="dxa"/>
            <w:tcBorders>
              <w:top w:val="single" w:sz="4" w:space="0" w:color="auto"/>
              <w:left w:val="single" w:sz="4" w:space="0" w:color="auto"/>
              <w:bottom w:val="single" w:sz="4" w:space="0" w:color="auto"/>
              <w:right w:val="single" w:sz="4" w:space="0" w:color="auto"/>
            </w:tcBorders>
            <w:noWrap/>
            <w:hideMark/>
          </w:tcPr>
          <w:p w14:paraId="6B0E31B5" w14:textId="77777777" w:rsidR="000F28EB" w:rsidRPr="00E664EF" w:rsidRDefault="000F28EB">
            <w:pPr>
              <w:widowControl w:val="0"/>
              <w:jc w:val="center"/>
              <w:rPr>
                <w:b/>
                <w:bCs/>
                <w:sz w:val="16"/>
                <w:szCs w:val="16"/>
              </w:rPr>
            </w:pPr>
            <w:r w:rsidRPr="00E664EF">
              <w:rPr>
                <w:b/>
                <w:bCs/>
                <w:sz w:val="16"/>
                <w:szCs w:val="16"/>
              </w:rPr>
              <w:t>Gastos de apoyo</w:t>
            </w:r>
          </w:p>
          <w:p w14:paraId="1A95D9C7" w14:textId="77777777" w:rsidR="000F28EB" w:rsidRPr="00E664EF" w:rsidRDefault="000F28EB">
            <w:pPr>
              <w:widowControl w:val="0"/>
              <w:jc w:val="center"/>
              <w:rPr>
                <w:b/>
                <w:bCs/>
                <w:sz w:val="16"/>
                <w:szCs w:val="16"/>
              </w:rPr>
            </w:pPr>
            <w:r w:rsidRPr="00E664EF">
              <w:rPr>
                <w:b/>
                <w:bCs/>
                <w:sz w:val="16"/>
                <w:szCs w:val="16"/>
              </w:rPr>
              <w:t>solicitados</w:t>
            </w:r>
          </w:p>
          <w:p w14:paraId="01D065DD" w14:textId="77777777" w:rsidR="000F28EB" w:rsidRPr="00E664EF" w:rsidRDefault="000F28EB">
            <w:pPr>
              <w:widowControl w:val="0"/>
              <w:jc w:val="center"/>
              <w:rPr>
                <w:b/>
                <w:bCs/>
                <w:sz w:val="16"/>
                <w:szCs w:val="16"/>
              </w:rPr>
            </w:pPr>
            <w:r w:rsidRPr="00E664EF">
              <w:rPr>
                <w:b/>
                <w:bCs/>
                <w:sz w:val="16"/>
                <w:szCs w:val="16"/>
              </w:rPr>
              <w:t>(USD)</w:t>
            </w:r>
          </w:p>
        </w:tc>
        <w:tc>
          <w:tcPr>
            <w:tcW w:w="1440" w:type="dxa"/>
            <w:tcBorders>
              <w:top w:val="single" w:sz="4" w:space="0" w:color="auto"/>
              <w:left w:val="single" w:sz="4" w:space="0" w:color="auto"/>
              <w:bottom w:val="single" w:sz="4" w:space="0" w:color="auto"/>
              <w:right w:val="single" w:sz="4" w:space="0" w:color="auto"/>
            </w:tcBorders>
            <w:noWrap/>
            <w:hideMark/>
          </w:tcPr>
          <w:p w14:paraId="32E07619" w14:textId="77777777" w:rsidR="000F28EB" w:rsidRPr="00E664EF" w:rsidRDefault="000F28EB">
            <w:pPr>
              <w:widowControl w:val="0"/>
              <w:jc w:val="center"/>
              <w:rPr>
                <w:b/>
                <w:bCs/>
                <w:sz w:val="16"/>
                <w:szCs w:val="16"/>
                <w:highlight w:val="yellow"/>
              </w:rPr>
            </w:pPr>
            <w:r w:rsidRPr="00E664EF">
              <w:rPr>
                <w:b/>
                <w:bCs/>
                <w:sz w:val="16"/>
                <w:szCs w:val="16"/>
              </w:rPr>
              <w:t>Cantidad recomendada* (USD)</w:t>
            </w:r>
          </w:p>
        </w:tc>
        <w:tc>
          <w:tcPr>
            <w:tcW w:w="1170" w:type="dxa"/>
            <w:tcBorders>
              <w:top w:val="single" w:sz="4" w:space="0" w:color="auto"/>
              <w:left w:val="single" w:sz="4" w:space="0" w:color="auto"/>
              <w:bottom w:val="single" w:sz="4" w:space="0" w:color="auto"/>
              <w:right w:val="single" w:sz="4" w:space="0" w:color="auto"/>
            </w:tcBorders>
            <w:hideMark/>
          </w:tcPr>
          <w:p w14:paraId="681F7A5E" w14:textId="77777777" w:rsidR="000F28EB" w:rsidRPr="00E664EF" w:rsidRDefault="000F28EB">
            <w:pPr>
              <w:widowControl w:val="0"/>
              <w:jc w:val="center"/>
              <w:rPr>
                <w:b/>
                <w:bCs/>
                <w:sz w:val="16"/>
                <w:szCs w:val="16"/>
                <w:highlight w:val="yellow"/>
              </w:rPr>
            </w:pPr>
            <w:r w:rsidRPr="00E664EF">
              <w:rPr>
                <w:b/>
                <w:bCs/>
                <w:sz w:val="16"/>
                <w:szCs w:val="16"/>
              </w:rPr>
              <w:t>Considerado en</w:t>
            </w:r>
          </w:p>
        </w:tc>
      </w:tr>
      <w:tr w:rsidR="00A7376A" w:rsidRPr="000A3FFE" w14:paraId="46FDB7B0" w14:textId="77777777" w:rsidTr="00AF6485">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7E1A6BFB" w14:textId="77777777" w:rsidR="00A7376A" w:rsidRDefault="00A7376A" w:rsidP="00AF6485">
            <w:pPr>
              <w:widowControl w:val="0"/>
              <w:jc w:val="left"/>
              <w:rPr>
                <w:sz w:val="18"/>
                <w:szCs w:val="18"/>
              </w:rPr>
            </w:pPr>
            <w:r>
              <w:rPr>
                <w:sz w:val="18"/>
                <w:szCs w:val="18"/>
              </w:rPr>
              <w:t>Alemania</w:t>
            </w:r>
          </w:p>
        </w:tc>
        <w:tc>
          <w:tcPr>
            <w:tcW w:w="1080" w:type="dxa"/>
            <w:tcBorders>
              <w:top w:val="single" w:sz="4" w:space="0" w:color="auto"/>
              <w:left w:val="single" w:sz="4" w:space="0" w:color="auto"/>
              <w:bottom w:val="single" w:sz="4" w:space="0" w:color="auto"/>
              <w:right w:val="single" w:sz="4" w:space="0" w:color="auto"/>
            </w:tcBorders>
            <w:noWrap/>
          </w:tcPr>
          <w:p w14:paraId="56AD74E4" w14:textId="77777777" w:rsidR="00A7376A" w:rsidRDefault="00A7376A" w:rsidP="00AF6485">
            <w:pPr>
              <w:widowControl w:val="0"/>
              <w:jc w:val="left"/>
              <w:rPr>
                <w:sz w:val="18"/>
                <w:szCs w:val="18"/>
              </w:rPr>
            </w:pPr>
            <w:r>
              <w:rPr>
                <w:sz w:val="18"/>
                <w:szCs w:val="18"/>
              </w:rPr>
              <w:t>Namibia</w:t>
            </w:r>
          </w:p>
        </w:tc>
        <w:tc>
          <w:tcPr>
            <w:tcW w:w="2520" w:type="dxa"/>
            <w:tcBorders>
              <w:top w:val="single" w:sz="4" w:space="0" w:color="auto"/>
              <w:left w:val="single" w:sz="4" w:space="0" w:color="auto"/>
              <w:bottom w:val="single" w:sz="4" w:space="0" w:color="auto"/>
              <w:right w:val="single" w:sz="4" w:space="0" w:color="auto"/>
            </w:tcBorders>
            <w:noWrap/>
          </w:tcPr>
          <w:p w14:paraId="576A40A5" w14:textId="77777777" w:rsidR="00A7376A" w:rsidRPr="000A3FFE" w:rsidRDefault="00A7376A" w:rsidP="00AF6485">
            <w:pPr>
              <w:widowControl w:val="0"/>
              <w:jc w:val="left"/>
              <w:rPr>
                <w:sz w:val="18"/>
                <w:szCs w:val="18"/>
              </w:rPr>
            </w:pPr>
            <w:r>
              <w:rPr>
                <w:sz w:val="18"/>
                <w:szCs w:val="18"/>
              </w:rPr>
              <w:t>Plan de gestión para la eliminación de HCFC (etapa I, cuarto tramo)</w:t>
            </w:r>
          </w:p>
        </w:tc>
        <w:tc>
          <w:tcPr>
            <w:tcW w:w="1170" w:type="dxa"/>
            <w:tcBorders>
              <w:top w:val="single" w:sz="4" w:space="0" w:color="auto"/>
              <w:left w:val="single" w:sz="4" w:space="0" w:color="auto"/>
              <w:bottom w:val="single" w:sz="4" w:space="0" w:color="auto"/>
              <w:right w:val="single" w:sz="4" w:space="0" w:color="auto"/>
            </w:tcBorders>
            <w:noWrap/>
          </w:tcPr>
          <w:p w14:paraId="223ED069" w14:textId="77777777" w:rsidR="00A7376A" w:rsidRPr="000A3FFE" w:rsidRDefault="00A7376A" w:rsidP="00AF6485">
            <w:pPr>
              <w:widowControl w:val="0"/>
              <w:jc w:val="right"/>
              <w:rPr>
                <w:sz w:val="18"/>
                <w:szCs w:val="18"/>
              </w:rPr>
            </w:pPr>
            <w:r>
              <w:rPr>
                <w:sz w:val="18"/>
                <w:szCs w:val="18"/>
              </w:rPr>
              <w:t>90.000</w:t>
            </w:r>
          </w:p>
        </w:tc>
        <w:tc>
          <w:tcPr>
            <w:tcW w:w="1350" w:type="dxa"/>
            <w:tcBorders>
              <w:top w:val="single" w:sz="4" w:space="0" w:color="auto"/>
              <w:left w:val="single" w:sz="4" w:space="0" w:color="auto"/>
              <w:bottom w:val="single" w:sz="4" w:space="0" w:color="auto"/>
              <w:right w:val="single" w:sz="4" w:space="0" w:color="auto"/>
            </w:tcBorders>
            <w:noWrap/>
          </w:tcPr>
          <w:p w14:paraId="5ECE1725" w14:textId="77777777" w:rsidR="00A7376A" w:rsidRPr="000A3FFE" w:rsidRDefault="00A7376A" w:rsidP="00AF6485">
            <w:pPr>
              <w:widowControl w:val="0"/>
              <w:jc w:val="right"/>
              <w:rPr>
                <w:sz w:val="18"/>
                <w:szCs w:val="18"/>
              </w:rPr>
            </w:pPr>
            <w:r>
              <w:rPr>
                <w:sz w:val="18"/>
                <w:szCs w:val="18"/>
              </w:rPr>
              <w:t>10.329</w:t>
            </w:r>
          </w:p>
        </w:tc>
        <w:tc>
          <w:tcPr>
            <w:tcW w:w="1440" w:type="dxa"/>
            <w:tcBorders>
              <w:top w:val="single" w:sz="4" w:space="0" w:color="auto"/>
              <w:left w:val="single" w:sz="4" w:space="0" w:color="auto"/>
              <w:bottom w:val="single" w:sz="4" w:space="0" w:color="auto"/>
              <w:right w:val="single" w:sz="4" w:space="0" w:color="auto"/>
            </w:tcBorders>
            <w:noWrap/>
          </w:tcPr>
          <w:p w14:paraId="235ADFD4" w14:textId="77777777" w:rsidR="00A7376A" w:rsidRPr="000A3FFE" w:rsidRDefault="00A7376A" w:rsidP="00AF6485">
            <w:pPr>
              <w:widowControl w:val="0"/>
              <w:jc w:val="right"/>
              <w:rPr>
                <w:sz w:val="18"/>
                <w:szCs w:val="18"/>
              </w:rPr>
            </w:pPr>
            <w:r>
              <w:rPr>
                <w:sz w:val="18"/>
                <w:szCs w:val="18"/>
              </w:rPr>
              <w:t>100.329</w:t>
            </w:r>
          </w:p>
        </w:tc>
        <w:tc>
          <w:tcPr>
            <w:tcW w:w="1170" w:type="dxa"/>
            <w:tcBorders>
              <w:top w:val="single" w:sz="4" w:space="0" w:color="auto"/>
              <w:left w:val="single" w:sz="4" w:space="0" w:color="auto"/>
              <w:bottom w:val="single" w:sz="4" w:space="0" w:color="auto"/>
              <w:right w:val="single" w:sz="4" w:space="0" w:color="auto"/>
            </w:tcBorders>
          </w:tcPr>
          <w:p w14:paraId="70498561" w14:textId="77777777" w:rsidR="00A7376A" w:rsidRPr="000A3FFE" w:rsidRDefault="00A7376A" w:rsidP="00AF6485">
            <w:pPr>
              <w:widowControl w:val="0"/>
              <w:jc w:val="center"/>
              <w:rPr>
                <w:sz w:val="18"/>
                <w:szCs w:val="18"/>
              </w:rPr>
            </w:pPr>
            <w:r>
              <w:rPr>
                <w:sz w:val="18"/>
                <w:szCs w:val="18"/>
              </w:rPr>
              <w:t>97/64</w:t>
            </w:r>
          </w:p>
        </w:tc>
      </w:tr>
      <w:tr w:rsidR="0056628C" w:rsidRPr="000A3FFE" w14:paraId="7E881AB1" w14:textId="77777777"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7B82A76F" w14:textId="712C57AE" w:rsidR="0056628C" w:rsidRPr="000A3FFE" w:rsidRDefault="0056628C" w:rsidP="0056628C">
            <w:pPr>
              <w:widowControl w:val="0"/>
              <w:jc w:val="left"/>
              <w:rPr>
                <w:sz w:val="18"/>
                <w:szCs w:val="18"/>
              </w:rPr>
            </w:pPr>
            <w:r>
              <w:rPr>
                <w:sz w:val="18"/>
                <w:szCs w:val="18"/>
              </w:rPr>
              <w:t>Alemania</w:t>
            </w:r>
          </w:p>
        </w:tc>
        <w:tc>
          <w:tcPr>
            <w:tcW w:w="1080" w:type="dxa"/>
            <w:tcBorders>
              <w:top w:val="single" w:sz="4" w:space="0" w:color="auto"/>
              <w:left w:val="single" w:sz="4" w:space="0" w:color="auto"/>
              <w:bottom w:val="single" w:sz="4" w:space="0" w:color="auto"/>
              <w:right w:val="single" w:sz="4" w:space="0" w:color="auto"/>
            </w:tcBorders>
            <w:noWrap/>
          </w:tcPr>
          <w:p w14:paraId="5E5E53F8" w14:textId="763EDBF6" w:rsidR="0056628C" w:rsidRPr="000A3FFE" w:rsidRDefault="0056628C" w:rsidP="0056628C">
            <w:pPr>
              <w:widowControl w:val="0"/>
              <w:jc w:val="left"/>
              <w:rPr>
                <w:sz w:val="18"/>
                <w:szCs w:val="18"/>
              </w:rPr>
            </w:pPr>
            <w:r>
              <w:rPr>
                <w:sz w:val="18"/>
                <w:szCs w:val="18"/>
              </w:rPr>
              <w:t>Papua Nueva Guinea</w:t>
            </w:r>
          </w:p>
        </w:tc>
        <w:tc>
          <w:tcPr>
            <w:tcW w:w="2520" w:type="dxa"/>
            <w:tcBorders>
              <w:top w:val="single" w:sz="4" w:space="0" w:color="auto"/>
              <w:left w:val="single" w:sz="4" w:space="0" w:color="auto"/>
              <w:bottom w:val="single" w:sz="4" w:space="0" w:color="auto"/>
              <w:right w:val="single" w:sz="4" w:space="0" w:color="auto"/>
            </w:tcBorders>
            <w:noWrap/>
          </w:tcPr>
          <w:p w14:paraId="63C83AAA" w14:textId="464EF66E" w:rsidR="0056628C" w:rsidRPr="000A3FFE" w:rsidRDefault="0056628C" w:rsidP="0056628C">
            <w:pPr>
              <w:widowControl w:val="0"/>
              <w:jc w:val="left"/>
              <w:rPr>
                <w:sz w:val="18"/>
                <w:szCs w:val="18"/>
              </w:rPr>
            </w:pPr>
            <w:r>
              <w:rPr>
                <w:sz w:val="18"/>
                <w:szCs w:val="18"/>
              </w:rPr>
              <w:t>Preparación de un inventario nacional de bancos de residuos de sustancias controladas y elaboración de un plan nacional de gestión de estas sustancias (decisión 91/66)</w:t>
            </w:r>
          </w:p>
        </w:tc>
        <w:tc>
          <w:tcPr>
            <w:tcW w:w="1170" w:type="dxa"/>
            <w:tcBorders>
              <w:top w:val="single" w:sz="4" w:space="0" w:color="auto"/>
              <w:left w:val="single" w:sz="4" w:space="0" w:color="auto"/>
              <w:bottom w:val="single" w:sz="4" w:space="0" w:color="auto"/>
              <w:right w:val="single" w:sz="4" w:space="0" w:color="auto"/>
            </w:tcBorders>
            <w:noWrap/>
          </w:tcPr>
          <w:p w14:paraId="137F8957" w14:textId="42F3471A" w:rsidR="0056628C" w:rsidRPr="0056628C" w:rsidRDefault="0056628C" w:rsidP="0056628C">
            <w:pPr>
              <w:widowControl w:val="0"/>
              <w:jc w:val="right"/>
              <w:rPr>
                <w:sz w:val="18"/>
                <w:szCs w:val="18"/>
              </w:rPr>
            </w:pPr>
            <w:r>
              <w:rPr>
                <w:sz w:val="18"/>
                <w:szCs w:val="18"/>
              </w:rPr>
              <w:t>80.000</w:t>
            </w:r>
          </w:p>
        </w:tc>
        <w:tc>
          <w:tcPr>
            <w:tcW w:w="1350" w:type="dxa"/>
            <w:tcBorders>
              <w:top w:val="single" w:sz="4" w:space="0" w:color="auto"/>
              <w:left w:val="single" w:sz="4" w:space="0" w:color="auto"/>
              <w:bottom w:val="single" w:sz="4" w:space="0" w:color="auto"/>
              <w:right w:val="single" w:sz="4" w:space="0" w:color="auto"/>
            </w:tcBorders>
            <w:noWrap/>
          </w:tcPr>
          <w:p w14:paraId="1EC49291" w14:textId="0F909FBE" w:rsidR="0056628C" w:rsidRPr="0056628C" w:rsidRDefault="0056628C" w:rsidP="0056628C">
            <w:pPr>
              <w:widowControl w:val="0"/>
              <w:ind w:left="31" w:hanging="31"/>
              <w:jc w:val="right"/>
              <w:rPr>
                <w:sz w:val="18"/>
                <w:szCs w:val="18"/>
              </w:rPr>
            </w:pPr>
            <w:r>
              <w:rPr>
                <w:sz w:val="18"/>
                <w:szCs w:val="18"/>
              </w:rPr>
              <w:t>10.400</w:t>
            </w:r>
          </w:p>
        </w:tc>
        <w:tc>
          <w:tcPr>
            <w:tcW w:w="1440" w:type="dxa"/>
            <w:tcBorders>
              <w:top w:val="single" w:sz="4" w:space="0" w:color="auto"/>
              <w:left w:val="single" w:sz="4" w:space="0" w:color="auto"/>
              <w:bottom w:val="single" w:sz="4" w:space="0" w:color="auto"/>
              <w:right w:val="single" w:sz="4" w:space="0" w:color="auto"/>
            </w:tcBorders>
            <w:noWrap/>
          </w:tcPr>
          <w:p w14:paraId="763794D9" w14:textId="103E3D40" w:rsidR="0056628C" w:rsidRPr="000A3FFE" w:rsidRDefault="009277F0" w:rsidP="006D3580">
            <w:pPr>
              <w:widowControl w:val="0"/>
              <w:jc w:val="right"/>
              <w:rPr>
                <w:sz w:val="18"/>
                <w:szCs w:val="18"/>
              </w:rPr>
            </w:pPr>
            <w:r>
              <w:rPr>
                <w:sz w:val="18"/>
                <w:szCs w:val="18"/>
              </w:rPr>
              <w:t>90.400</w:t>
            </w:r>
          </w:p>
        </w:tc>
        <w:tc>
          <w:tcPr>
            <w:tcW w:w="1170" w:type="dxa"/>
            <w:tcBorders>
              <w:top w:val="single" w:sz="4" w:space="0" w:color="auto"/>
              <w:left w:val="single" w:sz="4" w:space="0" w:color="auto"/>
              <w:bottom w:val="single" w:sz="4" w:space="0" w:color="auto"/>
              <w:right w:val="single" w:sz="4" w:space="0" w:color="auto"/>
            </w:tcBorders>
          </w:tcPr>
          <w:p w14:paraId="4D56304F" w14:textId="58C5CED5" w:rsidR="0056628C" w:rsidRPr="000A3FFE" w:rsidRDefault="00C03D49" w:rsidP="00C03D49">
            <w:pPr>
              <w:widowControl w:val="0"/>
              <w:jc w:val="center"/>
              <w:rPr>
                <w:sz w:val="18"/>
                <w:szCs w:val="18"/>
              </w:rPr>
            </w:pPr>
            <w:r>
              <w:rPr>
                <w:sz w:val="18"/>
                <w:szCs w:val="18"/>
              </w:rPr>
              <w:t>Presente documento</w:t>
            </w:r>
          </w:p>
        </w:tc>
      </w:tr>
      <w:tr w:rsidR="00371E39" w:rsidRPr="000A3FFE" w14:paraId="7062FECA"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210A973E" w14:textId="392D1ECD" w:rsidR="00371E39" w:rsidRPr="00C56809" w:rsidRDefault="00371E39" w:rsidP="00371E39">
            <w:pPr>
              <w:widowControl w:val="0"/>
              <w:jc w:val="left"/>
              <w:rPr>
                <w:b/>
                <w:bCs/>
                <w:sz w:val="18"/>
                <w:szCs w:val="18"/>
              </w:rPr>
            </w:pPr>
            <w:r>
              <w:rPr>
                <w:b/>
                <w:bCs/>
                <w:sz w:val="18"/>
                <w:szCs w:val="18"/>
              </w:rPr>
              <w:t>Subtotal</w:t>
            </w:r>
          </w:p>
        </w:tc>
        <w:tc>
          <w:tcPr>
            <w:tcW w:w="1170" w:type="dxa"/>
            <w:tcBorders>
              <w:top w:val="single" w:sz="4" w:space="0" w:color="auto"/>
              <w:left w:val="single" w:sz="4" w:space="0" w:color="auto"/>
              <w:bottom w:val="single" w:sz="4" w:space="0" w:color="auto"/>
              <w:right w:val="single" w:sz="4" w:space="0" w:color="auto"/>
            </w:tcBorders>
            <w:noWrap/>
          </w:tcPr>
          <w:p w14:paraId="2E58EC1B" w14:textId="1274DA33" w:rsidR="00371E39" w:rsidRPr="00C56809" w:rsidRDefault="003F5FD8" w:rsidP="00371E39">
            <w:pPr>
              <w:widowControl w:val="0"/>
              <w:jc w:val="right"/>
              <w:rPr>
                <w:b/>
                <w:bCs/>
                <w:sz w:val="18"/>
                <w:szCs w:val="18"/>
              </w:rPr>
            </w:pPr>
            <w:r>
              <w:rPr>
                <w:b/>
                <w:bCs/>
                <w:sz w:val="18"/>
                <w:szCs w:val="18"/>
              </w:rPr>
              <w:t>170.000</w:t>
            </w:r>
          </w:p>
        </w:tc>
        <w:tc>
          <w:tcPr>
            <w:tcW w:w="1350" w:type="dxa"/>
            <w:tcBorders>
              <w:top w:val="single" w:sz="4" w:space="0" w:color="auto"/>
              <w:left w:val="single" w:sz="4" w:space="0" w:color="auto"/>
              <w:bottom w:val="single" w:sz="4" w:space="0" w:color="auto"/>
              <w:right w:val="single" w:sz="4" w:space="0" w:color="auto"/>
            </w:tcBorders>
            <w:noWrap/>
          </w:tcPr>
          <w:p w14:paraId="2466A5B2" w14:textId="6B3444A7" w:rsidR="00371E39" w:rsidRPr="00C56809" w:rsidRDefault="003F5FD8" w:rsidP="00371E39">
            <w:pPr>
              <w:widowControl w:val="0"/>
              <w:jc w:val="right"/>
              <w:rPr>
                <w:b/>
                <w:bCs/>
                <w:sz w:val="18"/>
                <w:szCs w:val="18"/>
              </w:rPr>
            </w:pPr>
            <w:r>
              <w:rPr>
                <w:b/>
                <w:bCs/>
                <w:sz w:val="18"/>
                <w:szCs w:val="18"/>
              </w:rPr>
              <w:t>20.729</w:t>
            </w:r>
          </w:p>
        </w:tc>
        <w:tc>
          <w:tcPr>
            <w:tcW w:w="1440" w:type="dxa"/>
            <w:tcBorders>
              <w:top w:val="single" w:sz="4" w:space="0" w:color="auto"/>
              <w:left w:val="single" w:sz="4" w:space="0" w:color="auto"/>
              <w:bottom w:val="single" w:sz="4" w:space="0" w:color="auto"/>
              <w:right w:val="single" w:sz="4" w:space="0" w:color="auto"/>
            </w:tcBorders>
            <w:noWrap/>
          </w:tcPr>
          <w:p w14:paraId="10EF67FF" w14:textId="30D0D0B9" w:rsidR="00371E39" w:rsidRPr="00C56809" w:rsidRDefault="004C000A" w:rsidP="00371E39">
            <w:pPr>
              <w:widowControl w:val="0"/>
              <w:jc w:val="right"/>
              <w:rPr>
                <w:b/>
                <w:bCs/>
                <w:sz w:val="18"/>
                <w:szCs w:val="18"/>
              </w:rPr>
            </w:pPr>
            <w:r>
              <w:rPr>
                <w:b/>
                <w:bCs/>
                <w:sz w:val="18"/>
                <w:szCs w:val="18"/>
              </w:rPr>
              <w:t>190.729</w:t>
            </w:r>
          </w:p>
        </w:tc>
        <w:tc>
          <w:tcPr>
            <w:tcW w:w="1170" w:type="dxa"/>
            <w:tcBorders>
              <w:top w:val="single" w:sz="4" w:space="0" w:color="auto"/>
              <w:left w:val="single" w:sz="4" w:space="0" w:color="auto"/>
              <w:bottom w:val="single" w:sz="4" w:space="0" w:color="auto"/>
              <w:right w:val="single" w:sz="4" w:space="0" w:color="auto"/>
            </w:tcBorders>
          </w:tcPr>
          <w:p w14:paraId="4B755C4E" w14:textId="130369A1" w:rsidR="00371E39" w:rsidRPr="00C56809" w:rsidRDefault="00371E39" w:rsidP="00371E39">
            <w:pPr>
              <w:widowControl w:val="0"/>
              <w:jc w:val="center"/>
              <w:rPr>
                <w:b/>
                <w:bCs/>
                <w:sz w:val="18"/>
                <w:szCs w:val="18"/>
                <w:lang w:val="en-GB"/>
              </w:rPr>
            </w:pPr>
          </w:p>
        </w:tc>
      </w:tr>
      <w:tr w:rsidR="005D55BB" w:rsidRPr="000A3FFE" w14:paraId="3EFC3DAA" w14:textId="77777777"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51E4D719" w14:textId="21520B4B" w:rsidR="005D55BB" w:rsidRDefault="008F2058" w:rsidP="005D55BB">
            <w:pPr>
              <w:widowControl w:val="0"/>
              <w:jc w:val="left"/>
              <w:rPr>
                <w:sz w:val="18"/>
                <w:szCs w:val="18"/>
              </w:rPr>
            </w:pPr>
            <w:r>
              <w:rPr>
                <w:sz w:val="18"/>
                <w:szCs w:val="18"/>
              </w:rPr>
              <w:t xml:space="preserve">Reino Unido </w:t>
            </w:r>
          </w:p>
        </w:tc>
        <w:tc>
          <w:tcPr>
            <w:tcW w:w="1080" w:type="dxa"/>
            <w:tcBorders>
              <w:top w:val="single" w:sz="4" w:space="0" w:color="auto"/>
              <w:left w:val="single" w:sz="4" w:space="0" w:color="auto"/>
              <w:bottom w:val="single" w:sz="4" w:space="0" w:color="auto"/>
              <w:right w:val="single" w:sz="4" w:space="0" w:color="auto"/>
            </w:tcBorders>
            <w:noWrap/>
          </w:tcPr>
          <w:p w14:paraId="531CC514" w14:textId="503EC95F" w:rsidR="005D55BB" w:rsidRDefault="005D55BB" w:rsidP="005D55BB">
            <w:pPr>
              <w:widowControl w:val="0"/>
              <w:jc w:val="left"/>
              <w:rPr>
                <w:sz w:val="18"/>
                <w:szCs w:val="18"/>
              </w:rPr>
            </w:pPr>
            <w:r>
              <w:rPr>
                <w:sz w:val="18"/>
                <w:szCs w:val="18"/>
              </w:rPr>
              <w:t>Granada</w:t>
            </w:r>
          </w:p>
        </w:tc>
        <w:tc>
          <w:tcPr>
            <w:tcW w:w="2520" w:type="dxa"/>
            <w:tcBorders>
              <w:top w:val="single" w:sz="4" w:space="0" w:color="auto"/>
              <w:left w:val="single" w:sz="4" w:space="0" w:color="auto"/>
              <w:bottom w:val="single" w:sz="4" w:space="0" w:color="auto"/>
              <w:right w:val="single" w:sz="4" w:space="0" w:color="auto"/>
            </w:tcBorders>
            <w:noWrap/>
          </w:tcPr>
          <w:p w14:paraId="11C178CB" w14:textId="3E7F7079" w:rsidR="005D55BB" w:rsidRPr="0056628C" w:rsidRDefault="005D55BB" w:rsidP="005D55BB">
            <w:pPr>
              <w:widowControl w:val="0"/>
              <w:jc w:val="left"/>
              <w:rPr>
                <w:sz w:val="18"/>
                <w:szCs w:val="18"/>
              </w:rPr>
            </w:pPr>
            <w:r>
              <w:rPr>
                <w:sz w:val="18"/>
                <w:szCs w:val="18"/>
              </w:rPr>
              <w:t>Preparación de un proyecto piloto sobre eficiencia energética (decisión 91/65)</w:t>
            </w:r>
          </w:p>
        </w:tc>
        <w:tc>
          <w:tcPr>
            <w:tcW w:w="1170" w:type="dxa"/>
            <w:tcBorders>
              <w:top w:val="single" w:sz="4" w:space="0" w:color="auto"/>
              <w:left w:val="single" w:sz="4" w:space="0" w:color="auto"/>
              <w:bottom w:val="single" w:sz="4" w:space="0" w:color="auto"/>
              <w:right w:val="single" w:sz="4" w:space="0" w:color="auto"/>
            </w:tcBorders>
            <w:noWrap/>
          </w:tcPr>
          <w:p w14:paraId="4643C622" w14:textId="4CE5F1DB" w:rsidR="005D55BB" w:rsidRPr="0056628C" w:rsidRDefault="005D55BB" w:rsidP="005D55BB">
            <w:pPr>
              <w:jc w:val="right"/>
              <w:rPr>
                <w:sz w:val="18"/>
                <w:szCs w:val="18"/>
              </w:rPr>
            </w:pPr>
            <w:r>
              <w:rPr>
                <w:sz w:val="18"/>
                <w:szCs w:val="18"/>
              </w:rPr>
              <w:t>30.000</w:t>
            </w:r>
          </w:p>
        </w:tc>
        <w:tc>
          <w:tcPr>
            <w:tcW w:w="1350" w:type="dxa"/>
            <w:tcBorders>
              <w:top w:val="single" w:sz="4" w:space="0" w:color="auto"/>
              <w:left w:val="single" w:sz="4" w:space="0" w:color="auto"/>
              <w:bottom w:val="single" w:sz="4" w:space="0" w:color="auto"/>
              <w:right w:val="single" w:sz="4" w:space="0" w:color="auto"/>
            </w:tcBorders>
            <w:noWrap/>
          </w:tcPr>
          <w:p w14:paraId="3114DDA5" w14:textId="2C7C48CF" w:rsidR="005D55BB" w:rsidRPr="0056628C" w:rsidRDefault="005D55BB" w:rsidP="005D55BB">
            <w:pPr>
              <w:widowControl w:val="0"/>
              <w:jc w:val="right"/>
              <w:rPr>
                <w:sz w:val="18"/>
                <w:szCs w:val="18"/>
              </w:rPr>
            </w:pPr>
            <w:r>
              <w:rPr>
                <w:sz w:val="18"/>
                <w:szCs w:val="18"/>
              </w:rPr>
              <w:t>3.900</w:t>
            </w:r>
          </w:p>
        </w:tc>
        <w:tc>
          <w:tcPr>
            <w:tcW w:w="1440" w:type="dxa"/>
            <w:tcBorders>
              <w:top w:val="single" w:sz="4" w:space="0" w:color="auto"/>
              <w:left w:val="single" w:sz="4" w:space="0" w:color="auto"/>
              <w:bottom w:val="single" w:sz="4" w:space="0" w:color="auto"/>
              <w:right w:val="single" w:sz="4" w:space="0" w:color="auto"/>
            </w:tcBorders>
            <w:noWrap/>
          </w:tcPr>
          <w:p w14:paraId="0887CDE0" w14:textId="2EF4ED76" w:rsidR="005D55BB" w:rsidRPr="00215437" w:rsidRDefault="004C000A" w:rsidP="005D55BB">
            <w:pPr>
              <w:widowControl w:val="0"/>
              <w:jc w:val="right"/>
              <w:rPr>
                <w:sz w:val="18"/>
                <w:szCs w:val="18"/>
              </w:rPr>
            </w:pPr>
            <w:r>
              <w:rPr>
                <w:sz w:val="18"/>
                <w:szCs w:val="18"/>
              </w:rPr>
              <w:t>33.900</w:t>
            </w:r>
          </w:p>
        </w:tc>
        <w:tc>
          <w:tcPr>
            <w:tcW w:w="1170" w:type="dxa"/>
            <w:tcBorders>
              <w:top w:val="single" w:sz="4" w:space="0" w:color="auto"/>
              <w:left w:val="single" w:sz="4" w:space="0" w:color="auto"/>
              <w:bottom w:val="single" w:sz="4" w:space="0" w:color="auto"/>
              <w:right w:val="single" w:sz="4" w:space="0" w:color="auto"/>
            </w:tcBorders>
          </w:tcPr>
          <w:p w14:paraId="5CF1B010" w14:textId="50E6D7EB" w:rsidR="005D55BB" w:rsidRPr="000A3FFE" w:rsidRDefault="00C03D49" w:rsidP="005D55BB">
            <w:pPr>
              <w:widowControl w:val="0"/>
              <w:jc w:val="center"/>
              <w:rPr>
                <w:sz w:val="18"/>
                <w:szCs w:val="18"/>
              </w:rPr>
            </w:pPr>
            <w:r>
              <w:rPr>
                <w:sz w:val="18"/>
                <w:szCs w:val="18"/>
              </w:rPr>
              <w:t>Presente documento</w:t>
            </w:r>
          </w:p>
        </w:tc>
      </w:tr>
      <w:tr w:rsidR="00FB2D67" w:rsidRPr="000A3FFE" w14:paraId="45F64A5B" w14:textId="77777777" w:rsidTr="00AF6485">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23388BBA" w14:textId="77777777" w:rsidR="00FB2D67" w:rsidRPr="000A3FFE" w:rsidRDefault="00FB2D67" w:rsidP="00AF6485">
            <w:pPr>
              <w:widowControl w:val="0"/>
              <w:jc w:val="left"/>
              <w:rPr>
                <w:sz w:val="18"/>
                <w:szCs w:val="18"/>
              </w:rPr>
            </w:pPr>
            <w:r>
              <w:rPr>
                <w:sz w:val="18"/>
                <w:szCs w:val="18"/>
              </w:rPr>
              <w:t>Reino Unido</w:t>
            </w:r>
          </w:p>
        </w:tc>
        <w:tc>
          <w:tcPr>
            <w:tcW w:w="1080" w:type="dxa"/>
            <w:tcBorders>
              <w:top w:val="single" w:sz="4" w:space="0" w:color="auto"/>
              <w:left w:val="single" w:sz="4" w:space="0" w:color="auto"/>
              <w:bottom w:val="single" w:sz="4" w:space="0" w:color="auto"/>
              <w:right w:val="single" w:sz="4" w:space="0" w:color="auto"/>
            </w:tcBorders>
            <w:noWrap/>
          </w:tcPr>
          <w:p w14:paraId="4B551545" w14:textId="77777777" w:rsidR="00FB2D67" w:rsidRPr="000A3FFE" w:rsidRDefault="00FB2D67" w:rsidP="00AF6485">
            <w:pPr>
              <w:widowControl w:val="0"/>
              <w:jc w:val="left"/>
              <w:rPr>
                <w:sz w:val="18"/>
                <w:szCs w:val="18"/>
              </w:rPr>
            </w:pPr>
            <w:r>
              <w:rPr>
                <w:sz w:val="18"/>
                <w:szCs w:val="18"/>
              </w:rPr>
              <w:t>Sierra Leona</w:t>
            </w:r>
          </w:p>
        </w:tc>
        <w:tc>
          <w:tcPr>
            <w:tcW w:w="2520" w:type="dxa"/>
            <w:tcBorders>
              <w:top w:val="single" w:sz="4" w:space="0" w:color="auto"/>
              <w:left w:val="single" w:sz="4" w:space="0" w:color="auto"/>
              <w:bottom w:val="single" w:sz="4" w:space="0" w:color="auto"/>
              <w:right w:val="single" w:sz="4" w:space="0" w:color="auto"/>
            </w:tcBorders>
            <w:noWrap/>
          </w:tcPr>
          <w:p w14:paraId="1A1DC279" w14:textId="77777777" w:rsidR="00FB2D67" w:rsidRPr="000A3FFE" w:rsidRDefault="00FB2D67" w:rsidP="00AF6485">
            <w:pPr>
              <w:widowControl w:val="0"/>
              <w:jc w:val="left"/>
              <w:rPr>
                <w:sz w:val="18"/>
                <w:szCs w:val="18"/>
              </w:rPr>
            </w:pPr>
            <w:r>
              <w:rPr>
                <w:sz w:val="18"/>
                <w:szCs w:val="18"/>
              </w:rPr>
              <w:t>Proyecto piloto para mantener y/o potenciar la eficiencia energética de tecnologías y equipos de sustitución en el contexto de la reducción de los HFC (decisión 91/65)</w:t>
            </w:r>
          </w:p>
        </w:tc>
        <w:tc>
          <w:tcPr>
            <w:tcW w:w="1170" w:type="dxa"/>
            <w:tcBorders>
              <w:top w:val="single" w:sz="4" w:space="0" w:color="auto"/>
              <w:left w:val="single" w:sz="4" w:space="0" w:color="auto"/>
              <w:bottom w:val="single" w:sz="4" w:space="0" w:color="auto"/>
              <w:right w:val="single" w:sz="4" w:space="0" w:color="auto"/>
            </w:tcBorders>
            <w:noWrap/>
          </w:tcPr>
          <w:p w14:paraId="02BA5D99" w14:textId="77777777" w:rsidR="00FB2D67" w:rsidRPr="000A3FFE" w:rsidRDefault="00FB2D67" w:rsidP="00AF6485">
            <w:pPr>
              <w:widowControl w:val="0"/>
              <w:jc w:val="right"/>
              <w:rPr>
                <w:sz w:val="18"/>
                <w:szCs w:val="18"/>
              </w:rPr>
            </w:pPr>
            <w:r>
              <w:rPr>
                <w:sz w:val="18"/>
                <w:szCs w:val="18"/>
              </w:rPr>
              <w:t>265.836</w:t>
            </w:r>
          </w:p>
        </w:tc>
        <w:tc>
          <w:tcPr>
            <w:tcW w:w="1350" w:type="dxa"/>
            <w:tcBorders>
              <w:top w:val="single" w:sz="4" w:space="0" w:color="auto"/>
              <w:left w:val="single" w:sz="4" w:space="0" w:color="auto"/>
              <w:bottom w:val="single" w:sz="4" w:space="0" w:color="auto"/>
              <w:right w:val="single" w:sz="4" w:space="0" w:color="auto"/>
            </w:tcBorders>
            <w:noWrap/>
          </w:tcPr>
          <w:p w14:paraId="42A56E8E" w14:textId="77777777" w:rsidR="00FB2D67" w:rsidRPr="000A3FFE" w:rsidRDefault="00FB2D67" w:rsidP="00AF6485">
            <w:pPr>
              <w:widowControl w:val="0"/>
              <w:jc w:val="right"/>
              <w:rPr>
                <w:sz w:val="18"/>
                <w:szCs w:val="18"/>
              </w:rPr>
            </w:pPr>
            <w:r>
              <w:rPr>
                <w:sz w:val="18"/>
                <w:szCs w:val="18"/>
              </w:rPr>
              <w:t>34.559</w:t>
            </w:r>
          </w:p>
        </w:tc>
        <w:tc>
          <w:tcPr>
            <w:tcW w:w="1440" w:type="dxa"/>
            <w:tcBorders>
              <w:top w:val="single" w:sz="4" w:space="0" w:color="auto"/>
              <w:left w:val="single" w:sz="4" w:space="0" w:color="auto"/>
              <w:bottom w:val="single" w:sz="4" w:space="0" w:color="auto"/>
              <w:right w:val="single" w:sz="4" w:space="0" w:color="auto"/>
            </w:tcBorders>
            <w:noWrap/>
          </w:tcPr>
          <w:p w14:paraId="5F8F0B5D" w14:textId="77777777" w:rsidR="00FB2D67" w:rsidRPr="00215437" w:rsidRDefault="00FB2D67" w:rsidP="00AF6485">
            <w:pPr>
              <w:widowControl w:val="0"/>
              <w:jc w:val="right"/>
              <w:rPr>
                <w:sz w:val="18"/>
                <w:szCs w:val="18"/>
              </w:rPr>
            </w:pPr>
            <w:r>
              <w:rPr>
                <w:sz w:val="18"/>
                <w:szCs w:val="18"/>
              </w:rPr>
              <w:t>289.437</w:t>
            </w:r>
          </w:p>
        </w:tc>
        <w:tc>
          <w:tcPr>
            <w:tcW w:w="1170" w:type="dxa"/>
            <w:tcBorders>
              <w:top w:val="single" w:sz="4" w:space="0" w:color="auto"/>
              <w:left w:val="single" w:sz="4" w:space="0" w:color="auto"/>
              <w:bottom w:val="single" w:sz="4" w:space="0" w:color="auto"/>
              <w:right w:val="single" w:sz="4" w:space="0" w:color="auto"/>
            </w:tcBorders>
          </w:tcPr>
          <w:p w14:paraId="0DB3CE19" w14:textId="77777777" w:rsidR="00FB2D67" w:rsidRPr="000A3FFE" w:rsidRDefault="00FB2D67" w:rsidP="00AF6485">
            <w:pPr>
              <w:widowControl w:val="0"/>
              <w:jc w:val="center"/>
              <w:rPr>
                <w:sz w:val="18"/>
                <w:szCs w:val="18"/>
              </w:rPr>
            </w:pPr>
            <w:r>
              <w:rPr>
                <w:sz w:val="18"/>
                <w:szCs w:val="18"/>
              </w:rPr>
              <w:t>97/75**</w:t>
            </w:r>
          </w:p>
        </w:tc>
      </w:tr>
      <w:tr w:rsidR="005D55BB" w:rsidRPr="000A3FFE" w14:paraId="309E450B" w14:textId="72934233" w:rsidTr="0076408B">
        <w:trPr>
          <w:trHeight w:val="276"/>
          <w:tblHeader/>
        </w:trPr>
        <w:tc>
          <w:tcPr>
            <w:tcW w:w="990" w:type="dxa"/>
            <w:tcBorders>
              <w:top w:val="single" w:sz="4" w:space="0" w:color="auto"/>
              <w:left w:val="single" w:sz="4" w:space="0" w:color="auto"/>
              <w:bottom w:val="single" w:sz="4" w:space="0" w:color="auto"/>
              <w:right w:val="single" w:sz="4" w:space="0" w:color="auto"/>
            </w:tcBorders>
            <w:noWrap/>
          </w:tcPr>
          <w:p w14:paraId="54FA9205" w14:textId="5008AF25" w:rsidR="005D55BB" w:rsidRPr="000A3FFE" w:rsidRDefault="005D55BB" w:rsidP="005D55BB">
            <w:pPr>
              <w:widowControl w:val="0"/>
              <w:jc w:val="left"/>
              <w:rPr>
                <w:sz w:val="18"/>
                <w:szCs w:val="18"/>
              </w:rPr>
            </w:pPr>
            <w:r>
              <w:rPr>
                <w:sz w:val="18"/>
                <w:szCs w:val="18"/>
              </w:rPr>
              <w:t>Reino Unido</w:t>
            </w:r>
          </w:p>
        </w:tc>
        <w:tc>
          <w:tcPr>
            <w:tcW w:w="1080" w:type="dxa"/>
            <w:tcBorders>
              <w:top w:val="single" w:sz="4" w:space="0" w:color="auto"/>
              <w:left w:val="single" w:sz="4" w:space="0" w:color="auto"/>
              <w:bottom w:val="single" w:sz="4" w:space="0" w:color="auto"/>
              <w:right w:val="single" w:sz="4" w:space="0" w:color="auto"/>
            </w:tcBorders>
            <w:noWrap/>
          </w:tcPr>
          <w:p w14:paraId="2BC0A455" w14:textId="7F43F73E" w:rsidR="005D55BB" w:rsidRPr="000A3FFE" w:rsidRDefault="005D55BB" w:rsidP="005D55BB">
            <w:pPr>
              <w:widowControl w:val="0"/>
              <w:jc w:val="left"/>
              <w:rPr>
                <w:sz w:val="18"/>
                <w:szCs w:val="18"/>
              </w:rPr>
            </w:pPr>
            <w:r>
              <w:rPr>
                <w:sz w:val="18"/>
                <w:szCs w:val="18"/>
              </w:rPr>
              <w:t>Togo</w:t>
            </w:r>
          </w:p>
        </w:tc>
        <w:tc>
          <w:tcPr>
            <w:tcW w:w="2520" w:type="dxa"/>
            <w:tcBorders>
              <w:top w:val="single" w:sz="4" w:space="0" w:color="auto"/>
              <w:left w:val="single" w:sz="4" w:space="0" w:color="auto"/>
              <w:bottom w:val="single" w:sz="4" w:space="0" w:color="auto"/>
              <w:right w:val="single" w:sz="4" w:space="0" w:color="auto"/>
            </w:tcBorders>
            <w:noWrap/>
          </w:tcPr>
          <w:p w14:paraId="186D148B" w14:textId="0AAD75CD" w:rsidR="005D55BB" w:rsidRPr="000A3FFE" w:rsidRDefault="005D55BB" w:rsidP="005D55BB">
            <w:pPr>
              <w:widowControl w:val="0"/>
              <w:jc w:val="left"/>
              <w:rPr>
                <w:sz w:val="18"/>
                <w:szCs w:val="18"/>
              </w:rPr>
            </w:pPr>
            <w:r>
              <w:rPr>
                <w:sz w:val="18"/>
                <w:szCs w:val="18"/>
              </w:rPr>
              <w:t>Proyecto piloto para mantener y/o potenciar la eficiencia energética de tecnologías y equipos de sustitución en el contexto de la reducción de los HFC (decisión 91/65)</w:t>
            </w:r>
          </w:p>
        </w:tc>
        <w:tc>
          <w:tcPr>
            <w:tcW w:w="1170" w:type="dxa"/>
            <w:tcBorders>
              <w:top w:val="single" w:sz="4" w:space="0" w:color="auto"/>
              <w:left w:val="single" w:sz="4" w:space="0" w:color="auto"/>
              <w:bottom w:val="single" w:sz="4" w:space="0" w:color="auto"/>
              <w:right w:val="single" w:sz="4" w:space="0" w:color="auto"/>
            </w:tcBorders>
            <w:noWrap/>
          </w:tcPr>
          <w:p w14:paraId="2BB9CCCC" w14:textId="274B84E2" w:rsidR="005D55BB" w:rsidRPr="0056628C" w:rsidRDefault="005D55BB" w:rsidP="005D55BB">
            <w:pPr>
              <w:jc w:val="right"/>
            </w:pPr>
            <w:r>
              <w:rPr>
                <w:sz w:val="18"/>
                <w:szCs w:val="18"/>
              </w:rPr>
              <w:t>360.160</w:t>
            </w:r>
          </w:p>
        </w:tc>
        <w:tc>
          <w:tcPr>
            <w:tcW w:w="1350" w:type="dxa"/>
            <w:tcBorders>
              <w:top w:val="single" w:sz="4" w:space="0" w:color="auto"/>
              <w:left w:val="single" w:sz="4" w:space="0" w:color="auto"/>
              <w:bottom w:val="single" w:sz="4" w:space="0" w:color="auto"/>
              <w:right w:val="single" w:sz="4" w:space="0" w:color="auto"/>
            </w:tcBorders>
            <w:noWrap/>
          </w:tcPr>
          <w:p w14:paraId="412B467B" w14:textId="7F856011" w:rsidR="005D55BB" w:rsidRPr="0056628C" w:rsidRDefault="005D55BB" w:rsidP="005D55BB">
            <w:pPr>
              <w:widowControl w:val="0"/>
              <w:jc w:val="right"/>
              <w:rPr>
                <w:sz w:val="18"/>
                <w:szCs w:val="18"/>
              </w:rPr>
            </w:pPr>
            <w:r>
              <w:rPr>
                <w:sz w:val="18"/>
                <w:szCs w:val="18"/>
              </w:rPr>
              <w:t>46.821</w:t>
            </w:r>
          </w:p>
          <w:p w14:paraId="11F27FB6" w14:textId="3AC36530" w:rsidR="005D55BB" w:rsidRPr="000A3FFE" w:rsidRDefault="005D55BB" w:rsidP="005D55BB">
            <w:pPr>
              <w:widowControl w:val="0"/>
              <w:jc w:val="right"/>
              <w:rPr>
                <w:sz w:val="18"/>
                <w:szCs w:val="18"/>
                <w:lang w:val="en-GB"/>
              </w:rPr>
            </w:pPr>
          </w:p>
        </w:tc>
        <w:tc>
          <w:tcPr>
            <w:tcW w:w="1440" w:type="dxa"/>
            <w:tcBorders>
              <w:top w:val="single" w:sz="4" w:space="0" w:color="auto"/>
              <w:left w:val="single" w:sz="4" w:space="0" w:color="auto"/>
              <w:bottom w:val="single" w:sz="4" w:space="0" w:color="auto"/>
              <w:right w:val="single" w:sz="4" w:space="0" w:color="auto"/>
            </w:tcBorders>
            <w:noWrap/>
          </w:tcPr>
          <w:p w14:paraId="1F1A152D" w14:textId="27426C67" w:rsidR="005D55BB" w:rsidRPr="00215437" w:rsidRDefault="002C5D54" w:rsidP="005D55BB">
            <w:pPr>
              <w:widowControl w:val="0"/>
              <w:jc w:val="right"/>
              <w:rPr>
                <w:sz w:val="18"/>
                <w:szCs w:val="18"/>
              </w:rPr>
            </w:pPr>
            <w:r>
              <w:rPr>
                <w:sz w:val="18"/>
                <w:szCs w:val="18"/>
              </w:rPr>
              <w:t>363.069</w:t>
            </w:r>
          </w:p>
        </w:tc>
        <w:tc>
          <w:tcPr>
            <w:tcW w:w="1170" w:type="dxa"/>
            <w:tcBorders>
              <w:top w:val="single" w:sz="4" w:space="0" w:color="auto"/>
              <w:left w:val="single" w:sz="4" w:space="0" w:color="auto"/>
              <w:bottom w:val="single" w:sz="4" w:space="0" w:color="auto"/>
              <w:right w:val="single" w:sz="4" w:space="0" w:color="auto"/>
            </w:tcBorders>
          </w:tcPr>
          <w:p w14:paraId="46AB31B2" w14:textId="4FA11AF0" w:rsidR="005D55BB" w:rsidRPr="000A3FFE" w:rsidRDefault="00C03D49" w:rsidP="005D55BB">
            <w:pPr>
              <w:widowControl w:val="0"/>
              <w:jc w:val="center"/>
              <w:rPr>
                <w:sz w:val="18"/>
                <w:szCs w:val="18"/>
              </w:rPr>
            </w:pPr>
            <w:r>
              <w:rPr>
                <w:sz w:val="18"/>
                <w:szCs w:val="18"/>
              </w:rPr>
              <w:t>97/79**</w:t>
            </w:r>
          </w:p>
        </w:tc>
      </w:tr>
      <w:tr w:rsidR="005D55BB" w:rsidRPr="000A3FFE" w14:paraId="0AEAF460"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71D0C104" w14:textId="5EAC0564" w:rsidR="005D55BB" w:rsidRPr="00C5620E" w:rsidRDefault="005D55BB" w:rsidP="005D55BB">
            <w:pPr>
              <w:widowControl w:val="0"/>
              <w:jc w:val="left"/>
              <w:rPr>
                <w:b/>
                <w:bCs/>
                <w:sz w:val="18"/>
                <w:szCs w:val="18"/>
              </w:rPr>
            </w:pPr>
            <w:r>
              <w:rPr>
                <w:b/>
                <w:bCs/>
                <w:sz w:val="18"/>
                <w:szCs w:val="18"/>
              </w:rPr>
              <w:t>Subtotal</w:t>
            </w:r>
          </w:p>
        </w:tc>
        <w:tc>
          <w:tcPr>
            <w:tcW w:w="1170" w:type="dxa"/>
            <w:tcBorders>
              <w:top w:val="single" w:sz="4" w:space="0" w:color="auto"/>
              <w:left w:val="single" w:sz="4" w:space="0" w:color="auto"/>
              <w:bottom w:val="single" w:sz="4" w:space="0" w:color="auto"/>
              <w:right w:val="single" w:sz="4" w:space="0" w:color="auto"/>
            </w:tcBorders>
            <w:noWrap/>
          </w:tcPr>
          <w:p w14:paraId="70899A8E" w14:textId="226C8145" w:rsidR="005D55BB" w:rsidRPr="00E51ADF" w:rsidRDefault="00304B24" w:rsidP="005D55BB">
            <w:pPr>
              <w:widowControl w:val="0"/>
              <w:jc w:val="right"/>
              <w:rPr>
                <w:b/>
                <w:bCs/>
                <w:sz w:val="18"/>
                <w:szCs w:val="18"/>
              </w:rPr>
            </w:pPr>
            <w:r>
              <w:rPr>
                <w:b/>
                <w:bCs/>
                <w:sz w:val="18"/>
                <w:szCs w:val="18"/>
              </w:rPr>
              <w:t>655.996</w:t>
            </w:r>
          </w:p>
        </w:tc>
        <w:tc>
          <w:tcPr>
            <w:tcW w:w="1350" w:type="dxa"/>
            <w:tcBorders>
              <w:top w:val="single" w:sz="4" w:space="0" w:color="auto"/>
              <w:left w:val="single" w:sz="4" w:space="0" w:color="auto"/>
              <w:bottom w:val="single" w:sz="4" w:space="0" w:color="auto"/>
              <w:right w:val="single" w:sz="4" w:space="0" w:color="auto"/>
            </w:tcBorders>
            <w:noWrap/>
          </w:tcPr>
          <w:p w14:paraId="69FB2D33" w14:textId="1515F29B" w:rsidR="005D55BB" w:rsidRPr="00E51ADF" w:rsidRDefault="007F34C9" w:rsidP="005D55BB">
            <w:pPr>
              <w:widowControl w:val="0"/>
              <w:jc w:val="right"/>
              <w:rPr>
                <w:b/>
                <w:bCs/>
                <w:sz w:val="18"/>
                <w:szCs w:val="18"/>
              </w:rPr>
            </w:pPr>
            <w:r>
              <w:rPr>
                <w:b/>
                <w:bCs/>
                <w:sz w:val="18"/>
                <w:szCs w:val="18"/>
              </w:rPr>
              <w:t>85.280</w:t>
            </w:r>
          </w:p>
        </w:tc>
        <w:tc>
          <w:tcPr>
            <w:tcW w:w="1440" w:type="dxa"/>
            <w:tcBorders>
              <w:top w:val="single" w:sz="4" w:space="0" w:color="auto"/>
              <w:left w:val="single" w:sz="4" w:space="0" w:color="auto"/>
              <w:bottom w:val="single" w:sz="4" w:space="0" w:color="auto"/>
              <w:right w:val="single" w:sz="4" w:space="0" w:color="auto"/>
            </w:tcBorders>
            <w:noWrap/>
          </w:tcPr>
          <w:p w14:paraId="6401E1DB" w14:textId="5B2AF3B8" w:rsidR="005D55BB" w:rsidRPr="00E51ADF" w:rsidRDefault="00304B24" w:rsidP="005D55BB">
            <w:pPr>
              <w:widowControl w:val="0"/>
              <w:jc w:val="right"/>
              <w:rPr>
                <w:b/>
                <w:bCs/>
                <w:sz w:val="18"/>
                <w:szCs w:val="18"/>
              </w:rPr>
            </w:pPr>
            <w:r>
              <w:rPr>
                <w:b/>
                <w:bCs/>
                <w:sz w:val="18"/>
                <w:szCs w:val="18"/>
              </w:rPr>
              <w:t>686.406</w:t>
            </w:r>
          </w:p>
        </w:tc>
        <w:tc>
          <w:tcPr>
            <w:tcW w:w="1170" w:type="dxa"/>
            <w:tcBorders>
              <w:top w:val="single" w:sz="4" w:space="0" w:color="auto"/>
              <w:left w:val="single" w:sz="4" w:space="0" w:color="auto"/>
              <w:bottom w:val="single" w:sz="4" w:space="0" w:color="auto"/>
              <w:right w:val="single" w:sz="4" w:space="0" w:color="auto"/>
            </w:tcBorders>
          </w:tcPr>
          <w:p w14:paraId="374270B7" w14:textId="77777777" w:rsidR="005D55BB" w:rsidRPr="0078556E" w:rsidRDefault="005D55BB" w:rsidP="005D55BB">
            <w:pPr>
              <w:widowControl w:val="0"/>
              <w:jc w:val="center"/>
              <w:rPr>
                <w:sz w:val="18"/>
                <w:szCs w:val="18"/>
                <w:lang w:val="en-GB"/>
              </w:rPr>
            </w:pPr>
          </w:p>
        </w:tc>
      </w:tr>
      <w:tr w:rsidR="005D55BB" w:rsidRPr="000A3FFE" w14:paraId="4368AF03" w14:textId="77777777" w:rsidTr="0076408B">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5B106881" w14:textId="0DD106E2" w:rsidR="005D55BB" w:rsidRPr="00C5620E" w:rsidRDefault="005D55BB" w:rsidP="005D55BB">
            <w:pPr>
              <w:widowControl w:val="0"/>
              <w:jc w:val="left"/>
              <w:rPr>
                <w:b/>
                <w:bCs/>
                <w:sz w:val="18"/>
                <w:szCs w:val="18"/>
              </w:rPr>
            </w:pPr>
            <w:r>
              <w:rPr>
                <w:b/>
                <w:bCs/>
                <w:sz w:val="18"/>
                <w:szCs w:val="18"/>
              </w:rPr>
              <w:t>Total</w:t>
            </w:r>
          </w:p>
        </w:tc>
        <w:tc>
          <w:tcPr>
            <w:tcW w:w="1170" w:type="dxa"/>
            <w:tcBorders>
              <w:top w:val="single" w:sz="4" w:space="0" w:color="auto"/>
              <w:left w:val="single" w:sz="4" w:space="0" w:color="auto"/>
              <w:bottom w:val="single" w:sz="4" w:space="0" w:color="auto"/>
              <w:right w:val="single" w:sz="4" w:space="0" w:color="auto"/>
            </w:tcBorders>
            <w:noWrap/>
          </w:tcPr>
          <w:p w14:paraId="1F860671" w14:textId="7AA5D5B9" w:rsidR="005D55BB" w:rsidRDefault="005D55BB" w:rsidP="005D55BB">
            <w:pPr>
              <w:widowControl w:val="0"/>
              <w:jc w:val="right"/>
              <w:rPr>
                <w:sz w:val="18"/>
                <w:szCs w:val="18"/>
              </w:rPr>
            </w:pPr>
            <w:r>
              <w:rPr>
                <w:b/>
                <w:bCs/>
                <w:sz w:val="18"/>
                <w:szCs w:val="18"/>
              </w:rPr>
              <w:t>825.996</w:t>
            </w:r>
          </w:p>
        </w:tc>
        <w:tc>
          <w:tcPr>
            <w:tcW w:w="1350" w:type="dxa"/>
            <w:tcBorders>
              <w:top w:val="single" w:sz="4" w:space="0" w:color="auto"/>
              <w:left w:val="single" w:sz="4" w:space="0" w:color="auto"/>
              <w:bottom w:val="single" w:sz="4" w:space="0" w:color="auto"/>
              <w:right w:val="single" w:sz="4" w:space="0" w:color="auto"/>
            </w:tcBorders>
            <w:noWrap/>
          </w:tcPr>
          <w:p w14:paraId="73B1CDE7" w14:textId="4A69AE9A" w:rsidR="005D55BB" w:rsidRDefault="005D55BB" w:rsidP="005D55BB">
            <w:pPr>
              <w:widowControl w:val="0"/>
              <w:jc w:val="right"/>
              <w:rPr>
                <w:sz w:val="18"/>
                <w:szCs w:val="18"/>
              </w:rPr>
            </w:pPr>
            <w:r>
              <w:rPr>
                <w:b/>
                <w:bCs/>
                <w:sz w:val="18"/>
                <w:szCs w:val="18"/>
              </w:rPr>
              <w:t>106.009</w:t>
            </w:r>
          </w:p>
        </w:tc>
        <w:tc>
          <w:tcPr>
            <w:tcW w:w="1440" w:type="dxa"/>
            <w:tcBorders>
              <w:top w:val="single" w:sz="4" w:space="0" w:color="auto"/>
              <w:left w:val="single" w:sz="4" w:space="0" w:color="auto"/>
              <w:bottom w:val="single" w:sz="4" w:space="0" w:color="auto"/>
              <w:right w:val="single" w:sz="4" w:space="0" w:color="auto"/>
            </w:tcBorders>
            <w:noWrap/>
          </w:tcPr>
          <w:p w14:paraId="0735013F" w14:textId="62F330B1" w:rsidR="005D55BB" w:rsidRPr="007F34C9" w:rsidRDefault="007F34C9" w:rsidP="005D55BB">
            <w:pPr>
              <w:widowControl w:val="0"/>
              <w:jc w:val="right"/>
              <w:rPr>
                <w:b/>
                <w:bCs/>
                <w:sz w:val="18"/>
                <w:szCs w:val="18"/>
              </w:rPr>
            </w:pPr>
            <w:r>
              <w:rPr>
                <w:b/>
                <w:bCs/>
                <w:sz w:val="18"/>
                <w:szCs w:val="18"/>
              </w:rPr>
              <w:t>877.135</w:t>
            </w:r>
          </w:p>
        </w:tc>
        <w:tc>
          <w:tcPr>
            <w:tcW w:w="1170" w:type="dxa"/>
            <w:tcBorders>
              <w:top w:val="single" w:sz="4" w:space="0" w:color="auto"/>
              <w:left w:val="single" w:sz="4" w:space="0" w:color="auto"/>
              <w:bottom w:val="single" w:sz="4" w:space="0" w:color="auto"/>
              <w:right w:val="single" w:sz="4" w:space="0" w:color="auto"/>
            </w:tcBorders>
          </w:tcPr>
          <w:p w14:paraId="177D77C6" w14:textId="77777777" w:rsidR="005D55BB" w:rsidRPr="0078556E" w:rsidRDefault="005D55BB" w:rsidP="005D55BB">
            <w:pPr>
              <w:widowControl w:val="0"/>
              <w:jc w:val="center"/>
              <w:rPr>
                <w:sz w:val="18"/>
                <w:szCs w:val="18"/>
                <w:lang w:val="en-GB"/>
              </w:rPr>
            </w:pPr>
          </w:p>
        </w:tc>
      </w:tr>
    </w:tbl>
    <w:p w14:paraId="255C8A13" w14:textId="3FF01D0B" w:rsidR="003F14EC" w:rsidRDefault="00613277" w:rsidP="00EB3826">
      <w:pPr>
        <w:widowControl w:val="0"/>
        <w:rPr>
          <w:sz w:val="18"/>
          <w:szCs w:val="18"/>
        </w:rPr>
      </w:pPr>
      <w:r>
        <w:rPr>
          <w:sz w:val="18"/>
          <w:szCs w:val="18"/>
        </w:rPr>
        <w:t>*</w:t>
      </w:r>
      <w:r w:rsidR="00E664EF">
        <w:rPr>
          <w:sz w:val="18"/>
          <w:szCs w:val="18"/>
        </w:rPr>
        <w:t xml:space="preserve"> </w:t>
      </w:r>
      <w:r>
        <w:rPr>
          <w:sz w:val="18"/>
          <w:szCs w:val="18"/>
        </w:rPr>
        <w:t>Incluidos los gastos de apoyo</w:t>
      </w:r>
    </w:p>
    <w:p w14:paraId="6CD1DDC8" w14:textId="7CA71CE6" w:rsidR="003F0FC4" w:rsidRDefault="003F0FC4" w:rsidP="00EB3826">
      <w:pPr>
        <w:widowControl w:val="0"/>
        <w:rPr>
          <w:sz w:val="18"/>
          <w:szCs w:val="18"/>
        </w:rPr>
      </w:pPr>
      <w:r>
        <w:rPr>
          <w:sz w:val="18"/>
          <w:szCs w:val="18"/>
        </w:rPr>
        <w:t xml:space="preserve">** Para consideración </w:t>
      </w:r>
      <w:r w:rsidR="00E664EF">
        <w:rPr>
          <w:sz w:val="18"/>
          <w:szCs w:val="18"/>
        </w:rPr>
        <w:t>individual</w:t>
      </w:r>
    </w:p>
    <w:p w14:paraId="330167B6" w14:textId="77777777" w:rsidR="00EB3826" w:rsidRPr="00EB3826" w:rsidRDefault="00EB3826" w:rsidP="00EB3826">
      <w:pPr>
        <w:widowControl w:val="0"/>
        <w:rPr>
          <w:sz w:val="18"/>
          <w:szCs w:val="18"/>
        </w:rPr>
      </w:pPr>
    </w:p>
    <w:p w14:paraId="1208E401" w14:textId="3171B7A3" w:rsidR="00F511DA" w:rsidRPr="001F0709" w:rsidRDefault="00F511DA" w:rsidP="00F511DA">
      <w:pPr>
        <w:rPr>
          <w:b/>
        </w:rPr>
      </w:pPr>
      <w:r>
        <w:rPr>
          <w:b/>
        </w:rPr>
        <w:t>Nivel de cooperación bilateral permitido</w:t>
      </w:r>
    </w:p>
    <w:p w14:paraId="7A1FB687" w14:textId="77777777" w:rsidR="00F511DA" w:rsidRPr="00E664EF" w:rsidRDefault="00F511DA" w:rsidP="00F511DA">
      <w:pPr>
        <w:rPr>
          <w:b/>
          <w:sz w:val="24"/>
          <w:szCs w:val="24"/>
        </w:rPr>
      </w:pPr>
    </w:p>
    <w:p w14:paraId="48142D48" w14:textId="6FA7B457" w:rsidR="00951C0F" w:rsidRPr="00951C0F" w:rsidRDefault="00F511DA" w:rsidP="00BA4977">
      <w:pPr>
        <w:pStyle w:val="Heading1"/>
      </w:pPr>
      <w:r>
        <w:t xml:space="preserve">El monto de la financiación solicitada por los Gobiernos de Alemania y el Reino Unido en la 97ª reunión, junto con la financiación aprobada para sus solicitudes durante el trienio 2024-2026, no excede el nivel permisible del 20 % de cooperación bilateral para el trienio 2024-2026, como se muestra en el cuadro 2. </w:t>
      </w:r>
    </w:p>
    <w:p w14:paraId="7A5CC125" w14:textId="1883CDB2" w:rsidR="00F511DA" w:rsidRPr="001F0709" w:rsidRDefault="00F511DA" w:rsidP="00F511DA">
      <w:pPr>
        <w:keepNext/>
        <w:rPr>
          <w:b/>
        </w:rPr>
      </w:pPr>
      <w:r>
        <w:rPr>
          <w:b/>
        </w:rPr>
        <w:t xml:space="preserve">Cuadro 2. </w:t>
      </w:r>
      <w:r>
        <w:rPr>
          <w:b/>
          <w:bCs/>
        </w:rPr>
        <w:t>Niveles de financiación como cooperación bilateral para 2024-2026 (USD)</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511DA" w:rsidRPr="001F0709" w14:paraId="2A1246AE" w14:textId="77777777">
        <w:trPr>
          <w:trHeight w:val="256"/>
        </w:trPr>
        <w:tc>
          <w:tcPr>
            <w:tcW w:w="1833" w:type="dxa"/>
            <w:vMerge w:val="restart"/>
            <w:noWrap/>
            <w:vAlign w:val="center"/>
            <w:hideMark/>
          </w:tcPr>
          <w:p w14:paraId="536AB010" w14:textId="77777777" w:rsidR="00F511DA" w:rsidRPr="001F0709" w:rsidRDefault="00F511DA">
            <w:pPr>
              <w:jc w:val="center"/>
              <w:rPr>
                <w:b/>
                <w:bCs/>
                <w:color w:val="000000"/>
                <w:sz w:val="20"/>
                <w:szCs w:val="20"/>
              </w:rPr>
            </w:pPr>
            <w:r>
              <w:rPr>
                <w:b/>
                <w:bCs/>
                <w:color w:val="000000"/>
                <w:sz w:val="20"/>
                <w:szCs w:val="20"/>
              </w:rPr>
              <w:t>Organismo</w:t>
            </w:r>
          </w:p>
        </w:tc>
        <w:tc>
          <w:tcPr>
            <w:tcW w:w="6033" w:type="dxa"/>
            <w:gridSpan w:val="3"/>
            <w:noWrap/>
            <w:vAlign w:val="center"/>
            <w:hideMark/>
          </w:tcPr>
          <w:p w14:paraId="3EF126F6" w14:textId="77777777" w:rsidR="00F511DA" w:rsidRPr="001F0709" w:rsidRDefault="00F511DA">
            <w:pPr>
              <w:jc w:val="center"/>
              <w:rPr>
                <w:b/>
                <w:bCs/>
                <w:color w:val="000000"/>
                <w:sz w:val="20"/>
                <w:szCs w:val="20"/>
              </w:rPr>
            </w:pPr>
            <w:r>
              <w:rPr>
                <w:b/>
                <w:bCs/>
                <w:color w:val="000000"/>
                <w:sz w:val="20"/>
                <w:szCs w:val="20"/>
              </w:rPr>
              <w:t>Financiación</w:t>
            </w:r>
          </w:p>
        </w:tc>
        <w:tc>
          <w:tcPr>
            <w:tcW w:w="1770" w:type="dxa"/>
            <w:vMerge w:val="restart"/>
            <w:vAlign w:val="center"/>
            <w:hideMark/>
          </w:tcPr>
          <w:p w14:paraId="44707A57" w14:textId="4DF2DE4F" w:rsidR="00F511DA" w:rsidRPr="001F0709" w:rsidRDefault="00F511DA">
            <w:pPr>
              <w:jc w:val="center"/>
              <w:rPr>
                <w:b/>
                <w:bCs/>
                <w:color w:val="000000"/>
                <w:sz w:val="20"/>
                <w:szCs w:val="20"/>
              </w:rPr>
            </w:pPr>
            <w:r>
              <w:rPr>
                <w:b/>
                <w:bCs/>
                <w:color w:val="000000"/>
                <w:sz w:val="20"/>
                <w:szCs w:val="20"/>
              </w:rPr>
              <w:t>Nivel permitido</w:t>
            </w:r>
            <w:r>
              <w:rPr>
                <w:b/>
                <w:bCs/>
                <w:color w:val="000000"/>
                <w:sz w:val="20"/>
                <w:szCs w:val="20"/>
              </w:rPr>
              <w:br/>
              <w:t xml:space="preserve">trienio 2024-2026 </w:t>
            </w:r>
          </w:p>
        </w:tc>
      </w:tr>
      <w:tr w:rsidR="00F511DA" w:rsidRPr="001F0709" w14:paraId="207257B0" w14:textId="77777777">
        <w:trPr>
          <w:trHeight w:val="355"/>
        </w:trPr>
        <w:tc>
          <w:tcPr>
            <w:tcW w:w="1833" w:type="dxa"/>
            <w:vMerge/>
            <w:vAlign w:val="center"/>
            <w:hideMark/>
          </w:tcPr>
          <w:p w14:paraId="1A2E4A58" w14:textId="77777777" w:rsidR="00F511DA" w:rsidRPr="00C5620E" w:rsidRDefault="00F511DA">
            <w:pPr>
              <w:jc w:val="left"/>
              <w:rPr>
                <w:b/>
                <w:bCs/>
                <w:color w:val="000000"/>
                <w:sz w:val="20"/>
                <w:szCs w:val="20"/>
                <w:lang w:eastAsia="en-CA"/>
              </w:rPr>
            </w:pPr>
          </w:p>
        </w:tc>
        <w:tc>
          <w:tcPr>
            <w:tcW w:w="2216" w:type="dxa"/>
            <w:vAlign w:val="center"/>
            <w:hideMark/>
          </w:tcPr>
          <w:p w14:paraId="7CE6D03B" w14:textId="613B6D6F" w:rsidR="00F511DA" w:rsidRPr="00C5620E" w:rsidRDefault="00F511DA">
            <w:pPr>
              <w:jc w:val="center"/>
              <w:rPr>
                <w:b/>
                <w:bCs/>
                <w:color w:val="000000"/>
                <w:sz w:val="20"/>
                <w:szCs w:val="20"/>
              </w:rPr>
            </w:pPr>
            <w:r>
              <w:rPr>
                <w:b/>
                <w:bCs/>
                <w:color w:val="000000"/>
                <w:sz w:val="20"/>
                <w:szCs w:val="20"/>
              </w:rPr>
              <w:t>Aprobado</w:t>
            </w:r>
            <w:r>
              <w:rPr>
                <w:b/>
                <w:bCs/>
                <w:color w:val="000000"/>
                <w:sz w:val="20"/>
                <w:szCs w:val="20"/>
              </w:rPr>
              <w:br/>
              <w:t>2024-2026</w:t>
            </w:r>
          </w:p>
        </w:tc>
        <w:tc>
          <w:tcPr>
            <w:tcW w:w="1701" w:type="dxa"/>
            <w:vAlign w:val="center"/>
            <w:hideMark/>
          </w:tcPr>
          <w:p w14:paraId="3DCF6577" w14:textId="0B34129C" w:rsidR="00F511DA" w:rsidRPr="00C5620E" w:rsidRDefault="00F511DA">
            <w:pPr>
              <w:jc w:val="center"/>
              <w:rPr>
                <w:b/>
                <w:bCs/>
                <w:color w:val="000000"/>
                <w:sz w:val="20"/>
                <w:szCs w:val="20"/>
              </w:rPr>
            </w:pPr>
            <w:r>
              <w:rPr>
                <w:b/>
                <w:bCs/>
                <w:color w:val="000000"/>
                <w:sz w:val="20"/>
                <w:szCs w:val="20"/>
              </w:rPr>
              <w:t xml:space="preserve">Solicitado </w:t>
            </w:r>
            <w:r>
              <w:rPr>
                <w:b/>
                <w:bCs/>
                <w:color w:val="000000"/>
                <w:sz w:val="20"/>
                <w:szCs w:val="20"/>
              </w:rPr>
              <w:br/>
              <w:t>97</w:t>
            </w:r>
            <w:r>
              <w:rPr>
                <w:b/>
                <w:bCs/>
                <w:color w:val="000000"/>
                <w:sz w:val="20"/>
                <w:szCs w:val="20"/>
                <w:vertAlign w:val="superscript"/>
              </w:rPr>
              <w:t>a</w:t>
            </w:r>
            <w:r>
              <w:rPr>
                <w:b/>
                <w:bCs/>
                <w:color w:val="000000"/>
                <w:sz w:val="20"/>
                <w:szCs w:val="20"/>
              </w:rPr>
              <w:t xml:space="preserve"> reunión</w:t>
            </w:r>
          </w:p>
        </w:tc>
        <w:tc>
          <w:tcPr>
            <w:tcW w:w="2116" w:type="dxa"/>
            <w:noWrap/>
            <w:vAlign w:val="center"/>
            <w:hideMark/>
          </w:tcPr>
          <w:p w14:paraId="58744DC9" w14:textId="77777777" w:rsidR="00F511DA" w:rsidRPr="001F0709" w:rsidRDefault="00F511DA">
            <w:pPr>
              <w:jc w:val="center"/>
              <w:rPr>
                <w:b/>
                <w:bCs/>
                <w:color w:val="000000"/>
                <w:sz w:val="20"/>
                <w:szCs w:val="20"/>
              </w:rPr>
            </w:pPr>
            <w:r>
              <w:rPr>
                <w:b/>
                <w:bCs/>
                <w:color w:val="000000"/>
                <w:sz w:val="20"/>
                <w:szCs w:val="20"/>
              </w:rPr>
              <w:t>Total</w:t>
            </w:r>
          </w:p>
        </w:tc>
        <w:tc>
          <w:tcPr>
            <w:tcW w:w="1770" w:type="dxa"/>
            <w:vMerge/>
            <w:vAlign w:val="center"/>
            <w:hideMark/>
          </w:tcPr>
          <w:p w14:paraId="00D903C5" w14:textId="77777777" w:rsidR="00F511DA" w:rsidRPr="001F0709" w:rsidRDefault="00F511DA">
            <w:pPr>
              <w:jc w:val="left"/>
              <w:rPr>
                <w:b/>
                <w:bCs/>
                <w:color w:val="000000"/>
                <w:sz w:val="20"/>
                <w:szCs w:val="20"/>
                <w:lang w:eastAsia="en-CA"/>
              </w:rPr>
            </w:pPr>
          </w:p>
        </w:tc>
      </w:tr>
      <w:tr w:rsidR="00F511DA" w:rsidRPr="006202B0" w14:paraId="13256F6F" w14:textId="77777777" w:rsidTr="0075751F">
        <w:trPr>
          <w:trHeight w:val="202"/>
        </w:trPr>
        <w:tc>
          <w:tcPr>
            <w:tcW w:w="1833" w:type="dxa"/>
            <w:noWrap/>
            <w:vAlign w:val="center"/>
          </w:tcPr>
          <w:p w14:paraId="67649349" w14:textId="3B3B7681" w:rsidR="00F511DA" w:rsidRPr="001F0709" w:rsidRDefault="0075751F">
            <w:pPr>
              <w:rPr>
                <w:color w:val="000000"/>
                <w:sz w:val="20"/>
                <w:szCs w:val="20"/>
              </w:rPr>
            </w:pPr>
            <w:r>
              <w:rPr>
                <w:color w:val="000000"/>
                <w:sz w:val="20"/>
                <w:szCs w:val="20"/>
              </w:rPr>
              <w:t>Alemania</w:t>
            </w:r>
          </w:p>
        </w:tc>
        <w:tc>
          <w:tcPr>
            <w:tcW w:w="2216" w:type="dxa"/>
            <w:noWrap/>
          </w:tcPr>
          <w:p w14:paraId="18734BE3" w14:textId="1639FEF3" w:rsidR="00F511DA" w:rsidRPr="00474288" w:rsidRDefault="00295B03">
            <w:pPr>
              <w:jc w:val="right"/>
              <w:rPr>
                <w:color w:val="000000"/>
                <w:sz w:val="20"/>
                <w:szCs w:val="20"/>
              </w:rPr>
            </w:pPr>
            <w:r>
              <w:rPr>
                <w:color w:val="000000"/>
                <w:sz w:val="20"/>
                <w:szCs w:val="20"/>
              </w:rPr>
              <w:t>10.530.271</w:t>
            </w:r>
          </w:p>
        </w:tc>
        <w:tc>
          <w:tcPr>
            <w:tcW w:w="1701" w:type="dxa"/>
            <w:noWrap/>
          </w:tcPr>
          <w:p w14:paraId="1A32FA51" w14:textId="6221636A" w:rsidR="00F511DA" w:rsidRPr="00474288" w:rsidRDefault="00133A80" w:rsidP="00133A80">
            <w:pPr>
              <w:jc w:val="right"/>
              <w:rPr>
                <w:color w:val="000000"/>
                <w:sz w:val="20"/>
                <w:szCs w:val="20"/>
              </w:rPr>
            </w:pPr>
            <w:r>
              <w:rPr>
                <w:color w:val="000000"/>
                <w:sz w:val="20"/>
                <w:szCs w:val="20"/>
              </w:rPr>
              <w:t>190.729</w:t>
            </w:r>
          </w:p>
        </w:tc>
        <w:tc>
          <w:tcPr>
            <w:tcW w:w="2116" w:type="dxa"/>
            <w:noWrap/>
          </w:tcPr>
          <w:p w14:paraId="30B9A767" w14:textId="2A1173BE" w:rsidR="00F511DA" w:rsidRPr="00346819" w:rsidRDefault="00E85AFF">
            <w:pPr>
              <w:jc w:val="right"/>
              <w:rPr>
                <w:color w:val="000000"/>
                <w:sz w:val="20"/>
                <w:szCs w:val="20"/>
                <w:highlight w:val="yellow"/>
              </w:rPr>
            </w:pPr>
            <w:r>
              <w:rPr>
                <w:color w:val="000000"/>
                <w:sz w:val="20"/>
                <w:szCs w:val="20"/>
              </w:rPr>
              <w:t>10.721.000</w:t>
            </w:r>
          </w:p>
        </w:tc>
        <w:tc>
          <w:tcPr>
            <w:tcW w:w="1770" w:type="dxa"/>
            <w:noWrap/>
            <w:vAlign w:val="center"/>
          </w:tcPr>
          <w:p w14:paraId="5D57FA2D" w14:textId="2DC99E2E" w:rsidR="00F511DA" w:rsidRPr="0075751F" w:rsidRDefault="00755CE7">
            <w:pPr>
              <w:jc w:val="right"/>
              <w:rPr>
                <w:b/>
                <w:bCs/>
                <w:color w:val="000000"/>
                <w:sz w:val="20"/>
                <w:szCs w:val="20"/>
              </w:rPr>
            </w:pPr>
            <w:r>
              <w:rPr>
                <w:b/>
                <w:bCs/>
                <w:color w:val="000000"/>
                <w:sz w:val="20"/>
                <w:szCs w:val="20"/>
              </w:rPr>
              <w:t>10.883.917</w:t>
            </w:r>
          </w:p>
        </w:tc>
      </w:tr>
      <w:tr w:rsidR="00C5620E" w:rsidRPr="006202B0" w14:paraId="6989D927" w14:textId="77777777" w:rsidTr="0075751F">
        <w:trPr>
          <w:trHeight w:val="202"/>
        </w:trPr>
        <w:tc>
          <w:tcPr>
            <w:tcW w:w="1833" w:type="dxa"/>
            <w:noWrap/>
            <w:vAlign w:val="center"/>
          </w:tcPr>
          <w:p w14:paraId="7973FF5A" w14:textId="791EA285" w:rsidR="00C5620E" w:rsidRPr="001F0709" w:rsidRDefault="00C5620E">
            <w:pPr>
              <w:rPr>
                <w:color w:val="000000"/>
                <w:sz w:val="20"/>
                <w:szCs w:val="20"/>
              </w:rPr>
            </w:pPr>
            <w:r>
              <w:rPr>
                <w:color w:val="000000"/>
                <w:sz w:val="20"/>
                <w:szCs w:val="20"/>
              </w:rPr>
              <w:t>Reino Unido</w:t>
            </w:r>
          </w:p>
        </w:tc>
        <w:tc>
          <w:tcPr>
            <w:tcW w:w="2216" w:type="dxa"/>
            <w:noWrap/>
          </w:tcPr>
          <w:p w14:paraId="721805D2" w14:textId="0FFE2B04" w:rsidR="00C5620E" w:rsidRPr="00474288" w:rsidRDefault="00FC5218">
            <w:pPr>
              <w:jc w:val="right"/>
              <w:rPr>
                <w:color w:val="000000"/>
                <w:sz w:val="20"/>
                <w:szCs w:val="20"/>
              </w:rPr>
            </w:pPr>
            <w:r>
              <w:rPr>
                <w:color w:val="000000"/>
                <w:sz w:val="20"/>
                <w:szCs w:val="20"/>
              </w:rPr>
              <w:t>593.476</w:t>
            </w:r>
          </w:p>
        </w:tc>
        <w:tc>
          <w:tcPr>
            <w:tcW w:w="1701" w:type="dxa"/>
            <w:noWrap/>
          </w:tcPr>
          <w:p w14:paraId="1EA4394F" w14:textId="28059CB6" w:rsidR="00C5620E" w:rsidRPr="00474288" w:rsidRDefault="000720CE">
            <w:pPr>
              <w:jc w:val="right"/>
              <w:rPr>
                <w:color w:val="000000"/>
                <w:sz w:val="20"/>
                <w:szCs w:val="20"/>
              </w:rPr>
            </w:pPr>
            <w:r>
              <w:rPr>
                <w:color w:val="000000"/>
                <w:sz w:val="20"/>
                <w:szCs w:val="20"/>
              </w:rPr>
              <w:t>686.406</w:t>
            </w:r>
          </w:p>
        </w:tc>
        <w:tc>
          <w:tcPr>
            <w:tcW w:w="2116" w:type="dxa"/>
            <w:noWrap/>
          </w:tcPr>
          <w:p w14:paraId="1D375475" w14:textId="5373BC4C" w:rsidR="00C5620E" w:rsidRPr="00346819" w:rsidRDefault="000720CE">
            <w:pPr>
              <w:jc w:val="right"/>
              <w:rPr>
                <w:color w:val="000000"/>
                <w:sz w:val="20"/>
                <w:szCs w:val="20"/>
                <w:highlight w:val="yellow"/>
              </w:rPr>
            </w:pPr>
            <w:r>
              <w:rPr>
                <w:color w:val="000000"/>
                <w:sz w:val="20"/>
                <w:szCs w:val="20"/>
              </w:rPr>
              <w:t>1.279.882</w:t>
            </w:r>
          </w:p>
        </w:tc>
        <w:tc>
          <w:tcPr>
            <w:tcW w:w="1770" w:type="dxa"/>
            <w:noWrap/>
            <w:vAlign w:val="center"/>
          </w:tcPr>
          <w:p w14:paraId="6EAFCE4A" w14:textId="54040D08" w:rsidR="00FE6E52" w:rsidRPr="001F0709" w:rsidRDefault="00FE6E52" w:rsidP="00FE6E52">
            <w:pPr>
              <w:jc w:val="right"/>
              <w:rPr>
                <w:b/>
                <w:bCs/>
                <w:color w:val="000000"/>
                <w:sz w:val="20"/>
                <w:szCs w:val="20"/>
              </w:rPr>
            </w:pPr>
            <w:r>
              <w:rPr>
                <w:b/>
                <w:bCs/>
                <w:color w:val="000000"/>
                <w:sz w:val="20"/>
                <w:szCs w:val="20"/>
              </w:rPr>
              <w:t>7.792.037</w:t>
            </w:r>
          </w:p>
        </w:tc>
      </w:tr>
    </w:tbl>
    <w:p w14:paraId="71B6EF57" w14:textId="77777777" w:rsidR="00F511DA" w:rsidRPr="006202B0" w:rsidRDefault="00F511DA" w:rsidP="00BB2764">
      <w:pPr>
        <w:rPr>
          <w:highlight w:val="yellow"/>
        </w:rPr>
      </w:pPr>
    </w:p>
    <w:p w14:paraId="5E8618FB" w14:textId="77777777" w:rsidR="00A70ED7" w:rsidRDefault="00A70ED7" w:rsidP="00A70ED7">
      <w:pPr>
        <w:keepNext/>
        <w:rPr>
          <w:b/>
        </w:rPr>
      </w:pPr>
      <w:r>
        <w:rPr>
          <w:b/>
        </w:rPr>
        <w:t>Solicitudes bilaterales</w:t>
      </w:r>
    </w:p>
    <w:p w14:paraId="20F07695" w14:textId="77777777" w:rsidR="006D2558" w:rsidRDefault="006D2558" w:rsidP="00A70ED7">
      <w:pPr>
        <w:keepNext/>
        <w:rPr>
          <w:b/>
        </w:rPr>
      </w:pPr>
    </w:p>
    <w:p w14:paraId="5EF1B114" w14:textId="77777777" w:rsidR="008B00A1" w:rsidRPr="008B00A1" w:rsidRDefault="008B00A1" w:rsidP="008B00A1">
      <w:pPr>
        <w:keepNext/>
        <w:spacing w:after="240"/>
        <w:rPr>
          <w:bCs/>
          <w:u w:val="single"/>
        </w:rPr>
      </w:pPr>
      <w:r>
        <w:rPr>
          <w:bCs/>
          <w:u w:val="single"/>
        </w:rPr>
        <w:t>Preparación de un inventario nacional de bancos de sustancias controladas agotadas o de desecho y de un plan de recogida, transporte y eliminación de dichas sustancias</w:t>
      </w:r>
    </w:p>
    <w:p w14:paraId="79232AAC" w14:textId="77777777" w:rsidR="008B00A1" w:rsidRPr="008B00A1" w:rsidRDefault="008B00A1" w:rsidP="008B00A1">
      <w:pPr>
        <w:keepNext/>
        <w:spacing w:after="240"/>
        <w:rPr>
          <w:bCs/>
          <w:i/>
          <w:iCs/>
        </w:rPr>
      </w:pPr>
      <w:r>
        <w:rPr>
          <w:bCs/>
          <w:i/>
          <w:iCs/>
        </w:rPr>
        <w:t>Descripción del proyecto</w:t>
      </w:r>
    </w:p>
    <w:p w14:paraId="55290397" w14:textId="613AEFD0" w:rsidR="008B00A1" w:rsidRPr="008B00A1" w:rsidRDefault="008B00A1" w:rsidP="008B00A1">
      <w:pPr>
        <w:pStyle w:val="Heading1"/>
      </w:pPr>
      <w:r>
        <w:t>El Gobierno de Alemania presentó una solicitud para la preparación de un inventario nacional de bancos de sustancias controladas agotadas o de desecho y un plan para Papua Nueva Guinea como organismo de ejecución designado, tal y como se muestra en el cuadro 1.</w:t>
      </w:r>
    </w:p>
    <w:p w14:paraId="217BA27B" w14:textId="77777777" w:rsidR="008B00A1" w:rsidRPr="008B00A1" w:rsidRDefault="008B00A1" w:rsidP="008B00A1">
      <w:pPr>
        <w:keepNext/>
        <w:spacing w:after="240"/>
        <w:rPr>
          <w:bCs/>
          <w:i/>
          <w:iCs/>
        </w:rPr>
      </w:pPr>
      <w:r>
        <w:rPr>
          <w:bCs/>
          <w:i/>
          <w:iCs/>
        </w:rPr>
        <w:lastRenderedPageBreak/>
        <w:t>Observaciones de la Secretaría</w:t>
      </w:r>
    </w:p>
    <w:p w14:paraId="1F150E5F" w14:textId="77777777" w:rsidR="008B00A1" w:rsidRPr="008B00A1" w:rsidRDefault="008B00A1" w:rsidP="00BA4977">
      <w:pPr>
        <w:pStyle w:val="Heading1"/>
        <w:rPr>
          <w:bCs/>
        </w:rPr>
      </w:pPr>
      <w:r>
        <w:t xml:space="preserve">Al examinar la solicitud, la Secretaría tuvo en cuenta los criterios para la preparación de un inventario nacional de bancos de sustancias controladas agotadas o de desecho y el plan indicado en la decisión 91/66, las actividades propuestas para la preparación de proyectos así como la forma en que éstas se relacionan con los planes nacionales de eliminación o reducción (es decir, el PGEH o el PAK) del país. La Secretaría señaló que la solicitud de financiación se ajusta a la decisión 91/66 y que, en su calidad de organismo de ejecución designado, el Gobierno de Alemania proporcionó una descripción de las actividades necesarias para la preparación de un inventario nacional de bancos de sustancias controladas agotadas o de desecho y un plan para Papua Nueva Guinea, así como los costos correspondientes a cada actividad, utilizando el formulario de presentación pertinente para la propuesta de proyecto. </w:t>
      </w:r>
    </w:p>
    <w:p w14:paraId="05D50325" w14:textId="77777777" w:rsidR="008B00A1" w:rsidRPr="008B00A1" w:rsidRDefault="008B00A1" w:rsidP="00BA4977">
      <w:pPr>
        <w:pStyle w:val="Heading1"/>
        <w:rPr>
          <w:bCs/>
        </w:rPr>
      </w:pPr>
      <w:r>
        <w:t xml:space="preserve">Las actividades preparatorias incluyeron la elaboración del inventario nacional, el plan de acción y el informe final; consultas con las partes interesadas pertinentes; actividades de sensibilización, recopilación y análisis de datos; una revisión y análisis de la normativa y las políticas existentes; la previsión de las cantidades de SAO y HFC agotadas o de desecho; un estudio de la cadena de suministro y eliminación, y consideraciones sobre políticas de género. El inventario de bancos de SAO complementará una iniciativa gubernamental en curso, </w:t>
      </w:r>
      <w:r>
        <w:rPr>
          <w:i/>
        </w:rPr>
        <w:t>Green Cities</w:t>
      </w:r>
      <w:r>
        <w:t xml:space="preserve">, un programa que incluye actividades relacionadas con la eficiencia energética y la gestión de residuos. </w:t>
      </w:r>
    </w:p>
    <w:p w14:paraId="57E6517F" w14:textId="77777777" w:rsidR="008B00A1" w:rsidRPr="008B00A1" w:rsidRDefault="008B00A1" w:rsidP="008B00A1">
      <w:pPr>
        <w:keepNext/>
        <w:spacing w:after="240"/>
        <w:rPr>
          <w:bCs/>
          <w:i/>
          <w:iCs/>
        </w:rPr>
      </w:pPr>
      <w:r>
        <w:rPr>
          <w:bCs/>
          <w:i/>
          <w:iCs/>
        </w:rPr>
        <w:t>Recomendación de la Secretaría</w:t>
      </w:r>
    </w:p>
    <w:p w14:paraId="39D151AD" w14:textId="5C1C4BAA" w:rsidR="008B00A1" w:rsidRPr="008B00A1" w:rsidRDefault="008B00A1" w:rsidP="00BA4977">
      <w:pPr>
        <w:pStyle w:val="Heading1"/>
        <w:rPr>
          <w:bCs/>
        </w:rPr>
      </w:pPr>
      <w:r>
        <w:t>La Secretaría recomienda la aprobación general, con el nivel de financiamiento que se indica en el cuadro 1, de la preparación del inventario nacional de bancos de sustancias controladas agotadas o de desecho y de un plan para su acopio, transporte y eliminación para Papua Nueva Guinea.</w:t>
      </w:r>
    </w:p>
    <w:p w14:paraId="2E3719D6" w14:textId="663858CD" w:rsidR="008B00A1" w:rsidRPr="008B00A1" w:rsidRDefault="008B00A1" w:rsidP="008B00A1">
      <w:pPr>
        <w:rPr>
          <w:u w:val="single"/>
        </w:rPr>
      </w:pPr>
      <w:r>
        <w:rPr>
          <w:u w:val="single"/>
        </w:rPr>
        <w:t>Preparación de un proyecto piloto para mantener y/o potenciar la eficiencia energética de tecnologías y equipos de sustitución en el contexto de la reducción de los HFC (decisión 91/65)</w:t>
      </w:r>
    </w:p>
    <w:p w14:paraId="12E7053B" w14:textId="77777777" w:rsidR="008B00A1" w:rsidRPr="008B00A1" w:rsidRDefault="008B00A1" w:rsidP="008B00A1">
      <w:pPr>
        <w:ind w:left="360"/>
      </w:pPr>
    </w:p>
    <w:p w14:paraId="43C05DC8" w14:textId="77777777" w:rsidR="008B00A1" w:rsidRPr="008B00A1" w:rsidRDefault="008B00A1" w:rsidP="008B00A1">
      <w:pPr>
        <w:rPr>
          <w:i/>
          <w:iCs/>
        </w:rPr>
      </w:pPr>
      <w:r>
        <w:rPr>
          <w:i/>
          <w:iCs/>
        </w:rPr>
        <w:t>Descripción del proyecto</w:t>
      </w:r>
    </w:p>
    <w:p w14:paraId="45DAA815" w14:textId="77777777" w:rsidR="008B00A1" w:rsidRPr="008B00A1" w:rsidRDefault="008B00A1" w:rsidP="008B00A1">
      <w:pPr>
        <w:rPr>
          <w:i/>
          <w:iCs/>
        </w:rPr>
      </w:pPr>
    </w:p>
    <w:p w14:paraId="706F1314" w14:textId="52D26AEF" w:rsidR="008B00A1" w:rsidRPr="008B00A1" w:rsidRDefault="008B00A1" w:rsidP="00BA4977">
      <w:pPr>
        <w:pStyle w:val="Heading1"/>
      </w:pPr>
      <w:r>
        <w:t xml:space="preserve">El Gobierno del Reino Unido presentó una solicitud para la preparación de un proyecto piloto destinado a mantener y/o mejorar la eficiencia energética en el contexto de la reducción de los HFC en Granada, tal y como se muestra en el cuadro 1. </w:t>
      </w:r>
    </w:p>
    <w:p w14:paraId="703BE438" w14:textId="77777777" w:rsidR="008B00A1" w:rsidRPr="008B00A1" w:rsidRDefault="008B00A1" w:rsidP="00BA4977">
      <w:pPr>
        <w:pStyle w:val="Heading1"/>
      </w:pPr>
      <w:r>
        <w:t xml:space="preserve">El objetivo del proyecto es demostrar el uso de herramientas digitales, análisis de datos y automatización para mejorar la capacidad técnica general, la calidad del servicio, la eficiencia energética, la seguridad y la sostenibilidad en el sector de servicios técnicos de refrigeración y aire acondicionado (RAC) en Granada. </w:t>
      </w:r>
    </w:p>
    <w:p w14:paraId="44AF1F38" w14:textId="77777777" w:rsidR="008B00A1" w:rsidRPr="008B00A1" w:rsidRDefault="008B00A1" w:rsidP="00BA4977">
      <w:pPr>
        <w:pStyle w:val="Heading1"/>
      </w:pPr>
      <w:r>
        <w:t xml:space="preserve">El proyecto piloto propuesto prepararía un plan para la transformación digital de la capacitación de técnicos con el fin de incorporar módulos de aprendizaje en línea, plataformas móviles interactivas y simulaciones de realidad virtual/aumentada, lo que permitiría a los técnicos mejorar sus competencias independientemente de su ubicación geográfica y garantizaría un nivel de competencia uniforme y homogéneo en todo el sector, además de proporcionar experiencia práctica con herramientas digitales, diagnóstico de averías y optimización de sistemas en un entorno seguro y accesible. El plan también exploraría el uso de tecnologías de monitorización inteligentes, como sensores del internet de las cosas, detectores digitales de fugas, paneles de control basados en la nube y plataformas móviles de gestión de servicios que permiten el seguimiento continuo del rendimiento, el mantenimiento predictivo y la toma de decisiones basada en datos. </w:t>
      </w:r>
    </w:p>
    <w:p w14:paraId="0D4D9052" w14:textId="77777777" w:rsidR="008B00A1" w:rsidRPr="008B00A1" w:rsidRDefault="008B00A1" w:rsidP="00BA4977">
      <w:pPr>
        <w:pStyle w:val="Heading1"/>
      </w:pPr>
      <w:r>
        <w:t xml:space="preserve">Las actividades de preparación del proyecto incluyeron la recopilación de datos y una evaluación de soluciones digitales y de inteligencia artificial para el sector de servicios de RAC, el análisis de las </w:t>
      </w:r>
      <w:r>
        <w:lastRenderedPageBreak/>
        <w:t>necesidades en Granada y la región del Caribe, consultas con las partes interesadas, viajes locales y la elaboración de una propuesta de proyecto en consonancia con la decisión 91/65. Se espera que la propuesta del proyecto piloto se presente en la 98ª reunión.</w:t>
      </w:r>
    </w:p>
    <w:p w14:paraId="73A65F9F" w14:textId="77777777" w:rsidR="008B00A1" w:rsidRPr="008B00A1" w:rsidRDefault="008B00A1" w:rsidP="00FB2D67">
      <w:pPr>
        <w:rPr>
          <w:i/>
          <w:iCs/>
        </w:rPr>
      </w:pPr>
      <w:r>
        <w:rPr>
          <w:i/>
          <w:iCs/>
        </w:rPr>
        <w:t>Observaciones de la Secretaría</w:t>
      </w:r>
    </w:p>
    <w:p w14:paraId="50AF3BB0" w14:textId="77777777" w:rsidR="008B00A1" w:rsidRPr="008B00A1" w:rsidRDefault="008B00A1" w:rsidP="008B00A1">
      <w:pPr>
        <w:rPr>
          <w:i/>
          <w:iCs/>
        </w:rPr>
      </w:pPr>
    </w:p>
    <w:p w14:paraId="6D91C28D" w14:textId="77777777" w:rsidR="008B00A1" w:rsidRPr="008B00A1" w:rsidRDefault="008B00A1" w:rsidP="00BA4977">
      <w:pPr>
        <w:pStyle w:val="Heading1"/>
      </w:pPr>
      <w:r>
        <w:t xml:space="preserve">La Secretaría ha examinado la propuesta de preparación del proyecto de conformidad con los criterios establecidos en la decisión 91/65.  </w:t>
      </w:r>
    </w:p>
    <w:p w14:paraId="0BE17F7B" w14:textId="77777777" w:rsidR="008B00A1" w:rsidRPr="008B00A1" w:rsidRDefault="008B00A1" w:rsidP="00BA4977">
      <w:pPr>
        <w:pStyle w:val="Heading1"/>
      </w:pPr>
      <w:r>
        <w:t>En cuanto a la mejora de la eficiencia energética mediante la digitalización del sector de los servicios técnicos, se afirmó que el proyecto se centraría en encontrar soluciones digitales para modernizar la capacitación de los técnicos. En cuanto a las soluciones de internet de las cosas, el proyecto explorará sensores, pasarelas y monitoreo basado en la nube para uso de los técnicos. La capacitación impartida digitalmente y las herramientas relacionadas pueden actualizarse para incluir prácticas de mantenimiento ecoenergéticas. Estas plataformas de aprendizaje también pueden incorporar información sobre nuevas tecnologías, normas de eficiencia y directrices políticas. El material de capacitación en línea y basado en realidad virtual reducirá la necesidad de una amplia infraestructura física, lo que permitirá que más técnicos adquieran competencias modernas en materia de eficiencia energética. El proyecto también tiene previsto explorar los registros digitales de servicio y los registros de mantenimiento basados en la nube, que pueden establecer puntos de referencia basados en datos para el rendimiento energético e identificar los equipos de alto consumo para su modernización o sustitución selectiva, lo que contribuye a la eficiencia energética. En general, el proyecto tiene como objetivo preparar programas de capacitación a través de varias plataformas digitales, como la realidad virtual y evaluaciones en línea, que traten sobre la eficiencia energética en equipos de refrigeración, aire acondicionado y bombas de calor, y que exploren herramientas digitales para mejorar la eficiencia energética cambiando el modo en que se supervisan, mantienen y optimizan los sistemas.</w:t>
      </w:r>
    </w:p>
    <w:p w14:paraId="64E446A8" w14:textId="77777777" w:rsidR="008B00A1" w:rsidRPr="008B00A1" w:rsidRDefault="008B00A1" w:rsidP="00BA4977">
      <w:pPr>
        <w:pStyle w:val="Heading1"/>
      </w:pPr>
      <w:r>
        <w:t>En cuanto a los vínculos con el PAK, se explicó que el objetivo principal del proyecto que se va a desarrollar es utilizar herramientas digitales para apoyar al sector de servicios técnicos de sistemas de RAC, lo que a su vez contribuye al cumplimiento de la Enmienda de Kigali y optimiza la reducción de los HFC al mejorar la precisión y la eficiencia en la gestión de los refrigerantes. Además, el proyecto respaldaría la ejecución del PAK mejorando las prácticas de los servicios técnicos, reduciendo las fugas de refrigerante y mejorando la capacitación y certificación de los técnicos mediante plataformas digitales. Estas mejoras contribuyen a reducir el consumo de HFC y a aumentar la eficiencia energética. Las herramientas digitales también facilitarán una mejor recopilación de datos, la detección de fugas, el seguimiento de la recuperación de refrigerantes y la formulación de políticas, lo que reforzará la capacidad nacional y el cumplimiento de los objetivos de la Enmienda de Kigali. La integración de estas herramientas con las actividades de capacitación existentes en el marco del PAK garantizará la coherencia y maximizará el impacto.</w:t>
      </w:r>
    </w:p>
    <w:p w14:paraId="247784FB" w14:textId="77777777" w:rsidR="008B00A1" w:rsidRPr="008B00A1" w:rsidRDefault="008B00A1" w:rsidP="00BA4977">
      <w:pPr>
        <w:pStyle w:val="Heading1"/>
      </w:pPr>
      <w:r>
        <w:t xml:space="preserve">El Gobierno del Reino Unido destacó que otra ventaja de llevar a cabo un proyecto de este tipo es la facilidad con la que otros países pueden adoptar estas herramientas digitales. El mayor costo probablemente sería la preparación del prototipo. Una vez creadas, estas herramientas podrían compartirse con toda la comunidad del Protocolo de Montreal y, en principio, aplicarse en todo el mundo. </w:t>
      </w:r>
    </w:p>
    <w:p w14:paraId="183564E2" w14:textId="77777777" w:rsidR="008B00A1" w:rsidRPr="008B00A1" w:rsidRDefault="008B00A1" w:rsidP="00BA4977">
      <w:pPr>
        <w:pStyle w:val="Heading1"/>
      </w:pPr>
      <w:r>
        <w:t>Durante el debate sobre las actividades de preparación de proyectos, se indicó que se llevará a cabo un análisis de mercado exhaustivo para evaluar las plataformas y herramientas digitales mundiales pertinentes para la reducción de los HFC. Sobre la base de esta evaluación, se elaborará un plan de ejecución adaptado, que incluirá la realización de pruebas piloto de determinadas aplicaciones para garantizar su idoneidad técnica y su sostenibilidad a largo plazo en el contexto nacional de Granada.</w:t>
      </w:r>
    </w:p>
    <w:p w14:paraId="536BE175" w14:textId="77777777" w:rsidR="008B00A1" w:rsidRPr="008B00A1" w:rsidRDefault="008B00A1" w:rsidP="008B00A1">
      <w:pPr>
        <w:spacing w:after="240"/>
        <w:outlineLvl w:val="0"/>
      </w:pPr>
      <w:r>
        <w:t xml:space="preserve">En cuanto a la necesidad de un proyecto de este tipo, se explicó que, si bien existen iniciativas piloto en el mundo, Granada carece actualmente de herramientas de monitoreo digital en su sector de RAC. Este proyecto aborda una brecha crítica mediante la introducción de soluciones digitales adaptadas que podrían </w:t>
      </w:r>
      <w:r>
        <w:lastRenderedPageBreak/>
        <w:t xml:space="preserve">propagarse a los pequeños países insulares en desarrollo. Se están estudiando varias aplicaciones, entre las que se incluyen módulos de capacitación en línea y basados en realidad virtual, guías técnicas accesibles desde dispositivos móviles y sistemas de gestión de refrigerantes habilitados para el internet de las cosas. </w:t>
      </w:r>
    </w:p>
    <w:p w14:paraId="6CB5178C" w14:textId="77777777" w:rsidR="008B00A1" w:rsidRPr="008B00A1" w:rsidRDefault="008B00A1" w:rsidP="008B00A1">
      <w:pPr>
        <w:spacing w:after="240"/>
        <w:outlineLvl w:val="0"/>
        <w:rPr>
          <w:i/>
          <w:iCs/>
        </w:rPr>
      </w:pPr>
      <w:r>
        <w:rPr>
          <w:i/>
          <w:iCs/>
        </w:rPr>
        <w:t>Recomendación de la Secretaría</w:t>
      </w:r>
    </w:p>
    <w:p w14:paraId="0165451B" w14:textId="26FB88C8" w:rsidR="006D2558" w:rsidRPr="00027428" w:rsidRDefault="008B00A1" w:rsidP="00BA4977">
      <w:pPr>
        <w:pStyle w:val="Heading1"/>
      </w:pPr>
      <w:r>
        <w:t>La Secretaría recomienda la aprobación general del proyecto piloto para mantener y/o mejorar la eficiencia energética de las tecnologías y equipos de sustitución en el contexto de la reducción de los HFC en Granada, con el nivel de financiación que se indica en el cuadro 1.</w:t>
      </w:r>
    </w:p>
    <w:p w14:paraId="2D0E256B" w14:textId="77777777" w:rsidR="008E7AD3" w:rsidRPr="00165336" w:rsidRDefault="008E7AD3" w:rsidP="008E7AD3">
      <w:pPr>
        <w:widowControl w:val="0"/>
        <w:spacing w:after="240"/>
        <w:outlineLvl w:val="0"/>
        <w:rPr>
          <w:b/>
        </w:rPr>
      </w:pPr>
      <w:r>
        <w:rPr>
          <w:b/>
        </w:rPr>
        <w:t>Recomendación</w:t>
      </w:r>
    </w:p>
    <w:p w14:paraId="12BE458D" w14:textId="15DDEC6E" w:rsidR="008E7AD3" w:rsidRPr="00165336" w:rsidRDefault="008E7AD3" w:rsidP="008E7AD3">
      <w:pPr>
        <w:pStyle w:val="Heading1"/>
      </w:pPr>
      <w:r>
        <w:t>El Comité Ejecutivo puede considerar oportuno solicitar al Tesorero que compense los costos de los proyectos bilaterales aprobados en la 97ª reunión, tal como se indica a continuación:</w:t>
      </w:r>
    </w:p>
    <w:p w14:paraId="52B731CB" w14:textId="6286D6D4" w:rsidR="009A07B8" w:rsidRPr="009A07B8" w:rsidRDefault="008E7AD3" w:rsidP="00BA4977">
      <w:pPr>
        <w:pStyle w:val="Heading2"/>
      </w:pPr>
      <w:r>
        <w:t xml:space="preserve">USD </w:t>
      </w:r>
      <w:r w:rsidRPr="00BA4977">
        <w:rPr>
          <w:highlight w:val="yellow"/>
        </w:rPr>
        <w:t>XX</w:t>
      </w:r>
      <w:r>
        <w:t xml:space="preserve"> (incluidos los gastos de apoyo a los organismos) con cargo al saldo de la contribución bilateral del Gobierno de Alemania para 2024-2026; y </w:t>
      </w:r>
    </w:p>
    <w:p w14:paraId="4574CDF6" w14:textId="4282E4FB" w:rsidR="008E7AD3" w:rsidRPr="008E7AD3" w:rsidRDefault="009A07B8" w:rsidP="002459CF">
      <w:pPr>
        <w:pStyle w:val="Heading2"/>
      </w:pPr>
      <w:r>
        <w:t xml:space="preserve">USD </w:t>
      </w:r>
      <w:r w:rsidRPr="00BA4977">
        <w:rPr>
          <w:highlight w:val="yellow"/>
        </w:rPr>
        <w:t>XX</w:t>
      </w:r>
      <w:r>
        <w:t xml:space="preserve"> (incluidos los gastos de apoyo a los organismos) con cargo al saldo de la contribución bilateral del Gobierno de Reino Unido de Gran Bretaña e Irlanda del Norte para 2024-2026.</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5FAF6F0A" w14:textId="77777777" w:rsidTr="001836F1">
        <w:tc>
          <w:tcPr>
            <w:tcW w:w="1871" w:type="dxa"/>
          </w:tcPr>
          <w:p w14:paraId="65C37E04" w14:textId="77777777" w:rsidR="00E85409" w:rsidRPr="009B0D30" w:rsidRDefault="00E85409"/>
        </w:tc>
        <w:tc>
          <w:tcPr>
            <w:tcW w:w="1872" w:type="dxa"/>
          </w:tcPr>
          <w:p w14:paraId="17C6413D" w14:textId="77777777" w:rsidR="00E85409" w:rsidRPr="009B0D30" w:rsidRDefault="00E85409"/>
        </w:tc>
        <w:tc>
          <w:tcPr>
            <w:tcW w:w="1872" w:type="dxa"/>
            <w:tcBorders>
              <w:bottom w:val="single" w:sz="4" w:space="0" w:color="auto"/>
            </w:tcBorders>
          </w:tcPr>
          <w:p w14:paraId="2BC17636" w14:textId="77777777" w:rsidR="00E85409" w:rsidRPr="009B0D30" w:rsidRDefault="00E85409"/>
        </w:tc>
        <w:tc>
          <w:tcPr>
            <w:tcW w:w="1872" w:type="dxa"/>
          </w:tcPr>
          <w:p w14:paraId="37E0C02C" w14:textId="77777777" w:rsidR="00E85409" w:rsidRPr="009B0D30" w:rsidRDefault="00E85409"/>
        </w:tc>
        <w:tc>
          <w:tcPr>
            <w:tcW w:w="1873" w:type="dxa"/>
          </w:tcPr>
          <w:p w14:paraId="4439278F" w14:textId="77777777" w:rsidR="00E85409" w:rsidRPr="009B0D30" w:rsidRDefault="00E85409"/>
        </w:tc>
      </w:tr>
    </w:tbl>
    <w:p w14:paraId="6843C785" w14:textId="77777777" w:rsidR="00E85409" w:rsidRPr="009B0D30" w:rsidRDefault="00E85409" w:rsidP="004E7F9C"/>
    <w:sectPr w:rsidR="00E85409" w:rsidRPr="009B0D30"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8A7B6" w14:textId="77777777" w:rsidR="008622A5" w:rsidRDefault="008622A5" w:rsidP="004A504B">
      <w:r>
        <w:separator/>
      </w:r>
    </w:p>
  </w:endnote>
  <w:endnote w:type="continuationSeparator" w:id="0">
    <w:p w14:paraId="254BCA6F" w14:textId="77777777" w:rsidR="008622A5" w:rsidRDefault="008622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99F"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10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05DB" w14:textId="17E112DD" w:rsidR="004E7F9C" w:rsidRDefault="004E7F9C" w:rsidP="00C41ED8">
    <w:pPr>
      <w:pBdr>
        <w:top w:val="single" w:sz="4" w:space="1" w:color="auto"/>
        <w:left w:val="single" w:sz="4" w:space="4" w:color="auto"/>
        <w:bottom w:val="single" w:sz="4" w:space="1" w:color="auto"/>
        <w:right w:val="single" w:sz="4" w:space="15" w:color="auto"/>
      </w:pBdr>
      <w:ind w:right="-180"/>
      <w:jc w:val="center"/>
      <w:rPr>
        <w:sz w:val="18"/>
        <w:szCs w:val="18"/>
      </w:rPr>
    </w:pPr>
    <w:r w:rsidRPr="00C41ED8">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BFDBB" w14:textId="77777777" w:rsidR="008622A5" w:rsidRDefault="008622A5" w:rsidP="004A504B">
      <w:r>
        <w:separator/>
      </w:r>
    </w:p>
  </w:footnote>
  <w:footnote w:type="continuationSeparator" w:id="0">
    <w:p w14:paraId="68093109" w14:textId="77777777" w:rsidR="008622A5" w:rsidRDefault="008622A5" w:rsidP="004A504B">
      <w:r>
        <w:continuationSeparator/>
      </w:r>
    </w:p>
  </w:footnote>
  <w:footnote w:id="1">
    <w:p w14:paraId="0B12D12E" w14:textId="4B965731" w:rsidR="005F389C" w:rsidRPr="001E1147" w:rsidRDefault="005F389C" w:rsidP="005F389C">
      <w:pPr>
        <w:pStyle w:val="FootnoteText"/>
      </w:pPr>
      <w:r>
        <w:rPr>
          <w:rStyle w:val="FootnoteReference"/>
        </w:rPr>
        <w:footnoteRef/>
      </w:r>
      <w:r>
        <w:t xml:space="preserve"> UNEP/OzL.Pro/ExCom//97/1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D97" w14:textId="44B94ABD" w:rsidR="00DC6A10" w:rsidRPr="0033525D" w:rsidRDefault="00F47497">
    <w:fldSimple w:instr=" DOCPROPERTY &quot;Document number&quot;  \* MERGEFORMAT ">
      <w:r w:rsidR="00C41ED8">
        <w:t>UNEP/OzL.Pro/ExCom/97/27</w:t>
      </w:r>
    </w:fldSimple>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519" w14:textId="06089F23" w:rsidR="00DC6A10" w:rsidRPr="0033525D" w:rsidRDefault="00F47497">
    <w:pPr>
      <w:jc w:val="right"/>
    </w:pPr>
    <w:fldSimple w:instr=" DOCPROPERTY &quot;Document number&quot;  \* MERGEFORMAT ">
      <w:r w:rsidR="00C41ED8">
        <w:t>UNEP/OzL.Pro/ExCom/97/27</w:t>
      </w:r>
    </w:fldSimple>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0C317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06434839">
    <w:abstractNumId w:val="15"/>
  </w:num>
  <w:num w:numId="22" w16cid:durableId="12956022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EF"/>
    <w:rsid w:val="000211A9"/>
    <w:rsid w:val="00021238"/>
    <w:rsid w:val="000218B9"/>
    <w:rsid w:val="00022071"/>
    <w:rsid w:val="0002346B"/>
    <w:rsid w:val="00025232"/>
    <w:rsid w:val="00027428"/>
    <w:rsid w:val="00031260"/>
    <w:rsid w:val="0003681A"/>
    <w:rsid w:val="000372B7"/>
    <w:rsid w:val="00042EF4"/>
    <w:rsid w:val="00044933"/>
    <w:rsid w:val="00046865"/>
    <w:rsid w:val="00050724"/>
    <w:rsid w:val="00050F6E"/>
    <w:rsid w:val="00055056"/>
    <w:rsid w:val="00061EC2"/>
    <w:rsid w:val="00066CE8"/>
    <w:rsid w:val="000720CE"/>
    <w:rsid w:val="0007409A"/>
    <w:rsid w:val="000744A6"/>
    <w:rsid w:val="00080ED0"/>
    <w:rsid w:val="00085B8F"/>
    <w:rsid w:val="00090481"/>
    <w:rsid w:val="000930E8"/>
    <w:rsid w:val="00094093"/>
    <w:rsid w:val="0009573F"/>
    <w:rsid w:val="000A3826"/>
    <w:rsid w:val="000A3FFE"/>
    <w:rsid w:val="000A68D6"/>
    <w:rsid w:val="000A6C26"/>
    <w:rsid w:val="000B36C8"/>
    <w:rsid w:val="000B36F9"/>
    <w:rsid w:val="000B5336"/>
    <w:rsid w:val="000B5748"/>
    <w:rsid w:val="000C2F50"/>
    <w:rsid w:val="000D52A4"/>
    <w:rsid w:val="000E07BC"/>
    <w:rsid w:val="000E2421"/>
    <w:rsid w:val="000E2E21"/>
    <w:rsid w:val="000F1CD4"/>
    <w:rsid w:val="000F28EB"/>
    <w:rsid w:val="000F30AA"/>
    <w:rsid w:val="000F4103"/>
    <w:rsid w:val="000F70A7"/>
    <w:rsid w:val="00102E18"/>
    <w:rsid w:val="00107E11"/>
    <w:rsid w:val="00113CCA"/>
    <w:rsid w:val="00116043"/>
    <w:rsid w:val="00122832"/>
    <w:rsid w:val="00122F25"/>
    <w:rsid w:val="00124B2C"/>
    <w:rsid w:val="00132A95"/>
    <w:rsid w:val="00133A80"/>
    <w:rsid w:val="00135980"/>
    <w:rsid w:val="0013786F"/>
    <w:rsid w:val="00151B7B"/>
    <w:rsid w:val="00162543"/>
    <w:rsid w:val="00164719"/>
    <w:rsid w:val="00166FC4"/>
    <w:rsid w:val="001677AC"/>
    <w:rsid w:val="00177C42"/>
    <w:rsid w:val="001804EA"/>
    <w:rsid w:val="0018178A"/>
    <w:rsid w:val="0018228B"/>
    <w:rsid w:val="001836F1"/>
    <w:rsid w:val="00183E12"/>
    <w:rsid w:val="00190A61"/>
    <w:rsid w:val="00196DEF"/>
    <w:rsid w:val="00197179"/>
    <w:rsid w:val="001A2215"/>
    <w:rsid w:val="001A3342"/>
    <w:rsid w:val="001A3E3D"/>
    <w:rsid w:val="001A4C30"/>
    <w:rsid w:val="001A6283"/>
    <w:rsid w:val="001A7049"/>
    <w:rsid w:val="001A7769"/>
    <w:rsid w:val="001B1E40"/>
    <w:rsid w:val="001B3B08"/>
    <w:rsid w:val="001B3F80"/>
    <w:rsid w:val="001B4E8B"/>
    <w:rsid w:val="001C0F6B"/>
    <w:rsid w:val="001C1FD4"/>
    <w:rsid w:val="001C6411"/>
    <w:rsid w:val="001C7378"/>
    <w:rsid w:val="001C764E"/>
    <w:rsid w:val="001D519F"/>
    <w:rsid w:val="001D56F5"/>
    <w:rsid w:val="001E1052"/>
    <w:rsid w:val="001E1FA6"/>
    <w:rsid w:val="001E21B1"/>
    <w:rsid w:val="001E2F93"/>
    <w:rsid w:val="001E4554"/>
    <w:rsid w:val="001E61E5"/>
    <w:rsid w:val="001F020C"/>
    <w:rsid w:val="001F0709"/>
    <w:rsid w:val="001F0B21"/>
    <w:rsid w:val="001F2159"/>
    <w:rsid w:val="001F25CE"/>
    <w:rsid w:val="001F459C"/>
    <w:rsid w:val="001F53DD"/>
    <w:rsid w:val="001F53FD"/>
    <w:rsid w:val="001F59B2"/>
    <w:rsid w:val="001F754F"/>
    <w:rsid w:val="00210B8B"/>
    <w:rsid w:val="00212B71"/>
    <w:rsid w:val="00214863"/>
    <w:rsid w:val="00215437"/>
    <w:rsid w:val="002156B4"/>
    <w:rsid w:val="00224FCD"/>
    <w:rsid w:val="002361D1"/>
    <w:rsid w:val="002459CF"/>
    <w:rsid w:val="00245A2A"/>
    <w:rsid w:val="00253222"/>
    <w:rsid w:val="00261C13"/>
    <w:rsid w:val="00262847"/>
    <w:rsid w:val="00265AF5"/>
    <w:rsid w:val="0027322A"/>
    <w:rsid w:val="002805F2"/>
    <w:rsid w:val="00281BB2"/>
    <w:rsid w:val="00283D82"/>
    <w:rsid w:val="002913C7"/>
    <w:rsid w:val="00294AD6"/>
    <w:rsid w:val="00295B03"/>
    <w:rsid w:val="00297826"/>
    <w:rsid w:val="002A03C3"/>
    <w:rsid w:val="002A10DD"/>
    <w:rsid w:val="002A275F"/>
    <w:rsid w:val="002A6AF7"/>
    <w:rsid w:val="002B254E"/>
    <w:rsid w:val="002B2804"/>
    <w:rsid w:val="002B4CE8"/>
    <w:rsid w:val="002B603E"/>
    <w:rsid w:val="002B6AD6"/>
    <w:rsid w:val="002B72E9"/>
    <w:rsid w:val="002C3209"/>
    <w:rsid w:val="002C5D54"/>
    <w:rsid w:val="002C5F9F"/>
    <w:rsid w:val="002C7998"/>
    <w:rsid w:val="002D2D73"/>
    <w:rsid w:val="002D6E14"/>
    <w:rsid w:val="002E56F9"/>
    <w:rsid w:val="002E70B6"/>
    <w:rsid w:val="002F1E03"/>
    <w:rsid w:val="002F1E53"/>
    <w:rsid w:val="002F2CAA"/>
    <w:rsid w:val="002F3C88"/>
    <w:rsid w:val="0030052C"/>
    <w:rsid w:val="00304B24"/>
    <w:rsid w:val="00325B64"/>
    <w:rsid w:val="003306E1"/>
    <w:rsid w:val="003320E4"/>
    <w:rsid w:val="0033525D"/>
    <w:rsid w:val="003414F3"/>
    <w:rsid w:val="00345BA0"/>
    <w:rsid w:val="00346819"/>
    <w:rsid w:val="0035613E"/>
    <w:rsid w:val="0036004F"/>
    <w:rsid w:val="00363EE9"/>
    <w:rsid w:val="00371E39"/>
    <w:rsid w:val="0037563D"/>
    <w:rsid w:val="00376128"/>
    <w:rsid w:val="0037742E"/>
    <w:rsid w:val="00377D56"/>
    <w:rsid w:val="00380868"/>
    <w:rsid w:val="0038111A"/>
    <w:rsid w:val="0038245A"/>
    <w:rsid w:val="00384050"/>
    <w:rsid w:val="003840E6"/>
    <w:rsid w:val="00385CFC"/>
    <w:rsid w:val="0039156D"/>
    <w:rsid w:val="0039337A"/>
    <w:rsid w:val="00394690"/>
    <w:rsid w:val="0039660F"/>
    <w:rsid w:val="003A3189"/>
    <w:rsid w:val="003A3CA7"/>
    <w:rsid w:val="003B33BD"/>
    <w:rsid w:val="003B569D"/>
    <w:rsid w:val="003C3C0E"/>
    <w:rsid w:val="003D1514"/>
    <w:rsid w:val="003D42A6"/>
    <w:rsid w:val="003D4F21"/>
    <w:rsid w:val="003D4FAC"/>
    <w:rsid w:val="003E1885"/>
    <w:rsid w:val="003E7906"/>
    <w:rsid w:val="003F000F"/>
    <w:rsid w:val="003F0FC4"/>
    <w:rsid w:val="003F14EC"/>
    <w:rsid w:val="003F3C50"/>
    <w:rsid w:val="003F5FD8"/>
    <w:rsid w:val="0040145F"/>
    <w:rsid w:val="00406202"/>
    <w:rsid w:val="00406A6A"/>
    <w:rsid w:val="00406B22"/>
    <w:rsid w:val="00407147"/>
    <w:rsid w:val="004078FA"/>
    <w:rsid w:val="00411063"/>
    <w:rsid w:val="00422784"/>
    <w:rsid w:val="00425B1D"/>
    <w:rsid w:val="004267E6"/>
    <w:rsid w:val="0042732B"/>
    <w:rsid w:val="00431E08"/>
    <w:rsid w:val="004328A7"/>
    <w:rsid w:val="00434C74"/>
    <w:rsid w:val="00456EB4"/>
    <w:rsid w:val="00457827"/>
    <w:rsid w:val="00461E8C"/>
    <w:rsid w:val="00464349"/>
    <w:rsid w:val="00470B51"/>
    <w:rsid w:val="004718F3"/>
    <w:rsid w:val="00472C1F"/>
    <w:rsid w:val="00474288"/>
    <w:rsid w:val="00475040"/>
    <w:rsid w:val="00480CCC"/>
    <w:rsid w:val="004817AB"/>
    <w:rsid w:val="004825AD"/>
    <w:rsid w:val="00490C06"/>
    <w:rsid w:val="00493D40"/>
    <w:rsid w:val="00493EE3"/>
    <w:rsid w:val="004967B6"/>
    <w:rsid w:val="00497573"/>
    <w:rsid w:val="00497B19"/>
    <w:rsid w:val="004A504B"/>
    <w:rsid w:val="004A6911"/>
    <w:rsid w:val="004A7849"/>
    <w:rsid w:val="004B3652"/>
    <w:rsid w:val="004B54E0"/>
    <w:rsid w:val="004B7384"/>
    <w:rsid w:val="004C000A"/>
    <w:rsid w:val="004C1B71"/>
    <w:rsid w:val="004C4269"/>
    <w:rsid w:val="004D1D3F"/>
    <w:rsid w:val="004D6236"/>
    <w:rsid w:val="004D7F90"/>
    <w:rsid w:val="004E3463"/>
    <w:rsid w:val="004E4DBB"/>
    <w:rsid w:val="004E4E41"/>
    <w:rsid w:val="004E73DB"/>
    <w:rsid w:val="004E7F9C"/>
    <w:rsid w:val="004F0A1E"/>
    <w:rsid w:val="004F3493"/>
    <w:rsid w:val="004F5143"/>
    <w:rsid w:val="00502C5F"/>
    <w:rsid w:val="0050310F"/>
    <w:rsid w:val="00511CB7"/>
    <w:rsid w:val="00512B09"/>
    <w:rsid w:val="0052174A"/>
    <w:rsid w:val="005220ED"/>
    <w:rsid w:val="00525E27"/>
    <w:rsid w:val="00527CCE"/>
    <w:rsid w:val="00527DF6"/>
    <w:rsid w:val="00533796"/>
    <w:rsid w:val="00537343"/>
    <w:rsid w:val="00544852"/>
    <w:rsid w:val="00547EE6"/>
    <w:rsid w:val="005516F3"/>
    <w:rsid w:val="00551E47"/>
    <w:rsid w:val="00554181"/>
    <w:rsid w:val="00555D75"/>
    <w:rsid w:val="00560DF0"/>
    <w:rsid w:val="00564C02"/>
    <w:rsid w:val="0056628C"/>
    <w:rsid w:val="0056759C"/>
    <w:rsid w:val="00572A79"/>
    <w:rsid w:val="00580B18"/>
    <w:rsid w:val="00580DF0"/>
    <w:rsid w:val="00581BBA"/>
    <w:rsid w:val="0058580F"/>
    <w:rsid w:val="0059513E"/>
    <w:rsid w:val="005A489F"/>
    <w:rsid w:val="005A6AA4"/>
    <w:rsid w:val="005A6D9F"/>
    <w:rsid w:val="005B48FF"/>
    <w:rsid w:val="005C0D33"/>
    <w:rsid w:val="005C1E32"/>
    <w:rsid w:val="005C64C5"/>
    <w:rsid w:val="005C670D"/>
    <w:rsid w:val="005D363F"/>
    <w:rsid w:val="005D3943"/>
    <w:rsid w:val="005D3A4C"/>
    <w:rsid w:val="005D55BB"/>
    <w:rsid w:val="005D6BFE"/>
    <w:rsid w:val="005E0DDB"/>
    <w:rsid w:val="005E6879"/>
    <w:rsid w:val="005F1134"/>
    <w:rsid w:val="005F308A"/>
    <w:rsid w:val="005F389C"/>
    <w:rsid w:val="005F4B08"/>
    <w:rsid w:val="005F709A"/>
    <w:rsid w:val="00604C15"/>
    <w:rsid w:val="00613277"/>
    <w:rsid w:val="006158D5"/>
    <w:rsid w:val="00615DDF"/>
    <w:rsid w:val="006202B0"/>
    <w:rsid w:val="00623A6F"/>
    <w:rsid w:val="0062545F"/>
    <w:rsid w:val="00625D83"/>
    <w:rsid w:val="0063065B"/>
    <w:rsid w:val="00636C4D"/>
    <w:rsid w:val="006408E5"/>
    <w:rsid w:val="0064097F"/>
    <w:rsid w:val="00643A54"/>
    <w:rsid w:val="0064733A"/>
    <w:rsid w:val="00647372"/>
    <w:rsid w:val="00651984"/>
    <w:rsid w:val="00656AD3"/>
    <w:rsid w:val="006623E7"/>
    <w:rsid w:val="00662B80"/>
    <w:rsid w:val="00667491"/>
    <w:rsid w:val="0066768F"/>
    <w:rsid w:val="00670F6C"/>
    <w:rsid w:val="0067550E"/>
    <w:rsid w:val="00676E58"/>
    <w:rsid w:val="00677322"/>
    <w:rsid w:val="006852C7"/>
    <w:rsid w:val="006852CE"/>
    <w:rsid w:val="00692D14"/>
    <w:rsid w:val="00694447"/>
    <w:rsid w:val="006949E6"/>
    <w:rsid w:val="00695B78"/>
    <w:rsid w:val="006A143D"/>
    <w:rsid w:val="006A453F"/>
    <w:rsid w:val="006A716C"/>
    <w:rsid w:val="006A7A3B"/>
    <w:rsid w:val="006B586D"/>
    <w:rsid w:val="006B65C7"/>
    <w:rsid w:val="006C1727"/>
    <w:rsid w:val="006C32FD"/>
    <w:rsid w:val="006C39CE"/>
    <w:rsid w:val="006D0FCC"/>
    <w:rsid w:val="006D21F5"/>
    <w:rsid w:val="006D2558"/>
    <w:rsid w:val="006D3089"/>
    <w:rsid w:val="006D3580"/>
    <w:rsid w:val="006E126D"/>
    <w:rsid w:val="006E1FC3"/>
    <w:rsid w:val="006F4E75"/>
    <w:rsid w:val="006F7EF7"/>
    <w:rsid w:val="00702681"/>
    <w:rsid w:val="00704CE9"/>
    <w:rsid w:val="0070616B"/>
    <w:rsid w:val="00706295"/>
    <w:rsid w:val="00706FDA"/>
    <w:rsid w:val="00710984"/>
    <w:rsid w:val="00711F9A"/>
    <w:rsid w:val="00713810"/>
    <w:rsid w:val="007138ED"/>
    <w:rsid w:val="00724345"/>
    <w:rsid w:val="007303A5"/>
    <w:rsid w:val="00730B3E"/>
    <w:rsid w:val="0073420B"/>
    <w:rsid w:val="00736367"/>
    <w:rsid w:val="0074760E"/>
    <w:rsid w:val="00750D55"/>
    <w:rsid w:val="00754ABA"/>
    <w:rsid w:val="00755CE7"/>
    <w:rsid w:val="0075751F"/>
    <w:rsid w:val="0076408B"/>
    <w:rsid w:val="00766609"/>
    <w:rsid w:val="00782B0D"/>
    <w:rsid w:val="0078556E"/>
    <w:rsid w:val="0079250F"/>
    <w:rsid w:val="00794E68"/>
    <w:rsid w:val="00796E0D"/>
    <w:rsid w:val="0079781A"/>
    <w:rsid w:val="007A1546"/>
    <w:rsid w:val="007A228C"/>
    <w:rsid w:val="007A30E6"/>
    <w:rsid w:val="007A368E"/>
    <w:rsid w:val="007A49E6"/>
    <w:rsid w:val="007A5868"/>
    <w:rsid w:val="007A6D9D"/>
    <w:rsid w:val="007A73A0"/>
    <w:rsid w:val="007B04CE"/>
    <w:rsid w:val="007B286E"/>
    <w:rsid w:val="007B6871"/>
    <w:rsid w:val="007B7A2F"/>
    <w:rsid w:val="007C32EE"/>
    <w:rsid w:val="007C3D33"/>
    <w:rsid w:val="007D294A"/>
    <w:rsid w:val="007D47D2"/>
    <w:rsid w:val="007D6365"/>
    <w:rsid w:val="007D6EC0"/>
    <w:rsid w:val="007D7E1D"/>
    <w:rsid w:val="007E503C"/>
    <w:rsid w:val="007F34C9"/>
    <w:rsid w:val="0080345C"/>
    <w:rsid w:val="00807E2D"/>
    <w:rsid w:val="00813145"/>
    <w:rsid w:val="00813966"/>
    <w:rsid w:val="00816130"/>
    <w:rsid w:val="00822C7D"/>
    <w:rsid w:val="0082522F"/>
    <w:rsid w:val="00831979"/>
    <w:rsid w:val="00840F35"/>
    <w:rsid w:val="008502C8"/>
    <w:rsid w:val="00851352"/>
    <w:rsid w:val="00855D06"/>
    <w:rsid w:val="00857077"/>
    <w:rsid w:val="008622A5"/>
    <w:rsid w:val="00863230"/>
    <w:rsid w:val="008640C6"/>
    <w:rsid w:val="00865BD0"/>
    <w:rsid w:val="00866BE5"/>
    <w:rsid w:val="008717D8"/>
    <w:rsid w:val="0087215C"/>
    <w:rsid w:val="00875D25"/>
    <w:rsid w:val="00880E35"/>
    <w:rsid w:val="00881725"/>
    <w:rsid w:val="008875FE"/>
    <w:rsid w:val="00887F8E"/>
    <w:rsid w:val="008917B7"/>
    <w:rsid w:val="00896234"/>
    <w:rsid w:val="00897E43"/>
    <w:rsid w:val="00897F4F"/>
    <w:rsid w:val="008A79F8"/>
    <w:rsid w:val="008B00A1"/>
    <w:rsid w:val="008B6A16"/>
    <w:rsid w:val="008C222B"/>
    <w:rsid w:val="008C3127"/>
    <w:rsid w:val="008C52D1"/>
    <w:rsid w:val="008C5738"/>
    <w:rsid w:val="008C7EAD"/>
    <w:rsid w:val="008D0CFE"/>
    <w:rsid w:val="008D6152"/>
    <w:rsid w:val="008E7AD3"/>
    <w:rsid w:val="008E7BA9"/>
    <w:rsid w:val="008F0F81"/>
    <w:rsid w:val="008F2058"/>
    <w:rsid w:val="008F232D"/>
    <w:rsid w:val="008F27BF"/>
    <w:rsid w:val="008F29B1"/>
    <w:rsid w:val="008F2E64"/>
    <w:rsid w:val="008F57BF"/>
    <w:rsid w:val="009049A4"/>
    <w:rsid w:val="009142EC"/>
    <w:rsid w:val="009145E4"/>
    <w:rsid w:val="009154C3"/>
    <w:rsid w:val="00923540"/>
    <w:rsid w:val="00926767"/>
    <w:rsid w:val="009277F0"/>
    <w:rsid w:val="009361D5"/>
    <w:rsid w:val="009428A4"/>
    <w:rsid w:val="00943201"/>
    <w:rsid w:val="00943EF9"/>
    <w:rsid w:val="00951C0F"/>
    <w:rsid w:val="009572F2"/>
    <w:rsid w:val="00957BB1"/>
    <w:rsid w:val="009659F4"/>
    <w:rsid w:val="00965FC1"/>
    <w:rsid w:val="00970D60"/>
    <w:rsid w:val="009911FE"/>
    <w:rsid w:val="0099390E"/>
    <w:rsid w:val="009960E5"/>
    <w:rsid w:val="009A07B8"/>
    <w:rsid w:val="009A7ADC"/>
    <w:rsid w:val="009B0D30"/>
    <w:rsid w:val="009B335B"/>
    <w:rsid w:val="009C19B7"/>
    <w:rsid w:val="009C5ABB"/>
    <w:rsid w:val="009D0BC8"/>
    <w:rsid w:val="009D2482"/>
    <w:rsid w:val="009D7C51"/>
    <w:rsid w:val="009E1879"/>
    <w:rsid w:val="009E196C"/>
    <w:rsid w:val="009E6A0A"/>
    <w:rsid w:val="009E6E1E"/>
    <w:rsid w:val="009E75DA"/>
    <w:rsid w:val="009F2038"/>
    <w:rsid w:val="009F36BF"/>
    <w:rsid w:val="009F3764"/>
    <w:rsid w:val="009F5D50"/>
    <w:rsid w:val="00A111B6"/>
    <w:rsid w:val="00A131F5"/>
    <w:rsid w:val="00A164C1"/>
    <w:rsid w:val="00A26D27"/>
    <w:rsid w:val="00A353B7"/>
    <w:rsid w:val="00A36845"/>
    <w:rsid w:val="00A376EE"/>
    <w:rsid w:val="00A42A99"/>
    <w:rsid w:val="00A442A3"/>
    <w:rsid w:val="00A5151A"/>
    <w:rsid w:val="00A5359F"/>
    <w:rsid w:val="00A57E0A"/>
    <w:rsid w:val="00A63A8B"/>
    <w:rsid w:val="00A6516E"/>
    <w:rsid w:val="00A676D4"/>
    <w:rsid w:val="00A70ED7"/>
    <w:rsid w:val="00A7376A"/>
    <w:rsid w:val="00A77919"/>
    <w:rsid w:val="00A823F6"/>
    <w:rsid w:val="00A8719E"/>
    <w:rsid w:val="00AA0A89"/>
    <w:rsid w:val="00AA15A7"/>
    <w:rsid w:val="00AA46AE"/>
    <w:rsid w:val="00AA4B0D"/>
    <w:rsid w:val="00AA5368"/>
    <w:rsid w:val="00AA5DBC"/>
    <w:rsid w:val="00AA6429"/>
    <w:rsid w:val="00AA6E92"/>
    <w:rsid w:val="00AB2B0D"/>
    <w:rsid w:val="00AB3A08"/>
    <w:rsid w:val="00AB5931"/>
    <w:rsid w:val="00AC01AA"/>
    <w:rsid w:val="00AC116F"/>
    <w:rsid w:val="00AC4F72"/>
    <w:rsid w:val="00AC5041"/>
    <w:rsid w:val="00AC685B"/>
    <w:rsid w:val="00AC6BC6"/>
    <w:rsid w:val="00AE2291"/>
    <w:rsid w:val="00AE2642"/>
    <w:rsid w:val="00AE482E"/>
    <w:rsid w:val="00AE4EB0"/>
    <w:rsid w:val="00AF3116"/>
    <w:rsid w:val="00AF3518"/>
    <w:rsid w:val="00AF741A"/>
    <w:rsid w:val="00AF7CCC"/>
    <w:rsid w:val="00B01ADB"/>
    <w:rsid w:val="00B04161"/>
    <w:rsid w:val="00B056F9"/>
    <w:rsid w:val="00B11E3D"/>
    <w:rsid w:val="00B12EF2"/>
    <w:rsid w:val="00B14D2C"/>
    <w:rsid w:val="00B17E82"/>
    <w:rsid w:val="00B2484B"/>
    <w:rsid w:val="00B376E6"/>
    <w:rsid w:val="00B4175B"/>
    <w:rsid w:val="00B4575A"/>
    <w:rsid w:val="00B575BA"/>
    <w:rsid w:val="00B62837"/>
    <w:rsid w:val="00B7062F"/>
    <w:rsid w:val="00B71608"/>
    <w:rsid w:val="00B75679"/>
    <w:rsid w:val="00B76429"/>
    <w:rsid w:val="00B7684A"/>
    <w:rsid w:val="00B86471"/>
    <w:rsid w:val="00B956D4"/>
    <w:rsid w:val="00B959B7"/>
    <w:rsid w:val="00B97446"/>
    <w:rsid w:val="00BA4977"/>
    <w:rsid w:val="00BA7432"/>
    <w:rsid w:val="00BB2764"/>
    <w:rsid w:val="00BB78BE"/>
    <w:rsid w:val="00BC192D"/>
    <w:rsid w:val="00BC1AA0"/>
    <w:rsid w:val="00BC2495"/>
    <w:rsid w:val="00BC314A"/>
    <w:rsid w:val="00BC43AE"/>
    <w:rsid w:val="00BC7EB9"/>
    <w:rsid w:val="00BD2643"/>
    <w:rsid w:val="00BD2EF8"/>
    <w:rsid w:val="00BD4FB8"/>
    <w:rsid w:val="00BD56B1"/>
    <w:rsid w:val="00BD6558"/>
    <w:rsid w:val="00BE142B"/>
    <w:rsid w:val="00BE4CD8"/>
    <w:rsid w:val="00BE66B2"/>
    <w:rsid w:val="00BF2AD7"/>
    <w:rsid w:val="00BF2F76"/>
    <w:rsid w:val="00BF3022"/>
    <w:rsid w:val="00BF3214"/>
    <w:rsid w:val="00BF364C"/>
    <w:rsid w:val="00BF5573"/>
    <w:rsid w:val="00BF77B8"/>
    <w:rsid w:val="00C03D49"/>
    <w:rsid w:val="00C04A84"/>
    <w:rsid w:val="00C13266"/>
    <w:rsid w:val="00C15867"/>
    <w:rsid w:val="00C22398"/>
    <w:rsid w:val="00C2296D"/>
    <w:rsid w:val="00C23155"/>
    <w:rsid w:val="00C31A23"/>
    <w:rsid w:val="00C32460"/>
    <w:rsid w:val="00C32F45"/>
    <w:rsid w:val="00C3710F"/>
    <w:rsid w:val="00C40C41"/>
    <w:rsid w:val="00C41ED8"/>
    <w:rsid w:val="00C45885"/>
    <w:rsid w:val="00C50F22"/>
    <w:rsid w:val="00C5620E"/>
    <w:rsid w:val="00C56809"/>
    <w:rsid w:val="00C57971"/>
    <w:rsid w:val="00C65BD7"/>
    <w:rsid w:val="00C720C9"/>
    <w:rsid w:val="00C76BA4"/>
    <w:rsid w:val="00C83A48"/>
    <w:rsid w:val="00C85865"/>
    <w:rsid w:val="00C85E85"/>
    <w:rsid w:val="00CA1FC0"/>
    <w:rsid w:val="00CA2EAE"/>
    <w:rsid w:val="00CA4AC1"/>
    <w:rsid w:val="00CA59FB"/>
    <w:rsid w:val="00CB0316"/>
    <w:rsid w:val="00CB0B11"/>
    <w:rsid w:val="00CB1DBA"/>
    <w:rsid w:val="00CB3359"/>
    <w:rsid w:val="00CB3FD9"/>
    <w:rsid w:val="00CB426A"/>
    <w:rsid w:val="00CB5225"/>
    <w:rsid w:val="00CB5354"/>
    <w:rsid w:val="00CB5604"/>
    <w:rsid w:val="00CB7DFA"/>
    <w:rsid w:val="00CC3C9E"/>
    <w:rsid w:val="00CC6A14"/>
    <w:rsid w:val="00CC70A3"/>
    <w:rsid w:val="00CD3ED7"/>
    <w:rsid w:val="00CD4442"/>
    <w:rsid w:val="00CD53C3"/>
    <w:rsid w:val="00CD574E"/>
    <w:rsid w:val="00CE4C22"/>
    <w:rsid w:val="00CE6A8E"/>
    <w:rsid w:val="00CE76E5"/>
    <w:rsid w:val="00CF41EC"/>
    <w:rsid w:val="00CF5D04"/>
    <w:rsid w:val="00D049AD"/>
    <w:rsid w:val="00D04DE4"/>
    <w:rsid w:val="00D0574C"/>
    <w:rsid w:val="00D063F1"/>
    <w:rsid w:val="00D1114B"/>
    <w:rsid w:val="00D13F5E"/>
    <w:rsid w:val="00D14F22"/>
    <w:rsid w:val="00D155E1"/>
    <w:rsid w:val="00D15DDA"/>
    <w:rsid w:val="00D22ECA"/>
    <w:rsid w:val="00D26C60"/>
    <w:rsid w:val="00D3395F"/>
    <w:rsid w:val="00D348D3"/>
    <w:rsid w:val="00D37391"/>
    <w:rsid w:val="00D4741C"/>
    <w:rsid w:val="00D57918"/>
    <w:rsid w:val="00D623FE"/>
    <w:rsid w:val="00D70C30"/>
    <w:rsid w:val="00D73DC6"/>
    <w:rsid w:val="00D74C1A"/>
    <w:rsid w:val="00D754C1"/>
    <w:rsid w:val="00D76646"/>
    <w:rsid w:val="00D7682B"/>
    <w:rsid w:val="00D772DA"/>
    <w:rsid w:val="00D77393"/>
    <w:rsid w:val="00D77A35"/>
    <w:rsid w:val="00D77D31"/>
    <w:rsid w:val="00D81B3E"/>
    <w:rsid w:val="00D857F8"/>
    <w:rsid w:val="00D8743F"/>
    <w:rsid w:val="00D90C70"/>
    <w:rsid w:val="00D90E49"/>
    <w:rsid w:val="00D96ADE"/>
    <w:rsid w:val="00DA0CE2"/>
    <w:rsid w:val="00DA0EA9"/>
    <w:rsid w:val="00DA2387"/>
    <w:rsid w:val="00DA45B1"/>
    <w:rsid w:val="00DA5FD0"/>
    <w:rsid w:val="00DB1736"/>
    <w:rsid w:val="00DC04F6"/>
    <w:rsid w:val="00DC3087"/>
    <w:rsid w:val="00DC6A10"/>
    <w:rsid w:val="00DD50EF"/>
    <w:rsid w:val="00DE3BE7"/>
    <w:rsid w:val="00DE5A5B"/>
    <w:rsid w:val="00DE657E"/>
    <w:rsid w:val="00DF1277"/>
    <w:rsid w:val="00DF4704"/>
    <w:rsid w:val="00DF47B3"/>
    <w:rsid w:val="00DF4996"/>
    <w:rsid w:val="00DF7830"/>
    <w:rsid w:val="00E024AA"/>
    <w:rsid w:val="00E07056"/>
    <w:rsid w:val="00E13420"/>
    <w:rsid w:val="00E15C77"/>
    <w:rsid w:val="00E21336"/>
    <w:rsid w:val="00E250F1"/>
    <w:rsid w:val="00E27955"/>
    <w:rsid w:val="00E3550D"/>
    <w:rsid w:val="00E3738C"/>
    <w:rsid w:val="00E51ADF"/>
    <w:rsid w:val="00E52838"/>
    <w:rsid w:val="00E614E0"/>
    <w:rsid w:val="00E626FF"/>
    <w:rsid w:val="00E664EF"/>
    <w:rsid w:val="00E73F7F"/>
    <w:rsid w:val="00E753E8"/>
    <w:rsid w:val="00E75FD2"/>
    <w:rsid w:val="00E82B77"/>
    <w:rsid w:val="00E85136"/>
    <w:rsid w:val="00E85409"/>
    <w:rsid w:val="00E85503"/>
    <w:rsid w:val="00E85AFF"/>
    <w:rsid w:val="00E95137"/>
    <w:rsid w:val="00EA01DD"/>
    <w:rsid w:val="00EA429F"/>
    <w:rsid w:val="00EA4F9E"/>
    <w:rsid w:val="00EA6317"/>
    <w:rsid w:val="00EA63CA"/>
    <w:rsid w:val="00EA6D3B"/>
    <w:rsid w:val="00EA7BDC"/>
    <w:rsid w:val="00EB00AD"/>
    <w:rsid w:val="00EB136C"/>
    <w:rsid w:val="00EB15CA"/>
    <w:rsid w:val="00EB3826"/>
    <w:rsid w:val="00EB480E"/>
    <w:rsid w:val="00EB5EC6"/>
    <w:rsid w:val="00EB7FC9"/>
    <w:rsid w:val="00ED21E5"/>
    <w:rsid w:val="00ED27E8"/>
    <w:rsid w:val="00ED6CE6"/>
    <w:rsid w:val="00ED7137"/>
    <w:rsid w:val="00EE2FA2"/>
    <w:rsid w:val="00EE71B9"/>
    <w:rsid w:val="00EE7226"/>
    <w:rsid w:val="00EF06EA"/>
    <w:rsid w:val="00EF3940"/>
    <w:rsid w:val="00EF788E"/>
    <w:rsid w:val="00F0453E"/>
    <w:rsid w:val="00F04E95"/>
    <w:rsid w:val="00F07604"/>
    <w:rsid w:val="00F21088"/>
    <w:rsid w:val="00F259E7"/>
    <w:rsid w:val="00F31565"/>
    <w:rsid w:val="00F326BF"/>
    <w:rsid w:val="00F327E7"/>
    <w:rsid w:val="00F35746"/>
    <w:rsid w:val="00F41C0A"/>
    <w:rsid w:val="00F43CC8"/>
    <w:rsid w:val="00F43D0E"/>
    <w:rsid w:val="00F447C7"/>
    <w:rsid w:val="00F459B4"/>
    <w:rsid w:val="00F47497"/>
    <w:rsid w:val="00F511DA"/>
    <w:rsid w:val="00F513AB"/>
    <w:rsid w:val="00F5211B"/>
    <w:rsid w:val="00F52209"/>
    <w:rsid w:val="00F5491A"/>
    <w:rsid w:val="00F554A9"/>
    <w:rsid w:val="00F61E44"/>
    <w:rsid w:val="00F63DEC"/>
    <w:rsid w:val="00F64CB1"/>
    <w:rsid w:val="00F703B6"/>
    <w:rsid w:val="00F716FD"/>
    <w:rsid w:val="00F77753"/>
    <w:rsid w:val="00F80355"/>
    <w:rsid w:val="00F868F0"/>
    <w:rsid w:val="00F87C43"/>
    <w:rsid w:val="00F90C65"/>
    <w:rsid w:val="00F94850"/>
    <w:rsid w:val="00F953AD"/>
    <w:rsid w:val="00FA1AAE"/>
    <w:rsid w:val="00FA5722"/>
    <w:rsid w:val="00FB0C81"/>
    <w:rsid w:val="00FB2D67"/>
    <w:rsid w:val="00FC2200"/>
    <w:rsid w:val="00FC2540"/>
    <w:rsid w:val="00FC387F"/>
    <w:rsid w:val="00FC3EE9"/>
    <w:rsid w:val="00FC5218"/>
    <w:rsid w:val="00FC73E1"/>
    <w:rsid w:val="00FD2F80"/>
    <w:rsid w:val="00FE5B11"/>
    <w:rsid w:val="00FE6BC0"/>
    <w:rsid w:val="00FE6E52"/>
    <w:rsid w:val="00FF0204"/>
    <w:rsid w:val="00FF1332"/>
    <w:rsid w:val="00FF3295"/>
    <w:rsid w:val="00FF3AED"/>
    <w:rsid w:val="00FF57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43FE2"/>
  <w15:docId w15:val="{83E65914-24C1-4C9B-807C-85CF309B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rPr>
  </w:style>
  <w:style w:type="paragraph" w:styleId="ListParagraph">
    <w:name w:val="List Paragraph"/>
    <w:basedOn w:val="Normal"/>
    <w:uiPriority w:val="34"/>
    <w:qFormat/>
    <w:rsid w:val="00BF3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0AF9020-8CCE-47DA-A57E-F53BD0CEC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Eec94G</Template>
  <TotalTime>11</TotalTime>
  <Pages>5</Pages>
  <Words>1958</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13093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keywords/>
  <cp:lastModifiedBy>Angela Xue He Yan</cp:lastModifiedBy>
  <cp:revision>9</cp:revision>
  <cp:lastPrinted>2001-05-26T19:40:00Z</cp:lastPrinted>
  <dcterms:created xsi:type="dcterms:W3CDTF">2025-11-18T14:16:00Z</dcterms:created>
  <dcterms:modified xsi:type="dcterms:W3CDTF">2025-11-19T19:49:00Z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UNEP/OzL.Pro/ExCom/97/27</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3e5ce3a7-1eed-4551-aeb1-785174fc7be4</vt:lpwstr>
  </property>
</Properties>
</file>