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4101EE" w14:paraId="297DE251" w14:textId="77777777" w:rsidTr="000706DC">
        <w:trPr>
          <w:trHeight w:val="720"/>
        </w:trPr>
        <w:tc>
          <w:tcPr>
            <w:tcW w:w="6494" w:type="dxa"/>
            <w:gridSpan w:val="2"/>
            <w:tcBorders>
              <w:bottom w:val="single" w:sz="18" w:space="0" w:color="auto"/>
            </w:tcBorders>
            <w:vAlign w:val="center"/>
          </w:tcPr>
          <w:p w14:paraId="25A47627" w14:textId="77777777" w:rsidR="006A24A7" w:rsidRPr="004101EE" w:rsidRDefault="006A24A7" w:rsidP="00C503FA">
            <w:pPr>
              <w:rPr>
                <w:rFonts w:ascii="Univers" w:hAnsi="Univers"/>
                <w:b/>
                <w:sz w:val="28"/>
                <w:szCs w:val="28"/>
                <w:lang w:val="es-MX"/>
              </w:rPr>
            </w:pPr>
            <w:r w:rsidRPr="004101EE">
              <w:rPr>
                <w:rFonts w:ascii="Univers" w:hAnsi="Univers"/>
                <w:b/>
                <w:sz w:val="28"/>
                <w:szCs w:val="28"/>
                <w:lang w:val="es-MX"/>
              </w:rPr>
              <w:t>NACIONES</w:t>
            </w:r>
          </w:p>
          <w:p w14:paraId="31556B4C" w14:textId="77777777" w:rsidR="006A24A7" w:rsidRPr="004101EE" w:rsidRDefault="006A24A7" w:rsidP="00C503FA">
            <w:pPr>
              <w:rPr>
                <w:rFonts w:ascii="Univers" w:hAnsi="Univers"/>
                <w:b/>
                <w:sz w:val="28"/>
                <w:szCs w:val="28"/>
                <w:lang w:val="es-MX"/>
              </w:rPr>
            </w:pPr>
            <w:r w:rsidRPr="004101EE">
              <w:rPr>
                <w:rFonts w:ascii="Univers" w:hAnsi="Univers"/>
                <w:b/>
                <w:sz w:val="28"/>
                <w:szCs w:val="28"/>
                <w:lang w:val="es-MX"/>
              </w:rPr>
              <w:t>UNIDAS</w:t>
            </w:r>
          </w:p>
        </w:tc>
        <w:tc>
          <w:tcPr>
            <w:tcW w:w="3586" w:type="dxa"/>
            <w:tcBorders>
              <w:bottom w:val="single" w:sz="18" w:space="0" w:color="auto"/>
            </w:tcBorders>
          </w:tcPr>
          <w:p w14:paraId="350204C6" w14:textId="77777777" w:rsidR="006A24A7" w:rsidRPr="004101EE" w:rsidRDefault="006A24A7" w:rsidP="00C503FA">
            <w:pPr>
              <w:jc w:val="right"/>
              <w:rPr>
                <w:rFonts w:ascii="Univers" w:hAnsi="Univers" w:cstheme="minorBidi"/>
                <w:sz w:val="52"/>
                <w:szCs w:val="52"/>
                <w:lang w:val="es-MX"/>
              </w:rPr>
            </w:pPr>
            <w:r w:rsidRPr="004101EE">
              <w:rPr>
                <w:rFonts w:ascii="Univers" w:hAnsi="Univers" w:cstheme="minorBidi"/>
                <w:b/>
                <w:sz w:val="72"/>
                <w:lang w:val="es-MX"/>
              </w:rPr>
              <w:t>EP</w:t>
            </w:r>
          </w:p>
        </w:tc>
      </w:tr>
      <w:tr w:rsidR="006A24A7" w:rsidRPr="004101EE" w14:paraId="1B741D6D"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D6014B7" w14:textId="77777777" w:rsidR="006A24A7" w:rsidRPr="004101EE" w:rsidRDefault="00B84CF6" w:rsidP="00C503FA">
            <w:pPr>
              <w:spacing w:before="120"/>
              <w:rPr>
                <w:lang w:val="es-MX"/>
              </w:rPr>
            </w:pPr>
            <w:r w:rsidRPr="004101EE">
              <w:rPr>
                <w:noProof/>
                <w:lang w:val="es-MX"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4101EE">
              <w:rPr>
                <w:noProof/>
                <w:lang w:val="es-MX"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A07A1C6" w14:textId="77777777" w:rsidR="006A24A7" w:rsidRPr="004101E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1D5F4FC" w14:textId="77777777" w:rsidR="006A24A7" w:rsidRPr="004101E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4101EE">
              <w:rPr>
                <w:rFonts w:ascii="Univers" w:hAnsi="Univers"/>
                <w:b/>
                <w:sz w:val="32"/>
                <w:lang w:val="es-MX"/>
              </w:rPr>
              <w:t>Programa de las</w:t>
            </w:r>
          </w:p>
          <w:p w14:paraId="28242909" w14:textId="77777777" w:rsidR="006A24A7" w:rsidRPr="004101E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4101EE">
              <w:rPr>
                <w:rFonts w:ascii="Univers" w:hAnsi="Univers"/>
                <w:b/>
                <w:sz w:val="32"/>
                <w:lang w:val="es-MX"/>
              </w:rPr>
              <w:t>Naciones Unidas</w:t>
            </w:r>
          </w:p>
          <w:p w14:paraId="0E470EAC" w14:textId="77777777" w:rsidR="006A24A7" w:rsidRPr="004101EE"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4101EE">
              <w:rPr>
                <w:rFonts w:ascii="Univers" w:hAnsi="Univers"/>
                <w:b/>
                <w:sz w:val="32"/>
                <w:lang w:val="es-MX"/>
              </w:rPr>
              <w:t>para el Medio Ambiente</w:t>
            </w:r>
          </w:p>
          <w:p w14:paraId="570A8C23" w14:textId="77777777" w:rsidR="006A24A7" w:rsidRPr="004101EE" w:rsidRDefault="006A24A7" w:rsidP="00C503FA">
            <w:pPr>
              <w:spacing w:before="720"/>
              <w:rPr>
                <w:lang w:val="es-MX"/>
              </w:rPr>
            </w:pPr>
          </w:p>
        </w:tc>
        <w:tc>
          <w:tcPr>
            <w:tcW w:w="3586" w:type="dxa"/>
            <w:tcBorders>
              <w:top w:val="nil"/>
              <w:left w:val="nil"/>
              <w:bottom w:val="single" w:sz="36" w:space="0" w:color="auto"/>
              <w:right w:val="nil"/>
            </w:tcBorders>
          </w:tcPr>
          <w:p w14:paraId="4AAF08A2" w14:textId="77777777" w:rsidR="006A24A7" w:rsidRPr="004101EE" w:rsidRDefault="006A24A7" w:rsidP="00C503FA">
            <w:pPr>
              <w:rPr>
                <w:lang w:val="es-MX"/>
              </w:rPr>
            </w:pPr>
          </w:p>
          <w:p w14:paraId="37EB1A99" w14:textId="77777777" w:rsidR="006A24A7" w:rsidRPr="004101EE" w:rsidRDefault="006A24A7" w:rsidP="00C503FA">
            <w:pPr>
              <w:rPr>
                <w:lang w:val="es-MX"/>
              </w:rPr>
            </w:pPr>
            <w:r w:rsidRPr="004101EE">
              <w:rPr>
                <w:lang w:val="es-MX"/>
              </w:rPr>
              <w:t>Distr.</w:t>
            </w:r>
          </w:p>
          <w:p w14:paraId="51684110" w14:textId="77777777" w:rsidR="006A24A7" w:rsidRPr="004101EE" w:rsidRDefault="006A24A7" w:rsidP="00C503FA">
            <w:pPr>
              <w:rPr>
                <w:lang w:val="es-MX"/>
              </w:rPr>
            </w:pPr>
            <w:r w:rsidRPr="004101EE">
              <w:rPr>
                <w:lang w:val="es-MX"/>
              </w:rPr>
              <w:t>GENERAL</w:t>
            </w:r>
          </w:p>
          <w:p w14:paraId="2794E8B7" w14:textId="77777777" w:rsidR="006A24A7" w:rsidRPr="004101EE" w:rsidRDefault="006A24A7" w:rsidP="00C503FA">
            <w:pPr>
              <w:rPr>
                <w:lang w:val="es-MX"/>
              </w:rPr>
            </w:pPr>
          </w:p>
          <w:p w14:paraId="16B08F85" w14:textId="496D1BB1" w:rsidR="006A24A7" w:rsidRPr="004101EE" w:rsidRDefault="006A24A7" w:rsidP="00C503FA">
            <w:pPr>
              <w:rPr>
                <w:lang w:val="es-MX"/>
              </w:rPr>
            </w:pPr>
            <w:r w:rsidRPr="004101EE">
              <w:rPr>
                <w:lang w:val="es-MX"/>
              </w:rPr>
              <w:fldChar w:fldCharType="begin"/>
            </w:r>
            <w:r w:rsidRPr="004101EE">
              <w:rPr>
                <w:lang w:val="es-MX"/>
              </w:rPr>
              <w:instrText xml:space="preserve"> DOCPROPERTY "Document number"  \* MERGEFORMAT </w:instrText>
            </w:r>
            <w:r w:rsidRPr="004101EE">
              <w:rPr>
                <w:lang w:val="es-MX"/>
              </w:rPr>
              <w:fldChar w:fldCharType="separate"/>
            </w:r>
            <w:r w:rsidR="00E31E2E">
              <w:rPr>
                <w:lang w:val="es-MX"/>
              </w:rPr>
              <w:t>UNEP/OzL.Pro/ExCom/98/63</w:t>
            </w:r>
            <w:r w:rsidRPr="004101EE">
              <w:rPr>
                <w:lang w:val="es-MX"/>
              </w:rPr>
              <w:fldChar w:fldCharType="end"/>
            </w:r>
          </w:p>
          <w:p w14:paraId="0E7EAF65" w14:textId="4B2ED61F" w:rsidR="00B84CF6" w:rsidRPr="004101EE" w:rsidRDefault="00B84CF6" w:rsidP="00B84CF6">
            <w:pPr>
              <w:rPr>
                <w:lang w:val="es-MX"/>
              </w:rPr>
            </w:pPr>
            <w:r w:rsidRPr="004101EE">
              <w:rPr>
                <w:lang w:val="es-MX"/>
              </w:rPr>
              <w:fldChar w:fldCharType="begin"/>
            </w:r>
            <w:r w:rsidRPr="004101EE">
              <w:rPr>
                <w:lang w:val="es-MX"/>
              </w:rPr>
              <w:instrText xml:space="preserve"> DOCPROPERTY "Revision date" \@ "d MMMM YYYY"  \* MERGEFORMAT </w:instrText>
            </w:r>
            <w:r w:rsidRPr="004101EE">
              <w:rPr>
                <w:lang w:val="es-MX"/>
              </w:rPr>
              <w:fldChar w:fldCharType="separate"/>
            </w:r>
            <w:r w:rsidR="00072488">
              <w:rPr>
                <w:lang w:val="es-MX"/>
              </w:rPr>
              <w:t>11 de mayo de 2026</w:t>
            </w:r>
            <w:r w:rsidRPr="004101EE">
              <w:rPr>
                <w:lang w:val="es-MX"/>
              </w:rPr>
              <w:fldChar w:fldCharType="end"/>
            </w:r>
          </w:p>
          <w:p w14:paraId="2D1B7382" w14:textId="77777777" w:rsidR="00BF6D9E" w:rsidRPr="004101EE" w:rsidRDefault="00BF6D9E" w:rsidP="00C503FA">
            <w:pPr>
              <w:rPr>
                <w:caps/>
                <w:lang w:val="es-MX"/>
              </w:rPr>
            </w:pPr>
          </w:p>
          <w:p w14:paraId="112B1673" w14:textId="77777777" w:rsidR="006A24A7" w:rsidRPr="004101EE" w:rsidRDefault="006A24A7" w:rsidP="00C503FA">
            <w:pPr>
              <w:rPr>
                <w:lang w:val="es-MX"/>
              </w:rPr>
            </w:pPr>
            <w:r w:rsidRPr="004101EE">
              <w:rPr>
                <w:lang w:val="es-MX"/>
              </w:rPr>
              <w:t xml:space="preserve">ESPAÑOL </w:t>
            </w:r>
          </w:p>
          <w:p w14:paraId="3D08F38C" w14:textId="77777777" w:rsidR="006A24A7" w:rsidRPr="004101EE" w:rsidRDefault="006A24A7" w:rsidP="00C503FA">
            <w:pPr>
              <w:rPr>
                <w:lang w:val="es-MX"/>
              </w:rPr>
            </w:pPr>
            <w:r w:rsidRPr="004101EE">
              <w:rPr>
                <w:lang w:val="es-MX"/>
              </w:rPr>
              <w:t>ORIGINAL: INGLÉS</w:t>
            </w:r>
          </w:p>
        </w:tc>
      </w:tr>
    </w:tbl>
    <w:p w14:paraId="509990B9" w14:textId="77777777" w:rsidR="009E2B8C" w:rsidRPr="004101EE" w:rsidRDefault="006A24A7" w:rsidP="009E2B8C">
      <w:pPr>
        <w:jc w:val="left"/>
        <w:rPr>
          <w:lang w:val="es-MX"/>
        </w:rPr>
      </w:pPr>
      <w:r w:rsidRPr="004101EE">
        <w:rPr>
          <w:lang w:val="es-MX"/>
        </w:rPr>
        <w:t>COMITÉ EJECUTIVO DEL FONDO MULTILATERAL</w:t>
      </w:r>
      <w:r w:rsidRPr="004101EE">
        <w:rPr>
          <w:lang w:val="es-MX"/>
        </w:rPr>
        <w:br/>
        <w:t xml:space="preserve"> PARA LA APLICACIÓN DEL</w:t>
      </w:r>
      <w:r w:rsidRPr="004101EE">
        <w:rPr>
          <w:lang w:val="es-MX"/>
        </w:rPr>
        <w:br/>
        <w:t xml:space="preserve"> PROTOCOLO DE MONTREAL</w:t>
      </w:r>
      <w:r w:rsidRPr="004101EE">
        <w:rPr>
          <w:lang w:val="es-MX"/>
        </w:rPr>
        <w:br/>
      </w:r>
      <w:r w:rsidR="009609D8" w:rsidRPr="004101EE">
        <w:rPr>
          <w:lang w:val="es-MX"/>
        </w:rPr>
        <w:t>Nonagésima octava reunión</w:t>
      </w:r>
    </w:p>
    <w:p w14:paraId="2E51F6E7" w14:textId="77777777" w:rsidR="009609D8" w:rsidRPr="004101EE" w:rsidRDefault="009609D8" w:rsidP="009E2B8C">
      <w:pPr>
        <w:jc w:val="left"/>
        <w:rPr>
          <w:lang w:val="es-MX"/>
        </w:rPr>
      </w:pPr>
      <w:r w:rsidRPr="004101EE">
        <w:rPr>
          <w:lang w:val="es-MX"/>
        </w:rPr>
        <w:t>Montreal, 22</w:t>
      </w:r>
      <w:r w:rsidR="00DC6A12" w:rsidRPr="004101EE">
        <w:rPr>
          <w:lang w:val="es-MX"/>
        </w:rPr>
        <w:t>-</w:t>
      </w:r>
      <w:r w:rsidRPr="004101EE">
        <w:rPr>
          <w:lang w:val="es-MX"/>
        </w:rPr>
        <w:t>26 de junio de 2026</w:t>
      </w:r>
    </w:p>
    <w:p w14:paraId="1979D2C3" w14:textId="5B9074AA" w:rsidR="006A24A7" w:rsidRPr="004101EE" w:rsidRDefault="00A428F1" w:rsidP="009E2B8C">
      <w:pPr>
        <w:jc w:val="left"/>
        <w:rPr>
          <w:lang w:val="es-MX"/>
        </w:rPr>
      </w:pPr>
      <w:r w:rsidRPr="004101EE">
        <w:rPr>
          <w:lang w:val="es-MX"/>
        </w:rPr>
        <w:t>Punto</w:t>
      </w:r>
      <w:r w:rsidR="006A24A7" w:rsidRPr="004101EE">
        <w:rPr>
          <w:lang w:val="es-MX"/>
        </w:rPr>
        <w:t xml:space="preserve"> </w:t>
      </w:r>
      <w:r w:rsidR="004101EE">
        <w:rPr>
          <w:lang w:val="es-MX"/>
        </w:rPr>
        <w:t>16</w:t>
      </w:r>
      <w:r w:rsidR="006A24A7" w:rsidRPr="004101EE">
        <w:rPr>
          <w:lang w:val="es-MX"/>
        </w:rPr>
        <w:t xml:space="preserve"> del orden del día provisional</w:t>
      </w:r>
      <w:r w:rsidR="006A24A7" w:rsidRPr="004101EE">
        <w:rPr>
          <w:rStyle w:val="FootnoteReference"/>
          <w:lang w:val="es-MX"/>
        </w:rPr>
        <w:footnoteReference w:id="1"/>
      </w:r>
    </w:p>
    <w:p w14:paraId="71974A52" w14:textId="77777777" w:rsidR="00C15867" w:rsidRPr="004101EE" w:rsidRDefault="00C15867" w:rsidP="00CA59FB">
      <w:pPr>
        <w:jc w:val="left"/>
        <w:rPr>
          <w:lang w:val="es-MX"/>
        </w:rPr>
      </w:pPr>
    </w:p>
    <w:p w14:paraId="540B1091" w14:textId="77777777" w:rsidR="00BF0D67" w:rsidRDefault="00BF0D67" w:rsidP="004A4734">
      <w:pPr>
        <w:pStyle w:val="Title1"/>
        <w:rPr>
          <w:lang w:val="es-MX"/>
        </w:rPr>
      </w:pPr>
    </w:p>
    <w:p w14:paraId="757DF54F" w14:textId="77777777" w:rsidR="0027634B" w:rsidRPr="004101EE" w:rsidRDefault="0027634B" w:rsidP="0027634B">
      <w:pPr>
        <w:jc w:val="center"/>
        <w:outlineLvl w:val="0"/>
        <w:rPr>
          <w:rFonts w:eastAsia="Times New Roman"/>
          <w:b/>
          <w:caps/>
          <w:lang w:val="es-MX"/>
        </w:rPr>
      </w:pPr>
      <w:r w:rsidRPr="004101EE">
        <w:rPr>
          <w:b/>
          <w:caps/>
          <w:lang w:val="es-MX"/>
        </w:rPr>
        <w:t>PROYECTO DE INFORME DEL COMITÉ EJECUTIVO DEL FONDO MULTILATERAL</w:t>
      </w:r>
    </w:p>
    <w:p w14:paraId="7C38C6D1" w14:textId="77777777" w:rsidR="0027634B" w:rsidRPr="004101EE" w:rsidRDefault="0027634B" w:rsidP="0027634B">
      <w:pPr>
        <w:jc w:val="center"/>
        <w:outlineLvl w:val="0"/>
        <w:rPr>
          <w:rFonts w:eastAsia="Times New Roman"/>
          <w:b/>
          <w:caps/>
          <w:lang w:val="es-MX"/>
        </w:rPr>
      </w:pPr>
      <w:r w:rsidRPr="004101EE">
        <w:rPr>
          <w:b/>
          <w:caps/>
          <w:lang w:val="es-MX"/>
        </w:rPr>
        <w:t>PARA LA APLICACIÓN DEL PROTOCOLO DE MONTREAL A LA TRIGÉSIMA OCTAVA REUNIÓN DE LAS PARTES</w:t>
      </w:r>
    </w:p>
    <w:p w14:paraId="2DC2734D" w14:textId="77777777" w:rsidR="004101EE" w:rsidRPr="004101EE" w:rsidRDefault="004101EE" w:rsidP="004101EE">
      <w:pPr>
        <w:spacing w:before="240" w:after="240"/>
        <w:jc w:val="left"/>
        <w:rPr>
          <w:rFonts w:eastAsia="Times New Roman"/>
          <w:b/>
          <w:bCs/>
          <w:sz w:val="24"/>
          <w:szCs w:val="24"/>
          <w:lang w:val="es-MX"/>
        </w:rPr>
      </w:pPr>
      <w:r w:rsidRPr="004101EE">
        <w:rPr>
          <w:b/>
          <w:sz w:val="24"/>
          <w:lang w:val="es-MX"/>
        </w:rPr>
        <w:t>Introducción</w:t>
      </w:r>
    </w:p>
    <w:p w14:paraId="17CE2C63" w14:textId="77777777" w:rsidR="004101EE" w:rsidRPr="004101EE" w:rsidRDefault="004101EE" w:rsidP="004101EE">
      <w:pPr>
        <w:pStyle w:val="Heading1"/>
        <w:rPr>
          <w:lang w:val="es-MX"/>
        </w:rPr>
      </w:pPr>
      <w:r w:rsidRPr="004101EE">
        <w:rPr>
          <w:lang w:val="es-MX"/>
        </w:rPr>
        <w:t>El presente informe contiene dos secciones y un anexo que se indican a continuación:</w:t>
      </w:r>
    </w:p>
    <w:p w14:paraId="5B899C84" w14:textId="77777777" w:rsidR="004101EE" w:rsidRPr="004101EE" w:rsidRDefault="004101EE" w:rsidP="004101EE">
      <w:pPr>
        <w:ind w:firstLine="720"/>
        <w:rPr>
          <w:lang w:val="es-MX"/>
        </w:rPr>
      </w:pPr>
      <w:r w:rsidRPr="004101EE">
        <w:rPr>
          <w:lang w:val="es-MX"/>
        </w:rPr>
        <w:t>I:</w:t>
      </w:r>
      <w:r w:rsidRPr="004101EE">
        <w:rPr>
          <w:lang w:val="es-MX"/>
        </w:rPr>
        <w:tab/>
        <w:t>Examen del período de referencia desde la Trigésima Séptima Reunión de las Partes</w:t>
      </w:r>
    </w:p>
    <w:p w14:paraId="494669E4" w14:textId="77777777" w:rsidR="004101EE" w:rsidRPr="004101EE" w:rsidRDefault="004101EE" w:rsidP="004101EE">
      <w:pPr>
        <w:ind w:firstLine="720"/>
        <w:rPr>
          <w:lang w:val="es-MX"/>
        </w:rPr>
      </w:pPr>
      <w:r w:rsidRPr="004101EE">
        <w:rPr>
          <w:lang w:val="es-MX"/>
        </w:rPr>
        <w:t>II:</w:t>
      </w:r>
      <w:r w:rsidRPr="004101EE">
        <w:rPr>
          <w:lang w:val="es-MX"/>
        </w:rPr>
        <w:tab/>
        <w:t>Logros del Fondo Multilateral desde sus comienzos</w:t>
      </w:r>
    </w:p>
    <w:p w14:paraId="2D5925EC" w14:textId="77777777" w:rsidR="004101EE" w:rsidRPr="004101EE" w:rsidRDefault="004101EE" w:rsidP="004101EE">
      <w:pPr>
        <w:ind w:left="1440" w:hanging="720"/>
        <w:rPr>
          <w:sz w:val="20"/>
          <w:szCs w:val="20"/>
          <w:lang w:val="es-MX"/>
        </w:rPr>
      </w:pPr>
      <w:r w:rsidRPr="004101EE">
        <w:rPr>
          <w:highlight w:val="yellow"/>
          <w:lang w:val="es-MX"/>
        </w:rPr>
        <w:t>Anexo:</w:t>
      </w:r>
      <w:r w:rsidRPr="004101EE">
        <w:rPr>
          <w:highlight w:val="yellow"/>
          <w:lang w:val="es-MX"/>
        </w:rPr>
        <w:tab/>
        <w:t>Boletín anual del Fondo Multilateral con algunos proyectos destacados y resultados de políticas de 2025</w:t>
      </w:r>
    </w:p>
    <w:p w14:paraId="50109D42" w14:textId="77777777" w:rsidR="004101EE" w:rsidRPr="004101EE" w:rsidRDefault="004101EE" w:rsidP="004101EE">
      <w:pPr>
        <w:keepNext/>
        <w:spacing w:before="240" w:after="240"/>
        <w:outlineLvl w:val="0"/>
        <w:rPr>
          <w:rFonts w:eastAsia="Times New Roman"/>
          <w:b/>
          <w:bCs/>
          <w:sz w:val="24"/>
          <w:szCs w:val="24"/>
          <w:lang w:val="es-MX"/>
        </w:rPr>
      </w:pPr>
      <w:r w:rsidRPr="004101EE">
        <w:rPr>
          <w:b/>
          <w:sz w:val="24"/>
          <w:lang w:val="es-MX"/>
        </w:rPr>
        <w:t>I.</w:t>
      </w:r>
      <w:r w:rsidRPr="004101EE">
        <w:rPr>
          <w:b/>
          <w:sz w:val="24"/>
          <w:lang w:val="es-MX"/>
        </w:rPr>
        <w:tab/>
        <w:t>Examen del período de referencia desde la Trigésima Séptima Reunión de las Partes</w:t>
      </w:r>
    </w:p>
    <w:p w14:paraId="286DD49B" w14:textId="77777777" w:rsidR="004101EE" w:rsidRPr="004101EE" w:rsidRDefault="004101EE" w:rsidP="004101EE">
      <w:pPr>
        <w:numPr>
          <w:ilvl w:val="0"/>
          <w:numId w:val="1"/>
        </w:numPr>
        <w:spacing w:after="240"/>
        <w:outlineLvl w:val="0"/>
        <w:rPr>
          <w:lang w:val="es-MX"/>
        </w:rPr>
      </w:pPr>
      <w:r w:rsidRPr="004101EE">
        <w:rPr>
          <w:lang w:val="es-MX"/>
        </w:rPr>
        <w:t xml:space="preserve">Durante el período de referencia, el Comité Ejecutivo celebró sus reuniones 97ª </w:t>
      </w:r>
      <w:r w:rsidRPr="004101EE">
        <w:rPr>
          <w:highlight w:val="yellow"/>
          <w:lang w:val="es-MX"/>
        </w:rPr>
        <w:t>[y 98ª]</w:t>
      </w:r>
      <w:r w:rsidRPr="004101EE">
        <w:rPr>
          <w:lang w:val="es-MX"/>
        </w:rPr>
        <w:t>. La 97ª reunión se celebró en Montreal (Canadá), del 1 al 5 de diciembre de 2025. La labor de la 97ª reunión fue llevada a cabo por los miembros del Comité Ejecutivo para 2025, de conformidad con la decisión XXXVI/19 de la 36ª Reunión de las Partes. El Comité estaba integrado por las siguientes partes que operan al amparo del párrafo 1 del Artículo 5 del Protocolo (partes que operan al amparo del Artículo 5): Argentina, Bahrein, China, Cuba, Kirguistán, Lesotho (Vicepresidencia) y Togo; y las siguientes partes que no operan al amparo del párrafo 1 del Artículo 5 del Protocolo (partes que no operan al amparo del Artículo 5): Bélgica, Canadá, Italia (Presidencia), Japón, Lituania, Suecia y los Estados Unidos de América.</w:t>
      </w:r>
    </w:p>
    <w:p w14:paraId="1881F9CE" w14:textId="77777777" w:rsidR="004101EE" w:rsidRPr="004101EE" w:rsidRDefault="004101EE" w:rsidP="004101EE">
      <w:pPr>
        <w:numPr>
          <w:ilvl w:val="0"/>
          <w:numId w:val="1"/>
        </w:numPr>
        <w:spacing w:after="240"/>
        <w:outlineLvl w:val="0"/>
        <w:rPr>
          <w:highlight w:val="yellow"/>
          <w:lang w:val="es-MX"/>
        </w:rPr>
      </w:pPr>
      <w:r w:rsidRPr="004101EE">
        <w:rPr>
          <w:highlight w:val="yellow"/>
          <w:lang w:val="es-MX"/>
        </w:rPr>
        <w:t xml:space="preserve">[La 98ª reunión se celebró en Montreal del 22 al 26 de junio de 2026. La labor de la 98ª reunión fue llevada a cabo por los miembros del Comité Ejecutivo para 2026, de conformidad con la decisión XXXVII/19 de la 37ª Reunión de las Partes. El Comité estaba integrado por las siguientes partes que operan al amparo del Artículo 5: Brasil, Camerún, Cuba, India, Kuwait, Lesotho (Presidencia) y México; y las </w:t>
      </w:r>
      <w:r w:rsidRPr="004101EE">
        <w:rPr>
          <w:highlight w:val="yellow"/>
          <w:lang w:val="es-MX"/>
        </w:rPr>
        <w:lastRenderedPageBreak/>
        <w:t>siguientes partes que no operan al amparo del Artículo 5: Australia (Vicepresidencia), Austria, Bélgica, Estados Unidos de América, Francia, Japón y Kazajstán].</w:t>
      </w:r>
    </w:p>
    <w:p w14:paraId="4D590FDA" w14:textId="77777777" w:rsidR="004101EE" w:rsidRPr="004101EE" w:rsidRDefault="004101EE" w:rsidP="004101EE">
      <w:pPr>
        <w:numPr>
          <w:ilvl w:val="0"/>
          <w:numId w:val="1"/>
        </w:numPr>
        <w:spacing w:after="240"/>
        <w:outlineLvl w:val="0"/>
        <w:rPr>
          <w:lang w:val="es-MX"/>
        </w:rPr>
      </w:pPr>
      <w:r w:rsidRPr="004101EE">
        <w:rPr>
          <w:lang w:val="es-MX"/>
        </w:rPr>
        <w:t>Los informes de las reuniones 97ª </w:t>
      </w:r>
      <w:r w:rsidRPr="004101EE">
        <w:rPr>
          <w:highlight w:val="yellow"/>
          <w:lang w:val="es-MX"/>
        </w:rPr>
        <w:t>[y</w:t>
      </w:r>
      <w:r w:rsidRPr="004101EE">
        <w:rPr>
          <w:sz w:val="20"/>
          <w:highlight w:val="yellow"/>
          <w:lang w:val="es-MX"/>
        </w:rPr>
        <w:t xml:space="preserve"> 98ª</w:t>
      </w:r>
      <w:r w:rsidRPr="004101EE">
        <w:rPr>
          <w:lang w:val="es-MX"/>
        </w:rPr>
        <w:t>]</w:t>
      </w:r>
      <w:r w:rsidRPr="004101EE">
        <w:rPr>
          <w:vertAlign w:val="superscript"/>
          <w:lang w:val="es-MX" w:eastAsia="en-GB"/>
        </w:rPr>
        <w:footnoteReference w:id="2"/>
      </w:r>
      <w:r w:rsidRPr="004101EE">
        <w:rPr>
          <w:lang w:val="es-MX"/>
        </w:rPr>
        <w:t xml:space="preserve"> pueden consultarse en el sitio web del Fondo Multilateral (</w:t>
      </w:r>
      <w:hyperlink r:id="rId13" w:history="1">
        <w:r w:rsidRPr="004101EE">
          <w:rPr>
            <w:lang w:val="es-MX"/>
          </w:rPr>
          <w:t>https://www.multilateralfund.org/meetings</w:t>
        </w:r>
      </w:hyperlink>
      <w:r w:rsidRPr="004101EE">
        <w:rPr>
          <w:lang w:val="es-MX"/>
        </w:rPr>
        <w:t>).</w:t>
      </w:r>
    </w:p>
    <w:p w14:paraId="6CC20AFD" w14:textId="77777777" w:rsidR="004101EE" w:rsidRPr="004101EE" w:rsidRDefault="004101EE" w:rsidP="004101EE">
      <w:pPr>
        <w:keepNext/>
        <w:spacing w:after="240"/>
        <w:jc w:val="left"/>
        <w:outlineLvl w:val="1"/>
        <w:rPr>
          <w:b/>
          <w:sz w:val="24"/>
          <w:szCs w:val="24"/>
          <w:lang w:val="es-MX"/>
        </w:rPr>
      </w:pPr>
      <w:r w:rsidRPr="004101EE">
        <w:rPr>
          <w:b/>
          <w:sz w:val="24"/>
          <w:lang w:val="es-MX"/>
        </w:rPr>
        <w:t>A.</w:t>
      </w:r>
      <w:r w:rsidRPr="004101EE">
        <w:rPr>
          <w:b/>
          <w:sz w:val="24"/>
          <w:lang w:val="es-MX"/>
        </w:rPr>
        <w:tab/>
        <w:t>Asuntos de políticas relacionados con la Enmienda de Kigali</w:t>
      </w:r>
    </w:p>
    <w:p w14:paraId="6B2C8238" w14:textId="77777777" w:rsidR="004101EE" w:rsidRPr="004101EE" w:rsidRDefault="004101EE" w:rsidP="004101EE">
      <w:pPr>
        <w:spacing w:after="240"/>
        <w:outlineLvl w:val="0"/>
        <w:rPr>
          <w:rFonts w:eastAsia="Times New Roman"/>
          <w:b/>
          <w:lang w:val="es-MX"/>
        </w:rPr>
      </w:pPr>
      <w:r w:rsidRPr="004101EE">
        <w:rPr>
          <w:b/>
          <w:lang w:val="es-MX"/>
        </w:rPr>
        <w:t>1.</w:t>
      </w:r>
      <w:r w:rsidRPr="004101EE">
        <w:rPr>
          <w:b/>
          <w:lang w:val="es-MX"/>
        </w:rPr>
        <w:tab/>
        <w:t>Cuestiones relacionadas con proyectos presentados en el marco operativo sobre eficiencia energética (decisiones 94/60 y 95/87)</w:t>
      </w:r>
    </w:p>
    <w:p w14:paraId="258C975B" w14:textId="77777777" w:rsidR="004101EE" w:rsidRPr="004101EE" w:rsidRDefault="004101EE" w:rsidP="004101EE">
      <w:pPr>
        <w:numPr>
          <w:ilvl w:val="0"/>
          <w:numId w:val="1"/>
        </w:numPr>
        <w:spacing w:after="240"/>
        <w:outlineLvl w:val="0"/>
        <w:rPr>
          <w:lang w:val="es-MX"/>
        </w:rPr>
      </w:pPr>
      <w:r w:rsidRPr="004101EE">
        <w:rPr>
          <w:lang w:val="es-MX"/>
        </w:rPr>
        <w:t>En la 97ª reunión, el Comité Ejecutivo discutió varios asuntos relacionados con los proyectos presentados en el marco operativo sobre eficiencia energética</w:t>
      </w:r>
      <w:r w:rsidRPr="004101EE">
        <w:rPr>
          <w:rStyle w:val="FootnoteReference"/>
          <w:lang w:val="es-MX" w:eastAsia="en-GB"/>
        </w:rPr>
        <w:footnoteReference w:id="3"/>
      </w:r>
      <w:r w:rsidRPr="004101EE">
        <w:rPr>
          <w:lang w:val="es-MX"/>
        </w:rPr>
        <w:t>, y recordó que, en su decisión 94/60 b) ii), el Comité había solicitado a la Secretaría del Fondo que propusiera periódicamente actualizaciones de la metodología acordada a la luz de la experiencia adquirida.</w:t>
      </w:r>
    </w:p>
    <w:p w14:paraId="1D973F06" w14:textId="77777777" w:rsidR="004101EE" w:rsidRPr="004101EE" w:rsidRDefault="004101EE" w:rsidP="004101EE">
      <w:pPr>
        <w:pStyle w:val="Heading2"/>
        <w:numPr>
          <w:ilvl w:val="0"/>
          <w:numId w:val="0"/>
        </w:numPr>
        <w:ind w:left="720" w:hanging="720"/>
        <w:rPr>
          <w:b/>
          <w:bCs/>
          <w:lang w:val="es-MX"/>
        </w:rPr>
      </w:pPr>
      <w:r w:rsidRPr="004101EE">
        <w:rPr>
          <w:b/>
          <w:lang w:val="es-MX"/>
        </w:rPr>
        <w:t>a)</w:t>
      </w:r>
      <w:r w:rsidRPr="004101EE">
        <w:rPr>
          <w:b/>
          <w:lang w:val="es-MX"/>
        </w:rPr>
        <w:tab/>
        <w:t>Proporción de equipos fabricados por una empresa que reúne las condiciones para acogerse al incentivo por componentes adicionales</w:t>
      </w:r>
    </w:p>
    <w:p w14:paraId="4E598F2A" w14:textId="77777777" w:rsidR="004101EE" w:rsidRPr="004101EE" w:rsidRDefault="004101EE" w:rsidP="004101EE">
      <w:pPr>
        <w:numPr>
          <w:ilvl w:val="0"/>
          <w:numId w:val="1"/>
        </w:numPr>
        <w:spacing w:after="240"/>
        <w:outlineLvl w:val="0"/>
        <w:rPr>
          <w:lang w:val="es-MX"/>
        </w:rPr>
      </w:pPr>
      <w:r w:rsidRPr="004101EE">
        <w:rPr>
          <w:lang w:val="es-MX"/>
        </w:rPr>
        <w:t>El Comité Ejecutivo decidió, para los proyectos presentados en el marco operativo sobre eficiencia energética, aprobar las condiciones adicionales para las empresas con menos del 50 por ciento de su volumen de fabricación admisible para el incentivo por componentes adicionales que se especificaban en los subpárrafos 40 a) y b) del documento UNEP/OzL.Pro/ExCom/97/26 (decisión 97/32).</w:t>
      </w:r>
    </w:p>
    <w:p w14:paraId="5CD60AC2" w14:textId="77777777" w:rsidR="004101EE" w:rsidRPr="004101EE" w:rsidRDefault="004101EE" w:rsidP="004101EE">
      <w:pPr>
        <w:pStyle w:val="Heading2"/>
        <w:numPr>
          <w:ilvl w:val="0"/>
          <w:numId w:val="0"/>
        </w:numPr>
        <w:rPr>
          <w:b/>
          <w:bCs/>
          <w:lang w:val="es-MX"/>
        </w:rPr>
      </w:pPr>
      <w:r w:rsidRPr="004101EE">
        <w:rPr>
          <w:b/>
          <w:lang w:val="es-MX"/>
        </w:rPr>
        <w:t>b)</w:t>
      </w:r>
      <w:r w:rsidRPr="004101EE">
        <w:rPr>
          <w:b/>
          <w:lang w:val="es-MX"/>
        </w:rPr>
        <w:tab/>
        <w:t>Provisión de costos adicionales de capital para los fabricantes que utilizan juegos completamente desmontados</w:t>
      </w:r>
    </w:p>
    <w:p w14:paraId="1A679FC7" w14:textId="77777777" w:rsidR="004101EE" w:rsidRPr="004101EE" w:rsidRDefault="004101EE" w:rsidP="004101EE">
      <w:pPr>
        <w:numPr>
          <w:ilvl w:val="0"/>
          <w:numId w:val="1"/>
        </w:numPr>
        <w:spacing w:after="240"/>
        <w:outlineLvl w:val="0"/>
        <w:rPr>
          <w:lang w:val="es-MX"/>
        </w:rPr>
      </w:pPr>
      <w:r w:rsidRPr="004101EE">
        <w:rPr>
          <w:lang w:val="es-MX"/>
        </w:rPr>
        <w:t>Tras un debate, el Comité Ejecutivo acordó aplazar, hasta una reunión futura, la consideración de la provisión de costos adicionales de capital a los fabricantes que utilizaran juegos completamente desmontados en los proyectos presentados en el marco operativo sobre eficiencia energética.</w:t>
      </w:r>
    </w:p>
    <w:p w14:paraId="14694CF8" w14:textId="77777777" w:rsidR="004101EE" w:rsidRPr="004101EE" w:rsidRDefault="004101EE" w:rsidP="004101EE">
      <w:pPr>
        <w:pStyle w:val="Heading2"/>
        <w:numPr>
          <w:ilvl w:val="0"/>
          <w:numId w:val="0"/>
        </w:numPr>
        <w:ind w:left="720" w:hanging="720"/>
        <w:rPr>
          <w:b/>
          <w:bCs/>
          <w:lang w:val="es-MX"/>
        </w:rPr>
      </w:pPr>
      <w:r w:rsidRPr="004101EE">
        <w:rPr>
          <w:b/>
          <w:lang w:val="es-MX"/>
        </w:rPr>
        <w:t>c)</w:t>
      </w:r>
      <w:r w:rsidRPr="004101EE">
        <w:rPr>
          <w:b/>
          <w:lang w:val="es-MX"/>
        </w:rPr>
        <w:tab/>
        <w:t>Volúmenes de fabricación a considerar al evaluar los costos adicionales de los componentes para los proyectos conforme a la decisión 94/60</w:t>
      </w:r>
    </w:p>
    <w:p w14:paraId="26BA77FF" w14:textId="77777777" w:rsidR="004101EE" w:rsidRPr="004101EE" w:rsidRDefault="004101EE" w:rsidP="004101EE">
      <w:pPr>
        <w:numPr>
          <w:ilvl w:val="0"/>
          <w:numId w:val="1"/>
        </w:numPr>
        <w:spacing w:after="240"/>
        <w:outlineLvl w:val="0"/>
        <w:rPr>
          <w:lang w:val="es-MX"/>
        </w:rPr>
      </w:pPr>
      <w:r w:rsidRPr="004101EE">
        <w:rPr>
          <w:lang w:val="es-MX"/>
        </w:rPr>
        <w:t>El Comité Ejecutivo decidió tomar nota de que, para los proyectos presentados en el marco operativo sobre eficiencia energética, la Secretaría del Fondo utilizaría el último año o el promedio de los tres años anteriores a la presentación del proyecto para determinar los volúmenes de fabricación (decisión 97/33).</w:t>
      </w:r>
    </w:p>
    <w:p w14:paraId="5A9A4A6D" w14:textId="77777777" w:rsidR="004101EE" w:rsidRPr="004101EE" w:rsidRDefault="004101EE" w:rsidP="004101EE">
      <w:pPr>
        <w:spacing w:after="240"/>
        <w:outlineLvl w:val="0"/>
        <w:rPr>
          <w:rFonts w:eastAsia="Times New Roman"/>
          <w:b/>
          <w:lang w:val="es-MX"/>
        </w:rPr>
      </w:pPr>
      <w:r w:rsidRPr="004101EE">
        <w:rPr>
          <w:b/>
          <w:lang w:val="es-MX"/>
        </w:rPr>
        <w:t>2.</w:t>
      </w:r>
      <w:r w:rsidRPr="004101EE">
        <w:rPr>
          <w:b/>
          <w:lang w:val="es-MX"/>
        </w:rPr>
        <w:tab/>
        <w:t>Puesta en funcionamiento de centros de excelencia para la refrigeración sostenible y centros de pruebas de eficiencia energética</w:t>
      </w:r>
    </w:p>
    <w:p w14:paraId="6C261ACD" w14:textId="77777777" w:rsidR="004101EE" w:rsidRPr="004101EE" w:rsidRDefault="004101EE" w:rsidP="004101EE">
      <w:pPr>
        <w:pStyle w:val="Heading2"/>
        <w:numPr>
          <w:ilvl w:val="0"/>
          <w:numId w:val="0"/>
        </w:numPr>
        <w:rPr>
          <w:b/>
          <w:bCs/>
          <w:lang w:val="es-MX"/>
        </w:rPr>
      </w:pPr>
      <w:r w:rsidRPr="004101EE">
        <w:rPr>
          <w:b/>
          <w:lang w:val="es-MX"/>
        </w:rPr>
        <w:t>a)</w:t>
      </w:r>
      <w:r w:rsidRPr="004101EE">
        <w:rPr>
          <w:b/>
          <w:lang w:val="es-MX"/>
        </w:rPr>
        <w:tab/>
        <w:t>Puesta en funcionamiento de centros de excelencia para la refrigeración sostenible</w:t>
      </w:r>
    </w:p>
    <w:p w14:paraId="0CDF1732" w14:textId="77777777" w:rsidR="004101EE" w:rsidRPr="004101EE" w:rsidRDefault="004101EE" w:rsidP="004101EE">
      <w:pPr>
        <w:numPr>
          <w:ilvl w:val="0"/>
          <w:numId w:val="1"/>
        </w:numPr>
        <w:spacing w:after="240"/>
        <w:outlineLvl w:val="0"/>
        <w:rPr>
          <w:lang w:val="es-MX"/>
        </w:rPr>
      </w:pPr>
      <w:r w:rsidRPr="004101EE">
        <w:rPr>
          <w:lang w:val="es-MX"/>
        </w:rPr>
        <w:t>En la 97ª reunión, de conformidad con la decisión 95/87 e), el Comité Ejecutivo examinó un documento preparado por la Secretaría del Fondo sobre la puesta en funcionamiento de centros de excelencia para la refrigeración sostenible.</w:t>
      </w:r>
      <w:r w:rsidRPr="004101EE">
        <w:rPr>
          <w:vertAlign w:val="superscript"/>
          <w:lang w:val="es-MX" w:eastAsia="en-GB"/>
        </w:rPr>
        <w:footnoteReference w:id="4"/>
      </w:r>
      <w:r w:rsidRPr="004101EE">
        <w:rPr>
          <w:lang w:val="es-MX"/>
        </w:rPr>
        <w:t xml:space="preserve"> Tras las deliberaciones del grupo de contacto, el Comité Ejecutivo pidió a la Secretaría del Fondo y al Programa de Asistencia al Cumplimiento (PAC) del PNUMA que, a través de sus redes de dependencias nacionales del ozono y el proyecto de hermanamiento de eficiencia energética, facilitaran las consultas regionales o subregionales, incluso con los organismos </w:t>
      </w:r>
      <w:r w:rsidRPr="004101EE">
        <w:rPr>
          <w:lang w:val="es-MX"/>
        </w:rPr>
        <w:lastRenderedPageBreak/>
        <w:t>bilaterales y de ejecución interesados, a fin de recopilar información sobre: los centros de excelencia existentes que presten servicios en el sector de refrigeración, aire acondicionado y bombas de calor, incluidos los servicios concretos que presten, su modo de funcionamiento y financiación, si generan ingresos y, en caso afirmativo, de qué manera, y su potencial para actuar como centros temáticos regionales; y el interés de diversas subregiones en acoger un centro regional temático, incluidos los temas concretos de interés de la subregión y la posibilidad de que los gobiernos pertinentes o aplicables presten apoyo de contrapartida para el funcionamiento a largo plazo de los centros. El Comité pidió a la Secretaría del Fondo que preparara, para la 99ª reunión, una actualización del documento en estudio sobre los centros temáticos regionales, incluyendo información específica sobre los centros regionales pertinentes existentes y los países interesados en acogerlos, cualquier resultado de las consultas mencionadas y la información que había preparado la Secretaría del Ozono de conformidad con la decisión XXXVII/5 de la 37ª Reunión de las Partes, sobre las iniciativas nacionales y regionales para apoyar la aplicación de la Enmienda de Kigali al Protocolo de Montreal, si la hubiera, y las opciones para asegurar apoyo a largo plazo después de la terminación del proyecto, teniendo en cuenta las deliberaciones mantenidas en la 97ª reunión del Comité Ejecutivo (decisión 97/87).</w:t>
      </w:r>
    </w:p>
    <w:p w14:paraId="6589A238" w14:textId="77777777" w:rsidR="004101EE" w:rsidRPr="004101EE" w:rsidRDefault="004101EE" w:rsidP="004101EE">
      <w:pPr>
        <w:pStyle w:val="Heading2"/>
        <w:numPr>
          <w:ilvl w:val="0"/>
          <w:numId w:val="0"/>
        </w:numPr>
        <w:rPr>
          <w:b/>
          <w:bCs/>
          <w:lang w:val="es-MX"/>
        </w:rPr>
      </w:pPr>
      <w:r w:rsidRPr="004101EE">
        <w:rPr>
          <w:b/>
          <w:lang w:val="es-MX"/>
        </w:rPr>
        <w:t>b)</w:t>
      </w:r>
      <w:r w:rsidRPr="004101EE">
        <w:rPr>
          <w:b/>
          <w:lang w:val="es-MX"/>
        </w:rPr>
        <w:tab/>
        <w:t>Puesta en funcionamiento de centros de prueba de eficiencia energética</w:t>
      </w:r>
    </w:p>
    <w:p w14:paraId="6C211C00" w14:textId="77777777" w:rsidR="004101EE" w:rsidRPr="004101EE" w:rsidRDefault="004101EE" w:rsidP="004101EE">
      <w:pPr>
        <w:numPr>
          <w:ilvl w:val="0"/>
          <w:numId w:val="1"/>
        </w:numPr>
        <w:spacing w:after="240"/>
        <w:outlineLvl w:val="0"/>
        <w:rPr>
          <w:lang w:val="es-MX"/>
        </w:rPr>
      </w:pPr>
      <w:r w:rsidRPr="004101EE">
        <w:rPr>
          <w:lang w:val="es-MX"/>
        </w:rPr>
        <w:t>En la 97ª reunión, también en cumplimiento de la decisión 95/87 e), el Comité Ejecutivo examinó un documento sobre la puesta en funcionamiento de centros de prueba de eficiencia energética.</w:t>
      </w:r>
      <w:r w:rsidRPr="004101EE">
        <w:rPr>
          <w:vertAlign w:val="superscript"/>
          <w:lang w:val="es-MX" w:eastAsia="en-GB"/>
        </w:rPr>
        <w:footnoteReference w:id="5"/>
      </w:r>
      <w:r w:rsidRPr="004101EE">
        <w:rPr>
          <w:lang w:val="es-MX"/>
        </w:rPr>
        <w:t xml:space="preserve"> Tras debatir el asunto en el grupo de contacto sobre la puesta en funcionamiento de centros de excelencia para la refrigeración sostenible, el Comité Ejecutivo decidió considerar la posibilidad de proporcionar financiación para fortalecer o mejorar los centros de pruebas de eficiencia energética existentes en los países de fabricación, en el contexto de las propuestas formuladas o presentadas en virtud de la decisión 94/60, teniendo en cuenta la información proporcionada en el documento mencionado sobre el funcionamiento de los centros de pruebas de eficiencia energética. Pidió a la Secretaría del Fondo que preparara, para la 98ª reunión, un documento en el que se proporcione información adicional sobre la finalidad, el objetivo y la sostenibilidad de los nuevos centros de pruebas de eficiencia energética en países no fabricantes, identificando posiblemente una o más subregiones en las que se necesitarían tales centros para ayudar a los países que operan al amparo del Artículo 5 a cumplir las normas de eficiencia energética mínima elaboradas con apoyo del Fondo Multilateral (decisión 97/88).</w:t>
      </w:r>
    </w:p>
    <w:p w14:paraId="4D3C2E26" w14:textId="77777777" w:rsidR="004101EE" w:rsidRPr="004101EE" w:rsidRDefault="004101EE" w:rsidP="004101EE">
      <w:pPr>
        <w:numPr>
          <w:ilvl w:val="0"/>
          <w:numId w:val="1"/>
        </w:numPr>
        <w:spacing w:after="240"/>
        <w:outlineLvl w:val="0"/>
        <w:rPr>
          <w:highlight w:val="yellow"/>
          <w:lang w:val="es-MX"/>
        </w:rPr>
      </w:pPr>
      <w:r w:rsidRPr="004101EE">
        <w:rPr>
          <w:highlight w:val="yellow"/>
          <w:lang w:val="es-MX"/>
        </w:rPr>
        <w:t>[En la 98ª reunión,...]</w:t>
      </w:r>
    </w:p>
    <w:p w14:paraId="18C35547" w14:textId="77777777" w:rsidR="004101EE" w:rsidRPr="004101EE" w:rsidRDefault="004101EE" w:rsidP="004101EE">
      <w:pPr>
        <w:spacing w:after="240"/>
        <w:outlineLvl w:val="0"/>
        <w:rPr>
          <w:rFonts w:eastAsia="Times New Roman"/>
          <w:b/>
          <w:lang w:val="es-MX"/>
        </w:rPr>
      </w:pPr>
      <w:r w:rsidRPr="004101EE">
        <w:rPr>
          <w:b/>
          <w:lang w:val="es-MX"/>
        </w:rPr>
        <w:t>3.</w:t>
      </w:r>
      <w:r w:rsidRPr="004101EE">
        <w:rPr>
          <w:b/>
          <w:lang w:val="es-MX"/>
        </w:rPr>
        <w:tab/>
        <w:t>Consideración del establecimiento de una ventana de financiación de conformidad con la decisión XXXV/11 de la 35ª Reunión de las Partes sobre la gestión del refrigerante durante el ciclo de vida</w:t>
      </w:r>
    </w:p>
    <w:p w14:paraId="18AB46BC" w14:textId="77777777" w:rsidR="004101EE" w:rsidRPr="004101EE" w:rsidRDefault="004101EE" w:rsidP="004101EE">
      <w:pPr>
        <w:numPr>
          <w:ilvl w:val="0"/>
          <w:numId w:val="1"/>
        </w:numPr>
        <w:spacing w:after="240"/>
        <w:outlineLvl w:val="0"/>
        <w:rPr>
          <w:lang w:val="es-MX"/>
        </w:rPr>
      </w:pPr>
      <w:r w:rsidRPr="004101EE">
        <w:rPr>
          <w:lang w:val="es-MX"/>
        </w:rPr>
        <w:t>En su 97ª reunión, el Comité Ejecutivo examinó un informe preparado de conformidad con la decisión 93/104 sobre la gestión del ciclo de vida de los refrigerantes con miras a considerar el establecimiento de una ventana de financiación de conformidad con la decisión XXXV/11.</w:t>
      </w:r>
      <w:r w:rsidRPr="004101EE">
        <w:rPr>
          <w:vertAlign w:val="superscript"/>
          <w:lang w:val="es-MX"/>
        </w:rPr>
        <w:footnoteReference w:id="6"/>
      </w:r>
      <w:r w:rsidRPr="004101EE">
        <w:rPr>
          <w:lang w:val="es-MX"/>
        </w:rPr>
        <w:t xml:space="preserve"> Tras las deliberaciones de un grupo de contacto, el Comité decidió alentar a los organismos bilaterales y de ejecución a que intensificaran sus esfuerzos para ayudar a los países que operan al amparo del Artículo 5 a finalizar los proyectos previstos en la decisión 91/66 tan pronto como fuera posible y a presentar los informes finales y una copia de los inventarios nacionales y los planes de acción nacionales resultantes. Se pidió a la Secretaría del Fondo que actualizara, para la 99ª reunión, la información contenida en el informe preparado de conformidad con la decisión 93/104 a la luz de los proyectos de inventarios y planes nacionales terminados y otra información pertinente, inclusive sobre el movimiento de sustancias controladas para su destrucción o regeneración. También se pidió que preparara, para la 100ª reunión, un documento sobre modalidades de financiación, que incluyera elementos para un proyecto de directrices </w:t>
      </w:r>
      <w:r w:rsidRPr="004101EE">
        <w:rPr>
          <w:lang w:val="es-MX"/>
        </w:rPr>
        <w:lastRenderedPageBreak/>
        <w:t>sobre costos para aplicar los planes elaborados de conformidad con la decisión 91/66, con miras a que el Comité considerara el establecimiento de una ventana de financiación de conformidad con la decisión XXXV/11, teniendo en cuenta la información proporcionada en el informe actualizado y las opiniones expresadas por el Comité Ejecutivo sobre dicho informe (decisión 97/89).</w:t>
      </w:r>
    </w:p>
    <w:p w14:paraId="7DC547C6" w14:textId="77777777" w:rsidR="004101EE" w:rsidRPr="004101EE" w:rsidRDefault="004101EE" w:rsidP="004101EE">
      <w:pPr>
        <w:numPr>
          <w:ilvl w:val="0"/>
          <w:numId w:val="1"/>
        </w:numPr>
        <w:spacing w:after="240"/>
        <w:outlineLvl w:val="0"/>
        <w:rPr>
          <w:lang w:val="es-MX"/>
        </w:rPr>
      </w:pPr>
      <w:r w:rsidRPr="004101EE">
        <w:rPr>
          <w:lang w:val="es-MX"/>
        </w:rPr>
        <w:t>En su 97ª reunión, el Comité Ejecutivo también examinó la posibilidad de ampliar la ventana de financiación, establecida en la decisión 91/66, para la preparación de inventarios nacionales de bancos de sustancias controladas usadas o no deseadas y de un plan para la recolección, transporte y eliminación de dichas sustancias.</w:t>
      </w:r>
      <w:r w:rsidRPr="004101EE">
        <w:rPr>
          <w:vertAlign w:val="superscript"/>
          <w:lang w:val="es-MX" w:eastAsia="en-GB"/>
        </w:rPr>
        <w:footnoteReference w:id="7"/>
      </w:r>
      <w:r w:rsidRPr="004101EE">
        <w:rPr>
          <w:lang w:val="es-MX"/>
        </w:rPr>
        <w:t xml:space="preserve"> Tras deliberaciones en el pleno y consultas informales, el Comité Ejecutivo decidió no prorrogar la ventana de financiación (decisión 97/31).</w:t>
      </w:r>
    </w:p>
    <w:p w14:paraId="145F80F3" w14:textId="77777777" w:rsidR="004101EE" w:rsidRPr="004101EE" w:rsidRDefault="004101EE" w:rsidP="004101EE">
      <w:pPr>
        <w:spacing w:after="240"/>
        <w:outlineLvl w:val="0"/>
        <w:rPr>
          <w:rFonts w:eastAsia="Times New Roman"/>
          <w:b/>
          <w:lang w:val="es-MX"/>
        </w:rPr>
      </w:pPr>
      <w:r w:rsidRPr="004101EE">
        <w:rPr>
          <w:b/>
          <w:lang w:val="es-MX"/>
        </w:rPr>
        <w:t>4.</w:t>
      </w:r>
      <w:r w:rsidRPr="004101EE">
        <w:rPr>
          <w:b/>
          <w:lang w:val="es-MX"/>
        </w:rPr>
        <w:tab/>
        <w:t>Metodología utilizada para calcular el impacto climático de la ejecución de los planes de aplicación de la Enmienda de Kigali relativa a los HFC</w:t>
      </w:r>
    </w:p>
    <w:p w14:paraId="2EE2B43C" w14:textId="77777777" w:rsidR="004101EE" w:rsidRPr="004101EE" w:rsidRDefault="004101EE" w:rsidP="004101EE">
      <w:pPr>
        <w:pStyle w:val="Heading1"/>
        <w:rPr>
          <w:lang w:val="es-MX"/>
        </w:rPr>
      </w:pPr>
      <w:r w:rsidRPr="004101EE">
        <w:rPr>
          <w:lang w:val="es-MX"/>
        </w:rPr>
        <w:t>En su 97ª reunión, el Comité Ejecutivo discutió la metodología utilizada para calcular el impacto climático de la ejecución de los planes de aplicación de la Enmienda de Kigali relativa a los HFC (KIP).</w:t>
      </w:r>
      <w:r w:rsidRPr="004101EE">
        <w:rPr>
          <w:rStyle w:val="FootnoteReference"/>
          <w:lang w:val="es-MX"/>
        </w:rPr>
        <w:footnoteReference w:id="8"/>
      </w:r>
    </w:p>
    <w:p w14:paraId="4A291FFD" w14:textId="77777777" w:rsidR="004101EE" w:rsidRPr="004101EE" w:rsidRDefault="004101EE" w:rsidP="004101EE">
      <w:pPr>
        <w:pStyle w:val="Heading1"/>
        <w:rPr>
          <w:lang w:val="es-MX"/>
        </w:rPr>
      </w:pPr>
      <w:r w:rsidRPr="004101EE">
        <w:rPr>
          <w:lang w:val="es-MX"/>
        </w:rPr>
        <w:t>Tras las deliberaciones en el pleno y en un grupo de contacto, el Comité Ejecutivo acordó continuar, en su 98ª reunión, el examen de la cuestión de la metodología utilizada para calcular el impacto climático de la ejecución de los KIP, utilizando los documentos de trabajo anexos al informe de la 97ª reunión.</w:t>
      </w:r>
      <w:r w:rsidRPr="004101EE">
        <w:rPr>
          <w:rStyle w:val="FootnoteReference"/>
          <w:lang w:val="es-MX"/>
        </w:rPr>
        <w:footnoteReference w:id="9"/>
      </w:r>
    </w:p>
    <w:p w14:paraId="26BCFD9C" w14:textId="77777777" w:rsidR="004101EE" w:rsidRPr="004101EE" w:rsidRDefault="004101EE" w:rsidP="004101EE">
      <w:pPr>
        <w:numPr>
          <w:ilvl w:val="0"/>
          <w:numId w:val="1"/>
        </w:numPr>
        <w:spacing w:after="240"/>
        <w:outlineLvl w:val="0"/>
        <w:rPr>
          <w:highlight w:val="yellow"/>
          <w:lang w:val="es-MX"/>
        </w:rPr>
      </w:pPr>
      <w:r w:rsidRPr="004101EE">
        <w:rPr>
          <w:highlight w:val="yellow"/>
          <w:lang w:val="es-MX"/>
        </w:rPr>
        <w:t>[En la 98ª reunión,...]</w:t>
      </w:r>
    </w:p>
    <w:p w14:paraId="3B5A1533" w14:textId="77777777" w:rsidR="004101EE" w:rsidRPr="004101EE" w:rsidRDefault="004101EE" w:rsidP="004101EE">
      <w:pPr>
        <w:keepNext/>
        <w:spacing w:after="240"/>
        <w:jc w:val="left"/>
        <w:outlineLvl w:val="1"/>
        <w:rPr>
          <w:b/>
          <w:sz w:val="24"/>
          <w:szCs w:val="24"/>
          <w:lang w:val="es-MX"/>
        </w:rPr>
      </w:pPr>
      <w:r w:rsidRPr="004101EE">
        <w:rPr>
          <w:b/>
          <w:sz w:val="24"/>
          <w:lang w:val="es-MX"/>
        </w:rPr>
        <w:t>B.</w:t>
      </w:r>
      <w:r w:rsidRPr="004101EE">
        <w:rPr>
          <w:b/>
          <w:sz w:val="24"/>
          <w:lang w:val="es-MX"/>
        </w:rPr>
        <w:tab/>
        <w:t>Demás cuestiones sobre políticas</w:t>
      </w:r>
    </w:p>
    <w:p w14:paraId="09EC22F7" w14:textId="77777777" w:rsidR="004101EE" w:rsidRPr="004101EE" w:rsidRDefault="004101EE" w:rsidP="004101EE">
      <w:pPr>
        <w:keepNext/>
        <w:spacing w:before="240" w:after="240"/>
        <w:outlineLvl w:val="0"/>
        <w:rPr>
          <w:b/>
          <w:bCs/>
          <w:lang w:val="es-MX"/>
        </w:rPr>
      </w:pPr>
      <w:r w:rsidRPr="004101EE">
        <w:rPr>
          <w:b/>
          <w:lang w:val="es-MX"/>
        </w:rPr>
        <w:t>1.</w:t>
      </w:r>
      <w:r w:rsidRPr="004101EE">
        <w:rPr>
          <w:b/>
          <w:lang w:val="es-MX"/>
        </w:rPr>
        <w:tab/>
        <w:t>Evaluación de la posibilidad de integrar la presentación de informes de terminación de proyectos e informes finales detallados de los proyectos</w:t>
      </w:r>
    </w:p>
    <w:p w14:paraId="4306249D" w14:textId="77777777" w:rsidR="004101EE" w:rsidRPr="004101EE" w:rsidRDefault="004101EE" w:rsidP="004101EE">
      <w:pPr>
        <w:pStyle w:val="Heading1"/>
        <w:rPr>
          <w:lang w:val="es-MX"/>
        </w:rPr>
      </w:pPr>
      <w:r w:rsidRPr="004101EE">
        <w:rPr>
          <w:lang w:val="es-MX"/>
        </w:rPr>
        <w:t>En la 97ª reunión, de conformidad con la decisión 95/91 e), el Comité Ejecutivo examinó la posibilidad de integrar la presentación de informes mediante informes de terminación de proyectos e informes finales detallados de los proyectos.</w:t>
      </w:r>
      <w:r w:rsidRPr="004101EE">
        <w:rPr>
          <w:vertAlign w:val="superscript"/>
          <w:lang w:val="es-MX"/>
        </w:rPr>
        <w:footnoteReference w:id="10"/>
      </w:r>
      <w:r w:rsidRPr="004101EE">
        <w:rPr>
          <w:lang w:val="es-MX"/>
        </w:rPr>
        <w:t xml:space="preserve"> Decidió continuar con la práctica actual de presentación de informes finales por parte de los organismos bilaterales y de ejecución para diferentes tipos de proyectos, excepto para proyectos individuales de demostración o piloto, como se refleja en el cuadro 1, sobre los requisitos de presentación de informes finales por tipo de proyecto, del documento UNEP/OzL.Pro/ExCom/97/88. Para los proyectos de demostración o piloto, en los que se requería un informe final detallado, pidió a la Secretaría del Fondo que, al elaborar el formato de los informes finales, lo alineara con el formato universal para los informes de terminación de proyectos, cuando correspondiera, observando que ya no se requeriría la presentación por separado de un informe de terminación de proyecto para ese tipo de proyectos (decisión 97/90).</w:t>
      </w:r>
    </w:p>
    <w:p w14:paraId="5DB76E6E" w14:textId="77777777" w:rsidR="004101EE" w:rsidRPr="004101EE" w:rsidRDefault="004101EE" w:rsidP="004101EE">
      <w:pPr>
        <w:keepNext/>
        <w:spacing w:before="240" w:after="240"/>
        <w:outlineLvl w:val="0"/>
        <w:rPr>
          <w:b/>
          <w:bCs/>
          <w:lang w:val="es-MX"/>
        </w:rPr>
      </w:pPr>
      <w:r w:rsidRPr="004101EE">
        <w:rPr>
          <w:b/>
          <w:lang w:val="es-MX"/>
        </w:rPr>
        <w:t>2.</w:t>
      </w:r>
      <w:r w:rsidRPr="004101EE">
        <w:rPr>
          <w:b/>
          <w:lang w:val="es-MX"/>
        </w:rPr>
        <w:tab/>
        <w:t>Informe intermedio sobre la marcha de las actividades relativo a la aplicación del marco de resultados</w:t>
      </w:r>
    </w:p>
    <w:p w14:paraId="6114522B" w14:textId="77777777" w:rsidR="004101EE" w:rsidRPr="004101EE" w:rsidRDefault="004101EE" w:rsidP="004101EE">
      <w:pPr>
        <w:pStyle w:val="Heading1"/>
        <w:rPr>
          <w:lang w:val="es-MX"/>
        </w:rPr>
      </w:pPr>
      <w:r w:rsidRPr="004101EE">
        <w:rPr>
          <w:lang w:val="es-MX"/>
        </w:rPr>
        <w:t>En la 97ª reunión, el Comité Ejecutivo examinó, de conformidad con la decisión 93/97 c), y tomó nota de un informe intermedio sobre la marcha de las actividades relativo a la aplicación del marco de resultados.</w:t>
      </w:r>
      <w:r w:rsidRPr="004101EE">
        <w:rPr>
          <w:rStyle w:val="FootnoteReference"/>
          <w:lang w:val="es-MX"/>
        </w:rPr>
        <w:footnoteReference w:id="11"/>
      </w:r>
    </w:p>
    <w:p w14:paraId="63A11E26" w14:textId="77777777" w:rsidR="004101EE" w:rsidRPr="004101EE" w:rsidRDefault="004101EE" w:rsidP="004101EE">
      <w:pPr>
        <w:keepNext/>
        <w:spacing w:before="240" w:after="240"/>
        <w:outlineLvl w:val="0"/>
        <w:rPr>
          <w:b/>
          <w:bCs/>
          <w:lang w:val="es-MX"/>
        </w:rPr>
      </w:pPr>
      <w:r w:rsidRPr="004101EE">
        <w:rPr>
          <w:b/>
          <w:lang w:val="es-MX"/>
        </w:rPr>
        <w:lastRenderedPageBreak/>
        <w:t>3.</w:t>
      </w:r>
      <w:r w:rsidRPr="004101EE">
        <w:rPr>
          <w:b/>
          <w:lang w:val="es-MX"/>
        </w:rPr>
        <w:tab/>
        <w:t>Subgrupo sobre el sector de producción</w:t>
      </w:r>
    </w:p>
    <w:p w14:paraId="370E928A" w14:textId="77777777" w:rsidR="004101EE" w:rsidRPr="004101EE" w:rsidRDefault="004101EE" w:rsidP="004101EE">
      <w:pPr>
        <w:pStyle w:val="Heading1"/>
        <w:rPr>
          <w:lang w:val="es-MX"/>
        </w:rPr>
      </w:pPr>
      <w:r w:rsidRPr="004101EE">
        <w:rPr>
          <w:lang w:val="es-MX"/>
        </w:rPr>
        <w:t xml:space="preserve">El Subgrupo sobre el sector de producción se reunió paralelamente a la 97ª reunión </w:t>
      </w:r>
      <w:r w:rsidRPr="004101EE">
        <w:rPr>
          <w:highlight w:val="yellow"/>
          <w:lang w:val="es-MX"/>
        </w:rPr>
        <w:t>[y a la 98ª reunión],</w:t>
      </w:r>
      <w:r w:rsidRPr="004101EE">
        <w:rPr>
          <w:lang w:val="es-MX"/>
        </w:rPr>
        <w:t xml:space="preserve"> y redactó un informe para su examen en cada reunión.</w:t>
      </w:r>
      <w:r w:rsidRPr="004101EE">
        <w:rPr>
          <w:vertAlign w:val="superscript"/>
          <w:lang w:val="es-MX"/>
        </w:rPr>
        <w:footnoteReference w:id="12"/>
      </w:r>
      <w:r w:rsidRPr="004101EE">
        <w:rPr>
          <w:lang w:val="es-MX"/>
        </w:rPr>
        <w:t xml:space="preserve"> </w:t>
      </w:r>
    </w:p>
    <w:p w14:paraId="45187FD7" w14:textId="77777777" w:rsidR="004101EE" w:rsidRPr="004101EE" w:rsidRDefault="004101EE" w:rsidP="004101EE">
      <w:pPr>
        <w:pStyle w:val="Heading1"/>
        <w:rPr>
          <w:lang w:val="es-MX"/>
        </w:rPr>
      </w:pPr>
      <w:r w:rsidRPr="004101EE">
        <w:rPr>
          <w:lang w:val="es-MX"/>
        </w:rPr>
        <w:t>En la 97ª reunión, el Comité Ejecutivo tomó nota del informe de verificación para 2024 del sector de producción de HCFC en China considerado por el Subgrupo sobre el sector de producción. El Comité pidió al Banco Mundial que incluyera varios elementos en la verificación de la producción de HCFC de 2025, y que verificara, de forma excepcional, varias líneas de producción instaladas recientemente y presentara informes al respecto en futuras reuniones. El Comité Ejecutivo, a través del Subgrupo, seguiría examinando la cuestión de los HCFC en los residuos de alto punto de ebullición en la 98ª reunión (decisión 97/91).</w:t>
      </w:r>
    </w:p>
    <w:p w14:paraId="57ED2E6D" w14:textId="77777777" w:rsidR="004101EE" w:rsidRPr="004101EE" w:rsidRDefault="004101EE" w:rsidP="004101EE">
      <w:pPr>
        <w:numPr>
          <w:ilvl w:val="0"/>
          <w:numId w:val="1"/>
        </w:numPr>
        <w:spacing w:after="240"/>
        <w:outlineLvl w:val="0"/>
        <w:rPr>
          <w:highlight w:val="yellow"/>
          <w:lang w:val="es-MX"/>
        </w:rPr>
      </w:pPr>
      <w:r w:rsidRPr="004101EE">
        <w:rPr>
          <w:highlight w:val="yellow"/>
          <w:lang w:val="es-MX"/>
        </w:rPr>
        <w:t>[En la 98ª reunión,...]</w:t>
      </w:r>
    </w:p>
    <w:p w14:paraId="411AE4D6" w14:textId="77777777" w:rsidR="004101EE" w:rsidRPr="004101EE" w:rsidRDefault="004101EE" w:rsidP="004101EE">
      <w:pPr>
        <w:keepNext/>
        <w:spacing w:after="240"/>
        <w:jc w:val="left"/>
        <w:outlineLvl w:val="1"/>
        <w:rPr>
          <w:b/>
          <w:sz w:val="24"/>
          <w:szCs w:val="24"/>
          <w:lang w:val="es-MX"/>
        </w:rPr>
      </w:pPr>
      <w:r w:rsidRPr="004101EE">
        <w:rPr>
          <w:b/>
          <w:sz w:val="24"/>
          <w:lang w:val="es-MX"/>
        </w:rPr>
        <w:t>C.</w:t>
      </w:r>
      <w:r w:rsidRPr="004101EE">
        <w:rPr>
          <w:b/>
          <w:sz w:val="24"/>
          <w:lang w:val="es-MX"/>
        </w:rPr>
        <w:tab/>
        <w:t>Proyectos, ejecución y supervisión</w:t>
      </w:r>
    </w:p>
    <w:p w14:paraId="3FC9CC65" w14:textId="77777777" w:rsidR="004101EE" w:rsidRPr="004101EE" w:rsidRDefault="004101EE" w:rsidP="004101EE">
      <w:pPr>
        <w:spacing w:after="240"/>
        <w:ind w:left="720" w:hanging="720"/>
        <w:outlineLvl w:val="0"/>
        <w:rPr>
          <w:b/>
          <w:sz w:val="20"/>
          <w:szCs w:val="20"/>
          <w:lang w:val="es-MX"/>
        </w:rPr>
      </w:pPr>
      <w:r w:rsidRPr="004101EE">
        <w:rPr>
          <w:b/>
          <w:lang w:val="es-MX"/>
        </w:rPr>
        <w:t>1.</w:t>
      </w:r>
      <w:r w:rsidRPr="004101EE">
        <w:rPr>
          <w:b/>
          <w:lang w:val="es-MX"/>
        </w:rPr>
        <w:tab/>
        <w:t>Aprobaciones realizadas durante el período de referencia</w:t>
      </w:r>
    </w:p>
    <w:p w14:paraId="3BB312B0" w14:textId="77777777" w:rsidR="004101EE" w:rsidRPr="004101EE" w:rsidRDefault="004101EE" w:rsidP="004101EE">
      <w:pPr>
        <w:pStyle w:val="Heading1"/>
        <w:tabs>
          <w:tab w:val="clear" w:pos="0"/>
          <w:tab w:val="num" w:pos="792"/>
        </w:tabs>
        <w:rPr>
          <w:lang w:val="es-MX"/>
        </w:rPr>
      </w:pPr>
      <w:r w:rsidRPr="004101EE">
        <w:rPr>
          <w:lang w:val="es-MX"/>
        </w:rPr>
        <w:t xml:space="preserve">Durante el período que abarca el informe, el Comité Ejecutivo aprobó un total de </w:t>
      </w:r>
      <w:r w:rsidRPr="004101EE">
        <w:rPr>
          <w:highlight w:val="yellow"/>
          <w:lang w:val="es-MX"/>
        </w:rPr>
        <w:t>??</w:t>
      </w:r>
      <w:r w:rsidRPr="004101EE">
        <w:rPr>
          <w:lang w:val="es-MX"/>
        </w:rPr>
        <w:t xml:space="preserve"> proyectos y actividades adicionales, con una eliminación prevista de </w:t>
      </w:r>
      <w:r w:rsidRPr="004101EE">
        <w:rPr>
          <w:highlight w:val="yellow"/>
          <w:lang w:val="es-MX"/>
        </w:rPr>
        <w:t>??</w:t>
      </w:r>
      <w:r w:rsidRPr="004101EE">
        <w:rPr>
          <w:lang w:val="es-MX"/>
        </w:rPr>
        <w:t xml:space="preserve"> toneladas PAO de producción y consumo de HCFC y </w:t>
      </w:r>
      <w:r w:rsidRPr="004101EE">
        <w:rPr>
          <w:highlight w:val="yellow"/>
          <w:lang w:val="es-MX"/>
        </w:rPr>
        <w:t>??</w:t>
      </w:r>
      <w:r w:rsidRPr="004101EE">
        <w:rPr>
          <w:lang w:val="es-MX"/>
        </w:rPr>
        <w:t> toneladas (</w:t>
      </w:r>
      <w:r w:rsidRPr="004101EE">
        <w:rPr>
          <w:highlight w:val="yellow"/>
          <w:lang w:val="es-MX"/>
        </w:rPr>
        <w:t>??</w:t>
      </w:r>
      <w:r w:rsidRPr="004101EE">
        <w:rPr>
          <w:lang w:val="es-MX"/>
        </w:rPr>
        <w:t xml:space="preserve"> toneladas equivalentes de dióxido de carbono) de consumo de HFC, por un monto total de USD </w:t>
      </w:r>
      <w:r w:rsidRPr="004101EE">
        <w:rPr>
          <w:highlight w:val="yellow"/>
          <w:lang w:val="es-MX"/>
        </w:rPr>
        <w:t>??</w:t>
      </w:r>
      <w:r w:rsidRPr="004101EE">
        <w:rPr>
          <w:lang w:val="es-MX"/>
        </w:rPr>
        <w:t>, incluidos USD </w:t>
      </w:r>
      <w:r w:rsidRPr="004101EE">
        <w:rPr>
          <w:highlight w:val="yellow"/>
          <w:lang w:val="es-MX"/>
        </w:rPr>
        <w:t>??</w:t>
      </w:r>
      <w:r w:rsidRPr="004101EE">
        <w:rPr>
          <w:lang w:val="es-MX"/>
        </w:rPr>
        <w:t xml:space="preserve"> en gastos de apoyo a los organismos, como se indica en el cuadro 1 a continuación.</w:t>
      </w:r>
    </w:p>
    <w:p w14:paraId="5FE0B52A" w14:textId="77777777" w:rsidR="004101EE" w:rsidRPr="004101EE" w:rsidRDefault="004101EE" w:rsidP="004101EE">
      <w:pPr>
        <w:keepNext/>
        <w:rPr>
          <w:lang w:val="es-MX"/>
        </w:rPr>
      </w:pPr>
      <w:r w:rsidRPr="004101EE">
        <w:rPr>
          <w:lang w:val="es-MX"/>
        </w:rPr>
        <w:t>Cuadro 1</w:t>
      </w:r>
    </w:p>
    <w:p w14:paraId="4A92F42F" w14:textId="77777777" w:rsidR="004101EE" w:rsidRPr="004101EE" w:rsidRDefault="004101EE" w:rsidP="004101EE">
      <w:pPr>
        <w:keepNext/>
        <w:rPr>
          <w:b/>
          <w:bCs/>
          <w:lang w:val="es-MX"/>
        </w:rPr>
      </w:pPr>
      <w:r w:rsidRPr="004101EE">
        <w:rPr>
          <w:b/>
          <w:lang w:val="es-MX"/>
        </w:rPr>
        <w:t>Fondos aprobados durante el período de referencia, por organismo</w:t>
      </w:r>
    </w:p>
    <w:tbl>
      <w:tblPr>
        <w:tblW w:w="498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2"/>
        <w:gridCol w:w="2373"/>
        <w:gridCol w:w="3344"/>
        <w:gridCol w:w="1449"/>
      </w:tblGrid>
      <w:tr w:rsidR="004101EE" w:rsidRPr="004101EE" w14:paraId="34E1D0BB" w14:textId="77777777" w:rsidTr="00B54D92">
        <w:trPr>
          <w:trHeight w:val="179"/>
        </w:trPr>
        <w:tc>
          <w:tcPr>
            <w:tcW w:w="1280" w:type="pct"/>
            <w:noWrap/>
            <w:hideMark/>
          </w:tcPr>
          <w:p w14:paraId="02AE8672" w14:textId="77777777" w:rsidR="004101EE" w:rsidRPr="004101EE" w:rsidRDefault="004101EE" w:rsidP="00B54D92">
            <w:pPr>
              <w:keepNext/>
              <w:jc w:val="center"/>
              <w:rPr>
                <w:rFonts w:asciiTheme="majorBidi" w:hAnsiTheme="majorBidi" w:cstheme="majorBidi"/>
                <w:b/>
                <w:bCs/>
                <w:color w:val="000000"/>
                <w:sz w:val="20"/>
                <w:szCs w:val="20"/>
                <w:lang w:val="es-MX"/>
              </w:rPr>
            </w:pPr>
            <w:r w:rsidRPr="004101EE">
              <w:rPr>
                <w:rFonts w:asciiTheme="majorBidi" w:hAnsiTheme="majorBidi"/>
                <w:b/>
                <w:color w:val="000000"/>
                <w:sz w:val="20"/>
                <w:lang w:val="es-MX"/>
              </w:rPr>
              <w:t>Organismo</w:t>
            </w:r>
          </w:p>
        </w:tc>
        <w:tc>
          <w:tcPr>
            <w:tcW w:w="1279" w:type="pct"/>
            <w:noWrap/>
            <w:hideMark/>
          </w:tcPr>
          <w:p w14:paraId="7C686EF2" w14:textId="77777777" w:rsidR="004101EE" w:rsidRPr="004101EE" w:rsidRDefault="004101EE" w:rsidP="00B54D92">
            <w:pPr>
              <w:keepNext/>
              <w:jc w:val="center"/>
              <w:rPr>
                <w:rFonts w:asciiTheme="majorBidi" w:hAnsiTheme="majorBidi" w:cstheme="majorBidi"/>
                <w:b/>
                <w:bCs/>
                <w:color w:val="000000"/>
                <w:sz w:val="20"/>
                <w:szCs w:val="20"/>
                <w:lang w:val="es-MX"/>
              </w:rPr>
            </w:pPr>
            <w:r w:rsidRPr="004101EE">
              <w:rPr>
                <w:rFonts w:asciiTheme="majorBidi" w:hAnsiTheme="majorBidi"/>
                <w:b/>
                <w:color w:val="000000"/>
                <w:sz w:val="20"/>
                <w:lang w:val="es-MX"/>
              </w:rPr>
              <w:t>Fondos aprobados (USD)</w:t>
            </w:r>
          </w:p>
        </w:tc>
        <w:tc>
          <w:tcPr>
            <w:tcW w:w="1430" w:type="pct"/>
            <w:noWrap/>
            <w:hideMark/>
          </w:tcPr>
          <w:p w14:paraId="4D752836" w14:textId="77777777" w:rsidR="004101EE" w:rsidRPr="004101EE" w:rsidRDefault="004101EE" w:rsidP="00B54D92">
            <w:pPr>
              <w:keepNext/>
              <w:jc w:val="center"/>
              <w:rPr>
                <w:rFonts w:asciiTheme="majorBidi" w:hAnsiTheme="majorBidi" w:cstheme="majorBidi"/>
                <w:b/>
                <w:bCs/>
                <w:color w:val="000000"/>
                <w:sz w:val="20"/>
                <w:szCs w:val="20"/>
                <w:lang w:val="es-MX"/>
              </w:rPr>
            </w:pPr>
            <w:r w:rsidRPr="004101EE">
              <w:rPr>
                <w:rFonts w:asciiTheme="majorBidi" w:hAnsiTheme="majorBidi"/>
                <w:b/>
                <w:color w:val="000000"/>
                <w:sz w:val="20"/>
                <w:lang w:val="es-MX"/>
              </w:rPr>
              <w:t>Gastos de apoyo al organismo (USD)</w:t>
            </w:r>
          </w:p>
        </w:tc>
        <w:tc>
          <w:tcPr>
            <w:tcW w:w="1011" w:type="pct"/>
            <w:hideMark/>
          </w:tcPr>
          <w:p w14:paraId="2294788F" w14:textId="77777777" w:rsidR="004101EE" w:rsidRPr="004101EE" w:rsidRDefault="004101EE" w:rsidP="00B54D92">
            <w:pPr>
              <w:keepNext/>
              <w:jc w:val="center"/>
              <w:rPr>
                <w:rFonts w:asciiTheme="majorBidi" w:hAnsiTheme="majorBidi" w:cstheme="majorBidi"/>
                <w:b/>
                <w:bCs/>
                <w:color w:val="000000"/>
                <w:sz w:val="20"/>
                <w:szCs w:val="20"/>
                <w:lang w:val="es-MX"/>
              </w:rPr>
            </w:pPr>
            <w:r w:rsidRPr="004101EE">
              <w:rPr>
                <w:rFonts w:asciiTheme="majorBidi" w:hAnsiTheme="majorBidi"/>
                <w:b/>
                <w:color w:val="000000"/>
                <w:sz w:val="20"/>
                <w:lang w:val="es-MX"/>
              </w:rPr>
              <w:t>Total (USD)</w:t>
            </w:r>
          </w:p>
        </w:tc>
      </w:tr>
      <w:tr w:rsidR="004101EE" w:rsidRPr="004101EE" w14:paraId="3FD4D2B0" w14:textId="77777777" w:rsidTr="00B54D92">
        <w:trPr>
          <w:trHeight w:val="95"/>
        </w:trPr>
        <w:tc>
          <w:tcPr>
            <w:tcW w:w="1280" w:type="pct"/>
            <w:noWrap/>
            <w:hideMark/>
          </w:tcPr>
          <w:p w14:paraId="5611540C" w14:textId="77777777" w:rsidR="004101EE" w:rsidRPr="004101EE" w:rsidRDefault="004101EE" w:rsidP="00B54D92">
            <w:pPr>
              <w:keepNext/>
              <w:jc w:val="left"/>
              <w:rPr>
                <w:rFonts w:asciiTheme="majorBidi" w:hAnsiTheme="majorBidi" w:cstheme="majorBidi"/>
                <w:color w:val="000000"/>
                <w:sz w:val="20"/>
                <w:szCs w:val="20"/>
                <w:lang w:val="es-MX"/>
              </w:rPr>
            </w:pPr>
            <w:r w:rsidRPr="004101EE">
              <w:rPr>
                <w:rFonts w:asciiTheme="majorBidi" w:hAnsiTheme="majorBidi"/>
                <w:color w:val="000000"/>
                <w:sz w:val="20"/>
                <w:lang w:val="es-MX"/>
              </w:rPr>
              <w:t>Bilateral</w:t>
            </w:r>
          </w:p>
        </w:tc>
        <w:tc>
          <w:tcPr>
            <w:tcW w:w="1279" w:type="pct"/>
            <w:noWrap/>
            <w:hideMark/>
          </w:tcPr>
          <w:p w14:paraId="71D24073" w14:textId="77777777" w:rsidR="004101EE" w:rsidRPr="004101EE" w:rsidRDefault="004101EE" w:rsidP="00B54D92">
            <w:pPr>
              <w:keepNext/>
              <w:jc w:val="right"/>
              <w:rPr>
                <w:rFonts w:asciiTheme="majorBidi" w:hAnsiTheme="majorBidi" w:cstheme="majorBidi"/>
                <w:i/>
                <w:iCs/>
                <w:color w:val="000000"/>
                <w:sz w:val="20"/>
                <w:szCs w:val="20"/>
                <w:highlight w:val="yellow"/>
                <w:lang w:val="es-MX"/>
              </w:rPr>
            </w:pPr>
            <w:r w:rsidRPr="004101EE">
              <w:rPr>
                <w:i/>
                <w:sz w:val="18"/>
                <w:highlight w:val="yellow"/>
                <w:lang w:val="es-MX"/>
              </w:rPr>
              <w:t>??</w:t>
            </w:r>
          </w:p>
        </w:tc>
        <w:tc>
          <w:tcPr>
            <w:tcW w:w="1430" w:type="pct"/>
            <w:noWrap/>
            <w:hideMark/>
          </w:tcPr>
          <w:p w14:paraId="29FF71CB"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c>
          <w:tcPr>
            <w:tcW w:w="1011" w:type="pct"/>
            <w:noWrap/>
            <w:hideMark/>
          </w:tcPr>
          <w:p w14:paraId="47BD2F85"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r>
      <w:tr w:rsidR="004101EE" w:rsidRPr="004101EE" w14:paraId="6E68B0C1" w14:textId="77777777" w:rsidTr="00B54D92">
        <w:trPr>
          <w:trHeight w:val="170"/>
        </w:trPr>
        <w:tc>
          <w:tcPr>
            <w:tcW w:w="1280" w:type="pct"/>
            <w:noWrap/>
            <w:hideMark/>
          </w:tcPr>
          <w:p w14:paraId="62A38DD1" w14:textId="77777777" w:rsidR="004101EE" w:rsidRPr="004101EE" w:rsidRDefault="004101EE" w:rsidP="00B54D92">
            <w:pPr>
              <w:keepNext/>
              <w:jc w:val="left"/>
              <w:rPr>
                <w:rFonts w:asciiTheme="majorBidi" w:hAnsiTheme="majorBidi" w:cstheme="majorBidi"/>
                <w:color w:val="000000"/>
                <w:sz w:val="20"/>
                <w:szCs w:val="20"/>
                <w:lang w:val="es-MX"/>
              </w:rPr>
            </w:pPr>
            <w:r w:rsidRPr="004101EE">
              <w:rPr>
                <w:rFonts w:asciiTheme="majorBidi" w:hAnsiTheme="majorBidi"/>
                <w:color w:val="000000"/>
                <w:sz w:val="20"/>
                <w:lang w:val="es-MX"/>
              </w:rPr>
              <w:t>PNUD</w:t>
            </w:r>
          </w:p>
        </w:tc>
        <w:tc>
          <w:tcPr>
            <w:tcW w:w="1279" w:type="pct"/>
            <w:noWrap/>
            <w:hideMark/>
          </w:tcPr>
          <w:p w14:paraId="378469A3"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c>
          <w:tcPr>
            <w:tcW w:w="1430" w:type="pct"/>
            <w:noWrap/>
            <w:hideMark/>
          </w:tcPr>
          <w:p w14:paraId="6DD55C77"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c>
          <w:tcPr>
            <w:tcW w:w="1011" w:type="pct"/>
            <w:noWrap/>
            <w:hideMark/>
          </w:tcPr>
          <w:p w14:paraId="2D4941A9"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r>
      <w:tr w:rsidR="004101EE" w:rsidRPr="004101EE" w14:paraId="1878C296" w14:textId="77777777" w:rsidTr="00B54D92">
        <w:trPr>
          <w:trHeight w:val="179"/>
        </w:trPr>
        <w:tc>
          <w:tcPr>
            <w:tcW w:w="1280" w:type="pct"/>
            <w:noWrap/>
            <w:hideMark/>
          </w:tcPr>
          <w:p w14:paraId="4151DD71" w14:textId="77777777" w:rsidR="004101EE" w:rsidRPr="004101EE" w:rsidRDefault="004101EE" w:rsidP="00B54D92">
            <w:pPr>
              <w:keepNext/>
              <w:jc w:val="left"/>
              <w:rPr>
                <w:rFonts w:asciiTheme="majorBidi" w:hAnsiTheme="majorBidi" w:cstheme="majorBidi"/>
                <w:color w:val="000000"/>
                <w:sz w:val="20"/>
                <w:szCs w:val="20"/>
                <w:lang w:val="es-MX"/>
              </w:rPr>
            </w:pPr>
            <w:r w:rsidRPr="004101EE">
              <w:rPr>
                <w:rFonts w:asciiTheme="majorBidi" w:hAnsiTheme="majorBidi"/>
                <w:color w:val="000000"/>
                <w:sz w:val="20"/>
                <w:lang w:val="es-MX"/>
              </w:rPr>
              <w:t>PNUMA</w:t>
            </w:r>
          </w:p>
        </w:tc>
        <w:tc>
          <w:tcPr>
            <w:tcW w:w="1279" w:type="pct"/>
            <w:noWrap/>
            <w:hideMark/>
          </w:tcPr>
          <w:p w14:paraId="7CA8FF4E"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c>
          <w:tcPr>
            <w:tcW w:w="1430" w:type="pct"/>
            <w:noWrap/>
            <w:hideMark/>
          </w:tcPr>
          <w:p w14:paraId="7A574992"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c>
          <w:tcPr>
            <w:tcW w:w="1011" w:type="pct"/>
            <w:noWrap/>
            <w:hideMark/>
          </w:tcPr>
          <w:p w14:paraId="01AE5829"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r>
      <w:tr w:rsidR="004101EE" w:rsidRPr="004101EE" w14:paraId="68D0B86A" w14:textId="77777777" w:rsidTr="00B54D92">
        <w:trPr>
          <w:trHeight w:val="188"/>
        </w:trPr>
        <w:tc>
          <w:tcPr>
            <w:tcW w:w="1280" w:type="pct"/>
            <w:noWrap/>
            <w:hideMark/>
          </w:tcPr>
          <w:p w14:paraId="6BCDB5FB" w14:textId="77777777" w:rsidR="004101EE" w:rsidRPr="004101EE" w:rsidRDefault="004101EE" w:rsidP="00B54D92">
            <w:pPr>
              <w:keepNext/>
              <w:jc w:val="left"/>
              <w:rPr>
                <w:rFonts w:asciiTheme="majorBidi" w:hAnsiTheme="majorBidi" w:cstheme="majorBidi"/>
                <w:color w:val="000000"/>
                <w:sz w:val="20"/>
                <w:szCs w:val="20"/>
                <w:lang w:val="es-MX"/>
              </w:rPr>
            </w:pPr>
            <w:r w:rsidRPr="004101EE">
              <w:rPr>
                <w:rFonts w:asciiTheme="majorBidi" w:hAnsiTheme="majorBidi"/>
                <w:color w:val="000000"/>
                <w:sz w:val="20"/>
                <w:lang w:val="es-MX"/>
              </w:rPr>
              <w:t>ONUDI</w:t>
            </w:r>
          </w:p>
        </w:tc>
        <w:tc>
          <w:tcPr>
            <w:tcW w:w="1279" w:type="pct"/>
            <w:noWrap/>
            <w:hideMark/>
          </w:tcPr>
          <w:p w14:paraId="4DCB4596"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c>
          <w:tcPr>
            <w:tcW w:w="1430" w:type="pct"/>
            <w:noWrap/>
            <w:hideMark/>
          </w:tcPr>
          <w:p w14:paraId="0A395872"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c>
          <w:tcPr>
            <w:tcW w:w="1011" w:type="pct"/>
            <w:noWrap/>
            <w:hideMark/>
          </w:tcPr>
          <w:p w14:paraId="5502D5CB"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r>
      <w:tr w:rsidR="004101EE" w:rsidRPr="004101EE" w14:paraId="3FE2899B" w14:textId="77777777" w:rsidTr="00B54D92">
        <w:trPr>
          <w:trHeight w:val="98"/>
        </w:trPr>
        <w:tc>
          <w:tcPr>
            <w:tcW w:w="1280" w:type="pct"/>
            <w:noWrap/>
            <w:hideMark/>
          </w:tcPr>
          <w:p w14:paraId="2A3FBB63" w14:textId="77777777" w:rsidR="004101EE" w:rsidRPr="004101EE" w:rsidRDefault="004101EE" w:rsidP="00B54D92">
            <w:pPr>
              <w:keepNext/>
              <w:jc w:val="left"/>
              <w:rPr>
                <w:rFonts w:asciiTheme="majorBidi" w:hAnsiTheme="majorBidi" w:cstheme="majorBidi"/>
                <w:color w:val="000000"/>
                <w:sz w:val="20"/>
                <w:szCs w:val="20"/>
                <w:lang w:val="es-MX"/>
              </w:rPr>
            </w:pPr>
            <w:r w:rsidRPr="004101EE">
              <w:rPr>
                <w:rFonts w:asciiTheme="majorBidi" w:hAnsiTheme="majorBidi"/>
                <w:color w:val="000000"/>
                <w:sz w:val="20"/>
                <w:lang w:val="es-MX"/>
              </w:rPr>
              <w:t>Banco Mundial</w:t>
            </w:r>
          </w:p>
        </w:tc>
        <w:tc>
          <w:tcPr>
            <w:tcW w:w="1279" w:type="pct"/>
            <w:noWrap/>
            <w:hideMark/>
          </w:tcPr>
          <w:p w14:paraId="6A04889F"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c>
          <w:tcPr>
            <w:tcW w:w="1430" w:type="pct"/>
            <w:noWrap/>
            <w:hideMark/>
          </w:tcPr>
          <w:p w14:paraId="4AFA3CCA"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c>
          <w:tcPr>
            <w:tcW w:w="1011" w:type="pct"/>
            <w:noWrap/>
            <w:hideMark/>
          </w:tcPr>
          <w:p w14:paraId="7CFAE2FA" w14:textId="77777777" w:rsidR="004101EE" w:rsidRPr="004101EE" w:rsidRDefault="004101EE" w:rsidP="00B54D92">
            <w:pPr>
              <w:keepNext/>
              <w:jc w:val="right"/>
              <w:rPr>
                <w:rFonts w:asciiTheme="majorBidi" w:hAnsiTheme="majorBidi" w:cstheme="majorBidi"/>
                <w:color w:val="000000"/>
                <w:sz w:val="20"/>
                <w:szCs w:val="20"/>
                <w:highlight w:val="yellow"/>
                <w:lang w:val="es-MX"/>
              </w:rPr>
            </w:pPr>
            <w:r w:rsidRPr="004101EE">
              <w:rPr>
                <w:i/>
                <w:sz w:val="18"/>
                <w:highlight w:val="yellow"/>
                <w:lang w:val="es-MX"/>
              </w:rPr>
              <w:t>??</w:t>
            </w:r>
          </w:p>
        </w:tc>
      </w:tr>
      <w:tr w:rsidR="004101EE" w:rsidRPr="004101EE" w14:paraId="59B47379" w14:textId="77777777" w:rsidTr="00B54D92">
        <w:trPr>
          <w:trHeight w:val="107"/>
        </w:trPr>
        <w:tc>
          <w:tcPr>
            <w:tcW w:w="1280" w:type="pct"/>
            <w:noWrap/>
            <w:hideMark/>
          </w:tcPr>
          <w:p w14:paraId="70C5D1A7" w14:textId="77777777" w:rsidR="004101EE" w:rsidRPr="004101EE" w:rsidRDefault="004101EE" w:rsidP="00B54D92">
            <w:pPr>
              <w:keepNext/>
              <w:jc w:val="left"/>
              <w:rPr>
                <w:rFonts w:asciiTheme="majorBidi" w:hAnsiTheme="majorBidi" w:cstheme="majorBidi"/>
                <w:b/>
                <w:bCs/>
                <w:color w:val="000000"/>
                <w:sz w:val="20"/>
                <w:szCs w:val="20"/>
                <w:lang w:val="es-MX"/>
              </w:rPr>
            </w:pPr>
            <w:r w:rsidRPr="004101EE">
              <w:rPr>
                <w:rFonts w:asciiTheme="majorBidi" w:hAnsiTheme="majorBidi"/>
                <w:b/>
                <w:color w:val="000000"/>
                <w:sz w:val="20"/>
                <w:lang w:val="es-MX"/>
              </w:rPr>
              <w:t>Suma total</w:t>
            </w:r>
          </w:p>
        </w:tc>
        <w:tc>
          <w:tcPr>
            <w:tcW w:w="1279" w:type="pct"/>
            <w:noWrap/>
            <w:hideMark/>
          </w:tcPr>
          <w:p w14:paraId="7008E568" w14:textId="77777777" w:rsidR="004101EE" w:rsidRPr="004101EE" w:rsidRDefault="004101EE" w:rsidP="00B54D92">
            <w:pPr>
              <w:keepNext/>
              <w:jc w:val="right"/>
              <w:rPr>
                <w:rFonts w:asciiTheme="majorBidi" w:hAnsiTheme="majorBidi" w:cstheme="majorBidi"/>
                <w:b/>
                <w:bCs/>
                <w:color w:val="000000"/>
                <w:sz w:val="20"/>
                <w:szCs w:val="20"/>
                <w:highlight w:val="yellow"/>
                <w:lang w:val="es-MX"/>
              </w:rPr>
            </w:pPr>
            <w:r w:rsidRPr="004101EE">
              <w:rPr>
                <w:i/>
                <w:sz w:val="18"/>
                <w:highlight w:val="yellow"/>
                <w:lang w:val="es-MX"/>
              </w:rPr>
              <w:t>??</w:t>
            </w:r>
          </w:p>
        </w:tc>
        <w:tc>
          <w:tcPr>
            <w:tcW w:w="1430" w:type="pct"/>
            <w:noWrap/>
            <w:hideMark/>
          </w:tcPr>
          <w:p w14:paraId="2055BCCC" w14:textId="77777777" w:rsidR="004101EE" w:rsidRPr="004101EE" w:rsidRDefault="004101EE" w:rsidP="00B54D92">
            <w:pPr>
              <w:keepNext/>
              <w:jc w:val="right"/>
              <w:rPr>
                <w:rFonts w:asciiTheme="majorBidi" w:hAnsiTheme="majorBidi" w:cstheme="majorBidi"/>
                <w:b/>
                <w:bCs/>
                <w:color w:val="000000"/>
                <w:sz w:val="20"/>
                <w:szCs w:val="20"/>
                <w:highlight w:val="yellow"/>
                <w:lang w:val="es-MX"/>
              </w:rPr>
            </w:pPr>
            <w:r w:rsidRPr="004101EE">
              <w:rPr>
                <w:i/>
                <w:sz w:val="18"/>
                <w:highlight w:val="yellow"/>
                <w:lang w:val="es-MX"/>
              </w:rPr>
              <w:t>??</w:t>
            </w:r>
          </w:p>
        </w:tc>
        <w:tc>
          <w:tcPr>
            <w:tcW w:w="1011" w:type="pct"/>
            <w:noWrap/>
            <w:hideMark/>
          </w:tcPr>
          <w:p w14:paraId="143894E3" w14:textId="77777777" w:rsidR="004101EE" w:rsidRPr="004101EE" w:rsidRDefault="004101EE" w:rsidP="00B54D92">
            <w:pPr>
              <w:keepNext/>
              <w:jc w:val="right"/>
              <w:rPr>
                <w:rFonts w:asciiTheme="majorBidi" w:hAnsiTheme="majorBidi" w:cstheme="majorBidi"/>
                <w:b/>
                <w:bCs/>
                <w:color w:val="000000"/>
                <w:sz w:val="20"/>
                <w:szCs w:val="20"/>
                <w:highlight w:val="yellow"/>
                <w:lang w:val="es-MX"/>
              </w:rPr>
            </w:pPr>
            <w:r w:rsidRPr="004101EE">
              <w:rPr>
                <w:i/>
                <w:sz w:val="18"/>
                <w:highlight w:val="yellow"/>
                <w:lang w:val="es-MX"/>
              </w:rPr>
              <w:t>??</w:t>
            </w:r>
          </w:p>
        </w:tc>
      </w:tr>
    </w:tbl>
    <w:p w14:paraId="7ABECCD5" w14:textId="77777777" w:rsidR="004101EE" w:rsidRPr="004101EE" w:rsidRDefault="004101EE" w:rsidP="004101EE">
      <w:pPr>
        <w:rPr>
          <w:sz w:val="20"/>
          <w:szCs w:val="20"/>
          <w:lang w:val="es-MX"/>
        </w:rPr>
      </w:pPr>
    </w:p>
    <w:p w14:paraId="04C50C75" w14:textId="77777777" w:rsidR="004101EE" w:rsidRPr="004101EE" w:rsidRDefault="004101EE" w:rsidP="004101EE">
      <w:pPr>
        <w:pStyle w:val="Heading1"/>
        <w:tabs>
          <w:tab w:val="clear" w:pos="0"/>
          <w:tab w:val="num" w:pos="792"/>
        </w:tabs>
        <w:rPr>
          <w:lang w:val="es-MX"/>
        </w:rPr>
      </w:pPr>
      <w:r w:rsidRPr="004101EE">
        <w:rPr>
          <w:lang w:val="es-MX"/>
        </w:rPr>
        <w:t>En las reuniones 97ª [</w:t>
      </w:r>
      <w:r w:rsidRPr="00CA33B1">
        <w:rPr>
          <w:shd w:val="clear" w:color="auto" w:fill="FFFF00"/>
          <w:lang w:val="es-MX"/>
        </w:rPr>
        <w:t>y 98ª</w:t>
      </w:r>
      <w:r w:rsidRPr="004101EE">
        <w:rPr>
          <w:lang w:val="es-MX"/>
        </w:rPr>
        <w:t>], tras examinar los documentos sobre proyectos recomendados para aprobación general</w:t>
      </w:r>
      <w:r w:rsidRPr="004101EE">
        <w:rPr>
          <w:vertAlign w:val="superscript"/>
          <w:lang w:val="es-MX"/>
        </w:rPr>
        <w:footnoteReference w:id="13"/>
      </w:r>
      <w:r w:rsidRPr="004101EE">
        <w:rPr>
          <w:lang w:val="es-MX"/>
        </w:rPr>
        <w:t xml:space="preserve"> y los documentos sobre proyectos recomendados para examen individual</w:t>
      </w:r>
      <w:r w:rsidRPr="004101EE">
        <w:rPr>
          <w:vertAlign w:val="superscript"/>
          <w:lang w:val="es-MX"/>
        </w:rPr>
        <w:footnoteReference w:id="14"/>
      </w:r>
      <w:r w:rsidRPr="004101EE">
        <w:rPr>
          <w:lang w:val="es-MX"/>
        </w:rPr>
        <w:t>, el Comité Ejecutivo aprobó los proyectos y actividades que se resumen a continuación.</w:t>
      </w:r>
    </w:p>
    <w:p w14:paraId="167B8866" w14:textId="77777777" w:rsidR="004101EE" w:rsidRPr="004101EE" w:rsidRDefault="004101EE" w:rsidP="004101EE">
      <w:pPr>
        <w:spacing w:after="240"/>
        <w:ind w:left="720" w:hanging="720"/>
        <w:outlineLvl w:val="0"/>
        <w:rPr>
          <w:rFonts w:eastAsia="Times New Roman"/>
          <w:b/>
          <w:lang w:val="es-MX"/>
        </w:rPr>
      </w:pPr>
      <w:r w:rsidRPr="004101EE">
        <w:rPr>
          <w:b/>
          <w:lang w:val="es-MX"/>
        </w:rPr>
        <w:t>a)</w:t>
      </w:r>
      <w:r w:rsidRPr="004101EE">
        <w:rPr>
          <w:b/>
          <w:lang w:val="es-MX"/>
        </w:rPr>
        <w:tab/>
        <w:t>Proyectos de inversión</w:t>
      </w:r>
    </w:p>
    <w:p w14:paraId="1C2C64C2" w14:textId="77777777" w:rsidR="004101EE" w:rsidRPr="004101EE" w:rsidRDefault="004101EE" w:rsidP="004101EE">
      <w:pPr>
        <w:pStyle w:val="Heading1"/>
        <w:numPr>
          <w:ilvl w:val="0"/>
          <w:numId w:val="0"/>
        </w:numPr>
        <w:ind w:firstLine="720"/>
        <w:rPr>
          <w:u w:val="single"/>
          <w:lang w:val="es-MX"/>
        </w:rPr>
      </w:pPr>
      <w:r w:rsidRPr="004101EE">
        <w:rPr>
          <w:u w:val="single"/>
          <w:lang w:val="es-MX"/>
        </w:rPr>
        <w:t>Planes de gestión de eliminación de los HCFC</w:t>
      </w:r>
    </w:p>
    <w:p w14:paraId="6E2226B0" w14:textId="77777777" w:rsidR="004101EE" w:rsidRPr="004101EE" w:rsidRDefault="004101EE" w:rsidP="004101EE">
      <w:pPr>
        <w:pStyle w:val="Heading1"/>
        <w:tabs>
          <w:tab w:val="clear" w:pos="0"/>
          <w:tab w:val="num" w:pos="792"/>
        </w:tabs>
        <w:rPr>
          <w:lang w:val="es-MX"/>
        </w:rPr>
      </w:pPr>
      <w:r w:rsidRPr="004101EE">
        <w:rPr>
          <w:lang w:val="es-MX"/>
        </w:rPr>
        <w:t xml:space="preserve">En la 97ª reunión, el Comité Ejecutivo aprobó tramos de PGEH para 19 países, incluidos tramos de seis planes sectoriales en el marco de la etapa II del PGEH para un país (decisiones 97/35, 97/39, 97/45 a 97/50, 97/54 y 97/55); el primer tramo de la etapa II del PGEH para dos países (decisiones 97/51 y 97/53); y el primer tramo de la etapa III de los PGEH para cinco países (decisiones 97/38, 97/40, 97/42, 97/43 y 97/52). </w:t>
      </w:r>
    </w:p>
    <w:p w14:paraId="2F332154" w14:textId="77777777" w:rsidR="004101EE" w:rsidRPr="004101EE" w:rsidRDefault="004101EE" w:rsidP="004101EE">
      <w:pPr>
        <w:pStyle w:val="Heading1"/>
        <w:rPr>
          <w:lang w:val="es-MX"/>
        </w:rPr>
      </w:pPr>
      <w:r w:rsidRPr="004101EE">
        <w:rPr>
          <w:lang w:val="es-MX"/>
        </w:rPr>
        <w:lastRenderedPageBreak/>
        <w:t>El Comité Ejecutivo aprobó propuestas de proyecto individual relativas a actividades adicionales para la introducción de alternativas a los HCFC con un potencial de calentamiento atmosférico bajo o nulo y para mantener la eficiencia energética en el sector de servicio y mantenimiento de equipos de refrigeración en tres países (decisión 97/35).</w:t>
      </w:r>
    </w:p>
    <w:p w14:paraId="579262DD" w14:textId="77777777" w:rsidR="004101EE" w:rsidRPr="004101EE" w:rsidRDefault="004101EE" w:rsidP="004101EE">
      <w:pPr>
        <w:pStyle w:val="Heading1"/>
        <w:tabs>
          <w:tab w:val="clear" w:pos="0"/>
          <w:tab w:val="num" w:pos="792"/>
        </w:tabs>
        <w:rPr>
          <w:highlight w:val="yellow"/>
          <w:lang w:val="es-MX"/>
        </w:rPr>
      </w:pPr>
      <w:r w:rsidRPr="004101EE">
        <w:rPr>
          <w:highlight w:val="yellow"/>
          <w:lang w:val="es-MX"/>
        </w:rPr>
        <w:t>[En la 98ª reunión]</w:t>
      </w:r>
    </w:p>
    <w:p w14:paraId="25E79FD7" w14:textId="77777777" w:rsidR="004101EE" w:rsidRPr="004101EE" w:rsidRDefault="004101EE" w:rsidP="004101EE">
      <w:pPr>
        <w:keepNext/>
        <w:keepLines/>
        <w:spacing w:after="240"/>
        <w:ind w:firstLine="720"/>
        <w:jc w:val="left"/>
        <w:rPr>
          <w:iCs/>
          <w:u w:val="single"/>
          <w:lang w:val="es-MX"/>
        </w:rPr>
      </w:pPr>
      <w:r w:rsidRPr="004101EE">
        <w:rPr>
          <w:u w:val="single"/>
          <w:lang w:val="es-MX"/>
        </w:rPr>
        <w:t>Proyectos relacionados con HFC</w:t>
      </w:r>
    </w:p>
    <w:p w14:paraId="41EBAFA1" w14:textId="77777777" w:rsidR="004101EE" w:rsidRPr="004101EE" w:rsidRDefault="004101EE" w:rsidP="004101EE">
      <w:pPr>
        <w:pStyle w:val="Heading1"/>
        <w:tabs>
          <w:tab w:val="clear" w:pos="0"/>
          <w:tab w:val="num" w:pos="792"/>
        </w:tabs>
        <w:rPr>
          <w:lang w:val="es-MX"/>
        </w:rPr>
      </w:pPr>
      <w:r w:rsidRPr="004101EE">
        <w:rPr>
          <w:lang w:val="es-MX"/>
        </w:rPr>
        <w:t>En la 97ª reunión, el Comité Ejecutivo aprobó, en principio, la etapa I de los KIP para 11 países, y aprobó también el primer tramo de financiación de cada uno de ellos (decisiones 97/56 a 97/61, 97/63, 97/65 y 97/67 a 97/69). El Comité aprobó tramos de KIP para dos países (decisión 97/35) y los tramos segundo y tercero del proyecto para el control de las emisiones de HFC-23 generadas en la producción de HCFC-22 en un país (decisión 97/41). El Comité Ejecutivo pospuso hasta la 98ª reunión el examen del KIP para un país (decisión 97/64) y de un tramo del KIP para otro país (decisión 97/62).</w:t>
      </w:r>
    </w:p>
    <w:p w14:paraId="09BD99FE" w14:textId="77777777" w:rsidR="004101EE" w:rsidRPr="004101EE" w:rsidRDefault="004101EE" w:rsidP="004101EE">
      <w:pPr>
        <w:pStyle w:val="Heading1"/>
        <w:tabs>
          <w:tab w:val="clear" w:pos="0"/>
          <w:tab w:val="num" w:pos="792"/>
        </w:tabs>
        <w:rPr>
          <w:lang w:val="es-MX"/>
        </w:rPr>
      </w:pPr>
      <w:r w:rsidRPr="004101EE">
        <w:rPr>
          <w:lang w:val="es-MX"/>
        </w:rPr>
        <w:t xml:space="preserve">También en la 97ª reunión, en lo que respecta a los proyectos piloto independientes relacionados con el mantenimiento o la mejora de la eficiencia energética en el contexto de la reducción de los HFC, el Comité aprobó proyectos no relacionados con inversiones en virtud de la decisión 91/65 para 12 países (decisiones 97/66, 97/70 a 97/72, 97/75 a 97/77 y 97/79 a 97/83); un proyecto piloto de eficiencia energética en virtud de la decisión 95/87 para un país (decisión 97/73); proyectos piloto de eficiencia energética (decisiones 94/60) para tres países (decisiones 97/74, 97/78 y 97/84). </w:t>
      </w:r>
    </w:p>
    <w:p w14:paraId="49C96B55" w14:textId="77777777" w:rsidR="004101EE" w:rsidRPr="004101EE" w:rsidRDefault="004101EE" w:rsidP="004101EE">
      <w:pPr>
        <w:pStyle w:val="Heading1"/>
        <w:tabs>
          <w:tab w:val="clear" w:pos="0"/>
          <w:tab w:val="num" w:pos="792"/>
        </w:tabs>
        <w:rPr>
          <w:highlight w:val="yellow"/>
          <w:lang w:val="es-MX"/>
        </w:rPr>
      </w:pPr>
      <w:r w:rsidRPr="004101EE">
        <w:rPr>
          <w:highlight w:val="yellow"/>
          <w:lang w:val="es-MX"/>
        </w:rPr>
        <w:t>[En la 98</w:t>
      </w:r>
      <w:r w:rsidRPr="004101EE">
        <w:rPr>
          <w:highlight w:val="yellow"/>
          <w:vertAlign w:val="superscript"/>
          <w:lang w:val="es-MX"/>
        </w:rPr>
        <w:t>a</w:t>
      </w:r>
      <w:r w:rsidRPr="004101EE">
        <w:rPr>
          <w:highlight w:val="yellow"/>
          <w:lang w:val="es-MX"/>
        </w:rPr>
        <w:t> reunión]</w:t>
      </w:r>
    </w:p>
    <w:p w14:paraId="4F276F59" w14:textId="77777777" w:rsidR="004101EE" w:rsidRPr="004101EE" w:rsidRDefault="004101EE" w:rsidP="004101EE">
      <w:pPr>
        <w:spacing w:after="240"/>
        <w:ind w:left="720" w:hanging="720"/>
        <w:outlineLvl w:val="0"/>
        <w:rPr>
          <w:rFonts w:eastAsia="Times New Roman"/>
          <w:b/>
          <w:lang w:val="es-MX"/>
        </w:rPr>
      </w:pPr>
      <w:r w:rsidRPr="004101EE">
        <w:rPr>
          <w:b/>
          <w:lang w:val="es-MX"/>
        </w:rPr>
        <w:t>b)</w:t>
      </w:r>
      <w:r w:rsidRPr="004101EE">
        <w:rPr>
          <w:b/>
          <w:lang w:val="es-MX"/>
        </w:rPr>
        <w:tab/>
        <w:t>Actividades sin inversión</w:t>
      </w:r>
    </w:p>
    <w:p w14:paraId="36E79082" w14:textId="77777777" w:rsidR="004101EE" w:rsidRPr="004101EE" w:rsidRDefault="004101EE" w:rsidP="004101EE">
      <w:pPr>
        <w:pStyle w:val="Heading1"/>
        <w:tabs>
          <w:tab w:val="clear" w:pos="0"/>
          <w:tab w:val="num" w:pos="792"/>
        </w:tabs>
        <w:rPr>
          <w:lang w:val="es-MX"/>
        </w:rPr>
      </w:pPr>
      <w:r w:rsidRPr="004101EE">
        <w:rPr>
          <w:lang w:val="es-MX"/>
        </w:rPr>
        <w:t>En la 97ª reunión, el Comité Ejecutivo aprobó todas menos una de las solicitudes de financiación no relacionadas con inversiones. Las solicitudes se referían a financiación para la preparación de las etapas II y III de los PGEH de cuatro países; preparación de KIP para cuatro países; verificación de la ejecución de la etapa I de los KIP para siete países; actividades de apoyo para la reducción de HFC en un país; preparación de un proyecto piloto para mantener y/o mejorar la eficiencia energética de las tecnologías y equipos de sustitución en el contexto de la reducción de los HFC, en virtud de las decisiones 91/65 y 95/87, para dos países; renovaciones de proyectos de fortalecimiento institucional para cinco países; y preparación de un inventario nacional de bancos de sustancias controladas de desecho y elaboración de un plan nacional para la gestión de esas sustancias para 28 países. Las solicitudes se presentaron en los documentos sobre cooperación bilateral</w:t>
      </w:r>
      <w:r w:rsidRPr="004101EE">
        <w:rPr>
          <w:vertAlign w:val="superscript"/>
          <w:lang w:val="es-MX"/>
        </w:rPr>
        <w:footnoteReference w:id="15"/>
      </w:r>
      <w:r w:rsidRPr="004101EE">
        <w:rPr>
          <w:lang w:val="es-MX"/>
        </w:rPr>
        <w:t xml:space="preserve"> y las enmiendas al programa de trabajo para 2025 del PNUD</w:t>
      </w:r>
      <w:r w:rsidRPr="004101EE">
        <w:rPr>
          <w:vertAlign w:val="superscript"/>
          <w:lang w:val="es-MX"/>
        </w:rPr>
        <w:footnoteReference w:id="16"/>
      </w:r>
      <w:r w:rsidRPr="004101EE">
        <w:rPr>
          <w:lang w:val="es-MX"/>
        </w:rPr>
        <w:t>, el PNUMA</w:t>
      </w:r>
      <w:r w:rsidRPr="004101EE">
        <w:rPr>
          <w:vertAlign w:val="superscript"/>
          <w:lang w:val="es-MX"/>
        </w:rPr>
        <w:footnoteReference w:id="17"/>
      </w:r>
      <w:r w:rsidRPr="004101EE">
        <w:rPr>
          <w:lang w:val="es-MX"/>
        </w:rPr>
        <w:t>, la ONUDI</w:t>
      </w:r>
      <w:r w:rsidRPr="004101EE">
        <w:rPr>
          <w:vertAlign w:val="superscript"/>
          <w:lang w:val="es-MX"/>
        </w:rPr>
        <w:footnoteReference w:id="18"/>
      </w:r>
      <w:r w:rsidRPr="004101EE">
        <w:rPr>
          <w:lang w:val="es-MX"/>
        </w:rPr>
        <w:t xml:space="preserve"> y el Banco Mundial</w:t>
      </w:r>
      <w:r w:rsidRPr="004101EE">
        <w:rPr>
          <w:vertAlign w:val="superscript"/>
          <w:lang w:val="es-MX"/>
        </w:rPr>
        <w:footnoteReference w:id="19"/>
      </w:r>
      <w:r w:rsidRPr="004101EE">
        <w:rPr>
          <w:lang w:val="es-MX"/>
        </w:rPr>
        <w:t xml:space="preserve"> (decisiones 97/35 y 97/37). La solicitud que no fue aprobada hacía referencia a la preparación de un proyecto piloto para mantener y/o mejorar la eficiencia energética en el contexto de la reducción de los HFC, en virtud de la decisión 91/65, en un país (decisión 97/36).</w:t>
      </w:r>
    </w:p>
    <w:p w14:paraId="6C9FA9A2" w14:textId="77777777" w:rsidR="004101EE" w:rsidRPr="004101EE" w:rsidRDefault="004101EE" w:rsidP="004101EE">
      <w:pPr>
        <w:pStyle w:val="Heading1"/>
        <w:tabs>
          <w:tab w:val="clear" w:pos="0"/>
          <w:tab w:val="num" w:pos="792"/>
        </w:tabs>
        <w:rPr>
          <w:highlight w:val="yellow"/>
          <w:lang w:val="es-MX"/>
        </w:rPr>
      </w:pPr>
      <w:r w:rsidRPr="004101EE">
        <w:rPr>
          <w:highlight w:val="yellow"/>
          <w:lang w:val="es-MX"/>
        </w:rPr>
        <w:t>[En la 98ª reunión]</w:t>
      </w:r>
    </w:p>
    <w:p w14:paraId="443BA6F5" w14:textId="77777777" w:rsidR="004101EE" w:rsidRPr="004101EE" w:rsidRDefault="004101EE" w:rsidP="004101EE">
      <w:pPr>
        <w:spacing w:after="240"/>
        <w:ind w:left="720" w:hanging="720"/>
        <w:outlineLvl w:val="0"/>
        <w:rPr>
          <w:rFonts w:eastAsia="Times New Roman"/>
          <w:b/>
          <w:lang w:val="es-MX"/>
        </w:rPr>
      </w:pPr>
      <w:r w:rsidRPr="004101EE">
        <w:rPr>
          <w:b/>
          <w:lang w:val="es-MX"/>
        </w:rPr>
        <w:t>c)</w:t>
      </w:r>
      <w:r w:rsidRPr="004101EE">
        <w:rPr>
          <w:b/>
          <w:lang w:val="es-MX"/>
        </w:rPr>
        <w:tab/>
        <w:t xml:space="preserve">Presupuesto del Programa de Asistencia al Cumplimiento del PNUMA para 2025 </w:t>
      </w:r>
    </w:p>
    <w:p w14:paraId="3F80EFA1" w14:textId="77777777" w:rsidR="004101EE" w:rsidRPr="004101EE" w:rsidRDefault="004101EE" w:rsidP="004101EE">
      <w:pPr>
        <w:pStyle w:val="Heading1"/>
        <w:tabs>
          <w:tab w:val="clear" w:pos="0"/>
          <w:tab w:val="num" w:pos="792"/>
        </w:tabs>
        <w:rPr>
          <w:lang w:val="es-MX"/>
        </w:rPr>
      </w:pPr>
      <w:r w:rsidRPr="004101EE">
        <w:rPr>
          <w:lang w:val="es-MX"/>
        </w:rPr>
        <w:t>En la 97ª reunión, el Comité Ejecutivo</w:t>
      </w:r>
      <w:bookmarkStart w:id="0" w:name="_Hlk120870422"/>
      <w:r w:rsidRPr="004101EE">
        <w:rPr>
          <w:lang w:val="es-MX"/>
        </w:rPr>
        <w:t xml:space="preserve"> tomó</w:t>
      </w:r>
      <w:bookmarkEnd w:id="0"/>
      <w:r w:rsidRPr="004101EE">
        <w:rPr>
          <w:lang w:val="es-MX"/>
        </w:rPr>
        <w:t xml:space="preserve"> nota del informe sobre la marcha de las actividades de 2025 y del plan de trabajo y presupuesto de 2026 del Programa de Asistencia al Cumplimiento del </w:t>
      </w:r>
      <w:r w:rsidRPr="004101EE">
        <w:rPr>
          <w:lang w:val="es-MX"/>
        </w:rPr>
        <w:lastRenderedPageBreak/>
        <w:t>PNUMA.</w:t>
      </w:r>
      <w:r w:rsidRPr="004101EE">
        <w:rPr>
          <w:vertAlign w:val="superscript"/>
          <w:lang w:val="es-MX"/>
        </w:rPr>
        <w:footnoteReference w:id="20"/>
      </w:r>
      <w:r w:rsidRPr="004101EE">
        <w:rPr>
          <w:lang w:val="es-MX"/>
        </w:rPr>
        <w:t xml:space="preserve"> El Comité Ejecutivo aprobó las actividades y el presupuesto del Programa de Asistencia al Cumplimiento para 2026, que figuran en el anexo del informe de dicha reunión</w:t>
      </w:r>
      <w:r w:rsidRPr="004101EE">
        <w:rPr>
          <w:vertAlign w:val="superscript"/>
          <w:lang w:val="es-MX"/>
        </w:rPr>
        <w:footnoteReference w:id="21"/>
      </w:r>
      <w:r w:rsidRPr="004101EE">
        <w:rPr>
          <w:lang w:val="es-MX"/>
        </w:rPr>
        <w:t>, por un monto de USD 11.276.967, más unos gastos de apoyo del organismo del 8 por ciento que ascienden a USD 902.157. El Comité Ejecutivo decidió que los recursos humanos y financieros aprobados para el PNUMA con cargo al presupuesto del Programa de Asistencia al Cumplimiento deberían seguir utilizándose únicamente para actividades aprobadas por el Comité Ejecutivo de conformidad con el mandato del mecanismo financiero contenido en el Artículo 10 del Protocolo de Montreal y de conformidad con las decisiones 50/26 c) y 73/53 (decisión 97/85).</w:t>
      </w:r>
    </w:p>
    <w:p w14:paraId="5075B92C" w14:textId="292E4470" w:rsidR="004101EE" w:rsidRPr="004101EE" w:rsidRDefault="004101EE" w:rsidP="004101EE">
      <w:pPr>
        <w:spacing w:after="240"/>
        <w:ind w:left="720" w:hanging="720"/>
        <w:outlineLvl w:val="0"/>
        <w:rPr>
          <w:b/>
          <w:sz w:val="20"/>
          <w:szCs w:val="20"/>
          <w:lang w:val="es-MX"/>
        </w:rPr>
      </w:pPr>
      <w:r w:rsidRPr="004101EE">
        <w:rPr>
          <w:b/>
          <w:lang w:val="es-MX"/>
        </w:rPr>
        <w:t>d)</w:t>
      </w:r>
      <w:r w:rsidRPr="004101EE">
        <w:rPr>
          <w:b/>
          <w:lang w:val="es-MX"/>
        </w:rPr>
        <w:tab/>
        <w:t xml:space="preserve">Costos de las unidades centrales del </w:t>
      </w:r>
      <w:r w:rsidR="00AE3F56">
        <w:rPr>
          <w:b/>
          <w:lang w:val="es-MX"/>
        </w:rPr>
        <w:t xml:space="preserve">PNUD, la ONUDI y el </w:t>
      </w:r>
      <w:r w:rsidRPr="004101EE">
        <w:rPr>
          <w:b/>
          <w:lang w:val="es-MX"/>
        </w:rPr>
        <w:t>Banco Mundial</w:t>
      </w:r>
    </w:p>
    <w:p w14:paraId="4F4DA3FA" w14:textId="77777777" w:rsidR="004101EE" w:rsidRPr="004101EE" w:rsidRDefault="004101EE" w:rsidP="004101EE">
      <w:pPr>
        <w:pStyle w:val="Heading1"/>
        <w:tabs>
          <w:tab w:val="clear" w:pos="0"/>
          <w:tab w:val="num" w:pos="792"/>
        </w:tabs>
        <w:rPr>
          <w:lang w:val="es-MX"/>
        </w:rPr>
      </w:pPr>
      <w:r w:rsidRPr="004101EE">
        <w:rPr>
          <w:lang w:val="es-MX"/>
        </w:rPr>
        <w:t>En la 97ª reunión, el Comité Ejecutivo aprobó los presupuestos para 2026 de las unidades centrales del PNUD, la ONUDI y el Banco Mundial, tal como se había solicitado</w:t>
      </w:r>
      <w:r w:rsidRPr="004101EE">
        <w:rPr>
          <w:vertAlign w:val="superscript"/>
          <w:lang w:val="es-MX"/>
        </w:rPr>
        <w:footnoteReference w:id="22"/>
      </w:r>
      <w:r w:rsidRPr="004101EE">
        <w:rPr>
          <w:lang w:val="es-MX"/>
        </w:rPr>
        <w:t xml:space="preserve"> (decisión 97/86).</w:t>
      </w:r>
    </w:p>
    <w:p w14:paraId="7098833C" w14:textId="77777777" w:rsidR="004101EE" w:rsidRPr="004101EE" w:rsidRDefault="004101EE" w:rsidP="004101EE">
      <w:pPr>
        <w:keepNext/>
        <w:spacing w:after="240"/>
        <w:ind w:left="720" w:hanging="720"/>
        <w:outlineLvl w:val="0"/>
        <w:rPr>
          <w:rFonts w:eastAsia="Times New Roman"/>
          <w:b/>
          <w:lang w:val="es-MX"/>
        </w:rPr>
      </w:pPr>
      <w:r w:rsidRPr="004101EE">
        <w:rPr>
          <w:b/>
          <w:lang w:val="es-MX"/>
        </w:rPr>
        <w:t>2.</w:t>
      </w:r>
      <w:r w:rsidRPr="004101EE">
        <w:rPr>
          <w:b/>
          <w:lang w:val="es-MX"/>
        </w:rPr>
        <w:tab/>
        <w:t>Ejecución y presentación de informes</w:t>
      </w:r>
    </w:p>
    <w:p w14:paraId="25EF97B3" w14:textId="77777777" w:rsidR="004101EE" w:rsidRPr="004101EE" w:rsidRDefault="004101EE" w:rsidP="004101EE">
      <w:pPr>
        <w:keepNext/>
        <w:spacing w:after="240"/>
        <w:ind w:left="720" w:hanging="720"/>
        <w:outlineLvl w:val="0"/>
        <w:rPr>
          <w:rFonts w:eastAsia="Times New Roman"/>
          <w:b/>
          <w:lang w:val="es-MX"/>
        </w:rPr>
      </w:pPr>
      <w:r w:rsidRPr="004101EE">
        <w:rPr>
          <w:b/>
          <w:lang w:val="es-MX"/>
        </w:rPr>
        <w:t>a)</w:t>
      </w:r>
      <w:r w:rsidRPr="004101EE">
        <w:rPr>
          <w:b/>
          <w:lang w:val="es-MX"/>
        </w:rPr>
        <w:tab/>
        <w:t>Datos de programas de país y perspectivas de cumplimiento</w:t>
      </w:r>
    </w:p>
    <w:p w14:paraId="739B6E17" w14:textId="77777777" w:rsidR="004101EE" w:rsidRPr="004101EE" w:rsidRDefault="004101EE" w:rsidP="004101EE">
      <w:pPr>
        <w:pStyle w:val="Heading1"/>
        <w:tabs>
          <w:tab w:val="clear" w:pos="0"/>
          <w:tab w:val="num" w:pos="792"/>
        </w:tabs>
        <w:rPr>
          <w:lang w:val="es-MX"/>
        </w:rPr>
      </w:pPr>
      <w:r w:rsidRPr="004101EE">
        <w:rPr>
          <w:lang w:val="es-MX"/>
        </w:rPr>
        <w:t>En la 97ª reunión</w:t>
      </w:r>
      <w:r w:rsidRPr="004101EE">
        <w:rPr>
          <w:vertAlign w:val="superscript"/>
          <w:lang w:val="es-MX"/>
        </w:rPr>
        <w:footnoteReference w:id="23"/>
      </w:r>
      <w:r w:rsidRPr="004101EE">
        <w:rPr>
          <w:lang w:val="es-MX"/>
        </w:rPr>
        <w:t xml:space="preserve"> </w:t>
      </w:r>
      <w:r w:rsidRPr="004101EE">
        <w:rPr>
          <w:highlight w:val="yellow"/>
          <w:lang w:val="es-MX"/>
        </w:rPr>
        <w:t>[y en la 98ª reunión</w:t>
      </w:r>
      <w:r w:rsidRPr="004101EE">
        <w:rPr>
          <w:highlight w:val="yellow"/>
          <w:vertAlign w:val="superscript"/>
          <w:lang w:val="es-MX"/>
        </w:rPr>
        <w:footnoteReference w:id="24"/>
      </w:r>
      <w:r w:rsidRPr="004101EE">
        <w:rPr>
          <w:lang w:val="es-MX"/>
        </w:rPr>
        <w:t>] el Comité Ejecutivo examinó los documentos sobre los datos de los programas de país y las perspectivas de cumplimiento. En la 97ª reunión, tomó nota de que, a 1 de diciembre de 2025, 126 países habían usado el nuevo sistema en línea de presentación de datos del programa de país, que se había puesto en marcha oficialmente el 1 de enero de 2025, y de los cuales 124 habían presentado oficialmente sus datos para 2024. El Comité pidió a la Secretaría del Fondo que enviara una carta a un país en relación con su informe de datos del programa de país pendiente para 2024, instándolo a presentar dicho informe lo antes posible (decisión 97/6).</w:t>
      </w:r>
    </w:p>
    <w:p w14:paraId="2CDB4DCF" w14:textId="77777777" w:rsidR="004101EE" w:rsidRPr="004101EE" w:rsidRDefault="004101EE" w:rsidP="004101EE">
      <w:pPr>
        <w:pStyle w:val="Heading1"/>
        <w:tabs>
          <w:tab w:val="clear" w:pos="0"/>
          <w:tab w:val="num" w:pos="792"/>
        </w:tabs>
        <w:rPr>
          <w:highlight w:val="yellow"/>
          <w:lang w:val="es-MX"/>
        </w:rPr>
      </w:pPr>
      <w:r w:rsidRPr="004101EE">
        <w:rPr>
          <w:highlight w:val="yellow"/>
          <w:lang w:val="es-MX"/>
        </w:rPr>
        <w:t>[En la 98ª reunión]</w:t>
      </w:r>
    </w:p>
    <w:p w14:paraId="7444D5F0" w14:textId="77777777" w:rsidR="004101EE" w:rsidRPr="004101EE" w:rsidRDefault="004101EE" w:rsidP="004101EE">
      <w:pPr>
        <w:spacing w:after="240"/>
        <w:ind w:left="720" w:hanging="720"/>
        <w:outlineLvl w:val="0"/>
        <w:rPr>
          <w:b/>
          <w:lang w:val="es-MX"/>
        </w:rPr>
      </w:pPr>
      <w:r w:rsidRPr="004101EE">
        <w:rPr>
          <w:b/>
          <w:lang w:val="es-MX"/>
        </w:rPr>
        <w:t>b)</w:t>
      </w:r>
      <w:r w:rsidRPr="004101EE">
        <w:rPr>
          <w:b/>
          <w:lang w:val="es-MX"/>
        </w:rPr>
        <w:tab/>
        <w:t>Informes sobre la marcha de las actividades</w:t>
      </w:r>
    </w:p>
    <w:p w14:paraId="0FD04CEE" w14:textId="77777777" w:rsidR="004101EE" w:rsidRPr="004101EE" w:rsidRDefault="004101EE" w:rsidP="004101EE">
      <w:pPr>
        <w:pStyle w:val="Heading1"/>
        <w:tabs>
          <w:tab w:val="clear" w:pos="0"/>
          <w:tab w:val="num" w:pos="792"/>
        </w:tabs>
        <w:rPr>
          <w:lang w:val="es-MX"/>
        </w:rPr>
      </w:pPr>
      <w:r w:rsidRPr="004101EE">
        <w:rPr>
          <w:lang w:val="es-MX"/>
        </w:rPr>
        <w:t>En la 97ª reunión, el Comité Ejecutivo tomó nota del informe consolidado sobre la marcha de las actividades del Fondo Multilateral al 31 de diciembre de 2024.</w:t>
      </w:r>
      <w:r w:rsidRPr="004101EE">
        <w:rPr>
          <w:vertAlign w:val="superscript"/>
          <w:lang w:val="es-MX"/>
        </w:rPr>
        <w:footnoteReference w:id="25"/>
      </w:r>
      <w:r w:rsidRPr="004101EE">
        <w:rPr>
          <w:lang w:val="es-MX"/>
        </w:rPr>
        <w:t xml:space="preserve"> También tomó nota de los informes sobre la marcha de las actividades, a fecha 31 de diciembre de 2024, de los organismos bilaterales</w:t>
      </w:r>
      <w:r w:rsidRPr="004101EE">
        <w:rPr>
          <w:vertAlign w:val="superscript"/>
          <w:lang w:val="es-MX"/>
        </w:rPr>
        <w:footnoteReference w:id="26"/>
      </w:r>
      <w:r w:rsidRPr="004101EE">
        <w:rPr>
          <w:lang w:val="es-MX"/>
        </w:rPr>
        <w:t xml:space="preserve"> (los Gobiernos de Alemania, Australia, Austria, España, Francia, Italia, Japón y el Reino Unido de Gran Bretaña e Irlanda del Norte), el Banco Mundial,</w:t>
      </w:r>
      <w:r w:rsidRPr="004101EE">
        <w:rPr>
          <w:vertAlign w:val="superscript"/>
          <w:lang w:val="es-MX"/>
        </w:rPr>
        <w:footnoteReference w:id="27"/>
      </w:r>
      <w:r w:rsidRPr="004101EE">
        <w:rPr>
          <w:lang w:val="es-MX"/>
        </w:rPr>
        <w:t xml:space="preserve"> la ONUDI,</w:t>
      </w:r>
      <w:r w:rsidRPr="004101EE">
        <w:rPr>
          <w:vertAlign w:val="superscript"/>
          <w:lang w:val="es-MX"/>
        </w:rPr>
        <w:footnoteReference w:id="28"/>
      </w:r>
      <w:r w:rsidRPr="004101EE">
        <w:rPr>
          <w:lang w:val="es-MX"/>
        </w:rPr>
        <w:t xml:space="preserve"> el PNUD</w:t>
      </w:r>
      <w:r w:rsidRPr="004101EE">
        <w:rPr>
          <w:vertAlign w:val="superscript"/>
          <w:lang w:val="es-MX"/>
        </w:rPr>
        <w:footnoteReference w:id="29"/>
      </w:r>
      <w:r w:rsidRPr="004101EE">
        <w:rPr>
          <w:lang w:val="es-MX"/>
        </w:rPr>
        <w:t xml:space="preserve"> y el PNUMA</w:t>
      </w:r>
      <w:r w:rsidRPr="004101EE">
        <w:rPr>
          <w:vertAlign w:val="superscript"/>
          <w:lang w:val="es-MX"/>
        </w:rPr>
        <w:footnoteReference w:id="30"/>
      </w:r>
      <w:r w:rsidRPr="004101EE">
        <w:rPr>
          <w:lang w:val="es-MX"/>
        </w:rPr>
        <w:t>. Para todos los informes sobre la marcha de las actividades, el Comité aprobó las recomendaciones relativas a los proyectos en curso con cuestiones específicas que figuraban en los anexos correspondientes del informe de la reunión.</w:t>
      </w:r>
      <w:r w:rsidRPr="004101EE">
        <w:rPr>
          <w:vertAlign w:val="superscript"/>
          <w:lang w:val="es-MX"/>
        </w:rPr>
        <w:footnoteReference w:id="31"/>
      </w:r>
      <w:r w:rsidRPr="004101EE">
        <w:rPr>
          <w:lang w:val="es-MX"/>
        </w:rPr>
        <w:t xml:space="preserve"> También adoptó otras medidas, como la prórroga de las fechas de terminación de la preparación de un inventario nacional de bancos de sustancias controladas de desecho y la elaboración de un plan nacional para la gestión de esas sustancias para 40 países y de otros seis proyectos, incluidos tramos de PGEH para cuatro países. El Comité Ejecutivo también pidió a la Secretaría del Fondo que enviara una carta a un país </w:t>
      </w:r>
      <w:r w:rsidRPr="004101EE">
        <w:rPr>
          <w:lang w:val="es-MX"/>
        </w:rPr>
        <w:lastRenderedPageBreak/>
        <w:t>y al organismo de ejecución pertinente, con respecto a la posible cancelación del PGEH del país (decisiones 97/9 a 97/14).</w:t>
      </w:r>
    </w:p>
    <w:p w14:paraId="4523F9F0" w14:textId="77777777" w:rsidR="004101EE" w:rsidRPr="004101EE" w:rsidRDefault="004101EE" w:rsidP="004101EE">
      <w:pPr>
        <w:spacing w:after="240"/>
        <w:ind w:left="720" w:hanging="720"/>
        <w:outlineLvl w:val="0"/>
        <w:rPr>
          <w:b/>
          <w:lang w:val="es-MX"/>
        </w:rPr>
      </w:pPr>
      <w:r w:rsidRPr="004101EE">
        <w:rPr>
          <w:b/>
          <w:lang w:val="es-MX"/>
        </w:rPr>
        <w:t>c)</w:t>
      </w:r>
      <w:r w:rsidRPr="004101EE">
        <w:rPr>
          <w:b/>
          <w:lang w:val="es-MX"/>
        </w:rPr>
        <w:tab/>
        <w:t>Informes sobre los proyectos con requisitos específicos de presentación de informes</w:t>
      </w:r>
    </w:p>
    <w:p w14:paraId="10383DDD" w14:textId="77777777" w:rsidR="004101EE" w:rsidRPr="004101EE" w:rsidRDefault="004101EE" w:rsidP="004101EE">
      <w:pPr>
        <w:pStyle w:val="Heading1"/>
        <w:tabs>
          <w:tab w:val="clear" w:pos="0"/>
          <w:tab w:val="num" w:pos="792"/>
        </w:tabs>
        <w:rPr>
          <w:lang w:val="es-MX"/>
        </w:rPr>
      </w:pPr>
      <w:r w:rsidRPr="004101EE">
        <w:rPr>
          <w:lang w:val="es-MX"/>
        </w:rPr>
        <w:t>En la 97ª reunión</w:t>
      </w:r>
      <w:r w:rsidRPr="004101EE">
        <w:rPr>
          <w:vertAlign w:val="superscript"/>
          <w:lang w:val="es-MX"/>
        </w:rPr>
        <w:footnoteReference w:id="32"/>
      </w:r>
      <w:r w:rsidRPr="004101EE">
        <w:rPr>
          <w:lang w:val="es-MX"/>
        </w:rPr>
        <w:t xml:space="preserve"> [</w:t>
      </w:r>
      <w:r w:rsidRPr="004101EE">
        <w:rPr>
          <w:highlight w:val="yellow"/>
          <w:lang w:val="es-MX"/>
        </w:rPr>
        <w:t>y en la 98ª reunión</w:t>
      </w:r>
      <w:r w:rsidRPr="004101EE">
        <w:rPr>
          <w:rStyle w:val="FootnoteReference"/>
          <w:highlight w:val="yellow"/>
          <w:lang w:val="es-MX"/>
        </w:rPr>
        <w:footnoteReference w:id="33"/>
      </w:r>
      <w:r w:rsidRPr="004101EE">
        <w:rPr>
          <w:lang w:val="es-MX"/>
        </w:rPr>
        <w:t>] el Comité Ejecutivo examinó documentos que contenían informes sobre proyectos con requisitos específicos de presentación de informes. Proyectos para los que no había cuestiones pendientes de políticas, costos u otras cuestiones, en la 97ª reunión, relacionados con los PGEH de cuatro países; los proyectos de Acuerdos entre los gobiernos y el Comité Ejecutivo para la reducción del consumo de HFC de conformidad con la etapa I de los KIP para 14 países; actividades adicionales para mantener la eficiencia energética en el sector de refrigeración, en virtud de la decisión 89/6, para un país; una solicitud de cambio de organismo de ejecución para la etapa III del PGEH y la etapa I del KIP para un país; y una solicitud de cancelación de proyectos en curso en un país. [</w:t>
      </w:r>
      <w:r w:rsidRPr="004101EE">
        <w:rPr>
          <w:highlight w:val="yellow"/>
          <w:lang w:val="es-MX"/>
        </w:rPr>
        <w:t>En la 98ª reunión, los proyectos relacionados con...</w:t>
      </w:r>
      <w:r w:rsidRPr="004101EE">
        <w:rPr>
          <w:lang w:val="es-MX"/>
        </w:rPr>
        <w:t>] El Comité tomó nota de los informes y la información proporcionada y acordó una serie de medidas que incluyeron, en la 97ª reunión, la aprobación de 14 Acuerdos para la etapa I de los KIP que habían sido aprobados en las reuniones 92ª a 95ª, la transferencia de la ejecución de todas las actividades de la etapa III de un PGEH y la etapa I de un KIP para un país, de un organismo a otro, junto con la transferencia de los fondos conexos y la cancelación de todos los proyectos en curso en un país [</w:t>
      </w:r>
      <w:r w:rsidRPr="004101EE">
        <w:rPr>
          <w:highlight w:val="yellow"/>
          <w:lang w:val="es-MX"/>
        </w:rPr>
        <w:t>y, en la 98ª reunión...]</w:t>
      </w:r>
      <w:r w:rsidRPr="004101EE">
        <w:rPr>
          <w:lang w:val="es-MX"/>
        </w:rPr>
        <w:t xml:space="preserve"> El Comité Ejecutivo también solicitó otras medidas a los países y a los organismos de ejecución (decisiones 97/15 a 97/19 [</w:t>
      </w:r>
      <w:r w:rsidRPr="004101EE">
        <w:rPr>
          <w:highlight w:val="yellow"/>
          <w:lang w:val="es-MX"/>
        </w:rPr>
        <w:t>y 98/?? a 98/??</w:t>
      </w:r>
      <w:r w:rsidRPr="004101EE">
        <w:rPr>
          <w:lang w:val="es-MX"/>
        </w:rPr>
        <w:t xml:space="preserve">]). </w:t>
      </w:r>
    </w:p>
    <w:p w14:paraId="58A9FA4F" w14:textId="77777777" w:rsidR="004101EE" w:rsidRPr="004101EE" w:rsidRDefault="004101EE" w:rsidP="004101EE">
      <w:pPr>
        <w:pStyle w:val="Heading1"/>
        <w:tabs>
          <w:tab w:val="clear" w:pos="0"/>
          <w:tab w:val="num" w:pos="792"/>
        </w:tabs>
        <w:rPr>
          <w:lang w:val="es-MX"/>
        </w:rPr>
      </w:pPr>
      <w:r w:rsidRPr="004101EE">
        <w:rPr>
          <w:lang w:val="es-MX"/>
        </w:rPr>
        <w:t xml:space="preserve">En la 97ª reunión, se consideraron individualmente los PGEH para la República Islámica del Irán, Pakistán y Qatar. El Comité Ejecutivo tomó nota de los informes (decisiones 97/20 a 97/22) y aprobó, de forma excepcional, la prórroga de la duración de la etapa II del PGEH para la República Islámica del Irán (decisión 97/20) y la reasignación de saldos de financiación de una actividad a otras actividades de la etapa III del PGEH para Pakistán (decisión 97/21). </w:t>
      </w:r>
    </w:p>
    <w:p w14:paraId="0BF49D4B" w14:textId="77777777" w:rsidR="004101EE" w:rsidRPr="004101EE" w:rsidRDefault="004101EE" w:rsidP="004101EE">
      <w:pPr>
        <w:pStyle w:val="Heading1"/>
        <w:tabs>
          <w:tab w:val="clear" w:pos="0"/>
          <w:tab w:val="num" w:pos="792"/>
        </w:tabs>
        <w:rPr>
          <w:lang w:val="es-MX"/>
        </w:rPr>
      </w:pPr>
      <w:r w:rsidRPr="004101EE">
        <w:rPr>
          <w:lang w:val="es-MX"/>
        </w:rPr>
        <w:t>[</w:t>
      </w:r>
      <w:r w:rsidRPr="004101EE">
        <w:rPr>
          <w:highlight w:val="yellow"/>
          <w:lang w:val="es-MX"/>
        </w:rPr>
        <w:t>En la 98ª reunión,...</w:t>
      </w:r>
      <w:r w:rsidRPr="004101EE">
        <w:rPr>
          <w:lang w:val="es-MX"/>
        </w:rPr>
        <w:t>]</w:t>
      </w:r>
    </w:p>
    <w:p w14:paraId="4242EBA3" w14:textId="77777777" w:rsidR="004101EE" w:rsidRPr="004101EE" w:rsidRDefault="004101EE" w:rsidP="004101EE">
      <w:pPr>
        <w:keepNext/>
        <w:spacing w:after="240"/>
        <w:jc w:val="left"/>
        <w:outlineLvl w:val="1"/>
        <w:rPr>
          <w:b/>
          <w:bCs/>
          <w:sz w:val="24"/>
          <w:szCs w:val="24"/>
          <w:lang w:val="es-MX"/>
        </w:rPr>
      </w:pPr>
      <w:r w:rsidRPr="004101EE">
        <w:rPr>
          <w:b/>
          <w:sz w:val="24"/>
          <w:lang w:val="es-MX"/>
        </w:rPr>
        <w:t>D.</w:t>
      </w:r>
      <w:r w:rsidRPr="004101EE">
        <w:rPr>
          <w:b/>
          <w:sz w:val="24"/>
          <w:lang w:val="es-MX"/>
        </w:rPr>
        <w:tab/>
        <w:t>Evaluación</w:t>
      </w:r>
    </w:p>
    <w:p w14:paraId="1C569832" w14:textId="77777777" w:rsidR="004101EE" w:rsidRPr="004101EE" w:rsidRDefault="004101EE" w:rsidP="004101EE">
      <w:pPr>
        <w:spacing w:after="240"/>
        <w:ind w:left="720" w:hanging="720"/>
        <w:outlineLvl w:val="0"/>
        <w:rPr>
          <w:b/>
          <w:bCs/>
          <w:lang w:val="es-MX"/>
        </w:rPr>
      </w:pPr>
      <w:r w:rsidRPr="004101EE">
        <w:rPr>
          <w:b/>
          <w:sz w:val="20"/>
          <w:lang w:val="es-MX"/>
        </w:rPr>
        <w:t>a</w:t>
      </w:r>
      <w:r w:rsidRPr="004101EE">
        <w:rPr>
          <w:b/>
          <w:lang w:val="es-MX"/>
        </w:rPr>
        <w:t>)</w:t>
      </w:r>
      <w:r w:rsidRPr="004101EE">
        <w:rPr>
          <w:b/>
          <w:lang w:val="es-MX"/>
        </w:rPr>
        <w:tab/>
        <w:t>Desempeño de los organismos de ejecución</w:t>
      </w:r>
    </w:p>
    <w:p w14:paraId="411970AF" w14:textId="77777777" w:rsidR="004101EE" w:rsidRPr="004101EE" w:rsidRDefault="004101EE" w:rsidP="004101EE">
      <w:pPr>
        <w:pStyle w:val="Heading1"/>
        <w:tabs>
          <w:tab w:val="clear" w:pos="0"/>
          <w:tab w:val="num" w:pos="792"/>
        </w:tabs>
        <w:rPr>
          <w:bCs/>
          <w:lang w:val="es-MX"/>
        </w:rPr>
      </w:pPr>
      <w:r w:rsidRPr="004101EE">
        <w:rPr>
          <w:lang w:val="es-MX"/>
        </w:rPr>
        <w:t>En la 97ª reunión, el Comité Ejecutivo tomó nota de la evaluación del desempeño de los organismos de ejecución comparándolos con sus planes administrativos para 2024.</w:t>
      </w:r>
      <w:r w:rsidRPr="004101EE">
        <w:rPr>
          <w:bCs/>
          <w:vertAlign w:val="superscript"/>
          <w:lang w:val="es-MX"/>
        </w:rPr>
        <w:footnoteReference w:id="34"/>
      </w:r>
      <w:r w:rsidRPr="004101EE">
        <w:rPr>
          <w:lang w:val="es-MX"/>
        </w:rPr>
        <w:t xml:space="preserve"> Todos los organismos de ejecución tuvieron una evaluación cuantitativa de su desempeño para 2024 de 84 como mínimo en una escala de 100, y el desempeño cuantitativo del PNUD y el PNUMA en 2024 había mejorado en comparación con 2023. </w:t>
      </w:r>
      <w:bookmarkStart w:id="1" w:name="_Hlk162872086"/>
      <w:r w:rsidRPr="004101EE">
        <w:rPr>
          <w:lang w:val="es-MX"/>
        </w:rPr>
        <w:t>No obstante, el análisis de tendencias indicó que, en 2024, para algunos indicadores, el desempeño de los organismos de ejecución no había mejorado en comparación con 2023. El Comité tomó nota, con reconocimiento,</w:t>
      </w:r>
      <w:bookmarkEnd w:id="1"/>
      <w:r w:rsidRPr="004101EE">
        <w:rPr>
          <w:lang w:val="es-MX"/>
        </w:rPr>
        <w:t xml:space="preserve"> de los esfuerzos de los organismos bilaterales y de ejecución en cuanto a mantener conversaciones abiertas y constructivas con las respectivas dependencias nacionales del ozono sobre los ámbitos en que sus servicios fueron percibidos no del todo satisfactorios y de que los resultados logrados por estas consultas habían sido satisfactorios. El Comité Ejecutivo alentó a las dependencias nacionales del ozono a presentar anualmente y con puntualidad su evaluación del desempeño cualitativo de los organismos bilaterales y de ejecución que colaboraban con sus gobiernos (decisión 97/7).</w:t>
      </w:r>
    </w:p>
    <w:p w14:paraId="0804BE19" w14:textId="77777777" w:rsidR="004101EE" w:rsidRPr="004101EE" w:rsidRDefault="004101EE" w:rsidP="004101EE">
      <w:pPr>
        <w:keepNext/>
        <w:spacing w:before="240" w:after="240"/>
        <w:ind w:left="720" w:hanging="720"/>
        <w:outlineLvl w:val="1"/>
        <w:rPr>
          <w:b/>
          <w:lang w:val="es-MX"/>
        </w:rPr>
      </w:pPr>
      <w:r w:rsidRPr="004101EE">
        <w:rPr>
          <w:b/>
          <w:lang w:val="es-MX"/>
        </w:rPr>
        <w:lastRenderedPageBreak/>
        <w:t>b)</w:t>
      </w:r>
      <w:r w:rsidRPr="004101EE">
        <w:rPr>
          <w:b/>
          <w:lang w:val="es-MX"/>
        </w:rPr>
        <w:tab/>
        <w:t>Informe anual sobre la implementación del programa de trabajo de supervisión y evaluación del año 2025 y del programa de trabajo de evaluación del año 2026</w:t>
      </w:r>
    </w:p>
    <w:p w14:paraId="38FD745D" w14:textId="77777777" w:rsidR="004101EE" w:rsidRPr="004101EE" w:rsidRDefault="004101EE" w:rsidP="004101EE">
      <w:pPr>
        <w:pStyle w:val="Heading1"/>
        <w:tabs>
          <w:tab w:val="clear" w:pos="0"/>
          <w:tab w:val="num" w:pos="792"/>
        </w:tabs>
        <w:rPr>
          <w:b/>
          <w:bCs/>
          <w:lang w:val="es-MX"/>
        </w:rPr>
      </w:pPr>
      <w:r w:rsidRPr="004101EE">
        <w:rPr>
          <w:lang w:val="es-MX"/>
        </w:rPr>
        <w:t>En la 97ª reunión, el Comité Ejecutivo examinó el informe anual sobre la ejecución del programa de trabajo de supervisión y evaluación para 2025, incluida la experiencia de prueba de un ciclo bienal para el programa de trabajo y el presupuesto, y el programa de trabajo de evaluación para 2026.</w:t>
      </w:r>
      <w:r w:rsidRPr="004101EE">
        <w:rPr>
          <w:rStyle w:val="FootnoteReference"/>
          <w:lang w:val="es-MX"/>
        </w:rPr>
        <w:footnoteReference w:id="35"/>
      </w:r>
      <w:r w:rsidRPr="004101EE">
        <w:rPr>
          <w:lang w:val="es-MX"/>
        </w:rPr>
        <w:t xml:space="preserve"> Aprobó el programa de trabajo de evaluación para 2026 </w:t>
      </w:r>
      <w:r w:rsidRPr="004101EE">
        <w:rPr>
          <w:color w:val="000000" w:themeColor="text1"/>
          <w:lang w:val="es-MX"/>
        </w:rPr>
        <w:t>anexo al informe de dicha reunión</w:t>
      </w:r>
      <w:r w:rsidRPr="004101EE">
        <w:rPr>
          <w:rStyle w:val="FootnoteReference"/>
          <w:lang w:val="es-MX"/>
        </w:rPr>
        <w:footnoteReference w:id="36"/>
      </w:r>
      <w:r w:rsidRPr="004101EE">
        <w:rPr>
          <w:lang w:val="es-MX"/>
        </w:rPr>
        <w:t>, y tomó nota de que el saldo provisional restante del presupuesto para 2025, que ascendía a USD 131.759, se trasladaría al presupuesto de evaluación correspondiente para el año 2026 (decisión 97/8).</w:t>
      </w:r>
    </w:p>
    <w:p w14:paraId="6E65DEDC" w14:textId="77777777" w:rsidR="004101EE" w:rsidRPr="004101EE" w:rsidRDefault="004101EE" w:rsidP="004101EE">
      <w:pPr>
        <w:keepNext/>
        <w:spacing w:after="240"/>
        <w:jc w:val="left"/>
        <w:outlineLvl w:val="1"/>
        <w:rPr>
          <w:b/>
          <w:bCs/>
          <w:sz w:val="24"/>
          <w:szCs w:val="24"/>
          <w:lang w:val="es-MX"/>
        </w:rPr>
      </w:pPr>
      <w:r w:rsidRPr="004101EE">
        <w:rPr>
          <w:b/>
          <w:sz w:val="24"/>
          <w:lang w:val="es-MX"/>
        </w:rPr>
        <w:t>E.</w:t>
      </w:r>
      <w:r w:rsidRPr="004101EE">
        <w:rPr>
          <w:b/>
          <w:sz w:val="24"/>
          <w:lang w:val="es-MX"/>
        </w:rPr>
        <w:tab/>
        <w:t>Planificación administrativa y asuntos financieros</w:t>
      </w:r>
    </w:p>
    <w:p w14:paraId="55239E46" w14:textId="77777777" w:rsidR="004101EE" w:rsidRPr="004101EE" w:rsidRDefault="004101EE" w:rsidP="004101EE">
      <w:pPr>
        <w:pStyle w:val="Heading2"/>
        <w:numPr>
          <w:ilvl w:val="0"/>
          <w:numId w:val="0"/>
        </w:numPr>
        <w:jc w:val="left"/>
        <w:rPr>
          <w:b/>
          <w:lang w:val="es-MX"/>
        </w:rPr>
      </w:pPr>
      <w:r w:rsidRPr="004101EE">
        <w:rPr>
          <w:b/>
          <w:lang w:val="es-MX"/>
        </w:rPr>
        <w:t>1.</w:t>
      </w:r>
      <w:r w:rsidRPr="004101EE">
        <w:rPr>
          <w:b/>
          <w:lang w:val="es-MX"/>
        </w:rPr>
        <w:tab/>
        <w:t>Planificación administrativa</w:t>
      </w:r>
    </w:p>
    <w:p w14:paraId="527BC31D" w14:textId="77777777" w:rsidR="004101EE" w:rsidRPr="004101EE" w:rsidRDefault="004101EE" w:rsidP="004101EE">
      <w:pPr>
        <w:pStyle w:val="Heading1"/>
        <w:tabs>
          <w:tab w:val="clear" w:pos="0"/>
          <w:tab w:val="num" w:pos="792"/>
        </w:tabs>
        <w:rPr>
          <w:lang w:val="es-MX"/>
        </w:rPr>
      </w:pPr>
      <w:r w:rsidRPr="004101EE">
        <w:rPr>
          <w:lang w:val="es-MX"/>
        </w:rPr>
        <w:t>En la 97ª reunión, el Comité Ejecutivo examinó una actualización del estado de ejecución del plan administrativo consolidado del Fondo Multilateral para 2025-2027</w:t>
      </w:r>
      <w:r w:rsidRPr="004101EE">
        <w:rPr>
          <w:vertAlign w:val="superscript"/>
          <w:lang w:val="es-MX"/>
        </w:rPr>
        <w:footnoteReference w:id="37"/>
      </w:r>
      <w:r w:rsidRPr="004101EE">
        <w:rPr>
          <w:lang w:val="es-MX"/>
        </w:rPr>
        <w:t>, tomando nota del valor total de las actividades presentadas a la 97ª reunión (decisión 97/23).</w:t>
      </w:r>
    </w:p>
    <w:p w14:paraId="70F907A6" w14:textId="3DB800F6" w:rsidR="004101EE" w:rsidRPr="004101EE" w:rsidRDefault="004101EE" w:rsidP="004101EE">
      <w:pPr>
        <w:pStyle w:val="Heading1"/>
        <w:tabs>
          <w:tab w:val="clear" w:pos="0"/>
          <w:tab w:val="num" w:pos="792"/>
        </w:tabs>
        <w:rPr>
          <w:bCs/>
          <w:lang w:val="es-MX"/>
        </w:rPr>
      </w:pPr>
      <w:r w:rsidRPr="004101EE">
        <w:rPr>
          <w:lang w:val="es-MX"/>
        </w:rPr>
        <w:t>Asimismo, en la 97ª reunión, el Comité Ejecutivo examinó el plan administrativo consolidado del Fondo Multilateral para 2026-2028.</w:t>
      </w:r>
      <w:r w:rsidRPr="004101EE">
        <w:rPr>
          <w:bCs/>
          <w:vertAlign w:val="superscript"/>
          <w:lang w:val="es-MX"/>
        </w:rPr>
        <w:footnoteReference w:id="38"/>
      </w:r>
      <w:r w:rsidRPr="004101EE">
        <w:rPr>
          <w:lang w:val="es-MX"/>
        </w:rPr>
        <w:t xml:space="preserve"> Tras realizar una serie de ajustes, avaló el plan administrativo consolidado para 2026-2028, señalando que dicho aval no suponía la aprobación ni de los proyectos incluidos en ese plan ni de sus niveles de financiación o tonelaje. El Comité también pidió a la Secretaría del Fondo que preparara un breve documento para su examen por el Comité Ejecutivo en su 99ª reunión sobre la actualización de las directrices sobre la preparación de proyectos para la etapa I de los KIP para su uso durante la preparación de la etapa II de los KIP (decisión 97/24). El Comité Ejecutivo también examinó los planes administrativos para 2026-2028 de los organismos bilaterales (Gobiernos de Alemania, Australia, Francia, Italia y el Reino Unido de Gran Bretaña e Irlanda del Norte),</w:t>
      </w:r>
      <w:r w:rsidRPr="004101EE">
        <w:rPr>
          <w:bCs/>
          <w:vertAlign w:val="superscript"/>
          <w:lang w:val="es-MX"/>
        </w:rPr>
        <w:footnoteReference w:id="39"/>
      </w:r>
      <w:r w:rsidRPr="004101EE">
        <w:rPr>
          <w:lang w:val="es-MX"/>
        </w:rPr>
        <w:t xml:space="preserve"> el </w:t>
      </w:r>
      <w:r w:rsidR="00260484">
        <w:rPr>
          <w:lang w:val="es-MX"/>
        </w:rPr>
        <w:t>PNUD</w:t>
      </w:r>
      <w:r w:rsidRPr="004101EE">
        <w:rPr>
          <w:bCs/>
          <w:vertAlign w:val="superscript"/>
          <w:lang w:val="es-MX"/>
        </w:rPr>
        <w:footnoteReference w:id="40"/>
      </w:r>
      <w:r w:rsidRPr="004101EE">
        <w:rPr>
          <w:lang w:val="es-MX"/>
        </w:rPr>
        <w:t xml:space="preserve">, la </w:t>
      </w:r>
      <w:r w:rsidR="00260484">
        <w:rPr>
          <w:lang w:val="es-MX"/>
        </w:rPr>
        <w:t>PNUMA</w:t>
      </w:r>
      <w:r w:rsidRPr="004101EE">
        <w:rPr>
          <w:bCs/>
          <w:vertAlign w:val="superscript"/>
          <w:lang w:val="es-MX"/>
        </w:rPr>
        <w:footnoteReference w:id="41"/>
      </w:r>
      <w:r w:rsidRPr="004101EE">
        <w:rPr>
          <w:lang w:val="es-MX"/>
        </w:rPr>
        <w:t xml:space="preserve">, </w:t>
      </w:r>
      <w:r w:rsidR="00260484">
        <w:rPr>
          <w:lang w:val="es-MX"/>
        </w:rPr>
        <w:t>la ONUDI</w:t>
      </w:r>
      <w:r w:rsidRPr="004101EE">
        <w:rPr>
          <w:bCs/>
          <w:vertAlign w:val="superscript"/>
          <w:lang w:val="es-MX"/>
        </w:rPr>
        <w:footnoteReference w:id="42"/>
      </w:r>
      <w:r w:rsidRPr="004101EE">
        <w:rPr>
          <w:lang w:val="es-MX"/>
        </w:rPr>
        <w:t xml:space="preserve"> y el </w:t>
      </w:r>
      <w:r w:rsidR="00260484">
        <w:rPr>
          <w:lang w:val="es-MX"/>
        </w:rPr>
        <w:t>Banco Mundial</w:t>
      </w:r>
      <w:r w:rsidRPr="004101EE">
        <w:rPr>
          <w:lang w:val="es-MX"/>
        </w:rPr>
        <w:t>.</w:t>
      </w:r>
      <w:r w:rsidRPr="004101EE">
        <w:rPr>
          <w:bCs/>
          <w:vertAlign w:val="superscript"/>
          <w:lang w:val="es-MX"/>
        </w:rPr>
        <w:footnoteReference w:id="43"/>
      </w:r>
      <w:r w:rsidRPr="004101EE">
        <w:rPr>
          <w:lang w:val="es-MX"/>
        </w:rPr>
        <w:t xml:space="preserve"> Tomando nota de los planes, aprobó los indicadores de desempeño para el PNUD, el PNUMA, la ONUDI y el Banco Mundial que figuran en los anexos pertinentes del informe de dicha reunión</w:t>
      </w:r>
      <w:r w:rsidRPr="004101EE">
        <w:rPr>
          <w:bCs/>
          <w:vertAlign w:val="superscript"/>
          <w:lang w:val="es-MX"/>
        </w:rPr>
        <w:footnoteReference w:id="44"/>
      </w:r>
      <w:r w:rsidRPr="004101EE">
        <w:rPr>
          <w:lang w:val="es-MX"/>
        </w:rPr>
        <w:t xml:space="preserve"> (decisiones 97/25 a 97/29).</w:t>
      </w:r>
    </w:p>
    <w:p w14:paraId="1CA75C86" w14:textId="77777777" w:rsidR="004101EE" w:rsidRPr="004101EE" w:rsidRDefault="004101EE" w:rsidP="004101EE">
      <w:pPr>
        <w:pStyle w:val="Heading1"/>
        <w:tabs>
          <w:tab w:val="clear" w:pos="0"/>
          <w:tab w:val="num" w:pos="792"/>
        </w:tabs>
        <w:rPr>
          <w:bCs/>
          <w:lang w:val="es-MX"/>
        </w:rPr>
      </w:pPr>
      <w:r w:rsidRPr="004101EE">
        <w:rPr>
          <w:highlight w:val="yellow"/>
          <w:lang w:val="es-MX"/>
        </w:rPr>
        <w:t>[En la 98ª reunión,...]</w:t>
      </w:r>
    </w:p>
    <w:p w14:paraId="5B9545D6" w14:textId="77777777" w:rsidR="004101EE" w:rsidRPr="004101EE" w:rsidRDefault="004101EE" w:rsidP="004101EE">
      <w:pPr>
        <w:pStyle w:val="Heading2"/>
        <w:numPr>
          <w:ilvl w:val="0"/>
          <w:numId w:val="0"/>
        </w:numPr>
        <w:jc w:val="left"/>
        <w:rPr>
          <w:b/>
          <w:bCs/>
          <w:lang w:val="es-MX"/>
        </w:rPr>
      </w:pPr>
      <w:r w:rsidRPr="004101EE">
        <w:rPr>
          <w:b/>
          <w:lang w:val="es-MX"/>
        </w:rPr>
        <w:t>2.</w:t>
      </w:r>
      <w:r w:rsidRPr="004101EE">
        <w:rPr>
          <w:b/>
          <w:lang w:val="es-MX"/>
        </w:rPr>
        <w:tab/>
        <w:t>Asuntos financieros</w:t>
      </w:r>
    </w:p>
    <w:p w14:paraId="08A515B0" w14:textId="77777777" w:rsidR="004101EE" w:rsidRPr="004101EE" w:rsidRDefault="004101EE" w:rsidP="004101EE">
      <w:pPr>
        <w:pStyle w:val="Heading1"/>
        <w:keepNext/>
        <w:numPr>
          <w:ilvl w:val="0"/>
          <w:numId w:val="0"/>
        </w:numPr>
        <w:spacing w:before="240"/>
        <w:jc w:val="left"/>
        <w:rPr>
          <w:b/>
          <w:sz w:val="20"/>
          <w:szCs w:val="20"/>
          <w:lang w:val="es-MX"/>
        </w:rPr>
      </w:pPr>
      <w:r w:rsidRPr="004101EE">
        <w:rPr>
          <w:b/>
          <w:sz w:val="20"/>
          <w:lang w:val="es-MX"/>
        </w:rPr>
        <w:t>a)</w:t>
      </w:r>
      <w:r w:rsidRPr="004101EE">
        <w:rPr>
          <w:b/>
          <w:sz w:val="20"/>
          <w:lang w:val="es-MX"/>
        </w:rPr>
        <w:tab/>
        <w:t>Situación del Fondo Multilateral</w:t>
      </w:r>
    </w:p>
    <w:p w14:paraId="403DA67A" w14:textId="77777777" w:rsidR="004101EE" w:rsidRPr="004101EE" w:rsidRDefault="004101EE" w:rsidP="004101EE">
      <w:pPr>
        <w:pStyle w:val="Heading1"/>
        <w:tabs>
          <w:tab w:val="clear" w:pos="0"/>
          <w:tab w:val="num" w:pos="792"/>
        </w:tabs>
        <w:rPr>
          <w:bCs/>
          <w:lang w:val="es-MX"/>
        </w:rPr>
      </w:pPr>
      <w:r w:rsidRPr="004101EE">
        <w:rPr>
          <w:lang w:val="es-MX"/>
        </w:rPr>
        <w:t xml:space="preserve">A fecha de </w:t>
      </w:r>
      <w:r w:rsidRPr="004101EE">
        <w:rPr>
          <w:highlight w:val="yellow"/>
          <w:lang w:val="es-MX"/>
        </w:rPr>
        <w:t xml:space="preserve">[?? </w:t>
      </w:r>
      <w:r w:rsidRPr="004101EE">
        <w:rPr>
          <w:lang w:val="es-MX"/>
        </w:rPr>
        <w:t xml:space="preserve">de </w:t>
      </w:r>
      <w:r w:rsidRPr="004101EE">
        <w:rPr>
          <w:highlight w:val="yellow"/>
          <w:lang w:val="es-MX"/>
        </w:rPr>
        <w:t>junio</w:t>
      </w:r>
      <w:r w:rsidRPr="004101EE">
        <w:rPr>
          <w:lang w:val="es-MX"/>
        </w:rPr>
        <w:t xml:space="preserve"> de 2026], los ingresos totales del Fondo Multilateral, incluidos los pagos en efectivo, los pagarés en su poder, las contribuciones bilaterales, los intereses devengados y los ingresos varios, ascendían a </w:t>
      </w:r>
      <w:r w:rsidRPr="004101EE">
        <w:rPr>
          <w:highlight w:val="yellow"/>
          <w:lang w:val="es-MX"/>
        </w:rPr>
        <w:t>USD ???,</w:t>
      </w:r>
      <w:r w:rsidRPr="004101EE">
        <w:rPr>
          <w:lang w:val="es-MX"/>
        </w:rPr>
        <w:t xml:space="preserve"> mientras que las asignaciones totales, incluidas las provisiones, ascendían a </w:t>
      </w:r>
      <w:r w:rsidRPr="004101EE">
        <w:rPr>
          <w:highlight w:val="yellow"/>
          <w:lang w:val="es-MX"/>
        </w:rPr>
        <w:t xml:space="preserve">USD ???. </w:t>
      </w:r>
      <w:r w:rsidRPr="004101EE">
        <w:rPr>
          <w:lang w:val="es-MX"/>
        </w:rPr>
        <w:t xml:space="preserve">Por lo tanto, el saldo disponible ascendía a </w:t>
      </w:r>
      <w:r w:rsidRPr="004101EE">
        <w:rPr>
          <w:highlight w:val="yellow"/>
          <w:lang w:val="es-MX"/>
        </w:rPr>
        <w:t>USD ???</w:t>
      </w:r>
      <w:r w:rsidRPr="004101EE">
        <w:rPr>
          <w:lang w:val="es-MX"/>
        </w:rPr>
        <w:t>].</w:t>
      </w:r>
      <w:r w:rsidRPr="004101EE">
        <w:rPr>
          <w:rStyle w:val="FootnoteReference"/>
          <w:bCs/>
          <w:lang w:val="es-MX"/>
        </w:rPr>
        <w:footnoteReference w:id="45"/>
      </w:r>
    </w:p>
    <w:p w14:paraId="1828703D" w14:textId="77777777" w:rsidR="004101EE" w:rsidRPr="004101EE" w:rsidRDefault="004101EE" w:rsidP="004101EE">
      <w:pPr>
        <w:pStyle w:val="Heading1"/>
        <w:keepNext/>
        <w:numPr>
          <w:ilvl w:val="0"/>
          <w:numId w:val="0"/>
        </w:numPr>
        <w:spacing w:before="240"/>
        <w:jc w:val="left"/>
        <w:rPr>
          <w:b/>
          <w:sz w:val="20"/>
          <w:szCs w:val="20"/>
          <w:lang w:val="es-MX"/>
        </w:rPr>
      </w:pPr>
      <w:r w:rsidRPr="004101EE">
        <w:rPr>
          <w:b/>
          <w:sz w:val="20"/>
          <w:lang w:val="es-MX"/>
        </w:rPr>
        <w:lastRenderedPageBreak/>
        <w:t>b)</w:t>
      </w:r>
      <w:r w:rsidRPr="004101EE">
        <w:rPr>
          <w:b/>
          <w:sz w:val="20"/>
          <w:lang w:val="es-MX"/>
        </w:rPr>
        <w:tab/>
        <w:t>Contribuciones y desembolsos, saldos y recursos y cuentas y presupuestos</w:t>
      </w:r>
    </w:p>
    <w:p w14:paraId="6266866F" w14:textId="77777777" w:rsidR="004101EE" w:rsidRPr="004101EE" w:rsidRDefault="004101EE" w:rsidP="004101EE">
      <w:pPr>
        <w:pStyle w:val="Heading1"/>
        <w:tabs>
          <w:tab w:val="clear" w:pos="0"/>
          <w:tab w:val="num" w:pos="792"/>
        </w:tabs>
        <w:rPr>
          <w:lang w:val="es-MX"/>
        </w:rPr>
      </w:pPr>
      <w:r w:rsidRPr="004101EE">
        <w:rPr>
          <w:lang w:val="es-MX"/>
        </w:rPr>
        <w:t>En la 97ª reunión, el Comité Ejecutivo examinó el informe de Tesorería sobre la situación de las contribuciones y los desembolsos,</w:t>
      </w:r>
      <w:r w:rsidRPr="004101EE">
        <w:rPr>
          <w:bCs/>
          <w:vertAlign w:val="superscript"/>
          <w:lang w:val="es-MX"/>
        </w:rPr>
        <w:footnoteReference w:id="46"/>
      </w:r>
      <w:r w:rsidRPr="004101EE">
        <w:rPr>
          <w:lang w:val="es-MX"/>
        </w:rPr>
        <w:t xml:space="preserve"> el informe sobre saldos y disponibilidad de recursos,</w:t>
      </w:r>
      <w:r w:rsidRPr="004101EE">
        <w:rPr>
          <w:bCs/>
          <w:vertAlign w:val="superscript"/>
          <w:lang w:val="es-MX"/>
        </w:rPr>
        <w:footnoteReference w:id="47"/>
      </w:r>
      <w:r w:rsidRPr="004101EE">
        <w:rPr>
          <w:lang w:val="es-MX"/>
        </w:rPr>
        <w:t xml:space="preserve"> las cuentas definitivas de 2024 del Fondo Multilateral</w:t>
      </w:r>
      <w:r w:rsidRPr="004101EE">
        <w:rPr>
          <w:bCs/>
          <w:vertAlign w:val="superscript"/>
          <w:lang w:val="es-MX"/>
        </w:rPr>
        <w:footnoteReference w:id="48"/>
      </w:r>
      <w:r w:rsidRPr="004101EE">
        <w:rPr>
          <w:lang w:val="es-MX"/>
        </w:rPr>
        <w:t xml:space="preserve"> y la conciliación de las cuentas de 2024,</w:t>
      </w:r>
      <w:r w:rsidRPr="004101EE">
        <w:rPr>
          <w:bCs/>
          <w:vertAlign w:val="superscript"/>
          <w:lang w:val="es-MX"/>
        </w:rPr>
        <w:footnoteReference w:id="49"/>
      </w:r>
      <w:r w:rsidRPr="004101EE">
        <w:rPr>
          <w:lang w:val="es-MX"/>
        </w:rPr>
        <w:t xml:space="preserve"> solicitando medidas conexas de las partes, los organismos de ejecución, la Tesorería y la Directora (decisiones 97/1 a 97/4). También examinó los presupuestos revisados de la Secretaría del Fondo para 2026 y 2027 y el presupuesto propuesto para 2028</w:t>
      </w:r>
      <w:r w:rsidRPr="004101EE">
        <w:rPr>
          <w:bCs/>
          <w:vertAlign w:val="superscript"/>
          <w:lang w:val="es-MX"/>
        </w:rPr>
        <w:footnoteReference w:id="50"/>
      </w:r>
      <w:r w:rsidRPr="004101EE">
        <w:rPr>
          <w:lang w:val="es-MX"/>
        </w:rPr>
        <w:t xml:space="preserve"> y aprobó los presupuestos revisados para 2026 y 2027 y el presupuesto propuesto para 2028 de la Secretaría del Fondo anexos al informe de la 97ª reunión</w:t>
      </w:r>
      <w:r w:rsidRPr="004101EE">
        <w:rPr>
          <w:rStyle w:val="FootnoteReference"/>
          <w:bCs/>
          <w:lang w:val="es-MX"/>
        </w:rPr>
        <w:footnoteReference w:id="51"/>
      </w:r>
      <w:r w:rsidRPr="004101EE">
        <w:rPr>
          <w:lang w:val="es-MX"/>
        </w:rPr>
        <w:t xml:space="preserve"> (decisión 97/5).</w:t>
      </w:r>
    </w:p>
    <w:p w14:paraId="12404BF6" w14:textId="77777777" w:rsidR="004101EE" w:rsidRPr="004101EE" w:rsidRDefault="004101EE" w:rsidP="004101EE">
      <w:pPr>
        <w:pStyle w:val="Heading1"/>
        <w:tabs>
          <w:tab w:val="clear" w:pos="0"/>
          <w:tab w:val="num" w:pos="792"/>
        </w:tabs>
        <w:rPr>
          <w:lang w:val="es-MX"/>
        </w:rPr>
      </w:pPr>
      <w:r w:rsidRPr="004101EE">
        <w:rPr>
          <w:highlight w:val="yellow"/>
          <w:lang w:val="es-MX"/>
        </w:rPr>
        <w:t>[En la 98ª reunión,...]</w:t>
      </w:r>
    </w:p>
    <w:p w14:paraId="47AEC49B" w14:textId="77777777" w:rsidR="004101EE" w:rsidRPr="004101EE" w:rsidRDefault="004101EE" w:rsidP="004101EE">
      <w:pPr>
        <w:pStyle w:val="Heading1"/>
        <w:tabs>
          <w:tab w:val="clear" w:pos="0"/>
          <w:tab w:val="num" w:pos="792"/>
        </w:tabs>
        <w:rPr>
          <w:lang w:val="es-MX"/>
        </w:rPr>
      </w:pPr>
      <w:r w:rsidRPr="004101EE">
        <w:rPr>
          <w:lang w:val="es-MX"/>
        </w:rPr>
        <w:t xml:space="preserve">En las reuniones 97ª </w:t>
      </w:r>
      <w:r w:rsidRPr="004101EE">
        <w:rPr>
          <w:highlight w:val="yellow"/>
          <w:lang w:val="es-MX"/>
        </w:rPr>
        <w:t>[y 98ª]</w:t>
      </w:r>
      <w:r w:rsidRPr="004101EE">
        <w:rPr>
          <w:lang w:val="es-MX"/>
        </w:rPr>
        <w:t xml:space="preserve">, el Comité Ejecutivo pidió a la Tesorería que imputara el costo de los proyectos bilaterales aprobados en la reunión en cuestión a las contribuciones bilaterales de los gobiernos pertinentes (decisiones 97/34 </w:t>
      </w:r>
      <w:r w:rsidRPr="004101EE">
        <w:rPr>
          <w:highlight w:val="yellow"/>
          <w:lang w:val="es-MX"/>
        </w:rPr>
        <w:t>[y 98/??]</w:t>
      </w:r>
      <w:r w:rsidRPr="004101EE">
        <w:rPr>
          <w:lang w:val="es-MX"/>
        </w:rPr>
        <w:t>).</w:t>
      </w:r>
    </w:p>
    <w:p w14:paraId="16B9368B" w14:textId="77777777" w:rsidR="004101EE" w:rsidRPr="004101EE" w:rsidRDefault="004101EE" w:rsidP="004101EE">
      <w:pPr>
        <w:pStyle w:val="Heading2"/>
        <w:keepNext/>
        <w:numPr>
          <w:ilvl w:val="0"/>
          <w:numId w:val="0"/>
        </w:numPr>
        <w:jc w:val="left"/>
        <w:rPr>
          <w:b/>
          <w:bCs/>
          <w:sz w:val="24"/>
          <w:szCs w:val="24"/>
          <w:highlight w:val="cyan"/>
          <w:lang w:val="es-MX"/>
        </w:rPr>
      </w:pPr>
      <w:r w:rsidRPr="004101EE">
        <w:rPr>
          <w:b/>
          <w:sz w:val="24"/>
          <w:lang w:val="es-MX"/>
        </w:rPr>
        <w:t>F.</w:t>
      </w:r>
      <w:r w:rsidRPr="004101EE">
        <w:rPr>
          <w:b/>
          <w:sz w:val="24"/>
          <w:lang w:val="es-MX"/>
        </w:rPr>
        <w:tab/>
        <w:t>Actividades de la Secretaría del Fondo</w:t>
      </w:r>
    </w:p>
    <w:p w14:paraId="5A6E29DE" w14:textId="77777777" w:rsidR="004101EE" w:rsidRPr="004101EE" w:rsidRDefault="004101EE" w:rsidP="004101EE">
      <w:pPr>
        <w:pStyle w:val="Heading1"/>
        <w:tabs>
          <w:tab w:val="clear" w:pos="0"/>
          <w:tab w:val="num" w:pos="792"/>
        </w:tabs>
        <w:rPr>
          <w:lang w:val="es-MX"/>
        </w:rPr>
      </w:pPr>
      <w:r w:rsidRPr="004101EE">
        <w:rPr>
          <w:lang w:val="es-MX"/>
        </w:rPr>
        <w:t>En la 97ª reunión</w:t>
      </w:r>
      <w:r w:rsidRPr="004101EE">
        <w:rPr>
          <w:vertAlign w:val="superscript"/>
          <w:lang w:val="es-MX"/>
        </w:rPr>
        <w:footnoteReference w:id="52"/>
      </w:r>
      <w:r w:rsidRPr="004101EE">
        <w:rPr>
          <w:lang w:val="es-MX"/>
        </w:rPr>
        <w:t xml:space="preserve"> [</w:t>
      </w:r>
      <w:r w:rsidRPr="004101EE">
        <w:rPr>
          <w:highlight w:val="yellow"/>
          <w:lang w:val="es-MX"/>
        </w:rPr>
        <w:t>y en la 98ª reunión</w:t>
      </w:r>
      <w:r w:rsidRPr="004101EE">
        <w:rPr>
          <w:highlight w:val="yellow"/>
          <w:vertAlign w:val="superscript"/>
          <w:lang w:val="es-MX"/>
        </w:rPr>
        <w:footnoteReference w:id="53"/>
      </w:r>
      <w:r w:rsidRPr="004101EE">
        <w:rPr>
          <w:lang w:val="es-MX"/>
        </w:rPr>
        <w:t>], el Comité Ejecutivo tomó nota, con agradecimiento, de los informes sobre las actividades realizadas por la Secretaría desde la reunión anterior. [</w:t>
      </w:r>
      <w:r w:rsidRPr="004101EE">
        <w:rPr>
          <w:highlight w:val="yellow"/>
          <w:lang w:val="es-MX"/>
        </w:rPr>
        <w:t>En ambas reuniones, se informó al Comité sobre los progresos realizados en la elaboración del sistema de gestión del conocimiento...</w:t>
      </w:r>
      <w:r w:rsidRPr="004101EE">
        <w:rPr>
          <w:lang w:val="es-MX"/>
        </w:rPr>
        <w:t>]</w:t>
      </w:r>
    </w:p>
    <w:p w14:paraId="4F490C67" w14:textId="77777777" w:rsidR="004101EE" w:rsidRPr="004101EE" w:rsidRDefault="004101EE" w:rsidP="004101EE">
      <w:pPr>
        <w:keepNext/>
        <w:spacing w:before="240" w:after="240"/>
        <w:outlineLvl w:val="0"/>
        <w:rPr>
          <w:rFonts w:eastAsia="Times New Roman"/>
          <w:b/>
          <w:bCs/>
          <w:sz w:val="24"/>
          <w:szCs w:val="24"/>
          <w:lang w:val="es-MX"/>
        </w:rPr>
      </w:pPr>
      <w:r w:rsidRPr="004101EE">
        <w:rPr>
          <w:b/>
          <w:sz w:val="24"/>
          <w:lang w:val="es-MX"/>
        </w:rPr>
        <w:t>II.</w:t>
      </w:r>
      <w:r w:rsidRPr="004101EE">
        <w:rPr>
          <w:b/>
          <w:sz w:val="24"/>
          <w:lang w:val="es-MX"/>
        </w:rPr>
        <w:tab/>
        <w:t>Logros del Fondo Multilateral desde sus comienzos</w:t>
      </w:r>
      <w:r w:rsidRPr="004101EE">
        <w:rPr>
          <w:rFonts w:eastAsia="Times New Roman"/>
          <w:b/>
          <w:bCs/>
          <w:sz w:val="24"/>
          <w:szCs w:val="24"/>
          <w:vertAlign w:val="superscript"/>
          <w:lang w:val="es-MX"/>
        </w:rPr>
        <w:footnoteReference w:id="54"/>
      </w:r>
    </w:p>
    <w:p w14:paraId="406DB4B1" w14:textId="77777777" w:rsidR="004101EE" w:rsidRPr="004101EE" w:rsidRDefault="004101EE" w:rsidP="004101EE">
      <w:pPr>
        <w:pStyle w:val="Heading1"/>
        <w:tabs>
          <w:tab w:val="clear" w:pos="0"/>
          <w:tab w:val="num" w:pos="792"/>
        </w:tabs>
        <w:rPr>
          <w:lang w:val="es-MX"/>
        </w:rPr>
      </w:pPr>
      <w:r w:rsidRPr="004101EE">
        <w:rPr>
          <w:lang w:val="es-MX"/>
        </w:rPr>
        <w:t xml:space="preserve">Hasta la 98ª reunión, desde 1991, se habían aprobado </w:t>
      </w:r>
      <w:r w:rsidRPr="004101EE">
        <w:rPr>
          <w:highlight w:val="yellow"/>
          <w:lang w:val="es-MX"/>
        </w:rPr>
        <w:t>??</w:t>
      </w:r>
      <w:r w:rsidRPr="004101EE">
        <w:rPr>
          <w:color w:val="000000"/>
          <w:lang w:val="es-MX"/>
        </w:rPr>
        <w:t xml:space="preserve"> </w:t>
      </w:r>
      <w:r w:rsidRPr="004101EE">
        <w:rPr>
          <w:lang w:val="es-MX"/>
        </w:rPr>
        <w:t xml:space="preserve">proyectos y actividades (excluidos los proyectos cancelados y los proyectos transferidos). La cantidad total de sustancias que agotan la capa de ozono (SAO) que se preveía eliminar mediante la ejecución de esos proyectos ascendía a </w:t>
      </w:r>
      <w:r w:rsidRPr="004101EE">
        <w:rPr>
          <w:highlight w:val="yellow"/>
          <w:lang w:val="es-MX"/>
        </w:rPr>
        <w:t>??</w:t>
      </w:r>
      <w:r w:rsidRPr="004101EE">
        <w:rPr>
          <w:lang w:val="es-MX"/>
        </w:rPr>
        <w:t xml:space="preserve"> toneladas PAO (potencial de agotamiento de la capa de ozono). Sin embargo, el número de toneladas PAO realmente eliminadas fue </w:t>
      </w:r>
      <w:r w:rsidRPr="004101EE">
        <w:rPr>
          <w:highlight w:val="yellow"/>
          <w:lang w:val="es-MX"/>
        </w:rPr>
        <w:t>??</w:t>
      </w:r>
      <w:r w:rsidRPr="004101EE">
        <w:rPr>
          <w:color w:val="000000"/>
          <w:lang w:val="es-MX"/>
        </w:rPr>
        <w:t xml:space="preserve"> </w:t>
      </w:r>
      <w:r w:rsidRPr="004101EE">
        <w:rPr>
          <w:lang w:val="es-MX"/>
        </w:rPr>
        <w:t xml:space="preserve">toneladas PAO (entre consumo y producción), lo que demuestra que la eliminación lograda a través de los proyectos terminados hasta el momento superaba la cantidad prevista. Además, para la misma fecha, se había aprobado la reducción de </w:t>
      </w:r>
      <w:r w:rsidRPr="004101EE">
        <w:rPr>
          <w:highlight w:val="yellow"/>
          <w:lang w:val="es-MX"/>
        </w:rPr>
        <w:t>??</w:t>
      </w:r>
      <w:r w:rsidRPr="004101EE">
        <w:rPr>
          <w:lang w:val="es-MX"/>
        </w:rPr>
        <w:t xml:space="preserve"> toneladas (</w:t>
      </w:r>
      <w:r w:rsidRPr="004101EE">
        <w:rPr>
          <w:highlight w:val="yellow"/>
          <w:lang w:val="es-MX"/>
        </w:rPr>
        <w:t>??</w:t>
      </w:r>
      <w:r w:rsidRPr="004101EE">
        <w:rPr>
          <w:color w:val="000000"/>
          <w:lang w:val="es-MX"/>
        </w:rPr>
        <w:t xml:space="preserve"> </w:t>
      </w:r>
      <w:r w:rsidRPr="004101EE">
        <w:rPr>
          <w:lang w:val="es-MX"/>
        </w:rPr>
        <w:t xml:space="preserve">toneladas equivalentes de dióxido de carbono) de consumo de HFC, y se habían reducido ya realmente </w:t>
      </w:r>
      <w:r w:rsidRPr="004101EE">
        <w:rPr>
          <w:highlight w:val="yellow"/>
          <w:lang w:val="es-MX"/>
        </w:rPr>
        <w:t>??</w:t>
      </w:r>
      <w:r w:rsidRPr="004101EE">
        <w:rPr>
          <w:lang w:val="es-MX"/>
        </w:rPr>
        <w:t xml:space="preserve"> toneladas (</w:t>
      </w:r>
      <w:r w:rsidRPr="004101EE">
        <w:rPr>
          <w:highlight w:val="yellow"/>
          <w:lang w:val="es-MX"/>
        </w:rPr>
        <w:t>??</w:t>
      </w:r>
      <w:r w:rsidRPr="004101EE">
        <w:rPr>
          <w:color w:val="000000"/>
          <w:lang w:val="es-MX"/>
        </w:rPr>
        <w:t> toneladas equivalentes de dióxido de carbono</w:t>
      </w:r>
      <w:r w:rsidRPr="004101EE">
        <w:rPr>
          <w:lang w:val="es-MX"/>
        </w:rPr>
        <w:t>). El cuadro 2 a continuación muestra la distribución geográfica y sectorial de la eliminación lograda por todos los proyectos, actividades y fondos aprobados desde el comienzo.</w:t>
      </w:r>
    </w:p>
    <w:p w14:paraId="4BB9CC02" w14:textId="77777777" w:rsidR="004101EE" w:rsidRPr="004101EE" w:rsidRDefault="004101EE" w:rsidP="004101EE">
      <w:pPr>
        <w:pStyle w:val="Heading1"/>
        <w:keepNext/>
        <w:numPr>
          <w:ilvl w:val="0"/>
          <w:numId w:val="0"/>
        </w:numPr>
        <w:spacing w:after="0"/>
        <w:rPr>
          <w:color w:val="000000"/>
          <w:lang w:val="es-MX"/>
        </w:rPr>
      </w:pPr>
      <w:r w:rsidRPr="004101EE">
        <w:rPr>
          <w:lang w:val="es-MX"/>
        </w:rPr>
        <w:lastRenderedPageBreak/>
        <w:t>Cuadro 2</w:t>
      </w:r>
    </w:p>
    <w:p w14:paraId="31D43D2C" w14:textId="77777777" w:rsidR="004101EE" w:rsidRPr="004101EE" w:rsidRDefault="004101EE" w:rsidP="004101EE">
      <w:pPr>
        <w:pStyle w:val="Heading1"/>
        <w:keepNext/>
        <w:numPr>
          <w:ilvl w:val="0"/>
          <w:numId w:val="0"/>
        </w:numPr>
        <w:spacing w:after="0"/>
        <w:rPr>
          <w:b/>
          <w:bCs/>
          <w:lang w:val="es-MX"/>
        </w:rPr>
      </w:pPr>
      <w:r w:rsidRPr="004101EE">
        <w:rPr>
          <w:b/>
          <w:lang w:val="es-MX"/>
        </w:rPr>
        <w:t>Eliminación y fondos aprobados, por región y sector, desde el comienzo del Fondo Multilateral</w:t>
      </w:r>
    </w:p>
    <w:tbl>
      <w:tblPr>
        <w:tblW w:w="10245" w:type="dxa"/>
        <w:tblInd w:w="-185" w:type="dxa"/>
        <w:tblLayout w:type="fixed"/>
        <w:tblLook w:val="04A0" w:firstRow="1" w:lastRow="0" w:firstColumn="1" w:lastColumn="0" w:noHBand="0" w:noVBand="1"/>
      </w:tblPr>
      <w:tblGrid>
        <w:gridCol w:w="1350"/>
        <w:gridCol w:w="900"/>
        <w:gridCol w:w="1170"/>
        <w:gridCol w:w="1247"/>
        <w:gridCol w:w="1134"/>
        <w:gridCol w:w="1309"/>
        <w:gridCol w:w="990"/>
        <w:gridCol w:w="990"/>
        <w:gridCol w:w="1155"/>
      </w:tblGrid>
      <w:tr w:rsidR="004101EE" w:rsidRPr="004101EE" w14:paraId="292D46E6" w14:textId="77777777" w:rsidTr="00DB796A">
        <w:trPr>
          <w:trHeight w:val="1493"/>
          <w:tblHeader/>
        </w:trPr>
        <w:tc>
          <w:tcPr>
            <w:tcW w:w="1350" w:type="dxa"/>
            <w:tcBorders>
              <w:top w:val="single" w:sz="4" w:space="0" w:color="auto"/>
              <w:left w:val="single" w:sz="4" w:space="0" w:color="auto"/>
              <w:bottom w:val="single" w:sz="4" w:space="0" w:color="auto"/>
              <w:right w:val="single" w:sz="4" w:space="0" w:color="auto"/>
            </w:tcBorders>
            <w:hideMark/>
          </w:tcPr>
          <w:p w14:paraId="363B8FA9" w14:textId="77777777" w:rsidR="004101EE" w:rsidRPr="004101EE" w:rsidRDefault="004101EE" w:rsidP="00B54D92">
            <w:pPr>
              <w:jc w:val="center"/>
              <w:rPr>
                <w:b/>
                <w:bCs/>
                <w:color w:val="000000"/>
                <w:sz w:val="17"/>
                <w:szCs w:val="17"/>
                <w:lang w:val="es-MX"/>
              </w:rPr>
            </w:pPr>
            <w:r w:rsidRPr="004101EE">
              <w:rPr>
                <w:b/>
                <w:color w:val="000000"/>
                <w:sz w:val="17"/>
                <w:lang w:val="es-MX"/>
              </w:rPr>
              <w:t>Descripción</w:t>
            </w:r>
          </w:p>
        </w:tc>
        <w:tc>
          <w:tcPr>
            <w:tcW w:w="900" w:type="dxa"/>
            <w:tcBorders>
              <w:top w:val="single" w:sz="4" w:space="0" w:color="auto"/>
              <w:left w:val="nil"/>
              <w:bottom w:val="single" w:sz="4" w:space="0" w:color="auto"/>
              <w:right w:val="single" w:sz="4" w:space="0" w:color="auto"/>
            </w:tcBorders>
            <w:hideMark/>
          </w:tcPr>
          <w:p w14:paraId="26031598" w14:textId="77777777" w:rsidR="004101EE" w:rsidRPr="004101EE" w:rsidRDefault="004101EE" w:rsidP="00B54D92">
            <w:pPr>
              <w:ind w:left="-104" w:right="-104"/>
              <w:jc w:val="center"/>
              <w:rPr>
                <w:b/>
                <w:bCs/>
                <w:color w:val="000000"/>
                <w:sz w:val="17"/>
                <w:szCs w:val="17"/>
                <w:lang w:val="es-MX"/>
              </w:rPr>
            </w:pPr>
            <w:r w:rsidRPr="004101EE">
              <w:rPr>
                <w:b/>
                <w:color w:val="000000"/>
                <w:sz w:val="17"/>
                <w:lang w:val="es-MX"/>
              </w:rPr>
              <w:t xml:space="preserve">Número de proyectos* </w:t>
            </w:r>
          </w:p>
          <w:p w14:paraId="5F6041D5" w14:textId="77777777" w:rsidR="004101EE" w:rsidRPr="004101EE" w:rsidRDefault="004101EE" w:rsidP="00B54D92">
            <w:pPr>
              <w:ind w:left="-104" w:right="-104"/>
              <w:jc w:val="center"/>
              <w:rPr>
                <w:b/>
                <w:bCs/>
                <w:color w:val="000000"/>
                <w:sz w:val="17"/>
                <w:szCs w:val="17"/>
                <w:lang w:val="es-MX"/>
              </w:rPr>
            </w:pPr>
          </w:p>
        </w:tc>
        <w:tc>
          <w:tcPr>
            <w:tcW w:w="1170" w:type="dxa"/>
            <w:tcBorders>
              <w:top w:val="single" w:sz="4" w:space="0" w:color="auto"/>
              <w:left w:val="nil"/>
              <w:bottom w:val="single" w:sz="4" w:space="0" w:color="auto"/>
              <w:right w:val="single" w:sz="4" w:space="0" w:color="auto"/>
            </w:tcBorders>
            <w:hideMark/>
          </w:tcPr>
          <w:p w14:paraId="054122BE" w14:textId="77777777" w:rsidR="00DD525E" w:rsidRDefault="004101EE" w:rsidP="00B54D92">
            <w:pPr>
              <w:ind w:left="-178" w:right="-167"/>
              <w:jc w:val="center"/>
              <w:rPr>
                <w:b/>
                <w:color w:val="000000"/>
                <w:sz w:val="17"/>
                <w:lang w:val="es-MX"/>
              </w:rPr>
            </w:pPr>
            <w:r w:rsidRPr="004101EE">
              <w:rPr>
                <w:b/>
                <w:color w:val="000000"/>
                <w:sz w:val="17"/>
                <w:lang w:val="es-MX"/>
              </w:rPr>
              <w:t xml:space="preserve">Consumo: Toneladas </w:t>
            </w:r>
          </w:p>
          <w:p w14:paraId="2C75902B" w14:textId="77777777" w:rsidR="00DD525E" w:rsidRDefault="004101EE" w:rsidP="00B54D92">
            <w:pPr>
              <w:ind w:left="-178" w:right="-167"/>
              <w:jc w:val="center"/>
              <w:rPr>
                <w:b/>
                <w:color w:val="000000"/>
                <w:sz w:val="17"/>
                <w:lang w:val="es-MX"/>
              </w:rPr>
            </w:pPr>
            <w:r w:rsidRPr="004101EE">
              <w:rPr>
                <w:b/>
                <w:color w:val="000000"/>
                <w:sz w:val="17"/>
                <w:lang w:val="es-MX"/>
              </w:rPr>
              <w:t xml:space="preserve">PAO </w:t>
            </w:r>
          </w:p>
          <w:p w14:paraId="0DD954D3" w14:textId="2EDE97E2" w:rsidR="00AD6CA1" w:rsidRDefault="004101EE" w:rsidP="00B54D92">
            <w:pPr>
              <w:ind w:left="-178" w:right="-167"/>
              <w:jc w:val="center"/>
              <w:rPr>
                <w:b/>
                <w:color w:val="000000"/>
                <w:sz w:val="17"/>
                <w:lang w:val="es-MX"/>
              </w:rPr>
            </w:pPr>
            <w:r w:rsidRPr="004101EE">
              <w:rPr>
                <w:b/>
                <w:color w:val="000000"/>
                <w:sz w:val="17"/>
                <w:lang w:val="es-MX"/>
              </w:rPr>
              <w:t>aprobadas</w:t>
            </w:r>
          </w:p>
          <w:p w14:paraId="284F8072" w14:textId="77777777" w:rsidR="00AD6CA1" w:rsidRDefault="004101EE" w:rsidP="00B54D92">
            <w:pPr>
              <w:ind w:left="-178" w:right="-167"/>
              <w:jc w:val="center"/>
              <w:rPr>
                <w:b/>
                <w:color w:val="000000"/>
                <w:sz w:val="17"/>
                <w:lang w:val="es-MX"/>
              </w:rPr>
            </w:pPr>
            <w:r w:rsidRPr="004101EE">
              <w:rPr>
                <w:b/>
                <w:color w:val="000000"/>
                <w:sz w:val="17"/>
                <w:lang w:val="es-MX"/>
              </w:rPr>
              <w:t>para proyectos relacionados</w:t>
            </w:r>
          </w:p>
          <w:p w14:paraId="0ACA6B83" w14:textId="0E5D31E3" w:rsidR="004101EE" w:rsidRPr="004101EE" w:rsidRDefault="004101EE" w:rsidP="00B54D92">
            <w:pPr>
              <w:ind w:left="-178" w:right="-167"/>
              <w:jc w:val="center"/>
              <w:rPr>
                <w:b/>
                <w:bCs/>
                <w:color w:val="000000"/>
                <w:sz w:val="17"/>
                <w:szCs w:val="17"/>
                <w:lang w:val="es-MX"/>
              </w:rPr>
            </w:pPr>
            <w:r w:rsidRPr="004101EE">
              <w:rPr>
                <w:b/>
                <w:color w:val="000000"/>
                <w:sz w:val="17"/>
                <w:lang w:val="es-MX"/>
              </w:rPr>
              <w:t>con SAO*</w:t>
            </w:r>
          </w:p>
        </w:tc>
        <w:tc>
          <w:tcPr>
            <w:tcW w:w="1247" w:type="dxa"/>
            <w:tcBorders>
              <w:top w:val="single" w:sz="4" w:space="0" w:color="auto"/>
              <w:left w:val="nil"/>
              <w:bottom w:val="single" w:sz="4" w:space="0" w:color="auto"/>
              <w:right w:val="single" w:sz="4" w:space="0" w:color="auto"/>
            </w:tcBorders>
            <w:hideMark/>
          </w:tcPr>
          <w:p w14:paraId="4878F4D1" w14:textId="77777777" w:rsidR="00DD525E" w:rsidRDefault="004101EE" w:rsidP="00B54D92">
            <w:pPr>
              <w:ind w:left="-188" w:right="-192"/>
              <w:jc w:val="center"/>
              <w:rPr>
                <w:b/>
                <w:color w:val="000000"/>
                <w:sz w:val="17"/>
                <w:lang w:val="es-MX"/>
              </w:rPr>
            </w:pPr>
            <w:r w:rsidRPr="004101EE">
              <w:rPr>
                <w:b/>
                <w:color w:val="000000"/>
                <w:sz w:val="17"/>
                <w:lang w:val="es-MX"/>
              </w:rPr>
              <w:t xml:space="preserve">Consumo: </w:t>
            </w:r>
          </w:p>
          <w:p w14:paraId="0CF4C360" w14:textId="77777777" w:rsidR="00DB796A" w:rsidRDefault="004101EE" w:rsidP="00B54D92">
            <w:pPr>
              <w:ind w:left="-188" w:right="-192"/>
              <w:jc w:val="center"/>
              <w:rPr>
                <w:b/>
                <w:color w:val="000000"/>
                <w:sz w:val="17"/>
                <w:lang w:val="es-MX"/>
              </w:rPr>
            </w:pPr>
            <w:r w:rsidRPr="004101EE">
              <w:rPr>
                <w:b/>
                <w:color w:val="000000"/>
                <w:sz w:val="17"/>
                <w:lang w:val="es-MX"/>
              </w:rPr>
              <w:t xml:space="preserve">Toneladas </w:t>
            </w:r>
          </w:p>
          <w:p w14:paraId="5736BD68" w14:textId="77777777" w:rsidR="00DB796A" w:rsidRDefault="004101EE" w:rsidP="00B54D92">
            <w:pPr>
              <w:ind w:left="-188" w:right="-192"/>
              <w:jc w:val="center"/>
              <w:rPr>
                <w:b/>
                <w:color w:val="000000"/>
                <w:sz w:val="17"/>
                <w:lang w:val="es-MX"/>
              </w:rPr>
            </w:pPr>
            <w:r w:rsidRPr="004101EE">
              <w:rPr>
                <w:b/>
                <w:color w:val="000000"/>
                <w:sz w:val="17"/>
                <w:lang w:val="es-MX"/>
              </w:rPr>
              <w:t>PAO</w:t>
            </w:r>
          </w:p>
          <w:p w14:paraId="2C5F8101" w14:textId="24F7F31F" w:rsidR="00AD6CA1" w:rsidRDefault="004101EE" w:rsidP="00B54D92">
            <w:pPr>
              <w:ind w:left="-188" w:right="-192"/>
              <w:jc w:val="center"/>
              <w:rPr>
                <w:b/>
                <w:color w:val="000000"/>
                <w:sz w:val="17"/>
                <w:lang w:val="es-MX"/>
              </w:rPr>
            </w:pPr>
            <w:r w:rsidRPr="004101EE">
              <w:rPr>
                <w:b/>
                <w:color w:val="000000"/>
                <w:sz w:val="17"/>
                <w:lang w:val="es-MX"/>
              </w:rPr>
              <w:t xml:space="preserve"> eliminadas</w:t>
            </w:r>
          </w:p>
          <w:p w14:paraId="13455FEB" w14:textId="77777777" w:rsidR="00AD6CA1" w:rsidRDefault="004101EE" w:rsidP="00B54D92">
            <w:pPr>
              <w:ind w:left="-188" w:right="-192"/>
              <w:jc w:val="center"/>
              <w:rPr>
                <w:b/>
                <w:color w:val="000000"/>
                <w:sz w:val="17"/>
                <w:lang w:val="es-MX"/>
              </w:rPr>
            </w:pPr>
            <w:r w:rsidRPr="004101EE">
              <w:rPr>
                <w:b/>
                <w:color w:val="000000"/>
                <w:sz w:val="17"/>
                <w:lang w:val="es-MX"/>
              </w:rPr>
              <w:t>para proyectos relacionados</w:t>
            </w:r>
          </w:p>
          <w:p w14:paraId="128B3FFB" w14:textId="72D93EA6" w:rsidR="004101EE" w:rsidRPr="004101EE" w:rsidRDefault="004101EE" w:rsidP="00B54D92">
            <w:pPr>
              <w:ind w:left="-188" w:right="-192"/>
              <w:jc w:val="center"/>
              <w:rPr>
                <w:b/>
                <w:bCs/>
                <w:color w:val="000000"/>
                <w:sz w:val="17"/>
                <w:szCs w:val="17"/>
                <w:lang w:val="es-MX"/>
              </w:rPr>
            </w:pPr>
            <w:r w:rsidRPr="004101EE">
              <w:rPr>
                <w:b/>
                <w:color w:val="000000"/>
                <w:sz w:val="17"/>
                <w:lang w:val="es-MX"/>
              </w:rPr>
              <w:t>con SAO*</w:t>
            </w:r>
          </w:p>
        </w:tc>
        <w:tc>
          <w:tcPr>
            <w:tcW w:w="1134" w:type="dxa"/>
            <w:tcBorders>
              <w:top w:val="single" w:sz="4" w:space="0" w:color="auto"/>
              <w:left w:val="nil"/>
              <w:bottom w:val="single" w:sz="4" w:space="0" w:color="auto"/>
              <w:right w:val="single" w:sz="4" w:space="0" w:color="auto"/>
            </w:tcBorders>
            <w:hideMark/>
          </w:tcPr>
          <w:p w14:paraId="58575024" w14:textId="77777777" w:rsidR="00AD6CA1" w:rsidRDefault="004101EE" w:rsidP="00B54D92">
            <w:pPr>
              <w:ind w:left="-190" w:right="-189"/>
              <w:jc w:val="center"/>
              <w:rPr>
                <w:b/>
                <w:color w:val="000000"/>
                <w:sz w:val="17"/>
                <w:lang w:val="es-MX"/>
              </w:rPr>
            </w:pPr>
            <w:r w:rsidRPr="004101EE">
              <w:rPr>
                <w:b/>
                <w:color w:val="000000"/>
                <w:sz w:val="17"/>
                <w:lang w:val="es-MX"/>
              </w:rPr>
              <w:t>Consumo: Toneladas aprobadas</w:t>
            </w:r>
          </w:p>
          <w:p w14:paraId="11013EFD" w14:textId="77777777" w:rsidR="00016FE4" w:rsidRDefault="004101EE" w:rsidP="00B54D92">
            <w:pPr>
              <w:ind w:left="-190" w:right="-189"/>
              <w:jc w:val="center"/>
              <w:rPr>
                <w:b/>
                <w:color w:val="000000"/>
                <w:sz w:val="17"/>
                <w:lang w:val="es-MX"/>
              </w:rPr>
            </w:pPr>
            <w:r w:rsidRPr="004101EE">
              <w:rPr>
                <w:b/>
                <w:color w:val="000000"/>
                <w:sz w:val="17"/>
                <w:lang w:val="es-MX"/>
              </w:rPr>
              <w:t xml:space="preserve">para </w:t>
            </w:r>
          </w:p>
          <w:p w14:paraId="7BF2CA83" w14:textId="0A5243D7" w:rsidR="00AD6CA1" w:rsidRDefault="004101EE" w:rsidP="00B54D92">
            <w:pPr>
              <w:ind w:left="-190" w:right="-189"/>
              <w:jc w:val="center"/>
              <w:rPr>
                <w:b/>
                <w:color w:val="000000"/>
                <w:sz w:val="17"/>
                <w:lang w:val="es-MX"/>
              </w:rPr>
            </w:pPr>
            <w:r w:rsidRPr="004101EE">
              <w:rPr>
                <w:b/>
                <w:color w:val="000000"/>
                <w:sz w:val="17"/>
                <w:lang w:val="es-MX"/>
              </w:rPr>
              <w:t>proyectos relacionados</w:t>
            </w:r>
          </w:p>
          <w:p w14:paraId="03224D4A" w14:textId="297155BC" w:rsidR="004101EE" w:rsidRPr="004101EE" w:rsidRDefault="004101EE" w:rsidP="00B54D92">
            <w:pPr>
              <w:ind w:left="-190" w:right="-189"/>
              <w:jc w:val="center"/>
              <w:rPr>
                <w:b/>
                <w:bCs/>
                <w:color w:val="000000"/>
                <w:sz w:val="17"/>
                <w:szCs w:val="17"/>
                <w:lang w:val="es-MX"/>
              </w:rPr>
            </w:pPr>
            <w:r w:rsidRPr="004101EE">
              <w:rPr>
                <w:b/>
                <w:color w:val="000000"/>
                <w:sz w:val="17"/>
                <w:lang w:val="es-MX"/>
              </w:rPr>
              <w:t>con HFC**</w:t>
            </w:r>
          </w:p>
        </w:tc>
        <w:tc>
          <w:tcPr>
            <w:tcW w:w="1309" w:type="dxa"/>
            <w:tcBorders>
              <w:top w:val="single" w:sz="4" w:space="0" w:color="auto"/>
              <w:left w:val="nil"/>
              <w:bottom w:val="single" w:sz="4" w:space="0" w:color="auto"/>
              <w:right w:val="single" w:sz="4" w:space="0" w:color="auto"/>
            </w:tcBorders>
            <w:hideMark/>
          </w:tcPr>
          <w:p w14:paraId="237D62FA" w14:textId="77777777" w:rsidR="00016FE4" w:rsidRDefault="004101EE" w:rsidP="00016FE4">
            <w:pPr>
              <w:ind w:left="-148" w:right="-90"/>
              <w:jc w:val="center"/>
              <w:rPr>
                <w:b/>
                <w:color w:val="000000"/>
                <w:sz w:val="17"/>
                <w:lang w:val="es-MX"/>
              </w:rPr>
            </w:pPr>
            <w:r w:rsidRPr="004101EE">
              <w:rPr>
                <w:b/>
                <w:color w:val="000000"/>
                <w:sz w:val="17"/>
                <w:lang w:val="es-MX"/>
              </w:rPr>
              <w:t>Consumo: Toneladas eliminadas</w:t>
            </w:r>
          </w:p>
          <w:p w14:paraId="7DE30C0D" w14:textId="77777777" w:rsidR="00016FE4" w:rsidRDefault="004101EE" w:rsidP="00016FE4">
            <w:pPr>
              <w:ind w:left="-148" w:right="-90"/>
              <w:jc w:val="center"/>
              <w:rPr>
                <w:b/>
                <w:color w:val="000000"/>
                <w:sz w:val="17"/>
                <w:lang w:val="es-MX"/>
              </w:rPr>
            </w:pPr>
            <w:r w:rsidRPr="004101EE">
              <w:rPr>
                <w:b/>
                <w:color w:val="000000"/>
                <w:sz w:val="17"/>
                <w:lang w:val="es-MX"/>
              </w:rPr>
              <w:t xml:space="preserve"> para proyectos relacionados </w:t>
            </w:r>
          </w:p>
          <w:p w14:paraId="55FBBFD6" w14:textId="1C4AD53B" w:rsidR="004101EE" w:rsidRPr="004101EE" w:rsidRDefault="004101EE" w:rsidP="00016FE4">
            <w:pPr>
              <w:ind w:left="-148" w:right="-90"/>
              <w:jc w:val="center"/>
              <w:rPr>
                <w:b/>
                <w:bCs/>
                <w:color w:val="000000"/>
                <w:sz w:val="17"/>
                <w:szCs w:val="17"/>
                <w:lang w:val="es-MX"/>
              </w:rPr>
            </w:pPr>
            <w:r w:rsidRPr="004101EE">
              <w:rPr>
                <w:b/>
                <w:color w:val="000000"/>
                <w:sz w:val="17"/>
                <w:lang w:val="es-MX"/>
              </w:rPr>
              <w:t>con HFC**</w:t>
            </w:r>
          </w:p>
        </w:tc>
        <w:tc>
          <w:tcPr>
            <w:tcW w:w="990" w:type="dxa"/>
            <w:tcBorders>
              <w:top w:val="single" w:sz="4" w:space="0" w:color="auto"/>
              <w:left w:val="nil"/>
              <w:bottom w:val="single" w:sz="4" w:space="0" w:color="auto"/>
              <w:right w:val="single" w:sz="4" w:space="0" w:color="auto"/>
            </w:tcBorders>
            <w:hideMark/>
          </w:tcPr>
          <w:p w14:paraId="35FB582D" w14:textId="77777777" w:rsidR="004101EE" w:rsidRPr="004101EE" w:rsidRDefault="004101EE" w:rsidP="00B54D92">
            <w:pPr>
              <w:ind w:left="-156" w:right="-103"/>
              <w:jc w:val="center"/>
              <w:rPr>
                <w:b/>
                <w:bCs/>
                <w:color w:val="000000"/>
                <w:sz w:val="17"/>
                <w:szCs w:val="17"/>
                <w:lang w:val="es-MX"/>
              </w:rPr>
            </w:pPr>
            <w:r w:rsidRPr="004101EE">
              <w:rPr>
                <w:b/>
                <w:color w:val="000000"/>
                <w:sz w:val="17"/>
                <w:lang w:val="es-MX"/>
              </w:rPr>
              <w:t>Producción: Toneladas PAO aprobadas*</w:t>
            </w:r>
          </w:p>
        </w:tc>
        <w:tc>
          <w:tcPr>
            <w:tcW w:w="990" w:type="dxa"/>
            <w:tcBorders>
              <w:top w:val="single" w:sz="4" w:space="0" w:color="auto"/>
              <w:left w:val="nil"/>
              <w:bottom w:val="single" w:sz="4" w:space="0" w:color="auto"/>
              <w:right w:val="single" w:sz="4" w:space="0" w:color="auto"/>
            </w:tcBorders>
            <w:hideMark/>
          </w:tcPr>
          <w:p w14:paraId="06728241" w14:textId="77777777" w:rsidR="004101EE" w:rsidRPr="004101EE" w:rsidRDefault="004101EE" w:rsidP="00B54D92">
            <w:pPr>
              <w:ind w:left="-105" w:right="-106"/>
              <w:jc w:val="center"/>
              <w:rPr>
                <w:b/>
                <w:bCs/>
                <w:color w:val="000000"/>
                <w:sz w:val="17"/>
                <w:szCs w:val="17"/>
                <w:lang w:val="es-MX"/>
              </w:rPr>
            </w:pPr>
            <w:r w:rsidRPr="004101EE">
              <w:rPr>
                <w:b/>
                <w:color w:val="000000"/>
                <w:sz w:val="17"/>
                <w:lang w:val="es-MX"/>
              </w:rPr>
              <w:t>Producción: Toneladas PAO eliminadas*</w:t>
            </w:r>
          </w:p>
        </w:tc>
        <w:tc>
          <w:tcPr>
            <w:tcW w:w="1155" w:type="dxa"/>
            <w:tcBorders>
              <w:top w:val="single" w:sz="4" w:space="0" w:color="auto"/>
              <w:left w:val="nil"/>
              <w:bottom w:val="single" w:sz="4" w:space="0" w:color="auto"/>
              <w:right w:val="single" w:sz="4" w:space="0" w:color="auto"/>
            </w:tcBorders>
            <w:hideMark/>
          </w:tcPr>
          <w:p w14:paraId="71FBAB29" w14:textId="77777777" w:rsidR="004101EE" w:rsidRPr="004101EE" w:rsidRDefault="004101EE" w:rsidP="00B54D92">
            <w:pPr>
              <w:jc w:val="center"/>
              <w:rPr>
                <w:b/>
                <w:bCs/>
                <w:color w:val="000000"/>
                <w:sz w:val="17"/>
                <w:szCs w:val="17"/>
                <w:lang w:val="es-MX"/>
              </w:rPr>
            </w:pPr>
            <w:r w:rsidRPr="004101EE">
              <w:rPr>
                <w:b/>
                <w:color w:val="000000"/>
                <w:sz w:val="17"/>
                <w:lang w:val="es-MX"/>
              </w:rPr>
              <w:t>Fondos aprobados*</w:t>
            </w:r>
          </w:p>
          <w:p w14:paraId="5EE242E5" w14:textId="77777777" w:rsidR="004101EE" w:rsidRPr="004101EE" w:rsidRDefault="004101EE" w:rsidP="00B54D92">
            <w:pPr>
              <w:jc w:val="center"/>
              <w:rPr>
                <w:b/>
                <w:bCs/>
                <w:color w:val="000000"/>
                <w:sz w:val="17"/>
                <w:szCs w:val="17"/>
                <w:lang w:val="es-MX"/>
              </w:rPr>
            </w:pPr>
            <w:r w:rsidRPr="004101EE">
              <w:rPr>
                <w:b/>
                <w:color w:val="000000"/>
                <w:sz w:val="17"/>
                <w:lang w:val="es-MX"/>
              </w:rPr>
              <w:t>(USD)</w:t>
            </w:r>
          </w:p>
        </w:tc>
      </w:tr>
      <w:tr w:rsidR="004101EE" w:rsidRPr="004101EE" w14:paraId="7BE87EBB" w14:textId="77777777" w:rsidTr="00B54D92">
        <w:trPr>
          <w:trHeight w:val="44"/>
        </w:trPr>
        <w:tc>
          <w:tcPr>
            <w:tcW w:w="10245" w:type="dxa"/>
            <w:gridSpan w:val="9"/>
            <w:tcBorders>
              <w:top w:val="nil"/>
              <w:left w:val="single" w:sz="4" w:space="0" w:color="auto"/>
              <w:bottom w:val="single" w:sz="4" w:space="0" w:color="auto"/>
              <w:right w:val="single" w:sz="4" w:space="0" w:color="auto"/>
            </w:tcBorders>
            <w:hideMark/>
          </w:tcPr>
          <w:p w14:paraId="4905BB1F" w14:textId="77777777" w:rsidR="004101EE" w:rsidRPr="004101EE" w:rsidRDefault="004101EE" w:rsidP="00B54D92">
            <w:pPr>
              <w:jc w:val="left"/>
              <w:rPr>
                <w:b/>
                <w:bCs/>
                <w:color w:val="000000"/>
                <w:sz w:val="17"/>
                <w:szCs w:val="17"/>
                <w:lang w:val="es-MX"/>
              </w:rPr>
            </w:pPr>
            <w:r w:rsidRPr="004101EE">
              <w:rPr>
                <w:b/>
                <w:color w:val="000000"/>
                <w:sz w:val="17"/>
                <w:lang w:val="es-MX"/>
              </w:rPr>
              <w:t>Región </w:t>
            </w:r>
          </w:p>
        </w:tc>
      </w:tr>
      <w:tr w:rsidR="004101EE" w:rsidRPr="004101EE" w14:paraId="300BA3BA" w14:textId="77777777" w:rsidTr="00016FE4">
        <w:trPr>
          <w:trHeight w:val="65"/>
        </w:trPr>
        <w:tc>
          <w:tcPr>
            <w:tcW w:w="1350" w:type="dxa"/>
            <w:tcBorders>
              <w:top w:val="nil"/>
              <w:left w:val="single" w:sz="4" w:space="0" w:color="auto"/>
              <w:bottom w:val="single" w:sz="4" w:space="0" w:color="auto"/>
              <w:right w:val="single" w:sz="4" w:space="0" w:color="auto"/>
            </w:tcBorders>
            <w:noWrap/>
            <w:hideMark/>
          </w:tcPr>
          <w:p w14:paraId="2152D069" w14:textId="77777777" w:rsidR="004101EE" w:rsidRPr="004101EE" w:rsidRDefault="004101EE" w:rsidP="00B54D92">
            <w:pPr>
              <w:jc w:val="left"/>
              <w:rPr>
                <w:color w:val="000000"/>
                <w:sz w:val="17"/>
                <w:szCs w:val="17"/>
                <w:lang w:val="es-MX"/>
              </w:rPr>
            </w:pPr>
            <w:r w:rsidRPr="004101EE">
              <w:rPr>
                <w:color w:val="000000"/>
                <w:sz w:val="17"/>
                <w:lang w:val="es-MX"/>
              </w:rPr>
              <w:t>África</w:t>
            </w:r>
          </w:p>
        </w:tc>
        <w:tc>
          <w:tcPr>
            <w:tcW w:w="900" w:type="dxa"/>
            <w:tcBorders>
              <w:top w:val="nil"/>
              <w:left w:val="nil"/>
              <w:bottom w:val="single" w:sz="4" w:space="0" w:color="auto"/>
              <w:right w:val="single" w:sz="4" w:space="0" w:color="auto"/>
            </w:tcBorders>
            <w:noWrap/>
          </w:tcPr>
          <w:p w14:paraId="01120505" w14:textId="77777777" w:rsidR="004101EE" w:rsidRPr="004101EE" w:rsidRDefault="004101EE" w:rsidP="00B54D92">
            <w:pPr>
              <w:jc w:val="right"/>
              <w:rPr>
                <w:i/>
                <w:iCs/>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2B573F20"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4D1D6BD8"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7CBF0BCE"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4834C72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2BCA3EE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08DBDBD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758CA7BB"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6E88AF3F" w14:textId="77777777" w:rsidTr="00016FE4">
        <w:trPr>
          <w:trHeight w:val="124"/>
        </w:trPr>
        <w:tc>
          <w:tcPr>
            <w:tcW w:w="1350" w:type="dxa"/>
            <w:tcBorders>
              <w:top w:val="nil"/>
              <w:left w:val="single" w:sz="4" w:space="0" w:color="auto"/>
              <w:bottom w:val="single" w:sz="4" w:space="0" w:color="auto"/>
              <w:right w:val="single" w:sz="4" w:space="0" w:color="auto"/>
            </w:tcBorders>
            <w:noWrap/>
            <w:hideMark/>
          </w:tcPr>
          <w:p w14:paraId="4994D489" w14:textId="77777777" w:rsidR="004101EE" w:rsidRPr="004101EE" w:rsidRDefault="004101EE" w:rsidP="00B54D92">
            <w:pPr>
              <w:ind w:right="-110"/>
              <w:jc w:val="left"/>
              <w:rPr>
                <w:color w:val="000000"/>
                <w:sz w:val="17"/>
                <w:szCs w:val="17"/>
                <w:lang w:val="es-MX"/>
              </w:rPr>
            </w:pPr>
            <w:r w:rsidRPr="004101EE">
              <w:rPr>
                <w:color w:val="000000"/>
                <w:sz w:val="17"/>
                <w:lang w:val="es-MX"/>
              </w:rPr>
              <w:t>Asia y el Pacífico</w:t>
            </w:r>
          </w:p>
        </w:tc>
        <w:tc>
          <w:tcPr>
            <w:tcW w:w="900" w:type="dxa"/>
            <w:tcBorders>
              <w:top w:val="nil"/>
              <w:left w:val="nil"/>
              <w:bottom w:val="single" w:sz="4" w:space="0" w:color="auto"/>
              <w:right w:val="single" w:sz="4" w:space="0" w:color="auto"/>
            </w:tcBorders>
            <w:noWrap/>
          </w:tcPr>
          <w:p w14:paraId="6DAA6DEC"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3E47F4FD"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698E6A4B"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1790BE0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26D6D2E9"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1A65E93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52B1DCFE"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0C77E494"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5989C692" w14:textId="77777777" w:rsidTr="00016FE4">
        <w:trPr>
          <w:trHeight w:val="56"/>
        </w:trPr>
        <w:tc>
          <w:tcPr>
            <w:tcW w:w="1350" w:type="dxa"/>
            <w:tcBorders>
              <w:top w:val="nil"/>
              <w:left w:val="single" w:sz="4" w:space="0" w:color="auto"/>
              <w:bottom w:val="single" w:sz="4" w:space="0" w:color="auto"/>
              <w:right w:val="single" w:sz="4" w:space="0" w:color="auto"/>
            </w:tcBorders>
            <w:noWrap/>
            <w:hideMark/>
          </w:tcPr>
          <w:p w14:paraId="0CB7E78B" w14:textId="77777777" w:rsidR="004101EE" w:rsidRPr="004101EE" w:rsidRDefault="004101EE" w:rsidP="00B54D92">
            <w:pPr>
              <w:jc w:val="left"/>
              <w:rPr>
                <w:color w:val="000000"/>
                <w:sz w:val="17"/>
                <w:szCs w:val="17"/>
                <w:lang w:val="es-MX"/>
              </w:rPr>
            </w:pPr>
            <w:r w:rsidRPr="004101EE">
              <w:rPr>
                <w:color w:val="000000"/>
                <w:sz w:val="17"/>
                <w:lang w:val="es-MX"/>
              </w:rPr>
              <w:t>Europa</w:t>
            </w:r>
          </w:p>
        </w:tc>
        <w:tc>
          <w:tcPr>
            <w:tcW w:w="900" w:type="dxa"/>
            <w:tcBorders>
              <w:top w:val="nil"/>
              <w:left w:val="nil"/>
              <w:bottom w:val="single" w:sz="4" w:space="0" w:color="auto"/>
              <w:right w:val="single" w:sz="4" w:space="0" w:color="auto"/>
            </w:tcBorders>
            <w:noWrap/>
          </w:tcPr>
          <w:p w14:paraId="063A897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0EB7E556"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3FE5BE9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6BCCFF4A"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326ABDA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43FBA988"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28A3A0C6"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285B81A8"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56121D4E" w14:textId="77777777" w:rsidTr="00016FE4">
        <w:trPr>
          <w:trHeight w:val="273"/>
        </w:trPr>
        <w:tc>
          <w:tcPr>
            <w:tcW w:w="1350" w:type="dxa"/>
            <w:tcBorders>
              <w:top w:val="nil"/>
              <w:left w:val="single" w:sz="4" w:space="0" w:color="auto"/>
              <w:bottom w:val="single" w:sz="4" w:space="0" w:color="auto"/>
              <w:right w:val="single" w:sz="4" w:space="0" w:color="auto"/>
            </w:tcBorders>
            <w:noWrap/>
            <w:hideMark/>
          </w:tcPr>
          <w:p w14:paraId="49251187" w14:textId="77777777" w:rsidR="00DD525E" w:rsidRDefault="004101EE" w:rsidP="00B54D92">
            <w:pPr>
              <w:ind w:right="-248"/>
              <w:jc w:val="left"/>
              <w:rPr>
                <w:color w:val="000000"/>
                <w:sz w:val="17"/>
                <w:lang w:val="es-MX"/>
              </w:rPr>
            </w:pPr>
            <w:r w:rsidRPr="004101EE">
              <w:rPr>
                <w:color w:val="000000"/>
                <w:sz w:val="17"/>
                <w:lang w:val="es-MX"/>
              </w:rPr>
              <w:t xml:space="preserve">América Latina y </w:t>
            </w:r>
          </w:p>
          <w:p w14:paraId="1593C641" w14:textId="6949A3FD" w:rsidR="004101EE" w:rsidRPr="004101EE" w:rsidRDefault="004101EE" w:rsidP="00B54D92">
            <w:pPr>
              <w:ind w:right="-248"/>
              <w:jc w:val="left"/>
              <w:rPr>
                <w:color w:val="000000"/>
                <w:sz w:val="17"/>
                <w:szCs w:val="17"/>
                <w:lang w:val="es-MX"/>
              </w:rPr>
            </w:pPr>
            <w:r w:rsidRPr="004101EE">
              <w:rPr>
                <w:color w:val="000000"/>
                <w:sz w:val="17"/>
                <w:lang w:val="es-MX"/>
              </w:rPr>
              <w:t>el Caribe</w:t>
            </w:r>
          </w:p>
        </w:tc>
        <w:tc>
          <w:tcPr>
            <w:tcW w:w="900" w:type="dxa"/>
            <w:tcBorders>
              <w:top w:val="nil"/>
              <w:left w:val="nil"/>
              <w:bottom w:val="single" w:sz="4" w:space="0" w:color="auto"/>
              <w:right w:val="single" w:sz="4" w:space="0" w:color="auto"/>
            </w:tcBorders>
            <w:noWrap/>
          </w:tcPr>
          <w:p w14:paraId="61295EB6"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0B2367AD"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684D1F7A"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71BD7E08"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0D98FCA2"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412092EA"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19B1007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366B8676"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6982ACFE" w14:textId="77777777" w:rsidTr="00016FE4">
        <w:trPr>
          <w:trHeight w:val="122"/>
        </w:trPr>
        <w:tc>
          <w:tcPr>
            <w:tcW w:w="1350" w:type="dxa"/>
            <w:tcBorders>
              <w:top w:val="nil"/>
              <w:left w:val="single" w:sz="4" w:space="0" w:color="auto"/>
              <w:bottom w:val="single" w:sz="4" w:space="0" w:color="auto"/>
              <w:right w:val="single" w:sz="4" w:space="0" w:color="auto"/>
            </w:tcBorders>
            <w:noWrap/>
            <w:hideMark/>
          </w:tcPr>
          <w:p w14:paraId="0FFB1B45" w14:textId="77777777" w:rsidR="004101EE" w:rsidRPr="004101EE" w:rsidRDefault="004101EE" w:rsidP="00B54D92">
            <w:pPr>
              <w:jc w:val="left"/>
              <w:rPr>
                <w:color w:val="000000"/>
                <w:sz w:val="17"/>
                <w:szCs w:val="17"/>
                <w:lang w:val="es-MX"/>
              </w:rPr>
            </w:pPr>
            <w:r w:rsidRPr="004101EE">
              <w:rPr>
                <w:color w:val="000000"/>
                <w:sz w:val="17"/>
                <w:lang w:val="es-MX"/>
              </w:rPr>
              <w:t>Mundial</w:t>
            </w:r>
          </w:p>
        </w:tc>
        <w:tc>
          <w:tcPr>
            <w:tcW w:w="900" w:type="dxa"/>
            <w:tcBorders>
              <w:top w:val="nil"/>
              <w:left w:val="nil"/>
              <w:bottom w:val="single" w:sz="4" w:space="0" w:color="auto"/>
              <w:right w:val="single" w:sz="4" w:space="0" w:color="auto"/>
            </w:tcBorders>
            <w:noWrap/>
          </w:tcPr>
          <w:p w14:paraId="2F51E90E"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7466806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1B58996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3100ED4A"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0B9BFB90"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7A0E885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1A9096CC"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37F5BDE4"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30C16E1F" w14:textId="77777777" w:rsidTr="00B54D92">
        <w:trPr>
          <w:trHeight w:val="55"/>
        </w:trPr>
        <w:tc>
          <w:tcPr>
            <w:tcW w:w="10245" w:type="dxa"/>
            <w:gridSpan w:val="9"/>
            <w:tcBorders>
              <w:top w:val="nil"/>
              <w:left w:val="single" w:sz="4" w:space="0" w:color="auto"/>
              <w:bottom w:val="single" w:sz="4" w:space="0" w:color="auto"/>
              <w:right w:val="single" w:sz="4" w:space="0" w:color="auto"/>
            </w:tcBorders>
            <w:noWrap/>
          </w:tcPr>
          <w:p w14:paraId="55336BF5" w14:textId="77777777" w:rsidR="004101EE" w:rsidRPr="004101EE" w:rsidRDefault="004101EE" w:rsidP="00B54D92">
            <w:pPr>
              <w:jc w:val="left"/>
              <w:rPr>
                <w:b/>
                <w:bCs/>
                <w:color w:val="000000"/>
                <w:sz w:val="18"/>
                <w:szCs w:val="18"/>
                <w:lang w:val="es-MX"/>
              </w:rPr>
            </w:pPr>
            <w:r w:rsidRPr="004101EE">
              <w:rPr>
                <w:b/>
                <w:color w:val="000000"/>
                <w:sz w:val="18"/>
                <w:lang w:val="es-MX"/>
              </w:rPr>
              <w:t>Sector</w:t>
            </w:r>
          </w:p>
        </w:tc>
      </w:tr>
      <w:tr w:rsidR="004101EE" w:rsidRPr="004101EE" w14:paraId="43C7334A"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07AA661E" w14:textId="77777777" w:rsidR="004101EE" w:rsidRPr="004101EE" w:rsidRDefault="004101EE" w:rsidP="00B54D92">
            <w:pPr>
              <w:jc w:val="left"/>
              <w:rPr>
                <w:color w:val="000000"/>
                <w:sz w:val="17"/>
                <w:szCs w:val="17"/>
                <w:lang w:val="es-MX"/>
              </w:rPr>
            </w:pPr>
            <w:r w:rsidRPr="004101EE">
              <w:rPr>
                <w:color w:val="000000"/>
                <w:sz w:val="17"/>
                <w:lang w:val="es-MX"/>
              </w:rPr>
              <w:t>Aerosoles</w:t>
            </w:r>
          </w:p>
        </w:tc>
        <w:tc>
          <w:tcPr>
            <w:tcW w:w="900" w:type="dxa"/>
            <w:tcBorders>
              <w:top w:val="nil"/>
              <w:left w:val="nil"/>
              <w:bottom w:val="single" w:sz="4" w:space="0" w:color="auto"/>
              <w:right w:val="single" w:sz="4" w:space="0" w:color="auto"/>
            </w:tcBorders>
            <w:noWrap/>
          </w:tcPr>
          <w:p w14:paraId="2F1C51FC"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6C81F62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50CD2C8E"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6A331D1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45F130C9"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50E978E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27CFB5EB"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6682D235"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0D06AE87"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4C077746" w14:textId="77777777" w:rsidR="004101EE" w:rsidRPr="004101EE" w:rsidRDefault="004101EE" w:rsidP="00B54D92">
            <w:pPr>
              <w:jc w:val="left"/>
              <w:rPr>
                <w:color w:val="000000"/>
                <w:sz w:val="17"/>
                <w:szCs w:val="17"/>
                <w:lang w:val="es-MX"/>
              </w:rPr>
            </w:pPr>
            <w:r w:rsidRPr="004101EE">
              <w:rPr>
                <w:color w:val="000000"/>
                <w:sz w:val="17"/>
                <w:lang w:val="es-MX"/>
              </w:rPr>
              <w:t>Destrucción</w:t>
            </w:r>
          </w:p>
        </w:tc>
        <w:tc>
          <w:tcPr>
            <w:tcW w:w="900" w:type="dxa"/>
            <w:tcBorders>
              <w:top w:val="nil"/>
              <w:left w:val="nil"/>
              <w:bottom w:val="single" w:sz="4" w:space="0" w:color="auto"/>
              <w:right w:val="single" w:sz="4" w:space="0" w:color="auto"/>
            </w:tcBorders>
            <w:noWrap/>
          </w:tcPr>
          <w:p w14:paraId="557786A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6575A6C8"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6D8C38F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37736F8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628A15E9"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6677684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0DE772F0"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03311531"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43904765" w14:textId="77777777" w:rsidTr="00016FE4">
        <w:trPr>
          <w:trHeight w:val="44"/>
        </w:trPr>
        <w:tc>
          <w:tcPr>
            <w:tcW w:w="1350" w:type="dxa"/>
            <w:tcBorders>
              <w:top w:val="nil"/>
              <w:left w:val="single" w:sz="4" w:space="0" w:color="auto"/>
              <w:bottom w:val="single" w:sz="4" w:space="0" w:color="auto"/>
              <w:right w:val="single" w:sz="4" w:space="0" w:color="auto"/>
            </w:tcBorders>
            <w:noWrap/>
          </w:tcPr>
          <w:p w14:paraId="54622D96" w14:textId="77777777" w:rsidR="004101EE" w:rsidRPr="004101EE" w:rsidRDefault="004101EE" w:rsidP="00B54D92">
            <w:pPr>
              <w:jc w:val="left"/>
              <w:rPr>
                <w:color w:val="000000"/>
                <w:sz w:val="17"/>
                <w:szCs w:val="17"/>
                <w:lang w:val="es-MX"/>
              </w:rPr>
            </w:pPr>
            <w:r w:rsidRPr="004101EE">
              <w:rPr>
                <w:color w:val="000000"/>
                <w:sz w:val="17"/>
                <w:lang w:val="es-MX"/>
              </w:rPr>
              <w:t>Eficiencia energética</w:t>
            </w:r>
          </w:p>
        </w:tc>
        <w:tc>
          <w:tcPr>
            <w:tcW w:w="900" w:type="dxa"/>
            <w:tcBorders>
              <w:top w:val="nil"/>
              <w:left w:val="nil"/>
              <w:bottom w:val="single" w:sz="4" w:space="0" w:color="auto"/>
              <w:right w:val="single" w:sz="4" w:space="0" w:color="auto"/>
            </w:tcBorders>
            <w:noWrap/>
          </w:tcPr>
          <w:p w14:paraId="557BBB5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06CE935C"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3DF7DDFB"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690BAA7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7F969D18"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50159F1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6884716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3BFF1332"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44AA05EF" w14:textId="77777777" w:rsidTr="00016FE4">
        <w:trPr>
          <w:trHeight w:val="107"/>
        </w:trPr>
        <w:tc>
          <w:tcPr>
            <w:tcW w:w="1350" w:type="dxa"/>
            <w:tcBorders>
              <w:top w:val="nil"/>
              <w:left w:val="single" w:sz="4" w:space="0" w:color="auto"/>
              <w:bottom w:val="single" w:sz="4" w:space="0" w:color="auto"/>
              <w:right w:val="single" w:sz="4" w:space="0" w:color="auto"/>
            </w:tcBorders>
            <w:noWrap/>
            <w:hideMark/>
          </w:tcPr>
          <w:p w14:paraId="110FCC8E" w14:textId="77777777" w:rsidR="004101EE" w:rsidRPr="004101EE" w:rsidRDefault="004101EE" w:rsidP="00B54D92">
            <w:pPr>
              <w:jc w:val="left"/>
              <w:rPr>
                <w:color w:val="000000"/>
                <w:sz w:val="17"/>
                <w:szCs w:val="17"/>
                <w:lang w:val="es-MX"/>
              </w:rPr>
            </w:pPr>
            <w:r w:rsidRPr="004101EE">
              <w:rPr>
                <w:color w:val="000000"/>
                <w:sz w:val="17"/>
                <w:lang w:val="es-MX"/>
              </w:rPr>
              <w:t>Espumas</w:t>
            </w:r>
          </w:p>
        </w:tc>
        <w:tc>
          <w:tcPr>
            <w:tcW w:w="900" w:type="dxa"/>
            <w:tcBorders>
              <w:top w:val="nil"/>
              <w:left w:val="nil"/>
              <w:bottom w:val="single" w:sz="4" w:space="0" w:color="auto"/>
              <w:right w:val="single" w:sz="4" w:space="0" w:color="auto"/>
            </w:tcBorders>
            <w:noWrap/>
          </w:tcPr>
          <w:p w14:paraId="2627156A"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446D555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316F5ED8"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18964A7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58B310A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68924EE0"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4FE8C569"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2FEA2569"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0FD27E1D"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49B28507" w14:textId="77777777" w:rsidR="004101EE" w:rsidRPr="004101EE" w:rsidRDefault="004101EE" w:rsidP="00B54D92">
            <w:pPr>
              <w:jc w:val="left"/>
              <w:rPr>
                <w:color w:val="000000"/>
                <w:sz w:val="17"/>
                <w:szCs w:val="17"/>
                <w:lang w:val="es-MX"/>
              </w:rPr>
            </w:pPr>
            <w:r w:rsidRPr="004101EE">
              <w:rPr>
                <w:color w:val="000000"/>
                <w:sz w:val="17"/>
                <w:lang w:val="es-MX"/>
              </w:rPr>
              <w:t>Fumigantes</w:t>
            </w:r>
          </w:p>
        </w:tc>
        <w:tc>
          <w:tcPr>
            <w:tcW w:w="900" w:type="dxa"/>
            <w:tcBorders>
              <w:top w:val="nil"/>
              <w:left w:val="nil"/>
              <w:bottom w:val="single" w:sz="4" w:space="0" w:color="auto"/>
              <w:right w:val="single" w:sz="4" w:space="0" w:color="auto"/>
            </w:tcBorders>
            <w:noWrap/>
          </w:tcPr>
          <w:p w14:paraId="60A64A4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667BDBAE"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38A79F4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1195D39D"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3BE3F4B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332F0F28"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2F6537BE"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59182F11"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2CA7E06A"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193CD755" w14:textId="77777777" w:rsidR="004101EE" w:rsidRPr="004101EE" w:rsidRDefault="004101EE" w:rsidP="00B54D92">
            <w:pPr>
              <w:jc w:val="left"/>
              <w:rPr>
                <w:color w:val="000000"/>
                <w:sz w:val="17"/>
                <w:szCs w:val="17"/>
                <w:lang w:val="es-MX"/>
              </w:rPr>
            </w:pPr>
            <w:r w:rsidRPr="004101EE">
              <w:rPr>
                <w:color w:val="000000"/>
                <w:sz w:val="17"/>
                <w:lang w:val="es-MX"/>
              </w:rPr>
              <w:t>Halones</w:t>
            </w:r>
          </w:p>
        </w:tc>
        <w:tc>
          <w:tcPr>
            <w:tcW w:w="900" w:type="dxa"/>
            <w:tcBorders>
              <w:top w:val="nil"/>
              <w:left w:val="nil"/>
              <w:bottom w:val="single" w:sz="4" w:space="0" w:color="auto"/>
              <w:right w:val="single" w:sz="4" w:space="0" w:color="auto"/>
            </w:tcBorders>
            <w:noWrap/>
          </w:tcPr>
          <w:p w14:paraId="4E1DA59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6266067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7F12EC0D"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13F6B359"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7A4B2449"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2FBC053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5B221E1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46EA7C1B"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04540284"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3F591CB9" w14:textId="77777777" w:rsidR="004101EE" w:rsidRPr="004101EE" w:rsidRDefault="004101EE" w:rsidP="00B54D92">
            <w:pPr>
              <w:jc w:val="left"/>
              <w:rPr>
                <w:color w:val="000000"/>
                <w:sz w:val="17"/>
                <w:szCs w:val="17"/>
                <w:lang w:val="es-MX"/>
              </w:rPr>
            </w:pPr>
            <w:r w:rsidRPr="004101EE">
              <w:rPr>
                <w:color w:val="000000"/>
                <w:sz w:val="17"/>
                <w:lang w:val="es-MX"/>
              </w:rPr>
              <w:t>KIP</w:t>
            </w:r>
          </w:p>
        </w:tc>
        <w:tc>
          <w:tcPr>
            <w:tcW w:w="900" w:type="dxa"/>
            <w:tcBorders>
              <w:top w:val="nil"/>
              <w:left w:val="nil"/>
              <w:bottom w:val="single" w:sz="4" w:space="0" w:color="auto"/>
              <w:right w:val="single" w:sz="4" w:space="0" w:color="auto"/>
            </w:tcBorders>
            <w:noWrap/>
          </w:tcPr>
          <w:p w14:paraId="58AFB35B"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6780953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4AE8E25A"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6340773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3B29DDE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5033DDB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70CD5852"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10C22D64"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06ED3CD1"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25F12360" w14:textId="77777777" w:rsidR="004101EE" w:rsidRPr="004101EE" w:rsidRDefault="004101EE" w:rsidP="00B54D92">
            <w:pPr>
              <w:jc w:val="left"/>
              <w:rPr>
                <w:color w:val="000000"/>
                <w:sz w:val="17"/>
                <w:szCs w:val="17"/>
                <w:lang w:val="es-MX"/>
              </w:rPr>
            </w:pPr>
            <w:r w:rsidRPr="004101EE">
              <w:rPr>
                <w:color w:val="000000"/>
                <w:sz w:val="17"/>
                <w:lang w:val="es-MX"/>
              </w:rPr>
              <w:t>Multisectorial</w:t>
            </w:r>
          </w:p>
        </w:tc>
        <w:tc>
          <w:tcPr>
            <w:tcW w:w="900" w:type="dxa"/>
            <w:tcBorders>
              <w:top w:val="nil"/>
              <w:left w:val="nil"/>
              <w:bottom w:val="single" w:sz="4" w:space="0" w:color="auto"/>
              <w:right w:val="single" w:sz="4" w:space="0" w:color="auto"/>
            </w:tcBorders>
            <w:noWrap/>
          </w:tcPr>
          <w:p w14:paraId="2EE6CDCD"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6772069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1C73B5E2"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1E156F9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3766376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6767BAC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1174B6F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459BD954"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32F75B55"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5642D479" w14:textId="77777777" w:rsidR="004101EE" w:rsidRPr="004101EE" w:rsidRDefault="004101EE" w:rsidP="00B54D92">
            <w:pPr>
              <w:jc w:val="left"/>
              <w:rPr>
                <w:color w:val="000000"/>
                <w:sz w:val="17"/>
                <w:szCs w:val="17"/>
                <w:lang w:val="es-MX"/>
              </w:rPr>
            </w:pPr>
            <w:r w:rsidRPr="004101EE">
              <w:rPr>
                <w:color w:val="000000"/>
                <w:sz w:val="17"/>
                <w:lang w:val="es-MX"/>
              </w:rPr>
              <w:t>Otros</w:t>
            </w:r>
          </w:p>
        </w:tc>
        <w:tc>
          <w:tcPr>
            <w:tcW w:w="900" w:type="dxa"/>
            <w:tcBorders>
              <w:top w:val="nil"/>
              <w:left w:val="nil"/>
              <w:bottom w:val="single" w:sz="4" w:space="0" w:color="auto"/>
              <w:right w:val="single" w:sz="4" w:space="0" w:color="auto"/>
            </w:tcBorders>
            <w:noWrap/>
          </w:tcPr>
          <w:p w14:paraId="5CDE08C9"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4D03F74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2C31A2ED"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074432EC"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5E622C86"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7752F1A2"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440CD5B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3B6F2BFD"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569F5738"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56779E39" w14:textId="77777777" w:rsidR="004101EE" w:rsidRPr="004101EE" w:rsidRDefault="004101EE" w:rsidP="00B54D92">
            <w:pPr>
              <w:jc w:val="left"/>
              <w:rPr>
                <w:color w:val="000000"/>
                <w:sz w:val="17"/>
                <w:szCs w:val="17"/>
                <w:lang w:val="es-MX"/>
              </w:rPr>
            </w:pPr>
            <w:r w:rsidRPr="004101EE">
              <w:rPr>
                <w:color w:val="000000"/>
                <w:sz w:val="17"/>
                <w:lang w:val="es-MX"/>
              </w:rPr>
              <w:t>Agentes de proceso</w:t>
            </w:r>
          </w:p>
        </w:tc>
        <w:tc>
          <w:tcPr>
            <w:tcW w:w="900" w:type="dxa"/>
            <w:tcBorders>
              <w:top w:val="nil"/>
              <w:left w:val="nil"/>
              <w:bottom w:val="single" w:sz="4" w:space="0" w:color="auto"/>
              <w:right w:val="single" w:sz="4" w:space="0" w:color="auto"/>
            </w:tcBorders>
            <w:noWrap/>
          </w:tcPr>
          <w:p w14:paraId="45FDE27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37E5254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6CD3E3EA"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17DB810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5AF15DC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78A787A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4E0B6B1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2717C9A4"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1AF634E7"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39E1D37D" w14:textId="77777777" w:rsidR="004101EE" w:rsidRPr="004101EE" w:rsidRDefault="004101EE" w:rsidP="00B54D92">
            <w:pPr>
              <w:jc w:val="left"/>
              <w:rPr>
                <w:color w:val="000000"/>
                <w:sz w:val="17"/>
                <w:szCs w:val="17"/>
                <w:lang w:val="es-MX"/>
              </w:rPr>
            </w:pPr>
            <w:r w:rsidRPr="004101EE">
              <w:rPr>
                <w:color w:val="000000"/>
                <w:sz w:val="17"/>
                <w:lang w:val="es-MX"/>
              </w:rPr>
              <w:t>Plan de eliminación</w:t>
            </w:r>
          </w:p>
        </w:tc>
        <w:tc>
          <w:tcPr>
            <w:tcW w:w="900" w:type="dxa"/>
            <w:tcBorders>
              <w:top w:val="nil"/>
              <w:left w:val="nil"/>
              <w:bottom w:val="single" w:sz="4" w:space="0" w:color="auto"/>
              <w:right w:val="single" w:sz="4" w:space="0" w:color="auto"/>
            </w:tcBorders>
            <w:noWrap/>
          </w:tcPr>
          <w:p w14:paraId="277B3B9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3DA95616"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2458621C"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6DB89706"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5D86ACA0"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12996240"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215AE8D9"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37A39E21"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1C2851A2"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72583E62" w14:textId="77777777" w:rsidR="004101EE" w:rsidRPr="004101EE" w:rsidRDefault="004101EE" w:rsidP="00B54D92">
            <w:pPr>
              <w:jc w:val="left"/>
              <w:rPr>
                <w:color w:val="000000"/>
                <w:sz w:val="17"/>
                <w:szCs w:val="17"/>
                <w:lang w:val="es-MX"/>
              </w:rPr>
            </w:pPr>
            <w:r w:rsidRPr="004101EE">
              <w:rPr>
                <w:color w:val="000000"/>
                <w:sz w:val="17"/>
                <w:lang w:val="es-MX"/>
              </w:rPr>
              <w:t>Producción</w:t>
            </w:r>
          </w:p>
        </w:tc>
        <w:tc>
          <w:tcPr>
            <w:tcW w:w="900" w:type="dxa"/>
            <w:tcBorders>
              <w:top w:val="nil"/>
              <w:left w:val="nil"/>
              <w:bottom w:val="single" w:sz="4" w:space="0" w:color="auto"/>
              <w:right w:val="single" w:sz="4" w:space="0" w:color="auto"/>
            </w:tcBorders>
            <w:noWrap/>
          </w:tcPr>
          <w:p w14:paraId="3E5E25D8"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3CDEAD3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45A786A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46E5513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66698CA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7A47106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134C4E48"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7163C924"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3F93704C"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51D06887" w14:textId="77777777" w:rsidR="004101EE" w:rsidRPr="004101EE" w:rsidRDefault="004101EE" w:rsidP="00B54D92">
            <w:pPr>
              <w:jc w:val="left"/>
              <w:rPr>
                <w:color w:val="000000"/>
                <w:sz w:val="17"/>
                <w:szCs w:val="17"/>
                <w:lang w:val="es-MX"/>
              </w:rPr>
            </w:pPr>
            <w:r w:rsidRPr="004101EE">
              <w:rPr>
                <w:color w:val="000000"/>
                <w:sz w:val="17"/>
                <w:lang w:val="es-MX"/>
              </w:rPr>
              <w:t>Refrigeración</w:t>
            </w:r>
          </w:p>
        </w:tc>
        <w:tc>
          <w:tcPr>
            <w:tcW w:w="900" w:type="dxa"/>
            <w:tcBorders>
              <w:top w:val="nil"/>
              <w:left w:val="nil"/>
              <w:bottom w:val="single" w:sz="4" w:space="0" w:color="auto"/>
              <w:right w:val="single" w:sz="4" w:space="0" w:color="auto"/>
            </w:tcBorders>
            <w:noWrap/>
          </w:tcPr>
          <w:p w14:paraId="4346D11E"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0ED1501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0EF9E37D"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2398EC2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3CA97C46"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4D1161EB"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2EE6621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574CFD04"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2368E27B" w14:textId="77777777" w:rsidTr="00016FE4">
        <w:trPr>
          <w:trHeight w:val="95"/>
        </w:trPr>
        <w:tc>
          <w:tcPr>
            <w:tcW w:w="1350" w:type="dxa"/>
            <w:tcBorders>
              <w:top w:val="nil"/>
              <w:left w:val="single" w:sz="4" w:space="0" w:color="auto"/>
              <w:bottom w:val="single" w:sz="4" w:space="0" w:color="auto"/>
              <w:right w:val="single" w:sz="4" w:space="0" w:color="auto"/>
            </w:tcBorders>
            <w:noWrap/>
            <w:hideMark/>
          </w:tcPr>
          <w:p w14:paraId="1647F864" w14:textId="77777777" w:rsidR="004101EE" w:rsidRPr="004101EE" w:rsidRDefault="004101EE" w:rsidP="00B54D92">
            <w:pPr>
              <w:jc w:val="left"/>
              <w:rPr>
                <w:color w:val="000000"/>
                <w:sz w:val="17"/>
                <w:szCs w:val="17"/>
                <w:lang w:val="es-MX"/>
              </w:rPr>
            </w:pPr>
            <w:r w:rsidRPr="004101EE">
              <w:rPr>
                <w:color w:val="000000"/>
                <w:sz w:val="17"/>
                <w:lang w:val="es-MX"/>
              </w:rPr>
              <w:t>Varios</w:t>
            </w:r>
          </w:p>
        </w:tc>
        <w:tc>
          <w:tcPr>
            <w:tcW w:w="900" w:type="dxa"/>
            <w:tcBorders>
              <w:top w:val="nil"/>
              <w:left w:val="nil"/>
              <w:bottom w:val="single" w:sz="4" w:space="0" w:color="auto"/>
              <w:right w:val="single" w:sz="4" w:space="0" w:color="auto"/>
            </w:tcBorders>
            <w:noWrap/>
          </w:tcPr>
          <w:p w14:paraId="6210D39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3A91473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7265747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3931427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31CF64E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7C5E1EE5"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41D42D81"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03E28083"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71F5CE0F"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09C547B4" w14:textId="77777777" w:rsidR="004101EE" w:rsidRPr="004101EE" w:rsidRDefault="004101EE" w:rsidP="00B54D92">
            <w:pPr>
              <w:jc w:val="left"/>
              <w:rPr>
                <w:color w:val="000000"/>
                <w:sz w:val="17"/>
                <w:szCs w:val="17"/>
                <w:lang w:val="es-MX"/>
              </w:rPr>
            </w:pPr>
            <w:r w:rsidRPr="004101EE">
              <w:rPr>
                <w:color w:val="000000"/>
                <w:sz w:val="17"/>
                <w:lang w:val="es-MX"/>
              </w:rPr>
              <w:t>Disolventes</w:t>
            </w:r>
          </w:p>
        </w:tc>
        <w:tc>
          <w:tcPr>
            <w:tcW w:w="900" w:type="dxa"/>
            <w:tcBorders>
              <w:top w:val="nil"/>
              <w:left w:val="nil"/>
              <w:bottom w:val="single" w:sz="4" w:space="0" w:color="auto"/>
              <w:right w:val="single" w:sz="4" w:space="0" w:color="auto"/>
            </w:tcBorders>
            <w:noWrap/>
          </w:tcPr>
          <w:p w14:paraId="705C6EA6"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250DC13B"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1BBAAFB4"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63F359DD"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09CB6C7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5C0C203D"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583DA14B"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4F61B1FB"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6102A70B"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7DEF1A85" w14:textId="77777777" w:rsidR="004101EE" w:rsidRPr="004101EE" w:rsidRDefault="004101EE" w:rsidP="00B54D92">
            <w:pPr>
              <w:jc w:val="left"/>
              <w:rPr>
                <w:color w:val="000000"/>
                <w:sz w:val="17"/>
                <w:szCs w:val="17"/>
                <w:lang w:val="es-MX"/>
              </w:rPr>
            </w:pPr>
            <w:r w:rsidRPr="004101EE">
              <w:rPr>
                <w:color w:val="000000"/>
                <w:sz w:val="17"/>
                <w:lang w:val="es-MX"/>
              </w:rPr>
              <w:t>Desinfectantes</w:t>
            </w:r>
          </w:p>
        </w:tc>
        <w:tc>
          <w:tcPr>
            <w:tcW w:w="900" w:type="dxa"/>
            <w:tcBorders>
              <w:top w:val="nil"/>
              <w:left w:val="nil"/>
              <w:bottom w:val="single" w:sz="4" w:space="0" w:color="auto"/>
              <w:right w:val="single" w:sz="4" w:space="0" w:color="auto"/>
            </w:tcBorders>
            <w:noWrap/>
          </w:tcPr>
          <w:p w14:paraId="58D950EF"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70" w:type="dxa"/>
            <w:tcBorders>
              <w:top w:val="nil"/>
              <w:left w:val="nil"/>
              <w:bottom w:val="single" w:sz="4" w:space="0" w:color="auto"/>
              <w:right w:val="single" w:sz="4" w:space="0" w:color="auto"/>
            </w:tcBorders>
            <w:noWrap/>
          </w:tcPr>
          <w:p w14:paraId="2402BAF7"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247" w:type="dxa"/>
            <w:tcBorders>
              <w:top w:val="nil"/>
              <w:left w:val="nil"/>
              <w:bottom w:val="single" w:sz="4" w:space="0" w:color="auto"/>
              <w:right w:val="single" w:sz="4" w:space="0" w:color="auto"/>
            </w:tcBorders>
            <w:noWrap/>
          </w:tcPr>
          <w:p w14:paraId="17CB5CEA"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34" w:type="dxa"/>
            <w:tcBorders>
              <w:top w:val="nil"/>
              <w:left w:val="nil"/>
              <w:bottom w:val="single" w:sz="4" w:space="0" w:color="auto"/>
              <w:right w:val="single" w:sz="4" w:space="0" w:color="auto"/>
            </w:tcBorders>
            <w:noWrap/>
          </w:tcPr>
          <w:p w14:paraId="6FB845E9"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309" w:type="dxa"/>
            <w:tcBorders>
              <w:top w:val="nil"/>
              <w:left w:val="nil"/>
              <w:bottom w:val="single" w:sz="4" w:space="0" w:color="auto"/>
              <w:right w:val="single" w:sz="4" w:space="0" w:color="auto"/>
            </w:tcBorders>
            <w:noWrap/>
          </w:tcPr>
          <w:p w14:paraId="0B5EF1BC"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546C76F6"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990" w:type="dxa"/>
            <w:tcBorders>
              <w:top w:val="nil"/>
              <w:left w:val="nil"/>
              <w:bottom w:val="single" w:sz="4" w:space="0" w:color="auto"/>
              <w:right w:val="single" w:sz="4" w:space="0" w:color="auto"/>
            </w:tcBorders>
            <w:noWrap/>
          </w:tcPr>
          <w:p w14:paraId="601CA803" w14:textId="77777777" w:rsidR="004101EE" w:rsidRPr="004101EE" w:rsidRDefault="004101EE" w:rsidP="00B54D92">
            <w:pPr>
              <w:jc w:val="right"/>
              <w:rPr>
                <w:color w:val="000000"/>
                <w:sz w:val="18"/>
                <w:szCs w:val="18"/>
                <w:lang w:val="es-MX"/>
              </w:rPr>
            </w:pPr>
            <w:r w:rsidRPr="004101EE">
              <w:rPr>
                <w:sz w:val="18"/>
                <w:highlight w:val="yellow"/>
                <w:lang w:val="es-MX"/>
              </w:rPr>
              <w:t>??</w:t>
            </w:r>
          </w:p>
        </w:tc>
        <w:tc>
          <w:tcPr>
            <w:tcW w:w="1155" w:type="dxa"/>
            <w:tcBorders>
              <w:top w:val="nil"/>
              <w:left w:val="nil"/>
              <w:bottom w:val="single" w:sz="4" w:space="0" w:color="auto"/>
              <w:right w:val="single" w:sz="4" w:space="0" w:color="auto"/>
            </w:tcBorders>
            <w:noWrap/>
          </w:tcPr>
          <w:p w14:paraId="46666377" w14:textId="77777777" w:rsidR="004101EE" w:rsidRPr="004101EE" w:rsidRDefault="004101EE" w:rsidP="00B54D92">
            <w:pPr>
              <w:jc w:val="right"/>
              <w:rPr>
                <w:color w:val="000000"/>
                <w:sz w:val="18"/>
                <w:szCs w:val="18"/>
                <w:lang w:val="es-MX"/>
              </w:rPr>
            </w:pPr>
            <w:r w:rsidRPr="004101EE">
              <w:rPr>
                <w:sz w:val="18"/>
                <w:highlight w:val="yellow"/>
                <w:lang w:val="es-MX"/>
              </w:rPr>
              <w:t>??</w:t>
            </w:r>
          </w:p>
        </w:tc>
      </w:tr>
      <w:tr w:rsidR="004101EE" w:rsidRPr="004101EE" w14:paraId="20A8034D" w14:textId="77777777" w:rsidTr="00016FE4">
        <w:trPr>
          <w:trHeight w:val="44"/>
        </w:trPr>
        <w:tc>
          <w:tcPr>
            <w:tcW w:w="1350" w:type="dxa"/>
            <w:tcBorders>
              <w:top w:val="nil"/>
              <w:left w:val="single" w:sz="4" w:space="0" w:color="auto"/>
              <w:bottom w:val="single" w:sz="4" w:space="0" w:color="auto"/>
              <w:right w:val="single" w:sz="4" w:space="0" w:color="auto"/>
            </w:tcBorders>
            <w:noWrap/>
            <w:hideMark/>
          </w:tcPr>
          <w:p w14:paraId="3DCF3088" w14:textId="77777777" w:rsidR="004101EE" w:rsidRPr="004101EE" w:rsidRDefault="004101EE" w:rsidP="00B54D92">
            <w:pPr>
              <w:jc w:val="left"/>
              <w:rPr>
                <w:b/>
                <w:bCs/>
                <w:color w:val="000000"/>
                <w:sz w:val="17"/>
                <w:szCs w:val="17"/>
                <w:lang w:val="es-MX"/>
              </w:rPr>
            </w:pPr>
            <w:r w:rsidRPr="004101EE">
              <w:rPr>
                <w:b/>
                <w:color w:val="000000"/>
                <w:sz w:val="17"/>
                <w:lang w:val="es-MX"/>
              </w:rPr>
              <w:t>Total</w:t>
            </w:r>
          </w:p>
        </w:tc>
        <w:tc>
          <w:tcPr>
            <w:tcW w:w="900" w:type="dxa"/>
            <w:tcBorders>
              <w:top w:val="nil"/>
              <w:left w:val="nil"/>
              <w:bottom w:val="single" w:sz="4" w:space="0" w:color="auto"/>
              <w:right w:val="single" w:sz="4" w:space="0" w:color="auto"/>
            </w:tcBorders>
            <w:noWrap/>
          </w:tcPr>
          <w:p w14:paraId="50859B96" w14:textId="77777777" w:rsidR="004101EE" w:rsidRPr="004101EE" w:rsidRDefault="004101EE" w:rsidP="00B54D92">
            <w:pPr>
              <w:jc w:val="right"/>
              <w:rPr>
                <w:b/>
                <w:bCs/>
                <w:color w:val="000000"/>
                <w:sz w:val="18"/>
                <w:szCs w:val="18"/>
                <w:lang w:val="es-MX"/>
              </w:rPr>
            </w:pPr>
            <w:r w:rsidRPr="004101EE">
              <w:rPr>
                <w:b/>
                <w:sz w:val="18"/>
                <w:highlight w:val="yellow"/>
                <w:lang w:val="es-MX"/>
              </w:rPr>
              <w:t>??</w:t>
            </w:r>
          </w:p>
        </w:tc>
        <w:tc>
          <w:tcPr>
            <w:tcW w:w="1170" w:type="dxa"/>
            <w:tcBorders>
              <w:top w:val="nil"/>
              <w:left w:val="nil"/>
              <w:bottom w:val="single" w:sz="4" w:space="0" w:color="auto"/>
              <w:right w:val="single" w:sz="4" w:space="0" w:color="auto"/>
            </w:tcBorders>
            <w:noWrap/>
          </w:tcPr>
          <w:p w14:paraId="30AE9C97" w14:textId="77777777" w:rsidR="004101EE" w:rsidRPr="004101EE" w:rsidRDefault="004101EE" w:rsidP="00B54D92">
            <w:pPr>
              <w:jc w:val="right"/>
              <w:rPr>
                <w:b/>
                <w:bCs/>
                <w:color w:val="000000"/>
                <w:sz w:val="18"/>
                <w:szCs w:val="18"/>
                <w:lang w:val="es-MX"/>
              </w:rPr>
            </w:pPr>
            <w:r w:rsidRPr="004101EE">
              <w:rPr>
                <w:b/>
                <w:sz w:val="18"/>
                <w:highlight w:val="yellow"/>
                <w:lang w:val="es-MX"/>
              </w:rPr>
              <w:t>??</w:t>
            </w:r>
          </w:p>
        </w:tc>
        <w:tc>
          <w:tcPr>
            <w:tcW w:w="1247" w:type="dxa"/>
            <w:tcBorders>
              <w:top w:val="nil"/>
              <w:left w:val="nil"/>
              <w:bottom w:val="single" w:sz="4" w:space="0" w:color="auto"/>
              <w:right w:val="single" w:sz="4" w:space="0" w:color="auto"/>
            </w:tcBorders>
            <w:noWrap/>
          </w:tcPr>
          <w:p w14:paraId="35BA1131" w14:textId="77777777" w:rsidR="004101EE" w:rsidRPr="004101EE" w:rsidRDefault="004101EE" w:rsidP="00B54D92">
            <w:pPr>
              <w:jc w:val="right"/>
              <w:rPr>
                <w:b/>
                <w:bCs/>
                <w:color w:val="000000"/>
                <w:sz w:val="18"/>
                <w:szCs w:val="18"/>
                <w:lang w:val="es-MX"/>
              </w:rPr>
            </w:pPr>
            <w:r w:rsidRPr="004101EE">
              <w:rPr>
                <w:b/>
                <w:sz w:val="18"/>
                <w:highlight w:val="yellow"/>
                <w:lang w:val="es-MX"/>
              </w:rPr>
              <w:t>??</w:t>
            </w:r>
          </w:p>
        </w:tc>
        <w:tc>
          <w:tcPr>
            <w:tcW w:w="1134" w:type="dxa"/>
            <w:tcBorders>
              <w:top w:val="nil"/>
              <w:left w:val="nil"/>
              <w:bottom w:val="single" w:sz="4" w:space="0" w:color="auto"/>
              <w:right w:val="single" w:sz="4" w:space="0" w:color="auto"/>
            </w:tcBorders>
            <w:noWrap/>
          </w:tcPr>
          <w:p w14:paraId="3E325174" w14:textId="77777777" w:rsidR="004101EE" w:rsidRPr="004101EE" w:rsidRDefault="004101EE" w:rsidP="00B54D92">
            <w:pPr>
              <w:jc w:val="right"/>
              <w:rPr>
                <w:b/>
                <w:bCs/>
                <w:color w:val="000000"/>
                <w:sz w:val="18"/>
                <w:szCs w:val="18"/>
                <w:lang w:val="es-MX"/>
              </w:rPr>
            </w:pPr>
            <w:r w:rsidRPr="004101EE">
              <w:rPr>
                <w:b/>
                <w:sz w:val="18"/>
                <w:highlight w:val="yellow"/>
                <w:lang w:val="es-MX"/>
              </w:rPr>
              <w:t>??</w:t>
            </w:r>
          </w:p>
        </w:tc>
        <w:tc>
          <w:tcPr>
            <w:tcW w:w="1309" w:type="dxa"/>
            <w:tcBorders>
              <w:top w:val="nil"/>
              <w:left w:val="nil"/>
              <w:bottom w:val="single" w:sz="4" w:space="0" w:color="auto"/>
              <w:right w:val="single" w:sz="4" w:space="0" w:color="auto"/>
            </w:tcBorders>
            <w:noWrap/>
          </w:tcPr>
          <w:p w14:paraId="2B6BA203" w14:textId="77777777" w:rsidR="004101EE" w:rsidRPr="004101EE" w:rsidRDefault="004101EE" w:rsidP="00B54D92">
            <w:pPr>
              <w:jc w:val="right"/>
              <w:rPr>
                <w:b/>
                <w:bCs/>
                <w:color w:val="000000"/>
                <w:sz w:val="18"/>
                <w:szCs w:val="18"/>
                <w:lang w:val="es-MX"/>
              </w:rPr>
            </w:pPr>
            <w:r w:rsidRPr="004101EE">
              <w:rPr>
                <w:b/>
                <w:sz w:val="18"/>
                <w:highlight w:val="yellow"/>
                <w:lang w:val="es-MX"/>
              </w:rPr>
              <w:t>??</w:t>
            </w:r>
          </w:p>
        </w:tc>
        <w:tc>
          <w:tcPr>
            <w:tcW w:w="990" w:type="dxa"/>
            <w:tcBorders>
              <w:top w:val="nil"/>
              <w:left w:val="nil"/>
              <w:bottom w:val="single" w:sz="4" w:space="0" w:color="auto"/>
              <w:right w:val="single" w:sz="4" w:space="0" w:color="auto"/>
            </w:tcBorders>
            <w:noWrap/>
          </w:tcPr>
          <w:p w14:paraId="5B3322E2" w14:textId="77777777" w:rsidR="004101EE" w:rsidRPr="004101EE" w:rsidRDefault="004101EE" w:rsidP="00B54D92">
            <w:pPr>
              <w:jc w:val="right"/>
              <w:rPr>
                <w:b/>
                <w:bCs/>
                <w:color w:val="000000"/>
                <w:sz w:val="18"/>
                <w:szCs w:val="18"/>
                <w:lang w:val="es-MX"/>
              </w:rPr>
            </w:pPr>
            <w:r w:rsidRPr="004101EE">
              <w:rPr>
                <w:b/>
                <w:sz w:val="18"/>
                <w:highlight w:val="yellow"/>
                <w:lang w:val="es-MX"/>
              </w:rPr>
              <w:t>??</w:t>
            </w:r>
          </w:p>
        </w:tc>
        <w:tc>
          <w:tcPr>
            <w:tcW w:w="990" w:type="dxa"/>
            <w:tcBorders>
              <w:top w:val="nil"/>
              <w:left w:val="nil"/>
              <w:bottom w:val="single" w:sz="4" w:space="0" w:color="auto"/>
              <w:right w:val="single" w:sz="4" w:space="0" w:color="auto"/>
            </w:tcBorders>
            <w:noWrap/>
          </w:tcPr>
          <w:p w14:paraId="53CE111E" w14:textId="77777777" w:rsidR="004101EE" w:rsidRPr="004101EE" w:rsidRDefault="004101EE" w:rsidP="00B54D92">
            <w:pPr>
              <w:jc w:val="right"/>
              <w:rPr>
                <w:b/>
                <w:bCs/>
                <w:color w:val="000000"/>
                <w:sz w:val="18"/>
                <w:szCs w:val="18"/>
                <w:lang w:val="es-MX"/>
              </w:rPr>
            </w:pPr>
            <w:r w:rsidRPr="004101EE">
              <w:rPr>
                <w:b/>
                <w:sz w:val="18"/>
                <w:highlight w:val="yellow"/>
                <w:lang w:val="es-MX"/>
              </w:rPr>
              <w:t>??</w:t>
            </w:r>
          </w:p>
        </w:tc>
        <w:tc>
          <w:tcPr>
            <w:tcW w:w="1155" w:type="dxa"/>
            <w:tcBorders>
              <w:top w:val="nil"/>
              <w:left w:val="nil"/>
              <w:bottom w:val="single" w:sz="4" w:space="0" w:color="auto"/>
              <w:right w:val="single" w:sz="4" w:space="0" w:color="auto"/>
            </w:tcBorders>
            <w:noWrap/>
          </w:tcPr>
          <w:p w14:paraId="23737DA6" w14:textId="77777777" w:rsidR="004101EE" w:rsidRPr="004101EE" w:rsidRDefault="004101EE" w:rsidP="00B54D92">
            <w:pPr>
              <w:jc w:val="right"/>
              <w:rPr>
                <w:b/>
                <w:bCs/>
                <w:color w:val="000000"/>
                <w:sz w:val="18"/>
                <w:szCs w:val="18"/>
                <w:lang w:val="es-MX"/>
              </w:rPr>
            </w:pPr>
            <w:r w:rsidRPr="004101EE">
              <w:rPr>
                <w:b/>
                <w:sz w:val="18"/>
                <w:highlight w:val="yellow"/>
                <w:lang w:val="es-MX"/>
              </w:rPr>
              <w:t>??</w:t>
            </w:r>
          </w:p>
        </w:tc>
      </w:tr>
    </w:tbl>
    <w:p w14:paraId="68936B13" w14:textId="77777777" w:rsidR="004101EE" w:rsidRPr="004101EE" w:rsidRDefault="004101EE" w:rsidP="004101EE">
      <w:pPr>
        <w:ind w:left="1276" w:hanging="1366"/>
        <w:rPr>
          <w:sz w:val="18"/>
          <w:szCs w:val="18"/>
          <w:lang w:val="es-MX"/>
        </w:rPr>
      </w:pPr>
      <w:r w:rsidRPr="004101EE">
        <w:rPr>
          <w:sz w:val="18"/>
          <w:lang w:val="es-MX"/>
        </w:rPr>
        <w:t>* Excluidos los proyectos cancelados y transferidos e incluyendo los costes de apoyo al organismo, en su caso.</w:t>
      </w:r>
    </w:p>
    <w:p w14:paraId="7A7FAA64" w14:textId="1644A1CA" w:rsidR="004101EE" w:rsidRPr="004101EE" w:rsidRDefault="004101EE" w:rsidP="004101EE">
      <w:pPr>
        <w:ind w:left="1276" w:right="-450" w:hanging="1366"/>
        <w:rPr>
          <w:sz w:val="18"/>
          <w:szCs w:val="18"/>
          <w:lang w:val="es-MX"/>
        </w:rPr>
      </w:pPr>
      <w:r w:rsidRPr="004101EE">
        <w:rPr>
          <w:sz w:val="18"/>
          <w:lang w:val="es-MX"/>
        </w:rPr>
        <w:t xml:space="preserve">** </w:t>
      </w:r>
      <w:r w:rsidRPr="004101EE">
        <w:rPr>
          <w:sz w:val="20"/>
          <w:highlight w:val="yellow"/>
          <w:lang w:val="es-MX"/>
        </w:rPr>
        <w:t>??</w:t>
      </w:r>
      <w:r w:rsidRPr="004101EE">
        <w:rPr>
          <w:sz w:val="18"/>
          <w:lang w:val="es-MX"/>
        </w:rPr>
        <w:t xml:space="preserve"> toneladas equivalentes de dióxido de carbono aprobadas para su reducción y </w:t>
      </w:r>
      <w:r w:rsidRPr="004101EE">
        <w:rPr>
          <w:sz w:val="20"/>
          <w:highlight w:val="yellow"/>
          <w:lang w:val="es-MX"/>
        </w:rPr>
        <w:t>??</w:t>
      </w:r>
      <w:r w:rsidR="00AD6CA1">
        <w:rPr>
          <w:sz w:val="20"/>
          <w:lang w:val="es-MX"/>
        </w:rPr>
        <w:t xml:space="preserve"> </w:t>
      </w:r>
      <w:r w:rsidRPr="00AD6CA1">
        <w:rPr>
          <w:sz w:val="18"/>
          <w:lang w:val="es-MX"/>
        </w:rPr>
        <w:t>toneladas</w:t>
      </w:r>
      <w:r w:rsidRPr="004101EE">
        <w:rPr>
          <w:sz w:val="18"/>
          <w:lang w:val="es-MX"/>
        </w:rPr>
        <w:t> equivalentes de dióxido de carbono reducidas.</w:t>
      </w:r>
    </w:p>
    <w:p w14:paraId="0EB8AD27" w14:textId="77777777" w:rsidR="004101EE" w:rsidRPr="004101EE" w:rsidRDefault="004101EE" w:rsidP="004101EE">
      <w:pPr>
        <w:ind w:left="1276"/>
        <w:rPr>
          <w:sz w:val="20"/>
          <w:szCs w:val="20"/>
          <w:lang w:val="es-MX"/>
        </w:rPr>
      </w:pPr>
    </w:p>
    <w:p w14:paraId="5DD75728" w14:textId="77777777" w:rsidR="004101EE" w:rsidRPr="004101EE" w:rsidRDefault="004101EE" w:rsidP="004101EE">
      <w:pPr>
        <w:pStyle w:val="Heading1"/>
        <w:tabs>
          <w:tab w:val="clear" w:pos="0"/>
          <w:tab w:val="num" w:pos="792"/>
        </w:tabs>
        <w:rPr>
          <w:lang w:val="es-MX"/>
        </w:rPr>
      </w:pPr>
      <w:r w:rsidRPr="004101EE">
        <w:rPr>
          <w:lang w:val="es-MX"/>
        </w:rPr>
        <w:t>La financiación total aprobada por el Comité Ejecutivo desde 1991 para lograr la eliminación de SAO y la reducción de los HFC asciende a USD </w:t>
      </w:r>
      <w:r w:rsidRPr="004101EE">
        <w:rPr>
          <w:highlight w:val="yellow"/>
          <w:lang w:val="es-MX"/>
        </w:rPr>
        <w:t>??</w:t>
      </w:r>
      <w:r w:rsidRPr="004101EE">
        <w:rPr>
          <w:lang w:val="es-MX"/>
        </w:rPr>
        <w:t>, incluyendo USD </w:t>
      </w:r>
      <w:r w:rsidRPr="004101EE">
        <w:rPr>
          <w:highlight w:val="yellow"/>
          <w:lang w:val="es-MX"/>
        </w:rPr>
        <w:t>??</w:t>
      </w:r>
      <w:r w:rsidRPr="004101EE">
        <w:rPr>
          <w:lang w:val="es-MX"/>
        </w:rPr>
        <w:t xml:space="preserve"> en gastos de apoyo al organismo (excluyendo proyectos cancelados y transferidos). Del total de fondos aprobados para proyectos, el cuadro 3 siguiente indica los montos asignados a los organismos bilaterales y a cada uno de los organismos de ejecución, y los montos desembolsados por los organismos mencionados.</w:t>
      </w:r>
    </w:p>
    <w:p w14:paraId="293776E5" w14:textId="77777777" w:rsidR="004101EE" w:rsidRPr="004101EE" w:rsidRDefault="004101EE" w:rsidP="004101EE">
      <w:pPr>
        <w:keepNext/>
        <w:rPr>
          <w:lang w:val="es-MX"/>
        </w:rPr>
      </w:pPr>
      <w:r w:rsidRPr="004101EE">
        <w:rPr>
          <w:lang w:val="es-MX"/>
        </w:rPr>
        <w:t>Cuadro 3</w:t>
      </w:r>
    </w:p>
    <w:p w14:paraId="4FD8EF1B" w14:textId="77777777" w:rsidR="004101EE" w:rsidRPr="004101EE" w:rsidRDefault="004101EE" w:rsidP="004101EE">
      <w:pPr>
        <w:keepNext/>
        <w:rPr>
          <w:b/>
          <w:bCs/>
          <w:lang w:val="es-MX"/>
        </w:rPr>
      </w:pPr>
      <w:r w:rsidRPr="004101EE">
        <w:rPr>
          <w:b/>
          <w:lang w:val="es-MX"/>
        </w:rPr>
        <w:t>Fondos aprobados y desembolsados, por organismo, desde el comienzo del Fondo Multilateral</w:t>
      </w:r>
    </w:p>
    <w:tbl>
      <w:tblPr>
        <w:tblW w:w="4997" w:type="pct"/>
        <w:tblInd w:w="-5" w:type="dxa"/>
        <w:tblLayout w:type="fixed"/>
        <w:tblLook w:val="04A0" w:firstRow="1" w:lastRow="0" w:firstColumn="1" w:lastColumn="0" w:noHBand="0" w:noVBand="1"/>
      </w:tblPr>
      <w:tblGrid>
        <w:gridCol w:w="1966"/>
        <w:gridCol w:w="2528"/>
        <w:gridCol w:w="2585"/>
        <w:gridCol w:w="2265"/>
      </w:tblGrid>
      <w:tr w:rsidR="004101EE" w:rsidRPr="004101EE" w14:paraId="0677B497" w14:textId="77777777" w:rsidTr="00B54D92">
        <w:trPr>
          <w:trHeight w:val="292"/>
        </w:trPr>
        <w:tc>
          <w:tcPr>
            <w:tcW w:w="1052" w:type="pct"/>
            <w:tcBorders>
              <w:top w:val="single" w:sz="4" w:space="0" w:color="auto"/>
              <w:left w:val="single" w:sz="4" w:space="0" w:color="auto"/>
              <w:bottom w:val="single" w:sz="4" w:space="0" w:color="auto"/>
              <w:right w:val="single" w:sz="4" w:space="0" w:color="auto"/>
            </w:tcBorders>
            <w:noWrap/>
            <w:hideMark/>
          </w:tcPr>
          <w:p w14:paraId="5059B653" w14:textId="77777777" w:rsidR="004101EE" w:rsidRPr="004101EE" w:rsidRDefault="004101EE" w:rsidP="00B54D92">
            <w:pPr>
              <w:keepNext/>
              <w:jc w:val="left"/>
              <w:rPr>
                <w:b/>
                <w:bCs/>
                <w:color w:val="000000"/>
                <w:sz w:val="20"/>
                <w:szCs w:val="20"/>
                <w:lang w:val="es-MX"/>
              </w:rPr>
            </w:pPr>
            <w:r w:rsidRPr="004101EE">
              <w:rPr>
                <w:b/>
                <w:color w:val="000000"/>
                <w:sz w:val="20"/>
                <w:lang w:val="es-MX"/>
              </w:rPr>
              <w:t>Organismo</w:t>
            </w:r>
          </w:p>
        </w:tc>
        <w:tc>
          <w:tcPr>
            <w:tcW w:w="1353" w:type="pct"/>
            <w:tcBorders>
              <w:top w:val="single" w:sz="4" w:space="0" w:color="auto"/>
              <w:left w:val="nil"/>
              <w:bottom w:val="single" w:sz="4" w:space="0" w:color="auto"/>
              <w:right w:val="single" w:sz="4" w:space="0" w:color="auto"/>
            </w:tcBorders>
            <w:noWrap/>
            <w:hideMark/>
          </w:tcPr>
          <w:p w14:paraId="1CB46DFD" w14:textId="77777777" w:rsidR="004101EE" w:rsidRPr="004101EE" w:rsidRDefault="004101EE" w:rsidP="00B54D92">
            <w:pPr>
              <w:keepNext/>
              <w:jc w:val="center"/>
              <w:rPr>
                <w:b/>
                <w:bCs/>
                <w:color w:val="000000"/>
                <w:sz w:val="20"/>
                <w:szCs w:val="20"/>
                <w:lang w:val="es-MX"/>
              </w:rPr>
            </w:pPr>
            <w:r w:rsidRPr="004101EE">
              <w:rPr>
                <w:b/>
                <w:color w:val="000000"/>
                <w:sz w:val="20"/>
                <w:lang w:val="es-MX"/>
              </w:rPr>
              <w:t xml:space="preserve">Fondos aprobados* </w:t>
            </w:r>
          </w:p>
          <w:p w14:paraId="50EC4299" w14:textId="77777777" w:rsidR="004101EE" w:rsidRPr="004101EE" w:rsidRDefault="004101EE" w:rsidP="00B54D92">
            <w:pPr>
              <w:keepNext/>
              <w:jc w:val="center"/>
              <w:rPr>
                <w:b/>
                <w:bCs/>
                <w:color w:val="000000"/>
                <w:sz w:val="20"/>
                <w:szCs w:val="20"/>
                <w:lang w:val="es-MX"/>
              </w:rPr>
            </w:pPr>
            <w:r w:rsidRPr="004101EE">
              <w:rPr>
                <w:b/>
                <w:color w:val="000000"/>
                <w:sz w:val="20"/>
                <w:lang w:val="es-MX"/>
              </w:rPr>
              <w:t>(USD)</w:t>
            </w:r>
          </w:p>
        </w:tc>
        <w:tc>
          <w:tcPr>
            <w:tcW w:w="1383" w:type="pct"/>
            <w:tcBorders>
              <w:top w:val="single" w:sz="4" w:space="0" w:color="auto"/>
              <w:left w:val="nil"/>
              <w:bottom w:val="single" w:sz="4" w:space="0" w:color="auto"/>
              <w:right w:val="single" w:sz="4" w:space="0" w:color="auto"/>
            </w:tcBorders>
            <w:hideMark/>
          </w:tcPr>
          <w:p w14:paraId="21461234" w14:textId="77777777" w:rsidR="003B249B" w:rsidRDefault="004101EE" w:rsidP="00B54D92">
            <w:pPr>
              <w:keepNext/>
              <w:jc w:val="center"/>
              <w:rPr>
                <w:b/>
                <w:color w:val="000000"/>
                <w:sz w:val="20"/>
                <w:lang w:val="es-MX"/>
              </w:rPr>
            </w:pPr>
            <w:r w:rsidRPr="004101EE">
              <w:rPr>
                <w:b/>
                <w:color w:val="000000"/>
                <w:sz w:val="20"/>
                <w:lang w:val="es-MX"/>
              </w:rPr>
              <w:t>Gastos de apoyo de los organismos*</w:t>
            </w:r>
          </w:p>
          <w:p w14:paraId="12C3D08F" w14:textId="08A0F0E4" w:rsidR="004101EE" w:rsidRPr="004101EE" w:rsidRDefault="004101EE" w:rsidP="00B54D92">
            <w:pPr>
              <w:keepNext/>
              <w:jc w:val="center"/>
              <w:rPr>
                <w:b/>
                <w:bCs/>
                <w:color w:val="000000"/>
                <w:sz w:val="20"/>
                <w:szCs w:val="20"/>
                <w:lang w:val="es-MX"/>
              </w:rPr>
            </w:pPr>
            <w:r w:rsidRPr="004101EE">
              <w:rPr>
                <w:b/>
                <w:color w:val="000000"/>
                <w:sz w:val="20"/>
                <w:lang w:val="es-MX"/>
              </w:rPr>
              <w:t>(USD)</w:t>
            </w:r>
          </w:p>
        </w:tc>
        <w:tc>
          <w:tcPr>
            <w:tcW w:w="1212" w:type="pct"/>
            <w:tcBorders>
              <w:top w:val="single" w:sz="4" w:space="0" w:color="auto"/>
              <w:left w:val="nil"/>
              <w:bottom w:val="single" w:sz="4" w:space="0" w:color="auto"/>
              <w:right w:val="single" w:sz="4" w:space="0" w:color="auto"/>
            </w:tcBorders>
            <w:noWrap/>
            <w:hideMark/>
          </w:tcPr>
          <w:p w14:paraId="7D24C3C7" w14:textId="77777777" w:rsidR="004101EE" w:rsidRPr="004101EE" w:rsidRDefault="004101EE" w:rsidP="00B54D92">
            <w:pPr>
              <w:keepNext/>
              <w:jc w:val="center"/>
              <w:rPr>
                <w:b/>
                <w:bCs/>
                <w:color w:val="000000"/>
                <w:sz w:val="20"/>
                <w:szCs w:val="20"/>
                <w:lang w:val="es-MX"/>
              </w:rPr>
            </w:pPr>
            <w:r w:rsidRPr="004101EE">
              <w:rPr>
                <w:b/>
                <w:color w:val="000000"/>
                <w:sz w:val="20"/>
                <w:lang w:val="es-MX"/>
              </w:rPr>
              <w:t>Fondos desembolsados** (USD)</w:t>
            </w:r>
          </w:p>
        </w:tc>
      </w:tr>
      <w:tr w:rsidR="004101EE" w:rsidRPr="004101EE" w14:paraId="0FB1890D" w14:textId="77777777" w:rsidTr="00B54D92">
        <w:trPr>
          <w:trHeight w:val="80"/>
        </w:trPr>
        <w:tc>
          <w:tcPr>
            <w:tcW w:w="1052" w:type="pct"/>
            <w:tcBorders>
              <w:top w:val="nil"/>
              <w:left w:val="single" w:sz="4" w:space="0" w:color="auto"/>
              <w:bottom w:val="single" w:sz="4" w:space="0" w:color="auto"/>
              <w:right w:val="single" w:sz="4" w:space="0" w:color="auto"/>
            </w:tcBorders>
            <w:noWrap/>
            <w:hideMark/>
          </w:tcPr>
          <w:p w14:paraId="3957ABBE" w14:textId="77777777" w:rsidR="004101EE" w:rsidRPr="004101EE" w:rsidRDefault="004101EE" w:rsidP="00B54D92">
            <w:pPr>
              <w:keepNext/>
              <w:jc w:val="left"/>
              <w:rPr>
                <w:color w:val="000000"/>
                <w:sz w:val="20"/>
                <w:szCs w:val="20"/>
                <w:lang w:val="es-MX"/>
              </w:rPr>
            </w:pPr>
            <w:r w:rsidRPr="004101EE">
              <w:rPr>
                <w:color w:val="000000"/>
                <w:sz w:val="20"/>
                <w:lang w:val="es-MX"/>
              </w:rPr>
              <w:t>Bilateral</w:t>
            </w:r>
          </w:p>
        </w:tc>
        <w:tc>
          <w:tcPr>
            <w:tcW w:w="1353" w:type="pct"/>
            <w:tcBorders>
              <w:top w:val="nil"/>
              <w:left w:val="nil"/>
              <w:bottom w:val="single" w:sz="4" w:space="0" w:color="auto"/>
              <w:right w:val="single" w:sz="4" w:space="0" w:color="auto"/>
            </w:tcBorders>
            <w:noWrap/>
            <w:hideMark/>
          </w:tcPr>
          <w:p w14:paraId="73647C46" w14:textId="77777777" w:rsidR="004101EE" w:rsidRPr="004101EE" w:rsidRDefault="004101EE" w:rsidP="00B54D92">
            <w:pPr>
              <w:keepNext/>
              <w:jc w:val="right"/>
              <w:rPr>
                <w:i/>
                <w:iCs/>
                <w:color w:val="000000"/>
                <w:sz w:val="20"/>
                <w:szCs w:val="20"/>
                <w:lang w:val="es-MX"/>
              </w:rPr>
            </w:pPr>
            <w:r w:rsidRPr="004101EE">
              <w:rPr>
                <w:sz w:val="20"/>
                <w:highlight w:val="yellow"/>
                <w:lang w:val="es-MX"/>
              </w:rPr>
              <w:t>??</w:t>
            </w:r>
          </w:p>
        </w:tc>
        <w:tc>
          <w:tcPr>
            <w:tcW w:w="1383" w:type="pct"/>
            <w:tcBorders>
              <w:top w:val="nil"/>
              <w:left w:val="nil"/>
              <w:bottom w:val="single" w:sz="4" w:space="0" w:color="auto"/>
              <w:right w:val="single" w:sz="4" w:space="0" w:color="auto"/>
            </w:tcBorders>
            <w:noWrap/>
            <w:hideMark/>
          </w:tcPr>
          <w:p w14:paraId="71008AFA" w14:textId="77777777" w:rsidR="004101EE" w:rsidRPr="004101EE" w:rsidRDefault="004101EE" w:rsidP="00B54D92">
            <w:pPr>
              <w:keepNext/>
              <w:jc w:val="right"/>
              <w:rPr>
                <w:i/>
                <w:iCs/>
                <w:color w:val="000000"/>
                <w:sz w:val="20"/>
                <w:szCs w:val="20"/>
                <w:lang w:val="es-MX"/>
              </w:rPr>
            </w:pPr>
            <w:r w:rsidRPr="004101EE">
              <w:rPr>
                <w:sz w:val="20"/>
                <w:highlight w:val="yellow"/>
                <w:lang w:val="es-MX"/>
              </w:rPr>
              <w:t>??</w:t>
            </w:r>
          </w:p>
        </w:tc>
        <w:tc>
          <w:tcPr>
            <w:tcW w:w="1212" w:type="pct"/>
            <w:tcBorders>
              <w:top w:val="nil"/>
              <w:left w:val="nil"/>
              <w:bottom w:val="single" w:sz="4" w:space="0" w:color="auto"/>
              <w:right w:val="single" w:sz="4" w:space="0" w:color="auto"/>
            </w:tcBorders>
            <w:noWrap/>
          </w:tcPr>
          <w:p w14:paraId="3CE09B45" w14:textId="77777777" w:rsidR="004101EE" w:rsidRPr="004101EE" w:rsidRDefault="004101EE" w:rsidP="00B54D92">
            <w:pPr>
              <w:keepNext/>
              <w:jc w:val="right"/>
              <w:rPr>
                <w:sz w:val="20"/>
                <w:szCs w:val="20"/>
                <w:lang w:val="es-MX"/>
              </w:rPr>
            </w:pPr>
            <w:r w:rsidRPr="004101EE">
              <w:rPr>
                <w:sz w:val="20"/>
                <w:highlight w:val="yellow"/>
                <w:lang w:val="es-MX"/>
              </w:rPr>
              <w:t>??</w:t>
            </w:r>
          </w:p>
        </w:tc>
      </w:tr>
      <w:tr w:rsidR="004101EE" w:rsidRPr="004101EE" w14:paraId="1709A160" w14:textId="77777777" w:rsidTr="00B54D92">
        <w:trPr>
          <w:trHeight w:val="107"/>
        </w:trPr>
        <w:tc>
          <w:tcPr>
            <w:tcW w:w="1052" w:type="pct"/>
            <w:tcBorders>
              <w:top w:val="nil"/>
              <w:left w:val="single" w:sz="4" w:space="0" w:color="auto"/>
              <w:bottom w:val="single" w:sz="4" w:space="0" w:color="auto"/>
              <w:right w:val="single" w:sz="4" w:space="0" w:color="auto"/>
            </w:tcBorders>
            <w:noWrap/>
            <w:hideMark/>
          </w:tcPr>
          <w:p w14:paraId="28E3692D" w14:textId="77777777" w:rsidR="004101EE" w:rsidRPr="004101EE" w:rsidRDefault="004101EE" w:rsidP="00B54D92">
            <w:pPr>
              <w:keepNext/>
              <w:jc w:val="left"/>
              <w:rPr>
                <w:color w:val="000000"/>
                <w:sz w:val="20"/>
                <w:szCs w:val="20"/>
                <w:lang w:val="es-MX"/>
              </w:rPr>
            </w:pPr>
            <w:r w:rsidRPr="004101EE">
              <w:rPr>
                <w:color w:val="000000"/>
                <w:sz w:val="20"/>
                <w:lang w:val="es-MX"/>
              </w:rPr>
              <w:t>PNUD</w:t>
            </w:r>
          </w:p>
        </w:tc>
        <w:tc>
          <w:tcPr>
            <w:tcW w:w="1353" w:type="pct"/>
            <w:tcBorders>
              <w:top w:val="nil"/>
              <w:left w:val="nil"/>
              <w:bottom w:val="single" w:sz="4" w:space="0" w:color="auto"/>
              <w:right w:val="single" w:sz="4" w:space="0" w:color="auto"/>
            </w:tcBorders>
            <w:noWrap/>
            <w:hideMark/>
          </w:tcPr>
          <w:p w14:paraId="3746B8B1" w14:textId="77777777" w:rsidR="004101EE" w:rsidRPr="004101EE" w:rsidRDefault="004101EE" w:rsidP="00B54D92">
            <w:pPr>
              <w:keepNext/>
              <w:jc w:val="right"/>
              <w:rPr>
                <w:i/>
                <w:iCs/>
                <w:color w:val="000000"/>
                <w:sz w:val="20"/>
                <w:szCs w:val="20"/>
                <w:lang w:val="es-MX"/>
              </w:rPr>
            </w:pPr>
            <w:r w:rsidRPr="004101EE">
              <w:rPr>
                <w:sz w:val="20"/>
                <w:highlight w:val="yellow"/>
                <w:lang w:val="es-MX"/>
              </w:rPr>
              <w:t>??</w:t>
            </w:r>
          </w:p>
        </w:tc>
        <w:tc>
          <w:tcPr>
            <w:tcW w:w="1383" w:type="pct"/>
            <w:tcBorders>
              <w:top w:val="nil"/>
              <w:left w:val="nil"/>
              <w:bottom w:val="single" w:sz="4" w:space="0" w:color="auto"/>
              <w:right w:val="single" w:sz="4" w:space="0" w:color="auto"/>
            </w:tcBorders>
            <w:noWrap/>
            <w:hideMark/>
          </w:tcPr>
          <w:p w14:paraId="2F2833DF" w14:textId="77777777" w:rsidR="004101EE" w:rsidRPr="004101EE" w:rsidRDefault="004101EE" w:rsidP="00B54D92">
            <w:pPr>
              <w:keepNext/>
              <w:jc w:val="right"/>
              <w:rPr>
                <w:i/>
                <w:iCs/>
                <w:color w:val="000000"/>
                <w:sz w:val="20"/>
                <w:szCs w:val="20"/>
                <w:lang w:val="es-MX"/>
              </w:rPr>
            </w:pPr>
            <w:r w:rsidRPr="004101EE">
              <w:rPr>
                <w:sz w:val="20"/>
                <w:highlight w:val="yellow"/>
                <w:lang w:val="es-MX"/>
              </w:rPr>
              <w:t>??</w:t>
            </w:r>
          </w:p>
        </w:tc>
        <w:tc>
          <w:tcPr>
            <w:tcW w:w="1212" w:type="pct"/>
            <w:tcBorders>
              <w:top w:val="nil"/>
              <w:left w:val="nil"/>
              <w:bottom w:val="single" w:sz="4" w:space="0" w:color="auto"/>
              <w:right w:val="single" w:sz="4" w:space="0" w:color="auto"/>
            </w:tcBorders>
            <w:noWrap/>
          </w:tcPr>
          <w:p w14:paraId="345AB61F" w14:textId="77777777" w:rsidR="004101EE" w:rsidRPr="004101EE" w:rsidRDefault="004101EE" w:rsidP="00B54D92">
            <w:pPr>
              <w:keepNext/>
              <w:jc w:val="right"/>
              <w:rPr>
                <w:sz w:val="20"/>
                <w:szCs w:val="20"/>
                <w:lang w:val="es-MX"/>
              </w:rPr>
            </w:pPr>
            <w:r w:rsidRPr="004101EE">
              <w:rPr>
                <w:sz w:val="20"/>
                <w:highlight w:val="yellow"/>
                <w:lang w:val="es-MX"/>
              </w:rPr>
              <w:t>??</w:t>
            </w:r>
          </w:p>
        </w:tc>
      </w:tr>
      <w:tr w:rsidR="004101EE" w:rsidRPr="004101EE" w14:paraId="411263BE" w14:textId="77777777" w:rsidTr="00B54D92">
        <w:trPr>
          <w:trHeight w:val="143"/>
        </w:trPr>
        <w:tc>
          <w:tcPr>
            <w:tcW w:w="1052" w:type="pct"/>
            <w:tcBorders>
              <w:top w:val="nil"/>
              <w:left w:val="single" w:sz="4" w:space="0" w:color="auto"/>
              <w:bottom w:val="single" w:sz="4" w:space="0" w:color="auto"/>
              <w:right w:val="single" w:sz="4" w:space="0" w:color="auto"/>
            </w:tcBorders>
            <w:noWrap/>
            <w:hideMark/>
          </w:tcPr>
          <w:p w14:paraId="678098BE" w14:textId="77777777" w:rsidR="004101EE" w:rsidRPr="004101EE" w:rsidRDefault="004101EE" w:rsidP="00B54D92">
            <w:pPr>
              <w:jc w:val="left"/>
              <w:rPr>
                <w:color w:val="000000"/>
                <w:sz w:val="20"/>
                <w:szCs w:val="20"/>
                <w:lang w:val="es-MX"/>
              </w:rPr>
            </w:pPr>
            <w:r w:rsidRPr="004101EE">
              <w:rPr>
                <w:color w:val="000000"/>
                <w:sz w:val="20"/>
                <w:lang w:val="es-MX"/>
              </w:rPr>
              <w:t>PNUMA</w:t>
            </w:r>
          </w:p>
        </w:tc>
        <w:tc>
          <w:tcPr>
            <w:tcW w:w="1353" w:type="pct"/>
            <w:tcBorders>
              <w:top w:val="nil"/>
              <w:left w:val="nil"/>
              <w:bottom w:val="single" w:sz="4" w:space="0" w:color="auto"/>
              <w:right w:val="single" w:sz="4" w:space="0" w:color="auto"/>
            </w:tcBorders>
            <w:noWrap/>
            <w:hideMark/>
          </w:tcPr>
          <w:p w14:paraId="4B70AC0E" w14:textId="77777777" w:rsidR="004101EE" w:rsidRPr="004101EE" w:rsidRDefault="004101EE" w:rsidP="00B54D92">
            <w:pPr>
              <w:jc w:val="right"/>
              <w:rPr>
                <w:i/>
                <w:iCs/>
                <w:color w:val="000000"/>
                <w:sz w:val="20"/>
                <w:szCs w:val="20"/>
                <w:lang w:val="es-MX"/>
              </w:rPr>
            </w:pPr>
            <w:r w:rsidRPr="004101EE">
              <w:rPr>
                <w:sz w:val="20"/>
                <w:highlight w:val="yellow"/>
                <w:lang w:val="es-MX"/>
              </w:rPr>
              <w:t>??</w:t>
            </w:r>
          </w:p>
        </w:tc>
        <w:tc>
          <w:tcPr>
            <w:tcW w:w="1383" w:type="pct"/>
            <w:tcBorders>
              <w:top w:val="nil"/>
              <w:left w:val="nil"/>
              <w:bottom w:val="single" w:sz="4" w:space="0" w:color="auto"/>
              <w:right w:val="single" w:sz="4" w:space="0" w:color="auto"/>
            </w:tcBorders>
            <w:noWrap/>
            <w:hideMark/>
          </w:tcPr>
          <w:p w14:paraId="3C8578AB" w14:textId="77777777" w:rsidR="004101EE" w:rsidRPr="004101EE" w:rsidRDefault="004101EE" w:rsidP="00B54D92">
            <w:pPr>
              <w:jc w:val="right"/>
              <w:rPr>
                <w:i/>
                <w:iCs/>
                <w:color w:val="000000"/>
                <w:sz w:val="20"/>
                <w:szCs w:val="20"/>
                <w:lang w:val="es-MX"/>
              </w:rPr>
            </w:pPr>
            <w:r w:rsidRPr="004101EE">
              <w:rPr>
                <w:sz w:val="20"/>
                <w:highlight w:val="yellow"/>
                <w:lang w:val="es-MX"/>
              </w:rPr>
              <w:t>??</w:t>
            </w:r>
          </w:p>
        </w:tc>
        <w:tc>
          <w:tcPr>
            <w:tcW w:w="1212" w:type="pct"/>
            <w:tcBorders>
              <w:top w:val="nil"/>
              <w:left w:val="nil"/>
              <w:bottom w:val="single" w:sz="4" w:space="0" w:color="auto"/>
              <w:right w:val="single" w:sz="4" w:space="0" w:color="auto"/>
            </w:tcBorders>
            <w:noWrap/>
          </w:tcPr>
          <w:p w14:paraId="6772FAF4" w14:textId="77777777" w:rsidR="004101EE" w:rsidRPr="004101EE" w:rsidRDefault="004101EE" w:rsidP="00B54D92">
            <w:pPr>
              <w:keepNext/>
              <w:jc w:val="right"/>
              <w:rPr>
                <w:sz w:val="20"/>
                <w:szCs w:val="20"/>
                <w:lang w:val="es-MX"/>
              </w:rPr>
            </w:pPr>
            <w:r w:rsidRPr="004101EE">
              <w:rPr>
                <w:sz w:val="20"/>
                <w:highlight w:val="yellow"/>
                <w:lang w:val="es-MX"/>
              </w:rPr>
              <w:t>??</w:t>
            </w:r>
          </w:p>
        </w:tc>
      </w:tr>
      <w:tr w:rsidR="004101EE" w:rsidRPr="004101EE" w14:paraId="75D9A3BD" w14:textId="77777777" w:rsidTr="00B54D92">
        <w:trPr>
          <w:trHeight w:val="170"/>
        </w:trPr>
        <w:tc>
          <w:tcPr>
            <w:tcW w:w="1052" w:type="pct"/>
            <w:tcBorders>
              <w:top w:val="nil"/>
              <w:left w:val="single" w:sz="4" w:space="0" w:color="auto"/>
              <w:bottom w:val="single" w:sz="4" w:space="0" w:color="auto"/>
              <w:right w:val="single" w:sz="4" w:space="0" w:color="auto"/>
            </w:tcBorders>
            <w:noWrap/>
            <w:hideMark/>
          </w:tcPr>
          <w:p w14:paraId="79894896" w14:textId="77777777" w:rsidR="004101EE" w:rsidRPr="004101EE" w:rsidRDefault="004101EE" w:rsidP="00B54D92">
            <w:pPr>
              <w:jc w:val="left"/>
              <w:rPr>
                <w:color w:val="000000"/>
                <w:sz w:val="20"/>
                <w:szCs w:val="20"/>
                <w:lang w:val="es-MX"/>
              </w:rPr>
            </w:pPr>
            <w:r w:rsidRPr="004101EE">
              <w:rPr>
                <w:color w:val="000000"/>
                <w:sz w:val="20"/>
                <w:lang w:val="es-MX"/>
              </w:rPr>
              <w:t>ONUDI</w:t>
            </w:r>
          </w:p>
        </w:tc>
        <w:tc>
          <w:tcPr>
            <w:tcW w:w="1353" w:type="pct"/>
            <w:tcBorders>
              <w:top w:val="nil"/>
              <w:left w:val="nil"/>
              <w:bottom w:val="single" w:sz="4" w:space="0" w:color="auto"/>
              <w:right w:val="single" w:sz="4" w:space="0" w:color="auto"/>
            </w:tcBorders>
            <w:noWrap/>
            <w:hideMark/>
          </w:tcPr>
          <w:p w14:paraId="22B29728" w14:textId="77777777" w:rsidR="004101EE" w:rsidRPr="004101EE" w:rsidRDefault="004101EE" w:rsidP="00B54D92">
            <w:pPr>
              <w:jc w:val="right"/>
              <w:rPr>
                <w:i/>
                <w:iCs/>
                <w:color w:val="000000"/>
                <w:sz w:val="20"/>
                <w:szCs w:val="20"/>
                <w:lang w:val="es-MX"/>
              </w:rPr>
            </w:pPr>
            <w:r w:rsidRPr="004101EE">
              <w:rPr>
                <w:sz w:val="20"/>
                <w:highlight w:val="yellow"/>
                <w:lang w:val="es-MX"/>
              </w:rPr>
              <w:t>??</w:t>
            </w:r>
          </w:p>
        </w:tc>
        <w:tc>
          <w:tcPr>
            <w:tcW w:w="1383" w:type="pct"/>
            <w:tcBorders>
              <w:top w:val="nil"/>
              <w:left w:val="nil"/>
              <w:bottom w:val="single" w:sz="4" w:space="0" w:color="auto"/>
              <w:right w:val="single" w:sz="4" w:space="0" w:color="auto"/>
            </w:tcBorders>
            <w:noWrap/>
            <w:hideMark/>
          </w:tcPr>
          <w:p w14:paraId="385DAC54" w14:textId="77777777" w:rsidR="004101EE" w:rsidRPr="004101EE" w:rsidRDefault="004101EE" w:rsidP="00B54D92">
            <w:pPr>
              <w:jc w:val="right"/>
              <w:rPr>
                <w:i/>
                <w:iCs/>
                <w:color w:val="000000"/>
                <w:sz w:val="20"/>
                <w:szCs w:val="20"/>
                <w:lang w:val="es-MX"/>
              </w:rPr>
            </w:pPr>
            <w:r w:rsidRPr="004101EE">
              <w:rPr>
                <w:sz w:val="20"/>
                <w:highlight w:val="yellow"/>
                <w:lang w:val="es-MX"/>
              </w:rPr>
              <w:t>??</w:t>
            </w:r>
          </w:p>
        </w:tc>
        <w:tc>
          <w:tcPr>
            <w:tcW w:w="1212" w:type="pct"/>
            <w:tcBorders>
              <w:top w:val="nil"/>
              <w:left w:val="nil"/>
              <w:bottom w:val="single" w:sz="4" w:space="0" w:color="auto"/>
              <w:right w:val="single" w:sz="4" w:space="0" w:color="auto"/>
            </w:tcBorders>
            <w:noWrap/>
          </w:tcPr>
          <w:p w14:paraId="7CA8E156" w14:textId="77777777" w:rsidR="004101EE" w:rsidRPr="004101EE" w:rsidRDefault="004101EE" w:rsidP="00B54D92">
            <w:pPr>
              <w:keepNext/>
              <w:jc w:val="right"/>
              <w:rPr>
                <w:sz w:val="20"/>
                <w:szCs w:val="20"/>
                <w:lang w:val="es-MX"/>
              </w:rPr>
            </w:pPr>
            <w:r w:rsidRPr="004101EE">
              <w:rPr>
                <w:sz w:val="20"/>
                <w:highlight w:val="yellow"/>
                <w:lang w:val="es-MX"/>
              </w:rPr>
              <w:t>??</w:t>
            </w:r>
          </w:p>
        </w:tc>
      </w:tr>
      <w:tr w:rsidR="004101EE" w:rsidRPr="004101EE" w14:paraId="44AB9DBE" w14:textId="77777777" w:rsidTr="00B54D92">
        <w:trPr>
          <w:trHeight w:val="116"/>
        </w:trPr>
        <w:tc>
          <w:tcPr>
            <w:tcW w:w="1052" w:type="pct"/>
            <w:tcBorders>
              <w:top w:val="nil"/>
              <w:left w:val="single" w:sz="4" w:space="0" w:color="auto"/>
              <w:bottom w:val="single" w:sz="4" w:space="0" w:color="auto"/>
              <w:right w:val="single" w:sz="4" w:space="0" w:color="auto"/>
            </w:tcBorders>
            <w:noWrap/>
            <w:hideMark/>
          </w:tcPr>
          <w:p w14:paraId="396B8179" w14:textId="77777777" w:rsidR="004101EE" w:rsidRPr="004101EE" w:rsidRDefault="004101EE" w:rsidP="00B54D92">
            <w:pPr>
              <w:jc w:val="left"/>
              <w:rPr>
                <w:color w:val="000000"/>
                <w:sz w:val="20"/>
                <w:szCs w:val="20"/>
                <w:lang w:val="es-MX"/>
              </w:rPr>
            </w:pPr>
            <w:r w:rsidRPr="004101EE">
              <w:rPr>
                <w:color w:val="000000"/>
                <w:sz w:val="20"/>
                <w:lang w:val="es-MX"/>
              </w:rPr>
              <w:t>Banco Mundial</w:t>
            </w:r>
          </w:p>
        </w:tc>
        <w:tc>
          <w:tcPr>
            <w:tcW w:w="1353" w:type="pct"/>
            <w:tcBorders>
              <w:top w:val="nil"/>
              <w:left w:val="nil"/>
              <w:bottom w:val="single" w:sz="4" w:space="0" w:color="auto"/>
              <w:right w:val="single" w:sz="4" w:space="0" w:color="auto"/>
            </w:tcBorders>
            <w:noWrap/>
            <w:hideMark/>
          </w:tcPr>
          <w:p w14:paraId="6C52C384" w14:textId="77777777" w:rsidR="004101EE" w:rsidRPr="004101EE" w:rsidRDefault="004101EE" w:rsidP="00B54D92">
            <w:pPr>
              <w:jc w:val="right"/>
              <w:rPr>
                <w:i/>
                <w:iCs/>
                <w:color w:val="000000"/>
                <w:sz w:val="20"/>
                <w:szCs w:val="20"/>
                <w:lang w:val="es-MX"/>
              </w:rPr>
            </w:pPr>
            <w:r w:rsidRPr="004101EE">
              <w:rPr>
                <w:sz w:val="20"/>
                <w:highlight w:val="yellow"/>
                <w:lang w:val="es-MX"/>
              </w:rPr>
              <w:t>??</w:t>
            </w:r>
          </w:p>
        </w:tc>
        <w:tc>
          <w:tcPr>
            <w:tcW w:w="1383" w:type="pct"/>
            <w:tcBorders>
              <w:top w:val="nil"/>
              <w:left w:val="nil"/>
              <w:bottom w:val="single" w:sz="4" w:space="0" w:color="auto"/>
              <w:right w:val="single" w:sz="4" w:space="0" w:color="auto"/>
            </w:tcBorders>
            <w:noWrap/>
            <w:hideMark/>
          </w:tcPr>
          <w:p w14:paraId="3E238083" w14:textId="77777777" w:rsidR="004101EE" w:rsidRPr="004101EE" w:rsidRDefault="004101EE" w:rsidP="00B54D92">
            <w:pPr>
              <w:jc w:val="right"/>
              <w:rPr>
                <w:i/>
                <w:iCs/>
                <w:color w:val="000000"/>
                <w:sz w:val="20"/>
                <w:szCs w:val="20"/>
                <w:lang w:val="es-MX"/>
              </w:rPr>
            </w:pPr>
            <w:r w:rsidRPr="004101EE">
              <w:rPr>
                <w:sz w:val="20"/>
                <w:highlight w:val="yellow"/>
                <w:lang w:val="es-MX"/>
              </w:rPr>
              <w:t>??</w:t>
            </w:r>
          </w:p>
        </w:tc>
        <w:tc>
          <w:tcPr>
            <w:tcW w:w="1212" w:type="pct"/>
            <w:tcBorders>
              <w:top w:val="nil"/>
              <w:left w:val="nil"/>
              <w:bottom w:val="single" w:sz="4" w:space="0" w:color="auto"/>
              <w:right w:val="single" w:sz="4" w:space="0" w:color="auto"/>
            </w:tcBorders>
            <w:noWrap/>
          </w:tcPr>
          <w:p w14:paraId="7305E83F" w14:textId="77777777" w:rsidR="004101EE" w:rsidRPr="004101EE" w:rsidRDefault="004101EE" w:rsidP="00B54D92">
            <w:pPr>
              <w:keepNext/>
              <w:jc w:val="right"/>
              <w:rPr>
                <w:sz w:val="20"/>
                <w:szCs w:val="20"/>
                <w:lang w:val="es-MX"/>
              </w:rPr>
            </w:pPr>
            <w:r w:rsidRPr="004101EE">
              <w:rPr>
                <w:sz w:val="20"/>
                <w:highlight w:val="yellow"/>
                <w:lang w:val="es-MX"/>
              </w:rPr>
              <w:t>??</w:t>
            </w:r>
          </w:p>
        </w:tc>
      </w:tr>
      <w:tr w:rsidR="004101EE" w:rsidRPr="004101EE" w14:paraId="04597D30" w14:textId="77777777" w:rsidTr="00B54D92">
        <w:trPr>
          <w:trHeight w:val="143"/>
        </w:trPr>
        <w:tc>
          <w:tcPr>
            <w:tcW w:w="1052" w:type="pct"/>
            <w:tcBorders>
              <w:top w:val="nil"/>
              <w:left w:val="single" w:sz="4" w:space="0" w:color="auto"/>
              <w:bottom w:val="single" w:sz="4" w:space="0" w:color="auto"/>
              <w:right w:val="single" w:sz="4" w:space="0" w:color="auto"/>
            </w:tcBorders>
            <w:noWrap/>
            <w:hideMark/>
          </w:tcPr>
          <w:p w14:paraId="06CF4863" w14:textId="77777777" w:rsidR="004101EE" w:rsidRPr="004101EE" w:rsidRDefault="004101EE" w:rsidP="00B54D92">
            <w:pPr>
              <w:jc w:val="left"/>
              <w:rPr>
                <w:b/>
                <w:bCs/>
                <w:color w:val="000000"/>
                <w:sz w:val="20"/>
                <w:szCs w:val="20"/>
                <w:lang w:val="es-MX"/>
              </w:rPr>
            </w:pPr>
            <w:r w:rsidRPr="004101EE">
              <w:rPr>
                <w:b/>
                <w:color w:val="000000"/>
                <w:sz w:val="20"/>
                <w:lang w:val="es-MX"/>
              </w:rPr>
              <w:t>Total</w:t>
            </w:r>
          </w:p>
        </w:tc>
        <w:tc>
          <w:tcPr>
            <w:tcW w:w="1353" w:type="pct"/>
            <w:tcBorders>
              <w:top w:val="nil"/>
              <w:left w:val="nil"/>
              <w:bottom w:val="single" w:sz="4" w:space="0" w:color="auto"/>
              <w:right w:val="single" w:sz="4" w:space="0" w:color="auto"/>
            </w:tcBorders>
            <w:noWrap/>
            <w:hideMark/>
          </w:tcPr>
          <w:p w14:paraId="5918A095" w14:textId="77777777" w:rsidR="004101EE" w:rsidRPr="004101EE" w:rsidRDefault="004101EE" w:rsidP="00B54D92">
            <w:pPr>
              <w:jc w:val="right"/>
              <w:rPr>
                <w:b/>
                <w:bCs/>
                <w:i/>
                <w:iCs/>
                <w:color w:val="000000"/>
                <w:sz w:val="20"/>
                <w:szCs w:val="20"/>
                <w:lang w:val="es-MX"/>
              </w:rPr>
            </w:pPr>
            <w:r w:rsidRPr="004101EE">
              <w:rPr>
                <w:b/>
                <w:sz w:val="20"/>
                <w:highlight w:val="yellow"/>
                <w:lang w:val="es-MX"/>
              </w:rPr>
              <w:t>??</w:t>
            </w:r>
          </w:p>
        </w:tc>
        <w:tc>
          <w:tcPr>
            <w:tcW w:w="1383" w:type="pct"/>
            <w:tcBorders>
              <w:top w:val="nil"/>
              <w:left w:val="nil"/>
              <w:bottom w:val="single" w:sz="4" w:space="0" w:color="auto"/>
              <w:right w:val="single" w:sz="4" w:space="0" w:color="auto"/>
            </w:tcBorders>
            <w:noWrap/>
            <w:hideMark/>
          </w:tcPr>
          <w:p w14:paraId="20D54AD3" w14:textId="77777777" w:rsidR="004101EE" w:rsidRPr="004101EE" w:rsidRDefault="004101EE" w:rsidP="00B54D92">
            <w:pPr>
              <w:jc w:val="right"/>
              <w:rPr>
                <w:b/>
                <w:bCs/>
                <w:i/>
                <w:iCs/>
                <w:color w:val="000000"/>
                <w:sz w:val="20"/>
                <w:szCs w:val="20"/>
                <w:lang w:val="es-MX"/>
              </w:rPr>
            </w:pPr>
            <w:r w:rsidRPr="004101EE">
              <w:rPr>
                <w:b/>
                <w:sz w:val="20"/>
                <w:highlight w:val="yellow"/>
                <w:lang w:val="es-MX"/>
              </w:rPr>
              <w:t>??</w:t>
            </w:r>
          </w:p>
        </w:tc>
        <w:tc>
          <w:tcPr>
            <w:tcW w:w="1212" w:type="pct"/>
            <w:tcBorders>
              <w:top w:val="nil"/>
              <w:left w:val="nil"/>
              <w:bottom w:val="single" w:sz="4" w:space="0" w:color="auto"/>
              <w:right w:val="single" w:sz="4" w:space="0" w:color="auto"/>
            </w:tcBorders>
            <w:noWrap/>
          </w:tcPr>
          <w:p w14:paraId="31A43A33" w14:textId="77777777" w:rsidR="004101EE" w:rsidRPr="004101EE" w:rsidRDefault="004101EE" w:rsidP="00B54D92">
            <w:pPr>
              <w:keepNext/>
              <w:jc w:val="right"/>
              <w:rPr>
                <w:b/>
                <w:bCs/>
                <w:sz w:val="20"/>
                <w:szCs w:val="20"/>
                <w:lang w:val="es-MX"/>
              </w:rPr>
            </w:pPr>
            <w:r w:rsidRPr="004101EE">
              <w:rPr>
                <w:b/>
                <w:sz w:val="20"/>
                <w:highlight w:val="yellow"/>
                <w:lang w:val="es-MX"/>
              </w:rPr>
              <w:t>??</w:t>
            </w:r>
          </w:p>
        </w:tc>
      </w:tr>
    </w:tbl>
    <w:p w14:paraId="782458ED" w14:textId="77777777" w:rsidR="004101EE" w:rsidRPr="004101EE" w:rsidRDefault="004101EE" w:rsidP="004101EE">
      <w:pPr>
        <w:pStyle w:val="CM28"/>
        <w:spacing w:after="0"/>
        <w:rPr>
          <w:sz w:val="18"/>
          <w:szCs w:val="18"/>
          <w:lang w:val="es-MX"/>
        </w:rPr>
      </w:pPr>
      <w:r w:rsidRPr="004101EE">
        <w:rPr>
          <w:sz w:val="18"/>
          <w:lang w:val="es-MX"/>
        </w:rPr>
        <w:t xml:space="preserve">* A fecha de </w:t>
      </w:r>
      <w:r w:rsidRPr="004101EE">
        <w:rPr>
          <w:sz w:val="20"/>
          <w:highlight w:val="yellow"/>
          <w:lang w:val="es-MX"/>
        </w:rPr>
        <w:t>??</w:t>
      </w:r>
      <w:r w:rsidRPr="004101EE">
        <w:rPr>
          <w:sz w:val="18"/>
          <w:lang w:val="es-MX"/>
        </w:rPr>
        <w:t xml:space="preserve"> (excluidos los proyectos cancelados y los proyectos transferidos)</w:t>
      </w:r>
    </w:p>
    <w:p w14:paraId="257468AC" w14:textId="77777777" w:rsidR="004101EE" w:rsidRPr="004101EE" w:rsidRDefault="004101EE" w:rsidP="004101EE">
      <w:pPr>
        <w:pStyle w:val="CM28"/>
        <w:spacing w:after="240"/>
        <w:rPr>
          <w:sz w:val="18"/>
          <w:szCs w:val="18"/>
          <w:lang w:val="es-MX"/>
        </w:rPr>
      </w:pPr>
      <w:r w:rsidRPr="004101EE">
        <w:rPr>
          <w:sz w:val="18"/>
          <w:lang w:val="es-MX"/>
        </w:rPr>
        <w:t xml:space="preserve">** A fecha de </w:t>
      </w:r>
      <w:r w:rsidRPr="004101EE">
        <w:rPr>
          <w:sz w:val="20"/>
          <w:highlight w:val="yellow"/>
          <w:lang w:val="es-MX"/>
        </w:rPr>
        <w:t>??</w:t>
      </w:r>
      <w:r w:rsidRPr="004101EE">
        <w:rPr>
          <w:sz w:val="18"/>
          <w:lang w:val="es-MX"/>
        </w:rPr>
        <w:t xml:space="preserve"> (excluidos los proyectos cancelados y los proyectos transferidos)</w:t>
      </w:r>
    </w:p>
    <w:p w14:paraId="303325DF" w14:textId="77777777" w:rsidR="004101EE" w:rsidRPr="004101EE" w:rsidRDefault="004101EE" w:rsidP="004101EE">
      <w:pPr>
        <w:pStyle w:val="CH1"/>
        <w:rPr>
          <w:lang w:val="es-MX"/>
        </w:rPr>
      </w:pPr>
      <w:r w:rsidRPr="004101EE">
        <w:rPr>
          <w:lang w:val="es-MX"/>
        </w:rPr>
        <w:lastRenderedPageBreak/>
        <w:t>ANEXO</w:t>
      </w:r>
    </w:p>
    <w:p w14:paraId="3540AA17" w14:textId="77777777" w:rsidR="004101EE" w:rsidRPr="004101EE" w:rsidRDefault="004101EE" w:rsidP="004101EE">
      <w:pPr>
        <w:pStyle w:val="Heading1"/>
        <w:tabs>
          <w:tab w:val="clear" w:pos="0"/>
          <w:tab w:val="num" w:pos="792"/>
        </w:tabs>
        <w:rPr>
          <w:highlight w:val="yellow"/>
          <w:lang w:val="es-MX"/>
        </w:rPr>
      </w:pPr>
      <w:r w:rsidRPr="004101EE">
        <w:rPr>
          <w:highlight w:val="yellow"/>
          <w:lang w:val="es-MX"/>
        </w:rPr>
        <w:t>El anexo del presente informe contiene el boletín anual del Fondo Multilateral con algunos proyectos destacados y resultados de políticas de 2025.</w:t>
      </w:r>
    </w:p>
    <w:p w14:paraId="0CC9F22D" w14:textId="77777777" w:rsidR="004101EE" w:rsidRPr="004101EE" w:rsidRDefault="004101EE" w:rsidP="004101EE">
      <w:pPr>
        <w:keepNext/>
        <w:spacing w:before="240" w:after="240"/>
        <w:outlineLvl w:val="0"/>
        <w:rPr>
          <w:rFonts w:eastAsia="Times New Roman"/>
          <w:b/>
          <w:bCs/>
          <w:lang w:val="es-MX"/>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4101EE" w:rsidRPr="00DD525E" w14:paraId="32FE2445" w14:textId="77777777" w:rsidTr="00B54D92">
        <w:tc>
          <w:tcPr>
            <w:tcW w:w="999" w:type="pct"/>
          </w:tcPr>
          <w:p w14:paraId="3A5C5634" w14:textId="77777777" w:rsidR="004101EE" w:rsidRPr="004101EE" w:rsidRDefault="004101EE" w:rsidP="00B54D92">
            <w:pPr>
              <w:rPr>
                <w:lang w:val="es-MX"/>
              </w:rPr>
            </w:pPr>
          </w:p>
          <w:p w14:paraId="0363E907" w14:textId="77777777" w:rsidR="004101EE" w:rsidRPr="004101EE" w:rsidRDefault="004101EE" w:rsidP="00B54D92">
            <w:pPr>
              <w:rPr>
                <w:lang w:val="es-MX"/>
              </w:rPr>
            </w:pPr>
          </w:p>
        </w:tc>
        <w:tc>
          <w:tcPr>
            <w:tcW w:w="1000" w:type="pct"/>
          </w:tcPr>
          <w:p w14:paraId="2AEF66BE" w14:textId="77777777" w:rsidR="004101EE" w:rsidRPr="004101EE" w:rsidRDefault="004101EE" w:rsidP="00B54D92">
            <w:pPr>
              <w:rPr>
                <w:lang w:val="es-MX"/>
              </w:rPr>
            </w:pPr>
          </w:p>
        </w:tc>
        <w:tc>
          <w:tcPr>
            <w:tcW w:w="1000" w:type="pct"/>
            <w:tcBorders>
              <w:bottom w:val="single" w:sz="4" w:space="0" w:color="auto"/>
            </w:tcBorders>
          </w:tcPr>
          <w:p w14:paraId="3D455F84" w14:textId="77777777" w:rsidR="004101EE" w:rsidRPr="004101EE" w:rsidRDefault="004101EE" w:rsidP="00B54D92">
            <w:pPr>
              <w:rPr>
                <w:lang w:val="es-MX"/>
              </w:rPr>
            </w:pPr>
          </w:p>
        </w:tc>
        <w:tc>
          <w:tcPr>
            <w:tcW w:w="1000" w:type="pct"/>
          </w:tcPr>
          <w:p w14:paraId="296E1249" w14:textId="77777777" w:rsidR="004101EE" w:rsidRPr="004101EE" w:rsidRDefault="004101EE" w:rsidP="00B54D92">
            <w:pPr>
              <w:rPr>
                <w:lang w:val="es-MX"/>
              </w:rPr>
            </w:pPr>
          </w:p>
        </w:tc>
        <w:tc>
          <w:tcPr>
            <w:tcW w:w="1001" w:type="pct"/>
          </w:tcPr>
          <w:p w14:paraId="7EC0515C" w14:textId="77777777" w:rsidR="004101EE" w:rsidRPr="004101EE" w:rsidRDefault="004101EE" w:rsidP="00B54D92">
            <w:pPr>
              <w:rPr>
                <w:lang w:val="es-MX"/>
              </w:rPr>
            </w:pPr>
          </w:p>
        </w:tc>
      </w:tr>
    </w:tbl>
    <w:p w14:paraId="5AC229A1" w14:textId="77777777" w:rsidR="004101EE" w:rsidRPr="004101EE" w:rsidRDefault="004101EE" w:rsidP="004101EE">
      <w:pPr>
        <w:jc w:val="center"/>
        <w:rPr>
          <w:lang w:val="es-MX"/>
        </w:rPr>
      </w:pPr>
    </w:p>
    <w:p w14:paraId="3AC42E5A" w14:textId="68C6C9EF" w:rsidR="00E85409" w:rsidRPr="004101EE" w:rsidRDefault="00E85409" w:rsidP="004101EE">
      <w:pPr>
        <w:pStyle w:val="Heading1"/>
        <w:numPr>
          <w:ilvl w:val="0"/>
          <w:numId w:val="0"/>
        </w:numPr>
        <w:rPr>
          <w:lang w:val="es-MX"/>
        </w:rPr>
      </w:pPr>
    </w:p>
    <w:sectPr w:rsidR="00E85409" w:rsidRPr="004101EE" w:rsidSect="00902F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64E46" w14:textId="77777777" w:rsidR="001920CF" w:rsidRDefault="001920CF" w:rsidP="004A504B">
      <w:r>
        <w:separator/>
      </w:r>
    </w:p>
  </w:endnote>
  <w:endnote w:type="continuationSeparator" w:id="0">
    <w:p w14:paraId="615DDD6A" w14:textId="77777777" w:rsidR="001920CF" w:rsidRDefault="001920C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B6D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990706"/>
      <w:docPartObj>
        <w:docPartGallery w:val="Page Numbers (Bottom of Page)"/>
        <w:docPartUnique/>
      </w:docPartObj>
    </w:sdtPr>
    <w:sdtEndPr>
      <w:rPr>
        <w:noProof/>
      </w:rPr>
    </w:sdtEndPr>
    <w:sdtContent>
      <w:p w14:paraId="6190B01A" w14:textId="2905A88F" w:rsidR="00DC6A10" w:rsidRPr="008A36B2" w:rsidRDefault="008A36B2" w:rsidP="008A36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837C" w14:textId="77777777" w:rsidR="000706DC" w:rsidRPr="004101EE" w:rsidRDefault="0044193D" w:rsidP="0044193D">
    <w:pPr>
      <w:pBdr>
        <w:top w:val="single" w:sz="4" w:space="5" w:color="auto"/>
        <w:left w:val="single" w:sz="4" w:space="4" w:color="auto"/>
        <w:bottom w:val="single" w:sz="4" w:space="6" w:color="auto"/>
        <w:right w:val="single" w:sz="4" w:space="6" w:color="auto"/>
      </w:pBdr>
      <w:jc w:val="center"/>
      <w:textAlignment w:val="top"/>
      <w:rPr>
        <w:sz w:val="18"/>
        <w:szCs w:val="18"/>
        <w:lang w:val="es-MX"/>
      </w:rPr>
    </w:pPr>
    <w:r w:rsidRPr="004101EE">
      <w:rPr>
        <w:sz w:val="18"/>
        <w:szCs w:val="18"/>
        <w:lang w:val="es-MX"/>
      </w:rPr>
      <w:t>Los documentos previos al período de sesiones del Comité Ejecutivo del Fondo Multilateral para la Aplicación del Protocolo de Montreal no van en perjuicio de las decisiones que el Comité pudiera adoptar después de la emisión de los mismos.</w:t>
    </w:r>
  </w:p>
  <w:p w14:paraId="5B39E9DD" w14:textId="77777777" w:rsidR="009064D8" w:rsidRPr="004101EE" w:rsidRDefault="009064D8" w:rsidP="000706DC">
    <w:pPr>
      <w:pStyle w:val="Footer"/>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9BE09" w14:textId="77777777" w:rsidR="001920CF" w:rsidRDefault="001920CF" w:rsidP="004A504B">
      <w:r>
        <w:separator/>
      </w:r>
    </w:p>
  </w:footnote>
  <w:footnote w:type="continuationSeparator" w:id="0">
    <w:p w14:paraId="2EF8D6F6" w14:textId="77777777" w:rsidR="001920CF" w:rsidRDefault="001920CF" w:rsidP="004A504B">
      <w:r>
        <w:continuationSeparator/>
      </w:r>
    </w:p>
  </w:footnote>
  <w:footnote w:id="1">
    <w:p w14:paraId="1F848534" w14:textId="77777777" w:rsidR="006A24A7" w:rsidRPr="00CB7B59" w:rsidRDefault="006A24A7" w:rsidP="006A24A7">
      <w:pPr>
        <w:pStyle w:val="FootnoteText"/>
        <w:spacing w:after="120"/>
        <w:rPr>
          <w:lang w:val="es-MX"/>
        </w:rPr>
      </w:pPr>
      <w:r w:rsidRPr="00CB7B59">
        <w:rPr>
          <w:rStyle w:val="FootnoteReference"/>
          <w:lang w:val="es-MX"/>
        </w:rPr>
        <w:footnoteRef/>
      </w:r>
      <w:r w:rsidRPr="00CB7B59">
        <w:rPr>
          <w:lang w:val="es-MX"/>
        </w:rPr>
        <w:t xml:space="preserve"> UNEP/OzL.Pro/ExCom/9</w:t>
      </w:r>
      <w:r w:rsidR="009609D8" w:rsidRPr="00CB7B59">
        <w:rPr>
          <w:lang w:val="es-MX"/>
        </w:rPr>
        <w:t>8</w:t>
      </w:r>
      <w:r w:rsidRPr="00CB7B59">
        <w:rPr>
          <w:lang w:val="es-MX"/>
        </w:rPr>
        <w:t>/1</w:t>
      </w:r>
    </w:p>
  </w:footnote>
  <w:footnote w:id="2">
    <w:p w14:paraId="65C3F907"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UNEP/OzL.Pro/ExCom/97/91 [</w:t>
      </w:r>
      <w:r w:rsidRPr="00CB7B59">
        <w:rPr>
          <w:highlight w:val="yellow"/>
          <w:lang w:val="es-MX"/>
        </w:rPr>
        <w:t>y UNEP/OzL.Pro/ExCom/98/??</w:t>
      </w:r>
      <w:r w:rsidRPr="00CB7B59">
        <w:rPr>
          <w:lang w:val="es-MX"/>
        </w:rPr>
        <w:t>].</w:t>
      </w:r>
    </w:p>
  </w:footnote>
  <w:footnote w:id="3">
    <w:p w14:paraId="2A355ED5"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UNEP/OzL.Pro/ExCom/97/26, párrafos 39 a 45.</w:t>
      </w:r>
    </w:p>
  </w:footnote>
  <w:footnote w:id="4">
    <w:p w14:paraId="5C83CA53"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UNEP/OzL.Pro/ExCom/97/85.</w:t>
      </w:r>
    </w:p>
  </w:footnote>
  <w:footnote w:id="5">
    <w:p w14:paraId="46F5ADCA"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UNEP/OzL.Pro/ExCom/97/86.</w:t>
      </w:r>
    </w:p>
  </w:footnote>
  <w:footnote w:id="6">
    <w:p w14:paraId="5A18FDD7" w14:textId="77777777" w:rsidR="004101EE" w:rsidRPr="00CB7B59" w:rsidRDefault="004101EE" w:rsidP="004101EE">
      <w:pPr>
        <w:pStyle w:val="FootnoteText"/>
        <w:rPr>
          <w:sz w:val="18"/>
          <w:szCs w:val="18"/>
          <w:lang w:val="es-MX"/>
        </w:rPr>
      </w:pPr>
      <w:r w:rsidRPr="00CB7B59">
        <w:rPr>
          <w:vertAlign w:val="superscript"/>
          <w:lang w:val="es-MX"/>
        </w:rPr>
        <w:footnoteRef/>
      </w:r>
      <w:r w:rsidRPr="00CB7B59">
        <w:rPr>
          <w:lang w:val="es-MX"/>
        </w:rPr>
        <w:t xml:space="preserve"> UNEP/OzL.Pro/ExCom/97/87.</w:t>
      </w:r>
    </w:p>
  </w:footnote>
  <w:footnote w:id="7">
    <w:p w14:paraId="0BCF0AAF" w14:textId="77777777" w:rsidR="004101EE" w:rsidRPr="00CB7B59" w:rsidRDefault="004101EE" w:rsidP="004101EE">
      <w:pPr>
        <w:pStyle w:val="FootnoteText"/>
        <w:rPr>
          <w:lang w:val="es-MX"/>
        </w:rPr>
      </w:pPr>
      <w:r w:rsidRPr="00CB7B59">
        <w:rPr>
          <w:vertAlign w:val="superscript"/>
          <w:lang w:val="es-MX"/>
        </w:rPr>
        <w:footnoteRef/>
      </w:r>
      <w:r w:rsidRPr="00CB7B59">
        <w:rPr>
          <w:lang w:val="es-MX"/>
        </w:rPr>
        <w:t xml:space="preserve"> UNEP/OzL.Pro/ExCom/97/26, párrafos 34 a 38.</w:t>
      </w:r>
    </w:p>
  </w:footnote>
  <w:footnote w:id="8">
    <w:p w14:paraId="20D98C6E" w14:textId="77777777" w:rsidR="004101EE" w:rsidRPr="00CB7B59" w:rsidRDefault="004101EE" w:rsidP="004101EE">
      <w:pPr>
        <w:pStyle w:val="FootnoteText"/>
        <w:rPr>
          <w:lang w:val="es-MX"/>
        </w:rPr>
      </w:pPr>
      <w:r w:rsidRPr="00CB7B59">
        <w:rPr>
          <w:vertAlign w:val="superscript"/>
          <w:lang w:val="es-MX"/>
        </w:rPr>
        <w:footnoteRef/>
      </w:r>
      <w:r w:rsidRPr="00CB7B59">
        <w:rPr>
          <w:lang w:val="es-MX"/>
        </w:rPr>
        <w:t xml:space="preserve"> UNEP/OzL.Pro/ExCom/97/26, párrafos 14 a 33.</w:t>
      </w:r>
    </w:p>
  </w:footnote>
  <w:footnote w:id="9">
    <w:p w14:paraId="54ED1BEC" w14:textId="77777777" w:rsidR="004101EE" w:rsidRPr="00CB7B59" w:rsidRDefault="004101EE" w:rsidP="004101EE">
      <w:pPr>
        <w:pStyle w:val="FootnoteText"/>
        <w:rPr>
          <w:lang w:val="es-MX"/>
        </w:rPr>
      </w:pPr>
      <w:r w:rsidRPr="00CB7B59">
        <w:rPr>
          <w:vertAlign w:val="superscript"/>
          <w:lang w:val="es-MX"/>
        </w:rPr>
        <w:footnoteRef/>
      </w:r>
      <w:r w:rsidRPr="00CB7B59">
        <w:rPr>
          <w:lang w:val="es-MX"/>
        </w:rPr>
        <w:t> UNEP/OzL.Pro/ExCom/97/91, anexo XXVIII.</w:t>
      </w:r>
    </w:p>
  </w:footnote>
  <w:footnote w:id="10">
    <w:p w14:paraId="2754FCE9" w14:textId="77777777" w:rsidR="004101EE" w:rsidRPr="00CB7B59" w:rsidRDefault="004101EE" w:rsidP="004101EE">
      <w:pPr>
        <w:pStyle w:val="FootnoteText"/>
        <w:rPr>
          <w:lang w:val="es-MX"/>
        </w:rPr>
      </w:pPr>
      <w:r w:rsidRPr="00CB7B59">
        <w:rPr>
          <w:vertAlign w:val="superscript"/>
          <w:lang w:val="es-MX"/>
        </w:rPr>
        <w:footnoteRef/>
      </w:r>
      <w:r w:rsidRPr="00CB7B59">
        <w:rPr>
          <w:lang w:val="es-MX"/>
        </w:rPr>
        <w:t xml:space="preserve"> UNEP/OzL.Pro/ExCom/97/88.</w:t>
      </w:r>
    </w:p>
  </w:footnote>
  <w:footnote w:id="11">
    <w:p w14:paraId="027737C3"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UNEP/OzL.Pro/ExCom/97/89.</w:t>
      </w:r>
    </w:p>
  </w:footnote>
  <w:footnote w:id="12">
    <w:p w14:paraId="32A2E166" w14:textId="77777777" w:rsidR="004101EE" w:rsidRPr="00CB7B59" w:rsidRDefault="004101EE" w:rsidP="004101EE">
      <w:pPr>
        <w:pStyle w:val="FootnoteText"/>
        <w:rPr>
          <w:lang w:val="es-MX"/>
        </w:rPr>
      </w:pPr>
      <w:r w:rsidRPr="00CB7B59">
        <w:rPr>
          <w:vertAlign w:val="superscript"/>
          <w:lang w:val="es-MX"/>
        </w:rPr>
        <w:footnoteRef/>
      </w:r>
      <w:r w:rsidRPr="00CB7B59">
        <w:rPr>
          <w:lang w:val="es-MX"/>
        </w:rPr>
        <w:t> UNEP/OzL.Pro/ExCom/97/90 [</w:t>
      </w:r>
      <w:r w:rsidRPr="00CB7B59">
        <w:rPr>
          <w:highlight w:val="yellow"/>
          <w:lang w:val="es-MX"/>
        </w:rPr>
        <w:t>y UNEP/OzL.Pro/ExCom/98/??</w:t>
      </w:r>
      <w:r w:rsidRPr="00CB7B59">
        <w:rPr>
          <w:lang w:val="es-MX"/>
        </w:rPr>
        <w:t>].</w:t>
      </w:r>
    </w:p>
  </w:footnote>
  <w:footnote w:id="13">
    <w:p w14:paraId="2DADCA51" w14:textId="77777777" w:rsidR="004101EE" w:rsidRPr="00CB7B59" w:rsidRDefault="004101EE" w:rsidP="004101EE">
      <w:pPr>
        <w:pStyle w:val="FootnoteText"/>
        <w:rPr>
          <w:lang w:val="es-MX"/>
        </w:rPr>
      </w:pPr>
      <w:r w:rsidRPr="00CB7B59">
        <w:rPr>
          <w:vertAlign w:val="superscript"/>
          <w:lang w:val="es-MX"/>
        </w:rPr>
        <w:footnoteRef/>
      </w:r>
      <w:r w:rsidRPr="00CB7B59">
        <w:rPr>
          <w:lang w:val="es-MX"/>
        </w:rPr>
        <w:t> UNEP/OzL.Pro/ExCom/97/28 [</w:t>
      </w:r>
      <w:r w:rsidRPr="00CB7B59">
        <w:rPr>
          <w:highlight w:val="yellow"/>
          <w:lang w:val="es-MX"/>
        </w:rPr>
        <w:t>y UNEP/OzL.Pro/ExCom/98/??</w:t>
      </w:r>
      <w:r w:rsidRPr="00CB7B59">
        <w:rPr>
          <w:lang w:val="es-MX"/>
        </w:rPr>
        <w:t>].</w:t>
      </w:r>
    </w:p>
  </w:footnote>
  <w:footnote w:id="14">
    <w:p w14:paraId="7F37621C" w14:textId="77777777" w:rsidR="004101EE" w:rsidRPr="00CB7B59" w:rsidRDefault="004101EE" w:rsidP="004101EE">
      <w:pPr>
        <w:pStyle w:val="FootnoteText"/>
        <w:rPr>
          <w:sz w:val="18"/>
          <w:szCs w:val="18"/>
          <w:lang w:val="es-MX"/>
        </w:rPr>
      </w:pPr>
      <w:r w:rsidRPr="00CB7B59">
        <w:rPr>
          <w:vertAlign w:val="superscript"/>
          <w:lang w:val="es-MX"/>
        </w:rPr>
        <w:footnoteRef/>
      </w:r>
      <w:r w:rsidRPr="00CB7B59">
        <w:rPr>
          <w:lang w:val="es-MX"/>
        </w:rPr>
        <w:t> UNEP/OzL.Pro/ExCom/97/29 [</w:t>
      </w:r>
      <w:r w:rsidRPr="00CB7B59">
        <w:rPr>
          <w:highlight w:val="yellow"/>
          <w:lang w:val="es-MX"/>
        </w:rPr>
        <w:t>y UNEP/OzL.Pro/ExCom/98/??</w:t>
      </w:r>
      <w:r w:rsidRPr="00CB7B59">
        <w:rPr>
          <w:lang w:val="es-MX"/>
        </w:rPr>
        <w:t>].</w:t>
      </w:r>
    </w:p>
  </w:footnote>
  <w:footnote w:id="15">
    <w:p w14:paraId="0ABBC077"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UNEP/OzL.Pro/ExCom/97/27. </w:t>
      </w:r>
    </w:p>
  </w:footnote>
  <w:footnote w:id="16">
    <w:p w14:paraId="5FD3451C" w14:textId="77777777" w:rsidR="004101EE" w:rsidRPr="00CB7B59" w:rsidRDefault="004101EE" w:rsidP="004101EE">
      <w:pPr>
        <w:pStyle w:val="FootnoteText"/>
        <w:widowControl w:val="0"/>
        <w:rPr>
          <w:lang w:val="es-MX"/>
        </w:rPr>
      </w:pPr>
      <w:r w:rsidRPr="00CB7B59">
        <w:rPr>
          <w:rStyle w:val="FootnoteReference"/>
          <w:lang w:val="es-MX"/>
        </w:rPr>
        <w:footnoteRef/>
      </w:r>
      <w:r w:rsidRPr="00CB7B59">
        <w:rPr>
          <w:lang w:val="es-MX"/>
        </w:rPr>
        <w:t xml:space="preserve"> UNEP/OzL.Pro/ExCom/97/30.</w:t>
      </w:r>
    </w:p>
  </w:footnote>
  <w:footnote w:id="17">
    <w:p w14:paraId="470F1FA2" w14:textId="77777777" w:rsidR="004101EE" w:rsidRPr="00CB7B59" w:rsidRDefault="004101EE" w:rsidP="004101EE">
      <w:pPr>
        <w:pStyle w:val="FootnoteText"/>
        <w:widowControl w:val="0"/>
        <w:rPr>
          <w:lang w:val="es-MX"/>
        </w:rPr>
      </w:pPr>
      <w:r w:rsidRPr="00CB7B59">
        <w:rPr>
          <w:rStyle w:val="FootnoteReference"/>
          <w:lang w:val="es-MX"/>
        </w:rPr>
        <w:footnoteRef/>
      </w:r>
      <w:r w:rsidRPr="00CB7B59">
        <w:rPr>
          <w:lang w:val="es-MX"/>
        </w:rPr>
        <w:t xml:space="preserve"> UNEP/OzL.Pro/ExCom/97/31.</w:t>
      </w:r>
    </w:p>
  </w:footnote>
  <w:footnote w:id="18">
    <w:p w14:paraId="2A3D693D" w14:textId="77777777" w:rsidR="004101EE" w:rsidRPr="00CB7B59" w:rsidRDefault="004101EE" w:rsidP="004101EE">
      <w:pPr>
        <w:pStyle w:val="FootnoteText"/>
        <w:widowControl w:val="0"/>
        <w:rPr>
          <w:lang w:val="es-MX"/>
        </w:rPr>
      </w:pPr>
      <w:r w:rsidRPr="00CB7B59">
        <w:rPr>
          <w:rStyle w:val="FootnoteReference"/>
          <w:lang w:val="es-MX"/>
        </w:rPr>
        <w:footnoteRef/>
      </w:r>
      <w:r w:rsidRPr="00CB7B59">
        <w:rPr>
          <w:lang w:val="es-MX"/>
        </w:rPr>
        <w:t xml:space="preserve"> UNEP/OzL.Pro/ExCom/97/32.</w:t>
      </w:r>
    </w:p>
  </w:footnote>
  <w:footnote w:id="19">
    <w:p w14:paraId="10FB0568"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UNEP/OzL.Pro/ExCom/97/33.</w:t>
      </w:r>
    </w:p>
  </w:footnote>
  <w:footnote w:id="20">
    <w:p w14:paraId="090B1BC2"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UNEP/OzL.Pro/ExCom/97/83 y Add.1</w:t>
      </w:r>
    </w:p>
  </w:footnote>
  <w:footnote w:id="21">
    <w:p w14:paraId="0A34A511"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UNEP/OzL.Pro/ExCom/97/91, anexo LIX.</w:t>
      </w:r>
    </w:p>
  </w:footnote>
  <w:footnote w:id="22">
    <w:p w14:paraId="20AD2A82"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UNEP/OzL.Pro/ExCom/97/84.</w:t>
      </w:r>
    </w:p>
  </w:footnote>
  <w:footnote w:id="23">
    <w:p w14:paraId="2E4492F2"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UNEP/OzL.Pro/ExCom/97/8.</w:t>
      </w:r>
    </w:p>
  </w:footnote>
  <w:footnote w:id="24">
    <w:p w14:paraId="17C61FF7" w14:textId="77777777" w:rsidR="004101EE" w:rsidRPr="00CB7B59" w:rsidRDefault="004101EE" w:rsidP="004101EE">
      <w:pPr>
        <w:pStyle w:val="FootnoteText"/>
        <w:rPr>
          <w:lang w:val="es-MX"/>
        </w:rPr>
      </w:pPr>
      <w:r w:rsidRPr="00CB7B59">
        <w:rPr>
          <w:rStyle w:val="FootnoteReference"/>
          <w:highlight w:val="yellow"/>
          <w:lang w:val="es-MX"/>
        </w:rPr>
        <w:footnoteRef/>
      </w:r>
      <w:r w:rsidRPr="00CB7B59">
        <w:rPr>
          <w:highlight w:val="yellow"/>
          <w:lang w:val="es-MX"/>
        </w:rPr>
        <w:t> [UNEP/OzL.Pro/ExCom/98/??</w:t>
      </w:r>
      <w:r w:rsidRPr="00CB7B59">
        <w:rPr>
          <w:lang w:val="es-MX"/>
        </w:rPr>
        <w:t>].</w:t>
      </w:r>
    </w:p>
  </w:footnote>
  <w:footnote w:id="25">
    <w:p w14:paraId="26C4F63D"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UNEP/OzL.Pro/ExCom/97/11.</w:t>
      </w:r>
    </w:p>
  </w:footnote>
  <w:footnote w:id="26">
    <w:p w14:paraId="6D273BC7"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UNEP/OzL.Pro/ExCom/97/12.</w:t>
      </w:r>
    </w:p>
  </w:footnote>
  <w:footnote w:id="27">
    <w:p w14:paraId="152D3549"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UNEP/OzL.Pro/ExCom/97/16.</w:t>
      </w:r>
    </w:p>
  </w:footnote>
  <w:footnote w:id="28">
    <w:p w14:paraId="0261EBE5"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UNEP/OzL.Pro/ExCom/97/15.</w:t>
      </w:r>
    </w:p>
  </w:footnote>
  <w:footnote w:id="29">
    <w:p w14:paraId="01A3506A"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UNEP/OzL.Pro/ExCom/97/13.</w:t>
      </w:r>
    </w:p>
  </w:footnote>
  <w:footnote w:id="30">
    <w:p w14:paraId="7150AA08"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UNEP/OzL.Pro/ExCom/97/14.</w:t>
      </w:r>
    </w:p>
  </w:footnote>
  <w:footnote w:id="31">
    <w:p w14:paraId="3E97D63C" w14:textId="77777777" w:rsidR="004101EE" w:rsidRPr="00CB7B59" w:rsidRDefault="004101EE" w:rsidP="004101EE">
      <w:pPr>
        <w:pStyle w:val="FootnoteText"/>
        <w:rPr>
          <w:sz w:val="18"/>
          <w:szCs w:val="18"/>
          <w:lang w:val="es-MX"/>
        </w:rPr>
      </w:pPr>
      <w:r w:rsidRPr="00CB7B59">
        <w:rPr>
          <w:rStyle w:val="FootnoteReference"/>
          <w:lang w:val="es-MX"/>
        </w:rPr>
        <w:footnoteRef/>
      </w:r>
      <w:r w:rsidRPr="00CB7B59">
        <w:rPr>
          <w:lang w:val="es-MX"/>
        </w:rPr>
        <w:t> UNEP/OzL.Pro/ExCom/97/91, anexos IV-VIII.</w:t>
      </w:r>
    </w:p>
  </w:footnote>
  <w:footnote w:id="32">
    <w:p w14:paraId="620280A7"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UNEP/OzL.Pro/ExCom/97/17 y UNEP/OzL.Pro/ExCom/97/18.</w:t>
      </w:r>
    </w:p>
  </w:footnote>
  <w:footnote w:id="33">
    <w:p w14:paraId="150E841A"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w:t>
      </w:r>
      <w:r w:rsidRPr="00CB7B59">
        <w:rPr>
          <w:highlight w:val="yellow"/>
          <w:lang w:val="es-MX"/>
        </w:rPr>
        <w:t>UNEP/OzL.Pro/ExCom/98/??</w:t>
      </w:r>
      <w:r w:rsidRPr="00CB7B59">
        <w:rPr>
          <w:lang w:val="es-MX"/>
        </w:rPr>
        <w:t>].</w:t>
      </w:r>
    </w:p>
  </w:footnote>
  <w:footnote w:id="34">
    <w:p w14:paraId="68EE8F77"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UNEP/OzL.Pro/ExCom/97/9.</w:t>
      </w:r>
    </w:p>
  </w:footnote>
  <w:footnote w:id="35">
    <w:p w14:paraId="2302C703"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UNEP/OzL.Pro/ExCom/97/10.</w:t>
      </w:r>
    </w:p>
  </w:footnote>
  <w:footnote w:id="36">
    <w:p w14:paraId="3C997E74"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UNEP/OzL.Pro/ExCom/97/91, anexo III.</w:t>
      </w:r>
    </w:p>
  </w:footnote>
  <w:footnote w:id="37">
    <w:p w14:paraId="6795031A"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UNEP/OzL.Pro/ExCom/97/19.</w:t>
      </w:r>
    </w:p>
  </w:footnote>
  <w:footnote w:id="38">
    <w:p w14:paraId="5AA4E9EA"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UNEP/OzL.Pro/ExCom/97/20.</w:t>
      </w:r>
    </w:p>
  </w:footnote>
  <w:footnote w:id="39">
    <w:p w14:paraId="03AE9E50"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UNEP/OzL.Pro/ExCom/97/21.</w:t>
      </w:r>
    </w:p>
  </w:footnote>
  <w:footnote w:id="40">
    <w:p w14:paraId="5CFC108B" w14:textId="75A0BDE6"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UNEP/OzL.Pro/ExCom/97/2</w:t>
      </w:r>
      <w:r w:rsidR="00AE3F56">
        <w:rPr>
          <w:lang w:val="es-MX"/>
        </w:rPr>
        <w:t>2</w:t>
      </w:r>
      <w:r w:rsidRPr="00CB7B59">
        <w:rPr>
          <w:lang w:val="es-MX"/>
        </w:rPr>
        <w:t>.</w:t>
      </w:r>
    </w:p>
  </w:footnote>
  <w:footnote w:id="41">
    <w:p w14:paraId="4D138826" w14:textId="0D010FFE"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UNEP/OzL.Pro/ExCom/97/2</w:t>
      </w:r>
      <w:r w:rsidR="00AE3F56">
        <w:rPr>
          <w:lang w:val="es-MX"/>
        </w:rPr>
        <w:t>3</w:t>
      </w:r>
      <w:r w:rsidRPr="00CB7B59">
        <w:rPr>
          <w:lang w:val="es-MX"/>
        </w:rPr>
        <w:t>.</w:t>
      </w:r>
    </w:p>
  </w:footnote>
  <w:footnote w:id="42">
    <w:p w14:paraId="015B09FA" w14:textId="36C73AA7"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UNEP/OzL.Pro/ExCom/97/2</w:t>
      </w:r>
      <w:r w:rsidR="00AE3F56">
        <w:rPr>
          <w:lang w:val="es-MX"/>
        </w:rPr>
        <w:t>4</w:t>
      </w:r>
      <w:r w:rsidRPr="00CB7B59">
        <w:rPr>
          <w:lang w:val="es-MX"/>
        </w:rPr>
        <w:t>.</w:t>
      </w:r>
    </w:p>
  </w:footnote>
  <w:footnote w:id="43">
    <w:p w14:paraId="1C9A6C14" w14:textId="73F70731" w:rsidR="004101EE" w:rsidRPr="00CB7B59" w:rsidRDefault="004101EE" w:rsidP="004101EE">
      <w:pPr>
        <w:pStyle w:val="FootnoteText"/>
        <w:rPr>
          <w:lang w:val="es-MX"/>
        </w:rPr>
      </w:pPr>
      <w:r w:rsidRPr="00CB7B59">
        <w:rPr>
          <w:rStyle w:val="FootnoteReference"/>
          <w:lang w:val="es-MX"/>
        </w:rPr>
        <w:footnoteRef/>
      </w:r>
      <w:r w:rsidRPr="00CB7B59">
        <w:rPr>
          <w:lang w:val="es-MX"/>
        </w:rPr>
        <w:t xml:space="preserve"> UNEP/OzL.Pro/ExCom/97/2</w:t>
      </w:r>
      <w:r w:rsidR="00AE3F56">
        <w:rPr>
          <w:lang w:val="es-MX"/>
        </w:rPr>
        <w:t>5</w:t>
      </w:r>
      <w:r w:rsidRPr="00CB7B59">
        <w:rPr>
          <w:lang w:val="es-MX"/>
        </w:rPr>
        <w:t>.</w:t>
      </w:r>
    </w:p>
  </w:footnote>
  <w:footnote w:id="44">
    <w:p w14:paraId="6B30EDD7"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UNEP/OzL.Pro/ExCom/97/91, anexos XXIV, XXV, XXVI y XXVII.</w:t>
      </w:r>
    </w:p>
  </w:footnote>
  <w:footnote w:id="45">
    <w:p w14:paraId="4F214DC0" w14:textId="77777777" w:rsidR="004101EE" w:rsidRPr="00072488" w:rsidRDefault="004101EE" w:rsidP="004101EE">
      <w:pPr>
        <w:pStyle w:val="FootnoteText"/>
      </w:pPr>
      <w:r w:rsidRPr="00CB7B59">
        <w:rPr>
          <w:rStyle w:val="FootnoteReference"/>
          <w:lang w:val="es-MX"/>
        </w:rPr>
        <w:footnoteRef/>
      </w:r>
      <w:r w:rsidRPr="00072488">
        <w:t> [</w:t>
      </w:r>
      <w:r w:rsidRPr="00072488">
        <w:rPr>
          <w:highlight w:val="yellow"/>
        </w:rPr>
        <w:t>UNEP/OzL.Pro/ExCom/98/???, anexo ???.]</w:t>
      </w:r>
    </w:p>
  </w:footnote>
  <w:footnote w:id="46">
    <w:p w14:paraId="4BB08B8D" w14:textId="77777777" w:rsidR="004101EE" w:rsidRPr="00072488" w:rsidRDefault="004101EE" w:rsidP="004101EE">
      <w:pPr>
        <w:pStyle w:val="FootnoteText"/>
      </w:pPr>
      <w:r w:rsidRPr="00CB7B59">
        <w:rPr>
          <w:rStyle w:val="FootnoteReference"/>
          <w:lang w:val="es-MX"/>
        </w:rPr>
        <w:footnoteRef/>
      </w:r>
      <w:r w:rsidRPr="00072488">
        <w:t xml:space="preserve"> UNEP/OzL.Pro/ExCom/97/3.</w:t>
      </w:r>
    </w:p>
  </w:footnote>
  <w:footnote w:id="47">
    <w:p w14:paraId="4EE68108" w14:textId="77777777" w:rsidR="004101EE" w:rsidRPr="00072488" w:rsidRDefault="004101EE" w:rsidP="004101EE">
      <w:pPr>
        <w:pStyle w:val="FootnoteText"/>
      </w:pPr>
      <w:r w:rsidRPr="00CB7B59">
        <w:rPr>
          <w:rStyle w:val="FootnoteReference"/>
          <w:lang w:val="es-MX"/>
        </w:rPr>
        <w:footnoteRef/>
      </w:r>
      <w:r w:rsidRPr="00072488">
        <w:t xml:space="preserve"> UNEP/OzL.Pro/ExCom/97/4.</w:t>
      </w:r>
    </w:p>
  </w:footnote>
  <w:footnote w:id="48">
    <w:p w14:paraId="7BF0DD74" w14:textId="77777777" w:rsidR="004101EE" w:rsidRPr="00072488" w:rsidRDefault="004101EE" w:rsidP="004101EE">
      <w:pPr>
        <w:pStyle w:val="FootnoteText"/>
      </w:pPr>
      <w:r w:rsidRPr="00CB7B59">
        <w:rPr>
          <w:rStyle w:val="FootnoteReference"/>
          <w:lang w:val="es-MX"/>
        </w:rPr>
        <w:footnoteRef/>
      </w:r>
      <w:r w:rsidRPr="00072488">
        <w:t xml:space="preserve"> UNEP/OzL.Pro/ExCom/97/5.</w:t>
      </w:r>
    </w:p>
  </w:footnote>
  <w:footnote w:id="49">
    <w:p w14:paraId="626CAB44" w14:textId="77777777" w:rsidR="004101EE" w:rsidRPr="00072488" w:rsidRDefault="004101EE" w:rsidP="004101EE">
      <w:pPr>
        <w:pStyle w:val="FootnoteText"/>
      </w:pPr>
      <w:r w:rsidRPr="00CB7B59">
        <w:rPr>
          <w:rStyle w:val="FootnoteReference"/>
          <w:lang w:val="es-MX"/>
        </w:rPr>
        <w:footnoteRef/>
      </w:r>
      <w:r w:rsidRPr="00072488">
        <w:t xml:space="preserve"> UNEP/OzL.Pro/ExCom/97/6.</w:t>
      </w:r>
    </w:p>
  </w:footnote>
  <w:footnote w:id="50">
    <w:p w14:paraId="7DF340EB" w14:textId="77777777" w:rsidR="004101EE" w:rsidRPr="00072488" w:rsidRDefault="004101EE" w:rsidP="004101EE">
      <w:pPr>
        <w:pStyle w:val="FootnoteText"/>
      </w:pPr>
      <w:r w:rsidRPr="00CB7B59">
        <w:rPr>
          <w:rStyle w:val="FootnoteReference"/>
          <w:lang w:val="es-MX"/>
        </w:rPr>
        <w:footnoteRef/>
      </w:r>
      <w:r w:rsidRPr="00072488">
        <w:t xml:space="preserve"> UNEP/OzL.Pro/ExCom/97/7.</w:t>
      </w:r>
    </w:p>
  </w:footnote>
  <w:footnote w:id="51">
    <w:p w14:paraId="780E62D1" w14:textId="77777777" w:rsidR="004101EE" w:rsidRPr="00072488" w:rsidRDefault="004101EE" w:rsidP="004101EE">
      <w:pPr>
        <w:pStyle w:val="FootnoteText"/>
      </w:pPr>
      <w:r w:rsidRPr="00CB7B59">
        <w:rPr>
          <w:rStyle w:val="FootnoteReference"/>
          <w:lang w:val="es-MX"/>
        </w:rPr>
        <w:footnoteRef/>
      </w:r>
      <w:r w:rsidRPr="00072488">
        <w:t> UNEP/OzL.Pro/ExCom/97/91, anexo II.</w:t>
      </w:r>
    </w:p>
  </w:footnote>
  <w:footnote w:id="52">
    <w:p w14:paraId="5AF1D80C" w14:textId="77777777" w:rsidR="004101EE" w:rsidRPr="00072488" w:rsidRDefault="004101EE" w:rsidP="004101EE">
      <w:pPr>
        <w:pStyle w:val="FootnoteText"/>
      </w:pPr>
      <w:r w:rsidRPr="00CB7B59">
        <w:rPr>
          <w:rStyle w:val="FootnoteReference"/>
          <w:lang w:val="es-MX"/>
        </w:rPr>
        <w:footnoteRef/>
      </w:r>
      <w:r w:rsidRPr="00072488">
        <w:t xml:space="preserve"> UNEP/OzL.Pro/ExCom/97/2.</w:t>
      </w:r>
    </w:p>
  </w:footnote>
  <w:footnote w:id="53">
    <w:p w14:paraId="0AFA2266" w14:textId="77777777" w:rsidR="004101EE" w:rsidRPr="00072488" w:rsidRDefault="004101EE" w:rsidP="004101EE">
      <w:pPr>
        <w:pStyle w:val="FootnoteText"/>
      </w:pPr>
      <w:r w:rsidRPr="00CB7B59">
        <w:rPr>
          <w:rStyle w:val="FootnoteReference"/>
          <w:lang w:val="es-MX"/>
        </w:rPr>
        <w:footnoteRef/>
      </w:r>
      <w:r w:rsidRPr="00072488">
        <w:t> UNEP/OzL.Pro/ExCom/98/</w:t>
      </w:r>
      <w:r w:rsidRPr="00072488">
        <w:rPr>
          <w:highlight w:val="yellow"/>
        </w:rPr>
        <w:t>??</w:t>
      </w:r>
      <w:r w:rsidRPr="00072488">
        <w:t>.</w:t>
      </w:r>
    </w:p>
  </w:footnote>
  <w:footnote w:id="54">
    <w:p w14:paraId="390654F5" w14:textId="77777777" w:rsidR="004101EE" w:rsidRPr="00CB7B59" w:rsidRDefault="004101EE" w:rsidP="004101EE">
      <w:pPr>
        <w:pStyle w:val="FootnoteText"/>
        <w:rPr>
          <w:lang w:val="es-MX"/>
        </w:rPr>
      </w:pPr>
      <w:r w:rsidRPr="00CB7B59">
        <w:rPr>
          <w:rStyle w:val="FootnoteReference"/>
          <w:lang w:val="es-MX"/>
        </w:rPr>
        <w:footnoteRef/>
      </w:r>
      <w:r w:rsidRPr="00CB7B59">
        <w:rPr>
          <w:lang w:val="es-MX"/>
        </w:rPr>
        <w:t> Se refiere únicamente a los proyectos aprobados y financiados por las contribuciones ordinarias.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4413D" w14:textId="7E147D1F" w:rsidR="00DC6A10" w:rsidRPr="0033525D" w:rsidRDefault="00CB7B59">
    <w:fldSimple w:instr=" DOCPROPERTY &quot;Document number&quot;  \* MERGEFORMAT ">
      <w:r>
        <w:t>UNEP/OzL.Pro/ExCom/98/63</w:t>
      </w:r>
    </w:fldSimple>
  </w:p>
  <w:p w14:paraId="748796A7" w14:textId="77777777" w:rsidR="00DC6A10" w:rsidRPr="0033525D" w:rsidRDefault="00DC6A10"/>
  <w:p w14:paraId="10AB682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16D8" w14:textId="175DCFBE" w:rsidR="00DC6A10" w:rsidRPr="0033525D" w:rsidRDefault="00CB7B59">
    <w:pPr>
      <w:jc w:val="right"/>
    </w:pPr>
    <w:fldSimple w:instr=" DOCPROPERTY &quot;Document number&quot;  \* MERGEFORMAT ">
      <w:r>
        <w:t>UNEP/OzL.Pro/ExCom/98/63</w:t>
      </w:r>
    </w:fldSimple>
  </w:p>
  <w:p w14:paraId="478F4B6E" w14:textId="77777777" w:rsidR="00DC6A10" w:rsidRDefault="00DC6A10" w:rsidP="004101EE">
    <w:pPr>
      <w:pStyle w:val="Header"/>
      <w:jc w:val="right"/>
    </w:pPr>
  </w:p>
  <w:p w14:paraId="1D0C647D" w14:textId="77777777" w:rsidR="004101EE" w:rsidRPr="0033525D" w:rsidRDefault="004101EE" w:rsidP="004101E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12D51A"/>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C227F"/>
    <w:rsid w:val="00000FED"/>
    <w:rsid w:val="0000434E"/>
    <w:rsid w:val="00011FE5"/>
    <w:rsid w:val="00016FE4"/>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72488"/>
    <w:rsid w:val="00080ED0"/>
    <w:rsid w:val="00085B8F"/>
    <w:rsid w:val="00090481"/>
    <w:rsid w:val="000A10CE"/>
    <w:rsid w:val="000A12DD"/>
    <w:rsid w:val="000A3299"/>
    <w:rsid w:val="000A3826"/>
    <w:rsid w:val="000A5FAA"/>
    <w:rsid w:val="000A6C26"/>
    <w:rsid w:val="000B36C8"/>
    <w:rsid w:val="000D3331"/>
    <w:rsid w:val="000D52A4"/>
    <w:rsid w:val="000E07BC"/>
    <w:rsid w:val="000E2E21"/>
    <w:rsid w:val="000E7E79"/>
    <w:rsid w:val="000F1CD4"/>
    <w:rsid w:val="000F4103"/>
    <w:rsid w:val="000F70A7"/>
    <w:rsid w:val="00113CCA"/>
    <w:rsid w:val="00122F25"/>
    <w:rsid w:val="00135980"/>
    <w:rsid w:val="0013786F"/>
    <w:rsid w:val="0014064C"/>
    <w:rsid w:val="00164719"/>
    <w:rsid w:val="00166FC4"/>
    <w:rsid w:val="001677AC"/>
    <w:rsid w:val="001804EA"/>
    <w:rsid w:val="001824F8"/>
    <w:rsid w:val="00186C44"/>
    <w:rsid w:val="00190A61"/>
    <w:rsid w:val="001920CF"/>
    <w:rsid w:val="0019445A"/>
    <w:rsid w:val="00197179"/>
    <w:rsid w:val="00197431"/>
    <w:rsid w:val="001A2215"/>
    <w:rsid w:val="001A3342"/>
    <w:rsid w:val="001A3E3D"/>
    <w:rsid w:val="001A7049"/>
    <w:rsid w:val="001A7C16"/>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0484"/>
    <w:rsid w:val="00261C13"/>
    <w:rsid w:val="00262847"/>
    <w:rsid w:val="0027634B"/>
    <w:rsid w:val="00281BB2"/>
    <w:rsid w:val="00294C23"/>
    <w:rsid w:val="002A03C3"/>
    <w:rsid w:val="002B254E"/>
    <w:rsid w:val="002B4CE8"/>
    <w:rsid w:val="002B72E9"/>
    <w:rsid w:val="002C7998"/>
    <w:rsid w:val="002F1E53"/>
    <w:rsid w:val="002F2CAA"/>
    <w:rsid w:val="0030052C"/>
    <w:rsid w:val="00305C49"/>
    <w:rsid w:val="00317537"/>
    <w:rsid w:val="003224AE"/>
    <w:rsid w:val="003306E1"/>
    <w:rsid w:val="003320E4"/>
    <w:rsid w:val="0033525D"/>
    <w:rsid w:val="003414F3"/>
    <w:rsid w:val="0034343A"/>
    <w:rsid w:val="00351E92"/>
    <w:rsid w:val="0035613E"/>
    <w:rsid w:val="00360686"/>
    <w:rsid w:val="00363EE9"/>
    <w:rsid w:val="00376128"/>
    <w:rsid w:val="0037742E"/>
    <w:rsid w:val="00377D56"/>
    <w:rsid w:val="0038135A"/>
    <w:rsid w:val="0038245A"/>
    <w:rsid w:val="003840E6"/>
    <w:rsid w:val="003845A9"/>
    <w:rsid w:val="00385CFC"/>
    <w:rsid w:val="0039337A"/>
    <w:rsid w:val="00393C24"/>
    <w:rsid w:val="00395D79"/>
    <w:rsid w:val="003A3189"/>
    <w:rsid w:val="003A3CA7"/>
    <w:rsid w:val="003B249B"/>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01EE"/>
    <w:rsid w:val="00431E08"/>
    <w:rsid w:val="004328A7"/>
    <w:rsid w:val="00434C74"/>
    <w:rsid w:val="0044193D"/>
    <w:rsid w:val="004471EA"/>
    <w:rsid w:val="00456EB4"/>
    <w:rsid w:val="00457827"/>
    <w:rsid w:val="004718F3"/>
    <w:rsid w:val="00475040"/>
    <w:rsid w:val="00482A28"/>
    <w:rsid w:val="00490C06"/>
    <w:rsid w:val="00493D40"/>
    <w:rsid w:val="00493EE3"/>
    <w:rsid w:val="004967B6"/>
    <w:rsid w:val="00496F85"/>
    <w:rsid w:val="004A4734"/>
    <w:rsid w:val="004A504B"/>
    <w:rsid w:val="004A6911"/>
    <w:rsid w:val="004B3652"/>
    <w:rsid w:val="004B54E0"/>
    <w:rsid w:val="004B7384"/>
    <w:rsid w:val="004C4269"/>
    <w:rsid w:val="004C756E"/>
    <w:rsid w:val="004D6236"/>
    <w:rsid w:val="004D7F90"/>
    <w:rsid w:val="004E4DBB"/>
    <w:rsid w:val="004E4E41"/>
    <w:rsid w:val="004E73DB"/>
    <w:rsid w:val="004E7F9C"/>
    <w:rsid w:val="004F3493"/>
    <w:rsid w:val="004F5143"/>
    <w:rsid w:val="00512B09"/>
    <w:rsid w:val="005220ED"/>
    <w:rsid w:val="00524AE0"/>
    <w:rsid w:val="00533796"/>
    <w:rsid w:val="00537343"/>
    <w:rsid w:val="005516F3"/>
    <w:rsid w:val="00555D75"/>
    <w:rsid w:val="00560DF0"/>
    <w:rsid w:val="0056759C"/>
    <w:rsid w:val="0059513E"/>
    <w:rsid w:val="005A2920"/>
    <w:rsid w:val="005A6AA4"/>
    <w:rsid w:val="005A6D9F"/>
    <w:rsid w:val="005B48FF"/>
    <w:rsid w:val="005C1E32"/>
    <w:rsid w:val="005C670D"/>
    <w:rsid w:val="005D363F"/>
    <w:rsid w:val="005F234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227F"/>
    <w:rsid w:val="006C32FD"/>
    <w:rsid w:val="006C39CE"/>
    <w:rsid w:val="006D0FCC"/>
    <w:rsid w:val="006D21F5"/>
    <w:rsid w:val="006D2AAC"/>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187"/>
    <w:rsid w:val="0080345C"/>
    <w:rsid w:val="0082522F"/>
    <w:rsid w:val="00831979"/>
    <w:rsid w:val="00851352"/>
    <w:rsid w:val="00854AD3"/>
    <w:rsid w:val="00857077"/>
    <w:rsid w:val="00863230"/>
    <w:rsid w:val="00865BD0"/>
    <w:rsid w:val="008717D8"/>
    <w:rsid w:val="0087215C"/>
    <w:rsid w:val="00875D25"/>
    <w:rsid w:val="00880E35"/>
    <w:rsid w:val="008875FE"/>
    <w:rsid w:val="00887F8E"/>
    <w:rsid w:val="00896234"/>
    <w:rsid w:val="00897E43"/>
    <w:rsid w:val="008A36B2"/>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9390E"/>
    <w:rsid w:val="009956CD"/>
    <w:rsid w:val="009960E5"/>
    <w:rsid w:val="009A7ADC"/>
    <w:rsid w:val="009B0D30"/>
    <w:rsid w:val="009C19B7"/>
    <w:rsid w:val="009C21C3"/>
    <w:rsid w:val="009C5ABB"/>
    <w:rsid w:val="009D25AB"/>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68B6"/>
    <w:rsid w:val="00A77919"/>
    <w:rsid w:val="00A823F6"/>
    <w:rsid w:val="00A8719E"/>
    <w:rsid w:val="00AA0A89"/>
    <w:rsid w:val="00AA5368"/>
    <w:rsid w:val="00AA6429"/>
    <w:rsid w:val="00AA6EDA"/>
    <w:rsid w:val="00AC01AA"/>
    <w:rsid w:val="00AC3EE9"/>
    <w:rsid w:val="00AC4F72"/>
    <w:rsid w:val="00AC5041"/>
    <w:rsid w:val="00AD6CA1"/>
    <w:rsid w:val="00AE3F56"/>
    <w:rsid w:val="00AE482E"/>
    <w:rsid w:val="00AF1B39"/>
    <w:rsid w:val="00AF50C4"/>
    <w:rsid w:val="00AF5BC6"/>
    <w:rsid w:val="00AF741A"/>
    <w:rsid w:val="00B01ADB"/>
    <w:rsid w:val="00B04161"/>
    <w:rsid w:val="00B056F9"/>
    <w:rsid w:val="00B11E3D"/>
    <w:rsid w:val="00B14D2C"/>
    <w:rsid w:val="00B17E82"/>
    <w:rsid w:val="00B33C2F"/>
    <w:rsid w:val="00B40034"/>
    <w:rsid w:val="00B4575A"/>
    <w:rsid w:val="00B575BA"/>
    <w:rsid w:val="00B71608"/>
    <w:rsid w:val="00B76429"/>
    <w:rsid w:val="00B84CF6"/>
    <w:rsid w:val="00B86471"/>
    <w:rsid w:val="00B956D4"/>
    <w:rsid w:val="00B97446"/>
    <w:rsid w:val="00BA3094"/>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0EEC"/>
    <w:rsid w:val="00C926C8"/>
    <w:rsid w:val="00CA2EAE"/>
    <w:rsid w:val="00CA33B1"/>
    <w:rsid w:val="00CA4AC1"/>
    <w:rsid w:val="00CA59FB"/>
    <w:rsid w:val="00CB0316"/>
    <w:rsid w:val="00CB0B11"/>
    <w:rsid w:val="00CB1DBA"/>
    <w:rsid w:val="00CB426A"/>
    <w:rsid w:val="00CB5354"/>
    <w:rsid w:val="00CB7B59"/>
    <w:rsid w:val="00CC3C9E"/>
    <w:rsid w:val="00CC6A14"/>
    <w:rsid w:val="00CC70A3"/>
    <w:rsid w:val="00CD4442"/>
    <w:rsid w:val="00CD53C3"/>
    <w:rsid w:val="00CD574E"/>
    <w:rsid w:val="00CE1900"/>
    <w:rsid w:val="00CE4C22"/>
    <w:rsid w:val="00CE76E5"/>
    <w:rsid w:val="00CF1630"/>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B796A"/>
    <w:rsid w:val="00DC6A10"/>
    <w:rsid w:val="00DC6A12"/>
    <w:rsid w:val="00DD525E"/>
    <w:rsid w:val="00DE657E"/>
    <w:rsid w:val="00DF4704"/>
    <w:rsid w:val="00E024AA"/>
    <w:rsid w:val="00E15C77"/>
    <w:rsid w:val="00E1693E"/>
    <w:rsid w:val="00E20FCF"/>
    <w:rsid w:val="00E250F1"/>
    <w:rsid w:val="00E31E2E"/>
    <w:rsid w:val="00E3550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0F48"/>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87EFD"/>
    <w:rsid w:val="00FA5722"/>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B347CD"/>
  <w15:docId w15:val="{F85B4469-6EF4-4A67-9F47-D9964CB7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101E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101EE"/>
    <w:pPr>
      <w:spacing w:after="160" w:line="240" w:lineRule="exact"/>
    </w:pPr>
    <w:rPr>
      <w:sz w:val="20"/>
      <w:szCs w:val="20"/>
      <w:vertAlign w:val="superscript"/>
      <w:lang w:val="en-US"/>
    </w:rPr>
  </w:style>
  <w:style w:type="paragraph" w:customStyle="1" w:styleId="CH1">
    <w:name w:val="CH1"/>
    <w:basedOn w:val="Normal"/>
    <w:next w:val="Normal"/>
    <w:link w:val="CH1Char"/>
    <w:qFormat/>
    <w:rsid w:val="004101EE"/>
    <w:pPr>
      <w:keepNext/>
      <w:keepLines/>
      <w:tabs>
        <w:tab w:val="right" w:pos="851"/>
        <w:tab w:val="left" w:pos="1247"/>
        <w:tab w:val="left" w:pos="1814"/>
        <w:tab w:val="left" w:pos="2381"/>
        <w:tab w:val="left" w:pos="2948"/>
        <w:tab w:val="left" w:pos="3515"/>
        <w:tab w:val="left" w:pos="4082"/>
      </w:tabs>
      <w:suppressAutoHyphens/>
      <w:spacing w:before="240" w:after="120"/>
      <w:ind w:left="1247" w:right="284" w:hanging="1247"/>
      <w:jc w:val="left"/>
    </w:pPr>
    <w:rPr>
      <w:rFonts w:eastAsia="Times New Roman"/>
      <w:b/>
      <w:sz w:val="28"/>
      <w:szCs w:val="28"/>
      <w:lang w:val="es-ES"/>
    </w:rPr>
  </w:style>
  <w:style w:type="character" w:customStyle="1" w:styleId="CH1Char">
    <w:name w:val="CH1 Char"/>
    <w:link w:val="CH1"/>
    <w:locked/>
    <w:rsid w:val="004101EE"/>
    <w:rPr>
      <w:rFonts w:eastAsia="Times New Roman"/>
      <w:b/>
      <w:sz w:val="28"/>
      <w:szCs w:val="28"/>
      <w:lang w:val="es-ES"/>
    </w:rPr>
  </w:style>
  <w:style w:type="paragraph" w:customStyle="1" w:styleId="CM28">
    <w:name w:val="CM28"/>
    <w:basedOn w:val="Normal"/>
    <w:next w:val="Normal"/>
    <w:rsid w:val="004101EE"/>
    <w:pPr>
      <w:widowControl w:val="0"/>
      <w:autoSpaceDE w:val="0"/>
      <w:autoSpaceDN w:val="0"/>
      <w:adjustRightInd w:val="0"/>
      <w:spacing w:after="223"/>
      <w:jc w:val="left"/>
    </w:pPr>
    <w:rPr>
      <w:rFonts w:eastAsia="Times New Roman"/>
      <w:sz w:val="24"/>
      <w:szCs w:val="24"/>
      <w:lang w:val="es-ES"/>
    </w:rPr>
  </w:style>
  <w:style w:type="character" w:customStyle="1" w:styleId="FooterChar">
    <w:name w:val="Footer Char"/>
    <w:basedOn w:val="DefaultParagraphFont"/>
    <w:link w:val="Footer"/>
    <w:uiPriority w:val="99"/>
    <w:rsid w:val="008A36B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ultilateralfund.org/meeting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605%20ONU\202605%20ONU,%2098\es-E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04659B6C-6A55-4231-BE00-1A386FD29678}"/>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16</TotalTime>
  <Pages>12</Pages>
  <Words>4903</Words>
  <Characters>27948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Proyecto de informe del comité ejecutivo del fondo multilateral Para la aplicación del protocolo de montreal a la trigésima octava reunión de las partes</vt:lpstr>
    </vt:vector>
  </TitlesOfParts>
  <Company>UNMFS</Company>
  <LinksUpToDate>false</LinksUpToDate>
  <CharactersWithSpaces>32786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comité ejecutivo del fondo multilateral Para la aplicación del protocolo de montreal a la trigésima octava reunión de las partes</dc:title>
  <dc:creator>Multiple Monitors</dc:creator>
  <cp:lastModifiedBy>Angela Xue He Yan</cp:lastModifiedBy>
  <cp:revision>13</cp:revision>
  <cp:lastPrinted>2001-05-26T16:40:00Z</cp:lastPrinted>
  <dcterms:created xsi:type="dcterms:W3CDTF">2026-05-13T21:01:00Z</dcterms:created>
  <dcterms:modified xsi:type="dcterms:W3CDTF">2026-05-14T20:18:00Z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UNEP/OzL.Pro/ExCom/98/63</vt:lpwstr>
  </property>
  <property fmtid="{D5CDD505-2E9C-101B-9397-08002B2CF9AE}" pid="3" name="Revision date">
    <vt:lpwstr>11 de mayo de 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Title:">
    <vt:lpwstr>Proyecto de informe del comité ejecutivo del fondo multilateral Para la aplicación del protocolo de montreal a la trigésima octava reunión de las partes</vt:lpwstr>
  </property>
</Properties>
</file>