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672"/>
        <w:gridCol w:w="4320"/>
      </w:tblGrid>
      <w:tr w:rsidR="00227F4F" w:rsidRPr="00CC6E10" w14:paraId="5FE011E2" w14:textId="77777777" w:rsidTr="00E86887">
        <w:trPr>
          <w:trHeight w:val="720"/>
        </w:trPr>
        <w:tc>
          <w:tcPr>
            <w:tcW w:w="5742" w:type="dxa"/>
            <w:gridSpan w:val="2"/>
            <w:tcBorders>
              <w:bottom w:val="single" w:sz="18" w:space="0" w:color="auto"/>
            </w:tcBorders>
          </w:tcPr>
          <w:p w14:paraId="04C22232"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26A69648" w14:textId="77777777" w:rsidR="00227F4F" w:rsidRPr="00CC6E10" w:rsidRDefault="00227F4F" w:rsidP="00FD4690">
            <w:pPr>
              <w:jc w:val="right"/>
              <w:rPr>
                <w:sz w:val="52"/>
                <w:szCs w:val="52"/>
              </w:rPr>
            </w:pPr>
            <w:r>
              <w:rPr>
                <w:rFonts w:ascii="Univers Bold" w:hAnsi="Univers Bold"/>
                <w:b/>
                <w:sz w:val="72"/>
              </w:rPr>
              <w:t>EP</w:t>
            </w:r>
          </w:p>
        </w:tc>
      </w:tr>
      <w:tr w:rsidR="00227F4F" w:rsidRPr="00CC6E10" w14:paraId="0C5AD67F" w14:textId="77777777" w:rsidTr="00E868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321B011D" w14:textId="77777777" w:rsidR="00227F4F" w:rsidRPr="00CC6E10" w:rsidRDefault="007B3D87" w:rsidP="00FD4690">
            <w:pPr>
              <w:spacing w:before="120"/>
            </w:pPr>
            <w:r>
              <w:rPr>
                <w:noProof/>
              </w:rPr>
              <mc:AlternateContent>
                <mc:Choice Requires="wpg">
                  <w:drawing>
                    <wp:anchor distT="0" distB="0" distL="114300" distR="114300" simplePos="0" relativeHeight="251658240" behindDoc="0" locked="0" layoutInCell="1" allowOverlap="1" wp14:anchorId="78EAF120" wp14:editId="6C3791E9">
                      <wp:simplePos x="0" y="0"/>
                      <wp:positionH relativeFrom="column">
                        <wp:posOffset>15240</wp:posOffset>
                      </wp:positionH>
                      <wp:positionV relativeFrom="paragraph">
                        <wp:posOffset>52705</wp:posOffset>
                      </wp:positionV>
                      <wp:extent cx="822325" cy="1552576"/>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52576"/>
                                <a:chOff x="0" y="0"/>
                                <a:chExt cx="822325" cy="155257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4936" y="746126"/>
                                  <a:ext cx="797389" cy="80645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B5746FE" id="Group 1" o:spid="_x0000_s1026" style="position:absolute;margin-left:1.2pt;margin-top:4.15pt;width:64.75pt;height:122.25pt;z-index:251658240;mso-width-relative:margin;mso-height-relative:margin" coordsize="8223,15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qIeclkAIAALAHAAAOAAAAAAAAAAAAAAAAADoCAABkcnMvZTJvRG9jLnhtbFBLAQIt&#10;AAoAAAAAAAAAIQB+Fay/EgYAABIGAAAUAAAAAAAAAAAAAAAAAPYEAABkcnMvbWVkaWEvaW1hZ2Ux&#10;LnBuZ1BLAQItAAoAAAAAAAAAIQDgid0cbQkAAG0JAAAUAAAAAAAAAAAAAAAAADoLAABkcnMvbWVk&#10;aWEvaW1hZ2UyLnBuZ1BLAQItABQABgAIAAAAIQBBh9Dr3QAAAAc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49;top:7461;width:7974;height:8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72" w:type="dxa"/>
            <w:tcBorders>
              <w:top w:val="nil"/>
              <w:left w:val="nil"/>
              <w:bottom w:val="single" w:sz="36" w:space="0" w:color="auto"/>
              <w:right w:val="nil"/>
            </w:tcBorders>
          </w:tcPr>
          <w:p w14:paraId="519BD70D" w14:textId="77777777" w:rsidR="005D6E61" w:rsidRDefault="005D6E61"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1069298" w14:textId="4AF5C538"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0432C1FD" w14:textId="77777777"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2A48C88D" w14:textId="77777777"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45428132" w14:textId="77777777" w:rsidR="00227F4F" w:rsidRPr="004F6138" w:rsidRDefault="00227F4F" w:rsidP="00FD4690">
            <w:pPr>
              <w:spacing w:before="720"/>
              <w:ind w:left="158"/>
            </w:pPr>
          </w:p>
        </w:tc>
        <w:tc>
          <w:tcPr>
            <w:tcW w:w="4320" w:type="dxa"/>
            <w:tcBorders>
              <w:top w:val="nil"/>
              <w:left w:val="nil"/>
              <w:bottom w:val="single" w:sz="36" w:space="0" w:color="auto"/>
              <w:right w:val="nil"/>
            </w:tcBorders>
          </w:tcPr>
          <w:p w14:paraId="57D6D228" w14:textId="77777777" w:rsidR="004B024D" w:rsidRDefault="004B024D" w:rsidP="00FD4690"/>
          <w:p w14:paraId="236328F1" w14:textId="72E50AA8" w:rsidR="00227F4F" w:rsidRPr="004F6138" w:rsidRDefault="00227F4F" w:rsidP="00FD4690">
            <w:r>
              <w:t>Distr.</w:t>
            </w:r>
          </w:p>
          <w:p w14:paraId="2E266DDC" w14:textId="79609386" w:rsidR="00227F4F" w:rsidRPr="004F6138" w:rsidRDefault="00125B02" w:rsidP="00FD4690">
            <w:r>
              <w:t>GÉNÉRALE</w:t>
            </w:r>
          </w:p>
          <w:p w14:paraId="315A9BFA" w14:textId="77777777" w:rsidR="00227F4F" w:rsidRPr="004F6138" w:rsidRDefault="00227F4F" w:rsidP="00FD4690"/>
          <w:p w14:paraId="7C1E891A" w14:textId="4F4E440E" w:rsidR="00227F4F" w:rsidRPr="004F6138" w:rsidRDefault="005D6E61" w:rsidP="00FD4690">
            <w:fldSimple w:instr="DOCPROPERTY &quot;Document number&quot;  \* MERGEFORMAT">
              <w:r>
                <w:t>UNEP/OzL.Pro/ExCom/97/88</w:t>
              </w:r>
            </w:fldSimple>
          </w:p>
          <w:p w14:paraId="3A7EAEFE" w14:textId="361D890A" w:rsidR="00227F4F" w:rsidRPr="004F6138" w:rsidRDefault="00227F4F" w:rsidP="00FD4690">
            <w:r w:rsidRPr="004F6138">
              <w:fldChar w:fldCharType="begin"/>
            </w:r>
            <w:r w:rsidRPr="004F6138">
              <w:instrText xml:space="preserve"> DOCPROPERTY "Revision date" \@ "d MMMM YYYY"  \* MERGEFORMAT </w:instrText>
            </w:r>
            <w:r w:rsidRPr="004F6138">
              <w:fldChar w:fldCharType="separate"/>
            </w:r>
            <w:r w:rsidR="004F6138" w:rsidRPr="004F6138">
              <w:t>3</w:t>
            </w:r>
            <w:r w:rsidR="00B80A62">
              <w:t> n</w:t>
            </w:r>
            <w:r w:rsidR="004F6138" w:rsidRPr="004F6138">
              <w:t>ovemb</w:t>
            </w:r>
            <w:r w:rsidR="00B80A62">
              <w:t>r</w:t>
            </w:r>
            <w:r w:rsidR="004F6138" w:rsidRPr="004F6138">
              <w:t>e</w:t>
            </w:r>
            <w:r w:rsidR="00B80A62">
              <w:t> </w:t>
            </w:r>
            <w:r w:rsidR="004F6138" w:rsidRPr="004F6138">
              <w:t>2025</w:t>
            </w:r>
            <w:r w:rsidRPr="004F6138">
              <w:fldChar w:fldCharType="end"/>
            </w:r>
          </w:p>
          <w:p w14:paraId="290C2C8D" w14:textId="77777777" w:rsidR="00227F4F" w:rsidRPr="004F6138" w:rsidRDefault="00227F4F" w:rsidP="00FD4690">
            <w:pPr>
              <w:rPr>
                <w:caps/>
              </w:rPr>
            </w:pPr>
          </w:p>
          <w:p w14:paraId="5315F4BD" w14:textId="77777777" w:rsidR="00227F4F" w:rsidRPr="004F6138" w:rsidRDefault="00227F4F" w:rsidP="00FD4690">
            <w:r>
              <w:t>FRANÇAIS</w:t>
            </w:r>
            <w:r>
              <w:br/>
              <w:t>ORIGINAL : ANGLAIS</w:t>
            </w:r>
          </w:p>
        </w:tc>
      </w:tr>
    </w:tbl>
    <w:p w14:paraId="13E385D4" w14:textId="77777777" w:rsidR="00E72900" w:rsidRDefault="00227F4F" w:rsidP="00E72900">
      <w:pPr>
        <w:jc w:val="left"/>
      </w:pPr>
      <w:r>
        <w:t>COMITÉ EXÉCUTIF</w:t>
      </w:r>
      <w:r>
        <w:br/>
        <w:t xml:space="preserve">  DU FONDS MULTILATÉRAL AUX FINS</w:t>
      </w:r>
      <w:r>
        <w:br/>
        <w:t xml:space="preserve">  D’APPLICATION DU PROTOCOLE DE MONTRÉAL</w:t>
      </w:r>
      <w:r>
        <w:br/>
        <w:t>Quatre-vingt-dix-septième réunion</w:t>
      </w:r>
    </w:p>
    <w:p w14:paraId="1A91D8A1" w14:textId="77777777" w:rsidR="00E72900" w:rsidRDefault="00E72900" w:rsidP="00E72900">
      <w:pPr>
        <w:jc w:val="left"/>
      </w:pPr>
      <w:r>
        <w:t>Montréal, 1–5 décembre 2025</w:t>
      </w:r>
    </w:p>
    <w:p w14:paraId="68305E52" w14:textId="70905B9B" w:rsidR="00D05563" w:rsidRDefault="00D05563" w:rsidP="00D05563">
      <w:pPr>
        <w:jc w:val="left"/>
      </w:pPr>
      <w:r>
        <w:t>Point 12 de l’ordre du jour provisoire</w:t>
      </w:r>
      <w:r w:rsidRPr="00512BEF">
        <w:rPr>
          <w:rStyle w:val="FootnoteReference"/>
        </w:rPr>
        <w:footnoteReference w:id="1"/>
      </w:r>
    </w:p>
    <w:p w14:paraId="229F54B8" w14:textId="77777777" w:rsidR="00BB264B" w:rsidRDefault="00BB264B" w:rsidP="00D05563">
      <w:pPr>
        <w:jc w:val="left"/>
      </w:pPr>
    </w:p>
    <w:p w14:paraId="5581E405" w14:textId="77777777" w:rsidR="00921064" w:rsidRDefault="00921064" w:rsidP="00E72900">
      <w:pPr>
        <w:jc w:val="left"/>
      </w:pPr>
    </w:p>
    <w:p w14:paraId="24361AF8" w14:textId="577463F0" w:rsidR="008F7314" w:rsidRPr="00E82C0A" w:rsidRDefault="008F7314" w:rsidP="00F771B8">
      <w:pPr>
        <w:pStyle w:val="Heading1"/>
        <w:numPr>
          <w:ilvl w:val="0"/>
          <w:numId w:val="0"/>
        </w:numPr>
        <w:jc w:val="center"/>
        <w:rPr>
          <w:b/>
          <w:bCs/>
        </w:rPr>
      </w:pPr>
      <w:r>
        <w:rPr>
          <w:b/>
        </w:rPr>
        <w:t>EXAMEN DE LA POSSIBILITÉ D’INTÉGRER LA COMMUNICATION D’INFORMATIONS DANS LES RAPPORTS D’ACHÈVEMENT DE PROJET ET LES RAPPORTS FINAUX DÉTAILLÉS DE PROJET (DÉCISION 95/91 e))</w:t>
      </w:r>
    </w:p>
    <w:p w14:paraId="2748DBD3" w14:textId="77777777" w:rsidR="00047C8C" w:rsidRDefault="00047C8C" w:rsidP="00E125FB">
      <w:pPr>
        <w:jc w:val="left"/>
        <w:rPr>
          <w:b/>
          <w:bCs/>
        </w:rPr>
      </w:pPr>
    </w:p>
    <w:p w14:paraId="2DD81FFB" w14:textId="34FE9FE5" w:rsidR="00E125FB" w:rsidRPr="00047C8C" w:rsidRDefault="00047C8C" w:rsidP="00E125FB">
      <w:pPr>
        <w:jc w:val="left"/>
        <w:rPr>
          <w:b/>
          <w:bCs/>
        </w:rPr>
      </w:pPr>
      <w:r>
        <w:rPr>
          <w:b/>
        </w:rPr>
        <w:t>Introduction</w:t>
      </w:r>
    </w:p>
    <w:p w14:paraId="574F9EF9" w14:textId="77777777" w:rsidR="00AC3935" w:rsidRPr="00CC6E10" w:rsidRDefault="00AC3935">
      <w:pPr>
        <w:rPr>
          <w:color w:val="000000"/>
          <w:shd w:val="clear" w:color="auto" w:fill="FFFFFF"/>
        </w:rPr>
      </w:pPr>
    </w:p>
    <w:p w14:paraId="4F570C9D" w14:textId="4073892E" w:rsidR="006D7A91" w:rsidRPr="006D7A91" w:rsidRDefault="00A7435A" w:rsidP="003C6143">
      <w:pPr>
        <w:pStyle w:val="Heading1"/>
      </w:pPr>
      <w:r>
        <w:t>À la 95</w:t>
      </w:r>
      <w:r>
        <w:rPr>
          <w:vertAlign w:val="superscript"/>
        </w:rPr>
        <w:t>e</w:t>
      </w:r>
      <w:r>
        <w:t> réunion, le Comité exécutif a examiné le document relatif au recensement des exigences en matière de compte rendu et à la rationalisation de la communication d’informations sur les progrès accomplis dans l’ensemble des rapports.</w:t>
      </w:r>
      <w:r w:rsidR="002A5742">
        <w:rPr>
          <w:rStyle w:val="FootnoteReference"/>
        </w:rPr>
        <w:footnoteReference w:id="2"/>
      </w:r>
      <w:r>
        <w:t xml:space="preserve"> Dans le document, il était indiqué que : « Dans certains types de projets, les agences bilatérales et d’exécution doivent présenter des rapports finaux de projet qui renferment des informations complètes sur les projets, tant sur le plan financier qu’opérationnel. Ces informations peuvent alimenter celles nécessaires pour les rapports d’achèvement de projet ; d’autre part, en incluant les informations manquantes requises pour les rapports d’achèvement dans les rapports finaux, ces derniers pourraient éventuellement être traités comme des rapports d’achèvement. » Le Comité exécutif a ensuite demandé au secrétariat et à l’Administratrice principale Surveillance et évaluation (SMEO) d’explorer la possibilité d’intégration de la production des rapports d’achèvement de projet et des rapports finaux détaillés de projet en tenant compte du format universel approuvé pour les rapports d’achèvement, et d’en rendre compte lors de la 97</w:t>
      </w:r>
      <w:r>
        <w:rPr>
          <w:vertAlign w:val="superscript"/>
        </w:rPr>
        <w:t>e</w:t>
      </w:r>
      <w:r>
        <w:t> réunion du Comité exécutif (décision 95/91 e)).</w:t>
      </w:r>
    </w:p>
    <w:p w14:paraId="2492988A" w14:textId="21EDCA71" w:rsidR="0094377F" w:rsidRDefault="009A5DE2" w:rsidP="00A7435A">
      <w:pPr>
        <w:pStyle w:val="Heading1"/>
      </w:pPr>
      <w:r>
        <w:t xml:space="preserve">Conformément à la décision, le secrétariat a préparé le présent document. </w:t>
      </w:r>
    </w:p>
    <w:p w14:paraId="12D3AAAE" w14:textId="6A1EB866" w:rsidR="00376BBB" w:rsidRPr="00B50F2A" w:rsidRDefault="00722D14" w:rsidP="00376BBB">
      <w:pPr>
        <w:rPr>
          <w:b/>
          <w:bCs/>
        </w:rPr>
      </w:pPr>
      <w:r>
        <w:rPr>
          <w:b/>
        </w:rPr>
        <w:t>Examen des rapports finaux et des rapports d’achèvement de projet</w:t>
      </w:r>
    </w:p>
    <w:p w14:paraId="6CA852BE" w14:textId="77777777" w:rsidR="00366A35" w:rsidRDefault="00366A35" w:rsidP="00366A35"/>
    <w:p w14:paraId="626A69DA" w14:textId="32D28EEC" w:rsidR="00366A35" w:rsidRDefault="00804CC3" w:rsidP="00804CC3">
      <w:pPr>
        <w:pStyle w:val="Heading1"/>
      </w:pPr>
      <w:r>
        <w:t xml:space="preserve">Les exigences en matière de compte rendu final par type de projets sont présentées au tableau 1. </w:t>
      </w:r>
    </w:p>
    <w:p w14:paraId="6FFB5B73" w14:textId="69BFAF96" w:rsidR="00617E98" w:rsidRPr="002A0EA7" w:rsidRDefault="00863F97" w:rsidP="00A20FEF">
      <w:pPr>
        <w:keepNext/>
        <w:rPr>
          <w:b/>
          <w:bCs/>
        </w:rPr>
      </w:pPr>
      <w:r>
        <w:rPr>
          <w:b/>
        </w:rPr>
        <w:lastRenderedPageBreak/>
        <w:t>Tableau 1. Exigences en matière de compte rendu final par type de projets</w:t>
      </w:r>
    </w:p>
    <w:tbl>
      <w:tblPr>
        <w:tblStyle w:val="TableGrid"/>
        <w:tblW w:w="0" w:type="auto"/>
        <w:tblLook w:val="04A0" w:firstRow="1" w:lastRow="0" w:firstColumn="1" w:lastColumn="0" w:noHBand="0" w:noVBand="1"/>
      </w:tblPr>
      <w:tblGrid>
        <w:gridCol w:w="4976"/>
        <w:gridCol w:w="1966"/>
        <w:gridCol w:w="2408"/>
      </w:tblGrid>
      <w:tr w:rsidR="007B4023" w:rsidRPr="007B4023" w14:paraId="1DDAEF4D" w14:textId="77777777" w:rsidTr="00C72B6D">
        <w:trPr>
          <w:tblHeader/>
        </w:trPr>
        <w:tc>
          <w:tcPr>
            <w:tcW w:w="5035" w:type="dxa"/>
            <w:vMerge w:val="restart"/>
          </w:tcPr>
          <w:p w14:paraId="234C64D7" w14:textId="2B4A2280" w:rsidR="007B4023" w:rsidRPr="00F52175" w:rsidRDefault="007B4023" w:rsidP="00A20FEF">
            <w:pPr>
              <w:keepNext/>
              <w:rPr>
                <w:b/>
                <w:bCs/>
                <w:sz w:val="20"/>
                <w:szCs w:val="20"/>
              </w:rPr>
            </w:pPr>
            <w:r>
              <w:rPr>
                <w:b/>
                <w:sz w:val="20"/>
              </w:rPr>
              <w:t>Type de projets</w:t>
            </w:r>
          </w:p>
        </w:tc>
        <w:tc>
          <w:tcPr>
            <w:tcW w:w="4405" w:type="dxa"/>
            <w:gridSpan w:val="2"/>
            <w:vAlign w:val="bottom"/>
          </w:tcPr>
          <w:p w14:paraId="624F78D2" w14:textId="1781741D" w:rsidR="007B4023" w:rsidRPr="007B4023" w:rsidRDefault="007B4023" w:rsidP="00A20FEF">
            <w:pPr>
              <w:keepNext/>
              <w:jc w:val="center"/>
              <w:rPr>
                <w:sz w:val="20"/>
                <w:szCs w:val="20"/>
              </w:rPr>
            </w:pPr>
            <w:r>
              <w:rPr>
                <w:b/>
                <w:color w:val="000000" w:themeColor="text1"/>
                <w:sz w:val="20"/>
              </w:rPr>
              <w:t>Exigence en matière de compte rendu (Oui/Non)</w:t>
            </w:r>
          </w:p>
        </w:tc>
      </w:tr>
      <w:tr w:rsidR="007B4023" w:rsidRPr="007B4023" w14:paraId="4A4086EA" w14:textId="77777777" w:rsidTr="00C72B6D">
        <w:trPr>
          <w:tblHeader/>
        </w:trPr>
        <w:tc>
          <w:tcPr>
            <w:tcW w:w="5035" w:type="dxa"/>
            <w:vMerge/>
          </w:tcPr>
          <w:p w14:paraId="731B1CBC" w14:textId="77777777" w:rsidR="007B4023" w:rsidRPr="007B4023" w:rsidRDefault="007B4023" w:rsidP="00A20FEF">
            <w:pPr>
              <w:keepNext/>
              <w:rPr>
                <w:sz w:val="20"/>
                <w:szCs w:val="20"/>
              </w:rPr>
            </w:pPr>
          </w:p>
        </w:tc>
        <w:tc>
          <w:tcPr>
            <w:tcW w:w="1980" w:type="dxa"/>
            <w:vAlign w:val="center"/>
          </w:tcPr>
          <w:p w14:paraId="722A483D" w14:textId="6CFE1801" w:rsidR="007B4023" w:rsidRPr="007B4023" w:rsidRDefault="007B4023" w:rsidP="00A20FEF">
            <w:pPr>
              <w:keepNext/>
              <w:jc w:val="center"/>
              <w:rPr>
                <w:sz w:val="20"/>
                <w:szCs w:val="20"/>
              </w:rPr>
            </w:pPr>
            <w:r>
              <w:rPr>
                <w:b/>
                <w:color w:val="000000" w:themeColor="text1"/>
                <w:sz w:val="20"/>
              </w:rPr>
              <w:t>Rapport final</w:t>
            </w:r>
          </w:p>
        </w:tc>
        <w:tc>
          <w:tcPr>
            <w:tcW w:w="2425" w:type="dxa"/>
            <w:vAlign w:val="center"/>
          </w:tcPr>
          <w:p w14:paraId="5B223462" w14:textId="0CD0218E" w:rsidR="007B4023" w:rsidRPr="007B4023" w:rsidRDefault="002A0EA7" w:rsidP="00A20FEF">
            <w:pPr>
              <w:keepNext/>
              <w:jc w:val="center"/>
              <w:rPr>
                <w:sz w:val="20"/>
                <w:szCs w:val="20"/>
              </w:rPr>
            </w:pPr>
            <w:r>
              <w:rPr>
                <w:b/>
                <w:color w:val="000000" w:themeColor="text1"/>
                <w:sz w:val="20"/>
              </w:rPr>
              <w:t>Rapport d’achèvement de projet</w:t>
            </w:r>
          </w:p>
        </w:tc>
      </w:tr>
      <w:tr w:rsidR="007B4023" w:rsidRPr="00A27D8D" w14:paraId="77342868" w14:textId="77777777" w:rsidTr="009108A2">
        <w:tc>
          <w:tcPr>
            <w:tcW w:w="5035" w:type="dxa"/>
          </w:tcPr>
          <w:p w14:paraId="2884ADC1" w14:textId="2DB494C7" w:rsidR="007B4023" w:rsidRPr="00A27D8D" w:rsidRDefault="007B4023" w:rsidP="00A20FEF">
            <w:pPr>
              <w:keepNext/>
              <w:rPr>
                <w:sz w:val="20"/>
                <w:szCs w:val="20"/>
              </w:rPr>
            </w:pPr>
            <w:r>
              <w:rPr>
                <w:sz w:val="20"/>
              </w:rPr>
              <w:t xml:space="preserve">Préparation de projet </w:t>
            </w:r>
          </w:p>
        </w:tc>
        <w:tc>
          <w:tcPr>
            <w:tcW w:w="1980" w:type="dxa"/>
          </w:tcPr>
          <w:p w14:paraId="050A8A6D" w14:textId="04AB019E" w:rsidR="007B4023" w:rsidRPr="00A27D8D" w:rsidRDefault="007B4023" w:rsidP="00A20FEF">
            <w:pPr>
              <w:keepNext/>
              <w:jc w:val="center"/>
              <w:rPr>
                <w:sz w:val="20"/>
                <w:szCs w:val="20"/>
              </w:rPr>
            </w:pPr>
            <w:r>
              <w:rPr>
                <w:sz w:val="20"/>
              </w:rPr>
              <w:t>Non</w:t>
            </w:r>
          </w:p>
        </w:tc>
        <w:tc>
          <w:tcPr>
            <w:tcW w:w="2425" w:type="dxa"/>
          </w:tcPr>
          <w:p w14:paraId="006D2BC1" w14:textId="2F69BBED" w:rsidR="007B4023" w:rsidRPr="00A27D8D" w:rsidRDefault="007B4023" w:rsidP="00A20FEF">
            <w:pPr>
              <w:keepNext/>
              <w:jc w:val="center"/>
              <w:rPr>
                <w:sz w:val="20"/>
                <w:szCs w:val="20"/>
              </w:rPr>
            </w:pPr>
            <w:r>
              <w:rPr>
                <w:sz w:val="20"/>
              </w:rPr>
              <w:t>Non</w:t>
            </w:r>
          </w:p>
        </w:tc>
      </w:tr>
      <w:tr w:rsidR="007B4023" w:rsidRPr="00A27D8D" w14:paraId="69ECD6EA" w14:textId="77777777" w:rsidTr="009108A2">
        <w:tc>
          <w:tcPr>
            <w:tcW w:w="5035" w:type="dxa"/>
          </w:tcPr>
          <w:p w14:paraId="26FF1ED0" w14:textId="276D728E" w:rsidR="007B4023" w:rsidRPr="00A27D8D" w:rsidRDefault="00A22969" w:rsidP="00A20FEF">
            <w:pPr>
              <w:keepNext/>
              <w:rPr>
                <w:sz w:val="20"/>
                <w:szCs w:val="20"/>
              </w:rPr>
            </w:pPr>
            <w:r>
              <w:rPr>
                <w:sz w:val="20"/>
              </w:rPr>
              <w:t>Inventaires nationaux des déchets de substances réglementées et plans d’action pour la gestion</w:t>
            </w:r>
          </w:p>
        </w:tc>
        <w:tc>
          <w:tcPr>
            <w:tcW w:w="1980" w:type="dxa"/>
          </w:tcPr>
          <w:p w14:paraId="244DC856" w14:textId="64D29252" w:rsidR="007B4023" w:rsidRPr="00A27D8D" w:rsidRDefault="006768DE" w:rsidP="00A27D8D">
            <w:pPr>
              <w:jc w:val="center"/>
              <w:rPr>
                <w:sz w:val="20"/>
                <w:szCs w:val="20"/>
              </w:rPr>
            </w:pPr>
            <w:r>
              <w:rPr>
                <w:sz w:val="20"/>
              </w:rPr>
              <w:t>Inventaire et plan</w:t>
            </w:r>
          </w:p>
        </w:tc>
        <w:tc>
          <w:tcPr>
            <w:tcW w:w="2425" w:type="dxa"/>
          </w:tcPr>
          <w:p w14:paraId="570B5C9D" w14:textId="4BDF0387" w:rsidR="007B4023" w:rsidRPr="00A27D8D" w:rsidRDefault="007B4023" w:rsidP="00A20FEF">
            <w:pPr>
              <w:keepNext/>
              <w:jc w:val="center"/>
              <w:rPr>
                <w:sz w:val="20"/>
                <w:szCs w:val="20"/>
              </w:rPr>
            </w:pPr>
            <w:r>
              <w:rPr>
                <w:sz w:val="20"/>
              </w:rPr>
              <w:t>Non</w:t>
            </w:r>
          </w:p>
        </w:tc>
      </w:tr>
      <w:tr w:rsidR="007B4023" w:rsidRPr="00A27D8D" w14:paraId="65466D04" w14:textId="77777777" w:rsidTr="009108A2">
        <w:tc>
          <w:tcPr>
            <w:tcW w:w="5035" w:type="dxa"/>
          </w:tcPr>
          <w:p w14:paraId="3DFDADB8" w14:textId="00095C68" w:rsidR="007B4023" w:rsidRPr="00A27D8D" w:rsidRDefault="007B4023" w:rsidP="007B4023">
            <w:pPr>
              <w:rPr>
                <w:sz w:val="20"/>
                <w:szCs w:val="20"/>
              </w:rPr>
            </w:pPr>
            <w:r>
              <w:rPr>
                <w:sz w:val="20"/>
              </w:rPr>
              <w:t xml:space="preserve">Vérification </w:t>
            </w:r>
          </w:p>
        </w:tc>
        <w:tc>
          <w:tcPr>
            <w:tcW w:w="1980" w:type="dxa"/>
          </w:tcPr>
          <w:p w14:paraId="47FE3619" w14:textId="3EFAB434" w:rsidR="007B4023" w:rsidRPr="00A27D8D" w:rsidRDefault="00913140" w:rsidP="00F52175">
            <w:pPr>
              <w:jc w:val="center"/>
              <w:rPr>
                <w:sz w:val="20"/>
                <w:szCs w:val="20"/>
              </w:rPr>
            </w:pPr>
            <w:r>
              <w:rPr>
                <w:sz w:val="20"/>
              </w:rPr>
              <w:t>Rapport de vérification</w:t>
            </w:r>
          </w:p>
        </w:tc>
        <w:tc>
          <w:tcPr>
            <w:tcW w:w="2425" w:type="dxa"/>
          </w:tcPr>
          <w:p w14:paraId="7E6E3724" w14:textId="78024097" w:rsidR="007B4023" w:rsidRPr="00A27D8D" w:rsidRDefault="007B4023" w:rsidP="00F52175">
            <w:pPr>
              <w:jc w:val="center"/>
              <w:rPr>
                <w:sz w:val="20"/>
                <w:szCs w:val="20"/>
              </w:rPr>
            </w:pPr>
            <w:r>
              <w:rPr>
                <w:sz w:val="20"/>
              </w:rPr>
              <w:t>Non</w:t>
            </w:r>
          </w:p>
        </w:tc>
      </w:tr>
      <w:tr w:rsidR="00257D69" w:rsidRPr="00A27D8D" w14:paraId="6DD8F22B" w14:textId="77777777" w:rsidTr="009108A2">
        <w:tc>
          <w:tcPr>
            <w:tcW w:w="5035" w:type="dxa"/>
          </w:tcPr>
          <w:p w14:paraId="63A08F7D" w14:textId="0D361BB3" w:rsidR="00257D69" w:rsidRPr="00A27D8D" w:rsidRDefault="0045695D" w:rsidP="007B4023">
            <w:pPr>
              <w:rPr>
                <w:sz w:val="20"/>
                <w:szCs w:val="20"/>
              </w:rPr>
            </w:pPr>
            <w:r>
              <w:rPr>
                <w:sz w:val="20"/>
              </w:rPr>
              <w:t>Activités de facilitation de la réduction progressive des HFC</w:t>
            </w:r>
          </w:p>
        </w:tc>
        <w:tc>
          <w:tcPr>
            <w:tcW w:w="1980" w:type="dxa"/>
          </w:tcPr>
          <w:p w14:paraId="21AD8A46" w14:textId="0D238C03" w:rsidR="00257D69" w:rsidRDefault="0045695D" w:rsidP="00F52175">
            <w:pPr>
              <w:jc w:val="center"/>
              <w:rPr>
                <w:sz w:val="20"/>
                <w:szCs w:val="20"/>
              </w:rPr>
            </w:pPr>
            <w:r>
              <w:rPr>
                <w:sz w:val="20"/>
              </w:rPr>
              <w:t>Oui</w:t>
            </w:r>
          </w:p>
        </w:tc>
        <w:tc>
          <w:tcPr>
            <w:tcW w:w="2425" w:type="dxa"/>
          </w:tcPr>
          <w:p w14:paraId="199E6D6F" w14:textId="0974CBB5" w:rsidR="00257D69" w:rsidRPr="00A27D8D" w:rsidRDefault="0045695D" w:rsidP="00F52175">
            <w:pPr>
              <w:jc w:val="center"/>
              <w:rPr>
                <w:sz w:val="20"/>
                <w:szCs w:val="20"/>
              </w:rPr>
            </w:pPr>
            <w:r>
              <w:rPr>
                <w:sz w:val="20"/>
              </w:rPr>
              <w:t>Non</w:t>
            </w:r>
          </w:p>
        </w:tc>
      </w:tr>
      <w:tr w:rsidR="007B4023" w:rsidRPr="00A27D8D" w14:paraId="76A13668" w14:textId="77777777" w:rsidTr="009108A2">
        <w:tc>
          <w:tcPr>
            <w:tcW w:w="5035" w:type="dxa"/>
          </w:tcPr>
          <w:p w14:paraId="59D125EB" w14:textId="32FA76FC" w:rsidR="007B4023" w:rsidRPr="00A27D8D" w:rsidRDefault="0070410D" w:rsidP="007B4023">
            <w:pPr>
              <w:rPr>
                <w:sz w:val="20"/>
                <w:szCs w:val="20"/>
              </w:rPr>
            </w:pPr>
            <w:r>
              <w:rPr>
                <w:sz w:val="20"/>
              </w:rPr>
              <w:t>Phases de renforcement institutionnel (RI)</w:t>
            </w:r>
          </w:p>
        </w:tc>
        <w:tc>
          <w:tcPr>
            <w:tcW w:w="1980" w:type="dxa"/>
          </w:tcPr>
          <w:p w14:paraId="47A87EB0" w14:textId="3F6B5D80" w:rsidR="007B4023" w:rsidRPr="00A27D8D" w:rsidRDefault="00B26ED2" w:rsidP="00F52175">
            <w:pPr>
              <w:jc w:val="center"/>
              <w:rPr>
                <w:sz w:val="20"/>
                <w:szCs w:val="20"/>
              </w:rPr>
            </w:pPr>
            <w:r>
              <w:rPr>
                <w:sz w:val="20"/>
              </w:rPr>
              <w:t>Rapport final</w:t>
            </w:r>
          </w:p>
        </w:tc>
        <w:tc>
          <w:tcPr>
            <w:tcW w:w="2425" w:type="dxa"/>
          </w:tcPr>
          <w:p w14:paraId="2611095F" w14:textId="60B79321" w:rsidR="007B4023" w:rsidRPr="00A27D8D" w:rsidRDefault="007B4023" w:rsidP="00F52175">
            <w:pPr>
              <w:jc w:val="center"/>
              <w:rPr>
                <w:sz w:val="20"/>
                <w:szCs w:val="20"/>
              </w:rPr>
            </w:pPr>
            <w:r>
              <w:rPr>
                <w:sz w:val="20"/>
              </w:rPr>
              <w:t>Non</w:t>
            </w:r>
          </w:p>
        </w:tc>
      </w:tr>
      <w:tr w:rsidR="006B68A2" w:rsidRPr="00A27D8D" w14:paraId="7FD5BF0C" w14:textId="77777777" w:rsidTr="009108A2">
        <w:tc>
          <w:tcPr>
            <w:tcW w:w="5035" w:type="dxa"/>
          </w:tcPr>
          <w:p w14:paraId="34421319" w14:textId="183CB8C4" w:rsidR="006B68A2" w:rsidRPr="00A27D8D" w:rsidRDefault="006B68A2" w:rsidP="006B68A2">
            <w:pPr>
              <w:rPr>
                <w:sz w:val="20"/>
                <w:szCs w:val="20"/>
              </w:rPr>
            </w:pPr>
            <w:r>
              <w:rPr>
                <w:sz w:val="20"/>
              </w:rPr>
              <w:t>Enquêtes sur les solutions de remplacement des SAO</w:t>
            </w:r>
          </w:p>
        </w:tc>
        <w:tc>
          <w:tcPr>
            <w:tcW w:w="1980" w:type="dxa"/>
          </w:tcPr>
          <w:p w14:paraId="65E36CD0" w14:textId="4D3DEA73" w:rsidR="006B68A2" w:rsidRPr="00A27D8D" w:rsidRDefault="002D17DF" w:rsidP="006B68A2">
            <w:pPr>
              <w:jc w:val="center"/>
              <w:rPr>
                <w:sz w:val="20"/>
                <w:szCs w:val="20"/>
              </w:rPr>
            </w:pPr>
            <w:r>
              <w:rPr>
                <w:sz w:val="20"/>
              </w:rPr>
              <w:t>Enquête</w:t>
            </w:r>
          </w:p>
        </w:tc>
        <w:tc>
          <w:tcPr>
            <w:tcW w:w="2425" w:type="dxa"/>
          </w:tcPr>
          <w:p w14:paraId="60D25362" w14:textId="1471D8DB" w:rsidR="006B68A2" w:rsidRPr="00A27D8D" w:rsidRDefault="006B68A2" w:rsidP="006B68A2">
            <w:pPr>
              <w:jc w:val="center"/>
              <w:rPr>
                <w:sz w:val="20"/>
                <w:szCs w:val="20"/>
              </w:rPr>
            </w:pPr>
            <w:r>
              <w:rPr>
                <w:sz w:val="20"/>
              </w:rPr>
              <w:t>Global / Par région</w:t>
            </w:r>
          </w:p>
        </w:tc>
      </w:tr>
      <w:tr w:rsidR="007B4023" w:rsidRPr="00A27D8D" w14:paraId="513148CC" w14:textId="77777777" w:rsidTr="009108A2">
        <w:tc>
          <w:tcPr>
            <w:tcW w:w="5035" w:type="dxa"/>
          </w:tcPr>
          <w:p w14:paraId="460F3781" w14:textId="708FF51F" w:rsidR="007B4023" w:rsidRPr="00A27D8D" w:rsidRDefault="007B4023" w:rsidP="007B4023">
            <w:pPr>
              <w:rPr>
                <w:sz w:val="20"/>
                <w:szCs w:val="20"/>
              </w:rPr>
            </w:pPr>
            <w:r>
              <w:rPr>
                <w:sz w:val="20"/>
              </w:rPr>
              <w:t>Projets de démonstration / projets pilotes</w:t>
            </w:r>
          </w:p>
        </w:tc>
        <w:tc>
          <w:tcPr>
            <w:tcW w:w="1980" w:type="dxa"/>
          </w:tcPr>
          <w:p w14:paraId="50D12B5A" w14:textId="693C1F08" w:rsidR="007B4023" w:rsidRPr="00A27D8D" w:rsidRDefault="007B4023" w:rsidP="00F52175">
            <w:pPr>
              <w:jc w:val="center"/>
              <w:rPr>
                <w:sz w:val="20"/>
                <w:szCs w:val="20"/>
              </w:rPr>
            </w:pPr>
            <w:r>
              <w:rPr>
                <w:sz w:val="20"/>
              </w:rPr>
              <w:t>Oui</w:t>
            </w:r>
          </w:p>
        </w:tc>
        <w:tc>
          <w:tcPr>
            <w:tcW w:w="2425" w:type="dxa"/>
          </w:tcPr>
          <w:p w14:paraId="0378ED39" w14:textId="393DE2E3" w:rsidR="007B4023" w:rsidRPr="00A27D8D" w:rsidRDefault="007B4023" w:rsidP="00F52175">
            <w:pPr>
              <w:jc w:val="center"/>
              <w:rPr>
                <w:sz w:val="20"/>
                <w:szCs w:val="20"/>
              </w:rPr>
            </w:pPr>
            <w:r>
              <w:rPr>
                <w:sz w:val="20"/>
              </w:rPr>
              <w:t>Oui</w:t>
            </w:r>
          </w:p>
        </w:tc>
      </w:tr>
      <w:tr w:rsidR="00A01F06" w:rsidRPr="00A27D8D" w14:paraId="512AFF5C" w14:textId="77777777" w:rsidTr="009108A2">
        <w:tc>
          <w:tcPr>
            <w:tcW w:w="5035" w:type="dxa"/>
          </w:tcPr>
          <w:p w14:paraId="61A33155" w14:textId="6AD846ED" w:rsidR="00A01F06" w:rsidRPr="00A27D8D" w:rsidRDefault="00BC73F4" w:rsidP="007B4023">
            <w:pPr>
              <w:rPr>
                <w:sz w:val="20"/>
                <w:szCs w:val="20"/>
              </w:rPr>
            </w:pPr>
            <w:r>
              <w:rPr>
                <w:sz w:val="20"/>
              </w:rPr>
              <w:t>Autres projets individuels d’investissement / ne portant pas sur des investissements</w:t>
            </w:r>
          </w:p>
        </w:tc>
        <w:tc>
          <w:tcPr>
            <w:tcW w:w="1980" w:type="dxa"/>
          </w:tcPr>
          <w:p w14:paraId="4CA88549" w14:textId="7B3F9399" w:rsidR="00A01F06" w:rsidRPr="00A27D8D" w:rsidRDefault="00C92E70" w:rsidP="00F52175">
            <w:pPr>
              <w:jc w:val="center"/>
              <w:rPr>
                <w:sz w:val="20"/>
                <w:szCs w:val="20"/>
              </w:rPr>
            </w:pPr>
            <w:r>
              <w:rPr>
                <w:sz w:val="20"/>
              </w:rPr>
              <w:t>Non</w:t>
            </w:r>
          </w:p>
        </w:tc>
        <w:tc>
          <w:tcPr>
            <w:tcW w:w="2425" w:type="dxa"/>
          </w:tcPr>
          <w:p w14:paraId="780E2193" w14:textId="2E75662A" w:rsidR="00A01F06" w:rsidRPr="00A27D8D" w:rsidRDefault="001B649E" w:rsidP="00F52175">
            <w:pPr>
              <w:jc w:val="center"/>
              <w:rPr>
                <w:sz w:val="20"/>
                <w:szCs w:val="20"/>
              </w:rPr>
            </w:pPr>
            <w:r>
              <w:rPr>
                <w:sz w:val="20"/>
              </w:rPr>
              <w:t>Oui</w:t>
            </w:r>
          </w:p>
        </w:tc>
      </w:tr>
      <w:tr w:rsidR="007B4023" w:rsidRPr="00A27D8D" w14:paraId="5A4CE7CC" w14:textId="77777777" w:rsidTr="009108A2">
        <w:tc>
          <w:tcPr>
            <w:tcW w:w="5035" w:type="dxa"/>
          </w:tcPr>
          <w:p w14:paraId="2850017B" w14:textId="7B3C55F4" w:rsidR="007B4023" w:rsidRPr="00A27D8D" w:rsidRDefault="00451967" w:rsidP="007B4023">
            <w:pPr>
              <w:rPr>
                <w:sz w:val="20"/>
                <w:szCs w:val="20"/>
              </w:rPr>
            </w:pPr>
            <w:r>
              <w:rPr>
                <w:sz w:val="20"/>
              </w:rPr>
              <w:t>Phases des accords pluriannuels (MYA)</w:t>
            </w:r>
          </w:p>
        </w:tc>
        <w:tc>
          <w:tcPr>
            <w:tcW w:w="1980" w:type="dxa"/>
          </w:tcPr>
          <w:p w14:paraId="20559E2F" w14:textId="0D0B9BFD" w:rsidR="007B4023" w:rsidRPr="00A27D8D" w:rsidRDefault="007B4023" w:rsidP="00F52175">
            <w:pPr>
              <w:jc w:val="center"/>
              <w:rPr>
                <w:sz w:val="20"/>
                <w:szCs w:val="20"/>
              </w:rPr>
            </w:pPr>
            <w:r>
              <w:rPr>
                <w:sz w:val="20"/>
              </w:rPr>
              <w:t>Le cas échéant</w:t>
            </w:r>
          </w:p>
        </w:tc>
        <w:tc>
          <w:tcPr>
            <w:tcW w:w="2425" w:type="dxa"/>
          </w:tcPr>
          <w:p w14:paraId="0FA22407" w14:textId="097C9211" w:rsidR="007B4023" w:rsidRPr="00A27D8D" w:rsidRDefault="007B4023" w:rsidP="00F52175">
            <w:pPr>
              <w:jc w:val="center"/>
              <w:rPr>
                <w:sz w:val="20"/>
                <w:szCs w:val="20"/>
              </w:rPr>
            </w:pPr>
            <w:r>
              <w:rPr>
                <w:sz w:val="20"/>
              </w:rPr>
              <w:t>Oui</w:t>
            </w:r>
          </w:p>
        </w:tc>
      </w:tr>
    </w:tbl>
    <w:p w14:paraId="53880761" w14:textId="77777777" w:rsidR="00617E98" w:rsidRDefault="00617E98" w:rsidP="00366A35"/>
    <w:p w14:paraId="39932FEF" w14:textId="3EE3C049" w:rsidR="00FB401D" w:rsidRDefault="002905E4" w:rsidP="002905E4">
      <w:pPr>
        <w:pStyle w:val="Heading1"/>
      </w:pPr>
      <w:r>
        <w:t>En principe, tous les projets nécessitent la présentation d’un rapport d’achèvement de projet dans les six mois suivant leur achèvement (décision 18/20). Comme l’indique le tableau 1, il existe quelques exceptions. Il s’agit de :</w:t>
      </w:r>
    </w:p>
    <w:p w14:paraId="65DCE0E0" w14:textId="41BF6024" w:rsidR="002905E4" w:rsidRDefault="0058030B" w:rsidP="00232D00">
      <w:pPr>
        <w:pStyle w:val="Heading2"/>
        <w:numPr>
          <w:ilvl w:val="0"/>
          <w:numId w:val="31"/>
        </w:numPr>
        <w:ind w:left="1440" w:hanging="720"/>
      </w:pPr>
      <w:r>
        <w:t>la préparation de projet conformément à la décision 29/3 i), qui indiquait qu’aucun rapport d’achèvement de projet n’était nécessaire pour les activités de préparation de projet. Il est prévu que toutes les préparations de projet entraîneront des propositions de projet ;</w:t>
      </w:r>
    </w:p>
    <w:p w14:paraId="28145405" w14:textId="28C908B2" w:rsidR="00B075D2" w:rsidRDefault="001B42CD" w:rsidP="00232D00">
      <w:pPr>
        <w:pStyle w:val="Heading2"/>
        <w:numPr>
          <w:ilvl w:val="0"/>
          <w:numId w:val="31"/>
        </w:numPr>
        <w:ind w:left="1440" w:hanging="720"/>
      </w:pPr>
      <w:r>
        <w:t>les inventaires nationaux des déchets de substances réglementées et les plans d’action pour la gestion qui sont classés comme de la préparation de projet, dont la présentation de rapports d’achèvement de projet n’est pas nécessaire. Il est à noter que la décision 91/66 e) iii) demandait également de soumettre un rapport final et une copie des inventaires nationaux et des plans d’action nationaux, au plus tard, six mois après l’achèvement du projet, en soulignant les difficultés et les enseignements tirés ;</w:t>
      </w:r>
    </w:p>
    <w:p w14:paraId="10B65273" w14:textId="4AF79387" w:rsidR="00AF0E47" w:rsidRDefault="00B075D2" w:rsidP="00232D00">
      <w:pPr>
        <w:pStyle w:val="Heading2"/>
        <w:numPr>
          <w:ilvl w:val="0"/>
          <w:numId w:val="31"/>
        </w:numPr>
        <w:ind w:left="1440" w:hanging="720"/>
      </w:pPr>
      <w:r>
        <w:t>la vérification conformément à la décision 93/25 a) ii), qui indiquait que la remise d’un rapport d’achèvement de projet ne serait plus exigée pour l’assistance technique associée aux rapports de vérification à partir de 2024. Il est à noter que l’approbation du financement pour la vérification suppose qu’un rapport de vérification sera présenté avec la demande de financement de la tranche suivante des MYA concernés ;</w:t>
      </w:r>
    </w:p>
    <w:p w14:paraId="201FDE33" w14:textId="0C392303" w:rsidR="00B22F7F" w:rsidRPr="00B22F7F" w:rsidRDefault="003E2DA3" w:rsidP="00232D00">
      <w:pPr>
        <w:pStyle w:val="Heading2"/>
        <w:numPr>
          <w:ilvl w:val="0"/>
          <w:numId w:val="31"/>
        </w:numPr>
        <w:ind w:left="1440" w:hanging="720"/>
      </w:pPr>
      <w:r>
        <w:t>les activités de facilitation de la réduction progressive des HFC, dont la présentation d’un rapport final dans les six mois suivant la date d’achèvement du projet, soulignant les enseignements tirés sur la manière dont les activités de démarrage rapide ont soutenu l’action précoce pour la mise en œuvre de l’Amendement de Kigali, a été demandée conformément à la décision 81/32 b) ; il a donc été confirmé que ces projets ne nécessitaient pas de rapport d’achèvement de projet</w:t>
      </w:r>
      <w:r w:rsidR="00101445" w:rsidRPr="00232D00">
        <w:footnoteReference w:id="3"/>
      </w:r>
      <w:r>
        <w:t>.</w:t>
      </w:r>
    </w:p>
    <w:p w14:paraId="0CA6A746" w14:textId="2A162804" w:rsidR="002905E4" w:rsidRDefault="00100349" w:rsidP="00232D00">
      <w:pPr>
        <w:pStyle w:val="Heading2"/>
        <w:numPr>
          <w:ilvl w:val="0"/>
          <w:numId w:val="31"/>
        </w:numPr>
        <w:ind w:left="1440" w:hanging="720"/>
      </w:pPr>
      <w:r>
        <w:t>les phases des projets de RI conformément à la décision 29/3 g), qui indiquait que les rapports d’achèvement de projet ne devaient être présentés qu’en l’absence de demandes de prolongation. Pour le renouvellement des projets de RI, un rapport final de la phase précédente est nécessaire ; et</w:t>
      </w:r>
    </w:p>
    <w:p w14:paraId="77FE1872" w14:textId="3391A50F" w:rsidR="001F34BE" w:rsidRPr="001F34BE" w:rsidRDefault="00B57B72" w:rsidP="00232D00">
      <w:pPr>
        <w:pStyle w:val="Heading2"/>
        <w:numPr>
          <w:ilvl w:val="0"/>
          <w:numId w:val="31"/>
        </w:numPr>
        <w:ind w:left="1440" w:hanging="720"/>
      </w:pPr>
      <w:r>
        <w:t xml:space="preserve">les enquêtes sur les solutions de remplacement des SAO, pour lesquelles la présentation de rapports d’achèvement de projet était prévue en tant qu’activités d’assistance technique. </w:t>
      </w:r>
      <w:r>
        <w:lastRenderedPageBreak/>
        <w:t>Cependant, étant donné que des informations exhaustives sur divers aspects seraient fournies dans les enquêtes, il a ensuite été convenu qu’il suffirait d’un rapport d’achèvement de projet par agence ou par région (pour le PNUE), s’appuyant sur le format de rapport élaboré pour ces projets</w:t>
      </w:r>
      <w:r w:rsidR="00E33722" w:rsidRPr="00232D00">
        <w:footnoteReference w:id="4"/>
      </w:r>
      <w:r>
        <w:t>.</w:t>
      </w:r>
    </w:p>
    <w:p w14:paraId="77CB8353" w14:textId="124E6245" w:rsidR="002905E4" w:rsidRDefault="00FB72ED" w:rsidP="004F6B52">
      <w:pPr>
        <w:pStyle w:val="Heading1"/>
      </w:pPr>
      <w:r>
        <w:t>En ce qui concerne les formats de compte rendu, le Comité exécutif a approuvé à la 94</w:t>
      </w:r>
      <w:r>
        <w:rPr>
          <w:vertAlign w:val="superscript"/>
        </w:rPr>
        <w:t>e</w:t>
      </w:r>
      <w:r>
        <w:t> réunion le format universel de rapport d’achèvement de projet</w:t>
      </w:r>
      <w:r w:rsidR="00596106">
        <w:rPr>
          <w:rStyle w:val="FootnoteReference"/>
        </w:rPr>
        <w:footnoteReference w:id="5"/>
      </w:r>
      <w:r>
        <w:t xml:space="preserve">, applicable aussi bien aux projets individuels qu’aux projets de MYA, visant à recueillir des informations générales, des résultats globaux et les enseignements tirés d’un projet, quantitatifs comme qualitatifs, ainsi que les incidences étendues du projet, par exemple sur les objectifs d’égalité des sexes et de développement durable. Pour les rapports finaux, dont la présentation est généralement demandée par le Comité exécutif, leurs formats sont normalement détaillés et structurés de manière à recueillir des informations exhaustives relatives à un projet, y compris les réalisations, ainsi que les défis et les enseignements tirés, le cas échéant, à des fins d’information pour des délibérations supplémentaires sur le sujet concerné. Pour s’en assurer, le secrétariat élabore généralement des formats spécifiques pour </w:t>
      </w:r>
      <w:r w:rsidR="00B80A62">
        <w:t>les comptes rendus</w:t>
      </w:r>
      <w:r>
        <w:t xml:space="preserve"> relevant de différents types de projets et en respectant les décisions pertinentes du Comité exécutif en ce qui concerne les informations à recueillir.</w:t>
      </w:r>
    </w:p>
    <w:p w14:paraId="6B386C7A" w14:textId="526A43AE" w:rsidR="00366A35" w:rsidRPr="00D77FAD" w:rsidRDefault="00366A35" w:rsidP="00366A35">
      <w:pPr>
        <w:rPr>
          <w:b/>
          <w:bCs/>
        </w:rPr>
      </w:pPr>
      <w:r>
        <w:rPr>
          <w:b/>
        </w:rPr>
        <w:t>Observations du secrétariat</w:t>
      </w:r>
    </w:p>
    <w:p w14:paraId="77BC2DAE" w14:textId="77777777" w:rsidR="00366A35" w:rsidRDefault="00366A35" w:rsidP="00366A35"/>
    <w:p w14:paraId="0809EACB" w14:textId="5F092180" w:rsidR="008D4901" w:rsidRDefault="00D10D70" w:rsidP="001D5D21">
      <w:pPr>
        <w:pStyle w:val="Heading1"/>
      </w:pPr>
      <w:r>
        <w:t>Pour préparer le présent document, le secrétariat a discuté du sujet avec les agences bilatérales et d’exécution</w:t>
      </w:r>
      <w:r w:rsidR="00A803FD">
        <w:rPr>
          <w:rStyle w:val="FootnoteReference"/>
        </w:rPr>
        <w:footnoteReference w:id="6"/>
      </w:r>
      <w:r>
        <w:t xml:space="preserve"> et avec l’Administratrice principale, Surveillance et évaluation (SMEO). Les agences ont souligné le chevauchement et la redondance potentiels entre les rapports d’achèvement de projet et les rapports finaux de projet, car il semblait ne pas exister de différence évidente entre eux. Il a aussi été indiqué que les rapports finaux tendaient à contenir des informations techniques et budgétaires plus détaillées, et présentaient les réalisations finales des projets, dont la pérennité, alors que les rapports d’achèvement de projet fournissaient une évaluation plus globale et intégrée, et qu’un seul rapport unifié aiderait à réduire la charge de travail</w:t>
      </w:r>
      <w:r w:rsidR="00937738">
        <w:rPr>
          <w:rStyle w:val="FootnoteReference"/>
        </w:rPr>
        <w:footnoteReference w:id="7"/>
      </w:r>
      <w:r>
        <w:t xml:space="preserve">. </w:t>
      </w:r>
    </w:p>
    <w:p w14:paraId="340F9E71" w14:textId="03E32969" w:rsidR="00CA16A3" w:rsidRDefault="00F61978" w:rsidP="00313688">
      <w:pPr>
        <w:pStyle w:val="Heading1"/>
      </w:pPr>
      <w:r>
        <w:t>Il est rappelé que le format universel de rapport d’achèvement de projet a été élaboré en tenant compte du besoin de rationaliser le processus de communication d’informations sur les projets et, avec son utilisation future dans le système de gestion des connaissances, il contribuera à des améliorations telles que, entre autres, l’allègement du processus de collecte de données pour les agences, l’élimination de la duplication des présentations au secrétariat et à la SMEO ; l’amélioration de la qualité des domaines spécifiques d’informations recueillies uniquement à travers les rapports d’achèvement de projet , la facilitation de la collecte des données relatives aux questions non traitées précédemment ; et l’intégration du rapport d’achèvement de projet au cycle complet de communication d’informations pour la gestion de projet</w:t>
      </w:r>
      <w:r w:rsidR="00507FFB">
        <w:rPr>
          <w:rStyle w:val="FootnoteReference"/>
        </w:rPr>
        <w:footnoteReference w:id="8"/>
      </w:r>
      <w:r>
        <w:t>.</w:t>
      </w:r>
    </w:p>
    <w:p w14:paraId="5FCF9A5F" w14:textId="5C72789D" w:rsidR="00F608B2" w:rsidRDefault="00CA16A3" w:rsidP="00F608B2">
      <w:pPr>
        <w:pStyle w:val="Heading1"/>
      </w:pPr>
      <w:r>
        <w:t xml:space="preserve">Le secrétariat prend également note que des pratiques ont été établies pour éviter la duplication de la présentation de rapports lors du processus final d’un projet en s’appuyant sur différents types de projets, que soit un rapport final, soit un rapport d’achèvement de projet doit être présenté dans les six mois suivant l’achèvement du projet, sauf pour deux types de projets, à savoir les projets de démonstration ou projets pilotes individuels et les phases des MYA (pour lesquels des rapports finaux sont demandés, le cas échéant), comme indiqué dans le tableau 1. Pour les projets de démonstration ou projets pilotes individuels, tels que ceux relatifs à l’efficacité énergétique, le secrétariat devrait, lors de l’élaboration du format des rapports finaux détaillés, se conformer au format universel des rapports d’achèvement de projet, le cas échéant, de sorte que tout ce qui doit être recueilli et communiqué le soit dans un rapport unifié et qu’une présentation distincte d’un rapport d’achèvement de projet ne soit pas nécessaire pour ce type de projets. Les rapports </w:t>
      </w:r>
      <w:r>
        <w:lastRenderedPageBreak/>
        <w:t>finaux étant considérés comme des rapports d’achèvement de projet, ils seront soumis aux décisions pertinentes sur les rapports d’achèvement de projet et intégrés, comme étant pertinents, aux analyses préparées pour les rapports d’achèvement de projet globaux.</w:t>
      </w:r>
    </w:p>
    <w:p w14:paraId="1B0EB045" w14:textId="17624860" w:rsidR="007A6C88" w:rsidRPr="007A6C88" w:rsidRDefault="007A6C88" w:rsidP="007A6C88">
      <w:pPr>
        <w:pStyle w:val="Heading1"/>
      </w:pPr>
      <w:r>
        <w:t>Pour les phases des MYA, le secrétariat indique que tous les MYA ne nécessitent pas la présentation d’un rapport final et que le rapport final est généralement un rapport périodique de mise en œuvre ne traitant que du dernier programme de mise en œuvre d’une phase du MYA. Il indique également que le rapport de l’état de la mise en œuvre et du décaissement des phases précédentes, soumis dans le cadre de la demande d’une nouvelle phase du MYA</w:t>
      </w:r>
      <w:r w:rsidR="00721541">
        <w:rPr>
          <w:rStyle w:val="FootnoteReference"/>
        </w:rPr>
        <w:footnoteReference w:id="9"/>
      </w:r>
      <w:r>
        <w:t>, bien qu’intégrant l’analyse des résultats obtenus et les enseignements tirés, entre autres, peut ne pas fournir des informations cohérentes et suffisantes aux fins du rapport d’achèvement de projet. Le secrétariat considère que la future introduction de la soumission en ligne des projets et des rapports tout au long du cycle de vie des projets dans le système de gestion des connaissances donnera facilement accès aux informations, dont la réalisation de chaque tranche de MYA, pour faciliter la préparation des rapports d’achèvement de projet pour les phases des MYA. À ce titre, il est proposé de maintenir la pratique actuelle de communication d’informations.</w:t>
      </w:r>
    </w:p>
    <w:p w14:paraId="26F2B70F" w14:textId="2A419F9A" w:rsidR="00AC3935" w:rsidRPr="00CC6E10" w:rsidRDefault="00D31ECA" w:rsidP="00C02DB5">
      <w:pPr>
        <w:keepNext/>
        <w:jc w:val="left"/>
        <w:rPr>
          <w:b/>
        </w:rPr>
      </w:pPr>
      <w:r>
        <w:rPr>
          <w:b/>
        </w:rPr>
        <w:t>Recommandation</w:t>
      </w:r>
    </w:p>
    <w:p w14:paraId="48657485" w14:textId="77777777" w:rsidR="00AC3935" w:rsidRPr="00CC6E10" w:rsidRDefault="00AC3935" w:rsidP="00C02DB5">
      <w:pPr>
        <w:keepNext/>
        <w:jc w:val="right"/>
        <w:rPr>
          <w:b/>
        </w:rPr>
      </w:pPr>
    </w:p>
    <w:p w14:paraId="1C89E127" w14:textId="3F0C0D9D" w:rsidR="007C15FB" w:rsidRDefault="007C15FB" w:rsidP="00C02DB5">
      <w:pPr>
        <w:pStyle w:val="Heading1"/>
        <w:keepNext/>
      </w:pPr>
      <w:r>
        <w:t>Le Comité exécutif pourrait envisager :</w:t>
      </w:r>
    </w:p>
    <w:p w14:paraId="769D7914" w14:textId="7E757B82" w:rsidR="007C15FB" w:rsidRDefault="007C15FB" w:rsidP="00232D00">
      <w:pPr>
        <w:pStyle w:val="Heading2"/>
        <w:widowControl/>
        <w:numPr>
          <w:ilvl w:val="0"/>
          <w:numId w:val="30"/>
        </w:numPr>
        <w:ind w:left="1440" w:hanging="720"/>
      </w:pPr>
      <w:r>
        <w:t>de prendre note de l’examen de la possibilité d’intégrer la communication d’informations dans les rapports d’achèvement de projet et les rapports finaux détaillés de projet contenu dans le document UNEP/OzL.Pro/ExCom/97/88 ;</w:t>
      </w:r>
    </w:p>
    <w:p w14:paraId="1B5161D5" w14:textId="703E3C8C" w:rsidR="007C15FB" w:rsidRDefault="00C02DB5" w:rsidP="00232D00">
      <w:pPr>
        <w:pStyle w:val="Heading2"/>
        <w:widowControl/>
        <w:numPr>
          <w:ilvl w:val="0"/>
          <w:numId w:val="30"/>
        </w:numPr>
        <w:ind w:left="1440" w:hanging="720"/>
      </w:pPr>
      <w:r>
        <w:t>de poursuivre la pratique actuelle pour la communication finale d’informations par les agences bilatérales et d’exécution de différents types de projets, à l’exception des projets de démonstration et projets pilotes individuels, comme indiqué dans le tableau 1 du document mentionné dans le sous-paragraphe a) ci-dessus ; et</w:t>
      </w:r>
    </w:p>
    <w:p w14:paraId="1CA2434C" w14:textId="19EE2727" w:rsidR="00FE3065" w:rsidRPr="00FE3065" w:rsidRDefault="00147EE0" w:rsidP="00232D00">
      <w:pPr>
        <w:pStyle w:val="Heading2"/>
        <w:widowControl/>
        <w:numPr>
          <w:ilvl w:val="0"/>
          <w:numId w:val="30"/>
        </w:numPr>
        <w:ind w:left="1440" w:hanging="720"/>
      </w:pPr>
      <w:r>
        <w:t>pour les projets de démonstration ou projets pilotes, lorsqu’un rapport final est nécessaire, de prier le secrétariat, lors de l’élaboration du format pour les rapports finaux, de se conformer au format universel pour les rapports d’achèvement de projet, le cas échéant, en notant qu’une présentation distincte d’un rapport d’achèvement de projet ne serait plus nécessaire pour ce type de projets.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442406" w14:paraId="328F559E" w14:textId="77777777" w:rsidTr="00442406">
        <w:tc>
          <w:tcPr>
            <w:tcW w:w="1888" w:type="dxa"/>
          </w:tcPr>
          <w:p w14:paraId="33DE8735" w14:textId="77777777" w:rsidR="00442406" w:rsidRDefault="00442406" w:rsidP="004E7F9C">
            <w:pPr>
              <w:pStyle w:val="StyleHeader4Para4Left0Firstline0"/>
              <w:numPr>
                <w:ilvl w:val="0"/>
                <w:numId w:val="0"/>
              </w:numPr>
              <w:rPr>
                <w:sz w:val="22"/>
              </w:rPr>
            </w:pPr>
          </w:p>
        </w:tc>
        <w:tc>
          <w:tcPr>
            <w:tcW w:w="1888" w:type="dxa"/>
          </w:tcPr>
          <w:p w14:paraId="7AF5C275" w14:textId="77777777" w:rsidR="00442406" w:rsidRDefault="00442406" w:rsidP="004E7F9C">
            <w:pPr>
              <w:pStyle w:val="StyleHeader4Para4Left0Firstline0"/>
              <w:numPr>
                <w:ilvl w:val="0"/>
                <w:numId w:val="0"/>
              </w:numPr>
              <w:rPr>
                <w:sz w:val="22"/>
              </w:rPr>
            </w:pPr>
          </w:p>
        </w:tc>
        <w:tc>
          <w:tcPr>
            <w:tcW w:w="1888" w:type="dxa"/>
            <w:tcBorders>
              <w:bottom w:val="single" w:sz="4" w:space="0" w:color="auto"/>
            </w:tcBorders>
          </w:tcPr>
          <w:p w14:paraId="41320A46" w14:textId="77777777" w:rsidR="00442406" w:rsidRDefault="00442406" w:rsidP="004E7F9C">
            <w:pPr>
              <w:pStyle w:val="StyleHeader4Para4Left0Firstline0"/>
              <w:numPr>
                <w:ilvl w:val="0"/>
                <w:numId w:val="0"/>
              </w:numPr>
              <w:rPr>
                <w:sz w:val="22"/>
              </w:rPr>
            </w:pPr>
          </w:p>
        </w:tc>
        <w:tc>
          <w:tcPr>
            <w:tcW w:w="1888" w:type="dxa"/>
          </w:tcPr>
          <w:p w14:paraId="37C0FE5D" w14:textId="77777777" w:rsidR="00442406" w:rsidRDefault="00442406" w:rsidP="004E7F9C">
            <w:pPr>
              <w:pStyle w:val="StyleHeader4Para4Left0Firstline0"/>
              <w:numPr>
                <w:ilvl w:val="0"/>
                <w:numId w:val="0"/>
              </w:numPr>
              <w:rPr>
                <w:sz w:val="22"/>
              </w:rPr>
            </w:pPr>
          </w:p>
        </w:tc>
        <w:tc>
          <w:tcPr>
            <w:tcW w:w="1888" w:type="dxa"/>
          </w:tcPr>
          <w:p w14:paraId="01EB14F3" w14:textId="77777777" w:rsidR="00442406" w:rsidRDefault="00442406" w:rsidP="004E7F9C">
            <w:pPr>
              <w:pStyle w:val="StyleHeader4Para4Left0Firstline0"/>
              <w:numPr>
                <w:ilvl w:val="0"/>
                <w:numId w:val="0"/>
              </w:numPr>
              <w:rPr>
                <w:sz w:val="22"/>
              </w:rPr>
            </w:pPr>
          </w:p>
        </w:tc>
      </w:tr>
    </w:tbl>
    <w:p w14:paraId="1D4F1FAB" w14:textId="77777777" w:rsidR="008C5738" w:rsidRPr="00CC6E10" w:rsidRDefault="008C5738" w:rsidP="004E7F9C">
      <w:pPr>
        <w:pStyle w:val="StyleHeader4Para4Left0Firstline0"/>
        <w:numPr>
          <w:ilvl w:val="0"/>
          <w:numId w:val="0"/>
        </w:numPr>
        <w:rPr>
          <w:sz w:val="22"/>
        </w:rPr>
      </w:pPr>
    </w:p>
    <w:p w14:paraId="384A0766" w14:textId="7BEBA441" w:rsidR="004E7F9C" w:rsidRPr="00CC6E10" w:rsidRDefault="004E7F9C" w:rsidP="004E7F9C">
      <w:pPr>
        <w:pStyle w:val="StyleHeader4Para4Left0Firstline0"/>
        <w:numPr>
          <w:ilvl w:val="0"/>
          <w:numId w:val="0"/>
        </w:numPr>
        <w:rPr>
          <w:sz w:val="22"/>
        </w:rPr>
      </w:pPr>
    </w:p>
    <w:sectPr w:rsidR="004E7F9C" w:rsidRPr="00CC6E10" w:rsidSect="00232D0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13212" w14:textId="77777777" w:rsidR="00221120" w:rsidRDefault="00221120" w:rsidP="004A504B">
      <w:r>
        <w:separator/>
      </w:r>
    </w:p>
  </w:endnote>
  <w:endnote w:type="continuationSeparator" w:id="0">
    <w:p w14:paraId="5D58E1A1" w14:textId="77777777" w:rsidR="00221120" w:rsidRDefault="002211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9B4A"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EB4B"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464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FCB971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AE41A" w14:textId="77777777" w:rsidR="00221120" w:rsidRDefault="00221120" w:rsidP="004A504B">
      <w:r>
        <w:separator/>
      </w:r>
    </w:p>
  </w:footnote>
  <w:footnote w:type="continuationSeparator" w:id="0">
    <w:p w14:paraId="3FAE4A5B" w14:textId="77777777" w:rsidR="00221120" w:rsidRDefault="00221120" w:rsidP="004A504B">
      <w:r>
        <w:continuationSeparator/>
      </w:r>
    </w:p>
  </w:footnote>
  <w:footnote w:id="1">
    <w:p w14:paraId="5B84010B" w14:textId="77777777" w:rsidR="00D05563" w:rsidRPr="001E1147" w:rsidRDefault="00D05563" w:rsidP="00D05563">
      <w:pPr>
        <w:pStyle w:val="FootnoteText"/>
      </w:pPr>
      <w:r>
        <w:rPr>
          <w:rStyle w:val="FootnoteReference"/>
        </w:rPr>
        <w:footnoteRef/>
      </w:r>
      <w:r>
        <w:t xml:space="preserve"> UNEP/OzL.Pro/ExCom/97/1</w:t>
      </w:r>
    </w:p>
  </w:footnote>
  <w:footnote w:id="2">
    <w:p w14:paraId="61219C81" w14:textId="784E0505" w:rsidR="002A5742" w:rsidRPr="002A5742" w:rsidRDefault="002A5742">
      <w:pPr>
        <w:pStyle w:val="FootnoteText"/>
      </w:pPr>
      <w:r>
        <w:rPr>
          <w:rStyle w:val="FootnoteReference"/>
        </w:rPr>
        <w:footnoteRef/>
      </w:r>
      <w:r>
        <w:t xml:space="preserve"> UNEP/OzL.Pro/ExCom/95/91</w:t>
      </w:r>
    </w:p>
  </w:footnote>
  <w:footnote w:id="3">
    <w:p w14:paraId="701329C3" w14:textId="54407968" w:rsidR="00101445" w:rsidRPr="005D6E61" w:rsidRDefault="00101445" w:rsidP="00101445">
      <w:pPr>
        <w:pStyle w:val="FootnoteText"/>
        <w:rPr>
          <w:lang w:val="en-US"/>
        </w:rPr>
      </w:pPr>
      <w:r>
        <w:rPr>
          <w:rStyle w:val="FootnoteReference"/>
        </w:rPr>
        <w:footnoteRef/>
      </w:r>
      <w:r w:rsidRPr="005D6E61">
        <w:rPr>
          <w:lang w:val="en-US"/>
        </w:rPr>
        <w:t xml:space="preserve"> MLF/IACM.2019/1/28, para. 33</w:t>
      </w:r>
    </w:p>
  </w:footnote>
  <w:footnote w:id="4">
    <w:p w14:paraId="663C9DBC" w14:textId="360E0033" w:rsidR="00E33722" w:rsidRPr="00E33722" w:rsidRDefault="00E33722">
      <w:pPr>
        <w:pStyle w:val="FootnoteText"/>
      </w:pPr>
      <w:r>
        <w:rPr>
          <w:rStyle w:val="FootnoteReference"/>
        </w:rPr>
        <w:footnoteRef/>
      </w:r>
      <w:r w:rsidRPr="005D6E61">
        <w:rPr>
          <w:lang w:val="en-US"/>
        </w:rPr>
        <w:t xml:space="preserve"> UNEP/OzL.Pro/ExCom/82/72, para. </w:t>
      </w:r>
      <w:r>
        <w:t>168 et MLF/IACM.2019/1/28, para. 26</w:t>
      </w:r>
    </w:p>
  </w:footnote>
  <w:footnote w:id="5">
    <w:p w14:paraId="2B0BCD7B" w14:textId="42606750" w:rsidR="00596106" w:rsidRPr="00E86887" w:rsidRDefault="00596106">
      <w:pPr>
        <w:pStyle w:val="FootnoteText"/>
        <w:rPr>
          <w:lang w:val="fr-CA"/>
        </w:rPr>
      </w:pPr>
      <w:r>
        <w:rPr>
          <w:rStyle w:val="FootnoteReference"/>
        </w:rPr>
        <w:footnoteRef/>
      </w:r>
      <w:r w:rsidRPr="00E86887">
        <w:rPr>
          <w:lang w:val="fr-CA"/>
        </w:rPr>
        <w:t> UNEP/OzL.Pro/ExCom/94/67, annexe II</w:t>
      </w:r>
    </w:p>
  </w:footnote>
  <w:footnote w:id="6">
    <w:p w14:paraId="3D5DB025" w14:textId="77777777" w:rsidR="00A803FD" w:rsidRPr="00CB5CF8" w:rsidRDefault="00A803FD" w:rsidP="00A803FD">
      <w:pPr>
        <w:pStyle w:val="FootnoteText"/>
      </w:pPr>
      <w:r>
        <w:rPr>
          <w:rStyle w:val="FootnoteReference"/>
        </w:rPr>
        <w:footnoteRef/>
      </w:r>
      <w:r>
        <w:t xml:space="preserve"> À la réunion de coordination inter-agences (IACM) qui a eu lieu en septembre 2025</w:t>
      </w:r>
    </w:p>
  </w:footnote>
  <w:footnote w:id="7">
    <w:p w14:paraId="61B472F6" w14:textId="2EA53D0E" w:rsidR="00937738" w:rsidRPr="005D6E61" w:rsidRDefault="00937738">
      <w:pPr>
        <w:pStyle w:val="FootnoteText"/>
        <w:rPr>
          <w:lang w:val="en-US"/>
        </w:rPr>
      </w:pPr>
      <w:r>
        <w:rPr>
          <w:rStyle w:val="FootnoteReference"/>
        </w:rPr>
        <w:footnoteRef/>
      </w:r>
      <w:r w:rsidRPr="005D6E61">
        <w:rPr>
          <w:lang w:val="en-US"/>
        </w:rPr>
        <w:t xml:space="preserve"> MLF/IACM.2025/2/, para. 35</w:t>
      </w:r>
    </w:p>
  </w:footnote>
  <w:footnote w:id="8">
    <w:p w14:paraId="65551922" w14:textId="22CC9881" w:rsidR="00507FFB" w:rsidRPr="00562D75" w:rsidRDefault="00507FFB">
      <w:pPr>
        <w:pStyle w:val="FootnoteText"/>
      </w:pPr>
      <w:r>
        <w:rPr>
          <w:rStyle w:val="FootnoteReference"/>
        </w:rPr>
        <w:footnoteRef/>
      </w:r>
      <w:r w:rsidRPr="005D6E61">
        <w:rPr>
          <w:lang w:val="en-US"/>
        </w:rPr>
        <w:t xml:space="preserve"> UNEP/OzL.Pro/ExCom/94/8, para. </w:t>
      </w:r>
      <w:r>
        <w:t>45</w:t>
      </w:r>
    </w:p>
  </w:footnote>
  <w:footnote w:id="9">
    <w:p w14:paraId="684AD8B6" w14:textId="73B550F0" w:rsidR="00346C39" w:rsidRPr="00721541" w:rsidRDefault="00721541">
      <w:pPr>
        <w:pStyle w:val="FootnoteText"/>
      </w:pPr>
      <w:r>
        <w:rPr>
          <w:rStyle w:val="FootnoteReference"/>
        </w:rPr>
        <w:footnoteRef/>
      </w:r>
      <w:r>
        <w:t xml:space="preserve"> Par exemple, voir le Guide pour la présentation des nouvelles phases des PGEH, section I, </w:t>
      </w:r>
      <w:hyperlink r:id="rId1" w:history="1">
        <w:r>
          <w:rPr>
            <w:rStyle w:val="Hyperlink"/>
          </w:rPr>
          <w:t>https://www.multilateralfund.org/resources/project-guides-tools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653F" w14:textId="086F2482" w:rsidR="00DC6A10" w:rsidRPr="0033525D" w:rsidRDefault="005D6E61">
    <w:fldSimple w:instr="DOCPROPERTY &quot;Document number&quot;  \* MERGEFORMAT">
      <w:r>
        <w:t>UNEP/OzL.Pro/ExCom/97/88</w:t>
      </w:r>
    </w:fldSimple>
  </w:p>
  <w:p w14:paraId="4A5ADD4E" w14:textId="77777777" w:rsidR="00DC6A10" w:rsidRPr="0033525D" w:rsidRDefault="00DC6A10"/>
  <w:p w14:paraId="1AE8D4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43E9" w14:textId="4A3449F5" w:rsidR="00DC6A10" w:rsidRPr="0033525D" w:rsidRDefault="005D6E61">
    <w:pPr>
      <w:jc w:val="right"/>
    </w:pPr>
    <w:fldSimple w:instr="DOCPROPERTY &quot;Document number&quot;  \* MERGEFORMAT">
      <w:r>
        <w:t>UNEP/OzL.Pro/ExCom/97/88</w:t>
      </w:r>
    </w:fldSimple>
  </w:p>
  <w:p w14:paraId="310E17E3" w14:textId="77777777" w:rsidR="00DC6A10" w:rsidRPr="0033525D" w:rsidRDefault="00DC6A10"/>
  <w:p w14:paraId="04B73BE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C4D3FE"/>
    <w:lvl w:ilvl="0">
      <w:start w:val="1"/>
      <w:numFmt w:val="decimal"/>
      <w:pStyle w:val="Heading1"/>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4906906"/>
    <w:multiLevelType w:val="hybridMultilevel"/>
    <w:tmpl w:val="A1C80780"/>
    <w:lvl w:ilvl="0" w:tplc="2842DC44">
      <w:start w:val="1"/>
      <w:numFmt w:val="lowerLetter"/>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6122F6A"/>
    <w:multiLevelType w:val="hybridMultilevel"/>
    <w:tmpl w:val="7E7017A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5A1C1CA5"/>
    <w:multiLevelType w:val="multilevel"/>
    <w:tmpl w:val="31E23C7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610F5514"/>
    <w:multiLevelType w:val="multilevel"/>
    <w:tmpl w:val="31E23C7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2CA26D6"/>
    <w:multiLevelType w:val="multilevel"/>
    <w:tmpl w:val="39AE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714317"/>
    <w:multiLevelType w:val="multilevel"/>
    <w:tmpl w:val="F728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78578E"/>
    <w:multiLevelType w:val="hybridMultilevel"/>
    <w:tmpl w:val="5C3269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3"/>
  </w:num>
  <w:num w:numId="18" w16cid:durableId="871651730">
    <w:abstractNumId w:val="14"/>
  </w:num>
  <w:num w:numId="19" w16cid:durableId="88309556">
    <w:abstractNumId w:val="22"/>
  </w:num>
  <w:num w:numId="20" w16cid:durableId="1076512343">
    <w:abstractNumId w:val="12"/>
  </w:num>
  <w:num w:numId="21" w16cid:durableId="1599555443">
    <w:abstractNumId w:val="19"/>
  </w:num>
  <w:num w:numId="22" w16cid:durableId="888109828">
    <w:abstractNumId w:val="20"/>
  </w:num>
  <w:num w:numId="23" w16cid:durableId="1098017724">
    <w:abstractNumId w:val="18"/>
  </w:num>
  <w:num w:numId="24" w16cid:durableId="36902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8855261">
    <w:abstractNumId w:val="17"/>
  </w:num>
  <w:num w:numId="26" w16cid:durableId="138545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923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01115764">
    <w:abstractNumId w:val="10"/>
  </w:num>
  <w:num w:numId="29" w16cid:durableId="1709378392">
    <w:abstractNumId w:val="15"/>
  </w:num>
  <w:num w:numId="30" w16cid:durableId="1685979441">
    <w:abstractNumId w:val="16"/>
  </w:num>
  <w:num w:numId="31" w16cid:durableId="202882515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8F7314"/>
    <w:rsid w:val="00000FED"/>
    <w:rsid w:val="00001E6B"/>
    <w:rsid w:val="0000434E"/>
    <w:rsid w:val="00006B1C"/>
    <w:rsid w:val="00013236"/>
    <w:rsid w:val="00014994"/>
    <w:rsid w:val="00015B55"/>
    <w:rsid w:val="00017F19"/>
    <w:rsid w:val="00021C4B"/>
    <w:rsid w:val="00024F3A"/>
    <w:rsid w:val="00026359"/>
    <w:rsid w:val="00027178"/>
    <w:rsid w:val="00031260"/>
    <w:rsid w:val="00034B06"/>
    <w:rsid w:val="0003584D"/>
    <w:rsid w:val="0003681A"/>
    <w:rsid w:val="00036B62"/>
    <w:rsid w:val="00036EC2"/>
    <w:rsid w:val="000405A1"/>
    <w:rsid w:val="000436B3"/>
    <w:rsid w:val="00043DA8"/>
    <w:rsid w:val="00045751"/>
    <w:rsid w:val="0004651E"/>
    <w:rsid w:val="000466B5"/>
    <w:rsid w:val="000468A4"/>
    <w:rsid w:val="00047AED"/>
    <w:rsid w:val="00047C8C"/>
    <w:rsid w:val="00051BE8"/>
    <w:rsid w:val="0005434B"/>
    <w:rsid w:val="000554FD"/>
    <w:rsid w:val="000565EB"/>
    <w:rsid w:val="0005720C"/>
    <w:rsid w:val="00057628"/>
    <w:rsid w:val="0006085C"/>
    <w:rsid w:val="00061CAB"/>
    <w:rsid w:val="00062BDB"/>
    <w:rsid w:val="0006348B"/>
    <w:rsid w:val="00065D34"/>
    <w:rsid w:val="00070D6F"/>
    <w:rsid w:val="00071429"/>
    <w:rsid w:val="00072B13"/>
    <w:rsid w:val="00073A8B"/>
    <w:rsid w:val="000763B9"/>
    <w:rsid w:val="00080ED0"/>
    <w:rsid w:val="000837FA"/>
    <w:rsid w:val="00085B8F"/>
    <w:rsid w:val="00087AFC"/>
    <w:rsid w:val="00090064"/>
    <w:rsid w:val="00090481"/>
    <w:rsid w:val="0009059E"/>
    <w:rsid w:val="00090B1A"/>
    <w:rsid w:val="00091A22"/>
    <w:rsid w:val="00093706"/>
    <w:rsid w:val="00095045"/>
    <w:rsid w:val="000A0EFE"/>
    <w:rsid w:val="000A3B8E"/>
    <w:rsid w:val="000A419B"/>
    <w:rsid w:val="000A4674"/>
    <w:rsid w:val="000B0C7F"/>
    <w:rsid w:val="000B144C"/>
    <w:rsid w:val="000B14AC"/>
    <w:rsid w:val="000B2500"/>
    <w:rsid w:val="000B2E85"/>
    <w:rsid w:val="000B44DB"/>
    <w:rsid w:val="000B56B8"/>
    <w:rsid w:val="000B5B19"/>
    <w:rsid w:val="000C0A47"/>
    <w:rsid w:val="000C324A"/>
    <w:rsid w:val="000C50D8"/>
    <w:rsid w:val="000C597E"/>
    <w:rsid w:val="000D1666"/>
    <w:rsid w:val="000E07BC"/>
    <w:rsid w:val="000E0CAB"/>
    <w:rsid w:val="000E1079"/>
    <w:rsid w:val="000E44DE"/>
    <w:rsid w:val="000E5EB1"/>
    <w:rsid w:val="000F1428"/>
    <w:rsid w:val="000F1CD4"/>
    <w:rsid w:val="000F1F32"/>
    <w:rsid w:val="000F2356"/>
    <w:rsid w:val="000F2E00"/>
    <w:rsid w:val="000F369D"/>
    <w:rsid w:val="000F4103"/>
    <w:rsid w:val="000F5112"/>
    <w:rsid w:val="000F5201"/>
    <w:rsid w:val="000F70A7"/>
    <w:rsid w:val="00100349"/>
    <w:rsid w:val="00101445"/>
    <w:rsid w:val="001049B8"/>
    <w:rsid w:val="00104D0D"/>
    <w:rsid w:val="00106A2E"/>
    <w:rsid w:val="001137FA"/>
    <w:rsid w:val="0011413C"/>
    <w:rsid w:val="00116FCA"/>
    <w:rsid w:val="00121BE4"/>
    <w:rsid w:val="00122F20"/>
    <w:rsid w:val="00123EA2"/>
    <w:rsid w:val="00125B02"/>
    <w:rsid w:val="00126965"/>
    <w:rsid w:val="001307B6"/>
    <w:rsid w:val="00132895"/>
    <w:rsid w:val="00135980"/>
    <w:rsid w:val="00140358"/>
    <w:rsid w:val="00141135"/>
    <w:rsid w:val="00146732"/>
    <w:rsid w:val="00147EE0"/>
    <w:rsid w:val="00151CE9"/>
    <w:rsid w:val="00154357"/>
    <w:rsid w:val="001562D5"/>
    <w:rsid w:val="00157C45"/>
    <w:rsid w:val="00160FBF"/>
    <w:rsid w:val="00161AE9"/>
    <w:rsid w:val="00164719"/>
    <w:rsid w:val="00166FC4"/>
    <w:rsid w:val="001677AC"/>
    <w:rsid w:val="001751C0"/>
    <w:rsid w:val="00175881"/>
    <w:rsid w:val="00180CB3"/>
    <w:rsid w:val="001811D9"/>
    <w:rsid w:val="00181872"/>
    <w:rsid w:val="00182C65"/>
    <w:rsid w:val="001841F2"/>
    <w:rsid w:val="00190A61"/>
    <w:rsid w:val="001920F4"/>
    <w:rsid w:val="00192E73"/>
    <w:rsid w:val="0019324D"/>
    <w:rsid w:val="001946B9"/>
    <w:rsid w:val="0019499A"/>
    <w:rsid w:val="00196C48"/>
    <w:rsid w:val="001A0BF3"/>
    <w:rsid w:val="001A113A"/>
    <w:rsid w:val="001A3342"/>
    <w:rsid w:val="001A3E3D"/>
    <w:rsid w:val="001A6857"/>
    <w:rsid w:val="001A6B86"/>
    <w:rsid w:val="001A6E19"/>
    <w:rsid w:val="001B1E40"/>
    <w:rsid w:val="001B3C4D"/>
    <w:rsid w:val="001B42CD"/>
    <w:rsid w:val="001B649E"/>
    <w:rsid w:val="001B7A33"/>
    <w:rsid w:val="001C01D0"/>
    <w:rsid w:val="001C1302"/>
    <w:rsid w:val="001C2C04"/>
    <w:rsid w:val="001C50CD"/>
    <w:rsid w:val="001C764E"/>
    <w:rsid w:val="001C7724"/>
    <w:rsid w:val="001D0ED4"/>
    <w:rsid w:val="001D5C28"/>
    <w:rsid w:val="001D5D21"/>
    <w:rsid w:val="001D6242"/>
    <w:rsid w:val="001E1052"/>
    <w:rsid w:val="001E1759"/>
    <w:rsid w:val="001E21B1"/>
    <w:rsid w:val="001E23CA"/>
    <w:rsid w:val="001E26E1"/>
    <w:rsid w:val="001E2CEB"/>
    <w:rsid w:val="001E2F93"/>
    <w:rsid w:val="001E5A6E"/>
    <w:rsid w:val="001E61E5"/>
    <w:rsid w:val="001E7F5D"/>
    <w:rsid w:val="001F02F3"/>
    <w:rsid w:val="001F07D1"/>
    <w:rsid w:val="001F2159"/>
    <w:rsid w:val="001F34BE"/>
    <w:rsid w:val="00200972"/>
    <w:rsid w:val="00203CA8"/>
    <w:rsid w:val="002045DC"/>
    <w:rsid w:val="002107DF"/>
    <w:rsid w:val="0021191D"/>
    <w:rsid w:val="002160C1"/>
    <w:rsid w:val="00216355"/>
    <w:rsid w:val="00221120"/>
    <w:rsid w:val="00223DCD"/>
    <w:rsid w:val="00226F4C"/>
    <w:rsid w:val="00227F4F"/>
    <w:rsid w:val="00232D00"/>
    <w:rsid w:val="00234834"/>
    <w:rsid w:val="00237A8D"/>
    <w:rsid w:val="00240DEC"/>
    <w:rsid w:val="0024191C"/>
    <w:rsid w:val="002419EC"/>
    <w:rsid w:val="00243D01"/>
    <w:rsid w:val="00250822"/>
    <w:rsid w:val="00253222"/>
    <w:rsid w:val="00253607"/>
    <w:rsid w:val="002543F2"/>
    <w:rsid w:val="002570C2"/>
    <w:rsid w:val="00257D69"/>
    <w:rsid w:val="00260029"/>
    <w:rsid w:val="002624FF"/>
    <w:rsid w:val="00262E06"/>
    <w:rsid w:val="00267AF7"/>
    <w:rsid w:val="00270F20"/>
    <w:rsid w:val="00273869"/>
    <w:rsid w:val="00277278"/>
    <w:rsid w:val="0028110B"/>
    <w:rsid w:val="00284EDD"/>
    <w:rsid w:val="00287ADB"/>
    <w:rsid w:val="002905E4"/>
    <w:rsid w:val="00291880"/>
    <w:rsid w:val="00292DA4"/>
    <w:rsid w:val="0029418B"/>
    <w:rsid w:val="002A03B5"/>
    <w:rsid w:val="002A0EA7"/>
    <w:rsid w:val="002A2EEF"/>
    <w:rsid w:val="002A5742"/>
    <w:rsid w:val="002A5DBF"/>
    <w:rsid w:val="002A67BA"/>
    <w:rsid w:val="002B397A"/>
    <w:rsid w:val="002B448C"/>
    <w:rsid w:val="002B4AD2"/>
    <w:rsid w:val="002B628F"/>
    <w:rsid w:val="002B69A5"/>
    <w:rsid w:val="002B72E9"/>
    <w:rsid w:val="002B7732"/>
    <w:rsid w:val="002C5938"/>
    <w:rsid w:val="002C7E90"/>
    <w:rsid w:val="002D14E4"/>
    <w:rsid w:val="002D17DF"/>
    <w:rsid w:val="002D4A28"/>
    <w:rsid w:val="002D5868"/>
    <w:rsid w:val="002D5A75"/>
    <w:rsid w:val="002D6696"/>
    <w:rsid w:val="002D6781"/>
    <w:rsid w:val="002E1D44"/>
    <w:rsid w:val="002E2C35"/>
    <w:rsid w:val="002E37B8"/>
    <w:rsid w:val="002E40D2"/>
    <w:rsid w:val="002E5BF0"/>
    <w:rsid w:val="002F439F"/>
    <w:rsid w:val="002F52A4"/>
    <w:rsid w:val="002F6E3D"/>
    <w:rsid w:val="0030065C"/>
    <w:rsid w:val="00300B16"/>
    <w:rsid w:val="00300D9D"/>
    <w:rsid w:val="0030465A"/>
    <w:rsid w:val="003110AB"/>
    <w:rsid w:val="00311465"/>
    <w:rsid w:val="00311599"/>
    <w:rsid w:val="00311726"/>
    <w:rsid w:val="003126A7"/>
    <w:rsid w:val="003158BB"/>
    <w:rsid w:val="003246ED"/>
    <w:rsid w:val="00327A3B"/>
    <w:rsid w:val="003306E1"/>
    <w:rsid w:val="003320E4"/>
    <w:rsid w:val="00332B3E"/>
    <w:rsid w:val="00332D52"/>
    <w:rsid w:val="00332F0E"/>
    <w:rsid w:val="003339A4"/>
    <w:rsid w:val="0033525D"/>
    <w:rsid w:val="003359A8"/>
    <w:rsid w:val="00337E25"/>
    <w:rsid w:val="003414F3"/>
    <w:rsid w:val="00346C39"/>
    <w:rsid w:val="003476D4"/>
    <w:rsid w:val="00350785"/>
    <w:rsid w:val="0035129F"/>
    <w:rsid w:val="00351E07"/>
    <w:rsid w:val="00354574"/>
    <w:rsid w:val="0035613E"/>
    <w:rsid w:val="003574CB"/>
    <w:rsid w:val="00360B6D"/>
    <w:rsid w:val="00360FF0"/>
    <w:rsid w:val="00362E3B"/>
    <w:rsid w:val="003630C2"/>
    <w:rsid w:val="00363EE9"/>
    <w:rsid w:val="00366A35"/>
    <w:rsid w:val="00367C21"/>
    <w:rsid w:val="00370E5E"/>
    <w:rsid w:val="00371522"/>
    <w:rsid w:val="00373254"/>
    <w:rsid w:val="00374B70"/>
    <w:rsid w:val="00375421"/>
    <w:rsid w:val="00376128"/>
    <w:rsid w:val="00376BA0"/>
    <w:rsid w:val="00376BBB"/>
    <w:rsid w:val="0037742E"/>
    <w:rsid w:val="0038245A"/>
    <w:rsid w:val="003839E4"/>
    <w:rsid w:val="00385304"/>
    <w:rsid w:val="003860E2"/>
    <w:rsid w:val="003907FC"/>
    <w:rsid w:val="00392A95"/>
    <w:rsid w:val="00392C36"/>
    <w:rsid w:val="0039337A"/>
    <w:rsid w:val="00394E53"/>
    <w:rsid w:val="0039551B"/>
    <w:rsid w:val="00396605"/>
    <w:rsid w:val="00396D34"/>
    <w:rsid w:val="0039764A"/>
    <w:rsid w:val="0039764E"/>
    <w:rsid w:val="003A3189"/>
    <w:rsid w:val="003A624A"/>
    <w:rsid w:val="003A6ACD"/>
    <w:rsid w:val="003B2972"/>
    <w:rsid w:val="003B3973"/>
    <w:rsid w:val="003B3AB8"/>
    <w:rsid w:val="003B505D"/>
    <w:rsid w:val="003B53E0"/>
    <w:rsid w:val="003B569D"/>
    <w:rsid w:val="003B5E01"/>
    <w:rsid w:val="003B6CE7"/>
    <w:rsid w:val="003C1BC4"/>
    <w:rsid w:val="003C26D4"/>
    <w:rsid w:val="003C3C0E"/>
    <w:rsid w:val="003C428B"/>
    <w:rsid w:val="003D013E"/>
    <w:rsid w:val="003D2A2D"/>
    <w:rsid w:val="003D4FAC"/>
    <w:rsid w:val="003D6F6F"/>
    <w:rsid w:val="003D71B5"/>
    <w:rsid w:val="003E1000"/>
    <w:rsid w:val="003E2DA3"/>
    <w:rsid w:val="003E47F3"/>
    <w:rsid w:val="003E7218"/>
    <w:rsid w:val="003E7906"/>
    <w:rsid w:val="003F0090"/>
    <w:rsid w:val="003F0593"/>
    <w:rsid w:val="003F071D"/>
    <w:rsid w:val="003F2552"/>
    <w:rsid w:val="003F3C50"/>
    <w:rsid w:val="0040042A"/>
    <w:rsid w:val="004007A6"/>
    <w:rsid w:val="00403862"/>
    <w:rsid w:val="00406A6A"/>
    <w:rsid w:val="00406B22"/>
    <w:rsid w:val="00406BA5"/>
    <w:rsid w:val="0041223B"/>
    <w:rsid w:val="00413AD3"/>
    <w:rsid w:val="00415AEC"/>
    <w:rsid w:val="004172CA"/>
    <w:rsid w:val="0042363D"/>
    <w:rsid w:val="00423DC8"/>
    <w:rsid w:val="00423FCD"/>
    <w:rsid w:val="00432279"/>
    <w:rsid w:val="004328A7"/>
    <w:rsid w:val="00434C74"/>
    <w:rsid w:val="0043677F"/>
    <w:rsid w:val="004412CE"/>
    <w:rsid w:val="0044167C"/>
    <w:rsid w:val="00442406"/>
    <w:rsid w:val="004435E1"/>
    <w:rsid w:val="00444F4E"/>
    <w:rsid w:val="00450AA6"/>
    <w:rsid w:val="00451967"/>
    <w:rsid w:val="00452AC4"/>
    <w:rsid w:val="00453A8F"/>
    <w:rsid w:val="0045695D"/>
    <w:rsid w:val="00456EB4"/>
    <w:rsid w:val="004576E0"/>
    <w:rsid w:val="0046024B"/>
    <w:rsid w:val="004652CA"/>
    <w:rsid w:val="00466350"/>
    <w:rsid w:val="00470584"/>
    <w:rsid w:val="00470D6D"/>
    <w:rsid w:val="004718F3"/>
    <w:rsid w:val="00471DDB"/>
    <w:rsid w:val="0047334F"/>
    <w:rsid w:val="00474E95"/>
    <w:rsid w:val="00475040"/>
    <w:rsid w:val="004820B7"/>
    <w:rsid w:val="0048329B"/>
    <w:rsid w:val="0048349F"/>
    <w:rsid w:val="00483EAA"/>
    <w:rsid w:val="0048470D"/>
    <w:rsid w:val="00485D88"/>
    <w:rsid w:val="00491A54"/>
    <w:rsid w:val="00493D40"/>
    <w:rsid w:val="004971B7"/>
    <w:rsid w:val="004974EA"/>
    <w:rsid w:val="004A0D2B"/>
    <w:rsid w:val="004A504B"/>
    <w:rsid w:val="004A6536"/>
    <w:rsid w:val="004A6911"/>
    <w:rsid w:val="004A6D04"/>
    <w:rsid w:val="004B024D"/>
    <w:rsid w:val="004B2897"/>
    <w:rsid w:val="004B4381"/>
    <w:rsid w:val="004B5134"/>
    <w:rsid w:val="004B54E0"/>
    <w:rsid w:val="004B7384"/>
    <w:rsid w:val="004C118E"/>
    <w:rsid w:val="004C24BB"/>
    <w:rsid w:val="004C4269"/>
    <w:rsid w:val="004C600D"/>
    <w:rsid w:val="004C69CD"/>
    <w:rsid w:val="004C7E0D"/>
    <w:rsid w:val="004D1D54"/>
    <w:rsid w:val="004D2089"/>
    <w:rsid w:val="004D256D"/>
    <w:rsid w:val="004D2D5F"/>
    <w:rsid w:val="004D4CDB"/>
    <w:rsid w:val="004D5915"/>
    <w:rsid w:val="004D6236"/>
    <w:rsid w:val="004D6EDF"/>
    <w:rsid w:val="004D7C74"/>
    <w:rsid w:val="004E2F62"/>
    <w:rsid w:val="004E39AE"/>
    <w:rsid w:val="004E4C07"/>
    <w:rsid w:val="004E4DBB"/>
    <w:rsid w:val="004E6472"/>
    <w:rsid w:val="004E6C96"/>
    <w:rsid w:val="004E7F9C"/>
    <w:rsid w:val="004F3493"/>
    <w:rsid w:val="004F5FEC"/>
    <w:rsid w:val="004F6138"/>
    <w:rsid w:val="004F7870"/>
    <w:rsid w:val="00500300"/>
    <w:rsid w:val="00501FA1"/>
    <w:rsid w:val="00507E4C"/>
    <w:rsid w:val="00507FFB"/>
    <w:rsid w:val="00512B09"/>
    <w:rsid w:val="00513FD5"/>
    <w:rsid w:val="00524424"/>
    <w:rsid w:val="00524790"/>
    <w:rsid w:val="0053259C"/>
    <w:rsid w:val="00532682"/>
    <w:rsid w:val="00532AC8"/>
    <w:rsid w:val="00532C3F"/>
    <w:rsid w:val="00532FA9"/>
    <w:rsid w:val="00535733"/>
    <w:rsid w:val="005468EF"/>
    <w:rsid w:val="00546B4F"/>
    <w:rsid w:val="005505C3"/>
    <w:rsid w:val="0055311C"/>
    <w:rsid w:val="00555B3B"/>
    <w:rsid w:val="00555D75"/>
    <w:rsid w:val="0055708B"/>
    <w:rsid w:val="00560534"/>
    <w:rsid w:val="00560DF0"/>
    <w:rsid w:val="00561A74"/>
    <w:rsid w:val="00562D75"/>
    <w:rsid w:val="00565319"/>
    <w:rsid w:val="0056581B"/>
    <w:rsid w:val="005660F3"/>
    <w:rsid w:val="00572FC7"/>
    <w:rsid w:val="00575A22"/>
    <w:rsid w:val="00575B35"/>
    <w:rsid w:val="005775CC"/>
    <w:rsid w:val="0058030B"/>
    <w:rsid w:val="005814EB"/>
    <w:rsid w:val="005830D3"/>
    <w:rsid w:val="00586E00"/>
    <w:rsid w:val="00587E87"/>
    <w:rsid w:val="0059214B"/>
    <w:rsid w:val="005930D0"/>
    <w:rsid w:val="005934FB"/>
    <w:rsid w:val="00596106"/>
    <w:rsid w:val="00596897"/>
    <w:rsid w:val="00596F22"/>
    <w:rsid w:val="005A2067"/>
    <w:rsid w:val="005A346D"/>
    <w:rsid w:val="005A68C5"/>
    <w:rsid w:val="005B175C"/>
    <w:rsid w:val="005B2436"/>
    <w:rsid w:val="005B26A4"/>
    <w:rsid w:val="005B28F8"/>
    <w:rsid w:val="005B361B"/>
    <w:rsid w:val="005B3762"/>
    <w:rsid w:val="005B48FF"/>
    <w:rsid w:val="005B5E95"/>
    <w:rsid w:val="005C1D4F"/>
    <w:rsid w:val="005C3EBE"/>
    <w:rsid w:val="005C685F"/>
    <w:rsid w:val="005C70BF"/>
    <w:rsid w:val="005C7A40"/>
    <w:rsid w:val="005D6E61"/>
    <w:rsid w:val="005E1978"/>
    <w:rsid w:val="005E3894"/>
    <w:rsid w:val="005F0CF5"/>
    <w:rsid w:val="005F217A"/>
    <w:rsid w:val="005F55B7"/>
    <w:rsid w:val="00600A67"/>
    <w:rsid w:val="00601141"/>
    <w:rsid w:val="006012A7"/>
    <w:rsid w:val="00601390"/>
    <w:rsid w:val="00604603"/>
    <w:rsid w:val="00611118"/>
    <w:rsid w:val="006141C1"/>
    <w:rsid w:val="006158D5"/>
    <w:rsid w:val="00617E98"/>
    <w:rsid w:val="006241EB"/>
    <w:rsid w:val="006243D3"/>
    <w:rsid w:val="00624625"/>
    <w:rsid w:val="00625D83"/>
    <w:rsid w:val="006309DD"/>
    <w:rsid w:val="006405BE"/>
    <w:rsid w:val="0064103E"/>
    <w:rsid w:val="006431D2"/>
    <w:rsid w:val="00643292"/>
    <w:rsid w:val="00647834"/>
    <w:rsid w:val="00650BA4"/>
    <w:rsid w:val="00651531"/>
    <w:rsid w:val="006530A8"/>
    <w:rsid w:val="0065508A"/>
    <w:rsid w:val="00656372"/>
    <w:rsid w:val="00656F77"/>
    <w:rsid w:val="00660901"/>
    <w:rsid w:val="006623E7"/>
    <w:rsid w:val="00662B80"/>
    <w:rsid w:val="006630FB"/>
    <w:rsid w:val="00666947"/>
    <w:rsid w:val="006702D6"/>
    <w:rsid w:val="006727FD"/>
    <w:rsid w:val="00674ED6"/>
    <w:rsid w:val="006768DE"/>
    <w:rsid w:val="006779C7"/>
    <w:rsid w:val="00677B6A"/>
    <w:rsid w:val="00680534"/>
    <w:rsid w:val="00683522"/>
    <w:rsid w:val="00684264"/>
    <w:rsid w:val="006852C7"/>
    <w:rsid w:val="00687328"/>
    <w:rsid w:val="00687601"/>
    <w:rsid w:val="006A1C9A"/>
    <w:rsid w:val="006A1E18"/>
    <w:rsid w:val="006A2C78"/>
    <w:rsid w:val="006A6E85"/>
    <w:rsid w:val="006A7948"/>
    <w:rsid w:val="006B0DEC"/>
    <w:rsid w:val="006B14D3"/>
    <w:rsid w:val="006B2BAB"/>
    <w:rsid w:val="006B5458"/>
    <w:rsid w:val="006B5913"/>
    <w:rsid w:val="006B5CCC"/>
    <w:rsid w:val="006B68A2"/>
    <w:rsid w:val="006B6B14"/>
    <w:rsid w:val="006B7FBC"/>
    <w:rsid w:val="006C019F"/>
    <w:rsid w:val="006C1727"/>
    <w:rsid w:val="006C2DD9"/>
    <w:rsid w:val="006C32FD"/>
    <w:rsid w:val="006C363D"/>
    <w:rsid w:val="006D0E4B"/>
    <w:rsid w:val="006D0FCC"/>
    <w:rsid w:val="006D140E"/>
    <w:rsid w:val="006D4F00"/>
    <w:rsid w:val="006D5E81"/>
    <w:rsid w:val="006D7A91"/>
    <w:rsid w:val="006E0D57"/>
    <w:rsid w:val="006E133D"/>
    <w:rsid w:val="006E2367"/>
    <w:rsid w:val="006E40CF"/>
    <w:rsid w:val="006E4F03"/>
    <w:rsid w:val="006E67F9"/>
    <w:rsid w:val="006F1A22"/>
    <w:rsid w:val="006F2564"/>
    <w:rsid w:val="006F2A14"/>
    <w:rsid w:val="006F6061"/>
    <w:rsid w:val="006F7903"/>
    <w:rsid w:val="006F7E21"/>
    <w:rsid w:val="007021DE"/>
    <w:rsid w:val="0070410D"/>
    <w:rsid w:val="0070616B"/>
    <w:rsid w:val="00706FDA"/>
    <w:rsid w:val="00711591"/>
    <w:rsid w:val="00711F9A"/>
    <w:rsid w:val="00713810"/>
    <w:rsid w:val="00714EE3"/>
    <w:rsid w:val="007159D3"/>
    <w:rsid w:val="007162CD"/>
    <w:rsid w:val="00717150"/>
    <w:rsid w:val="00717FAD"/>
    <w:rsid w:val="00721541"/>
    <w:rsid w:val="0072230F"/>
    <w:rsid w:val="00722D14"/>
    <w:rsid w:val="00723023"/>
    <w:rsid w:val="007231B3"/>
    <w:rsid w:val="00723D59"/>
    <w:rsid w:val="00727CC8"/>
    <w:rsid w:val="007303A5"/>
    <w:rsid w:val="00730B3E"/>
    <w:rsid w:val="00731D4B"/>
    <w:rsid w:val="0073420B"/>
    <w:rsid w:val="007350A2"/>
    <w:rsid w:val="007357BE"/>
    <w:rsid w:val="0074760E"/>
    <w:rsid w:val="0074777E"/>
    <w:rsid w:val="00754ABA"/>
    <w:rsid w:val="00757A01"/>
    <w:rsid w:val="00760F9F"/>
    <w:rsid w:val="00767164"/>
    <w:rsid w:val="007715DA"/>
    <w:rsid w:val="00772373"/>
    <w:rsid w:val="00777EAF"/>
    <w:rsid w:val="00781142"/>
    <w:rsid w:val="007839EF"/>
    <w:rsid w:val="007866F7"/>
    <w:rsid w:val="00795440"/>
    <w:rsid w:val="007964D1"/>
    <w:rsid w:val="00796DB5"/>
    <w:rsid w:val="007A1546"/>
    <w:rsid w:val="007A228C"/>
    <w:rsid w:val="007A31F6"/>
    <w:rsid w:val="007A368E"/>
    <w:rsid w:val="007A4D12"/>
    <w:rsid w:val="007A5868"/>
    <w:rsid w:val="007A6C01"/>
    <w:rsid w:val="007A6C88"/>
    <w:rsid w:val="007B0449"/>
    <w:rsid w:val="007B04CE"/>
    <w:rsid w:val="007B1023"/>
    <w:rsid w:val="007B2BC5"/>
    <w:rsid w:val="007B3D87"/>
    <w:rsid w:val="007B4023"/>
    <w:rsid w:val="007B598C"/>
    <w:rsid w:val="007B6871"/>
    <w:rsid w:val="007C0C02"/>
    <w:rsid w:val="007C15FB"/>
    <w:rsid w:val="007C1C13"/>
    <w:rsid w:val="007C1E9B"/>
    <w:rsid w:val="007C3640"/>
    <w:rsid w:val="007C3D33"/>
    <w:rsid w:val="007C4332"/>
    <w:rsid w:val="007D12F4"/>
    <w:rsid w:val="007D294A"/>
    <w:rsid w:val="007D47D2"/>
    <w:rsid w:val="007D4951"/>
    <w:rsid w:val="007D6463"/>
    <w:rsid w:val="007D69F8"/>
    <w:rsid w:val="007D6EC0"/>
    <w:rsid w:val="007D7E1D"/>
    <w:rsid w:val="007E1D04"/>
    <w:rsid w:val="007E36A5"/>
    <w:rsid w:val="007F2E1B"/>
    <w:rsid w:val="007F33CA"/>
    <w:rsid w:val="007F612E"/>
    <w:rsid w:val="007F616E"/>
    <w:rsid w:val="007F7E73"/>
    <w:rsid w:val="008005A2"/>
    <w:rsid w:val="008012FD"/>
    <w:rsid w:val="00802265"/>
    <w:rsid w:val="00803C6C"/>
    <w:rsid w:val="00804CC3"/>
    <w:rsid w:val="008063BA"/>
    <w:rsid w:val="00810F2D"/>
    <w:rsid w:val="0081133E"/>
    <w:rsid w:val="00811671"/>
    <w:rsid w:val="0081177D"/>
    <w:rsid w:val="008130E9"/>
    <w:rsid w:val="00813B1D"/>
    <w:rsid w:val="00814B7A"/>
    <w:rsid w:val="00815B9D"/>
    <w:rsid w:val="008175CF"/>
    <w:rsid w:val="00826141"/>
    <w:rsid w:val="008334B7"/>
    <w:rsid w:val="008339E0"/>
    <w:rsid w:val="00834E55"/>
    <w:rsid w:val="0084077C"/>
    <w:rsid w:val="0084454D"/>
    <w:rsid w:val="00860517"/>
    <w:rsid w:val="00861A68"/>
    <w:rsid w:val="00863230"/>
    <w:rsid w:val="0086398A"/>
    <w:rsid w:val="00863F97"/>
    <w:rsid w:val="00864252"/>
    <w:rsid w:val="00864A49"/>
    <w:rsid w:val="00866C21"/>
    <w:rsid w:val="00870C8D"/>
    <w:rsid w:val="008717D8"/>
    <w:rsid w:val="0087215C"/>
    <w:rsid w:val="00875272"/>
    <w:rsid w:val="00880DA1"/>
    <w:rsid w:val="00884566"/>
    <w:rsid w:val="008875FE"/>
    <w:rsid w:val="00887F8E"/>
    <w:rsid w:val="0089151C"/>
    <w:rsid w:val="008936F5"/>
    <w:rsid w:val="00895990"/>
    <w:rsid w:val="00896234"/>
    <w:rsid w:val="00897E43"/>
    <w:rsid w:val="00897FDD"/>
    <w:rsid w:val="008A1C15"/>
    <w:rsid w:val="008A473C"/>
    <w:rsid w:val="008A4E45"/>
    <w:rsid w:val="008A60E1"/>
    <w:rsid w:val="008B16A8"/>
    <w:rsid w:val="008B1B93"/>
    <w:rsid w:val="008B493C"/>
    <w:rsid w:val="008B5BB6"/>
    <w:rsid w:val="008B5D53"/>
    <w:rsid w:val="008B7D12"/>
    <w:rsid w:val="008B7D1F"/>
    <w:rsid w:val="008C1D25"/>
    <w:rsid w:val="008C4731"/>
    <w:rsid w:val="008C5153"/>
    <w:rsid w:val="008C5738"/>
    <w:rsid w:val="008C736A"/>
    <w:rsid w:val="008C7EAD"/>
    <w:rsid w:val="008D120A"/>
    <w:rsid w:val="008D1471"/>
    <w:rsid w:val="008D240B"/>
    <w:rsid w:val="008D2BCE"/>
    <w:rsid w:val="008D4027"/>
    <w:rsid w:val="008D4901"/>
    <w:rsid w:val="008D5E32"/>
    <w:rsid w:val="008D6152"/>
    <w:rsid w:val="008D72C6"/>
    <w:rsid w:val="008E50C1"/>
    <w:rsid w:val="008F0F81"/>
    <w:rsid w:val="008F3CF7"/>
    <w:rsid w:val="008F7314"/>
    <w:rsid w:val="00903438"/>
    <w:rsid w:val="00905901"/>
    <w:rsid w:val="009108A2"/>
    <w:rsid w:val="00912D2C"/>
    <w:rsid w:val="00913140"/>
    <w:rsid w:val="00921064"/>
    <w:rsid w:val="00922BCF"/>
    <w:rsid w:val="00923540"/>
    <w:rsid w:val="00923669"/>
    <w:rsid w:val="00924915"/>
    <w:rsid w:val="00924B26"/>
    <w:rsid w:val="00926767"/>
    <w:rsid w:val="00927701"/>
    <w:rsid w:val="00931D86"/>
    <w:rsid w:val="009328F2"/>
    <w:rsid w:val="009361D5"/>
    <w:rsid w:val="00936941"/>
    <w:rsid w:val="009374A6"/>
    <w:rsid w:val="00937738"/>
    <w:rsid w:val="00940DBB"/>
    <w:rsid w:val="00941840"/>
    <w:rsid w:val="00943014"/>
    <w:rsid w:val="00943069"/>
    <w:rsid w:val="0094377F"/>
    <w:rsid w:val="00945DE5"/>
    <w:rsid w:val="0094747F"/>
    <w:rsid w:val="009526DE"/>
    <w:rsid w:val="00952A41"/>
    <w:rsid w:val="00954356"/>
    <w:rsid w:val="0095464F"/>
    <w:rsid w:val="00955E70"/>
    <w:rsid w:val="00962EAA"/>
    <w:rsid w:val="009659F4"/>
    <w:rsid w:val="00970D60"/>
    <w:rsid w:val="009768BB"/>
    <w:rsid w:val="00976B17"/>
    <w:rsid w:val="00977A32"/>
    <w:rsid w:val="009805E1"/>
    <w:rsid w:val="0098347B"/>
    <w:rsid w:val="0098608C"/>
    <w:rsid w:val="00987549"/>
    <w:rsid w:val="00987B84"/>
    <w:rsid w:val="009931F2"/>
    <w:rsid w:val="00995613"/>
    <w:rsid w:val="00996381"/>
    <w:rsid w:val="009A0F1E"/>
    <w:rsid w:val="009A1FBA"/>
    <w:rsid w:val="009A5DE2"/>
    <w:rsid w:val="009A6723"/>
    <w:rsid w:val="009A7661"/>
    <w:rsid w:val="009A7ADC"/>
    <w:rsid w:val="009B1CB9"/>
    <w:rsid w:val="009B1D0E"/>
    <w:rsid w:val="009B4CDA"/>
    <w:rsid w:val="009B5E22"/>
    <w:rsid w:val="009C19B7"/>
    <w:rsid w:val="009C401F"/>
    <w:rsid w:val="009C4B6F"/>
    <w:rsid w:val="009C5803"/>
    <w:rsid w:val="009C69C6"/>
    <w:rsid w:val="009D104F"/>
    <w:rsid w:val="009D3547"/>
    <w:rsid w:val="009D7C51"/>
    <w:rsid w:val="009E23F9"/>
    <w:rsid w:val="009E750E"/>
    <w:rsid w:val="009E7F77"/>
    <w:rsid w:val="009F0EB3"/>
    <w:rsid w:val="009F1DE9"/>
    <w:rsid w:val="009F36BF"/>
    <w:rsid w:val="009F4FE1"/>
    <w:rsid w:val="009F512E"/>
    <w:rsid w:val="009F61F8"/>
    <w:rsid w:val="009F6706"/>
    <w:rsid w:val="00A01F06"/>
    <w:rsid w:val="00A02790"/>
    <w:rsid w:val="00A105FB"/>
    <w:rsid w:val="00A111B6"/>
    <w:rsid w:val="00A14B78"/>
    <w:rsid w:val="00A14B99"/>
    <w:rsid w:val="00A14DBB"/>
    <w:rsid w:val="00A16247"/>
    <w:rsid w:val="00A17F3D"/>
    <w:rsid w:val="00A20DFA"/>
    <w:rsid w:val="00A20FEF"/>
    <w:rsid w:val="00A22065"/>
    <w:rsid w:val="00A22969"/>
    <w:rsid w:val="00A25315"/>
    <w:rsid w:val="00A27D8D"/>
    <w:rsid w:val="00A30AF1"/>
    <w:rsid w:val="00A41AEA"/>
    <w:rsid w:val="00A42A99"/>
    <w:rsid w:val="00A42DFB"/>
    <w:rsid w:val="00A43DE6"/>
    <w:rsid w:val="00A47530"/>
    <w:rsid w:val="00A50578"/>
    <w:rsid w:val="00A5151A"/>
    <w:rsid w:val="00A5276D"/>
    <w:rsid w:val="00A52FE2"/>
    <w:rsid w:val="00A54775"/>
    <w:rsid w:val="00A56989"/>
    <w:rsid w:val="00A61620"/>
    <w:rsid w:val="00A62137"/>
    <w:rsid w:val="00A624FB"/>
    <w:rsid w:val="00A65807"/>
    <w:rsid w:val="00A65B0B"/>
    <w:rsid w:val="00A664C3"/>
    <w:rsid w:val="00A66790"/>
    <w:rsid w:val="00A66FA1"/>
    <w:rsid w:val="00A709EC"/>
    <w:rsid w:val="00A718A4"/>
    <w:rsid w:val="00A72D4F"/>
    <w:rsid w:val="00A7435A"/>
    <w:rsid w:val="00A77E4C"/>
    <w:rsid w:val="00A803FD"/>
    <w:rsid w:val="00A80DF0"/>
    <w:rsid w:val="00A823F6"/>
    <w:rsid w:val="00A852F9"/>
    <w:rsid w:val="00A8616E"/>
    <w:rsid w:val="00A86980"/>
    <w:rsid w:val="00A87EA6"/>
    <w:rsid w:val="00A91407"/>
    <w:rsid w:val="00A924D8"/>
    <w:rsid w:val="00A92663"/>
    <w:rsid w:val="00A93450"/>
    <w:rsid w:val="00A958F2"/>
    <w:rsid w:val="00AA0A89"/>
    <w:rsid w:val="00AA459C"/>
    <w:rsid w:val="00AA4C4E"/>
    <w:rsid w:val="00AB37F2"/>
    <w:rsid w:val="00AB38C4"/>
    <w:rsid w:val="00AB47B4"/>
    <w:rsid w:val="00AB7364"/>
    <w:rsid w:val="00AC01AA"/>
    <w:rsid w:val="00AC2B79"/>
    <w:rsid w:val="00AC3935"/>
    <w:rsid w:val="00AC4F72"/>
    <w:rsid w:val="00AC5577"/>
    <w:rsid w:val="00AC6F9C"/>
    <w:rsid w:val="00AD50AA"/>
    <w:rsid w:val="00AE3928"/>
    <w:rsid w:val="00AE6943"/>
    <w:rsid w:val="00AF0E47"/>
    <w:rsid w:val="00AF741A"/>
    <w:rsid w:val="00B00EE8"/>
    <w:rsid w:val="00B04161"/>
    <w:rsid w:val="00B056F9"/>
    <w:rsid w:val="00B072A7"/>
    <w:rsid w:val="00B075D2"/>
    <w:rsid w:val="00B10BA2"/>
    <w:rsid w:val="00B11E25"/>
    <w:rsid w:val="00B11E3D"/>
    <w:rsid w:val="00B13355"/>
    <w:rsid w:val="00B17E82"/>
    <w:rsid w:val="00B2133F"/>
    <w:rsid w:val="00B22F7F"/>
    <w:rsid w:val="00B26849"/>
    <w:rsid w:val="00B26ED2"/>
    <w:rsid w:val="00B305E5"/>
    <w:rsid w:val="00B30D40"/>
    <w:rsid w:val="00B329F9"/>
    <w:rsid w:val="00B32E11"/>
    <w:rsid w:val="00B33BD7"/>
    <w:rsid w:val="00B34B32"/>
    <w:rsid w:val="00B36044"/>
    <w:rsid w:val="00B37697"/>
    <w:rsid w:val="00B408C6"/>
    <w:rsid w:val="00B41FEA"/>
    <w:rsid w:val="00B46EDC"/>
    <w:rsid w:val="00B50DBB"/>
    <w:rsid w:val="00B50F2A"/>
    <w:rsid w:val="00B519B1"/>
    <w:rsid w:val="00B54B48"/>
    <w:rsid w:val="00B55263"/>
    <w:rsid w:val="00B55C26"/>
    <w:rsid w:val="00B55E56"/>
    <w:rsid w:val="00B575BA"/>
    <w:rsid w:val="00B57B72"/>
    <w:rsid w:val="00B632B0"/>
    <w:rsid w:val="00B66E16"/>
    <w:rsid w:val="00B676AD"/>
    <w:rsid w:val="00B67711"/>
    <w:rsid w:val="00B67F64"/>
    <w:rsid w:val="00B700B3"/>
    <w:rsid w:val="00B7184E"/>
    <w:rsid w:val="00B72F79"/>
    <w:rsid w:val="00B76429"/>
    <w:rsid w:val="00B80A62"/>
    <w:rsid w:val="00B81989"/>
    <w:rsid w:val="00B84E8E"/>
    <w:rsid w:val="00B85677"/>
    <w:rsid w:val="00B856C0"/>
    <w:rsid w:val="00B86702"/>
    <w:rsid w:val="00B87E0C"/>
    <w:rsid w:val="00B87FD8"/>
    <w:rsid w:val="00B956D4"/>
    <w:rsid w:val="00B97944"/>
    <w:rsid w:val="00B97FAE"/>
    <w:rsid w:val="00BA01ED"/>
    <w:rsid w:val="00BA0D38"/>
    <w:rsid w:val="00BA16BC"/>
    <w:rsid w:val="00BA19BA"/>
    <w:rsid w:val="00BA4D71"/>
    <w:rsid w:val="00BA7432"/>
    <w:rsid w:val="00BA7BEF"/>
    <w:rsid w:val="00BA7FBC"/>
    <w:rsid w:val="00BB0337"/>
    <w:rsid w:val="00BB1D64"/>
    <w:rsid w:val="00BB264B"/>
    <w:rsid w:val="00BB4680"/>
    <w:rsid w:val="00BC1AA0"/>
    <w:rsid w:val="00BC3080"/>
    <w:rsid w:val="00BC43B5"/>
    <w:rsid w:val="00BC49CD"/>
    <w:rsid w:val="00BC73F4"/>
    <w:rsid w:val="00BC7EB9"/>
    <w:rsid w:val="00BD2643"/>
    <w:rsid w:val="00BD32D3"/>
    <w:rsid w:val="00BD3DAB"/>
    <w:rsid w:val="00BD42C2"/>
    <w:rsid w:val="00BD4F1F"/>
    <w:rsid w:val="00BD6477"/>
    <w:rsid w:val="00BD6558"/>
    <w:rsid w:val="00BE08BF"/>
    <w:rsid w:val="00BE0B1C"/>
    <w:rsid w:val="00BE2B37"/>
    <w:rsid w:val="00BF3214"/>
    <w:rsid w:val="00BF59A9"/>
    <w:rsid w:val="00C010F7"/>
    <w:rsid w:val="00C02DB5"/>
    <w:rsid w:val="00C02F4A"/>
    <w:rsid w:val="00C03B20"/>
    <w:rsid w:val="00C05ED5"/>
    <w:rsid w:val="00C075AD"/>
    <w:rsid w:val="00C07B3E"/>
    <w:rsid w:val="00C135C7"/>
    <w:rsid w:val="00C13AA8"/>
    <w:rsid w:val="00C15867"/>
    <w:rsid w:val="00C17E66"/>
    <w:rsid w:val="00C2296D"/>
    <w:rsid w:val="00C23155"/>
    <w:rsid w:val="00C34F66"/>
    <w:rsid w:val="00C367C1"/>
    <w:rsid w:val="00C36F76"/>
    <w:rsid w:val="00C40A87"/>
    <w:rsid w:val="00C40C41"/>
    <w:rsid w:val="00C42B3C"/>
    <w:rsid w:val="00C43175"/>
    <w:rsid w:val="00C45885"/>
    <w:rsid w:val="00C47A83"/>
    <w:rsid w:val="00C50E07"/>
    <w:rsid w:val="00C50F22"/>
    <w:rsid w:val="00C556BC"/>
    <w:rsid w:val="00C57971"/>
    <w:rsid w:val="00C61376"/>
    <w:rsid w:val="00C618E8"/>
    <w:rsid w:val="00C61C86"/>
    <w:rsid w:val="00C64271"/>
    <w:rsid w:val="00C67906"/>
    <w:rsid w:val="00C7294D"/>
    <w:rsid w:val="00C72B6D"/>
    <w:rsid w:val="00C744A0"/>
    <w:rsid w:val="00C76BA4"/>
    <w:rsid w:val="00C779A4"/>
    <w:rsid w:val="00C80F90"/>
    <w:rsid w:val="00C81F99"/>
    <w:rsid w:val="00C82606"/>
    <w:rsid w:val="00C83A48"/>
    <w:rsid w:val="00C85865"/>
    <w:rsid w:val="00C85CD9"/>
    <w:rsid w:val="00C85E85"/>
    <w:rsid w:val="00C91899"/>
    <w:rsid w:val="00C92E70"/>
    <w:rsid w:val="00C93C1C"/>
    <w:rsid w:val="00C96CB3"/>
    <w:rsid w:val="00CA03ED"/>
    <w:rsid w:val="00CA16A3"/>
    <w:rsid w:val="00CA2EAE"/>
    <w:rsid w:val="00CA4451"/>
    <w:rsid w:val="00CA4AC1"/>
    <w:rsid w:val="00CA5789"/>
    <w:rsid w:val="00CA65CB"/>
    <w:rsid w:val="00CA6966"/>
    <w:rsid w:val="00CA753B"/>
    <w:rsid w:val="00CB0316"/>
    <w:rsid w:val="00CB0AF4"/>
    <w:rsid w:val="00CB0B11"/>
    <w:rsid w:val="00CB4425"/>
    <w:rsid w:val="00CB4677"/>
    <w:rsid w:val="00CB5354"/>
    <w:rsid w:val="00CB5CF8"/>
    <w:rsid w:val="00CC18D8"/>
    <w:rsid w:val="00CC31F7"/>
    <w:rsid w:val="00CC4E0D"/>
    <w:rsid w:val="00CC6A14"/>
    <w:rsid w:val="00CC6B27"/>
    <w:rsid w:val="00CC6E10"/>
    <w:rsid w:val="00CC70A3"/>
    <w:rsid w:val="00CD02F4"/>
    <w:rsid w:val="00CD0681"/>
    <w:rsid w:val="00CD24E8"/>
    <w:rsid w:val="00CD474E"/>
    <w:rsid w:val="00CD53C3"/>
    <w:rsid w:val="00CD574E"/>
    <w:rsid w:val="00CD5D65"/>
    <w:rsid w:val="00CE165F"/>
    <w:rsid w:val="00CE4C22"/>
    <w:rsid w:val="00CE53D1"/>
    <w:rsid w:val="00CE67EE"/>
    <w:rsid w:val="00CF15E2"/>
    <w:rsid w:val="00CF41EC"/>
    <w:rsid w:val="00CF5C2A"/>
    <w:rsid w:val="00CF5D04"/>
    <w:rsid w:val="00CF6727"/>
    <w:rsid w:val="00D003EA"/>
    <w:rsid w:val="00D0289E"/>
    <w:rsid w:val="00D03293"/>
    <w:rsid w:val="00D039B1"/>
    <w:rsid w:val="00D04DE4"/>
    <w:rsid w:val="00D05563"/>
    <w:rsid w:val="00D063F1"/>
    <w:rsid w:val="00D10D70"/>
    <w:rsid w:val="00D1176A"/>
    <w:rsid w:val="00D11F07"/>
    <w:rsid w:val="00D135D1"/>
    <w:rsid w:val="00D14F22"/>
    <w:rsid w:val="00D155ED"/>
    <w:rsid w:val="00D20A8C"/>
    <w:rsid w:val="00D21023"/>
    <w:rsid w:val="00D24723"/>
    <w:rsid w:val="00D31ECA"/>
    <w:rsid w:val="00D320F9"/>
    <w:rsid w:val="00D3262D"/>
    <w:rsid w:val="00D32B61"/>
    <w:rsid w:val="00D348A1"/>
    <w:rsid w:val="00D400DF"/>
    <w:rsid w:val="00D40113"/>
    <w:rsid w:val="00D42237"/>
    <w:rsid w:val="00D430E4"/>
    <w:rsid w:val="00D44A72"/>
    <w:rsid w:val="00D4718A"/>
    <w:rsid w:val="00D50D20"/>
    <w:rsid w:val="00D530E5"/>
    <w:rsid w:val="00D53947"/>
    <w:rsid w:val="00D563A6"/>
    <w:rsid w:val="00D57007"/>
    <w:rsid w:val="00D57918"/>
    <w:rsid w:val="00D60602"/>
    <w:rsid w:val="00D61F01"/>
    <w:rsid w:val="00D620FF"/>
    <w:rsid w:val="00D63050"/>
    <w:rsid w:val="00D636C1"/>
    <w:rsid w:val="00D64CFD"/>
    <w:rsid w:val="00D65A05"/>
    <w:rsid w:val="00D666B3"/>
    <w:rsid w:val="00D67F6C"/>
    <w:rsid w:val="00D71DDE"/>
    <w:rsid w:val="00D731B5"/>
    <w:rsid w:val="00D73DC6"/>
    <w:rsid w:val="00D74C1A"/>
    <w:rsid w:val="00D75205"/>
    <w:rsid w:val="00D754C1"/>
    <w:rsid w:val="00D77A35"/>
    <w:rsid w:val="00D77FAD"/>
    <w:rsid w:val="00D815BD"/>
    <w:rsid w:val="00D81B3E"/>
    <w:rsid w:val="00D82F3E"/>
    <w:rsid w:val="00D84455"/>
    <w:rsid w:val="00D862F3"/>
    <w:rsid w:val="00D87339"/>
    <w:rsid w:val="00D90C70"/>
    <w:rsid w:val="00D90E49"/>
    <w:rsid w:val="00D914B8"/>
    <w:rsid w:val="00D91E0B"/>
    <w:rsid w:val="00D92A73"/>
    <w:rsid w:val="00D937B7"/>
    <w:rsid w:val="00DA166F"/>
    <w:rsid w:val="00DA2384"/>
    <w:rsid w:val="00DA3E14"/>
    <w:rsid w:val="00DA4E93"/>
    <w:rsid w:val="00DB12FF"/>
    <w:rsid w:val="00DB4AF5"/>
    <w:rsid w:val="00DB4F9E"/>
    <w:rsid w:val="00DB5BA0"/>
    <w:rsid w:val="00DC6A10"/>
    <w:rsid w:val="00DC6AC3"/>
    <w:rsid w:val="00DC6DCB"/>
    <w:rsid w:val="00DD0765"/>
    <w:rsid w:val="00DD21D7"/>
    <w:rsid w:val="00DD3BD8"/>
    <w:rsid w:val="00DD5BD9"/>
    <w:rsid w:val="00DD6195"/>
    <w:rsid w:val="00DD727E"/>
    <w:rsid w:val="00DD7458"/>
    <w:rsid w:val="00DD7B38"/>
    <w:rsid w:val="00DE13F5"/>
    <w:rsid w:val="00DE1D5E"/>
    <w:rsid w:val="00DE3196"/>
    <w:rsid w:val="00DE3383"/>
    <w:rsid w:val="00DE3F39"/>
    <w:rsid w:val="00DE657E"/>
    <w:rsid w:val="00DE7E08"/>
    <w:rsid w:val="00DF1D0F"/>
    <w:rsid w:val="00DF4704"/>
    <w:rsid w:val="00DF4D84"/>
    <w:rsid w:val="00DF5007"/>
    <w:rsid w:val="00DF61A6"/>
    <w:rsid w:val="00DF65E3"/>
    <w:rsid w:val="00E0018D"/>
    <w:rsid w:val="00E00CBC"/>
    <w:rsid w:val="00E02497"/>
    <w:rsid w:val="00E024AA"/>
    <w:rsid w:val="00E06673"/>
    <w:rsid w:val="00E06A72"/>
    <w:rsid w:val="00E079F6"/>
    <w:rsid w:val="00E125FB"/>
    <w:rsid w:val="00E1693E"/>
    <w:rsid w:val="00E16D12"/>
    <w:rsid w:val="00E250F1"/>
    <w:rsid w:val="00E2539F"/>
    <w:rsid w:val="00E25D79"/>
    <w:rsid w:val="00E273F2"/>
    <w:rsid w:val="00E27FEE"/>
    <w:rsid w:val="00E3330B"/>
    <w:rsid w:val="00E334A9"/>
    <w:rsid w:val="00E33722"/>
    <w:rsid w:val="00E33773"/>
    <w:rsid w:val="00E3550D"/>
    <w:rsid w:val="00E35DE9"/>
    <w:rsid w:val="00E3796C"/>
    <w:rsid w:val="00E50035"/>
    <w:rsid w:val="00E614E0"/>
    <w:rsid w:val="00E63282"/>
    <w:rsid w:val="00E662A6"/>
    <w:rsid w:val="00E72900"/>
    <w:rsid w:val="00E72E03"/>
    <w:rsid w:val="00E73342"/>
    <w:rsid w:val="00E73F7F"/>
    <w:rsid w:val="00E741F5"/>
    <w:rsid w:val="00E76170"/>
    <w:rsid w:val="00E77EE5"/>
    <w:rsid w:val="00E80FB1"/>
    <w:rsid w:val="00E82BB2"/>
    <w:rsid w:val="00E82C0A"/>
    <w:rsid w:val="00E86887"/>
    <w:rsid w:val="00E87785"/>
    <w:rsid w:val="00E914AB"/>
    <w:rsid w:val="00E92EE4"/>
    <w:rsid w:val="00E93E3C"/>
    <w:rsid w:val="00EA16EA"/>
    <w:rsid w:val="00EA2887"/>
    <w:rsid w:val="00EA429F"/>
    <w:rsid w:val="00EA4F9E"/>
    <w:rsid w:val="00EA6571"/>
    <w:rsid w:val="00EA6D3B"/>
    <w:rsid w:val="00EB00AD"/>
    <w:rsid w:val="00EB03E7"/>
    <w:rsid w:val="00EB136C"/>
    <w:rsid w:val="00EB1C6F"/>
    <w:rsid w:val="00EB215D"/>
    <w:rsid w:val="00EB2280"/>
    <w:rsid w:val="00EB2F5D"/>
    <w:rsid w:val="00EB3362"/>
    <w:rsid w:val="00EB480E"/>
    <w:rsid w:val="00EB5EC6"/>
    <w:rsid w:val="00EB6211"/>
    <w:rsid w:val="00EB6E5D"/>
    <w:rsid w:val="00EB7FC9"/>
    <w:rsid w:val="00EC29A6"/>
    <w:rsid w:val="00EC2FB3"/>
    <w:rsid w:val="00EC3333"/>
    <w:rsid w:val="00EC38A7"/>
    <w:rsid w:val="00ED63C3"/>
    <w:rsid w:val="00ED7137"/>
    <w:rsid w:val="00EE702D"/>
    <w:rsid w:val="00EF4A7D"/>
    <w:rsid w:val="00EF65CE"/>
    <w:rsid w:val="00F01833"/>
    <w:rsid w:val="00F01F89"/>
    <w:rsid w:val="00F036EB"/>
    <w:rsid w:val="00F04075"/>
    <w:rsid w:val="00F04EEC"/>
    <w:rsid w:val="00F06A09"/>
    <w:rsid w:val="00F07818"/>
    <w:rsid w:val="00F1248E"/>
    <w:rsid w:val="00F172AC"/>
    <w:rsid w:val="00F21088"/>
    <w:rsid w:val="00F2351E"/>
    <w:rsid w:val="00F3023D"/>
    <w:rsid w:val="00F32350"/>
    <w:rsid w:val="00F327E7"/>
    <w:rsid w:val="00F32A5F"/>
    <w:rsid w:val="00F3307B"/>
    <w:rsid w:val="00F333A0"/>
    <w:rsid w:val="00F35746"/>
    <w:rsid w:val="00F36371"/>
    <w:rsid w:val="00F40DC3"/>
    <w:rsid w:val="00F447C7"/>
    <w:rsid w:val="00F44B98"/>
    <w:rsid w:val="00F45A91"/>
    <w:rsid w:val="00F45EC6"/>
    <w:rsid w:val="00F46CDF"/>
    <w:rsid w:val="00F5160F"/>
    <w:rsid w:val="00F52175"/>
    <w:rsid w:val="00F522D9"/>
    <w:rsid w:val="00F52618"/>
    <w:rsid w:val="00F554A9"/>
    <w:rsid w:val="00F562D1"/>
    <w:rsid w:val="00F56C7E"/>
    <w:rsid w:val="00F56F79"/>
    <w:rsid w:val="00F608B2"/>
    <w:rsid w:val="00F61780"/>
    <w:rsid w:val="00F61978"/>
    <w:rsid w:val="00F64810"/>
    <w:rsid w:val="00F66015"/>
    <w:rsid w:val="00F66C1E"/>
    <w:rsid w:val="00F671F8"/>
    <w:rsid w:val="00F67DDA"/>
    <w:rsid w:val="00F716FD"/>
    <w:rsid w:val="00F721B6"/>
    <w:rsid w:val="00F724BC"/>
    <w:rsid w:val="00F73ACF"/>
    <w:rsid w:val="00F76F48"/>
    <w:rsid w:val="00F771B8"/>
    <w:rsid w:val="00F80355"/>
    <w:rsid w:val="00F80482"/>
    <w:rsid w:val="00F80727"/>
    <w:rsid w:val="00F81DF5"/>
    <w:rsid w:val="00F85D77"/>
    <w:rsid w:val="00F866D1"/>
    <w:rsid w:val="00F90B60"/>
    <w:rsid w:val="00F91EAB"/>
    <w:rsid w:val="00F975DB"/>
    <w:rsid w:val="00FA31C1"/>
    <w:rsid w:val="00FB0C81"/>
    <w:rsid w:val="00FB0CCD"/>
    <w:rsid w:val="00FB1107"/>
    <w:rsid w:val="00FB12AD"/>
    <w:rsid w:val="00FB3E02"/>
    <w:rsid w:val="00FB401D"/>
    <w:rsid w:val="00FB5DF8"/>
    <w:rsid w:val="00FB70FB"/>
    <w:rsid w:val="00FB72ED"/>
    <w:rsid w:val="00FB765F"/>
    <w:rsid w:val="00FC18CC"/>
    <w:rsid w:val="00FC2200"/>
    <w:rsid w:val="00FC2540"/>
    <w:rsid w:val="00FC365B"/>
    <w:rsid w:val="00FC3FC5"/>
    <w:rsid w:val="00FC7502"/>
    <w:rsid w:val="00FD317C"/>
    <w:rsid w:val="00FD5683"/>
    <w:rsid w:val="00FE3065"/>
    <w:rsid w:val="00FE3364"/>
    <w:rsid w:val="00FE4373"/>
    <w:rsid w:val="00FE4E22"/>
    <w:rsid w:val="00FE4F98"/>
    <w:rsid w:val="00FE5938"/>
    <w:rsid w:val="00FE669A"/>
    <w:rsid w:val="00FF0204"/>
    <w:rsid w:val="00FF08DF"/>
    <w:rsid w:val="00FF0B73"/>
    <w:rsid w:val="00FF1B8E"/>
    <w:rsid w:val="00FF3AED"/>
    <w:rsid w:val="00FF58F6"/>
    <w:rsid w:val="0DB942FB"/>
    <w:rsid w:val="15B4F69F"/>
    <w:rsid w:val="16F3B10C"/>
    <w:rsid w:val="1A713B76"/>
    <w:rsid w:val="21E0E908"/>
    <w:rsid w:val="25764735"/>
    <w:rsid w:val="3873D3A3"/>
    <w:rsid w:val="39D33A7A"/>
    <w:rsid w:val="484B1E7B"/>
    <w:rsid w:val="6535D93E"/>
    <w:rsid w:val="69967F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BFCFD"/>
  <w15:docId w15:val="{285FAD0E-3A9C-437E-AD62-BB2D2BFB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styleId="Hyperlink">
    <w:name w:val="Hyperlink"/>
    <w:basedOn w:val="DefaultParagraphFont"/>
    <w:uiPriority w:val="99"/>
    <w:unhideWhenUsed/>
    <w:rsid w:val="00C67906"/>
    <w:rPr>
      <w:color w:val="0000FF" w:themeColor="hyperlink"/>
      <w:u w:val="single"/>
    </w:rPr>
  </w:style>
  <w:style w:type="paragraph" w:styleId="NormalWeb">
    <w:name w:val="Normal (Web)"/>
    <w:basedOn w:val="Normal"/>
    <w:uiPriority w:val="99"/>
    <w:semiHidden/>
    <w:unhideWhenUsed/>
    <w:rsid w:val="00617E98"/>
    <w:pPr>
      <w:spacing w:before="100" w:beforeAutospacing="1" w:after="100" w:afterAutospacing="1"/>
      <w:jc w:val="left"/>
    </w:pPr>
    <w:rPr>
      <w:sz w:val="24"/>
      <w:szCs w:val="24"/>
      <w:lang w:eastAsia="en-CA"/>
    </w:rPr>
  </w:style>
  <w:style w:type="character" w:styleId="UnresolvedMention">
    <w:name w:val="Unresolved Mention"/>
    <w:basedOn w:val="DefaultParagraphFont"/>
    <w:uiPriority w:val="99"/>
    <w:semiHidden/>
    <w:unhideWhenUsed/>
    <w:rsid w:val="00346C39"/>
    <w:rPr>
      <w:color w:val="605E5C"/>
      <w:shd w:val="clear" w:color="auto" w:fill="E1DFDD"/>
    </w:rPr>
  </w:style>
  <w:style w:type="paragraph" w:styleId="Revision">
    <w:name w:val="Revision"/>
    <w:hidden/>
    <w:uiPriority w:val="99"/>
    <w:semiHidden/>
    <w:rsid w:val="00562D7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423183">
      <w:bodyDiv w:val="1"/>
      <w:marLeft w:val="0"/>
      <w:marRight w:val="0"/>
      <w:marTop w:val="0"/>
      <w:marBottom w:val="0"/>
      <w:divBdr>
        <w:top w:val="none" w:sz="0" w:space="0" w:color="auto"/>
        <w:left w:val="none" w:sz="0" w:space="0" w:color="auto"/>
        <w:bottom w:val="none" w:sz="0" w:space="0" w:color="auto"/>
        <w:right w:val="none" w:sz="0" w:space="0" w:color="auto"/>
      </w:divBdr>
      <w:divsChild>
        <w:div w:id="1972661587">
          <w:marLeft w:val="0"/>
          <w:marRight w:val="0"/>
          <w:marTop w:val="0"/>
          <w:marBottom w:val="0"/>
          <w:divBdr>
            <w:top w:val="none" w:sz="0" w:space="0" w:color="auto"/>
            <w:left w:val="none" w:sz="0" w:space="0" w:color="auto"/>
            <w:bottom w:val="none" w:sz="0" w:space="0" w:color="auto"/>
            <w:right w:val="none" w:sz="0" w:space="0" w:color="auto"/>
          </w:divBdr>
        </w:div>
        <w:div w:id="330564186">
          <w:marLeft w:val="0"/>
          <w:marRight w:val="0"/>
          <w:marTop w:val="0"/>
          <w:marBottom w:val="0"/>
          <w:divBdr>
            <w:top w:val="none" w:sz="0" w:space="0" w:color="auto"/>
            <w:left w:val="none" w:sz="0" w:space="0" w:color="auto"/>
            <w:bottom w:val="none" w:sz="0" w:space="0" w:color="auto"/>
            <w:right w:val="none" w:sz="0" w:space="0" w:color="auto"/>
          </w:divBdr>
          <w:divsChild>
            <w:div w:id="597637775">
              <w:marLeft w:val="0"/>
              <w:marRight w:val="0"/>
              <w:marTop w:val="30"/>
              <w:marBottom w:val="30"/>
              <w:divBdr>
                <w:top w:val="none" w:sz="0" w:space="0" w:color="auto"/>
                <w:left w:val="none" w:sz="0" w:space="0" w:color="auto"/>
                <w:bottom w:val="none" w:sz="0" w:space="0" w:color="auto"/>
                <w:right w:val="none" w:sz="0" w:space="0" w:color="auto"/>
              </w:divBdr>
              <w:divsChild>
                <w:div w:id="678236645">
                  <w:marLeft w:val="0"/>
                  <w:marRight w:val="0"/>
                  <w:marTop w:val="0"/>
                  <w:marBottom w:val="0"/>
                  <w:divBdr>
                    <w:top w:val="none" w:sz="0" w:space="0" w:color="auto"/>
                    <w:left w:val="none" w:sz="0" w:space="0" w:color="auto"/>
                    <w:bottom w:val="none" w:sz="0" w:space="0" w:color="auto"/>
                    <w:right w:val="none" w:sz="0" w:space="0" w:color="auto"/>
                  </w:divBdr>
                  <w:divsChild>
                    <w:div w:id="832917617">
                      <w:marLeft w:val="0"/>
                      <w:marRight w:val="0"/>
                      <w:marTop w:val="0"/>
                      <w:marBottom w:val="0"/>
                      <w:divBdr>
                        <w:top w:val="none" w:sz="0" w:space="0" w:color="auto"/>
                        <w:left w:val="none" w:sz="0" w:space="0" w:color="auto"/>
                        <w:bottom w:val="none" w:sz="0" w:space="0" w:color="auto"/>
                        <w:right w:val="none" w:sz="0" w:space="0" w:color="auto"/>
                      </w:divBdr>
                    </w:div>
                  </w:divsChild>
                </w:div>
                <w:div w:id="1014922219">
                  <w:marLeft w:val="0"/>
                  <w:marRight w:val="0"/>
                  <w:marTop w:val="0"/>
                  <w:marBottom w:val="0"/>
                  <w:divBdr>
                    <w:top w:val="none" w:sz="0" w:space="0" w:color="auto"/>
                    <w:left w:val="none" w:sz="0" w:space="0" w:color="auto"/>
                    <w:bottom w:val="none" w:sz="0" w:space="0" w:color="auto"/>
                    <w:right w:val="none" w:sz="0" w:space="0" w:color="auto"/>
                  </w:divBdr>
                  <w:divsChild>
                    <w:div w:id="22680726">
                      <w:marLeft w:val="0"/>
                      <w:marRight w:val="0"/>
                      <w:marTop w:val="0"/>
                      <w:marBottom w:val="0"/>
                      <w:divBdr>
                        <w:top w:val="none" w:sz="0" w:space="0" w:color="auto"/>
                        <w:left w:val="none" w:sz="0" w:space="0" w:color="auto"/>
                        <w:bottom w:val="none" w:sz="0" w:space="0" w:color="auto"/>
                        <w:right w:val="none" w:sz="0" w:space="0" w:color="auto"/>
                      </w:divBdr>
                    </w:div>
                  </w:divsChild>
                </w:div>
                <w:div w:id="1709991150">
                  <w:marLeft w:val="0"/>
                  <w:marRight w:val="0"/>
                  <w:marTop w:val="0"/>
                  <w:marBottom w:val="0"/>
                  <w:divBdr>
                    <w:top w:val="none" w:sz="0" w:space="0" w:color="auto"/>
                    <w:left w:val="none" w:sz="0" w:space="0" w:color="auto"/>
                    <w:bottom w:val="none" w:sz="0" w:space="0" w:color="auto"/>
                    <w:right w:val="none" w:sz="0" w:space="0" w:color="auto"/>
                  </w:divBdr>
                  <w:divsChild>
                    <w:div w:id="159809521">
                      <w:marLeft w:val="0"/>
                      <w:marRight w:val="0"/>
                      <w:marTop w:val="0"/>
                      <w:marBottom w:val="0"/>
                      <w:divBdr>
                        <w:top w:val="none" w:sz="0" w:space="0" w:color="auto"/>
                        <w:left w:val="none" w:sz="0" w:space="0" w:color="auto"/>
                        <w:bottom w:val="none" w:sz="0" w:space="0" w:color="auto"/>
                        <w:right w:val="none" w:sz="0" w:space="0" w:color="auto"/>
                      </w:divBdr>
                    </w:div>
                  </w:divsChild>
                </w:div>
                <w:div w:id="561136971">
                  <w:marLeft w:val="0"/>
                  <w:marRight w:val="0"/>
                  <w:marTop w:val="0"/>
                  <w:marBottom w:val="0"/>
                  <w:divBdr>
                    <w:top w:val="none" w:sz="0" w:space="0" w:color="auto"/>
                    <w:left w:val="none" w:sz="0" w:space="0" w:color="auto"/>
                    <w:bottom w:val="none" w:sz="0" w:space="0" w:color="auto"/>
                    <w:right w:val="none" w:sz="0" w:space="0" w:color="auto"/>
                  </w:divBdr>
                  <w:divsChild>
                    <w:div w:id="748385826">
                      <w:marLeft w:val="0"/>
                      <w:marRight w:val="0"/>
                      <w:marTop w:val="0"/>
                      <w:marBottom w:val="0"/>
                      <w:divBdr>
                        <w:top w:val="none" w:sz="0" w:space="0" w:color="auto"/>
                        <w:left w:val="none" w:sz="0" w:space="0" w:color="auto"/>
                        <w:bottom w:val="none" w:sz="0" w:space="0" w:color="auto"/>
                        <w:right w:val="none" w:sz="0" w:space="0" w:color="auto"/>
                      </w:divBdr>
                    </w:div>
                  </w:divsChild>
                </w:div>
                <w:div w:id="58020685">
                  <w:marLeft w:val="0"/>
                  <w:marRight w:val="0"/>
                  <w:marTop w:val="0"/>
                  <w:marBottom w:val="0"/>
                  <w:divBdr>
                    <w:top w:val="none" w:sz="0" w:space="0" w:color="auto"/>
                    <w:left w:val="none" w:sz="0" w:space="0" w:color="auto"/>
                    <w:bottom w:val="none" w:sz="0" w:space="0" w:color="auto"/>
                    <w:right w:val="none" w:sz="0" w:space="0" w:color="auto"/>
                  </w:divBdr>
                  <w:divsChild>
                    <w:div w:id="1607618212">
                      <w:marLeft w:val="0"/>
                      <w:marRight w:val="0"/>
                      <w:marTop w:val="0"/>
                      <w:marBottom w:val="0"/>
                      <w:divBdr>
                        <w:top w:val="none" w:sz="0" w:space="0" w:color="auto"/>
                        <w:left w:val="none" w:sz="0" w:space="0" w:color="auto"/>
                        <w:bottom w:val="none" w:sz="0" w:space="0" w:color="auto"/>
                        <w:right w:val="none" w:sz="0" w:space="0" w:color="auto"/>
                      </w:divBdr>
                    </w:div>
                  </w:divsChild>
                </w:div>
                <w:div w:id="660157499">
                  <w:marLeft w:val="0"/>
                  <w:marRight w:val="0"/>
                  <w:marTop w:val="0"/>
                  <w:marBottom w:val="0"/>
                  <w:divBdr>
                    <w:top w:val="none" w:sz="0" w:space="0" w:color="auto"/>
                    <w:left w:val="none" w:sz="0" w:space="0" w:color="auto"/>
                    <w:bottom w:val="none" w:sz="0" w:space="0" w:color="auto"/>
                    <w:right w:val="none" w:sz="0" w:space="0" w:color="auto"/>
                  </w:divBdr>
                  <w:divsChild>
                    <w:div w:id="1065100839">
                      <w:marLeft w:val="0"/>
                      <w:marRight w:val="0"/>
                      <w:marTop w:val="0"/>
                      <w:marBottom w:val="0"/>
                      <w:divBdr>
                        <w:top w:val="none" w:sz="0" w:space="0" w:color="auto"/>
                        <w:left w:val="none" w:sz="0" w:space="0" w:color="auto"/>
                        <w:bottom w:val="none" w:sz="0" w:space="0" w:color="auto"/>
                        <w:right w:val="none" w:sz="0" w:space="0" w:color="auto"/>
                      </w:divBdr>
                    </w:div>
                  </w:divsChild>
                </w:div>
                <w:div w:id="973632127">
                  <w:marLeft w:val="0"/>
                  <w:marRight w:val="0"/>
                  <w:marTop w:val="0"/>
                  <w:marBottom w:val="0"/>
                  <w:divBdr>
                    <w:top w:val="none" w:sz="0" w:space="0" w:color="auto"/>
                    <w:left w:val="none" w:sz="0" w:space="0" w:color="auto"/>
                    <w:bottom w:val="none" w:sz="0" w:space="0" w:color="auto"/>
                    <w:right w:val="none" w:sz="0" w:space="0" w:color="auto"/>
                  </w:divBdr>
                  <w:divsChild>
                    <w:div w:id="1246260236">
                      <w:marLeft w:val="0"/>
                      <w:marRight w:val="0"/>
                      <w:marTop w:val="0"/>
                      <w:marBottom w:val="0"/>
                      <w:divBdr>
                        <w:top w:val="none" w:sz="0" w:space="0" w:color="auto"/>
                        <w:left w:val="none" w:sz="0" w:space="0" w:color="auto"/>
                        <w:bottom w:val="none" w:sz="0" w:space="0" w:color="auto"/>
                        <w:right w:val="none" w:sz="0" w:space="0" w:color="auto"/>
                      </w:divBdr>
                    </w:div>
                  </w:divsChild>
                </w:div>
                <w:div w:id="1691105663">
                  <w:marLeft w:val="0"/>
                  <w:marRight w:val="0"/>
                  <w:marTop w:val="0"/>
                  <w:marBottom w:val="0"/>
                  <w:divBdr>
                    <w:top w:val="none" w:sz="0" w:space="0" w:color="auto"/>
                    <w:left w:val="none" w:sz="0" w:space="0" w:color="auto"/>
                    <w:bottom w:val="none" w:sz="0" w:space="0" w:color="auto"/>
                    <w:right w:val="none" w:sz="0" w:space="0" w:color="auto"/>
                  </w:divBdr>
                  <w:divsChild>
                    <w:div w:id="166483993">
                      <w:marLeft w:val="0"/>
                      <w:marRight w:val="0"/>
                      <w:marTop w:val="0"/>
                      <w:marBottom w:val="0"/>
                      <w:divBdr>
                        <w:top w:val="none" w:sz="0" w:space="0" w:color="auto"/>
                        <w:left w:val="none" w:sz="0" w:space="0" w:color="auto"/>
                        <w:bottom w:val="none" w:sz="0" w:space="0" w:color="auto"/>
                        <w:right w:val="none" w:sz="0" w:space="0" w:color="auto"/>
                      </w:divBdr>
                    </w:div>
                  </w:divsChild>
                </w:div>
                <w:div w:id="140660624">
                  <w:marLeft w:val="0"/>
                  <w:marRight w:val="0"/>
                  <w:marTop w:val="0"/>
                  <w:marBottom w:val="0"/>
                  <w:divBdr>
                    <w:top w:val="none" w:sz="0" w:space="0" w:color="auto"/>
                    <w:left w:val="none" w:sz="0" w:space="0" w:color="auto"/>
                    <w:bottom w:val="none" w:sz="0" w:space="0" w:color="auto"/>
                    <w:right w:val="none" w:sz="0" w:space="0" w:color="auto"/>
                  </w:divBdr>
                  <w:divsChild>
                    <w:div w:id="1413624424">
                      <w:marLeft w:val="0"/>
                      <w:marRight w:val="0"/>
                      <w:marTop w:val="0"/>
                      <w:marBottom w:val="0"/>
                      <w:divBdr>
                        <w:top w:val="none" w:sz="0" w:space="0" w:color="auto"/>
                        <w:left w:val="none" w:sz="0" w:space="0" w:color="auto"/>
                        <w:bottom w:val="none" w:sz="0" w:space="0" w:color="auto"/>
                        <w:right w:val="none" w:sz="0" w:space="0" w:color="auto"/>
                      </w:divBdr>
                    </w:div>
                    <w:div w:id="1492522759">
                      <w:marLeft w:val="0"/>
                      <w:marRight w:val="0"/>
                      <w:marTop w:val="0"/>
                      <w:marBottom w:val="0"/>
                      <w:divBdr>
                        <w:top w:val="none" w:sz="0" w:space="0" w:color="auto"/>
                        <w:left w:val="none" w:sz="0" w:space="0" w:color="auto"/>
                        <w:bottom w:val="none" w:sz="0" w:space="0" w:color="auto"/>
                        <w:right w:val="none" w:sz="0" w:space="0" w:color="auto"/>
                      </w:divBdr>
                    </w:div>
                    <w:div w:id="526219786">
                      <w:marLeft w:val="0"/>
                      <w:marRight w:val="0"/>
                      <w:marTop w:val="0"/>
                      <w:marBottom w:val="0"/>
                      <w:divBdr>
                        <w:top w:val="none" w:sz="0" w:space="0" w:color="auto"/>
                        <w:left w:val="none" w:sz="0" w:space="0" w:color="auto"/>
                        <w:bottom w:val="none" w:sz="0" w:space="0" w:color="auto"/>
                        <w:right w:val="none" w:sz="0" w:space="0" w:color="auto"/>
                      </w:divBdr>
                    </w:div>
                  </w:divsChild>
                </w:div>
                <w:div w:id="221404759">
                  <w:marLeft w:val="0"/>
                  <w:marRight w:val="0"/>
                  <w:marTop w:val="0"/>
                  <w:marBottom w:val="0"/>
                  <w:divBdr>
                    <w:top w:val="none" w:sz="0" w:space="0" w:color="auto"/>
                    <w:left w:val="none" w:sz="0" w:space="0" w:color="auto"/>
                    <w:bottom w:val="none" w:sz="0" w:space="0" w:color="auto"/>
                    <w:right w:val="none" w:sz="0" w:space="0" w:color="auto"/>
                  </w:divBdr>
                  <w:divsChild>
                    <w:div w:id="1427775377">
                      <w:marLeft w:val="0"/>
                      <w:marRight w:val="0"/>
                      <w:marTop w:val="0"/>
                      <w:marBottom w:val="0"/>
                      <w:divBdr>
                        <w:top w:val="none" w:sz="0" w:space="0" w:color="auto"/>
                        <w:left w:val="none" w:sz="0" w:space="0" w:color="auto"/>
                        <w:bottom w:val="none" w:sz="0" w:space="0" w:color="auto"/>
                        <w:right w:val="none" w:sz="0" w:space="0" w:color="auto"/>
                      </w:divBdr>
                    </w:div>
                  </w:divsChild>
                </w:div>
                <w:div w:id="2101292038">
                  <w:marLeft w:val="0"/>
                  <w:marRight w:val="0"/>
                  <w:marTop w:val="0"/>
                  <w:marBottom w:val="0"/>
                  <w:divBdr>
                    <w:top w:val="none" w:sz="0" w:space="0" w:color="auto"/>
                    <w:left w:val="none" w:sz="0" w:space="0" w:color="auto"/>
                    <w:bottom w:val="none" w:sz="0" w:space="0" w:color="auto"/>
                    <w:right w:val="none" w:sz="0" w:space="0" w:color="auto"/>
                  </w:divBdr>
                  <w:divsChild>
                    <w:div w:id="1304310487">
                      <w:marLeft w:val="0"/>
                      <w:marRight w:val="0"/>
                      <w:marTop w:val="0"/>
                      <w:marBottom w:val="0"/>
                      <w:divBdr>
                        <w:top w:val="none" w:sz="0" w:space="0" w:color="auto"/>
                        <w:left w:val="none" w:sz="0" w:space="0" w:color="auto"/>
                        <w:bottom w:val="none" w:sz="0" w:space="0" w:color="auto"/>
                        <w:right w:val="none" w:sz="0" w:space="0" w:color="auto"/>
                      </w:divBdr>
                    </w:div>
                  </w:divsChild>
                </w:div>
                <w:div w:id="1733387005">
                  <w:marLeft w:val="0"/>
                  <w:marRight w:val="0"/>
                  <w:marTop w:val="0"/>
                  <w:marBottom w:val="0"/>
                  <w:divBdr>
                    <w:top w:val="none" w:sz="0" w:space="0" w:color="auto"/>
                    <w:left w:val="none" w:sz="0" w:space="0" w:color="auto"/>
                    <w:bottom w:val="none" w:sz="0" w:space="0" w:color="auto"/>
                    <w:right w:val="none" w:sz="0" w:space="0" w:color="auto"/>
                  </w:divBdr>
                  <w:divsChild>
                    <w:div w:id="1979723972">
                      <w:marLeft w:val="0"/>
                      <w:marRight w:val="0"/>
                      <w:marTop w:val="0"/>
                      <w:marBottom w:val="0"/>
                      <w:divBdr>
                        <w:top w:val="none" w:sz="0" w:space="0" w:color="auto"/>
                        <w:left w:val="none" w:sz="0" w:space="0" w:color="auto"/>
                        <w:bottom w:val="none" w:sz="0" w:space="0" w:color="auto"/>
                        <w:right w:val="none" w:sz="0" w:space="0" w:color="auto"/>
                      </w:divBdr>
                    </w:div>
                  </w:divsChild>
                </w:div>
                <w:div w:id="1508907559">
                  <w:marLeft w:val="0"/>
                  <w:marRight w:val="0"/>
                  <w:marTop w:val="0"/>
                  <w:marBottom w:val="0"/>
                  <w:divBdr>
                    <w:top w:val="none" w:sz="0" w:space="0" w:color="auto"/>
                    <w:left w:val="none" w:sz="0" w:space="0" w:color="auto"/>
                    <w:bottom w:val="none" w:sz="0" w:space="0" w:color="auto"/>
                    <w:right w:val="none" w:sz="0" w:space="0" w:color="auto"/>
                  </w:divBdr>
                  <w:divsChild>
                    <w:div w:id="824322627">
                      <w:marLeft w:val="0"/>
                      <w:marRight w:val="0"/>
                      <w:marTop w:val="0"/>
                      <w:marBottom w:val="0"/>
                      <w:divBdr>
                        <w:top w:val="none" w:sz="0" w:space="0" w:color="auto"/>
                        <w:left w:val="none" w:sz="0" w:space="0" w:color="auto"/>
                        <w:bottom w:val="none" w:sz="0" w:space="0" w:color="auto"/>
                        <w:right w:val="none" w:sz="0" w:space="0" w:color="auto"/>
                      </w:divBdr>
                    </w:div>
                  </w:divsChild>
                </w:div>
                <w:div w:id="1604730554">
                  <w:marLeft w:val="0"/>
                  <w:marRight w:val="0"/>
                  <w:marTop w:val="0"/>
                  <w:marBottom w:val="0"/>
                  <w:divBdr>
                    <w:top w:val="none" w:sz="0" w:space="0" w:color="auto"/>
                    <w:left w:val="none" w:sz="0" w:space="0" w:color="auto"/>
                    <w:bottom w:val="none" w:sz="0" w:space="0" w:color="auto"/>
                    <w:right w:val="none" w:sz="0" w:space="0" w:color="auto"/>
                  </w:divBdr>
                  <w:divsChild>
                    <w:div w:id="1472942221">
                      <w:marLeft w:val="0"/>
                      <w:marRight w:val="0"/>
                      <w:marTop w:val="0"/>
                      <w:marBottom w:val="0"/>
                      <w:divBdr>
                        <w:top w:val="none" w:sz="0" w:space="0" w:color="auto"/>
                        <w:left w:val="none" w:sz="0" w:space="0" w:color="auto"/>
                        <w:bottom w:val="none" w:sz="0" w:space="0" w:color="auto"/>
                        <w:right w:val="none" w:sz="0" w:space="0" w:color="auto"/>
                      </w:divBdr>
                    </w:div>
                  </w:divsChild>
                </w:div>
                <w:div w:id="664868815">
                  <w:marLeft w:val="0"/>
                  <w:marRight w:val="0"/>
                  <w:marTop w:val="0"/>
                  <w:marBottom w:val="0"/>
                  <w:divBdr>
                    <w:top w:val="none" w:sz="0" w:space="0" w:color="auto"/>
                    <w:left w:val="none" w:sz="0" w:space="0" w:color="auto"/>
                    <w:bottom w:val="none" w:sz="0" w:space="0" w:color="auto"/>
                    <w:right w:val="none" w:sz="0" w:space="0" w:color="auto"/>
                  </w:divBdr>
                  <w:divsChild>
                    <w:div w:id="190609828">
                      <w:marLeft w:val="0"/>
                      <w:marRight w:val="0"/>
                      <w:marTop w:val="0"/>
                      <w:marBottom w:val="0"/>
                      <w:divBdr>
                        <w:top w:val="none" w:sz="0" w:space="0" w:color="auto"/>
                        <w:left w:val="none" w:sz="0" w:space="0" w:color="auto"/>
                        <w:bottom w:val="none" w:sz="0" w:space="0" w:color="auto"/>
                        <w:right w:val="none" w:sz="0" w:space="0" w:color="auto"/>
                      </w:divBdr>
                    </w:div>
                  </w:divsChild>
                </w:div>
                <w:div w:id="1583756280">
                  <w:marLeft w:val="0"/>
                  <w:marRight w:val="0"/>
                  <w:marTop w:val="0"/>
                  <w:marBottom w:val="0"/>
                  <w:divBdr>
                    <w:top w:val="none" w:sz="0" w:space="0" w:color="auto"/>
                    <w:left w:val="none" w:sz="0" w:space="0" w:color="auto"/>
                    <w:bottom w:val="none" w:sz="0" w:space="0" w:color="auto"/>
                    <w:right w:val="none" w:sz="0" w:space="0" w:color="auto"/>
                  </w:divBdr>
                  <w:divsChild>
                    <w:div w:id="205314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multilateralfund.org/resources/project-guides-too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7x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2.xml><?xml version="1.0" encoding="utf-8"?>
<ds:datastoreItem xmlns:ds="http://schemas.openxmlformats.org/officeDocument/2006/customXml" ds:itemID="{FB0559E1-41A3-4F6C-90A6-E0CC27DE8227}">
  <ds:schemaRefs>
    <ds:schemaRef ds:uri="http://schemas.microsoft.com/office/infopath/2007/PartnerControls"/>
    <ds:schemaRef ds:uri="http://schemas.microsoft.com/sharepoint/v3"/>
    <ds:schemaRef ds:uri="http://schemas.microsoft.com/office/2006/metadata/properties"/>
    <ds:schemaRef ds:uri="http://www.w3.org/XML/1998/namespace"/>
    <ds:schemaRef ds:uri="http://schemas.microsoft.com/office/2006/documentManagement/types"/>
    <ds:schemaRef ds:uri="http://purl.org/dc/terms/"/>
    <ds:schemaRef ds:uri="eb6c2e4c-3f1c-4103-a37b-37c984dbe58f"/>
    <ds:schemaRef ds:uri="http://purl.org/dc/dcmitype/"/>
    <ds:schemaRef ds:uri="http://schemas.openxmlformats.org/package/2006/metadata/core-properties"/>
    <ds:schemaRef ds:uri="b93c647f-d63b-431a-95c8-8e00048cff23"/>
    <ds:schemaRef ds:uri="http://purl.org/dc/elements/1.1/"/>
  </ds:schemaRefs>
</ds:datastoreItem>
</file>

<file path=customXml/itemProps3.xml><?xml version="1.0" encoding="utf-8"?>
<ds:datastoreItem xmlns:ds="http://schemas.openxmlformats.org/officeDocument/2006/customXml" ds:itemID="{C3AA0620-5A69-41B1-B510-CECF24015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97xx</Template>
  <TotalTime>6</TotalTime>
  <Pages>4</Pages>
  <Words>1789</Words>
  <Characters>10067</Characters>
  <Application>Microsoft Office Word</Application>
  <DocSecurity>0</DocSecurity>
  <Lines>197</Lines>
  <Paragraphs>81</Paragraphs>
  <ScaleCrop>false</ScaleCrop>
  <HeadingPairs>
    <vt:vector size="2" baseType="variant">
      <vt:variant>
        <vt:lpstr>Title</vt:lpstr>
      </vt:variant>
      <vt:variant>
        <vt:i4>1</vt:i4>
      </vt:variant>
    </vt:vector>
  </HeadingPairs>
  <TitlesOfParts>
    <vt:vector size="1" baseType="lpstr">
      <vt:lpstr>EXAMEN DE LA POSSIBILITÉ D’INTÉGRER LA COMMUNICATION D’INFORMATIONS DANS LES RAPPORTS D’ACHÈVEMENT DE PROJET ET LES RAPPORTS FINAUX DÉTAILLÉS DE PROJET (DÉCISION 95/91 e))</vt:lpstr>
    </vt:vector>
  </TitlesOfParts>
  <Company>UNMFS</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POSSIBILITÉ D’INTÉGRER LA COMMUNICATION D’INFORMATIONS DANS LES RAPPORTS D’ACHÈVEMENT DE PROJET ET LES RAPPORTS FINAUX DÉTAILLÉS DE PROJET (DÉCISION 95/91 e))</dc:title>
  <dc:subject>97th meeting</dc:subject>
  <dc:creator>Martine Chery</dc:creator>
  <cp:lastModifiedBy>Angela Xue He Yan</cp:lastModifiedBy>
  <cp:revision>5</cp:revision>
  <cp:lastPrinted>2025-11-04T01:35:00Z</cp:lastPrinted>
  <dcterms:created xsi:type="dcterms:W3CDTF">2025-11-04T19:20:00Z</dcterms:created>
  <dcterms:modified xsi:type="dcterms:W3CDTF">2025-11-05T19:39:00Z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UNEP/OzL.Pro/ExCom/97/88</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docLang">
    <vt:lpwstr>en</vt:lpwstr>
  </property>
</Properties>
</file>