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D3886" w:rsidTr="009C59F7">
        <w:trPr>
          <w:trHeight w:val="720"/>
        </w:trPr>
        <w:tc>
          <w:tcPr>
            <w:tcW w:w="5490" w:type="dxa"/>
            <w:gridSpan w:val="2"/>
            <w:tcBorders>
              <w:bottom w:val="single" w:sz="18" w:space="0" w:color="auto"/>
            </w:tcBorders>
          </w:tcPr>
          <w:p w:rsidR="00C15867" w:rsidRPr="009D388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D3886">
              <w:rPr>
                <w:rFonts w:ascii="Univers" w:hAnsi="Univers"/>
                <w:b/>
                <w:sz w:val="28"/>
                <w:szCs w:val="28"/>
              </w:rPr>
              <w:t>UNITED</w:t>
            </w:r>
            <w:r w:rsidRPr="009D3886">
              <w:rPr>
                <w:rFonts w:ascii="Univers" w:hAnsi="Univers"/>
                <w:b/>
                <w:sz w:val="28"/>
                <w:szCs w:val="28"/>
              </w:rPr>
              <w:br/>
              <w:t>NATIONS</w:t>
            </w:r>
          </w:p>
        </w:tc>
        <w:tc>
          <w:tcPr>
            <w:tcW w:w="4590" w:type="dxa"/>
            <w:tcBorders>
              <w:bottom w:val="single" w:sz="18" w:space="0" w:color="auto"/>
            </w:tcBorders>
          </w:tcPr>
          <w:p w:rsidR="00C15867" w:rsidRPr="009D3886" w:rsidRDefault="00C15867" w:rsidP="009C59F7">
            <w:pPr>
              <w:jc w:val="right"/>
              <w:rPr>
                <w:sz w:val="52"/>
                <w:szCs w:val="52"/>
              </w:rPr>
            </w:pPr>
            <w:r w:rsidRPr="009D3886">
              <w:rPr>
                <w:rFonts w:ascii="Univers Bold" w:hAnsi="Univers Bold"/>
                <w:b/>
                <w:sz w:val="72"/>
              </w:rPr>
              <w:t>EP</w:t>
            </w:r>
          </w:p>
        </w:tc>
      </w:tr>
      <w:tr w:rsidR="00C15867" w:rsidRPr="009D3886"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D3886" w:rsidRDefault="00E52838" w:rsidP="009C59F7">
            <w:pPr>
              <w:spacing w:before="120"/>
            </w:pPr>
            <w:r w:rsidRPr="009D3886">
              <w:rPr>
                <w:noProof/>
                <w:lang w:eastAsia="zh-CN"/>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4EF0A1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D388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D3886">
              <w:rPr>
                <w:rFonts w:ascii="Univers" w:hAnsi="Univers"/>
                <w:b/>
                <w:sz w:val="32"/>
              </w:rPr>
              <w:t>United Nations</w:t>
            </w:r>
          </w:p>
          <w:p w:rsidR="00C15867" w:rsidRPr="009D388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D3886">
              <w:rPr>
                <w:rFonts w:ascii="Univers" w:hAnsi="Univers"/>
                <w:b/>
                <w:sz w:val="32"/>
              </w:rPr>
              <w:t>Environment</w:t>
            </w:r>
          </w:p>
          <w:p w:rsidR="00C15867" w:rsidRPr="009D388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D3886">
              <w:rPr>
                <w:rFonts w:ascii="Univers" w:hAnsi="Univers"/>
                <w:b/>
                <w:sz w:val="32"/>
              </w:rPr>
              <w:t>Programme</w:t>
            </w:r>
          </w:p>
          <w:p w:rsidR="00C15867" w:rsidRPr="009D3886" w:rsidRDefault="00C15867" w:rsidP="009C59F7">
            <w:pPr>
              <w:spacing w:before="720"/>
              <w:ind w:left="158"/>
            </w:pPr>
          </w:p>
        </w:tc>
        <w:tc>
          <w:tcPr>
            <w:tcW w:w="4590" w:type="dxa"/>
            <w:tcBorders>
              <w:top w:val="nil"/>
              <w:left w:val="nil"/>
              <w:bottom w:val="single" w:sz="36" w:space="0" w:color="auto"/>
              <w:right w:val="nil"/>
            </w:tcBorders>
          </w:tcPr>
          <w:p w:rsidR="00C15867" w:rsidRPr="009D3886" w:rsidRDefault="00C15867" w:rsidP="009C59F7">
            <w:r w:rsidRPr="009D3886">
              <w:t>Distr.</w:t>
            </w:r>
          </w:p>
          <w:p w:rsidR="00923540" w:rsidRPr="009D3886" w:rsidRDefault="00923540" w:rsidP="00923540">
            <w:r w:rsidRPr="009D3886">
              <w:t>GENERAL</w:t>
            </w:r>
          </w:p>
          <w:p w:rsidR="00C15867" w:rsidRPr="009D3886" w:rsidRDefault="00C15867" w:rsidP="009C59F7"/>
          <w:p w:rsidR="00C15867" w:rsidRPr="009D3886" w:rsidRDefault="00C15867" w:rsidP="009C59F7"/>
          <w:p w:rsidR="00C15867" w:rsidRPr="009D3886" w:rsidRDefault="00EC5FFF" w:rsidP="009C59F7">
            <w:r>
              <w:fldChar w:fldCharType="begin"/>
            </w:r>
            <w:r>
              <w:instrText xml:space="preserve"> DOCPROPERTY "Document number"  \* MERGEFORMAT </w:instrText>
            </w:r>
            <w:r>
              <w:fldChar w:fldCharType="separate"/>
            </w:r>
            <w:r w:rsidR="00113606" w:rsidRPr="009D3886">
              <w:t>UNEP/</w:t>
            </w:r>
            <w:proofErr w:type="spellStart"/>
            <w:r w:rsidR="00113606" w:rsidRPr="009D3886">
              <w:t>OzL.Pro</w:t>
            </w:r>
            <w:proofErr w:type="spellEnd"/>
            <w:r w:rsidR="00113606" w:rsidRPr="009D3886">
              <w:t>/</w:t>
            </w:r>
            <w:proofErr w:type="spellStart"/>
            <w:r w:rsidR="00113606" w:rsidRPr="009D3886">
              <w:t>ExCom</w:t>
            </w:r>
            <w:proofErr w:type="spellEnd"/>
            <w:r w:rsidR="00113606" w:rsidRPr="009D3886">
              <w:t>/90/9/Add.1</w:t>
            </w:r>
            <w:r>
              <w:fldChar w:fldCharType="end"/>
            </w:r>
          </w:p>
          <w:p w:rsidR="00C15867" w:rsidRPr="009D3886" w:rsidRDefault="00BC2495" w:rsidP="009C59F7">
            <w:r w:rsidRPr="009D3886">
              <w:fldChar w:fldCharType="begin"/>
            </w:r>
            <w:r w:rsidR="00851352" w:rsidRPr="009D3886">
              <w:instrText xml:space="preserve"> DOCPROPERTY "Revision date" \@ "d MMMM YYYY"  \* MERGEFORMAT </w:instrText>
            </w:r>
            <w:r w:rsidRPr="009D3886">
              <w:fldChar w:fldCharType="separate"/>
            </w:r>
            <w:r w:rsidR="002B2FA4">
              <w:t>27 May 2022</w:t>
            </w:r>
            <w:r w:rsidRPr="009D3886">
              <w:fldChar w:fldCharType="end"/>
            </w:r>
          </w:p>
          <w:p w:rsidR="00C15867" w:rsidRPr="009D3886" w:rsidRDefault="00C15867" w:rsidP="009C59F7">
            <w:pPr>
              <w:rPr>
                <w:caps/>
              </w:rPr>
            </w:pPr>
          </w:p>
          <w:p w:rsidR="00C15867" w:rsidRPr="009D3886" w:rsidRDefault="00C15867" w:rsidP="009C59F7">
            <w:r w:rsidRPr="009D3886">
              <w:t>ORIGINAL: ENGLISH</w:t>
            </w:r>
          </w:p>
        </w:tc>
        <w:bookmarkStart w:id="0" w:name="_GoBack"/>
        <w:bookmarkEnd w:id="0"/>
      </w:tr>
    </w:tbl>
    <w:p w:rsidR="00BF2AD7" w:rsidRPr="009D3886" w:rsidRDefault="00C15867" w:rsidP="00BF2AD7">
      <w:pPr>
        <w:jc w:val="left"/>
      </w:pPr>
      <w:r w:rsidRPr="009D3886">
        <w:t>EXECUTIVE COMMITTEE OF</w:t>
      </w:r>
      <w:r w:rsidRPr="009D3886">
        <w:br/>
        <w:t xml:space="preserve">  THE MULTILATERAL FUND FOR THE</w:t>
      </w:r>
      <w:r w:rsidRPr="009D3886">
        <w:br/>
        <w:t xml:space="preserve">  IMPLEMENTATION OF THE MONTREAL PROTOCOL</w:t>
      </w:r>
      <w:r w:rsidRPr="009D3886">
        <w:br/>
      </w:r>
      <w:r w:rsidR="00BF2AD7" w:rsidRPr="009D3886">
        <w:t>Ninetieth Meeting</w:t>
      </w:r>
    </w:p>
    <w:p w:rsidR="00AA5368" w:rsidRPr="009D3886" w:rsidRDefault="00BF2AD7" w:rsidP="00BF2AD7">
      <w:pPr>
        <w:jc w:val="left"/>
        <w:rPr>
          <w:sz w:val="24"/>
          <w:szCs w:val="24"/>
          <w:lang w:eastAsia="zh-CN"/>
        </w:rPr>
      </w:pPr>
      <w:r w:rsidRPr="009D3886">
        <w:t>Montreal, 20-23 June 2022</w:t>
      </w:r>
    </w:p>
    <w:p w:rsidR="00B877FA" w:rsidRPr="009D3886" w:rsidRDefault="00B877FA" w:rsidP="00B877FA">
      <w:pPr>
        <w:jc w:val="left"/>
      </w:pPr>
      <w:r w:rsidRPr="009D3886">
        <w:t>Item 7(a) of the provisional agenda</w:t>
      </w:r>
      <w:r w:rsidRPr="009D3886">
        <w:rPr>
          <w:rStyle w:val="FootnoteReference"/>
        </w:rPr>
        <w:footnoteReference w:id="1"/>
      </w:r>
    </w:p>
    <w:p w:rsidR="00B877FA" w:rsidRPr="009D3886" w:rsidRDefault="00B877FA" w:rsidP="00B877FA">
      <w:pPr>
        <w:jc w:val="left"/>
      </w:pPr>
    </w:p>
    <w:p w:rsidR="00B877FA" w:rsidRPr="009D3886" w:rsidRDefault="00B877FA" w:rsidP="00B877FA">
      <w:pPr>
        <w:jc w:val="left"/>
      </w:pPr>
    </w:p>
    <w:p w:rsidR="00B877FA" w:rsidRPr="009D3886" w:rsidRDefault="00B877FA" w:rsidP="00B877FA">
      <w:pPr>
        <w:jc w:val="center"/>
        <w:rPr>
          <w:b/>
        </w:rPr>
      </w:pPr>
      <w:r w:rsidRPr="009D3886">
        <w:rPr>
          <w:b/>
        </w:rPr>
        <w:t>Addendum</w:t>
      </w:r>
    </w:p>
    <w:p w:rsidR="00B877FA" w:rsidRPr="009D3886" w:rsidRDefault="00B877FA" w:rsidP="00B877FA">
      <w:pPr>
        <w:jc w:val="left"/>
      </w:pPr>
    </w:p>
    <w:p w:rsidR="00B877FA" w:rsidRPr="009D3886" w:rsidRDefault="00B877FA" w:rsidP="00B877FA">
      <w:pPr>
        <w:pStyle w:val="Title1"/>
        <w:rPr>
          <w:lang w:val="en-CA"/>
        </w:rPr>
      </w:pPr>
      <w:r w:rsidRPr="009D3886">
        <w:rPr>
          <w:lang w:val="en-CA"/>
        </w:rPr>
        <w:t xml:space="preserve">STATUS REPORTS AND Reports on projects with </w:t>
      </w:r>
    </w:p>
    <w:p w:rsidR="00B877FA" w:rsidRPr="009D3886" w:rsidRDefault="00B877FA" w:rsidP="00B877FA">
      <w:pPr>
        <w:pStyle w:val="Title1"/>
        <w:rPr>
          <w:lang w:val="en-CA"/>
        </w:rPr>
      </w:pPr>
      <w:r w:rsidRPr="009D3886">
        <w:rPr>
          <w:lang w:val="en-CA"/>
        </w:rPr>
        <w:t>specific reporting requirements</w:t>
      </w:r>
    </w:p>
    <w:p w:rsidR="00B877FA" w:rsidRPr="009D3886" w:rsidRDefault="00B877FA" w:rsidP="00B877FA"/>
    <w:p w:rsidR="00B877FA" w:rsidRPr="009D3886" w:rsidRDefault="00B877FA" w:rsidP="00B877FA">
      <w:pPr>
        <w:pStyle w:val="Heading1"/>
      </w:pPr>
      <w:r w:rsidRPr="009D3886">
        <w:t>The present addendum includes reports on projects with specific reporting requirements pertaining to China that are due at the 90</w:t>
      </w:r>
      <w:r w:rsidRPr="009D3886">
        <w:rPr>
          <w:vertAlign w:val="superscript"/>
        </w:rPr>
        <w:t>th</w:t>
      </w:r>
      <w:r w:rsidR="005C0E44">
        <w:t> meeting</w:t>
      </w:r>
      <w:r w:rsidR="005F365A" w:rsidRPr="009D3886">
        <w:t>.</w:t>
      </w:r>
      <w:r w:rsidR="009D3886" w:rsidRPr="009D3886">
        <w:t xml:space="preserve">  Two of which were deferred since the 8</w:t>
      </w:r>
      <w:r w:rsidR="00117546">
        <w:t>6</w:t>
      </w:r>
      <w:r w:rsidR="009D3886" w:rsidRPr="009D3886">
        <w:rPr>
          <w:vertAlign w:val="superscript"/>
        </w:rPr>
        <w:t>th</w:t>
      </w:r>
      <w:r w:rsidR="005C0E44">
        <w:t> meeting</w:t>
      </w:r>
      <w:r w:rsidR="009D3886" w:rsidRPr="009D3886">
        <w:t>.</w:t>
      </w:r>
    </w:p>
    <w:p w:rsidR="00B877FA" w:rsidRPr="009D3886" w:rsidRDefault="00B877FA" w:rsidP="00B877FA">
      <w:pPr>
        <w:pStyle w:val="Heading1"/>
      </w:pPr>
      <w:r w:rsidRPr="009D3886">
        <w:t xml:space="preserve">The document is divided into the following </w:t>
      </w:r>
      <w:r w:rsidR="005F365A" w:rsidRPr="009D3886">
        <w:t>four</w:t>
      </w:r>
      <w:r w:rsidRPr="009D3886">
        <w:t xml:space="preserve"> parts:</w:t>
      </w:r>
    </w:p>
    <w:tbl>
      <w:tblPr>
        <w:tblStyle w:val="TableGrid10"/>
        <w:tblW w:w="8635" w:type="dxa"/>
        <w:tblInd w:w="720" w:type="dxa"/>
        <w:tblLayout w:type="fixed"/>
        <w:tblLook w:val="04A0" w:firstRow="1" w:lastRow="0" w:firstColumn="1" w:lastColumn="0" w:noHBand="0" w:noVBand="1"/>
      </w:tblPr>
      <w:tblGrid>
        <w:gridCol w:w="715"/>
        <w:gridCol w:w="6575"/>
        <w:gridCol w:w="1345"/>
      </w:tblGrid>
      <w:tr w:rsidR="00B877FA" w:rsidRPr="009D3886" w:rsidTr="003A4F48">
        <w:trPr>
          <w:tblHeader/>
        </w:trPr>
        <w:tc>
          <w:tcPr>
            <w:tcW w:w="715" w:type="dxa"/>
          </w:tcPr>
          <w:p w:rsidR="00B877FA" w:rsidRPr="009D3886" w:rsidRDefault="00B877FA" w:rsidP="003A4F48">
            <w:pPr>
              <w:widowControl w:val="0"/>
              <w:jc w:val="left"/>
              <w:rPr>
                <w:b/>
              </w:rPr>
            </w:pPr>
            <w:r w:rsidRPr="009D3886">
              <w:rPr>
                <w:b/>
              </w:rPr>
              <w:t>Part</w:t>
            </w:r>
          </w:p>
        </w:tc>
        <w:tc>
          <w:tcPr>
            <w:tcW w:w="6575" w:type="dxa"/>
            <w:vAlign w:val="center"/>
          </w:tcPr>
          <w:p w:rsidR="00B877FA" w:rsidRPr="009D3886" w:rsidRDefault="00B877FA" w:rsidP="003A4F48">
            <w:pPr>
              <w:widowControl w:val="0"/>
              <w:jc w:val="center"/>
              <w:rPr>
                <w:b/>
              </w:rPr>
            </w:pPr>
            <w:r w:rsidRPr="009D3886">
              <w:rPr>
                <w:b/>
              </w:rPr>
              <w:t>Report title</w:t>
            </w:r>
          </w:p>
        </w:tc>
        <w:tc>
          <w:tcPr>
            <w:tcW w:w="1345" w:type="dxa"/>
            <w:vAlign w:val="center"/>
          </w:tcPr>
          <w:p w:rsidR="00B877FA" w:rsidRPr="009D3886" w:rsidRDefault="00B877FA" w:rsidP="003A4F48">
            <w:pPr>
              <w:widowControl w:val="0"/>
              <w:jc w:val="center"/>
              <w:rPr>
                <w:b/>
              </w:rPr>
            </w:pPr>
            <w:r w:rsidRPr="009D3886">
              <w:rPr>
                <w:b/>
              </w:rPr>
              <w:t>Paragraphs</w:t>
            </w:r>
          </w:p>
        </w:tc>
      </w:tr>
      <w:tr w:rsidR="00113606" w:rsidRPr="009D3886" w:rsidTr="003A4F48">
        <w:tc>
          <w:tcPr>
            <w:tcW w:w="715" w:type="dxa"/>
            <w:vAlign w:val="center"/>
          </w:tcPr>
          <w:p w:rsidR="00113606" w:rsidRPr="009D3886" w:rsidRDefault="00113606" w:rsidP="00113606">
            <w:pPr>
              <w:widowControl w:val="0"/>
              <w:jc w:val="center"/>
            </w:pPr>
            <w:r w:rsidRPr="009D3886">
              <w:t>I</w:t>
            </w:r>
          </w:p>
        </w:tc>
        <w:tc>
          <w:tcPr>
            <w:tcW w:w="6575" w:type="dxa"/>
            <w:vAlign w:val="center"/>
          </w:tcPr>
          <w:p w:rsidR="00113606" w:rsidRPr="009D3886" w:rsidRDefault="00113606" w:rsidP="00113606">
            <w:pPr>
              <w:widowControl w:val="0"/>
              <w:jc w:val="left"/>
              <w:rPr>
                <w:highlight w:val="yellow"/>
              </w:rPr>
            </w:pPr>
            <w:r w:rsidRPr="009D3886">
              <w:t>Report on progress in the implementation of activities listed in decision 83/41(e)</w:t>
            </w:r>
          </w:p>
        </w:tc>
        <w:tc>
          <w:tcPr>
            <w:tcW w:w="1345" w:type="dxa"/>
            <w:vAlign w:val="center"/>
          </w:tcPr>
          <w:p w:rsidR="00113606" w:rsidRPr="009D3886" w:rsidRDefault="009D3886" w:rsidP="00113606">
            <w:pPr>
              <w:widowControl w:val="0"/>
              <w:jc w:val="center"/>
            </w:pPr>
            <w:r w:rsidRPr="009D3886">
              <w:t>3 to 6</w:t>
            </w:r>
          </w:p>
        </w:tc>
      </w:tr>
      <w:tr w:rsidR="00113606" w:rsidRPr="009D3886" w:rsidTr="003A4F48">
        <w:tc>
          <w:tcPr>
            <w:tcW w:w="715" w:type="dxa"/>
            <w:vAlign w:val="center"/>
          </w:tcPr>
          <w:p w:rsidR="00113606" w:rsidRPr="009D3886" w:rsidRDefault="00113606" w:rsidP="00113606">
            <w:pPr>
              <w:widowControl w:val="0"/>
              <w:jc w:val="center"/>
            </w:pPr>
            <w:r w:rsidRPr="009D3886">
              <w:t>II</w:t>
            </w:r>
          </w:p>
        </w:tc>
        <w:tc>
          <w:tcPr>
            <w:tcW w:w="6575" w:type="dxa"/>
            <w:vAlign w:val="center"/>
          </w:tcPr>
          <w:p w:rsidR="00113606" w:rsidRPr="009D3886" w:rsidRDefault="00113606" w:rsidP="00113606">
            <w:pPr>
              <w:widowControl w:val="0"/>
              <w:jc w:val="left"/>
            </w:pPr>
            <w:r w:rsidRPr="009D3886">
              <w:t>Study to determine the regulatory, enforcement, policy or market circumstances that might have led to the illegal production and use of CFC-11 and CFC-12 (decision 83/41(d))</w:t>
            </w:r>
          </w:p>
        </w:tc>
        <w:tc>
          <w:tcPr>
            <w:tcW w:w="1345" w:type="dxa"/>
            <w:vAlign w:val="center"/>
          </w:tcPr>
          <w:p w:rsidR="00113606" w:rsidRPr="009D3886" w:rsidRDefault="009D3886" w:rsidP="00113606">
            <w:pPr>
              <w:widowControl w:val="0"/>
              <w:jc w:val="center"/>
            </w:pPr>
            <w:r w:rsidRPr="009D3886">
              <w:t>7 and 8</w:t>
            </w:r>
          </w:p>
        </w:tc>
      </w:tr>
      <w:tr w:rsidR="00113606" w:rsidRPr="009D3886" w:rsidTr="003A4F48">
        <w:tc>
          <w:tcPr>
            <w:tcW w:w="715" w:type="dxa"/>
            <w:vAlign w:val="center"/>
          </w:tcPr>
          <w:p w:rsidR="00113606" w:rsidRPr="009D3886" w:rsidRDefault="00113606" w:rsidP="00113606">
            <w:pPr>
              <w:widowControl w:val="0"/>
              <w:jc w:val="center"/>
            </w:pPr>
            <w:r w:rsidRPr="009D3886">
              <w:t>III</w:t>
            </w:r>
          </w:p>
        </w:tc>
        <w:tc>
          <w:tcPr>
            <w:tcW w:w="6575" w:type="dxa"/>
            <w:vAlign w:val="center"/>
          </w:tcPr>
          <w:p w:rsidR="00113606" w:rsidRPr="009D3886" w:rsidRDefault="00664EE0" w:rsidP="00664EE0">
            <w:pPr>
              <w:widowControl w:val="0"/>
              <w:jc w:val="left"/>
              <w:rPr>
                <w:highlight w:val="yellow"/>
              </w:rPr>
            </w:pPr>
            <w:r w:rsidRPr="009D3886">
              <w:t>Updated report on the production of CTC and its feedstock uses in China (</w:t>
            </w:r>
            <w:r w:rsidR="005C0E44">
              <w:t>decision </w:t>
            </w:r>
            <w:r w:rsidRPr="009D3886">
              <w:t>84/41(b) and (c))</w:t>
            </w:r>
          </w:p>
        </w:tc>
        <w:tc>
          <w:tcPr>
            <w:tcW w:w="1345" w:type="dxa"/>
            <w:vAlign w:val="center"/>
          </w:tcPr>
          <w:p w:rsidR="00113606" w:rsidRPr="009D3886" w:rsidRDefault="009D3886" w:rsidP="00113606">
            <w:pPr>
              <w:widowControl w:val="0"/>
              <w:jc w:val="center"/>
            </w:pPr>
            <w:r w:rsidRPr="009D3886">
              <w:t>9 to 34</w:t>
            </w:r>
          </w:p>
        </w:tc>
      </w:tr>
      <w:tr w:rsidR="00113606" w:rsidRPr="009D3886" w:rsidTr="003A4F48">
        <w:tc>
          <w:tcPr>
            <w:tcW w:w="715" w:type="dxa"/>
            <w:vAlign w:val="center"/>
          </w:tcPr>
          <w:p w:rsidR="00113606" w:rsidRPr="009D3886" w:rsidRDefault="00113606" w:rsidP="00113606">
            <w:pPr>
              <w:widowControl w:val="0"/>
              <w:jc w:val="center"/>
            </w:pPr>
            <w:r w:rsidRPr="009D3886">
              <w:t>IV</w:t>
            </w:r>
          </w:p>
        </w:tc>
        <w:tc>
          <w:tcPr>
            <w:tcW w:w="6575" w:type="dxa"/>
            <w:vAlign w:val="center"/>
          </w:tcPr>
          <w:p w:rsidR="00113606" w:rsidRPr="009D3886" w:rsidRDefault="005F365A" w:rsidP="00664EE0">
            <w:pPr>
              <w:widowControl w:val="0"/>
              <w:jc w:val="left"/>
            </w:pPr>
            <w:r w:rsidRPr="009D3886">
              <w:t xml:space="preserve">Report on the disbursement of incremental operating costs under the industrial and commercial refrigeration and air-conditioning sector plan under </w:t>
            </w:r>
            <w:r w:rsidR="005C0E44">
              <w:t>stage </w:t>
            </w:r>
            <w:r w:rsidRPr="009D3886">
              <w:t>I of the HCFC phase-out management plan (decision</w:t>
            </w:r>
            <w:r w:rsidR="00664EE0" w:rsidRPr="009D3886">
              <w:t> </w:t>
            </w:r>
            <w:r w:rsidRPr="009D3886">
              <w:t>88/66(c))</w:t>
            </w:r>
          </w:p>
        </w:tc>
        <w:tc>
          <w:tcPr>
            <w:tcW w:w="1345" w:type="dxa"/>
            <w:vAlign w:val="center"/>
          </w:tcPr>
          <w:p w:rsidR="00113606" w:rsidRPr="009D3886" w:rsidRDefault="009D3886" w:rsidP="00113606">
            <w:pPr>
              <w:widowControl w:val="0"/>
              <w:jc w:val="center"/>
            </w:pPr>
            <w:r w:rsidRPr="009D3886">
              <w:t>35 to 43</w:t>
            </w:r>
          </w:p>
        </w:tc>
      </w:tr>
    </w:tbl>
    <w:p w:rsidR="00B877FA" w:rsidRPr="009D3886" w:rsidRDefault="00B877FA" w:rsidP="00B877FA">
      <w:pPr>
        <w:jc w:val="left"/>
      </w:pPr>
    </w:p>
    <w:p w:rsidR="00C15867" w:rsidRPr="009D3886" w:rsidRDefault="00C15867" w:rsidP="004E73DB">
      <w:pPr>
        <w:jc w:val="left"/>
      </w:pPr>
    </w:p>
    <w:p w:rsidR="00664EE0" w:rsidRPr="009D3886" w:rsidRDefault="00664EE0">
      <w:pPr>
        <w:jc w:val="left"/>
        <w:rPr>
          <w:b/>
        </w:rPr>
      </w:pPr>
      <w:r w:rsidRPr="009D3886">
        <w:rPr>
          <w:b/>
        </w:rPr>
        <w:br w:type="page"/>
      </w:r>
    </w:p>
    <w:p w:rsidR="00927EFC" w:rsidRPr="009D3886" w:rsidRDefault="00927EFC" w:rsidP="00927EFC">
      <w:pPr>
        <w:spacing w:after="240"/>
        <w:ind w:left="1440" w:hanging="1440"/>
      </w:pPr>
      <w:r w:rsidRPr="009D3886">
        <w:rPr>
          <w:b/>
        </w:rPr>
        <w:lastRenderedPageBreak/>
        <w:t xml:space="preserve">PART I: </w:t>
      </w:r>
      <w:r w:rsidRPr="009D3886">
        <w:rPr>
          <w:b/>
        </w:rPr>
        <w:tab/>
        <w:t>REPORT ON PROGRESS IN THE IMPLEMENTATION OF ACTIVITIES LISTED IN DECISION 83/41(e)</w:t>
      </w:r>
    </w:p>
    <w:p w:rsidR="00927EFC" w:rsidRPr="009D3886" w:rsidRDefault="00927EFC" w:rsidP="00927EFC">
      <w:pPr>
        <w:rPr>
          <w:b/>
        </w:rPr>
      </w:pPr>
      <w:r w:rsidRPr="009D3886">
        <w:rPr>
          <w:b/>
        </w:rPr>
        <w:t xml:space="preserve">Background </w:t>
      </w:r>
    </w:p>
    <w:p w:rsidR="00927EFC" w:rsidRPr="009D3886" w:rsidRDefault="00927EFC" w:rsidP="00927EFC"/>
    <w:p w:rsidR="00927EFC" w:rsidRPr="009D3886" w:rsidRDefault="00927EFC" w:rsidP="00927EFC">
      <w:pPr>
        <w:pStyle w:val="Heading1"/>
      </w:pPr>
      <w:r w:rsidRPr="009D3886">
        <w:t>At its 83</w:t>
      </w:r>
      <w:r w:rsidRPr="009D3886">
        <w:rPr>
          <w:vertAlign w:val="superscript"/>
        </w:rPr>
        <w:t>rd</w:t>
      </w:r>
      <w:r w:rsidRPr="009D3886">
        <w:t> meeting, the Executive Committee considered the following two documents:</w:t>
      </w:r>
    </w:p>
    <w:p w:rsidR="00927EFC" w:rsidRPr="009D3886" w:rsidRDefault="00927EFC" w:rsidP="00927EFC">
      <w:pPr>
        <w:pStyle w:val="Heading2"/>
        <w:numPr>
          <w:ilvl w:val="1"/>
          <w:numId w:val="1"/>
        </w:numPr>
      </w:pPr>
      <w:r w:rsidRPr="009D3886">
        <w:t>Review of current monitoring, reporting, verification and enforcement (MRVE) systems in accordance with HCFC consumption and production phase-out management plan Agreements between the Government of China and the Executive Committee, submitted by UNDP on behalf of the Government of China, in line with decisions 82/65 and 82/71(a); and</w:t>
      </w:r>
    </w:p>
    <w:p w:rsidR="00927EFC" w:rsidRPr="009D3886" w:rsidRDefault="00927EFC" w:rsidP="00927EFC">
      <w:pPr>
        <w:pStyle w:val="Heading2"/>
        <w:numPr>
          <w:ilvl w:val="1"/>
          <w:numId w:val="1"/>
        </w:numPr>
      </w:pPr>
      <w:r w:rsidRPr="009D3886">
        <w:t xml:space="preserve">Desk study on the current system of monitoring consumption of foam-blowing agents at enterprises assisted under stage I of the HCFC phase-out management plan and verification methodology submitted by the World Bank on behalf of the Government of China in line with decision 82/67(c). </w:t>
      </w:r>
    </w:p>
    <w:p w:rsidR="00927EFC" w:rsidRPr="009D3886" w:rsidRDefault="00927EFC" w:rsidP="00927EFC">
      <w:pPr>
        <w:pStyle w:val="Heading1"/>
      </w:pPr>
      <w:r w:rsidRPr="009D3886">
        <w:t xml:space="preserve">In its deliberations, the Committee </w:t>
      </w:r>
      <w:r w:rsidRPr="009D3886">
        <w:rPr>
          <w:i/>
        </w:rPr>
        <w:t>inter alia</w:t>
      </w:r>
      <w:r w:rsidRPr="009D3886">
        <w:t xml:space="preserve"> welcomed a number of regulatory and enforcement actions to be undertaken by the Government; noted with appreciation that the Government will undertake additional actions in support of its enforcement actions; and further noted with appreciation that the Government will consider a set of suggestions to supplement and augment its regulatory and enforcement actions. The Executive Committee also noted that the Government of China would submit a report at the 84</w:t>
      </w:r>
      <w:r w:rsidRPr="009D3886">
        <w:rPr>
          <w:vertAlign w:val="superscript"/>
        </w:rPr>
        <w:t>th</w:t>
      </w:r>
      <w:r w:rsidRPr="009D3886">
        <w:t> meeting, and again to the 86</w:t>
      </w:r>
      <w:r w:rsidRPr="009D3886">
        <w:rPr>
          <w:vertAlign w:val="superscript"/>
        </w:rPr>
        <w:t>th</w:t>
      </w:r>
      <w:r w:rsidRPr="009D3886">
        <w:t> meeting, on its progress in implementing the activities described in sub</w:t>
      </w:r>
      <w:r w:rsidRPr="009D3886">
        <w:noBreakHyphen/>
        <w:t>paragraphs (a) to (d) of decision 83/41.</w:t>
      </w:r>
    </w:p>
    <w:p w:rsidR="00927EFC" w:rsidRPr="009D3886" w:rsidRDefault="00927EFC" w:rsidP="00927EFC">
      <w:pPr>
        <w:pStyle w:val="Heading1"/>
      </w:pPr>
      <w:r w:rsidRPr="009D3886">
        <w:t>At its 84</w:t>
      </w:r>
      <w:r w:rsidRPr="009D3886">
        <w:rPr>
          <w:vertAlign w:val="superscript"/>
        </w:rPr>
        <w:t>th</w:t>
      </w:r>
      <w:r w:rsidRPr="009D3886">
        <w:t> meeting, the Executive Committee considered the progress report submitted by the Government of China in line with decision 83/41(e).</w:t>
      </w:r>
      <w:r w:rsidRPr="009D3886">
        <w:rPr>
          <w:rStyle w:val="FootnoteReference"/>
        </w:rPr>
        <w:footnoteReference w:id="2"/>
      </w:r>
      <w:r w:rsidRPr="009D3886" w:rsidDel="00D959A4">
        <w:t xml:space="preserve"> </w:t>
      </w:r>
      <w:r w:rsidRPr="009D3886">
        <w:t>Subsequent to a discussion, the Executive Committee took note of the information provided by the representative of the Government of China regarding implementation of the activities listed in decision 83/41.</w:t>
      </w:r>
    </w:p>
    <w:p w:rsidR="00927EFC" w:rsidRPr="009D3886" w:rsidRDefault="00927EFC" w:rsidP="00927EFC">
      <w:pPr>
        <w:pStyle w:val="Heading1"/>
      </w:pPr>
      <w:r w:rsidRPr="009D3886">
        <w:t>The Government of China had submitted to the 86</w:t>
      </w:r>
      <w:r w:rsidRPr="009D3886">
        <w:rPr>
          <w:vertAlign w:val="superscript"/>
        </w:rPr>
        <w:t>th</w:t>
      </w:r>
      <w:r w:rsidRPr="009D3886">
        <w:t> meeting a progress report pursuant to decision 83/41. The Executive Committee deferred consideration of the progress report to the 87</w:t>
      </w:r>
      <w:r w:rsidRPr="009D3886">
        <w:rPr>
          <w:vertAlign w:val="superscript"/>
        </w:rPr>
        <w:t>th</w:t>
      </w:r>
      <w:r w:rsidRPr="009D3886">
        <w:t>, 88</w:t>
      </w:r>
      <w:r w:rsidRPr="009D3886">
        <w:rPr>
          <w:vertAlign w:val="superscript"/>
        </w:rPr>
        <w:t>th</w:t>
      </w:r>
      <w:r w:rsidRPr="009D3886">
        <w:t>, and 90</w:t>
      </w:r>
      <w:r w:rsidRPr="009D3886">
        <w:rPr>
          <w:vertAlign w:val="superscript"/>
        </w:rPr>
        <w:t>th</w:t>
      </w:r>
      <w:r w:rsidR="005C0E44">
        <w:t> meeting</w:t>
      </w:r>
      <w:r w:rsidRPr="009D3886">
        <w:t>s in accordance with the agreed procedures for conducting those meetings. The progress report is attached in its entirety to the present document without editing or further review.</w:t>
      </w:r>
    </w:p>
    <w:p w:rsidR="00927EFC" w:rsidRPr="009D3886" w:rsidRDefault="00927EFC" w:rsidP="00927EFC">
      <w:pPr>
        <w:jc w:val="left"/>
      </w:pPr>
    </w:p>
    <w:p w:rsidR="008C5738" w:rsidRPr="009D3886" w:rsidRDefault="008C5738" w:rsidP="00927EFC"/>
    <w:p w:rsidR="008C5738" w:rsidRPr="009D3886" w:rsidRDefault="008C5738" w:rsidP="00927EFC"/>
    <w:p w:rsidR="004E7F9C" w:rsidRPr="009D3886" w:rsidRDefault="004E7F9C" w:rsidP="00927EFC">
      <w:r w:rsidRPr="009D3886">
        <w:br w:type="page"/>
      </w:r>
    </w:p>
    <w:p w:rsidR="00927EFC" w:rsidRPr="009D3886" w:rsidRDefault="00927EFC" w:rsidP="00927EFC">
      <w:pPr>
        <w:spacing w:after="240"/>
        <w:ind w:left="1440" w:hanging="1440"/>
        <w:rPr>
          <w:b/>
        </w:rPr>
      </w:pPr>
      <w:r w:rsidRPr="009D3886">
        <w:rPr>
          <w:b/>
        </w:rPr>
        <w:lastRenderedPageBreak/>
        <w:t xml:space="preserve">PART II: </w:t>
      </w:r>
      <w:r w:rsidRPr="009D3886">
        <w:rPr>
          <w:b/>
        </w:rPr>
        <w:tab/>
        <w:t>STUDY TO DETERMINE THE REGULATORY, ENFORCEMENT, POLICY OR MARKET CIRCUMSTANCES THAT MIGHT HAVE LED TO THE ILLEGAL PRODUCTION AND USE OF CFC-11 AND CFC-12 (DECISION 83/41(d))</w:t>
      </w:r>
    </w:p>
    <w:p w:rsidR="00927EFC" w:rsidRPr="009D3886" w:rsidRDefault="00927EFC" w:rsidP="00927EFC">
      <w:pPr>
        <w:rPr>
          <w:b/>
        </w:rPr>
      </w:pPr>
      <w:r w:rsidRPr="009D3886">
        <w:rPr>
          <w:b/>
        </w:rPr>
        <w:t xml:space="preserve">Background </w:t>
      </w:r>
    </w:p>
    <w:p w:rsidR="00927EFC" w:rsidRPr="009D3886" w:rsidRDefault="00927EFC" w:rsidP="00927EFC"/>
    <w:p w:rsidR="00927EFC" w:rsidRPr="009D3886" w:rsidRDefault="00927EFC" w:rsidP="00927EFC">
      <w:pPr>
        <w:pStyle w:val="Heading1"/>
      </w:pPr>
      <w:r w:rsidRPr="009D3886">
        <w:t>In the context of its discussions on China’s monitoring, reporting, verification and enforcement systems at its 83</w:t>
      </w:r>
      <w:r w:rsidRPr="009D3886">
        <w:rPr>
          <w:vertAlign w:val="superscript"/>
        </w:rPr>
        <w:t>rd</w:t>
      </w:r>
      <w:r w:rsidRPr="009D3886">
        <w:t xml:space="preserve"> meeting, the Executive Committee </w:t>
      </w:r>
      <w:r w:rsidRPr="009D3886">
        <w:rPr>
          <w:i/>
        </w:rPr>
        <w:t>inter alia</w:t>
      </w:r>
      <w:r w:rsidRPr="009D3886">
        <w:t xml:space="preserve"> decided to note that the Government of China will consider engaging a non</w:t>
      </w:r>
      <w:r w:rsidRPr="009D3886">
        <w:noBreakHyphen/>
        <w:t xml:space="preserve">governmental consultant to undertake a study (including quantitative data, where available, and qualitative market information) to determine the regulatory, enforcement, policy or market circumstances that might have led to the illegal production and use of CFC-11 and CFC-12 (decision 83/41(d)). </w:t>
      </w:r>
    </w:p>
    <w:p w:rsidR="00B04161" w:rsidRPr="009D3886" w:rsidRDefault="00927EFC" w:rsidP="00927EFC">
      <w:pPr>
        <w:pStyle w:val="Heading1"/>
      </w:pPr>
      <w:r w:rsidRPr="009D3886">
        <w:t>Pursuant to decision 83/41(d), the Government of China had submitted to the 86</w:t>
      </w:r>
      <w:r w:rsidRPr="009D3886">
        <w:rPr>
          <w:vertAlign w:val="superscript"/>
        </w:rPr>
        <w:t>th</w:t>
      </w:r>
      <w:r w:rsidRPr="009D3886">
        <w:t> meeting the Study on the Supervision, Law Enforcement, Policy and Market Situation of Ozone Depleting Substances in China that was prepared by a non-governmental consultant. The Executive Committee deferred consideration of the study to the 87</w:t>
      </w:r>
      <w:r w:rsidRPr="009D3886">
        <w:rPr>
          <w:vertAlign w:val="superscript"/>
        </w:rPr>
        <w:t>th</w:t>
      </w:r>
      <w:r w:rsidRPr="009D3886">
        <w:t>, 88</w:t>
      </w:r>
      <w:r w:rsidRPr="009D3886">
        <w:rPr>
          <w:vertAlign w:val="superscript"/>
        </w:rPr>
        <w:t>th</w:t>
      </w:r>
      <w:r w:rsidRPr="009D3886">
        <w:t>, and 90</w:t>
      </w:r>
      <w:r w:rsidRPr="009D3886">
        <w:rPr>
          <w:vertAlign w:val="superscript"/>
        </w:rPr>
        <w:t>th</w:t>
      </w:r>
      <w:r w:rsidR="005C0E44">
        <w:t> meeting</w:t>
      </w:r>
      <w:r w:rsidRPr="009D3886">
        <w:t>s in accordance with the agreed procedures for conducting those meetings. The study is attached in its entirety to the present document without editing or</w:t>
      </w:r>
    </w:p>
    <w:p w:rsidR="00E85409" w:rsidRPr="009D3886" w:rsidRDefault="00E85409" w:rsidP="00927EFC"/>
    <w:p w:rsidR="00927EFC" w:rsidRPr="009D3886" w:rsidRDefault="00927EFC">
      <w:pPr>
        <w:jc w:val="left"/>
      </w:pPr>
      <w:r w:rsidRPr="009D3886">
        <w:br w:type="page"/>
      </w:r>
    </w:p>
    <w:p w:rsidR="00927EFC" w:rsidRPr="009D3886" w:rsidRDefault="00927EFC" w:rsidP="00927EFC">
      <w:pPr>
        <w:ind w:left="1350" w:hanging="1350"/>
        <w:jc w:val="left"/>
        <w:rPr>
          <w:b/>
        </w:rPr>
      </w:pPr>
      <w:bookmarkStart w:id="1" w:name="_Hlk103687701"/>
      <w:r w:rsidRPr="009D3886">
        <w:rPr>
          <w:b/>
        </w:rPr>
        <w:lastRenderedPageBreak/>
        <w:t>PART III:</w:t>
      </w:r>
      <w:r w:rsidRPr="009D3886">
        <w:rPr>
          <w:b/>
        </w:rPr>
        <w:tab/>
        <w:t>UPDATED REPORT ON THE PRODUCTION OF CTC AND ITS FEEDSTOCK USES IN CHINA (</w:t>
      </w:r>
      <w:r w:rsidR="005C0E44">
        <w:rPr>
          <w:b/>
        </w:rPr>
        <w:t>DECISION </w:t>
      </w:r>
      <w:r w:rsidRPr="009D3886">
        <w:rPr>
          <w:b/>
        </w:rPr>
        <w:t>84/41(b) AND (c))</w:t>
      </w:r>
    </w:p>
    <w:bookmarkEnd w:id="1"/>
    <w:p w:rsidR="00927EFC" w:rsidRPr="009D3886" w:rsidRDefault="00927EFC" w:rsidP="00927EFC">
      <w:pPr>
        <w:jc w:val="left"/>
        <w:rPr>
          <w:u w:val="single"/>
        </w:rPr>
      </w:pPr>
    </w:p>
    <w:p w:rsidR="00927EFC" w:rsidRPr="009D3886" w:rsidRDefault="00927EFC" w:rsidP="00927EFC">
      <w:pPr>
        <w:rPr>
          <w:b/>
        </w:rPr>
      </w:pPr>
      <w:r w:rsidRPr="009D3886">
        <w:rPr>
          <w:b/>
        </w:rPr>
        <w:t>Background</w:t>
      </w:r>
    </w:p>
    <w:p w:rsidR="00927EFC" w:rsidRPr="009D3886" w:rsidRDefault="00927EFC" w:rsidP="00927EFC">
      <w:pPr>
        <w:rPr>
          <w:u w:val="single"/>
        </w:rPr>
      </w:pPr>
    </w:p>
    <w:p w:rsidR="00927EFC" w:rsidRPr="009D3886" w:rsidRDefault="00927EFC" w:rsidP="00927EFC">
      <w:pPr>
        <w:numPr>
          <w:ilvl w:val="0"/>
          <w:numId w:val="1"/>
        </w:numPr>
        <w:spacing w:after="240"/>
        <w:outlineLvl w:val="0"/>
      </w:pPr>
      <w:r w:rsidRPr="009D3886">
        <w:t>At its 84</w:t>
      </w:r>
      <w:r w:rsidRPr="009D3886">
        <w:rPr>
          <w:vertAlign w:val="superscript"/>
        </w:rPr>
        <w:t>th</w:t>
      </w:r>
      <w:r w:rsidR="005C0E44">
        <w:t> meeting</w:t>
      </w:r>
      <w:r w:rsidRPr="009D3886">
        <w:t>, the Executive Committee considered the report on the production of CTC and its feedstock uses in China (</w:t>
      </w:r>
      <w:r w:rsidR="005C0E44">
        <w:t>decision </w:t>
      </w:r>
      <w:r w:rsidRPr="009D3886">
        <w:t xml:space="preserve">75/18(b)(iii)) contained in documents UNEP/OzL.Pro/ExCom/84/22/Add.2 and Add.3 and, subsequent to a discussion, decided </w:t>
      </w:r>
      <w:r w:rsidRPr="009D3886">
        <w:rPr>
          <w:i/>
        </w:rPr>
        <w:t>inter alia</w:t>
      </w:r>
      <w:r w:rsidRPr="009D3886">
        <w:t xml:space="preserve"> to invite the Government of China, through the World Bank, to submit, to the 88</w:t>
      </w:r>
      <w:r w:rsidRPr="009D3886">
        <w:rPr>
          <w:vertAlign w:val="superscript"/>
        </w:rPr>
        <w:t>th</w:t>
      </w:r>
      <w:r w:rsidR="005C0E44">
        <w:t> meeting</w:t>
      </w:r>
      <w:r w:rsidRPr="009D3886">
        <w:t>, an updated report on the production of CTC and its feedstock uses in the country, taking into consideration the information contained in documents UNEP/OzL.Pro/ExCom/84/22/Add.2 and Add.3, and including: (i) an update on the progress in monitoring perchloroethylene (PCE) plants that used the alkane chlorination process; (ii) any additional information relevant to the difference in emissions described in the report, and the estimated CTC emissions from China included in section 1.2.3 of the Scientific Assessment of Ozone Depletion: 2018;</w:t>
      </w:r>
      <w:r w:rsidRPr="009D3886">
        <w:rPr>
          <w:rStyle w:val="FootnoteReference"/>
        </w:rPr>
        <w:footnoteReference w:id="3"/>
      </w:r>
      <w:r w:rsidRPr="009D3886">
        <w:t xml:space="preserve"> and to note that the Government of China was considering monitoring the PCE that used the alkane chlorination process, and to invite the Government to include in the updated report any actions taken on that matter (</w:t>
      </w:r>
      <w:r w:rsidR="005C0E44">
        <w:t>decision </w:t>
      </w:r>
      <w:r w:rsidRPr="009D3886">
        <w:t>84/41).</w:t>
      </w:r>
    </w:p>
    <w:p w:rsidR="00927EFC" w:rsidRPr="009D3886" w:rsidRDefault="00927EFC" w:rsidP="00927EFC">
      <w:pPr>
        <w:numPr>
          <w:ilvl w:val="0"/>
          <w:numId w:val="1"/>
        </w:numPr>
        <w:spacing w:after="240"/>
        <w:outlineLvl w:val="0"/>
      </w:pPr>
      <w:r w:rsidRPr="009D3886">
        <w:t>The Government of China, through the World Bank, submitted the updated report on the production of CTC and its feedstock uses in China</w:t>
      </w:r>
      <w:r w:rsidRPr="009D3886">
        <w:rPr>
          <w:rStyle w:val="FootnoteReference"/>
        </w:rPr>
        <w:footnoteReference w:id="4"/>
      </w:r>
      <w:r w:rsidRPr="009D3886">
        <w:t xml:space="preserve"> on 20 September 2020. Given the limited time available before the 88</w:t>
      </w:r>
      <w:r w:rsidRPr="009D3886">
        <w:rPr>
          <w:vertAlign w:val="superscript"/>
        </w:rPr>
        <w:t>th</w:t>
      </w:r>
      <w:r w:rsidR="005C0E44">
        <w:t> meeting</w:t>
      </w:r>
      <w:r w:rsidRPr="009D3886">
        <w:t xml:space="preserve">, and in line with </w:t>
      </w:r>
      <w:r w:rsidR="005C0E44">
        <w:t>decision </w:t>
      </w:r>
      <w:r w:rsidRPr="009D3886">
        <w:t xml:space="preserve">84/41, the Secretariat undertook a preliminary review of the updated report, contained in Part IV of </w:t>
      </w:r>
      <w:r w:rsidR="005C0E44">
        <w:t>document </w:t>
      </w:r>
      <w:r w:rsidRPr="009D3886">
        <w:t xml:space="preserve">UNEP/OzL.Pro/ExCom/88/18/Add.1; the present document contains the Secretariat’s review of the updated report. </w:t>
      </w:r>
    </w:p>
    <w:p w:rsidR="00927EFC" w:rsidRPr="009D3886" w:rsidRDefault="00927EFC" w:rsidP="00927EFC">
      <w:pPr>
        <w:contextualSpacing/>
        <w:jc w:val="left"/>
        <w:rPr>
          <w:b/>
        </w:rPr>
      </w:pPr>
      <w:r w:rsidRPr="009D3886">
        <w:rPr>
          <w:b/>
        </w:rPr>
        <w:t>Updated report</w:t>
      </w:r>
    </w:p>
    <w:p w:rsidR="00927EFC" w:rsidRPr="009D3886" w:rsidRDefault="00927EFC" w:rsidP="00927EFC">
      <w:pPr>
        <w:outlineLvl w:val="0"/>
        <w:rPr>
          <w:b/>
          <w:caps/>
        </w:rPr>
      </w:pPr>
    </w:p>
    <w:p w:rsidR="00927EFC" w:rsidRPr="009D3886" w:rsidRDefault="00927EFC" w:rsidP="00927EFC">
      <w:pPr>
        <w:rPr>
          <w:u w:val="single"/>
        </w:rPr>
      </w:pPr>
      <w:r w:rsidRPr="009D3886">
        <w:rPr>
          <w:u w:val="single"/>
        </w:rPr>
        <w:t>Chloromethane (CM) and CTC production</w:t>
      </w:r>
    </w:p>
    <w:p w:rsidR="00927EFC" w:rsidRPr="009D3886" w:rsidRDefault="00927EFC" w:rsidP="00927EFC"/>
    <w:p w:rsidR="00927EFC" w:rsidRPr="00117546" w:rsidRDefault="00927EFC" w:rsidP="00927EFC">
      <w:pPr>
        <w:numPr>
          <w:ilvl w:val="0"/>
          <w:numId w:val="1"/>
        </w:numPr>
        <w:spacing w:after="240"/>
        <w:outlineLvl w:val="0"/>
      </w:pPr>
      <w:r w:rsidRPr="009D3886">
        <w:t>CM</w:t>
      </w:r>
      <w:r w:rsidRPr="009D3886">
        <w:rPr>
          <w:rStyle w:val="FootnoteReference"/>
        </w:rPr>
        <w:footnoteReference w:id="5"/>
      </w:r>
      <w:r w:rsidRPr="009D3886">
        <w:t xml:space="preserve"> and CTC production steadily increased between 2015 and 2019. In 2019, there were 16</w:t>
      </w:r>
      <w:r w:rsidR="00117546">
        <w:t> </w:t>
      </w:r>
      <w:r w:rsidRPr="009D3886">
        <w:t xml:space="preserve">CM production enterprises with total production capacity of 2,730,000 tonnes per annum. The production levels of CM and CTC are given </w:t>
      </w:r>
      <w:r w:rsidRPr="00117546">
        <w:t xml:space="preserve">in Table </w:t>
      </w:r>
      <w:r w:rsidR="005F365A" w:rsidRPr="00117546">
        <w:t>1</w:t>
      </w:r>
      <w:r w:rsidRPr="00117546">
        <w:t>.</w:t>
      </w:r>
    </w:p>
    <w:p w:rsidR="00927EFC" w:rsidRPr="009D3886" w:rsidRDefault="00927EFC" w:rsidP="00927EFC">
      <w:pPr>
        <w:rPr>
          <w:b/>
        </w:rPr>
      </w:pPr>
      <w:r w:rsidRPr="00117546">
        <w:rPr>
          <w:b/>
        </w:rPr>
        <w:t xml:space="preserve">Table </w:t>
      </w:r>
      <w:r w:rsidR="005F365A" w:rsidRPr="00117546">
        <w:rPr>
          <w:b/>
        </w:rPr>
        <w:t>1.</w:t>
      </w:r>
      <w:r w:rsidRPr="00117546">
        <w:rPr>
          <w:b/>
        </w:rPr>
        <w:t xml:space="preserve"> Production of CM and</w:t>
      </w:r>
      <w:r w:rsidRPr="009D3886">
        <w:rPr>
          <w:b/>
        </w:rPr>
        <w:t xml:space="preserve"> CTC in China</w:t>
      </w:r>
      <w:r w:rsidR="009D3886">
        <w:rPr>
          <w:b/>
        </w:rPr>
        <w:t xml:space="preserve"> in metric tonnes </w:t>
      </w:r>
      <w:r w:rsidRPr="009D3886">
        <w:rPr>
          <w:b/>
        </w:rPr>
        <w:t>(mt)</w:t>
      </w:r>
    </w:p>
    <w:tbl>
      <w:tblPr>
        <w:tblW w:w="5000" w:type="pct"/>
        <w:tblLook w:val="04A0" w:firstRow="1" w:lastRow="0" w:firstColumn="1" w:lastColumn="0" w:noHBand="0" w:noVBand="1"/>
      </w:tblPr>
      <w:tblGrid>
        <w:gridCol w:w="3018"/>
        <w:gridCol w:w="1296"/>
        <w:gridCol w:w="1296"/>
        <w:gridCol w:w="1294"/>
        <w:gridCol w:w="1296"/>
        <w:gridCol w:w="1150"/>
      </w:tblGrid>
      <w:tr w:rsidR="00927EFC" w:rsidRPr="009D3886" w:rsidTr="00A02CB0">
        <w:tc>
          <w:tcPr>
            <w:tcW w:w="16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7EFC" w:rsidRPr="009D3886" w:rsidRDefault="00927EFC" w:rsidP="00A02CB0">
            <w:pPr>
              <w:jc w:val="left"/>
              <w:rPr>
                <w:b/>
                <w:sz w:val="20"/>
                <w:szCs w:val="20"/>
              </w:rPr>
            </w:pPr>
            <w:r w:rsidRPr="009D3886">
              <w:rPr>
                <w:b/>
                <w:sz w:val="20"/>
                <w:szCs w:val="20"/>
              </w:rPr>
              <w:t xml:space="preserve">Particulars </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rsidR="00927EFC" w:rsidRPr="009D3886" w:rsidRDefault="00927EFC" w:rsidP="00A02CB0">
            <w:pPr>
              <w:jc w:val="center"/>
              <w:rPr>
                <w:b/>
                <w:sz w:val="20"/>
                <w:szCs w:val="20"/>
              </w:rPr>
            </w:pPr>
            <w:r w:rsidRPr="009D3886">
              <w:rPr>
                <w:b/>
                <w:sz w:val="20"/>
                <w:szCs w:val="20"/>
              </w:rPr>
              <w:t>2015</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rsidR="00927EFC" w:rsidRPr="009D3886" w:rsidRDefault="00927EFC" w:rsidP="00A02CB0">
            <w:pPr>
              <w:jc w:val="center"/>
              <w:rPr>
                <w:b/>
                <w:sz w:val="20"/>
                <w:szCs w:val="20"/>
              </w:rPr>
            </w:pPr>
            <w:r w:rsidRPr="009D3886">
              <w:rPr>
                <w:b/>
                <w:sz w:val="20"/>
                <w:szCs w:val="20"/>
              </w:rPr>
              <w:t>2016</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927EFC" w:rsidRPr="009D3886" w:rsidRDefault="00927EFC" w:rsidP="00A02CB0">
            <w:pPr>
              <w:jc w:val="center"/>
              <w:rPr>
                <w:b/>
                <w:sz w:val="20"/>
                <w:szCs w:val="20"/>
              </w:rPr>
            </w:pPr>
            <w:r w:rsidRPr="009D3886">
              <w:rPr>
                <w:b/>
                <w:sz w:val="20"/>
                <w:szCs w:val="20"/>
              </w:rPr>
              <w:t>2017</w:t>
            </w:r>
          </w:p>
        </w:tc>
        <w:tc>
          <w:tcPr>
            <w:tcW w:w="693" w:type="pct"/>
            <w:tcBorders>
              <w:top w:val="single" w:sz="4" w:space="0" w:color="auto"/>
              <w:left w:val="nil"/>
              <w:bottom w:val="single" w:sz="4" w:space="0" w:color="auto"/>
              <w:right w:val="single" w:sz="4" w:space="0" w:color="auto"/>
            </w:tcBorders>
            <w:vAlign w:val="bottom"/>
          </w:tcPr>
          <w:p w:rsidR="00927EFC" w:rsidRPr="009D3886" w:rsidRDefault="00927EFC" w:rsidP="00A02CB0">
            <w:pPr>
              <w:jc w:val="center"/>
              <w:rPr>
                <w:b/>
                <w:sz w:val="20"/>
                <w:szCs w:val="20"/>
              </w:rPr>
            </w:pPr>
            <w:r w:rsidRPr="009D3886">
              <w:rPr>
                <w:b/>
                <w:sz w:val="20"/>
                <w:szCs w:val="20"/>
              </w:rPr>
              <w:t>2018</w:t>
            </w:r>
          </w:p>
        </w:tc>
        <w:tc>
          <w:tcPr>
            <w:tcW w:w="615" w:type="pct"/>
            <w:tcBorders>
              <w:top w:val="single" w:sz="4" w:space="0" w:color="auto"/>
              <w:left w:val="nil"/>
              <w:bottom w:val="single" w:sz="4" w:space="0" w:color="auto"/>
              <w:right w:val="single" w:sz="4" w:space="0" w:color="auto"/>
            </w:tcBorders>
            <w:vAlign w:val="bottom"/>
          </w:tcPr>
          <w:p w:rsidR="00927EFC" w:rsidRPr="009D3886" w:rsidRDefault="00927EFC" w:rsidP="00A02CB0">
            <w:pPr>
              <w:jc w:val="center"/>
              <w:rPr>
                <w:b/>
                <w:sz w:val="20"/>
                <w:szCs w:val="20"/>
              </w:rPr>
            </w:pPr>
            <w:r w:rsidRPr="009D3886">
              <w:rPr>
                <w:b/>
                <w:sz w:val="20"/>
                <w:szCs w:val="20"/>
              </w:rPr>
              <w:t>2019</w:t>
            </w:r>
          </w:p>
        </w:tc>
      </w:tr>
      <w:tr w:rsidR="00927EFC" w:rsidRPr="009D3886" w:rsidTr="00A02CB0">
        <w:tc>
          <w:tcPr>
            <w:tcW w:w="1614" w:type="pct"/>
            <w:tcBorders>
              <w:top w:val="nil"/>
              <w:left w:val="single" w:sz="4" w:space="0" w:color="auto"/>
              <w:bottom w:val="single" w:sz="4" w:space="0" w:color="auto"/>
              <w:right w:val="single" w:sz="4" w:space="0" w:color="auto"/>
            </w:tcBorders>
            <w:shd w:val="clear" w:color="auto" w:fill="auto"/>
            <w:noWrap/>
            <w:hideMark/>
          </w:tcPr>
          <w:p w:rsidR="00927EFC" w:rsidRPr="009D3886" w:rsidRDefault="00927EFC" w:rsidP="00A02CB0">
            <w:pPr>
              <w:jc w:val="left"/>
              <w:rPr>
                <w:sz w:val="20"/>
                <w:szCs w:val="20"/>
              </w:rPr>
            </w:pPr>
            <w:r w:rsidRPr="009D3886">
              <w:rPr>
                <w:sz w:val="20"/>
                <w:szCs w:val="20"/>
              </w:rPr>
              <w:t>CM production</w:t>
            </w:r>
          </w:p>
        </w:tc>
        <w:tc>
          <w:tcPr>
            <w:tcW w:w="693" w:type="pct"/>
            <w:tcBorders>
              <w:top w:val="nil"/>
              <w:left w:val="nil"/>
              <w:bottom w:val="single" w:sz="4" w:space="0" w:color="auto"/>
              <w:right w:val="single" w:sz="4" w:space="0" w:color="auto"/>
            </w:tcBorders>
            <w:shd w:val="clear" w:color="auto" w:fill="auto"/>
            <w:noWrap/>
            <w:tcMar>
              <w:left w:w="115" w:type="dxa"/>
            </w:tcMar>
            <w:hideMark/>
          </w:tcPr>
          <w:p w:rsidR="00927EFC" w:rsidRPr="009D3886" w:rsidRDefault="00927EFC" w:rsidP="00A02CB0">
            <w:pPr>
              <w:jc w:val="right"/>
              <w:rPr>
                <w:sz w:val="20"/>
                <w:szCs w:val="20"/>
              </w:rPr>
            </w:pPr>
            <w:r w:rsidRPr="009D3886">
              <w:rPr>
                <w:sz w:val="20"/>
                <w:szCs w:val="20"/>
              </w:rPr>
              <w:t>2,055,221</w:t>
            </w:r>
          </w:p>
        </w:tc>
        <w:tc>
          <w:tcPr>
            <w:tcW w:w="693" w:type="pct"/>
            <w:tcBorders>
              <w:top w:val="nil"/>
              <w:left w:val="nil"/>
              <w:bottom w:val="single" w:sz="4" w:space="0" w:color="auto"/>
              <w:right w:val="single" w:sz="4" w:space="0" w:color="auto"/>
            </w:tcBorders>
            <w:shd w:val="clear" w:color="auto" w:fill="auto"/>
            <w:noWrap/>
            <w:tcMar>
              <w:left w:w="115" w:type="dxa"/>
            </w:tcMar>
            <w:hideMark/>
          </w:tcPr>
          <w:p w:rsidR="00927EFC" w:rsidRPr="009D3886" w:rsidRDefault="00927EFC" w:rsidP="00A02CB0">
            <w:pPr>
              <w:jc w:val="right"/>
              <w:rPr>
                <w:sz w:val="20"/>
                <w:szCs w:val="20"/>
              </w:rPr>
            </w:pPr>
            <w:r w:rsidRPr="009D3886">
              <w:rPr>
                <w:sz w:val="20"/>
                <w:szCs w:val="20"/>
              </w:rPr>
              <w:t>2,264,813</w:t>
            </w:r>
          </w:p>
        </w:tc>
        <w:tc>
          <w:tcPr>
            <w:tcW w:w="692" w:type="pct"/>
            <w:tcBorders>
              <w:top w:val="nil"/>
              <w:left w:val="nil"/>
              <w:bottom w:val="single" w:sz="4" w:space="0" w:color="auto"/>
              <w:right w:val="single" w:sz="4" w:space="0" w:color="auto"/>
            </w:tcBorders>
            <w:shd w:val="clear" w:color="auto" w:fill="auto"/>
            <w:noWrap/>
            <w:tcMar>
              <w:left w:w="115" w:type="dxa"/>
            </w:tcMar>
            <w:hideMark/>
          </w:tcPr>
          <w:p w:rsidR="00927EFC" w:rsidRPr="009D3886" w:rsidRDefault="00927EFC" w:rsidP="00A02CB0">
            <w:pPr>
              <w:jc w:val="right"/>
              <w:rPr>
                <w:sz w:val="20"/>
                <w:szCs w:val="20"/>
              </w:rPr>
            </w:pPr>
            <w:r w:rsidRPr="009D3886">
              <w:rPr>
                <w:sz w:val="20"/>
                <w:szCs w:val="20"/>
              </w:rPr>
              <w:t>2,586,052</w:t>
            </w:r>
          </w:p>
        </w:tc>
        <w:tc>
          <w:tcPr>
            <w:tcW w:w="693" w:type="pct"/>
            <w:tcBorders>
              <w:top w:val="nil"/>
              <w:left w:val="nil"/>
              <w:bottom w:val="single" w:sz="4" w:space="0" w:color="auto"/>
              <w:right w:val="single" w:sz="4" w:space="0" w:color="auto"/>
            </w:tcBorders>
          </w:tcPr>
          <w:p w:rsidR="00927EFC" w:rsidRPr="009D3886" w:rsidRDefault="00927EFC" w:rsidP="00A02CB0">
            <w:pPr>
              <w:jc w:val="right"/>
              <w:rPr>
                <w:sz w:val="20"/>
                <w:szCs w:val="20"/>
              </w:rPr>
            </w:pPr>
            <w:r w:rsidRPr="009D3886">
              <w:rPr>
                <w:sz w:val="20"/>
                <w:szCs w:val="20"/>
              </w:rPr>
              <w:t xml:space="preserve"> 2,647,676 </w:t>
            </w:r>
          </w:p>
        </w:tc>
        <w:tc>
          <w:tcPr>
            <w:tcW w:w="615" w:type="pct"/>
            <w:tcBorders>
              <w:top w:val="nil"/>
              <w:left w:val="nil"/>
              <w:bottom w:val="single" w:sz="4" w:space="0" w:color="auto"/>
              <w:right w:val="single" w:sz="4" w:space="0" w:color="auto"/>
            </w:tcBorders>
          </w:tcPr>
          <w:p w:rsidR="00927EFC" w:rsidRPr="009D3886" w:rsidRDefault="00927EFC" w:rsidP="00A02CB0">
            <w:pPr>
              <w:jc w:val="right"/>
              <w:rPr>
                <w:sz w:val="20"/>
                <w:szCs w:val="20"/>
              </w:rPr>
            </w:pPr>
            <w:r w:rsidRPr="009D3886">
              <w:rPr>
                <w:sz w:val="20"/>
                <w:szCs w:val="20"/>
              </w:rPr>
              <w:t xml:space="preserve"> 2,927,110</w:t>
            </w:r>
            <w:r w:rsidRPr="009D3886">
              <w:rPr>
                <w:sz w:val="20"/>
                <w:szCs w:val="20"/>
                <w:vertAlign w:val="superscript"/>
              </w:rPr>
              <w:t>*</w:t>
            </w:r>
            <w:r w:rsidRPr="009D3886">
              <w:rPr>
                <w:sz w:val="20"/>
                <w:szCs w:val="20"/>
              </w:rPr>
              <w:t xml:space="preserve"> </w:t>
            </w:r>
          </w:p>
        </w:tc>
      </w:tr>
      <w:tr w:rsidR="00927EFC" w:rsidRPr="009D3886" w:rsidTr="00A02CB0">
        <w:tc>
          <w:tcPr>
            <w:tcW w:w="1614" w:type="pct"/>
            <w:tcBorders>
              <w:top w:val="nil"/>
              <w:left w:val="single" w:sz="4" w:space="0" w:color="auto"/>
              <w:bottom w:val="single" w:sz="4" w:space="0" w:color="auto"/>
              <w:right w:val="single" w:sz="4" w:space="0" w:color="auto"/>
            </w:tcBorders>
            <w:shd w:val="clear" w:color="auto" w:fill="auto"/>
            <w:noWrap/>
            <w:vAlign w:val="bottom"/>
            <w:hideMark/>
          </w:tcPr>
          <w:p w:rsidR="00927EFC" w:rsidRPr="009D3886" w:rsidRDefault="00927EFC" w:rsidP="00A02CB0">
            <w:pPr>
              <w:jc w:val="left"/>
              <w:rPr>
                <w:sz w:val="20"/>
                <w:szCs w:val="20"/>
              </w:rPr>
            </w:pPr>
            <w:r w:rsidRPr="009D3886">
              <w:rPr>
                <w:sz w:val="20"/>
                <w:szCs w:val="20"/>
              </w:rPr>
              <w:t>CTC production</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rsidR="00927EFC" w:rsidRPr="009D3886" w:rsidRDefault="00927EFC" w:rsidP="00A02CB0">
            <w:pPr>
              <w:jc w:val="right"/>
              <w:rPr>
                <w:sz w:val="20"/>
                <w:szCs w:val="20"/>
              </w:rPr>
            </w:pPr>
            <w:r w:rsidRPr="009D3886">
              <w:rPr>
                <w:sz w:val="20"/>
                <w:szCs w:val="20"/>
              </w:rPr>
              <w:t>97,161</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rsidR="00927EFC" w:rsidRPr="009D3886" w:rsidRDefault="00927EFC" w:rsidP="00A02CB0">
            <w:pPr>
              <w:jc w:val="right"/>
              <w:rPr>
                <w:sz w:val="20"/>
                <w:szCs w:val="20"/>
              </w:rPr>
            </w:pPr>
            <w:r w:rsidRPr="009D3886">
              <w:rPr>
                <w:sz w:val="20"/>
                <w:szCs w:val="20"/>
              </w:rPr>
              <w:t>105,675</w:t>
            </w:r>
          </w:p>
        </w:tc>
        <w:tc>
          <w:tcPr>
            <w:tcW w:w="692" w:type="pct"/>
            <w:tcBorders>
              <w:top w:val="nil"/>
              <w:left w:val="nil"/>
              <w:bottom w:val="single" w:sz="4" w:space="0" w:color="auto"/>
              <w:right w:val="single" w:sz="4" w:space="0" w:color="auto"/>
            </w:tcBorders>
            <w:shd w:val="clear" w:color="auto" w:fill="auto"/>
            <w:noWrap/>
            <w:tcMar>
              <w:left w:w="115" w:type="dxa"/>
            </w:tcMar>
            <w:vAlign w:val="bottom"/>
            <w:hideMark/>
          </w:tcPr>
          <w:p w:rsidR="00927EFC" w:rsidRPr="009D3886" w:rsidRDefault="00927EFC" w:rsidP="00A02CB0">
            <w:pPr>
              <w:jc w:val="right"/>
              <w:rPr>
                <w:sz w:val="20"/>
                <w:szCs w:val="20"/>
              </w:rPr>
            </w:pPr>
            <w:r w:rsidRPr="009D3886">
              <w:rPr>
                <w:sz w:val="20"/>
                <w:szCs w:val="20"/>
              </w:rPr>
              <w:t>122,759</w:t>
            </w:r>
          </w:p>
        </w:tc>
        <w:tc>
          <w:tcPr>
            <w:tcW w:w="693" w:type="pct"/>
            <w:tcBorders>
              <w:top w:val="nil"/>
              <w:left w:val="nil"/>
              <w:bottom w:val="single" w:sz="4" w:space="0" w:color="auto"/>
              <w:right w:val="single" w:sz="4" w:space="0" w:color="auto"/>
            </w:tcBorders>
          </w:tcPr>
          <w:p w:rsidR="00927EFC" w:rsidRPr="009D3886" w:rsidRDefault="00927EFC" w:rsidP="00A02CB0">
            <w:pPr>
              <w:jc w:val="right"/>
              <w:rPr>
                <w:sz w:val="20"/>
                <w:szCs w:val="20"/>
              </w:rPr>
            </w:pPr>
            <w:r w:rsidRPr="009D3886">
              <w:rPr>
                <w:sz w:val="20"/>
                <w:szCs w:val="20"/>
              </w:rPr>
              <w:t xml:space="preserve"> 140,095 </w:t>
            </w:r>
          </w:p>
        </w:tc>
        <w:tc>
          <w:tcPr>
            <w:tcW w:w="615" w:type="pct"/>
            <w:tcBorders>
              <w:top w:val="nil"/>
              <w:left w:val="nil"/>
              <w:bottom w:val="single" w:sz="4" w:space="0" w:color="auto"/>
              <w:right w:val="single" w:sz="4" w:space="0" w:color="auto"/>
            </w:tcBorders>
          </w:tcPr>
          <w:p w:rsidR="00927EFC" w:rsidRPr="009D3886" w:rsidRDefault="00927EFC" w:rsidP="00A02CB0">
            <w:pPr>
              <w:jc w:val="right"/>
              <w:rPr>
                <w:sz w:val="20"/>
                <w:szCs w:val="20"/>
              </w:rPr>
            </w:pPr>
            <w:r w:rsidRPr="009D3886">
              <w:rPr>
                <w:sz w:val="20"/>
                <w:szCs w:val="20"/>
              </w:rPr>
              <w:t xml:space="preserve"> 155,669 </w:t>
            </w:r>
          </w:p>
        </w:tc>
      </w:tr>
      <w:tr w:rsidR="00927EFC" w:rsidRPr="009D3886" w:rsidTr="00A02CB0">
        <w:tc>
          <w:tcPr>
            <w:tcW w:w="1614" w:type="pct"/>
            <w:tcBorders>
              <w:top w:val="nil"/>
              <w:left w:val="single" w:sz="4" w:space="0" w:color="auto"/>
              <w:bottom w:val="single" w:sz="4" w:space="0" w:color="auto"/>
              <w:right w:val="single" w:sz="4" w:space="0" w:color="auto"/>
            </w:tcBorders>
            <w:shd w:val="clear" w:color="auto" w:fill="auto"/>
            <w:noWrap/>
            <w:vAlign w:val="bottom"/>
            <w:hideMark/>
          </w:tcPr>
          <w:p w:rsidR="00927EFC" w:rsidRPr="009D3886" w:rsidRDefault="00927EFC" w:rsidP="00A02CB0">
            <w:pPr>
              <w:jc w:val="left"/>
              <w:rPr>
                <w:sz w:val="20"/>
                <w:szCs w:val="20"/>
              </w:rPr>
            </w:pPr>
            <w:r w:rsidRPr="009D3886">
              <w:rPr>
                <w:sz w:val="20"/>
                <w:szCs w:val="20"/>
              </w:rPr>
              <w:t>Percentage of CTC production</w:t>
            </w:r>
          </w:p>
        </w:tc>
        <w:tc>
          <w:tcPr>
            <w:tcW w:w="693" w:type="pct"/>
            <w:tcBorders>
              <w:top w:val="nil"/>
              <w:left w:val="nil"/>
              <w:bottom w:val="single" w:sz="4" w:space="0" w:color="auto"/>
              <w:right w:val="single" w:sz="4" w:space="0" w:color="auto"/>
            </w:tcBorders>
            <w:shd w:val="clear" w:color="auto" w:fill="auto"/>
            <w:noWrap/>
            <w:vAlign w:val="bottom"/>
            <w:hideMark/>
          </w:tcPr>
          <w:p w:rsidR="00927EFC" w:rsidRPr="009D3886" w:rsidRDefault="00927EFC" w:rsidP="00A02CB0">
            <w:pPr>
              <w:jc w:val="right"/>
              <w:rPr>
                <w:sz w:val="20"/>
                <w:szCs w:val="20"/>
              </w:rPr>
            </w:pPr>
            <w:r w:rsidRPr="009D3886">
              <w:rPr>
                <w:sz w:val="20"/>
                <w:szCs w:val="20"/>
              </w:rPr>
              <w:t>4.73%</w:t>
            </w:r>
          </w:p>
        </w:tc>
        <w:tc>
          <w:tcPr>
            <w:tcW w:w="693" w:type="pct"/>
            <w:tcBorders>
              <w:top w:val="nil"/>
              <w:left w:val="nil"/>
              <w:bottom w:val="single" w:sz="4" w:space="0" w:color="auto"/>
              <w:right w:val="single" w:sz="4" w:space="0" w:color="auto"/>
            </w:tcBorders>
            <w:shd w:val="clear" w:color="auto" w:fill="auto"/>
            <w:noWrap/>
            <w:vAlign w:val="bottom"/>
            <w:hideMark/>
          </w:tcPr>
          <w:p w:rsidR="00927EFC" w:rsidRPr="009D3886" w:rsidRDefault="00927EFC" w:rsidP="00A02CB0">
            <w:pPr>
              <w:jc w:val="right"/>
              <w:rPr>
                <w:sz w:val="20"/>
                <w:szCs w:val="20"/>
              </w:rPr>
            </w:pPr>
            <w:r w:rsidRPr="009D3886">
              <w:rPr>
                <w:sz w:val="20"/>
                <w:szCs w:val="20"/>
              </w:rPr>
              <w:t>4.67%</w:t>
            </w:r>
          </w:p>
        </w:tc>
        <w:tc>
          <w:tcPr>
            <w:tcW w:w="692" w:type="pct"/>
            <w:tcBorders>
              <w:top w:val="nil"/>
              <w:left w:val="nil"/>
              <w:bottom w:val="single" w:sz="4" w:space="0" w:color="auto"/>
              <w:right w:val="single" w:sz="4" w:space="0" w:color="auto"/>
            </w:tcBorders>
            <w:shd w:val="clear" w:color="auto" w:fill="auto"/>
            <w:noWrap/>
            <w:vAlign w:val="bottom"/>
            <w:hideMark/>
          </w:tcPr>
          <w:p w:rsidR="00927EFC" w:rsidRPr="009D3886" w:rsidRDefault="00927EFC" w:rsidP="00A02CB0">
            <w:pPr>
              <w:jc w:val="right"/>
              <w:rPr>
                <w:sz w:val="20"/>
                <w:szCs w:val="20"/>
              </w:rPr>
            </w:pPr>
            <w:r w:rsidRPr="009D3886">
              <w:rPr>
                <w:sz w:val="20"/>
                <w:szCs w:val="20"/>
              </w:rPr>
              <w:t>4.75%</w:t>
            </w:r>
          </w:p>
        </w:tc>
        <w:tc>
          <w:tcPr>
            <w:tcW w:w="693" w:type="pct"/>
            <w:tcBorders>
              <w:top w:val="nil"/>
              <w:left w:val="nil"/>
              <w:bottom w:val="single" w:sz="4" w:space="0" w:color="auto"/>
              <w:right w:val="single" w:sz="4" w:space="0" w:color="auto"/>
            </w:tcBorders>
            <w:vAlign w:val="bottom"/>
          </w:tcPr>
          <w:p w:rsidR="00927EFC" w:rsidRPr="009D3886" w:rsidRDefault="00927EFC" w:rsidP="00A02CB0">
            <w:pPr>
              <w:jc w:val="right"/>
              <w:rPr>
                <w:sz w:val="20"/>
                <w:szCs w:val="20"/>
              </w:rPr>
            </w:pPr>
            <w:r w:rsidRPr="009D3886">
              <w:rPr>
                <w:sz w:val="20"/>
                <w:szCs w:val="20"/>
              </w:rPr>
              <w:t>5.29%</w:t>
            </w:r>
          </w:p>
        </w:tc>
        <w:tc>
          <w:tcPr>
            <w:tcW w:w="615" w:type="pct"/>
            <w:tcBorders>
              <w:top w:val="nil"/>
              <w:left w:val="nil"/>
              <w:bottom w:val="single" w:sz="4" w:space="0" w:color="auto"/>
              <w:right w:val="single" w:sz="4" w:space="0" w:color="auto"/>
            </w:tcBorders>
            <w:vAlign w:val="bottom"/>
          </w:tcPr>
          <w:p w:rsidR="00927EFC" w:rsidRPr="009D3886" w:rsidRDefault="00927EFC" w:rsidP="00A02CB0">
            <w:pPr>
              <w:jc w:val="right"/>
              <w:rPr>
                <w:sz w:val="20"/>
                <w:szCs w:val="20"/>
              </w:rPr>
            </w:pPr>
            <w:r w:rsidRPr="009D3886">
              <w:rPr>
                <w:sz w:val="20"/>
                <w:szCs w:val="20"/>
              </w:rPr>
              <w:t>5.32%</w:t>
            </w:r>
          </w:p>
        </w:tc>
      </w:tr>
    </w:tbl>
    <w:p w:rsidR="00927EFC" w:rsidRPr="009D3886" w:rsidRDefault="00927EFC" w:rsidP="00927EFC">
      <w:pPr>
        <w:rPr>
          <w:sz w:val="16"/>
          <w:szCs w:val="16"/>
        </w:rPr>
      </w:pPr>
      <w:r w:rsidRPr="009D3886">
        <w:rPr>
          <w:sz w:val="16"/>
          <w:szCs w:val="16"/>
        </w:rPr>
        <w:t>* Production was above the nameplate capacity for 2019.</w:t>
      </w:r>
    </w:p>
    <w:p w:rsidR="00927EFC" w:rsidRPr="009D3886" w:rsidRDefault="00927EFC" w:rsidP="00927EFC"/>
    <w:p w:rsidR="00927EFC" w:rsidRPr="009D3886" w:rsidRDefault="00927EFC" w:rsidP="00927EFC">
      <w:pPr>
        <w:numPr>
          <w:ilvl w:val="0"/>
          <w:numId w:val="1"/>
        </w:numPr>
        <w:spacing w:after="240"/>
        <w:outlineLvl w:val="0"/>
      </w:pPr>
      <w:r w:rsidRPr="009D3886">
        <w:t>During the period 2015 to 2019, the stock level for CTC grew from 1,435.9</w:t>
      </w:r>
      <w:r w:rsidR="00117546">
        <w:t> mt</w:t>
      </w:r>
      <w:r w:rsidRPr="009D3886">
        <w:t xml:space="preserve"> at the beginning of 2015 to 12,588.2</w:t>
      </w:r>
      <w:r w:rsidR="00117546">
        <w:t> mt</w:t>
      </w:r>
      <w:r w:rsidRPr="009D3886">
        <w:t xml:space="preserve"> by December 2019. </w:t>
      </w:r>
    </w:p>
    <w:p w:rsidR="00927EFC" w:rsidRPr="009D3886" w:rsidRDefault="00927EFC" w:rsidP="00117546">
      <w:pPr>
        <w:keepNext/>
        <w:keepLines/>
        <w:rPr>
          <w:u w:val="single"/>
        </w:rPr>
      </w:pPr>
      <w:r w:rsidRPr="009D3886">
        <w:rPr>
          <w:u w:val="single"/>
        </w:rPr>
        <w:lastRenderedPageBreak/>
        <w:t>Conversion of CTC to non-ODS chemicals at CM producers</w:t>
      </w:r>
    </w:p>
    <w:p w:rsidR="00927EFC" w:rsidRPr="009D3886" w:rsidRDefault="00927EFC" w:rsidP="00117546">
      <w:pPr>
        <w:keepNext/>
        <w:keepLines/>
      </w:pPr>
    </w:p>
    <w:p w:rsidR="00927EFC" w:rsidRPr="009D3886" w:rsidRDefault="00927EFC" w:rsidP="00117546">
      <w:pPr>
        <w:keepNext/>
        <w:keepLines/>
        <w:numPr>
          <w:ilvl w:val="0"/>
          <w:numId w:val="1"/>
        </w:numPr>
        <w:spacing w:after="240"/>
        <w:outlineLvl w:val="0"/>
      </w:pPr>
      <w:r w:rsidRPr="009D3886">
        <w:t>Most (68-71</w:t>
      </w:r>
      <w:r w:rsidR="00117546">
        <w:t> per cent</w:t>
      </w:r>
      <w:r w:rsidRPr="009D3886">
        <w:t>) of the CTC produced in 2018-2019 was used internally by CM producers for conversion to non-ODS chemicals (PCE, methyl chloride, and chloroform</w:t>
      </w:r>
      <w:r w:rsidRPr="009D3886">
        <w:rPr>
          <w:rStyle w:val="FootnoteReference"/>
        </w:rPr>
        <w:footnoteReference w:id="6"/>
      </w:r>
      <w:r w:rsidRPr="009D3886">
        <w:t>). The remaining CTC was sold to 25 registered feedstock users; minor quantities (less than 0.3</w:t>
      </w:r>
      <w:r w:rsidR="00117546">
        <w:t> per cent</w:t>
      </w:r>
      <w:r w:rsidRPr="009D3886">
        <w:t xml:space="preserve"> of CTC production) was used for laboratory and analytical uses and as a process agent.</w:t>
      </w:r>
    </w:p>
    <w:p w:rsidR="00927EFC" w:rsidRPr="009D3886" w:rsidRDefault="00927EFC" w:rsidP="00927EFC">
      <w:pPr>
        <w:keepNext/>
        <w:rPr>
          <w:u w:val="single"/>
        </w:rPr>
      </w:pPr>
      <w:r w:rsidRPr="009D3886">
        <w:rPr>
          <w:u w:val="single"/>
        </w:rPr>
        <w:t>Feedstock use of CTC</w:t>
      </w:r>
    </w:p>
    <w:p w:rsidR="00927EFC" w:rsidRPr="009D3886" w:rsidRDefault="00927EFC" w:rsidP="00927EFC">
      <w:pPr>
        <w:keepNext/>
        <w:rPr>
          <w:u w:val="single"/>
        </w:rPr>
      </w:pPr>
    </w:p>
    <w:p w:rsidR="00927EFC" w:rsidRPr="009D3886" w:rsidRDefault="00927EFC" w:rsidP="00927EFC">
      <w:pPr>
        <w:pStyle w:val="Heading1"/>
      </w:pPr>
      <w:r w:rsidRPr="009D3886">
        <w:t>CTC is used as a feedstock for the manufacture of 15 non-ODS chemicals, including four chemicals</w:t>
      </w:r>
      <w:r w:rsidRPr="009D3886">
        <w:rPr>
          <w:rStyle w:val="FootnoteReference"/>
        </w:rPr>
        <w:footnoteReference w:id="7"/>
      </w:r>
      <w:r w:rsidRPr="009D3886">
        <w:t xml:space="preserve"> that had not been manufactured in 2017. The number of feedstock users</w:t>
      </w:r>
      <w:r w:rsidRPr="009D3886">
        <w:rPr>
          <w:rStyle w:val="FootnoteReference"/>
        </w:rPr>
        <w:footnoteReference w:id="8"/>
      </w:r>
      <w:r w:rsidRPr="009D3886">
        <w:t xml:space="preserve"> in 2018-2019 grew to 25 from the 21 users that were active in 2017. The quantity of CTC used as a feedstock increased from 29,199</w:t>
      </w:r>
      <w:r w:rsidR="00117546">
        <w:t> mt</w:t>
      </w:r>
      <w:r w:rsidRPr="009D3886">
        <w:t xml:space="preserve"> in 2015 to 50,337</w:t>
      </w:r>
      <w:r w:rsidR="00117546">
        <w:t> mt</w:t>
      </w:r>
      <w:r w:rsidRPr="009D3886">
        <w:t xml:space="preserve"> in 2019, principally due to the increased manufacture of HFC-245fa, HCC</w:t>
      </w:r>
      <w:r w:rsidRPr="009D3886">
        <w:noBreakHyphen/>
        <w:t>240fa, and PCE. The manufacture of three of the new chemicals in 2018-2019 accounted for less than 1</w:t>
      </w:r>
      <w:r w:rsidR="00117546">
        <w:t> per cent</w:t>
      </w:r>
      <w:r w:rsidRPr="009D3886">
        <w:t xml:space="preserve"> of CTC used as feedstock, while the manufacture of the fourth chemical (HCC-240fa) became the largest feedstock use in 2019, accounting for approximately 40</w:t>
      </w:r>
      <w:r w:rsidR="00117546">
        <w:t> per cent</w:t>
      </w:r>
      <w:r w:rsidRPr="009D3886">
        <w:t xml:space="preserve"> of the CTC used as feedstock in 2019. HCC-240fa is principally used as a feedstock for the manufacture of HFOs and HFC-245fa.</w:t>
      </w:r>
    </w:p>
    <w:p w:rsidR="00927EFC" w:rsidRPr="009D3886" w:rsidRDefault="00927EFC" w:rsidP="00927EFC">
      <w:pPr>
        <w:pStyle w:val="Heading1"/>
        <w:numPr>
          <w:ilvl w:val="0"/>
          <w:numId w:val="0"/>
        </w:numPr>
        <w:rPr>
          <w:u w:val="single"/>
        </w:rPr>
      </w:pPr>
      <w:r w:rsidRPr="009D3886">
        <w:rPr>
          <w:u w:val="single"/>
        </w:rPr>
        <w:t>Production of PCE</w:t>
      </w:r>
    </w:p>
    <w:p w:rsidR="00927EFC" w:rsidRPr="009D3886" w:rsidRDefault="00927EFC" w:rsidP="00927EFC">
      <w:pPr>
        <w:numPr>
          <w:ilvl w:val="0"/>
          <w:numId w:val="1"/>
        </w:numPr>
        <w:spacing w:after="240"/>
        <w:outlineLvl w:val="0"/>
      </w:pPr>
      <w:r w:rsidRPr="009D3886">
        <w:t>There are two PCE production processes in China: the acetylene chlorination process and the C1</w:t>
      </w:r>
      <w:r w:rsidRPr="009D3886">
        <w:noBreakHyphen/>
        <w:t>C3 alkane chlorination process. The former, which is the main production pathway of PCE in China due to the low price and the availability of acetylene in China, does not result in the production of CTC by</w:t>
      </w:r>
      <w:r w:rsidRPr="009D3886">
        <w:noBreakHyphen/>
        <w:t>product, while CTC by-product is produced in the latter process. The updated report confirmed that there was only one PCE plant that uses the alkane chlorination process. All CTC by-product at that enterprise is recycled directly to the reactor, along with other reactants, after product distillation. CTC is partially separated in the quench tower, and in the purification units; the streams from these two processes containing a mixture of CTC, PCE, and other components are fed to a storage tank, which are not suitable for sale without purification. As there is no CTC purification unit at the enterprise, CTC from the enterprise cannot be sold; the contents of the storage tank, including the by-produced CTC, is recycled to the reactor. Production at the enterprise is supervised by the local ecology and environment bureau (EEB), which undertakes routine environmental supervision and monitoring, and irregular inspections to ensure that no CTC leaves the production line.</w:t>
      </w:r>
    </w:p>
    <w:p w:rsidR="00927EFC" w:rsidRPr="009D3886" w:rsidRDefault="00927EFC" w:rsidP="00927EFC">
      <w:pPr>
        <w:rPr>
          <w:u w:val="single"/>
        </w:rPr>
      </w:pPr>
      <w:r w:rsidRPr="009D3886">
        <w:rPr>
          <w:u w:val="single"/>
        </w:rPr>
        <w:t>Estimated CTC emissions</w:t>
      </w:r>
    </w:p>
    <w:p w:rsidR="00927EFC" w:rsidRPr="009D3886" w:rsidRDefault="00927EFC" w:rsidP="00927EFC"/>
    <w:p w:rsidR="00927EFC" w:rsidRPr="009D3886" w:rsidRDefault="00927EFC" w:rsidP="00927EFC">
      <w:pPr>
        <w:pStyle w:val="Heading1"/>
      </w:pPr>
      <w:r w:rsidRPr="009D3886">
        <w:t xml:space="preserve">The updated report provided estimated emissions of CTC for 2018-2019 based on the model described in the report on the 2015-2017 production of </w:t>
      </w:r>
      <w:r w:rsidR="00BD0C63">
        <w:t>CTC</w:t>
      </w:r>
      <w:r w:rsidRPr="009D3886">
        <w:t xml:space="preserve"> and its feedstock uses in China,</w:t>
      </w:r>
      <w:r w:rsidRPr="009D3886">
        <w:rPr>
          <w:rStyle w:val="FootnoteReference"/>
        </w:rPr>
        <w:footnoteReference w:id="9"/>
      </w:r>
      <w:r w:rsidRPr="009D3886">
        <w:t xml:space="preserve"> and the 2018</w:t>
      </w:r>
      <w:r w:rsidR="00EC5FFF">
        <w:noBreakHyphen/>
      </w:r>
      <w:r w:rsidRPr="009D3886">
        <w:t xml:space="preserve">2019 CTC production and use data. CTC emissions are estimated from three sources: from the CTC production by CM producers, from the conversion of CTC to non-ODS chemicals by CM producers, and from CTC feedstock users. </w:t>
      </w:r>
    </w:p>
    <w:p w:rsidR="00927EFC" w:rsidRPr="009D3886" w:rsidRDefault="00927EFC" w:rsidP="00927EFC">
      <w:pPr>
        <w:numPr>
          <w:ilvl w:val="0"/>
          <w:numId w:val="1"/>
        </w:numPr>
        <w:spacing w:after="240"/>
        <w:outlineLvl w:val="0"/>
      </w:pPr>
      <w:r w:rsidRPr="009D3886">
        <w:t xml:space="preserve">CTC emissions from CM production was assumed to be very low given advanced process technology and onsite management and controls at CM production facilities; the enterprises have installed cryogenic condensers in tank outlets to reduce volatile emission from the tail gas of CTC tanks; CTC incinerators are operational in most of the enterprises; closed systems with advanced cargo-tank and product-tank connections for avoiding any CTC emissions in the loading/unloading process and onsite </w:t>
      </w:r>
      <w:r w:rsidRPr="009D3886">
        <w:lastRenderedPageBreak/>
        <w:t>management; and process controls and advanced equipment used to minimize emissions of CTC during maintenance. In 2017, emissions of CTC were estimated at 25.6</w:t>
      </w:r>
      <w:r w:rsidR="00117546">
        <w:t> mt</w:t>
      </w:r>
      <w:r w:rsidRPr="009D3886">
        <w:t>, with an additional 365.6</w:t>
      </w:r>
      <w:r w:rsidR="00117546">
        <w:t> mt</w:t>
      </w:r>
      <w:r w:rsidRPr="009D3886">
        <w:t xml:space="preserve"> of potential emissions,</w:t>
      </w:r>
      <w:r w:rsidRPr="009D3886">
        <w:rPr>
          <w:vertAlign w:val="superscript"/>
        </w:rPr>
        <w:footnoteReference w:id="10"/>
      </w:r>
      <w:r w:rsidRPr="009D3886">
        <w:t xml:space="preserve"> resulting in maximum CTC emissions of 391.2</w:t>
      </w:r>
      <w:r w:rsidR="00117546">
        <w:t> mt</w:t>
      </w:r>
      <w:r w:rsidRPr="009D3886">
        <w:t xml:space="preserve"> (0.3</w:t>
      </w:r>
      <w:r w:rsidR="00117546">
        <w:t> per cent</w:t>
      </w:r>
      <w:r w:rsidRPr="009D3886">
        <w:t xml:space="preserve"> of CTC production); emissions in 2018 and 2019 increased to 29.6</w:t>
      </w:r>
      <w:r w:rsidR="00117546">
        <w:t> mt</w:t>
      </w:r>
      <w:r w:rsidRPr="009D3886">
        <w:t xml:space="preserve"> and 30.3</w:t>
      </w:r>
      <w:r w:rsidR="00117546">
        <w:t> mt</w:t>
      </w:r>
      <w:r w:rsidRPr="009D3886">
        <w:t>, with an additional 432.2</w:t>
      </w:r>
      <w:r w:rsidR="00117546">
        <w:t> mt</w:t>
      </w:r>
      <w:r w:rsidRPr="009D3886">
        <w:t xml:space="preserve"> and 543.7</w:t>
      </w:r>
      <w:r w:rsidR="00117546">
        <w:t> mt</w:t>
      </w:r>
      <w:r w:rsidRPr="009D3886">
        <w:t xml:space="preserve"> of potential emissions, resulting in maximum CTC emissions from the production of CM of 461.8</w:t>
      </w:r>
      <w:r w:rsidR="00117546">
        <w:t> mt</w:t>
      </w:r>
      <w:r w:rsidRPr="009D3886">
        <w:t xml:space="preserve"> and 574</w:t>
      </w:r>
      <w:r w:rsidR="00117546">
        <w:t> mt</w:t>
      </w:r>
      <w:r w:rsidRPr="009D3886">
        <w:t xml:space="preserve"> (0.3 and 0.4</w:t>
      </w:r>
      <w:r w:rsidR="00117546">
        <w:t> per cent</w:t>
      </w:r>
      <w:r w:rsidRPr="009D3886">
        <w:t xml:space="preserve"> of CTC production), respectively.</w:t>
      </w:r>
    </w:p>
    <w:p w:rsidR="00927EFC" w:rsidRPr="009D3886" w:rsidRDefault="00927EFC" w:rsidP="00927EFC">
      <w:pPr>
        <w:numPr>
          <w:ilvl w:val="0"/>
          <w:numId w:val="1"/>
        </w:numPr>
        <w:spacing w:after="240"/>
        <w:outlineLvl w:val="0"/>
      </w:pPr>
      <w:r w:rsidRPr="009D3886">
        <w:t>CTC emissions from the conversion of CTC to non-ODS chemicals by CM producers was assumed to be very low, in line with the advanced CTC conversion technology and process management for the large scale, continuous and highly automatic production process. All the CM production enterprises converting CTC are designed specifically for converting their CTC by-product; strict measures similar to that used in the CM production process are used to lower CTC emissions. In 2017, emission of CTC from CM producers during the conversion to non-ODS chemicals were 17.9</w:t>
      </w:r>
      <w:r w:rsidR="00117546">
        <w:t> mt</w:t>
      </w:r>
      <w:r w:rsidRPr="009D3886">
        <w:t>, with additional potential emissions of 84.3</w:t>
      </w:r>
      <w:r w:rsidR="00117546">
        <w:t> mt</w:t>
      </w:r>
      <w:r w:rsidRPr="009D3886">
        <w:t>, resulting in maximum emissions of 102.2</w:t>
      </w:r>
      <w:r w:rsidR="00117546">
        <w:t> mt</w:t>
      </w:r>
      <w:r w:rsidRPr="009D3886">
        <w:t>. Emissions in 2018 and 2019 decreased to 13.1</w:t>
      </w:r>
      <w:r w:rsidR="00117546">
        <w:t> mt</w:t>
      </w:r>
      <w:r w:rsidRPr="009D3886">
        <w:t xml:space="preserve"> and 14.2 mt, with potential emissions of 86.9</w:t>
      </w:r>
      <w:r w:rsidR="00117546">
        <w:t> mt</w:t>
      </w:r>
      <w:r w:rsidRPr="009D3886">
        <w:t xml:space="preserve"> and 75.0</w:t>
      </w:r>
      <w:r w:rsidR="00117546">
        <w:t> mt</w:t>
      </w:r>
      <w:r w:rsidRPr="009D3886">
        <w:t>, resulting in maximum emission of 100.0</w:t>
      </w:r>
      <w:r w:rsidR="00117546">
        <w:t> mt</w:t>
      </w:r>
      <w:r w:rsidRPr="009D3886">
        <w:t xml:space="preserve"> and 89.2</w:t>
      </w:r>
      <w:r w:rsidR="00117546">
        <w:t> mt</w:t>
      </w:r>
      <w:r w:rsidRPr="009D3886">
        <w:t xml:space="preserve">, respectively. Emissions decreased notwithstanding the increased quantity of CTC converted to non-ODS chemicals due to change in relative proportion of non-ODS produced and the different emissions associated with each process; in particular, the highest emissions in 2017 were from the production of chloroform, which decreased in 2018 and 2019. In contrast, production of methyl chloride, which does not result in emissions of CTC, increased, as did production of PCE, which has relatively low emissions of CTC. </w:t>
      </w:r>
    </w:p>
    <w:p w:rsidR="00927EFC" w:rsidRPr="00117546" w:rsidRDefault="00927EFC" w:rsidP="00927EFC">
      <w:pPr>
        <w:numPr>
          <w:ilvl w:val="0"/>
          <w:numId w:val="1"/>
        </w:numPr>
        <w:spacing w:after="240"/>
        <w:outlineLvl w:val="0"/>
      </w:pPr>
      <w:r w:rsidRPr="009D3886">
        <w:t>CTC emissions from feedstock use are assumed to be low given a high utilization rate of CTC that is ensured by adjusting the reaction conditions, recycling CTC in the production process, and advanced production technology and management of CTC. Emissions of CTC from feedstock use in 2017 were 39.4 mt, with additional potential emissions of 138.6</w:t>
      </w:r>
      <w:r w:rsidR="00117546">
        <w:t> mt</w:t>
      </w:r>
      <w:r w:rsidRPr="009D3886">
        <w:t>, resulting in maximum emissions of 177.9</w:t>
      </w:r>
      <w:r w:rsidR="00117546">
        <w:t> mt</w:t>
      </w:r>
      <w:r w:rsidRPr="009D3886">
        <w:t>. Emissions in 2018 and 2019 increased to 54.3</w:t>
      </w:r>
      <w:r w:rsidR="00117546">
        <w:t> mt</w:t>
      </w:r>
      <w:r w:rsidRPr="009D3886">
        <w:t xml:space="preserve"> and 75.2</w:t>
      </w:r>
      <w:r w:rsidR="00117546">
        <w:t> mt</w:t>
      </w:r>
      <w:r w:rsidRPr="009D3886">
        <w:t xml:space="preserve">, while additional potential emissions </w:t>
      </w:r>
      <w:r w:rsidRPr="00117546">
        <w:t>decreased to 74.4</w:t>
      </w:r>
      <w:r w:rsidR="00117546" w:rsidRPr="00117546">
        <w:t> mt</w:t>
      </w:r>
      <w:r w:rsidRPr="00117546">
        <w:t xml:space="preserve"> and 93.8</w:t>
      </w:r>
      <w:r w:rsidR="00117546" w:rsidRPr="00117546">
        <w:t> mt</w:t>
      </w:r>
      <w:r w:rsidRPr="00117546">
        <w:t>, resulting in maximum emissions of 128.7</w:t>
      </w:r>
      <w:r w:rsidR="00117546" w:rsidRPr="00117546">
        <w:t> mt</w:t>
      </w:r>
      <w:r w:rsidRPr="00117546">
        <w:t xml:space="preserve"> and 169.0</w:t>
      </w:r>
      <w:r w:rsidR="00117546" w:rsidRPr="00117546">
        <w:t> mt</w:t>
      </w:r>
      <w:r w:rsidRPr="00117546">
        <w:t xml:space="preserve">, respectively. </w:t>
      </w:r>
    </w:p>
    <w:p w:rsidR="00927EFC" w:rsidRPr="00117546" w:rsidRDefault="00927EFC" w:rsidP="00927EFC">
      <w:pPr>
        <w:numPr>
          <w:ilvl w:val="0"/>
          <w:numId w:val="1"/>
        </w:numPr>
        <w:spacing w:after="240"/>
        <w:outlineLvl w:val="0"/>
      </w:pPr>
      <w:r w:rsidRPr="00117546">
        <w:t xml:space="preserve">Table </w:t>
      </w:r>
      <w:r w:rsidR="005F365A" w:rsidRPr="00117546">
        <w:t>2</w:t>
      </w:r>
      <w:r w:rsidRPr="00117546">
        <w:t xml:space="preserve"> summarizes the estimated CTC emissions for 2017-2019.</w:t>
      </w:r>
    </w:p>
    <w:p w:rsidR="00927EFC" w:rsidRPr="009D3886" w:rsidRDefault="00927EFC" w:rsidP="00927EFC">
      <w:pPr>
        <w:outlineLvl w:val="0"/>
      </w:pPr>
      <w:r w:rsidRPr="00117546">
        <w:rPr>
          <w:b/>
        </w:rPr>
        <w:t xml:space="preserve">Table </w:t>
      </w:r>
      <w:r w:rsidR="005F365A" w:rsidRPr="00117546">
        <w:rPr>
          <w:b/>
        </w:rPr>
        <w:t>2</w:t>
      </w:r>
      <w:r w:rsidRPr="00117546">
        <w:rPr>
          <w:b/>
        </w:rPr>
        <w:t>. Estimated</w:t>
      </w:r>
      <w:r w:rsidRPr="009D3886">
        <w:rPr>
          <w:b/>
        </w:rPr>
        <w:t xml:space="preserve"> 2017-2019 CTC emissions in China (mt)</w:t>
      </w:r>
      <w:r w:rsidRPr="009D3886">
        <w:t xml:space="preserve"> </w:t>
      </w:r>
    </w:p>
    <w:tbl>
      <w:tblPr>
        <w:tblW w:w="9351" w:type="dxa"/>
        <w:tblLayout w:type="fixed"/>
        <w:tblLook w:val="04A0" w:firstRow="1" w:lastRow="0" w:firstColumn="1" w:lastColumn="0" w:noHBand="0" w:noVBand="1"/>
      </w:tblPr>
      <w:tblGrid>
        <w:gridCol w:w="1101"/>
        <w:gridCol w:w="916"/>
        <w:gridCol w:w="917"/>
        <w:gridCol w:w="917"/>
        <w:gridCol w:w="916"/>
        <w:gridCol w:w="917"/>
        <w:gridCol w:w="917"/>
        <w:gridCol w:w="916"/>
        <w:gridCol w:w="917"/>
        <w:gridCol w:w="917"/>
      </w:tblGrid>
      <w:tr w:rsidR="00927EFC" w:rsidRPr="00117546" w:rsidTr="00A02CB0">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rsidR="00927EFC" w:rsidRPr="00117546" w:rsidRDefault="00927EFC" w:rsidP="00A02CB0">
            <w:pPr>
              <w:spacing w:before="20" w:after="20"/>
              <w:jc w:val="left"/>
              <w:rPr>
                <w:b/>
                <w:bCs/>
                <w:color w:val="000000"/>
                <w:sz w:val="20"/>
                <w:szCs w:val="20"/>
                <w:lang w:eastAsia="en-CA"/>
              </w:rPr>
            </w:pPr>
            <w:r w:rsidRPr="00117546">
              <w:rPr>
                <w:b/>
                <w:bCs/>
                <w:color w:val="000000"/>
                <w:sz w:val="20"/>
                <w:szCs w:val="20"/>
                <w:lang w:eastAsia="en-CA"/>
              </w:rPr>
              <w:t>Year</w:t>
            </w:r>
          </w:p>
        </w:tc>
        <w:tc>
          <w:tcPr>
            <w:tcW w:w="2750" w:type="dxa"/>
            <w:gridSpan w:val="3"/>
            <w:tcBorders>
              <w:top w:val="single" w:sz="4" w:space="0" w:color="auto"/>
              <w:left w:val="nil"/>
              <w:bottom w:val="single" w:sz="4" w:space="0" w:color="auto"/>
              <w:right w:val="single" w:sz="4" w:space="0" w:color="000000"/>
            </w:tcBorders>
            <w:shd w:val="clear" w:color="auto" w:fill="auto"/>
            <w:noWrap/>
            <w:tcMar>
              <w:left w:w="85" w:type="dxa"/>
              <w:right w:w="85" w:type="dxa"/>
            </w:tcMar>
            <w:vAlign w:val="center"/>
            <w:hideMark/>
          </w:tcPr>
          <w:p w:rsidR="00927EFC" w:rsidRPr="00117546" w:rsidRDefault="00927EFC" w:rsidP="00A02CB0">
            <w:pPr>
              <w:spacing w:before="20" w:after="20"/>
              <w:jc w:val="center"/>
              <w:rPr>
                <w:b/>
                <w:bCs/>
                <w:color w:val="000000"/>
                <w:sz w:val="20"/>
                <w:szCs w:val="20"/>
                <w:lang w:eastAsia="en-CA"/>
              </w:rPr>
            </w:pPr>
            <w:r w:rsidRPr="00117546">
              <w:rPr>
                <w:b/>
                <w:bCs/>
                <w:color w:val="000000"/>
                <w:sz w:val="20"/>
                <w:szCs w:val="20"/>
                <w:lang w:eastAsia="en-CA"/>
              </w:rPr>
              <w:t>2017</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rsidR="00927EFC" w:rsidRPr="00117546" w:rsidRDefault="00927EFC" w:rsidP="00A02CB0">
            <w:pPr>
              <w:spacing w:before="20" w:after="20"/>
              <w:jc w:val="center"/>
              <w:rPr>
                <w:b/>
                <w:bCs/>
                <w:color w:val="000000"/>
                <w:sz w:val="20"/>
                <w:szCs w:val="20"/>
                <w:lang w:eastAsia="en-CA"/>
              </w:rPr>
            </w:pPr>
            <w:r w:rsidRPr="00117546">
              <w:rPr>
                <w:b/>
                <w:bCs/>
                <w:color w:val="000000"/>
                <w:sz w:val="20"/>
                <w:szCs w:val="20"/>
                <w:lang w:eastAsia="en-CA"/>
              </w:rPr>
              <w:t>2018</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rsidR="00927EFC" w:rsidRPr="00117546" w:rsidRDefault="00927EFC" w:rsidP="00A02CB0">
            <w:pPr>
              <w:spacing w:before="20" w:after="20"/>
              <w:jc w:val="center"/>
              <w:rPr>
                <w:b/>
                <w:bCs/>
                <w:color w:val="000000"/>
                <w:sz w:val="20"/>
                <w:szCs w:val="20"/>
                <w:lang w:eastAsia="en-CA"/>
              </w:rPr>
            </w:pPr>
            <w:r w:rsidRPr="00117546">
              <w:rPr>
                <w:b/>
                <w:bCs/>
                <w:color w:val="000000"/>
                <w:sz w:val="20"/>
                <w:szCs w:val="20"/>
                <w:lang w:eastAsia="en-CA"/>
              </w:rPr>
              <w:t>2019</w:t>
            </w:r>
          </w:p>
        </w:tc>
      </w:tr>
      <w:tr w:rsidR="00927EFC" w:rsidRPr="00117546" w:rsidTr="00A02CB0">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rsidR="00927EFC" w:rsidRPr="00117546" w:rsidRDefault="00927EFC" w:rsidP="00A02CB0">
            <w:pPr>
              <w:spacing w:before="20" w:after="20"/>
              <w:jc w:val="left"/>
              <w:rPr>
                <w:b/>
                <w:bCs/>
                <w:color w:val="000000"/>
                <w:sz w:val="20"/>
                <w:szCs w:val="20"/>
                <w:lang w:eastAsia="en-CA"/>
              </w:rPr>
            </w:pPr>
            <w:r w:rsidRPr="00117546">
              <w:rPr>
                <w:b/>
                <w:bCs/>
                <w:color w:val="000000"/>
                <w:sz w:val="20"/>
                <w:szCs w:val="20"/>
                <w:lang w:eastAsia="en-CA"/>
              </w:rPr>
              <w:t xml:space="preserve">Item </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rsidR="00927EFC" w:rsidRPr="00117546" w:rsidRDefault="00927EFC" w:rsidP="00A02CB0">
            <w:pPr>
              <w:spacing w:before="20" w:after="20"/>
              <w:jc w:val="center"/>
              <w:rPr>
                <w:color w:val="000000"/>
                <w:sz w:val="18"/>
                <w:szCs w:val="18"/>
                <w:lang w:eastAsia="en-CA"/>
              </w:rPr>
            </w:pPr>
            <w:r w:rsidRPr="00117546">
              <w:rPr>
                <w:color w:val="000000"/>
                <w:sz w:val="18"/>
                <w:szCs w:val="18"/>
                <w:lang w:eastAsia="en-CA"/>
              </w:rPr>
              <w:t>Actual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rsidR="00927EFC" w:rsidRPr="00117546" w:rsidRDefault="00927EFC" w:rsidP="00A02CB0">
            <w:pPr>
              <w:spacing w:before="20" w:after="20"/>
              <w:jc w:val="center"/>
              <w:rPr>
                <w:color w:val="000000"/>
                <w:sz w:val="18"/>
                <w:szCs w:val="18"/>
                <w:lang w:eastAsia="en-CA"/>
              </w:rPr>
            </w:pPr>
            <w:r w:rsidRPr="00117546">
              <w:rPr>
                <w:color w:val="000000"/>
                <w:sz w:val="18"/>
                <w:szCs w:val="18"/>
                <w:lang w:eastAsia="en-CA"/>
              </w:rPr>
              <w:t>Potential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rsidR="00927EFC" w:rsidRPr="00117546" w:rsidRDefault="00927EFC" w:rsidP="00A02CB0">
            <w:pPr>
              <w:spacing w:before="20" w:after="20"/>
              <w:jc w:val="center"/>
              <w:rPr>
                <w:color w:val="000000"/>
                <w:sz w:val="18"/>
                <w:szCs w:val="18"/>
                <w:lang w:eastAsia="en-CA"/>
              </w:rPr>
            </w:pPr>
            <w:r w:rsidRPr="00117546">
              <w:rPr>
                <w:color w:val="000000"/>
                <w:sz w:val="18"/>
                <w:szCs w:val="18"/>
                <w:lang w:eastAsia="en-CA"/>
              </w:rPr>
              <w:t>Maximum emission</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rsidR="00927EFC" w:rsidRPr="00117546" w:rsidRDefault="00927EFC" w:rsidP="00A02CB0">
            <w:pPr>
              <w:spacing w:before="20" w:after="20"/>
              <w:jc w:val="center"/>
              <w:rPr>
                <w:color w:val="000000"/>
                <w:sz w:val="18"/>
                <w:szCs w:val="18"/>
                <w:lang w:eastAsia="en-CA"/>
              </w:rPr>
            </w:pPr>
            <w:r w:rsidRPr="00117546">
              <w:rPr>
                <w:color w:val="000000"/>
                <w:sz w:val="18"/>
                <w:szCs w:val="18"/>
                <w:lang w:eastAsia="en-CA"/>
              </w:rPr>
              <w:t>Actual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rsidR="00927EFC" w:rsidRPr="00117546" w:rsidRDefault="00927EFC" w:rsidP="00A02CB0">
            <w:pPr>
              <w:spacing w:before="20" w:after="20"/>
              <w:jc w:val="center"/>
              <w:rPr>
                <w:color w:val="000000"/>
                <w:sz w:val="18"/>
                <w:szCs w:val="18"/>
                <w:lang w:eastAsia="en-CA"/>
              </w:rPr>
            </w:pPr>
            <w:r w:rsidRPr="00117546">
              <w:rPr>
                <w:color w:val="000000"/>
                <w:sz w:val="18"/>
                <w:szCs w:val="18"/>
                <w:lang w:eastAsia="en-CA"/>
              </w:rPr>
              <w:t>Potential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rsidR="00927EFC" w:rsidRPr="00117546" w:rsidRDefault="00927EFC" w:rsidP="00A02CB0">
            <w:pPr>
              <w:spacing w:before="20" w:after="20"/>
              <w:jc w:val="center"/>
              <w:rPr>
                <w:color w:val="000000"/>
                <w:sz w:val="18"/>
                <w:szCs w:val="18"/>
                <w:lang w:eastAsia="en-CA"/>
              </w:rPr>
            </w:pPr>
            <w:r w:rsidRPr="00117546">
              <w:rPr>
                <w:color w:val="000000"/>
                <w:sz w:val="18"/>
                <w:szCs w:val="18"/>
                <w:lang w:eastAsia="en-CA"/>
              </w:rPr>
              <w:t>Maximum emission</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rsidR="00927EFC" w:rsidRPr="00117546" w:rsidRDefault="00927EFC" w:rsidP="00A02CB0">
            <w:pPr>
              <w:spacing w:before="20" w:after="20"/>
              <w:jc w:val="center"/>
              <w:rPr>
                <w:color w:val="000000"/>
                <w:sz w:val="18"/>
                <w:szCs w:val="18"/>
                <w:lang w:eastAsia="en-CA"/>
              </w:rPr>
            </w:pPr>
            <w:r w:rsidRPr="00117546">
              <w:rPr>
                <w:color w:val="000000"/>
                <w:sz w:val="18"/>
                <w:szCs w:val="18"/>
                <w:lang w:eastAsia="en-CA"/>
              </w:rPr>
              <w:t>Actual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rsidR="00927EFC" w:rsidRPr="00117546" w:rsidRDefault="00927EFC" w:rsidP="00A02CB0">
            <w:pPr>
              <w:spacing w:before="20" w:after="20"/>
              <w:jc w:val="center"/>
              <w:rPr>
                <w:color w:val="000000"/>
                <w:sz w:val="18"/>
                <w:szCs w:val="18"/>
                <w:lang w:eastAsia="en-CA"/>
              </w:rPr>
            </w:pPr>
            <w:r w:rsidRPr="00117546">
              <w:rPr>
                <w:color w:val="000000"/>
                <w:sz w:val="18"/>
                <w:szCs w:val="18"/>
                <w:lang w:eastAsia="en-CA"/>
              </w:rPr>
              <w:t>Potential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rsidR="00927EFC" w:rsidRPr="00117546" w:rsidRDefault="00927EFC" w:rsidP="00A02CB0">
            <w:pPr>
              <w:spacing w:before="20" w:after="20"/>
              <w:jc w:val="center"/>
              <w:rPr>
                <w:color w:val="000000"/>
                <w:sz w:val="18"/>
                <w:szCs w:val="18"/>
                <w:lang w:eastAsia="en-CA"/>
              </w:rPr>
            </w:pPr>
            <w:r w:rsidRPr="00117546">
              <w:rPr>
                <w:color w:val="000000"/>
                <w:sz w:val="18"/>
                <w:szCs w:val="18"/>
                <w:lang w:eastAsia="en-CA"/>
              </w:rPr>
              <w:t>Maximum emission</w:t>
            </w:r>
          </w:p>
        </w:tc>
      </w:tr>
      <w:tr w:rsidR="00927EFC" w:rsidRPr="00117546" w:rsidTr="00117546">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rsidR="00927EFC" w:rsidRPr="00117546" w:rsidRDefault="00927EFC" w:rsidP="00A02CB0">
            <w:pPr>
              <w:spacing w:before="20" w:after="20"/>
              <w:jc w:val="left"/>
              <w:rPr>
                <w:color w:val="000000"/>
                <w:sz w:val="20"/>
                <w:szCs w:val="20"/>
                <w:lang w:eastAsia="en-CA"/>
              </w:rPr>
            </w:pPr>
            <w:r w:rsidRPr="00117546">
              <w:rPr>
                <w:color w:val="000000"/>
                <w:sz w:val="20"/>
                <w:szCs w:val="20"/>
                <w:lang w:eastAsia="en-CA"/>
              </w:rPr>
              <w:t xml:space="preserve">CM production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25.6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365.6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391.2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29.6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432.2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461.8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30.3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543.7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574.0 </w:t>
            </w:r>
          </w:p>
        </w:tc>
      </w:tr>
      <w:tr w:rsidR="00927EFC" w:rsidRPr="00117546" w:rsidTr="00117546">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rsidR="00927EFC" w:rsidRPr="00117546" w:rsidRDefault="00927EFC" w:rsidP="00A02CB0">
            <w:pPr>
              <w:spacing w:before="20" w:after="20"/>
              <w:jc w:val="left"/>
              <w:rPr>
                <w:color w:val="000000"/>
                <w:sz w:val="20"/>
                <w:szCs w:val="20"/>
                <w:lang w:eastAsia="en-CA"/>
              </w:rPr>
            </w:pPr>
            <w:r w:rsidRPr="00117546">
              <w:rPr>
                <w:color w:val="000000"/>
                <w:sz w:val="20"/>
                <w:szCs w:val="20"/>
                <w:lang w:eastAsia="en-CA"/>
              </w:rPr>
              <w:t>Conversion at CM producers</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17.9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84.3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102.2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13.1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86.9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100.0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14.2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75.0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89.2 </w:t>
            </w:r>
          </w:p>
        </w:tc>
      </w:tr>
      <w:tr w:rsidR="00927EFC" w:rsidRPr="00117546" w:rsidTr="00117546">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rsidR="00927EFC" w:rsidRPr="00117546" w:rsidRDefault="00927EFC" w:rsidP="00A02CB0">
            <w:pPr>
              <w:spacing w:before="20" w:after="20"/>
              <w:jc w:val="left"/>
              <w:rPr>
                <w:color w:val="000000"/>
                <w:sz w:val="20"/>
                <w:szCs w:val="20"/>
                <w:lang w:eastAsia="en-CA"/>
              </w:rPr>
            </w:pPr>
            <w:r w:rsidRPr="00117546">
              <w:rPr>
                <w:color w:val="000000"/>
                <w:sz w:val="20"/>
                <w:szCs w:val="20"/>
                <w:lang w:eastAsia="en-CA"/>
              </w:rPr>
              <w:t xml:space="preserve">Feedstock uses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39.4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138.6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177.9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54.3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74.4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128.7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75.2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93.8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color w:val="000000"/>
                <w:sz w:val="20"/>
                <w:szCs w:val="20"/>
                <w:lang w:eastAsia="en-CA"/>
              </w:rPr>
            </w:pPr>
            <w:r w:rsidRPr="00117546">
              <w:rPr>
                <w:sz w:val="20"/>
                <w:szCs w:val="20"/>
              </w:rPr>
              <w:t xml:space="preserve"> 169.0 </w:t>
            </w:r>
          </w:p>
        </w:tc>
      </w:tr>
      <w:tr w:rsidR="00927EFC" w:rsidRPr="00117546" w:rsidTr="00117546">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rsidR="00927EFC" w:rsidRPr="00117546" w:rsidRDefault="00927EFC" w:rsidP="00A02CB0">
            <w:pPr>
              <w:spacing w:before="20" w:after="20"/>
              <w:jc w:val="left"/>
              <w:rPr>
                <w:b/>
                <w:bCs/>
                <w:color w:val="000000"/>
                <w:sz w:val="20"/>
                <w:szCs w:val="20"/>
                <w:lang w:eastAsia="en-CA"/>
              </w:rPr>
            </w:pPr>
            <w:r w:rsidRPr="00117546">
              <w:rPr>
                <w:b/>
                <w:bCs/>
                <w:color w:val="000000"/>
                <w:sz w:val="20"/>
                <w:szCs w:val="20"/>
                <w:lang w:eastAsia="en-CA"/>
              </w:rPr>
              <w:t>Total</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b/>
                <w:bCs/>
                <w:color w:val="000000"/>
                <w:sz w:val="20"/>
                <w:szCs w:val="20"/>
                <w:lang w:eastAsia="en-CA"/>
              </w:rPr>
            </w:pPr>
            <w:r w:rsidRPr="00117546">
              <w:rPr>
                <w:b/>
                <w:bCs/>
                <w:sz w:val="20"/>
                <w:szCs w:val="20"/>
              </w:rPr>
              <w:t xml:space="preserve"> 82.9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b/>
                <w:bCs/>
                <w:color w:val="000000"/>
                <w:sz w:val="20"/>
                <w:szCs w:val="20"/>
                <w:lang w:eastAsia="en-CA"/>
              </w:rPr>
            </w:pPr>
            <w:r w:rsidRPr="00117546">
              <w:rPr>
                <w:b/>
                <w:bCs/>
                <w:sz w:val="20"/>
                <w:szCs w:val="20"/>
              </w:rPr>
              <w:t xml:space="preserve"> 588.4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rsidR="00927EFC" w:rsidRPr="00117546" w:rsidRDefault="00927EFC" w:rsidP="00A02CB0">
            <w:pPr>
              <w:spacing w:before="20" w:after="20"/>
              <w:jc w:val="right"/>
              <w:rPr>
                <w:b/>
                <w:bCs/>
                <w:color w:val="000000"/>
                <w:sz w:val="20"/>
                <w:szCs w:val="20"/>
                <w:lang w:eastAsia="en-CA"/>
              </w:rPr>
            </w:pPr>
            <w:r w:rsidRPr="00117546">
              <w:rPr>
                <w:b/>
                <w:bCs/>
                <w:sz w:val="20"/>
                <w:szCs w:val="20"/>
              </w:rPr>
              <w:t xml:space="preserve"> 671.3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b/>
                <w:bCs/>
                <w:color w:val="000000"/>
                <w:sz w:val="20"/>
                <w:szCs w:val="20"/>
                <w:lang w:eastAsia="en-CA"/>
              </w:rPr>
            </w:pPr>
            <w:r w:rsidRPr="00117546">
              <w:rPr>
                <w:b/>
                <w:bCs/>
                <w:sz w:val="20"/>
                <w:szCs w:val="20"/>
              </w:rPr>
              <w:t xml:space="preserve"> 97.0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b/>
                <w:bCs/>
                <w:color w:val="000000"/>
                <w:sz w:val="20"/>
                <w:szCs w:val="20"/>
                <w:lang w:eastAsia="en-CA"/>
              </w:rPr>
            </w:pPr>
            <w:r w:rsidRPr="00117546">
              <w:rPr>
                <w:b/>
                <w:bCs/>
                <w:sz w:val="20"/>
                <w:szCs w:val="20"/>
              </w:rPr>
              <w:t xml:space="preserve"> 593.5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b/>
                <w:bCs/>
                <w:color w:val="000000"/>
                <w:sz w:val="20"/>
                <w:szCs w:val="20"/>
                <w:lang w:eastAsia="en-CA"/>
              </w:rPr>
            </w:pPr>
            <w:r w:rsidRPr="00117546">
              <w:rPr>
                <w:b/>
                <w:bCs/>
                <w:sz w:val="20"/>
                <w:szCs w:val="20"/>
              </w:rPr>
              <w:t xml:space="preserve"> 690.5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b/>
                <w:bCs/>
                <w:color w:val="000000"/>
                <w:sz w:val="20"/>
                <w:szCs w:val="20"/>
                <w:lang w:eastAsia="en-CA"/>
              </w:rPr>
            </w:pPr>
            <w:r w:rsidRPr="00117546">
              <w:rPr>
                <w:b/>
                <w:bCs/>
                <w:sz w:val="20"/>
                <w:szCs w:val="20"/>
              </w:rPr>
              <w:t xml:space="preserve"> 119.7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b/>
                <w:bCs/>
                <w:color w:val="000000"/>
                <w:sz w:val="20"/>
                <w:szCs w:val="20"/>
                <w:lang w:eastAsia="en-CA"/>
              </w:rPr>
            </w:pPr>
            <w:r w:rsidRPr="00117546">
              <w:rPr>
                <w:b/>
                <w:bCs/>
                <w:sz w:val="20"/>
                <w:szCs w:val="20"/>
              </w:rPr>
              <w:t xml:space="preserve"> 712.5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rsidR="00927EFC" w:rsidRPr="00117546" w:rsidRDefault="00927EFC" w:rsidP="00A02CB0">
            <w:pPr>
              <w:spacing w:before="20" w:after="20"/>
              <w:jc w:val="right"/>
              <w:rPr>
                <w:b/>
                <w:bCs/>
                <w:color w:val="000000"/>
                <w:sz w:val="20"/>
                <w:szCs w:val="20"/>
                <w:lang w:eastAsia="en-CA"/>
              </w:rPr>
            </w:pPr>
            <w:r w:rsidRPr="00117546">
              <w:rPr>
                <w:b/>
                <w:bCs/>
                <w:sz w:val="20"/>
                <w:szCs w:val="20"/>
              </w:rPr>
              <w:t xml:space="preserve"> 832.2 </w:t>
            </w:r>
          </w:p>
        </w:tc>
      </w:tr>
    </w:tbl>
    <w:p w:rsidR="00927EFC" w:rsidRPr="009D3886" w:rsidRDefault="00927EFC" w:rsidP="00927EFC">
      <w:pPr>
        <w:keepNext/>
        <w:spacing w:before="360"/>
        <w:rPr>
          <w:b/>
        </w:rPr>
      </w:pPr>
      <w:r w:rsidRPr="009D3886">
        <w:rPr>
          <w:b/>
        </w:rPr>
        <w:lastRenderedPageBreak/>
        <w:t>Secretariat’s comments</w:t>
      </w:r>
    </w:p>
    <w:p w:rsidR="00927EFC" w:rsidRPr="009D3886" w:rsidRDefault="00927EFC" w:rsidP="00927EFC">
      <w:pPr>
        <w:keepNext/>
      </w:pPr>
    </w:p>
    <w:p w:rsidR="00927EFC" w:rsidRPr="009D3886" w:rsidRDefault="00927EFC" w:rsidP="00927EFC">
      <w:pPr>
        <w:keepNext/>
        <w:rPr>
          <w:u w:val="single"/>
        </w:rPr>
      </w:pPr>
      <w:r w:rsidRPr="009D3886">
        <w:rPr>
          <w:u w:val="single"/>
        </w:rPr>
        <w:t>CTC production, stock levels, and controls</w:t>
      </w:r>
    </w:p>
    <w:p w:rsidR="00927EFC" w:rsidRPr="009D3886" w:rsidRDefault="00927EFC" w:rsidP="00927EFC">
      <w:pPr>
        <w:keepNext/>
      </w:pPr>
    </w:p>
    <w:p w:rsidR="00927EFC" w:rsidRPr="009D3886" w:rsidRDefault="00927EFC" w:rsidP="00927EFC">
      <w:pPr>
        <w:pStyle w:val="Heading1"/>
        <w:keepNext/>
        <w:rPr>
          <w:u w:val="single"/>
        </w:rPr>
      </w:pPr>
      <w:r w:rsidRPr="009D3886">
        <w:t xml:space="preserve">The percentage of CTC production as a function of CM production increased to satisfy increased market demand for CTC as a feedstock. In particular, CM producers can adjust their production process and the amount of CTC by-product depending on the demand for CTC for feedstock uses. The national CTC by-production monitoring platform started operation in 2019; the platform allows for the daily monitoring of production at CM producers. </w:t>
      </w:r>
    </w:p>
    <w:p w:rsidR="00927EFC" w:rsidRPr="009D3886" w:rsidRDefault="00927EFC" w:rsidP="00927EFC">
      <w:pPr>
        <w:pStyle w:val="Heading1"/>
        <w:keepNext/>
        <w:rPr>
          <w:u w:val="single"/>
        </w:rPr>
      </w:pPr>
      <w:r w:rsidRPr="009D3886">
        <w:t xml:space="preserve">The increase in CTC stock levels in 2019 was principally due to an operational problem with the destruction device at one CM producer that year; subsequently, the CM producer commissioned another CM producer to assist in the disposal of the stock, which was monitored by the local EEB. The World Bank emphasized that the Ministry of Ecology and Environment pay close attention to CM producers’ CTC stockpiles and urges them to complete any required disposal in a timely manner. </w:t>
      </w:r>
    </w:p>
    <w:p w:rsidR="00927EFC" w:rsidRPr="009D3886" w:rsidRDefault="00927EFC" w:rsidP="00927EFC">
      <w:pPr>
        <w:pStyle w:val="Heading1"/>
      </w:pPr>
      <w:r w:rsidRPr="009D3886">
        <w:t>At the 84</w:t>
      </w:r>
      <w:r w:rsidRPr="009D3886">
        <w:rPr>
          <w:vertAlign w:val="superscript"/>
        </w:rPr>
        <w:t>th</w:t>
      </w:r>
      <w:r w:rsidR="005C0E44">
        <w:t> meeting</w:t>
      </w:r>
      <w:r w:rsidRPr="009D3886">
        <w:t xml:space="preserve">, the World Bank had indicated that further research was needed on whether technology upgrades at CM producers could further reduce the concentration of CTC in chloroform, a potential source of CTC emissions. The World Bank informed that since then, CM producers had not considered such technology upgrades. </w:t>
      </w:r>
    </w:p>
    <w:p w:rsidR="00927EFC" w:rsidRPr="009D3886" w:rsidRDefault="00927EFC" w:rsidP="00927EFC">
      <w:pPr>
        <w:pStyle w:val="Heading1"/>
      </w:pPr>
      <w:r w:rsidRPr="009D3886">
        <w:t>At the 84</w:t>
      </w:r>
      <w:r w:rsidRPr="009D3886">
        <w:rPr>
          <w:vertAlign w:val="superscript"/>
        </w:rPr>
        <w:t>th</w:t>
      </w:r>
      <w:r w:rsidR="005C0E44">
        <w:t> meeting</w:t>
      </w:r>
      <w:r w:rsidRPr="009D3886">
        <w:t>, the Secretariat had noted that for all feedstock users included in the 2015-2017 report, material conversion ratios varied for individual enterprises on a year-to-year basis and across enterprises for the same feedstock use; moreover, some reported material conversion ratios appeared to vary by year within the same enterprise, which would make comprehensive monitoring of CTC difficult. The Government considered the existing system adequate.</w:t>
      </w:r>
    </w:p>
    <w:p w:rsidR="00927EFC" w:rsidRPr="009D3886" w:rsidRDefault="00927EFC" w:rsidP="00927EFC">
      <w:pPr>
        <w:keepNext/>
        <w:rPr>
          <w:u w:val="single"/>
        </w:rPr>
      </w:pPr>
      <w:r w:rsidRPr="009D3886">
        <w:rPr>
          <w:u w:val="single"/>
        </w:rPr>
        <w:t>PCE production through the C1-C3 alkane chlorination process</w:t>
      </w:r>
    </w:p>
    <w:p w:rsidR="00927EFC" w:rsidRPr="009D3886" w:rsidRDefault="00927EFC" w:rsidP="00927EFC">
      <w:pPr>
        <w:keepNext/>
        <w:rPr>
          <w:u w:val="single"/>
        </w:rPr>
      </w:pPr>
    </w:p>
    <w:p w:rsidR="00927EFC" w:rsidRPr="009D3886" w:rsidRDefault="00927EFC" w:rsidP="00927EFC">
      <w:pPr>
        <w:pStyle w:val="Heading1"/>
      </w:pPr>
      <w:r w:rsidRPr="009D3886">
        <w:t>At the 84</w:t>
      </w:r>
      <w:r w:rsidRPr="009D3886">
        <w:rPr>
          <w:vertAlign w:val="superscript"/>
        </w:rPr>
        <w:t>th</w:t>
      </w:r>
      <w:r w:rsidR="005C0E44">
        <w:t> meeting</w:t>
      </w:r>
      <w:r w:rsidRPr="009D3886">
        <w:t xml:space="preserve">, the Secretariat had requested clarification on monitoring of CTC at PCE producers that use the C1-C3 alkane chlorination process. The updated report indicates that the only PCE producer that uses the alkane chlorination process does not have a CTC purification unit to separate CTC from the process streams that include a mixture of CTC, PCE, and other components. Accordingly, the Government considered the risk of diversion of CTC is low and therefore has not taken any additional actions to monitor the PCE plant. The World Bank confirmed that the PCE producer would need to submit an environmental impact assessment in order to substantially modify its production process, including by installing a CTC purification unit. </w:t>
      </w:r>
    </w:p>
    <w:p w:rsidR="00927EFC" w:rsidRPr="009D3886" w:rsidRDefault="00927EFC" w:rsidP="00927EFC">
      <w:pPr>
        <w:rPr>
          <w:u w:val="single"/>
        </w:rPr>
      </w:pPr>
      <w:r w:rsidRPr="009D3886">
        <w:rPr>
          <w:u w:val="single"/>
        </w:rPr>
        <w:t xml:space="preserve">CTC emissions </w:t>
      </w:r>
    </w:p>
    <w:p w:rsidR="00927EFC" w:rsidRPr="009D3886" w:rsidRDefault="00927EFC" w:rsidP="00927EFC">
      <w:pPr>
        <w:rPr>
          <w:u w:val="single"/>
        </w:rPr>
      </w:pPr>
    </w:p>
    <w:p w:rsidR="00927EFC" w:rsidRPr="009D3886" w:rsidRDefault="00927EFC" w:rsidP="00927EFC">
      <w:pPr>
        <w:pStyle w:val="Heading1"/>
      </w:pPr>
      <w:r w:rsidRPr="009D3886">
        <w:t>At the 88</w:t>
      </w:r>
      <w:r w:rsidRPr="009D3886">
        <w:rPr>
          <w:vertAlign w:val="superscript"/>
        </w:rPr>
        <w:t>th</w:t>
      </w:r>
      <w:r w:rsidR="005C0E44">
        <w:t> meeting</w:t>
      </w:r>
      <w:r w:rsidRPr="009D3886">
        <w:t>, the Secretariat noted that the updated report did not include information or analysis to address the difference in emissions reflected in the 2018 Scientific Assessment of Ozone Depletion and those in documents UNEP/OzL.Pro/ExCom/84/22/Add.2 and Add.3. In particular, the updated report includes estimated emissions of CTC that are orders of magnitude less than those in the 2018 Scientific Assessment Report, as well as in the scientific journal article by Lunt et al. (2018),</w:t>
      </w:r>
      <w:r w:rsidRPr="009D3886">
        <w:rPr>
          <w:rStyle w:val="FootnoteReference"/>
        </w:rPr>
        <w:footnoteReference w:id="11"/>
      </w:r>
      <w:r w:rsidRPr="009D3886">
        <w:t xml:space="preserve"> which was published too late to be considered in the 2018 report. </w:t>
      </w:r>
    </w:p>
    <w:p w:rsidR="00927EFC" w:rsidRPr="009D3886" w:rsidRDefault="00927EFC" w:rsidP="00927EFC">
      <w:pPr>
        <w:pStyle w:val="Heading1"/>
      </w:pPr>
      <w:r w:rsidRPr="009D3886">
        <w:lastRenderedPageBreak/>
        <w:t>Lunt et al. (2018) used two methods to estimate emissions of CTC from China of 17 (11-24)</w:t>
      </w:r>
      <w:r w:rsidRPr="009D3886">
        <w:rPr>
          <w:rStyle w:val="FootnoteReference"/>
        </w:rPr>
        <w:footnoteReference w:id="12"/>
      </w:r>
      <w:r w:rsidRPr="009D3886">
        <w:t xml:space="preserve"> or 13 (7-19) Gg/year for the period 2009 to 2016. Those emission estimates are based on long-term, high</w:t>
      </w:r>
      <w:r w:rsidRPr="009D3886">
        <w:noBreakHyphen/>
        <w:t xml:space="preserve">frequency observations of CTC at the Gosan measurement station on </w:t>
      </w:r>
      <w:proofErr w:type="spellStart"/>
      <w:r w:rsidRPr="009D3886">
        <w:t>Jeju</w:t>
      </w:r>
      <w:proofErr w:type="spellEnd"/>
      <w:r w:rsidRPr="009D3886">
        <w:t xml:space="preserve"> Island, </w:t>
      </w:r>
      <w:r w:rsidR="00841BD8">
        <w:t>Republic of</w:t>
      </w:r>
      <w:r w:rsidRPr="009D3886">
        <w:t xml:space="preserve"> Korea</w:t>
      </w:r>
      <w:r w:rsidR="00841BD8">
        <w:t xml:space="preserve"> (the)</w:t>
      </w:r>
      <w:r w:rsidRPr="009D3886">
        <w:t>.</w:t>
      </w:r>
      <w:r w:rsidRPr="009D3886">
        <w:rPr>
          <w:rStyle w:val="FootnoteReference"/>
        </w:rPr>
        <w:footnoteReference w:id="13"/>
      </w:r>
      <w:r w:rsidRPr="009D3886">
        <w:t xml:space="preserve"> The authors also assessed emissions from China using data from the Korea-U.S. Air Quality (KORUS-AQ) flight campaign in May-June 2016, and found that emissions from China were 16 (13–21) Gg/year, consistent with the authors’ </w:t>
      </w:r>
      <w:proofErr w:type="spellStart"/>
      <w:r w:rsidRPr="009D3886">
        <w:t>Gosan</w:t>
      </w:r>
      <w:proofErr w:type="spellEnd"/>
      <w:r w:rsidRPr="009D3886">
        <w:t>-derived estimated emissions for 2016 of 15 (11–20) Gg/year. While the report on the 2015-2017 production of</w:t>
      </w:r>
      <w:r w:rsidR="00BD0C63">
        <w:t xml:space="preserve"> CTC</w:t>
      </w:r>
      <w:r w:rsidRPr="009D3886">
        <w:t xml:space="preserve"> and its feedstock uses in China</w:t>
      </w:r>
      <w:r w:rsidRPr="009D3886">
        <w:rPr>
          <w:rStyle w:val="FootnoteReference"/>
        </w:rPr>
        <w:footnoteReference w:id="14"/>
      </w:r>
      <w:r w:rsidRPr="009D3886">
        <w:t xml:space="preserve"> only provided estimated emissions for 2017, scaling the model based on 2016 CTC production, conversion by CM producers, and feedstock uses would result in CTC emissions that are two orders of magnitude below those estimated by Lunt et al. (2018); the maximum CTC emissions estimated by the model would be one order of magnitude below those estimated by Lunt et al. (2018).</w:t>
      </w:r>
    </w:p>
    <w:p w:rsidR="00927EFC" w:rsidRPr="009D3886" w:rsidRDefault="00927EFC" w:rsidP="00927EFC">
      <w:pPr>
        <w:pStyle w:val="Heading1"/>
      </w:pPr>
      <w:r w:rsidRPr="009D3886">
        <w:t>Further to a request for clarification at the 88</w:t>
      </w:r>
      <w:r w:rsidRPr="009D3886">
        <w:rPr>
          <w:vertAlign w:val="superscript"/>
        </w:rPr>
        <w:t>th</w:t>
      </w:r>
      <w:r w:rsidR="005C0E44">
        <w:t> meeting</w:t>
      </w:r>
      <w:r w:rsidRPr="009D3886">
        <w:rPr>
          <w:rStyle w:val="FootnoteReference"/>
        </w:rPr>
        <w:footnoteReference w:id="15"/>
      </w:r>
      <w:r w:rsidRPr="009D3886">
        <w:t xml:space="preserve"> regarding the difference in emissions, the Government of China, through the World Bank, noted the relevance of the CTC emission discrepancy and that there have been substantial differences in top-down and bottom-up estimates of CTC emissions data for years. The Government considered that discrepancy to be a global issue that involves not only China but also other countries in other regions. The Government further noted that the Scientific Assessment Panel has examined this issue for over ten years, and while the discrepancy of CTC emission between top-down and bottom-up estimates has been significantly reduced in the 2018 Scientific Assessment Report, differences still exist and remain to be explained. The 2018 Scientific Assessment Report pointed to the need for improved understanding on factors such as the concentration of air samples and meteorological conditions that affect the assessment. The Government of China expressed its interest to follow up relevant research in this regard. </w:t>
      </w:r>
    </w:p>
    <w:p w:rsidR="00927EFC" w:rsidRPr="009D3886" w:rsidRDefault="00927EFC" w:rsidP="00927EFC">
      <w:pPr>
        <w:pStyle w:val="Heading1"/>
      </w:pPr>
      <w:r w:rsidRPr="009D3886">
        <w:t>The Government of China further noted that based on the updated report and the regulations on CTC management and monitoring, the estimated CTC emissions in the 2018 Scientific Assessment Report could not be fully explained, no information on additional CTC emission sources was found, and emphasized that:</w:t>
      </w:r>
    </w:p>
    <w:p w:rsidR="00927EFC" w:rsidRPr="009D3886" w:rsidRDefault="00927EFC" w:rsidP="00927EFC">
      <w:pPr>
        <w:pStyle w:val="Heading2"/>
        <w:numPr>
          <w:ilvl w:val="1"/>
          <w:numId w:val="1"/>
        </w:numPr>
      </w:pPr>
      <w:r w:rsidRPr="009D3886">
        <w:t xml:space="preserve">The CM production lines are a highly automated and closed system with seamless connection among equipment and incineration units, thus CTC emissions are virtually negligible; </w:t>
      </w:r>
    </w:p>
    <w:p w:rsidR="00927EFC" w:rsidRPr="009D3886" w:rsidRDefault="00927EFC" w:rsidP="00927EFC">
      <w:pPr>
        <w:pStyle w:val="Heading2"/>
        <w:numPr>
          <w:ilvl w:val="1"/>
          <w:numId w:val="1"/>
        </w:numPr>
      </w:pPr>
      <w:r w:rsidRPr="009D3886">
        <w:t xml:space="preserve">Enterprises that use CTC as a feedstock make best efforts to handle CTC in a cost-effective manner to reduce their production costs, so there is no motive for enterprises to deliberately emit CTC; and </w:t>
      </w:r>
    </w:p>
    <w:p w:rsidR="00927EFC" w:rsidRPr="009D3886" w:rsidRDefault="00927EFC" w:rsidP="00927EFC">
      <w:pPr>
        <w:pStyle w:val="Heading2"/>
        <w:numPr>
          <w:ilvl w:val="1"/>
          <w:numId w:val="1"/>
        </w:numPr>
      </w:pPr>
      <w:r w:rsidRPr="009D3886">
        <w:t>The Government had implemented strict inspections and law enforcement for environmental protection in recent years, in particular for those chemical plants. The supervision on VOCs and chemical oxygen demand was greatly strengthened by various level ecology and environmental protection bodies. In this regard, the CTC emissions by these enterprises are unlikely to be those suggested in the 2018 Scientific Assessment Report or the article by Lunt et al. (2018).</w:t>
      </w:r>
    </w:p>
    <w:p w:rsidR="00927EFC" w:rsidRPr="009D3886" w:rsidRDefault="00927EFC" w:rsidP="00BD0C63">
      <w:pPr>
        <w:pStyle w:val="Heading1"/>
        <w:keepNext/>
        <w:keepLines/>
      </w:pPr>
      <w:r w:rsidRPr="009D3886">
        <w:lastRenderedPageBreak/>
        <w:t>The Secretariat notes that subsequent to the article by Lunt et al. (2018), Park et al. (2021)</w:t>
      </w:r>
      <w:r w:rsidRPr="009D3886">
        <w:rPr>
          <w:rStyle w:val="FootnoteReference"/>
        </w:rPr>
        <w:footnoteReference w:id="16"/>
      </w:r>
      <w:r w:rsidRPr="009D3886">
        <w:t xml:space="preserve"> reported a </w:t>
      </w:r>
      <w:r w:rsidRPr="009D3886">
        <w:rPr>
          <w:bCs/>
        </w:rPr>
        <w:t xml:space="preserve">decline in emissions of CFC-11 and related chemicals, including CTC, from eastern China. In particular, Park et al. (2021) found that </w:t>
      </w:r>
      <w:r w:rsidRPr="009D3886">
        <w:t>CTC emissions from eastern China were higher than expected after 2013 and then declined one to two years before 2019 when a reduction in CFC-11 emissions was observed: emissions from eastern China grew from 6.0 ± 1.4 Gg/yr for 2011-2012 to 10.9 ± 2.0 Gg/yr for 2014-2017, and subsequently declined to 6.2 ± 1.4 Gg/yr in 2018-2019. Notwithstanding those decreases, the CTC emissions estimated by Park et al. (2021) for 2018-2019 are two and one order of magnitude higher than the estimated CTC emissions and maximum CTC emissions, respectively, in the updated report. Furthermore, while Park et al. (2021) reported a substantial (by over 40</w:t>
      </w:r>
      <w:r w:rsidR="00117546">
        <w:t> per cent</w:t>
      </w:r>
      <w:r w:rsidRPr="009D3886">
        <w:t>) decrease in CTC emissions in 2018-2019, the model used to estimate CTC emissions in the reports on the 2015-2019 production of CTC and its feedstock uses in China suggests gradually increasing emissions of CTC in 2015-2019, consistent with increased CTC production, conversion by CM producers, and feedstock use, suggesting that the model may not be capturing some sources of CTC emissions that were controlled in the latter part of 2015-2019.</w:t>
      </w:r>
    </w:p>
    <w:p w:rsidR="00927EFC" w:rsidRPr="009D3886" w:rsidRDefault="00927EFC" w:rsidP="00927EFC">
      <w:pPr>
        <w:pStyle w:val="Heading1"/>
      </w:pPr>
      <w:r w:rsidRPr="009D3886">
        <w:t xml:space="preserve">The Secretariat enquired whether the Government had further views on the difference between the estimated CTC emissions in the updated report and those by Park et al. (2021), noting that those emissions were specific to China and not global emissions. Moreover, as noted by Lunt et al. (2018), in contrast to global emissions estimation, regional inverse modeling studies can help to address the geographical source of the discrepancy in top-down and bottom-up emissions on a global scale because such regional studies are relatively insensitive to uncertainty in the CTC lifetime. The Government was of the view that the model used in the 2015-2019 reports considered all relevant production process that may generate CTC emission, and the </w:t>
      </w:r>
      <w:r w:rsidRPr="009D3886">
        <w:rPr>
          <w:lang w:eastAsia="zh-CN"/>
        </w:rPr>
        <w:t>CTC emission discrepancy was a global issue that needed further research.</w:t>
      </w:r>
      <w:r w:rsidRPr="009D3886">
        <w:t xml:space="preserve"> </w:t>
      </w:r>
    </w:p>
    <w:p w:rsidR="00927EFC" w:rsidRPr="009D3886" w:rsidRDefault="00927EFC" w:rsidP="00927EFC">
      <w:pPr>
        <w:pStyle w:val="Heading1"/>
      </w:pPr>
      <w:r w:rsidRPr="009D3886">
        <w:t>The Secretariat further noted that an analysis of high-quality observations of CTC atmospheric abundances in China could be helpful in understanding the reasons for the differences in emissions reported in the scientific literature and those in the reports on the 2015-2019 production of CTC and its feedstock uses submitted by China. However, while a preliminary analysis of local data</w:t>
      </w:r>
      <w:r w:rsidRPr="009D3886">
        <w:rPr>
          <w:rStyle w:val="FootnoteReference"/>
        </w:rPr>
        <w:footnoteReference w:id="17"/>
      </w:r>
      <w:r w:rsidRPr="009D3886">
        <w:t xml:space="preserve"> suggested emissions of CTC in 2009-2010 that are comparable to those reported by Lunt et al. (2018) and Park et al. (2021) for those years, it appears that an analysis based on more recent data has not yet been undertaken notwithstanding that at least one atmospheric monitoring site in China</w:t>
      </w:r>
      <w:r w:rsidRPr="009D3886">
        <w:rPr>
          <w:rStyle w:val="FootnoteReference"/>
        </w:rPr>
        <w:footnoteReference w:id="18"/>
      </w:r>
      <w:r w:rsidRPr="009D3886">
        <w:t xml:space="preserve"> included observations of atmospheric abundances of CTC. </w:t>
      </w:r>
    </w:p>
    <w:p w:rsidR="00927EFC" w:rsidRPr="009D3886" w:rsidRDefault="00927EFC" w:rsidP="00927EFC">
      <w:pPr>
        <w:pStyle w:val="Heading1"/>
      </w:pPr>
      <w:r w:rsidRPr="009D3886">
        <w:t xml:space="preserve">Regarding the atmospheric monitoring network the Government of China intended to establish in line with </w:t>
      </w:r>
      <w:r w:rsidR="005C0E44">
        <w:t>decision </w:t>
      </w:r>
      <w:r w:rsidRPr="009D3886">
        <w:t>83/41(b)(i), the World Bank informed that the Government was conducting the construction of the monitoring stations as planned, and that atmospheric monitoring of controlled substances would begin in 2022.</w:t>
      </w:r>
    </w:p>
    <w:p w:rsidR="00927EFC" w:rsidRPr="009D3886" w:rsidRDefault="00927EFC" w:rsidP="00927EFC">
      <w:pPr>
        <w:rPr>
          <w:b/>
        </w:rPr>
      </w:pPr>
      <w:r w:rsidRPr="009D3886">
        <w:rPr>
          <w:b/>
        </w:rPr>
        <w:t>Recommendation</w:t>
      </w:r>
    </w:p>
    <w:p w:rsidR="00927EFC" w:rsidRPr="009D3886" w:rsidRDefault="00927EFC" w:rsidP="00927EFC"/>
    <w:p w:rsidR="00927EFC" w:rsidRPr="009D3886" w:rsidRDefault="00927EFC" w:rsidP="0085536C">
      <w:pPr>
        <w:pStyle w:val="Heading1"/>
        <w:jc w:val="left"/>
      </w:pPr>
      <w:r w:rsidRPr="009D3886">
        <w:t xml:space="preserve">The Executive Committee may wish to consider the information contained in the updated report on the production of </w:t>
      </w:r>
      <w:r w:rsidR="00B0155E">
        <w:t>CTC</w:t>
      </w:r>
      <w:r w:rsidRPr="009D3886">
        <w:t xml:space="preserve"> and its feedstock uses in China (</w:t>
      </w:r>
      <w:r w:rsidR="005C0E44">
        <w:t>decision </w:t>
      </w:r>
      <w:r w:rsidRPr="009D3886">
        <w:t xml:space="preserve">84/41(b) and (c)) contained in </w:t>
      </w:r>
      <w:r w:rsidR="005C0E44">
        <w:t>document </w:t>
      </w:r>
      <w:r w:rsidRPr="009D3886">
        <w:t>UNEP/OzL.Pro/ExCom/90/9/Add.1.</w:t>
      </w:r>
      <w:r w:rsidRPr="009D3886">
        <w:br w:type="page"/>
      </w:r>
    </w:p>
    <w:p w:rsidR="005F365A" w:rsidRPr="009D3886" w:rsidRDefault="00664EE0" w:rsidP="00664EE0">
      <w:pPr>
        <w:ind w:left="1350" w:hanging="1350"/>
        <w:rPr>
          <w:b/>
        </w:rPr>
      </w:pPr>
      <w:r w:rsidRPr="009D3886">
        <w:rPr>
          <w:b/>
        </w:rPr>
        <w:lastRenderedPageBreak/>
        <w:t xml:space="preserve">PART IV: </w:t>
      </w:r>
      <w:r w:rsidRPr="009D3886">
        <w:rPr>
          <w:b/>
        </w:rPr>
        <w:tab/>
        <w:t>REPORT ON THE DISBURSEMENT OF INCREMENTAL OPERATING COSTS UNDER THE INDUSTRIAL AND C</w:t>
      </w:r>
      <w:r w:rsidR="004B52DA">
        <w:rPr>
          <w:b/>
        </w:rPr>
        <w:t>OMMERCIAL REFRIGERATION AND AIR</w:t>
      </w:r>
      <w:r w:rsidR="004B52DA">
        <w:rPr>
          <w:b/>
        </w:rPr>
        <w:noBreakHyphen/>
        <w:t>C</w:t>
      </w:r>
      <w:r w:rsidRPr="009D3886">
        <w:rPr>
          <w:b/>
        </w:rPr>
        <w:t xml:space="preserve">ONDITIONING SECTOR PLAN UNDER </w:t>
      </w:r>
      <w:r w:rsidR="005C0E44">
        <w:rPr>
          <w:b/>
        </w:rPr>
        <w:t>STAGE </w:t>
      </w:r>
      <w:r w:rsidRPr="009D3886">
        <w:rPr>
          <w:b/>
        </w:rPr>
        <w:t>I OF THE HCFC PHASE-OUT MANAGEMENT PLAN (</w:t>
      </w:r>
      <w:r w:rsidR="005C0E44">
        <w:rPr>
          <w:b/>
        </w:rPr>
        <w:t>DECISION </w:t>
      </w:r>
      <w:r w:rsidRPr="009D3886">
        <w:rPr>
          <w:b/>
        </w:rPr>
        <w:t>88/66(C))</w:t>
      </w:r>
    </w:p>
    <w:p w:rsidR="005F365A" w:rsidRPr="009D3886" w:rsidRDefault="005F365A" w:rsidP="005F365A">
      <w:pPr>
        <w:jc w:val="center"/>
        <w:rPr>
          <w:b/>
        </w:rPr>
      </w:pPr>
    </w:p>
    <w:p w:rsidR="005F365A" w:rsidRPr="009D3886" w:rsidRDefault="005F365A" w:rsidP="005F365A">
      <w:pPr>
        <w:rPr>
          <w:b/>
        </w:rPr>
      </w:pPr>
      <w:r w:rsidRPr="009D3886">
        <w:rPr>
          <w:b/>
        </w:rPr>
        <w:t>Background</w:t>
      </w:r>
    </w:p>
    <w:p w:rsidR="005F365A" w:rsidRPr="009D3886" w:rsidRDefault="005F365A" w:rsidP="005F365A">
      <w:pPr>
        <w:jc w:val="right"/>
        <w:rPr>
          <w:b/>
        </w:rPr>
      </w:pPr>
    </w:p>
    <w:p w:rsidR="005F365A" w:rsidRPr="009D3886" w:rsidRDefault="005F365A" w:rsidP="005F365A">
      <w:pPr>
        <w:pStyle w:val="Heading1"/>
        <w:widowControl w:val="0"/>
      </w:pPr>
      <w:r w:rsidRPr="009D3886">
        <w:t>The industrial and commercial refrigeration and air</w:t>
      </w:r>
      <w:r w:rsidRPr="009D3886">
        <w:noBreakHyphen/>
        <w:t>conditioning (ICR) sector plan of stage I of the HCFC phase-out management plan (HPMP) was approved at the 64</w:t>
      </w:r>
      <w:r w:rsidRPr="009D3886">
        <w:rPr>
          <w:vertAlign w:val="superscript"/>
        </w:rPr>
        <w:t>th</w:t>
      </w:r>
      <w:r w:rsidR="005C0E44">
        <w:t> meeting</w:t>
      </w:r>
      <w:r w:rsidRPr="009D3886">
        <w:t xml:space="preserve"> at a total cost of US $61,000,000 to contribute to the 10</w:t>
      </w:r>
      <w:r w:rsidR="00117546">
        <w:t> per cent</w:t>
      </w:r>
      <w:r w:rsidRPr="009D3886">
        <w:t xml:space="preserve"> reduction from HCFC baseline consumption by 2015. The ICR sector plan was operationally completed in 2019, with the disbursement of the committed incremental operating costs (IOCs) planned to be completed in 2020. The project completion report was submitted to the 85</w:t>
      </w:r>
      <w:r w:rsidRPr="009D3886">
        <w:rPr>
          <w:vertAlign w:val="superscript"/>
        </w:rPr>
        <w:t>th</w:t>
      </w:r>
      <w:r w:rsidR="005C0E44">
        <w:t> meeting</w:t>
      </w:r>
      <w:r w:rsidRPr="009D3886">
        <w:t>. The breakout of the COVID-19 pandemic at the end of 2019 slowed down economic activities, and the disbursement of IOCs was delayed. At its 86</w:t>
      </w:r>
      <w:r w:rsidRPr="009D3886">
        <w:rPr>
          <w:vertAlign w:val="superscript"/>
        </w:rPr>
        <w:t>th</w:t>
      </w:r>
      <w:r w:rsidR="005C0E44">
        <w:t> meeting</w:t>
      </w:r>
      <w:r w:rsidRPr="009D3886">
        <w:t>, the Executive Committee allowed the continuous production and sale of the converted products and the disbursement of IOCs until the end of 2021. At its 88</w:t>
      </w:r>
      <w:r w:rsidRPr="009D3886">
        <w:rPr>
          <w:vertAlign w:val="superscript"/>
        </w:rPr>
        <w:t>th</w:t>
      </w:r>
      <w:r w:rsidR="005C0E44">
        <w:t> meeting</w:t>
      </w:r>
      <w:r w:rsidRPr="009D3886">
        <w:t>, the Executive Committee requested the Government of China and UNDP to submit a report on disbursement of funds for the IOCs under stage I of the ICR sector plan to the 90</w:t>
      </w:r>
      <w:r w:rsidRPr="009D3886">
        <w:rPr>
          <w:vertAlign w:val="superscript"/>
        </w:rPr>
        <w:t>th</w:t>
      </w:r>
      <w:r w:rsidR="005C0E44">
        <w:rPr>
          <w:vertAlign w:val="superscript"/>
        </w:rPr>
        <w:t> </w:t>
      </w:r>
      <w:r w:rsidR="005C0E44" w:rsidRPr="005C0E44">
        <w:t>meeting</w:t>
      </w:r>
      <w:r w:rsidRPr="005C0E44">
        <w:t xml:space="preserve"> </w:t>
      </w:r>
      <w:r w:rsidRPr="009D3886">
        <w:t>(</w:t>
      </w:r>
      <w:r w:rsidR="005C0E44">
        <w:t>decision </w:t>
      </w:r>
      <w:r w:rsidRPr="009D3886">
        <w:t xml:space="preserve">88/66(c)). </w:t>
      </w:r>
    </w:p>
    <w:p w:rsidR="005F365A" w:rsidRPr="009D3886" w:rsidRDefault="005F365A" w:rsidP="005F365A">
      <w:pPr>
        <w:pStyle w:val="Heading1"/>
      </w:pPr>
      <w:r w:rsidRPr="009D3886">
        <w:t xml:space="preserve">In line with this decision, UNDP, on behalf of the Government of China, submitted the requested report. As of 31 December 2021, total IOCs of US $10,522,209 had been disbursed and 1,598,619 units of ICR equipment (covering unitary air-conditioners, water chillers and heat pumps, refrigeration equipment and compressors) had been produced on the lines converted to six different alternative technologies under </w:t>
      </w:r>
      <w:r w:rsidR="005C0E44">
        <w:t>stage </w:t>
      </w:r>
      <w:r w:rsidRPr="009D3886">
        <w:t xml:space="preserve">I of ICR sector plan. The remaining balance of IOCs stands at US $2,031,397 for nine manufacturing lines converted to HFC-32 technology, including six lines manufacturing industrial and commercial water chillers (heat pump) and three lines manufacturing unitary air-conditioning equipment. </w:t>
      </w:r>
    </w:p>
    <w:p w:rsidR="005F365A" w:rsidRPr="009D3886" w:rsidRDefault="005F365A" w:rsidP="005F365A">
      <w:pPr>
        <w:pStyle w:val="Heading1"/>
      </w:pPr>
      <w:r w:rsidRPr="009D3886">
        <w:t xml:space="preserve">UNDP reported that the slow disbursement of IOCs relates to low </w:t>
      </w:r>
      <w:r w:rsidRPr="009D3886">
        <w:rPr>
          <w:rFonts w:eastAsia="SimSun"/>
          <w:snapToGrid w:val="0"/>
        </w:rPr>
        <w:t>market acceptance of HFC</w:t>
      </w:r>
      <w:r w:rsidRPr="009D3886">
        <w:rPr>
          <w:rFonts w:eastAsia="SimSun"/>
          <w:snapToGrid w:val="0"/>
        </w:rPr>
        <w:noBreakHyphen/>
        <w:t>32</w:t>
      </w:r>
      <w:r w:rsidRPr="009D3886">
        <w:rPr>
          <w:rFonts w:eastAsia="SimSun"/>
          <w:snapToGrid w:val="0"/>
        </w:rPr>
        <w:noBreakHyphen/>
        <w:t xml:space="preserve">based products due to its </w:t>
      </w:r>
      <w:r w:rsidRPr="009D3886">
        <w:t xml:space="preserve">flammability, which requires additional effort and time in model design; safety risk assessment; and training in installation, commissioning, maintenance, and operation of the equipment. These difficulties were exacerbated by the restrictions of the COVID-19 pandemic on production activities and travel for the verification of sales. Nevertheless, </w:t>
      </w:r>
      <w:r w:rsidRPr="009D3886">
        <w:rPr>
          <w:snapToGrid w:val="0"/>
        </w:rPr>
        <w:t xml:space="preserve">sales of HFC-32-based products to the domestic market are increasing year by year, and some enterprises have exported HFC-32-based products to international markets, although equipment exported to non-Article 5 countries is not eligible for IOCs. </w:t>
      </w:r>
      <w:r w:rsidRPr="009D3886">
        <w:t xml:space="preserve">The Government, enterprises and the </w:t>
      </w:r>
      <w:r w:rsidRPr="009D3886">
        <w:rPr>
          <w:snapToGrid w:val="0"/>
        </w:rPr>
        <w:t>China Refrigeration and Air-conditioning Industry Association (CRAA)</w:t>
      </w:r>
      <w:r w:rsidRPr="009D3886">
        <w:t xml:space="preserve"> have carried out various activities to promote the sales of HFC</w:t>
      </w:r>
      <w:r w:rsidRPr="009D3886">
        <w:noBreakHyphen/>
        <w:t>32-based products including the signature of a memorandum of understanding with Daikin to use the HFC</w:t>
      </w:r>
      <w:r w:rsidRPr="009D3886">
        <w:noBreakHyphen/>
        <w:t xml:space="preserve">32 basic patents. </w:t>
      </w:r>
    </w:p>
    <w:p w:rsidR="005F365A" w:rsidRPr="009D3886" w:rsidRDefault="005F365A" w:rsidP="005F365A">
      <w:pPr>
        <w:keepNext/>
        <w:spacing w:after="240"/>
        <w:outlineLvl w:val="0"/>
        <w:rPr>
          <w:b/>
          <w:bCs/>
        </w:rPr>
      </w:pPr>
      <w:r w:rsidRPr="009D3886">
        <w:rPr>
          <w:b/>
          <w:bCs/>
        </w:rPr>
        <w:t>Secretariat’s comments</w:t>
      </w:r>
    </w:p>
    <w:p w:rsidR="005F365A" w:rsidRPr="009D3886" w:rsidRDefault="005F365A" w:rsidP="005F365A">
      <w:pPr>
        <w:pStyle w:val="Heading1"/>
        <w:rPr>
          <w:snapToGrid w:val="0"/>
          <w:color w:val="000000" w:themeColor="text1"/>
        </w:rPr>
      </w:pPr>
      <w:r w:rsidRPr="009D3886">
        <w:rPr>
          <w:color w:val="000000" w:themeColor="text1"/>
        </w:rPr>
        <w:t xml:space="preserve">With regard to the IOC disbursement, UNDP clarified that the IOCs were disbursed based on products manufactured by the converted lines and sold upon verification to the domestic market or exported to Article 5 countries. The IOC disbursement only partially reflects the manufacturing and sales situation; the actual production output of units based on alternative technologies in China would be larger as it also includes exports to non-Article 5 countries and the production of the lines not funded under the ICR sector plan. </w:t>
      </w:r>
      <w:r w:rsidRPr="009D3886">
        <w:rPr>
          <w:snapToGrid w:val="0"/>
          <w:color w:val="000000" w:themeColor="text1"/>
        </w:rPr>
        <w:t xml:space="preserve">Based on the statistics of the </w:t>
      </w:r>
      <w:r w:rsidRPr="009D3886">
        <w:rPr>
          <w:color w:val="000000" w:themeColor="text1"/>
        </w:rPr>
        <w:t>CRAA</w:t>
      </w:r>
      <w:r w:rsidRPr="009D3886">
        <w:rPr>
          <w:snapToGrid w:val="0"/>
          <w:color w:val="000000" w:themeColor="text1"/>
        </w:rPr>
        <w:t>, as of 31 December 2021, a total of 1,469,714 units of HFC</w:t>
      </w:r>
      <w:r w:rsidRPr="009D3886">
        <w:rPr>
          <w:snapToGrid w:val="0"/>
          <w:color w:val="000000" w:themeColor="text1"/>
        </w:rPr>
        <w:noBreakHyphen/>
        <w:t>32</w:t>
      </w:r>
      <w:r w:rsidRPr="009D3886">
        <w:rPr>
          <w:snapToGrid w:val="0"/>
          <w:color w:val="000000" w:themeColor="text1"/>
        </w:rPr>
        <w:noBreakHyphen/>
        <w:t xml:space="preserve">based units had been sold. Of this amount, 1,008,425 units were produced by the converted lines under stage I of the ICR sector plan. </w:t>
      </w:r>
    </w:p>
    <w:p w:rsidR="005F365A" w:rsidRPr="009D3886" w:rsidRDefault="005F365A" w:rsidP="005F365A">
      <w:pPr>
        <w:pStyle w:val="Heading1"/>
      </w:pPr>
      <w:r w:rsidRPr="009D3886">
        <w:t xml:space="preserve">The Secretariat noted that some enterprises were able to produce and sell a significant number of HFC-32-based units with full IOC disbursement, while others have not applied IOCs. UNDP explained that some enterprises prioritized their production for the overseas market for better profit, and these are not eligible for IOCs. One small enterprise is unable to produce HFC-32-based units because it cannot compete </w:t>
      </w:r>
      <w:r w:rsidRPr="009D3886">
        <w:lastRenderedPageBreak/>
        <w:t>with bigger enterprises in placing HFC-32 on the market at this stage, and therefore the converted line is idle.</w:t>
      </w:r>
    </w:p>
    <w:p w:rsidR="005F365A" w:rsidRPr="009D3886" w:rsidRDefault="005F365A" w:rsidP="005F365A">
      <w:pPr>
        <w:pStyle w:val="Heading1"/>
      </w:pPr>
      <w:r w:rsidRPr="009D3886">
        <w:t>The ICR sector plan was operationally completed in 2019 and a project completion report was submitted to the 85</w:t>
      </w:r>
      <w:r w:rsidRPr="009D3886">
        <w:rPr>
          <w:vertAlign w:val="superscript"/>
        </w:rPr>
        <w:t>th</w:t>
      </w:r>
      <w:r w:rsidR="005C0E44">
        <w:t> meeting</w:t>
      </w:r>
      <w:r w:rsidRPr="009D3886">
        <w:t xml:space="preserve">; therefore, the remaining funding balance of US $2,031,397 should be returned to the Fund after financial completion, which is 12 months after operational completion. </w:t>
      </w:r>
    </w:p>
    <w:p w:rsidR="005F365A" w:rsidRPr="009D3886" w:rsidRDefault="005F365A" w:rsidP="005F365A">
      <w:pPr>
        <w:pStyle w:val="Heading1"/>
        <w:keepNext/>
      </w:pPr>
      <w:r w:rsidRPr="009D3886">
        <w:t xml:space="preserve">In responding to the Secretariat’s request to return the funding balance, UNDP explained that the delay in financial completion and IOC disbursement is related to the COVID-19 pandemic which severely interfered with the production plans and the raw material supply chains, and even impacted on the verification of sales to a great extent. UNDP explained that allowing additional time for IOC disbursement would put more HFC-32-based units on the market, and therefore requested an extension of financial completion until 31 December 2023 to allow for production and sales, and the finalization of the IOC disbursements. </w:t>
      </w:r>
    </w:p>
    <w:p w:rsidR="005F365A" w:rsidRPr="009D3886" w:rsidRDefault="005F365A" w:rsidP="005F365A">
      <w:pPr>
        <w:pStyle w:val="Heading1"/>
      </w:pPr>
      <w:r w:rsidRPr="009D3886">
        <w:t>The Secretariat noted that 84</w:t>
      </w:r>
      <w:r w:rsidR="00117546">
        <w:t> per cent</w:t>
      </w:r>
      <w:r w:rsidRPr="009D3886">
        <w:t xml:space="preserve"> of the IOCs have been disbursed and the remaining balance only relates to those lines converted to HFC-32 technology and considers that a shorter extension until 31 December 2022 could be supported but wishes to seek the Committee’s guidance. </w:t>
      </w:r>
    </w:p>
    <w:p w:rsidR="005F365A" w:rsidRPr="009D3886" w:rsidRDefault="005F365A" w:rsidP="005F365A">
      <w:pPr>
        <w:keepNext/>
        <w:spacing w:after="240"/>
        <w:outlineLvl w:val="0"/>
        <w:rPr>
          <w:b/>
          <w:bCs/>
        </w:rPr>
      </w:pPr>
      <w:r w:rsidRPr="009D3886">
        <w:rPr>
          <w:b/>
          <w:bCs/>
        </w:rPr>
        <w:t>Recommendation</w:t>
      </w:r>
    </w:p>
    <w:p w:rsidR="005F365A" w:rsidRPr="009D3886" w:rsidRDefault="005F365A" w:rsidP="005F365A">
      <w:pPr>
        <w:keepNext/>
        <w:numPr>
          <w:ilvl w:val="0"/>
          <w:numId w:val="1"/>
        </w:numPr>
        <w:spacing w:after="240"/>
        <w:outlineLvl w:val="0"/>
      </w:pPr>
      <w:r w:rsidRPr="009D3886">
        <w:t xml:space="preserve">The Executive Committee may wish to consider: </w:t>
      </w:r>
    </w:p>
    <w:p w:rsidR="005F365A" w:rsidRPr="009D3886" w:rsidRDefault="005F365A" w:rsidP="005F365A">
      <w:pPr>
        <w:pStyle w:val="Heading2"/>
        <w:keepNext/>
        <w:numPr>
          <w:ilvl w:val="1"/>
          <w:numId w:val="1"/>
        </w:numPr>
        <w:rPr>
          <w:color w:val="000000" w:themeColor="text1"/>
        </w:rPr>
      </w:pPr>
      <w:r w:rsidRPr="009D3886">
        <w:t xml:space="preserve">Noting the </w:t>
      </w:r>
      <w:r w:rsidRPr="009D3886">
        <w:rPr>
          <w:color w:val="000000" w:themeColor="text1"/>
        </w:rPr>
        <w:t xml:space="preserve">report on the disbursement of incremental operating costs (IOCs) under </w:t>
      </w:r>
      <w:r w:rsidRPr="009D3886">
        <w:t>the industrial and commercial refrigeration and air-conditioning (ICR) sector plan under stage I of the HCFC phase</w:t>
      </w:r>
      <w:r w:rsidRPr="009D3886">
        <w:noBreakHyphen/>
        <w:t>out management plan (HPMP) for China,</w:t>
      </w:r>
      <w:r w:rsidRPr="009D3886">
        <w:rPr>
          <w:color w:val="000000" w:themeColor="text1"/>
        </w:rPr>
        <w:t xml:space="preserve"> submitted by UNDP on behalf of the Government of China, in line with </w:t>
      </w:r>
      <w:r w:rsidR="005C0E44">
        <w:rPr>
          <w:color w:val="000000" w:themeColor="text1"/>
        </w:rPr>
        <w:t>decision </w:t>
      </w:r>
      <w:r w:rsidRPr="009D3886">
        <w:rPr>
          <w:color w:val="000000" w:themeColor="text1"/>
        </w:rPr>
        <w:t>88/66(c) and contained in document UNEP/OzL.Pro/ExCom/90/9/Add.1;</w:t>
      </w:r>
    </w:p>
    <w:p w:rsidR="005F365A" w:rsidRPr="009D3886" w:rsidRDefault="005F365A" w:rsidP="005F365A">
      <w:pPr>
        <w:pStyle w:val="Heading2"/>
        <w:keepNext/>
        <w:widowControl/>
        <w:numPr>
          <w:ilvl w:val="1"/>
          <w:numId w:val="1"/>
        </w:numPr>
      </w:pPr>
      <w:r w:rsidRPr="009D3886">
        <w:t xml:space="preserve">Whether or not to approve an extension of financial completion of </w:t>
      </w:r>
      <w:r w:rsidR="005C0E44">
        <w:t>stage </w:t>
      </w:r>
      <w:r w:rsidRPr="009D3886">
        <w:t>I of the ICR sector plan for China to 31 December 2022 to allow for the disbursement of IOCs, on the understanding that no further extension would be requested and the ICR sector plan of stage I of the HPMP would be financially completed by 31 December 2022; and</w:t>
      </w:r>
    </w:p>
    <w:p w:rsidR="005F365A" w:rsidRPr="009D3886" w:rsidRDefault="005F365A" w:rsidP="005F365A">
      <w:pPr>
        <w:widowControl w:val="0"/>
        <w:numPr>
          <w:ilvl w:val="1"/>
          <w:numId w:val="1"/>
        </w:numPr>
        <w:spacing w:after="240"/>
        <w:outlineLvl w:val="1"/>
      </w:pPr>
      <w:r w:rsidRPr="009D3886">
        <w:t>Requesting the Government of China and UNDP to submit, to the 92</w:t>
      </w:r>
      <w:r w:rsidRPr="009D3886">
        <w:rPr>
          <w:vertAlign w:val="superscript"/>
        </w:rPr>
        <w:t>nd</w:t>
      </w:r>
      <w:r w:rsidR="005C0E44">
        <w:t> meeting</w:t>
      </w:r>
      <w:r w:rsidRPr="009D3886">
        <w:t xml:space="preserve">, a report on disbursement of funds for IOCs under </w:t>
      </w:r>
      <w:r w:rsidR="005C0E44">
        <w:t>stage </w:t>
      </w:r>
      <w:r w:rsidRPr="009D3886">
        <w:t>I of the ICR sector plan.</w:t>
      </w:r>
    </w:p>
    <w:p w:rsidR="00E85409" w:rsidRPr="009D3886" w:rsidRDefault="00E85409" w:rsidP="00927EFC"/>
    <w:p w:rsidR="00E85409" w:rsidRPr="009D3886" w:rsidRDefault="00E85409" w:rsidP="00927EFC"/>
    <w:p w:rsidR="00E85409" w:rsidRPr="009D3886" w:rsidRDefault="00E85409" w:rsidP="004E7F9C"/>
    <w:p w:rsidR="00E85409" w:rsidRPr="009D3886" w:rsidRDefault="00E85409" w:rsidP="004E7F9C"/>
    <w:p w:rsidR="00E85409" w:rsidRPr="009D3886"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D3886" w:rsidTr="00FB077C">
        <w:tc>
          <w:tcPr>
            <w:tcW w:w="1915" w:type="dxa"/>
          </w:tcPr>
          <w:p w:rsidR="00E85409" w:rsidRPr="009D3886" w:rsidRDefault="00E85409" w:rsidP="00FB077C"/>
        </w:tc>
        <w:tc>
          <w:tcPr>
            <w:tcW w:w="1915" w:type="dxa"/>
          </w:tcPr>
          <w:p w:rsidR="00E85409" w:rsidRPr="009D3886" w:rsidRDefault="00E85409" w:rsidP="00FB077C"/>
        </w:tc>
        <w:tc>
          <w:tcPr>
            <w:tcW w:w="1915" w:type="dxa"/>
            <w:tcBorders>
              <w:bottom w:val="single" w:sz="4" w:space="0" w:color="auto"/>
            </w:tcBorders>
          </w:tcPr>
          <w:p w:rsidR="00E85409" w:rsidRPr="009D3886" w:rsidRDefault="00E85409" w:rsidP="00FB077C"/>
        </w:tc>
        <w:tc>
          <w:tcPr>
            <w:tcW w:w="1915" w:type="dxa"/>
          </w:tcPr>
          <w:p w:rsidR="00E85409" w:rsidRPr="009D3886" w:rsidRDefault="00E85409" w:rsidP="00FB077C"/>
        </w:tc>
        <w:tc>
          <w:tcPr>
            <w:tcW w:w="1916" w:type="dxa"/>
          </w:tcPr>
          <w:p w:rsidR="00E85409" w:rsidRPr="009D3886" w:rsidRDefault="00E85409" w:rsidP="00FB077C"/>
        </w:tc>
      </w:tr>
    </w:tbl>
    <w:p w:rsidR="00E85409" w:rsidRPr="009D3886" w:rsidRDefault="00E85409" w:rsidP="004E7F9C"/>
    <w:sectPr w:rsidR="00E85409" w:rsidRPr="009D388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D88" w:rsidRDefault="001F5D88" w:rsidP="004A504B">
      <w:r>
        <w:separator/>
      </w:r>
    </w:p>
  </w:endnote>
  <w:endnote w:type="continuationSeparator" w:id="0">
    <w:p w:rsidR="001F5D88" w:rsidRDefault="001F5D8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2B2FA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2B2FA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D88" w:rsidRDefault="001F5D88" w:rsidP="004A504B">
      <w:r>
        <w:separator/>
      </w:r>
    </w:p>
  </w:footnote>
  <w:footnote w:type="continuationSeparator" w:id="0">
    <w:p w:rsidR="001F5D88" w:rsidRDefault="001F5D88" w:rsidP="004A504B">
      <w:r>
        <w:continuationSeparator/>
      </w:r>
    </w:p>
  </w:footnote>
  <w:footnote w:id="1">
    <w:p w:rsidR="00B877FA" w:rsidRDefault="00B877FA" w:rsidP="00B877FA">
      <w:pPr>
        <w:pStyle w:val="FootnoteText"/>
        <w:rPr>
          <w:lang w:val="en-US"/>
        </w:rPr>
      </w:pPr>
      <w:r>
        <w:rPr>
          <w:rStyle w:val="FootnoteReference"/>
        </w:rPr>
        <w:footnoteRef/>
      </w:r>
      <w:r>
        <w:t xml:space="preserve"> </w:t>
      </w:r>
      <w:r>
        <w:rPr>
          <w:lang w:val="en-US"/>
        </w:rPr>
        <w:t>UNEP/OzL.Pro/ExCom/90/1</w:t>
      </w:r>
    </w:p>
    <w:p w:rsidR="009D3886" w:rsidRPr="00CA3A35" w:rsidRDefault="009D3886" w:rsidP="00B877FA">
      <w:pPr>
        <w:pStyle w:val="FootnoteText"/>
        <w:rPr>
          <w:lang w:val="en-US"/>
        </w:rPr>
      </w:pPr>
    </w:p>
  </w:footnote>
  <w:footnote w:id="2">
    <w:p w:rsidR="00927EFC" w:rsidRPr="00D959A4" w:rsidRDefault="00927EFC" w:rsidP="00927EFC">
      <w:pPr>
        <w:pStyle w:val="FootnoteText"/>
      </w:pPr>
      <w:r>
        <w:rPr>
          <w:rStyle w:val="FootnoteReference"/>
        </w:rPr>
        <w:footnoteRef/>
      </w:r>
      <w:r>
        <w:t xml:space="preserve"> </w:t>
      </w:r>
      <w:r w:rsidRPr="00D959A4">
        <w:t>UNEP/OzL.Pro/ExCom/84/22/Add.1</w:t>
      </w:r>
      <w:r>
        <w:t>.</w:t>
      </w:r>
    </w:p>
  </w:footnote>
  <w:footnote w:id="3">
    <w:p w:rsidR="00927EFC" w:rsidRPr="00357CA1" w:rsidRDefault="00927EFC" w:rsidP="00927EFC">
      <w:pPr>
        <w:pStyle w:val="FootnoteText"/>
      </w:pPr>
      <w:r>
        <w:rPr>
          <w:rStyle w:val="FootnoteReference"/>
        </w:rPr>
        <w:footnoteRef/>
      </w:r>
      <w:r>
        <w:t xml:space="preserve"> Page 1.24 of </w:t>
      </w:r>
      <w:r w:rsidRPr="00823476">
        <w:t>https://ozone.unep.org/sites/default/files/2019-05/SAP-2018-Assessment-report.pdf</w:t>
      </w:r>
      <w:r>
        <w:t>.</w:t>
      </w:r>
    </w:p>
  </w:footnote>
  <w:footnote w:id="4">
    <w:p w:rsidR="00927EFC" w:rsidRPr="00137D08" w:rsidRDefault="00927EFC" w:rsidP="00927EFC">
      <w:pPr>
        <w:pStyle w:val="FootnoteText"/>
      </w:pPr>
      <w:r w:rsidRPr="00137D08">
        <w:rPr>
          <w:rStyle w:val="FootnoteReference"/>
        </w:rPr>
        <w:footnoteRef/>
      </w:r>
      <w:r w:rsidRPr="00137D08">
        <w:t xml:space="preserve"> The updated report contains information considered confidential by the Government of China and is available by request to Executive Committee members on the understanding that the information contained therein is not disclosed to a third party. </w:t>
      </w:r>
    </w:p>
  </w:footnote>
  <w:footnote w:id="5">
    <w:p w:rsidR="00927EFC" w:rsidRPr="00137D08" w:rsidRDefault="00927EFC" w:rsidP="00927EFC">
      <w:pPr>
        <w:pStyle w:val="FootnoteText"/>
      </w:pPr>
      <w:r w:rsidRPr="00137D08">
        <w:rPr>
          <w:rStyle w:val="FootnoteReference"/>
        </w:rPr>
        <w:footnoteRef/>
      </w:r>
      <w:r w:rsidRPr="00137D08">
        <w:t xml:space="preserve"> CM encompass</w:t>
      </w:r>
      <w:r>
        <w:t>es</w:t>
      </w:r>
      <w:r w:rsidRPr="00137D08">
        <w:t xml:space="preserve"> methyl chloride (CH</w:t>
      </w:r>
      <w:r w:rsidRPr="00137D08">
        <w:rPr>
          <w:vertAlign w:val="subscript"/>
        </w:rPr>
        <w:t>3</w:t>
      </w:r>
      <w:r w:rsidRPr="00137D08">
        <w:t>Cl), dimethyl chloride (CH</w:t>
      </w:r>
      <w:r w:rsidRPr="00137D08">
        <w:rPr>
          <w:vertAlign w:val="subscript"/>
        </w:rPr>
        <w:t>2</w:t>
      </w:r>
      <w:r w:rsidRPr="00137D08">
        <w:t>Cl</w:t>
      </w:r>
      <w:r w:rsidRPr="00137D08">
        <w:rPr>
          <w:vertAlign w:val="subscript"/>
        </w:rPr>
        <w:t>2</w:t>
      </w:r>
      <w:r w:rsidRPr="00137D08">
        <w:t>), chloroform (CHCl</w:t>
      </w:r>
      <w:r w:rsidRPr="00137D08">
        <w:rPr>
          <w:vertAlign w:val="subscript"/>
        </w:rPr>
        <w:t>3</w:t>
      </w:r>
      <w:r w:rsidRPr="00137D08">
        <w:t>) and CTC. CM</w:t>
      </w:r>
      <w:r>
        <w:t xml:space="preserve"> is</w:t>
      </w:r>
      <w:r w:rsidRPr="00137D08">
        <w:t xml:space="preserve"> produced by reaction methyl chloride with Cl</w:t>
      </w:r>
      <w:r w:rsidRPr="00137D08">
        <w:rPr>
          <w:vertAlign w:val="subscript"/>
        </w:rPr>
        <w:t>2</w:t>
      </w:r>
      <w:r w:rsidRPr="00137D08">
        <w:t xml:space="preserve">. </w:t>
      </w:r>
    </w:p>
  </w:footnote>
  <w:footnote w:id="6">
    <w:p w:rsidR="00927EFC" w:rsidRPr="00137D08" w:rsidRDefault="00927EFC" w:rsidP="00927EFC">
      <w:pPr>
        <w:pStyle w:val="FootnoteText"/>
      </w:pPr>
      <w:r w:rsidRPr="00137D08">
        <w:rPr>
          <w:rStyle w:val="FootnoteReference"/>
        </w:rPr>
        <w:footnoteRef/>
      </w:r>
      <w:r w:rsidRPr="00137D08">
        <w:t xml:space="preserve"> In 2019, the CM producers also manufactured a small quantity of hydrochloric acid.</w:t>
      </w:r>
    </w:p>
  </w:footnote>
  <w:footnote w:id="7">
    <w:p w:rsidR="00927EFC" w:rsidRPr="00137D08" w:rsidRDefault="00927EFC" w:rsidP="00927EFC">
      <w:pPr>
        <w:pStyle w:val="FootnoteText"/>
      </w:pPr>
      <w:r w:rsidRPr="00137D08">
        <w:rPr>
          <w:rStyle w:val="FootnoteReference"/>
        </w:rPr>
        <w:footnoteRef/>
      </w:r>
      <w:r w:rsidRPr="00137D08">
        <w:t xml:space="preserve"> Triphenylmethanol, glufosinate-ammonium, 3-(2,2-dichlorovinyl)-2,2-dimethyl cyclopropanecarbonyl chloride (DVDC), and 1,1,1,3,3-pentachloropropane (HCC-240fa).</w:t>
      </w:r>
    </w:p>
  </w:footnote>
  <w:footnote w:id="8">
    <w:p w:rsidR="00927EFC" w:rsidRPr="00137D08" w:rsidRDefault="00927EFC" w:rsidP="00927EFC">
      <w:pPr>
        <w:pStyle w:val="FootnoteText"/>
      </w:pPr>
      <w:r w:rsidRPr="00137D08">
        <w:rPr>
          <w:rStyle w:val="FootnoteReference"/>
        </w:rPr>
        <w:footnoteRef/>
      </w:r>
      <w:r w:rsidRPr="00137D08">
        <w:t xml:space="preserve"> Those feedstock users do not include the CM producers that have their own internal conversion of CTC, except for the one CM producer that also buys CTC to augment its internal production.</w:t>
      </w:r>
    </w:p>
  </w:footnote>
  <w:footnote w:id="9">
    <w:p w:rsidR="00927EFC" w:rsidRPr="00137D08" w:rsidRDefault="00927EFC" w:rsidP="00927EFC">
      <w:pPr>
        <w:pStyle w:val="FootnoteText"/>
      </w:pPr>
      <w:r w:rsidRPr="00137D08">
        <w:rPr>
          <w:rStyle w:val="FootnoteReference"/>
        </w:rPr>
        <w:footnoteRef/>
      </w:r>
      <w:r w:rsidRPr="00137D08">
        <w:t xml:space="preserve"> Paragraphs 8 to 10 of </w:t>
      </w:r>
      <w:r w:rsidR="005C0E44">
        <w:t>document </w:t>
      </w:r>
      <w:r w:rsidRPr="00137D08">
        <w:t xml:space="preserve">UNEP/OzL.Pro/ExCom/84/22/Add.2. </w:t>
      </w:r>
    </w:p>
  </w:footnote>
  <w:footnote w:id="10">
    <w:p w:rsidR="00927EFC" w:rsidRPr="00137D08" w:rsidRDefault="00927EFC" w:rsidP="00927EFC">
      <w:pPr>
        <w:pStyle w:val="FootnoteText"/>
        <w:keepLines/>
      </w:pPr>
      <w:r w:rsidRPr="00137D08">
        <w:rPr>
          <w:rStyle w:val="FootnoteReference"/>
        </w:rPr>
        <w:footnoteRef/>
      </w:r>
      <w:r w:rsidRPr="00137D08">
        <w:t xml:space="preserve"> Potential emissions were derived based on a technical assessment of possible emissions of CTC from various waste streams and were estimated based on product disposal methods; unlike actual emissions, which were based on direct estimates of CTC in emission streams, potential emissions are based on usage of products or disposal methods for the CTC streams that could have different CTC levels, before discharge to the atmosphere. The report indicated that those potential emissions are unlikely considering the advanced process technology and management level in the CM production enterprises and the restrict supervision of volatile organic compounds (VOCs) and chemical oxygen demand (COD) by ecology and environmental protection bodies in China.</w:t>
      </w:r>
    </w:p>
  </w:footnote>
  <w:footnote w:id="11">
    <w:p w:rsidR="00927EFC" w:rsidRPr="00137D08" w:rsidRDefault="00927EFC" w:rsidP="00927EFC">
      <w:pPr>
        <w:pStyle w:val="FootnoteText"/>
      </w:pPr>
      <w:r w:rsidRPr="00137D08">
        <w:rPr>
          <w:rStyle w:val="FootnoteReference"/>
        </w:rPr>
        <w:footnoteRef/>
      </w:r>
      <w:r w:rsidRPr="00137D08">
        <w:t xml:space="preserve"> Lunt, M. F., Park, S., Li, S., Henne, S., Manning, A. J., Ganesan, A. L., et al. (2018). Continued emissions of the</w:t>
      </w:r>
      <w:r>
        <w:t xml:space="preserve"> </w:t>
      </w:r>
      <w:r w:rsidRPr="00137D08">
        <w:t>ozone-depleting substance carbon tetrachloride from eastern Asia. Geophysical Research Letters, 45.</w:t>
      </w:r>
    </w:p>
    <w:p w:rsidR="00927EFC" w:rsidRPr="00137D08" w:rsidRDefault="00927EFC" w:rsidP="00927EFC">
      <w:pPr>
        <w:pStyle w:val="FootnoteText"/>
      </w:pPr>
      <w:r w:rsidRPr="00137D08">
        <w:t>https://doi.org/10.1029/2018GL079500.</w:t>
      </w:r>
    </w:p>
  </w:footnote>
  <w:footnote w:id="12">
    <w:p w:rsidR="00927EFC" w:rsidRPr="00137D08" w:rsidRDefault="00927EFC" w:rsidP="00927EFC">
      <w:pPr>
        <w:pStyle w:val="FootnoteText"/>
      </w:pPr>
      <w:r w:rsidRPr="00137D08">
        <w:rPr>
          <w:rStyle w:val="FootnoteReference"/>
        </w:rPr>
        <w:footnoteRef/>
      </w:r>
      <w:r w:rsidRPr="00137D08">
        <w:t xml:space="preserve"> Estimated emissions are provided as an average with the 95</w:t>
      </w:r>
      <w:r w:rsidR="00117546">
        <w:t> per cent</w:t>
      </w:r>
      <w:r w:rsidRPr="00137D08">
        <w:t xml:space="preserve"> confidence level indicated in brackets; 1 Gg = 1,000</w:t>
      </w:r>
      <w:r w:rsidR="00117546">
        <w:t> mt</w:t>
      </w:r>
      <w:r w:rsidRPr="00137D08">
        <w:t xml:space="preserve">. </w:t>
      </w:r>
    </w:p>
  </w:footnote>
  <w:footnote w:id="13">
    <w:p w:rsidR="00927EFC" w:rsidRPr="00137D08" w:rsidRDefault="00927EFC" w:rsidP="00927EFC">
      <w:pPr>
        <w:pStyle w:val="FootnoteText"/>
      </w:pPr>
      <w:r w:rsidRPr="00137D08">
        <w:rPr>
          <w:rStyle w:val="FootnoteReference"/>
        </w:rPr>
        <w:footnoteRef/>
      </w:r>
      <w:r w:rsidRPr="00137D08">
        <w:t xml:space="preserve"> https://agage.mit.edu/stations/gosan-jeju-island</w:t>
      </w:r>
    </w:p>
  </w:footnote>
  <w:footnote w:id="14">
    <w:p w:rsidR="00927EFC" w:rsidRPr="00137D08" w:rsidRDefault="00927EFC" w:rsidP="00927EFC">
      <w:pPr>
        <w:pStyle w:val="FootnoteText"/>
      </w:pPr>
      <w:r w:rsidRPr="00137D08">
        <w:rPr>
          <w:rStyle w:val="FootnoteReference"/>
        </w:rPr>
        <w:footnoteRef/>
      </w:r>
      <w:r w:rsidRPr="00137D08">
        <w:t xml:space="preserve"> Documents UNEP/OzL.Pro/ExCom/84/22/Add.2 and UNEP/OzL.Pro/ExCom/84/22/Add.3. </w:t>
      </w:r>
    </w:p>
  </w:footnote>
  <w:footnote w:id="15">
    <w:p w:rsidR="00927EFC" w:rsidRPr="00137D08" w:rsidRDefault="00927EFC" w:rsidP="00927EFC">
      <w:pPr>
        <w:pStyle w:val="FootnoteText"/>
      </w:pPr>
      <w:r w:rsidRPr="00137D08">
        <w:rPr>
          <w:rStyle w:val="FootnoteReference"/>
        </w:rPr>
        <w:footnoteRef/>
      </w:r>
      <w:r w:rsidRPr="00137D08">
        <w:t xml:space="preserve"> Paragraphs 18 and 19 of </w:t>
      </w:r>
      <w:r w:rsidR="005C0E44">
        <w:t>document </w:t>
      </w:r>
      <w:r w:rsidRPr="00137D08">
        <w:t>UNEP/OzL.Pro/ExCom/88/18/Add.1.</w:t>
      </w:r>
    </w:p>
  </w:footnote>
  <w:footnote w:id="16">
    <w:p w:rsidR="00927EFC" w:rsidRPr="00137D08" w:rsidRDefault="00927EFC" w:rsidP="00927EFC">
      <w:pPr>
        <w:pStyle w:val="FootnoteText"/>
      </w:pPr>
      <w:r w:rsidRPr="00137D08">
        <w:rPr>
          <w:rStyle w:val="FootnoteReference"/>
        </w:rPr>
        <w:footnoteRef/>
      </w:r>
      <w:r w:rsidRPr="00137D08">
        <w:t xml:space="preserve"> Park, S, Western, L.M, Park, S., Western, L. M., Saito, T., Redington, A. L., et al. (2021). A decline in emissions of CFC-11 and related chemicals from eastern China. Nature. https://doi.org/10.1038/s41586-021-03277-w</w:t>
      </w:r>
    </w:p>
  </w:footnote>
  <w:footnote w:id="17">
    <w:p w:rsidR="00927EFC" w:rsidRPr="00137D08" w:rsidRDefault="00927EFC" w:rsidP="00927EFC">
      <w:pPr>
        <w:pStyle w:val="FootnoteText"/>
        <w:jc w:val="left"/>
      </w:pPr>
      <w:r w:rsidRPr="00137D08">
        <w:rPr>
          <w:rStyle w:val="FootnoteReference"/>
        </w:rPr>
        <w:footnoteRef/>
      </w:r>
      <w:r w:rsidRPr="00137D08">
        <w:t xml:space="preserve"> The preliminary analysis was not published in the peer-reviewed scientific literature but is available here: https://www.sparc</w:t>
      </w:r>
      <w:r w:rsidRPr="00137D08">
        <w:noBreakHyphen/>
        <w:t>climate.org/fileadmin/customer/5_Meetings/2015_PDF/13_Bo_Yao_Long</w:t>
      </w:r>
      <w:r w:rsidRPr="00137D08">
        <w:noBreakHyphen/>
        <w:t>term_observation_of_CCl4_at_CMA_network_in_China.pdf</w:t>
      </w:r>
      <w:r>
        <w:t>.</w:t>
      </w:r>
    </w:p>
  </w:footnote>
  <w:footnote w:id="18">
    <w:p w:rsidR="00927EFC" w:rsidRPr="00137D08" w:rsidRDefault="00927EFC" w:rsidP="00927EFC">
      <w:pPr>
        <w:pStyle w:val="FootnoteText"/>
        <w:jc w:val="left"/>
      </w:pPr>
      <w:r w:rsidRPr="00137D08">
        <w:rPr>
          <w:rStyle w:val="FootnoteReference"/>
        </w:rPr>
        <w:footnoteRef/>
      </w:r>
      <w:r w:rsidRPr="00137D08">
        <w:t xml:space="preserve"> The Global Atmospheric Watch (GAW) at Shangdianzi. A figure showing the timeseries of averaged atmospheric abundances of CTC at the station is available here: https://yhp</w:t>
      </w:r>
      <w:r w:rsidRPr="00137D08">
        <w:noBreakHyphen/>
        <w:t>website.oss</w:t>
      </w:r>
      <w:r w:rsidRPr="00137D08">
        <w:noBreakHyphen/>
        <w:t>cn</w:t>
      </w:r>
      <w:r w:rsidRPr="00137D08">
        <w:noBreakHyphen/>
        <w:t>beijing.aliyuncs.com/upload/2019%E</w:t>
      </w:r>
      <w:r w:rsidRPr="00137D08">
        <w:br/>
        <w:t>4%B8%AD%E5%9B%BD%E6%B8%A9%E5%AE%A4%E6%B0%94%E4%BD%93%E5%85%AC%E6%8A%A5_1634010133088.pdf</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EC5FFF">
    <w:r>
      <w:fldChar w:fldCharType="begin"/>
    </w:r>
    <w:r>
      <w:instrText xml:space="preserve"> DOCPROPERTY "Document number"  \* MERGEFORMAT </w:instrText>
    </w:r>
    <w:r>
      <w:fldChar w:fldCharType="separate"/>
    </w:r>
    <w:r w:rsidR="005F365A">
      <w:t>UNEP/</w:t>
    </w:r>
    <w:proofErr w:type="spellStart"/>
    <w:r w:rsidR="005F365A">
      <w:t>OzL.Pro</w:t>
    </w:r>
    <w:proofErr w:type="spellEnd"/>
    <w:r w:rsidR="005F365A">
      <w:t>/</w:t>
    </w:r>
    <w:proofErr w:type="spellStart"/>
    <w:r w:rsidR="005F365A">
      <w:t>ExCom</w:t>
    </w:r>
    <w:proofErr w:type="spellEnd"/>
    <w:r w:rsidR="005F365A">
      <w:t>/90/9/Add.1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EC5FFF">
    <w:pPr>
      <w:jc w:val="right"/>
    </w:pPr>
    <w:r>
      <w:fldChar w:fldCharType="begin"/>
    </w:r>
    <w:r>
      <w:instrText xml:space="preserve"> DOCPROPERTY "Document number"  \* MERGEFORMAT </w:instrText>
    </w:r>
    <w:r>
      <w:fldChar w:fldCharType="separate"/>
    </w:r>
    <w:r w:rsidR="005F365A">
      <w:t>UNEP/</w:t>
    </w:r>
    <w:proofErr w:type="spellStart"/>
    <w:r w:rsidR="005F365A">
      <w:t>OzL.Pro</w:t>
    </w:r>
    <w:proofErr w:type="spellEnd"/>
    <w:r w:rsidR="005F365A">
      <w:t>/</w:t>
    </w:r>
    <w:proofErr w:type="spellStart"/>
    <w:r w:rsidR="005F365A">
      <w:t>ExCom</w:t>
    </w:r>
    <w:proofErr w:type="spellEnd"/>
    <w:r w:rsidR="005F365A">
      <w:t>/90/9/Add.1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F5D88"/>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606"/>
    <w:rsid w:val="00113CCA"/>
    <w:rsid w:val="00117546"/>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1F5D88"/>
    <w:rsid w:val="00210B8B"/>
    <w:rsid w:val="00214863"/>
    <w:rsid w:val="002156B4"/>
    <w:rsid w:val="00224FCD"/>
    <w:rsid w:val="00253222"/>
    <w:rsid w:val="00261C13"/>
    <w:rsid w:val="00262847"/>
    <w:rsid w:val="00274D91"/>
    <w:rsid w:val="00281BB2"/>
    <w:rsid w:val="002A03C3"/>
    <w:rsid w:val="002B254E"/>
    <w:rsid w:val="002B2FA4"/>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56EB4"/>
    <w:rsid w:val="00457827"/>
    <w:rsid w:val="004718F3"/>
    <w:rsid w:val="00475040"/>
    <w:rsid w:val="00493D40"/>
    <w:rsid w:val="00493EE3"/>
    <w:rsid w:val="004967B6"/>
    <w:rsid w:val="004A504B"/>
    <w:rsid w:val="004A6911"/>
    <w:rsid w:val="004B52DA"/>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0E44"/>
    <w:rsid w:val="005C1E32"/>
    <w:rsid w:val="005D363F"/>
    <w:rsid w:val="005F365A"/>
    <w:rsid w:val="00604C15"/>
    <w:rsid w:val="006158D5"/>
    <w:rsid w:val="00625D83"/>
    <w:rsid w:val="006623E7"/>
    <w:rsid w:val="00662B80"/>
    <w:rsid w:val="00664EE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41BD8"/>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27EFC"/>
    <w:rsid w:val="009361D5"/>
    <w:rsid w:val="009428A4"/>
    <w:rsid w:val="009659F4"/>
    <w:rsid w:val="00970D60"/>
    <w:rsid w:val="0099390E"/>
    <w:rsid w:val="009960E5"/>
    <w:rsid w:val="009A7ADC"/>
    <w:rsid w:val="009B0D30"/>
    <w:rsid w:val="009C19B7"/>
    <w:rsid w:val="009C5ABB"/>
    <w:rsid w:val="009D3886"/>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55E"/>
    <w:rsid w:val="00B01ADB"/>
    <w:rsid w:val="00B04161"/>
    <w:rsid w:val="00B056F9"/>
    <w:rsid w:val="00B11E3D"/>
    <w:rsid w:val="00B14D2C"/>
    <w:rsid w:val="00B17E82"/>
    <w:rsid w:val="00B4575A"/>
    <w:rsid w:val="00B575BA"/>
    <w:rsid w:val="00B71608"/>
    <w:rsid w:val="00B76429"/>
    <w:rsid w:val="00B86471"/>
    <w:rsid w:val="00B877FA"/>
    <w:rsid w:val="00B956D4"/>
    <w:rsid w:val="00B97446"/>
    <w:rsid w:val="00BA7432"/>
    <w:rsid w:val="00BB2764"/>
    <w:rsid w:val="00BC1AA0"/>
    <w:rsid w:val="00BC2495"/>
    <w:rsid w:val="00BC314A"/>
    <w:rsid w:val="00BC7EB9"/>
    <w:rsid w:val="00BD0C63"/>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C5FFF"/>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2354641-E8E7-43EF-8169-C5A63B7D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table" w:customStyle="1" w:styleId="TableGrid10">
    <w:name w:val="Table Grid1"/>
    <w:basedOn w:val="TableNormal"/>
    <w:next w:val="TableGrid"/>
    <w:qFormat/>
    <w:rsid w:val="00B877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927EF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62F0BC08376C4899C5553A93572EFF" ma:contentTypeVersion="5" ma:contentTypeDescription="Create a new document." ma:contentTypeScope="" ma:versionID="c0a47fd460c74dbd4499fa6360ee55c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B39A505-2E66-4B8D-9275-6244CC804F79}"/>
</file>

<file path=customXml/itemProps2.xml><?xml version="1.0" encoding="utf-8"?>
<ds:datastoreItem xmlns:ds="http://schemas.openxmlformats.org/officeDocument/2006/customXml" ds:itemID="{4D4CFB8C-011E-4C56-B288-8F11B29328FC}"/>
</file>

<file path=customXml/itemProps3.xml><?xml version="1.0" encoding="utf-8"?>
<ds:datastoreItem xmlns:ds="http://schemas.openxmlformats.org/officeDocument/2006/customXml" ds:itemID="{4F176650-564E-44CE-87F0-7C473828065F}"/>
</file>

<file path=customXml/itemProps4.xml><?xml version="1.0" encoding="utf-8"?>
<ds:datastoreItem xmlns:ds="http://schemas.openxmlformats.org/officeDocument/2006/customXml" ds:itemID="{206D0438-59EF-4616-BC02-926D4EB9CC34}"/>
</file>

<file path=docProps/app.xml><?xml version="1.0" encoding="utf-8"?>
<Properties xmlns="http://schemas.openxmlformats.org/officeDocument/2006/extended-properties" xmlns:vt="http://schemas.openxmlformats.org/officeDocument/2006/docPropsVTypes">
  <Template>Eec90G</Template>
  <TotalTime>90</TotalTime>
  <Pages>11</Pages>
  <Words>4712</Words>
  <Characters>25581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Status reports and reports on projects with specific reporting requirements</vt:lpstr>
    </vt:vector>
  </TitlesOfParts>
  <Company>UNMFS</Company>
  <LinksUpToDate>false</LinksUpToDate>
  <CharactersWithSpaces>30233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dc:title>
  <dc:subject>90th</dc:subject>
  <dc:creator>Patricia Chau</dc:creator>
  <cp:lastModifiedBy>Patricia Chau</cp:lastModifiedBy>
  <cp:revision>13</cp:revision>
  <cp:lastPrinted>2001-05-26T16:40:00Z</cp:lastPrinted>
  <dcterms:created xsi:type="dcterms:W3CDTF">2022-05-17T19:04:00Z</dcterms:created>
  <dcterms:modified xsi:type="dcterms:W3CDTF">2022-05-27T18:12:00Z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UNEP/OzL.Pro/ExCom/90/9/Add.1</vt:lpwstr>
  </property>
  <property fmtid="{D5CDD505-2E9C-101B-9397-08002B2CF9AE}" pid="3" name="Revision date">
    <vt:lpwstr>5/27/2022</vt:lpwstr>
  </property>
  <property fmtid="{D5CDD505-2E9C-101B-9397-08002B2CF9AE}" pid="4" name="ContentTypeId">
    <vt:lpwstr>0x0101006062F0BC08376C4899C5553A93572EFF</vt:lpwstr>
  </property>
</Properties>
</file>