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bookmarkStart w:id="0" w:name="_GoBack"/>
            <w:r>
              <w:rPr>
                <w:noProof/>
                <w:lang w:val="en-CA" w:eastAsia="en-CA"/>
              </w:rPr>
              <w:drawing>
                <wp:anchor distT="0" distB="0" distL="114300" distR="114300" simplePos="0" relativeHeight="251660288" behindDoc="0" locked="0" layoutInCell="1" allowOverlap="1">
                  <wp:simplePos x="0" y="0"/>
                  <wp:positionH relativeFrom="column">
                    <wp:posOffset>340173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001C3D0C">
              <w:rPr>
                <w:noProof/>
                <w:lang w:val="en-CA" w:eastAsia="en-CA"/>
              </w:rPr>
              <w:drawing>
                <wp:anchor distT="0" distB="0" distL="114300" distR="114300" simplePos="0" relativeHeight="251661312" behindDoc="1" locked="0" layoutInCell="0" allowOverlap="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FF3CF1" w:rsidRDefault="002D20DE">
            <w:pPr>
              <w:rPr>
                <w:lang w:val="fr-FR"/>
              </w:rPr>
            </w:pPr>
            <w:r>
              <w:fldChar w:fldCharType="begin"/>
            </w:r>
            <w:r w:rsidR="00E60D9C" w:rsidRPr="00DD3433">
              <w:rPr>
                <w:lang w:val="fr-FR"/>
              </w:rPr>
              <w:instrText xml:space="preserve"> DOCPROPERTY "Document number"  \* MERGEFORMAT </w:instrText>
            </w:r>
            <w:r>
              <w:fldChar w:fldCharType="separate"/>
            </w:r>
            <w:r w:rsidR="00D06D2C">
              <w:rPr>
                <w:lang w:val="fr-FR"/>
              </w:rPr>
              <w:t>UNEP/OzL.Pro/ExCom/84/27</w:t>
            </w:r>
            <w:r>
              <w:fldChar w:fldCharType="end"/>
            </w:r>
          </w:p>
          <w:p w:rsidR="002F0B57" w:rsidRPr="00FF3CF1" w:rsidRDefault="002D20DE" w:rsidP="000F6C8E">
            <w:pPr>
              <w:rPr>
                <w:lang w:val="fr-FR"/>
              </w:rPr>
            </w:pPr>
            <w:r>
              <w:fldChar w:fldCharType="begin"/>
            </w:r>
            <w:r w:rsidR="002F0B57" w:rsidRPr="00FF3CF1">
              <w:rPr>
                <w:lang w:val="fr-FR"/>
              </w:rPr>
              <w:instrText xml:space="preserve"> DOCPROPERTY "Revision date" \@ "d MMMM YYYY"  \* MERGEFORMAT </w:instrText>
            </w:r>
            <w:r>
              <w:fldChar w:fldCharType="separate"/>
            </w:r>
            <w:r w:rsidR="00D06D2C">
              <w:rPr>
                <w:lang w:val="fr-FR"/>
              </w:rPr>
              <w:t>20 novembre 2019</w:t>
            </w:r>
            <w:r>
              <w:fldChar w:fldCharType="end"/>
            </w:r>
          </w:p>
          <w:p w:rsidR="00441083" w:rsidRDefault="00FC5578">
            <w:pPr>
              <w:rPr>
                <w:caps/>
                <w:lang w:val="fr-FR"/>
              </w:rPr>
            </w:pPr>
            <w:r w:rsidRPr="00FF3CF1">
              <w:rPr>
                <w:caps/>
                <w:lang w:val="fr-FR"/>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613F1F">
        <w:rPr>
          <w:lang w:val="fr-FR"/>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jc w:val="left"/>
        <w:rPr>
          <w:lang w:val="fr-CA"/>
        </w:rPr>
      </w:pPr>
    </w:p>
    <w:p w:rsidR="00D06D2C" w:rsidRDefault="00D06D2C">
      <w:pPr>
        <w:jc w:val="left"/>
        <w:rPr>
          <w:lang w:val="fr-CA"/>
        </w:rPr>
      </w:pPr>
    </w:p>
    <w:p w:rsidR="00441083" w:rsidRDefault="00441083">
      <w:pPr>
        <w:pStyle w:val="Heading3"/>
        <w:numPr>
          <w:ilvl w:val="0"/>
          <w:numId w:val="0"/>
        </w:numPr>
        <w:spacing w:after="0"/>
        <w:rPr>
          <w:lang w:val="fr-FR"/>
        </w:rPr>
      </w:pPr>
    </w:p>
    <w:p w:rsidR="00D06D2C" w:rsidRDefault="00613F1F" w:rsidP="00613F1F">
      <w:pPr>
        <w:pStyle w:val="Title2"/>
        <w:rPr>
          <w:caps w:val="0"/>
          <w:szCs w:val="24"/>
        </w:rPr>
      </w:pPr>
      <w:r>
        <w:rPr>
          <w:caps w:val="0"/>
          <w:szCs w:val="24"/>
        </w:rPr>
        <w:t xml:space="preserve">PLANS D'ACTIVITÉS DES AGENCES BILATÉRALES </w:t>
      </w:r>
    </w:p>
    <w:p w:rsidR="00613F1F" w:rsidRPr="002A5E38" w:rsidRDefault="00613F1F" w:rsidP="00613F1F">
      <w:pPr>
        <w:pStyle w:val="Title2"/>
        <w:rPr>
          <w:caps w:val="0"/>
          <w:szCs w:val="24"/>
        </w:rPr>
      </w:pPr>
      <w:r>
        <w:rPr>
          <w:caps w:val="0"/>
          <w:szCs w:val="24"/>
        </w:rPr>
        <w:t>POUR LA PÉRIODE 2020</w:t>
      </w:r>
      <w:r>
        <w:t>–</w:t>
      </w:r>
      <w:r>
        <w:rPr>
          <w:caps w:val="0"/>
          <w:szCs w:val="24"/>
        </w:rPr>
        <w:t>2022</w:t>
      </w:r>
    </w:p>
    <w:p w:rsidR="00613F1F" w:rsidRDefault="00613F1F" w:rsidP="00613F1F">
      <w:pPr>
        <w:pStyle w:val="Title2"/>
        <w:rPr>
          <w:caps w:val="0"/>
          <w:szCs w:val="24"/>
        </w:rPr>
      </w:pPr>
    </w:p>
    <w:p w:rsidR="00D06D2C" w:rsidRPr="00F879EF" w:rsidRDefault="00D06D2C" w:rsidP="00613F1F">
      <w:pPr>
        <w:pStyle w:val="Title2"/>
        <w:rPr>
          <w:caps w:val="0"/>
          <w:szCs w:val="24"/>
        </w:rPr>
      </w:pPr>
    </w:p>
    <w:p w:rsidR="00613F1F" w:rsidRPr="002A5E38" w:rsidRDefault="00613F1F" w:rsidP="00613F1F">
      <w:pPr>
        <w:pStyle w:val="a--"/>
        <w:tabs>
          <w:tab w:val="clear" w:pos="-720"/>
          <w:tab w:val="clear" w:pos="0"/>
          <w:tab w:val="clear" w:pos="720"/>
          <w:tab w:val="clear" w:pos="1440"/>
          <w:tab w:val="clear" w:pos="2160"/>
          <w:tab w:val="clear" w:pos="2880"/>
          <w:tab w:val="clear" w:pos="3600"/>
        </w:tabs>
        <w:suppressAutoHyphens w:val="0"/>
        <w:rPr>
          <w:sz w:val="22"/>
          <w:szCs w:val="22"/>
        </w:rPr>
      </w:pPr>
      <w:r>
        <w:rPr>
          <w:sz w:val="22"/>
          <w:szCs w:val="22"/>
        </w:rPr>
        <w:t>Introduction</w:t>
      </w:r>
    </w:p>
    <w:p w:rsidR="00613F1F" w:rsidRPr="002A5E38" w:rsidRDefault="00613F1F" w:rsidP="00613F1F">
      <w:pPr>
        <w:rPr>
          <w:lang w:val="en-CA"/>
        </w:rPr>
      </w:pPr>
    </w:p>
    <w:p w:rsidR="00613F1F" w:rsidRPr="00613F1F" w:rsidRDefault="00613F1F" w:rsidP="00613F1F">
      <w:pPr>
        <w:pStyle w:val="Heading1"/>
        <w:rPr>
          <w:lang w:val="fr-FR"/>
        </w:rPr>
      </w:pPr>
      <w:r w:rsidRPr="00613F1F">
        <w:rPr>
          <w:lang w:val="fr-FR"/>
        </w:rPr>
        <w:t>Les agences bilatérales ci-après ont soumis leurs plans d'activités 2020–2022 à la 84</w:t>
      </w:r>
      <w:r w:rsidRPr="00613F1F">
        <w:rPr>
          <w:vertAlign w:val="superscript"/>
          <w:lang w:val="fr-FR"/>
        </w:rPr>
        <w:t>e</w:t>
      </w:r>
      <w:r w:rsidRPr="00613F1F">
        <w:rPr>
          <w:lang w:val="fr-FR"/>
        </w:rPr>
        <w:t> réunion : Australie et Allemagne.</w:t>
      </w:r>
      <w:r w:rsidRPr="002A5E38">
        <w:rPr>
          <w:vertAlign w:val="superscript"/>
        </w:rPr>
        <w:footnoteReference w:id="1"/>
      </w:r>
      <w:r w:rsidRPr="00613F1F">
        <w:rPr>
          <w:lang w:val="fr-FR"/>
        </w:rPr>
        <w:t xml:space="preserve"> Bien que la France, l’Italie et le Japon n'aient pas officiellement soumis de plan d'activités, le présent document comprend un tableau indiquant la répartition des ressources pour ces trois pays fondée sur les activités associées aux plans de gestion de l'élimination des HCFC (PGEH) approuvés en principe.</w:t>
      </w:r>
    </w:p>
    <w:p w:rsidR="00613F1F" w:rsidRPr="00613F1F" w:rsidRDefault="00613F1F" w:rsidP="00613F1F">
      <w:pPr>
        <w:pStyle w:val="Heading1"/>
        <w:rPr>
          <w:lang w:val="fr-FR"/>
        </w:rPr>
      </w:pPr>
      <w:r w:rsidRPr="00613F1F">
        <w:rPr>
          <w:lang w:val="fr-FR"/>
        </w:rPr>
        <w:t xml:space="preserve">Les agences bilatérales concernées entendent mener des activités dans 16 pays visés à l'Article 5, à savoir le Brésil, la Chine, la Colombie, l’Inde, l’Iran (République islamique d'), le Kenya, le Lesotho, le Libéria, Maurice, la Namibie, le Nigéria, la Papouasie-Nouvelle-Guinée, les Seychelles, le Viêt Nam, le Zimbabwe et une activité régionale pour les Pays insulaires du Pacifique (PIP) pour une valeur de </w:t>
      </w:r>
      <w:r w:rsidRPr="00613F1F">
        <w:rPr>
          <w:lang w:val="fr-FR"/>
        </w:rPr>
        <w:lastRenderedPageBreak/>
        <w:t>10 531 037 $ US. Un montant supplémentaire de 2 857 975 $ US serait demandé pour après 2022, comme indiqué au tableau 1.</w:t>
      </w:r>
      <w:r w:rsidRPr="002A5E38">
        <w:rPr>
          <w:rStyle w:val="FootnoteReference"/>
        </w:rPr>
        <w:footnoteReference w:id="2"/>
      </w:r>
    </w:p>
    <w:p w:rsidR="00613F1F" w:rsidRPr="00613F1F" w:rsidRDefault="00613F1F" w:rsidP="00613F1F">
      <w:pPr>
        <w:keepNext/>
        <w:rPr>
          <w:b/>
          <w:lang w:val="fr-FR"/>
        </w:rPr>
      </w:pPr>
      <w:r w:rsidRPr="00613F1F">
        <w:rPr>
          <w:b/>
          <w:lang w:val="fr-FR"/>
        </w:rPr>
        <w:t>Tableau 1.</w:t>
      </w:r>
      <w:r w:rsidRPr="00613F1F">
        <w:rPr>
          <w:lang w:val="fr-FR"/>
        </w:rPr>
        <w:t xml:space="preserve"> </w:t>
      </w:r>
      <w:r w:rsidRPr="00613F1F">
        <w:rPr>
          <w:b/>
          <w:lang w:val="fr-FR"/>
        </w:rPr>
        <w:t xml:space="preserve">Répartition des ressources prévues par les plans d'activités des agences bilatérales pour </w:t>
      </w:r>
      <w:r w:rsidRPr="00613F1F">
        <w:rPr>
          <w:b/>
          <w:caps/>
          <w:szCs w:val="24"/>
          <w:lang w:val="fr-FR"/>
        </w:rPr>
        <w:t>2020–2022</w:t>
      </w:r>
      <w:r w:rsidRPr="00613F1F">
        <w:rPr>
          <w:b/>
          <w:lang w:val="fr-FR"/>
        </w:rPr>
        <w:t xml:space="preserve"> ($ US)*</w:t>
      </w:r>
    </w:p>
    <w:tbl>
      <w:tblPr>
        <w:tblW w:w="9356" w:type="dxa"/>
        <w:tblInd w:w="108" w:type="dxa"/>
        <w:tblLook w:val="04A0" w:firstRow="1" w:lastRow="0" w:firstColumn="1" w:lastColumn="0" w:noHBand="0" w:noVBand="1"/>
      </w:tblPr>
      <w:tblGrid>
        <w:gridCol w:w="2410"/>
        <w:gridCol w:w="1418"/>
        <w:gridCol w:w="1275"/>
        <w:gridCol w:w="1276"/>
        <w:gridCol w:w="1418"/>
        <w:gridCol w:w="1559"/>
      </w:tblGrid>
      <w:tr w:rsidR="00613F1F" w:rsidRPr="002A5E38" w:rsidTr="001873FF">
        <w:trPr>
          <w:trHeight w:val="287"/>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3F1F" w:rsidRPr="00613F1F" w:rsidRDefault="00613F1F" w:rsidP="003148B6">
            <w:pPr>
              <w:jc w:val="left"/>
              <w:rPr>
                <w:b/>
                <w:bCs/>
                <w:sz w:val="20"/>
                <w:szCs w:val="20"/>
                <w:lang w:val="fr-FR"/>
              </w:rPr>
            </w:pPr>
            <w:r w:rsidRPr="00613F1F">
              <w:rPr>
                <w:b/>
                <w:bCs/>
                <w:sz w:val="20"/>
                <w:szCs w:val="20"/>
                <w:lang w:val="fr-FR"/>
              </w:rPr>
              <w:t>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0"/>
                <w:szCs w:val="20"/>
              </w:rPr>
            </w:pPr>
            <w:r>
              <w:rPr>
                <w:b/>
                <w:bCs/>
                <w:sz w:val="20"/>
                <w:szCs w:val="20"/>
              </w:rPr>
              <w:t>2020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0"/>
                <w:szCs w:val="20"/>
              </w:rPr>
            </w:pPr>
            <w:r>
              <w:rPr>
                <w:b/>
                <w:bCs/>
                <w:sz w:val="20"/>
                <w:szCs w:val="20"/>
              </w:rPr>
              <w:t>2021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0"/>
                <w:szCs w:val="20"/>
              </w:rPr>
            </w:pPr>
            <w:r>
              <w:rPr>
                <w:b/>
                <w:bCs/>
                <w:sz w:val="20"/>
                <w:szCs w:val="20"/>
              </w:rPr>
              <w:t>2022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0"/>
                <w:szCs w:val="20"/>
              </w:rPr>
            </w:pPr>
            <w:r>
              <w:rPr>
                <w:b/>
                <w:bCs/>
                <w:sz w:val="20"/>
                <w:szCs w:val="20"/>
              </w:rPr>
              <w:t>Total</w:t>
            </w:r>
          </w:p>
          <w:p w:rsidR="00613F1F" w:rsidRPr="002A5E38" w:rsidRDefault="00613F1F" w:rsidP="003148B6">
            <w:pPr>
              <w:jc w:val="center"/>
              <w:rPr>
                <w:b/>
                <w:bCs/>
                <w:sz w:val="20"/>
                <w:szCs w:val="20"/>
              </w:rPr>
            </w:pPr>
            <w:r>
              <w:rPr>
                <w:b/>
                <w:bCs/>
                <w:sz w:val="20"/>
                <w:szCs w:val="20"/>
              </w:rPr>
              <w:t>(2020–2022)</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0"/>
                <w:szCs w:val="20"/>
              </w:rPr>
            </w:pPr>
            <w:r>
              <w:rPr>
                <w:b/>
                <w:bCs/>
                <w:sz w:val="20"/>
                <w:szCs w:val="20"/>
              </w:rPr>
              <w:t>Total après 2022</w:t>
            </w:r>
          </w:p>
        </w:tc>
      </w:tr>
      <w:tr w:rsidR="00613F1F" w:rsidRPr="002A5E38" w:rsidTr="001873FF">
        <w:trPr>
          <w:trHeight w:val="264"/>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jc w:val="left"/>
              <w:rPr>
                <w:b/>
                <w:bCs/>
                <w:sz w:val="20"/>
                <w:szCs w:val="20"/>
              </w:rPr>
            </w:pPr>
            <w:r>
              <w:rPr>
                <w:b/>
                <w:bCs/>
                <w:sz w:val="20"/>
                <w:szCs w:val="20"/>
              </w:rPr>
              <w:t>Activités des PGEH</w:t>
            </w:r>
          </w:p>
        </w:tc>
      </w:tr>
      <w:tr w:rsidR="00613F1F" w:rsidRPr="002A5E38" w:rsidTr="001873FF">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jc w:val="left"/>
              <w:rPr>
                <w:sz w:val="20"/>
                <w:szCs w:val="20"/>
              </w:rPr>
            </w:pPr>
            <w:r>
              <w:rPr>
                <w:sz w:val="20"/>
                <w:szCs w:val="20"/>
              </w:rPr>
              <w:t>PGEH approuvés</w:t>
            </w:r>
          </w:p>
        </w:tc>
        <w:tc>
          <w:tcPr>
            <w:tcW w:w="1418"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sz w:val="20"/>
                <w:szCs w:val="20"/>
              </w:rPr>
            </w:pPr>
            <w:r>
              <w:rPr>
                <w:sz w:val="20"/>
                <w:szCs w:val="20"/>
              </w:rPr>
              <w:t>5 700 099</w:t>
            </w:r>
          </w:p>
        </w:tc>
        <w:tc>
          <w:tcPr>
            <w:tcW w:w="1275"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sz w:val="20"/>
                <w:szCs w:val="20"/>
              </w:rPr>
            </w:pPr>
            <w:r>
              <w:rPr>
                <w:sz w:val="20"/>
                <w:szCs w:val="20"/>
              </w:rPr>
              <w:t>2 484 632</w:t>
            </w:r>
          </w:p>
        </w:tc>
        <w:tc>
          <w:tcPr>
            <w:tcW w:w="1276"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sz w:val="20"/>
                <w:szCs w:val="20"/>
              </w:rPr>
            </w:pPr>
            <w:r>
              <w:rPr>
                <w:sz w:val="20"/>
                <w:szCs w:val="20"/>
              </w:rPr>
              <w:t>1 963 806</w:t>
            </w:r>
          </w:p>
        </w:tc>
        <w:tc>
          <w:tcPr>
            <w:tcW w:w="1418"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sz w:val="20"/>
                <w:szCs w:val="20"/>
              </w:rPr>
            </w:pPr>
            <w:r>
              <w:rPr>
                <w:sz w:val="20"/>
                <w:szCs w:val="20"/>
              </w:rPr>
              <w:t>10 148 537</w:t>
            </w:r>
          </w:p>
        </w:tc>
        <w:tc>
          <w:tcPr>
            <w:tcW w:w="1559"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sz w:val="20"/>
                <w:szCs w:val="20"/>
              </w:rPr>
            </w:pPr>
            <w:r>
              <w:rPr>
                <w:sz w:val="20"/>
                <w:szCs w:val="20"/>
              </w:rPr>
              <w:t>2 415 475</w:t>
            </w:r>
          </w:p>
        </w:tc>
      </w:tr>
      <w:tr w:rsidR="00613F1F" w:rsidRPr="002A5E38" w:rsidTr="001873FF">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jc w:val="left"/>
              <w:rPr>
                <w:sz w:val="20"/>
                <w:szCs w:val="20"/>
              </w:rPr>
            </w:pPr>
            <w:r>
              <w:rPr>
                <w:sz w:val="20"/>
                <w:szCs w:val="20"/>
              </w:rPr>
              <w:t xml:space="preserve">PGEH - phase II </w:t>
            </w:r>
          </w:p>
        </w:tc>
        <w:tc>
          <w:tcPr>
            <w:tcW w:w="1418"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sz w:val="20"/>
                <w:szCs w:val="20"/>
              </w:rPr>
            </w:pPr>
            <w:r>
              <w:rPr>
                <w:sz w:val="20"/>
                <w:szCs w:val="20"/>
              </w:rPr>
              <w:t>282 500</w:t>
            </w:r>
          </w:p>
        </w:tc>
        <w:tc>
          <w:tcPr>
            <w:tcW w:w="1275"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sz w:val="20"/>
                <w:szCs w:val="20"/>
              </w:rPr>
            </w:pPr>
            <w:r>
              <w:rPr>
                <w:sz w:val="20"/>
                <w:szCs w:val="20"/>
              </w:rPr>
              <w:t>100 000</w:t>
            </w:r>
          </w:p>
        </w:tc>
        <w:tc>
          <w:tcPr>
            <w:tcW w:w="1276"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sz w:val="20"/>
                <w:szCs w:val="20"/>
              </w:rPr>
            </w:pPr>
            <w:r>
              <w:rPr>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sz w:val="20"/>
                <w:szCs w:val="20"/>
              </w:rPr>
            </w:pPr>
            <w:r>
              <w:rPr>
                <w:sz w:val="20"/>
                <w:szCs w:val="20"/>
              </w:rPr>
              <w:t>382 500</w:t>
            </w:r>
          </w:p>
        </w:tc>
        <w:tc>
          <w:tcPr>
            <w:tcW w:w="1559"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sz w:val="20"/>
                <w:szCs w:val="20"/>
              </w:rPr>
            </w:pPr>
            <w:r>
              <w:rPr>
                <w:sz w:val="20"/>
                <w:szCs w:val="20"/>
              </w:rPr>
              <w:t>442 500</w:t>
            </w:r>
          </w:p>
        </w:tc>
      </w:tr>
      <w:tr w:rsidR="00613F1F" w:rsidRPr="002A5E38" w:rsidTr="001873FF">
        <w:trPr>
          <w:trHeight w:val="26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jc w:val="left"/>
              <w:rPr>
                <w:b/>
                <w:bCs/>
                <w:sz w:val="20"/>
                <w:szCs w:val="20"/>
              </w:rPr>
            </w:pPr>
            <w:r>
              <w:rPr>
                <w:b/>
                <w:bCs/>
                <w:sz w:val="20"/>
                <w:szCs w:val="20"/>
              </w:rPr>
              <w:t xml:space="preserve">Total </w:t>
            </w:r>
          </w:p>
        </w:tc>
        <w:tc>
          <w:tcPr>
            <w:tcW w:w="1418"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b/>
                <w:bCs/>
                <w:sz w:val="20"/>
                <w:szCs w:val="20"/>
              </w:rPr>
            </w:pPr>
            <w:r>
              <w:rPr>
                <w:b/>
                <w:bCs/>
                <w:sz w:val="20"/>
                <w:szCs w:val="20"/>
              </w:rPr>
              <w:t>5 982 599</w:t>
            </w:r>
          </w:p>
        </w:tc>
        <w:tc>
          <w:tcPr>
            <w:tcW w:w="1275"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b/>
                <w:bCs/>
                <w:sz w:val="20"/>
                <w:szCs w:val="20"/>
              </w:rPr>
            </w:pPr>
            <w:r>
              <w:rPr>
                <w:b/>
                <w:bCs/>
                <w:sz w:val="20"/>
                <w:szCs w:val="20"/>
              </w:rPr>
              <w:t>2 584 632</w:t>
            </w:r>
          </w:p>
        </w:tc>
        <w:tc>
          <w:tcPr>
            <w:tcW w:w="1276"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b/>
                <w:bCs/>
                <w:sz w:val="20"/>
                <w:szCs w:val="20"/>
              </w:rPr>
            </w:pPr>
            <w:r>
              <w:rPr>
                <w:b/>
                <w:bCs/>
                <w:sz w:val="20"/>
                <w:szCs w:val="20"/>
              </w:rPr>
              <w:t>1 963 806</w:t>
            </w:r>
          </w:p>
        </w:tc>
        <w:tc>
          <w:tcPr>
            <w:tcW w:w="1418"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b/>
                <w:bCs/>
                <w:sz w:val="20"/>
                <w:szCs w:val="20"/>
              </w:rPr>
            </w:pPr>
            <w:r>
              <w:rPr>
                <w:b/>
                <w:bCs/>
                <w:sz w:val="20"/>
                <w:szCs w:val="20"/>
              </w:rPr>
              <w:t>10 531 037</w:t>
            </w:r>
          </w:p>
        </w:tc>
        <w:tc>
          <w:tcPr>
            <w:tcW w:w="1559"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b/>
                <w:bCs/>
                <w:sz w:val="20"/>
                <w:szCs w:val="20"/>
              </w:rPr>
            </w:pPr>
            <w:r>
              <w:rPr>
                <w:b/>
                <w:bCs/>
                <w:sz w:val="20"/>
                <w:szCs w:val="20"/>
              </w:rPr>
              <w:t>2 857 975</w:t>
            </w:r>
          </w:p>
        </w:tc>
      </w:tr>
    </w:tbl>
    <w:p w:rsidR="00613F1F" w:rsidRPr="00613F1F" w:rsidRDefault="00613F1F" w:rsidP="00613F1F">
      <w:pPr>
        <w:rPr>
          <w:sz w:val="18"/>
          <w:szCs w:val="18"/>
          <w:lang w:val="fr-FR"/>
        </w:rPr>
      </w:pPr>
      <w:r w:rsidRPr="00613F1F">
        <w:rPr>
          <w:sz w:val="18"/>
          <w:szCs w:val="18"/>
          <w:lang w:val="fr-FR"/>
        </w:rPr>
        <w:t>* Y compris les coûts d'appui d'agence.</w:t>
      </w:r>
    </w:p>
    <w:p w:rsidR="00613F1F" w:rsidRPr="00F879EF" w:rsidRDefault="00613F1F" w:rsidP="00613F1F">
      <w:pPr>
        <w:pStyle w:val="a--"/>
        <w:keepNext/>
        <w:tabs>
          <w:tab w:val="clear" w:pos="-720"/>
          <w:tab w:val="clear" w:pos="0"/>
          <w:tab w:val="clear" w:pos="720"/>
          <w:tab w:val="clear" w:pos="1440"/>
          <w:tab w:val="clear" w:pos="2160"/>
          <w:tab w:val="clear" w:pos="2880"/>
          <w:tab w:val="clear" w:pos="3600"/>
        </w:tabs>
        <w:suppressAutoHyphens w:val="0"/>
        <w:rPr>
          <w:sz w:val="22"/>
          <w:szCs w:val="22"/>
        </w:rPr>
      </w:pPr>
    </w:p>
    <w:p w:rsidR="00613F1F" w:rsidRPr="002A5E38" w:rsidRDefault="00613F1F" w:rsidP="00613F1F">
      <w:pPr>
        <w:pStyle w:val="a--"/>
        <w:keepNext/>
        <w:tabs>
          <w:tab w:val="clear" w:pos="-720"/>
          <w:tab w:val="clear" w:pos="0"/>
          <w:tab w:val="clear" w:pos="720"/>
          <w:tab w:val="clear" w:pos="1440"/>
          <w:tab w:val="clear" w:pos="2160"/>
          <w:tab w:val="clear" w:pos="2880"/>
          <w:tab w:val="clear" w:pos="3600"/>
        </w:tabs>
        <w:suppressAutoHyphens w:val="0"/>
        <w:rPr>
          <w:sz w:val="22"/>
          <w:szCs w:val="22"/>
        </w:rPr>
      </w:pPr>
      <w:r>
        <w:rPr>
          <w:sz w:val="22"/>
          <w:szCs w:val="22"/>
        </w:rPr>
        <w:t>OBSERVATIONS</w:t>
      </w:r>
    </w:p>
    <w:p w:rsidR="00613F1F" w:rsidRPr="002A5E38" w:rsidRDefault="00613F1F" w:rsidP="00613F1F">
      <w:pPr>
        <w:keepNext/>
        <w:rPr>
          <w:lang w:val="en-CA"/>
        </w:rPr>
      </w:pPr>
    </w:p>
    <w:p w:rsidR="00613F1F" w:rsidRPr="00613F1F" w:rsidRDefault="00613F1F" w:rsidP="00613F1F">
      <w:pPr>
        <w:pStyle w:val="Heading1"/>
        <w:rPr>
          <w:lang w:val="fr-FR"/>
        </w:rPr>
      </w:pPr>
      <w:r w:rsidRPr="00613F1F">
        <w:rPr>
          <w:lang w:val="fr-FR"/>
        </w:rPr>
        <w:t>Le Secrétariat a examiné le plan d'activités de chacune des agences bilatérales, formulé des observations sur plusieurs activités proposées et évalué la valeur des activités par rapport aux contributions annuelles annoncées.</w:t>
      </w:r>
    </w:p>
    <w:p w:rsidR="00613F1F" w:rsidRPr="002A5E38" w:rsidRDefault="00613F1F" w:rsidP="00613F1F">
      <w:pPr>
        <w:rPr>
          <w:b/>
          <w:bCs/>
        </w:rPr>
      </w:pPr>
      <w:r>
        <w:rPr>
          <w:b/>
          <w:bCs/>
        </w:rPr>
        <w:t>Australie</w:t>
      </w:r>
    </w:p>
    <w:p w:rsidR="00613F1F" w:rsidRPr="002A5E38" w:rsidRDefault="00613F1F" w:rsidP="00613F1F">
      <w:pPr>
        <w:rPr>
          <w:b/>
          <w:bCs/>
          <w:lang w:val="en-CA"/>
        </w:rPr>
      </w:pPr>
    </w:p>
    <w:p w:rsidR="00613F1F" w:rsidRPr="002A5E38" w:rsidRDefault="00613F1F" w:rsidP="00613F1F">
      <w:pPr>
        <w:pStyle w:val="Heading1"/>
      </w:pPr>
      <w:r w:rsidRPr="00613F1F">
        <w:rPr>
          <w:lang w:val="fr-FR"/>
        </w:rPr>
        <w:t xml:space="preserve">La répartition des ressources prévue par le plan d'activités de l’Australie pour </w:t>
      </w:r>
      <w:r w:rsidRPr="00613F1F">
        <w:rPr>
          <w:caps/>
          <w:szCs w:val="24"/>
          <w:lang w:val="fr-FR"/>
        </w:rPr>
        <w:t>2020</w:t>
      </w:r>
      <w:r w:rsidRPr="00613F1F">
        <w:rPr>
          <w:lang w:val="fr-FR"/>
        </w:rPr>
        <w:t>–2022</w:t>
      </w:r>
      <w:r w:rsidRPr="00613F1F">
        <w:rPr>
          <w:caps/>
          <w:szCs w:val="24"/>
          <w:lang w:val="fr-FR"/>
        </w:rPr>
        <w:t xml:space="preserve"> </w:t>
      </w:r>
      <w:r w:rsidRPr="00613F1F">
        <w:rPr>
          <w:lang w:val="fr-FR"/>
        </w:rPr>
        <w:t xml:space="preserve">est présentée au tableau 2. </w:t>
      </w:r>
      <w:r>
        <w:t>20 % des contributions annuelles annoncées par l’Australie pour 2020 représentent 1 177 933 $ US.</w:t>
      </w:r>
    </w:p>
    <w:p w:rsidR="00613F1F" w:rsidRPr="002A5E38" w:rsidRDefault="00613F1F" w:rsidP="00613F1F">
      <w:pPr>
        <w:pStyle w:val="subhead"/>
        <w:keepNext/>
        <w:jc w:val="both"/>
        <w:rPr>
          <w:b/>
          <w:sz w:val="22"/>
          <w:szCs w:val="22"/>
        </w:rPr>
      </w:pPr>
      <w:r>
        <w:rPr>
          <w:b/>
          <w:sz w:val="22"/>
          <w:szCs w:val="22"/>
        </w:rPr>
        <w:t>Tableau 2. Répartition des ressources pour l’Australie ($ US)*</w:t>
      </w:r>
    </w:p>
    <w:tbl>
      <w:tblPr>
        <w:tblW w:w="9356" w:type="dxa"/>
        <w:tblInd w:w="108" w:type="dxa"/>
        <w:tblLook w:val="04A0" w:firstRow="1" w:lastRow="0" w:firstColumn="1" w:lastColumn="0" w:noHBand="0" w:noVBand="1"/>
      </w:tblPr>
      <w:tblGrid>
        <w:gridCol w:w="2297"/>
        <w:gridCol w:w="1276"/>
        <w:gridCol w:w="1134"/>
        <w:gridCol w:w="992"/>
        <w:gridCol w:w="1843"/>
        <w:gridCol w:w="1814"/>
      </w:tblGrid>
      <w:tr w:rsidR="00613F1F" w:rsidRPr="002A5E38" w:rsidTr="00C35E49">
        <w:trPr>
          <w:trHeight w:val="192"/>
        </w:trPr>
        <w:tc>
          <w:tcPr>
            <w:tcW w:w="2297" w:type="dxa"/>
            <w:tcBorders>
              <w:top w:val="single" w:sz="4" w:space="0" w:color="auto"/>
              <w:left w:val="single" w:sz="4" w:space="0" w:color="auto"/>
              <w:bottom w:val="single" w:sz="4" w:space="0" w:color="auto"/>
              <w:right w:val="single" w:sz="4" w:space="0" w:color="auto"/>
            </w:tcBorders>
            <w:shd w:val="clear" w:color="auto" w:fill="auto"/>
            <w:noWrap/>
            <w:hideMark/>
          </w:tcPr>
          <w:p w:rsidR="00613F1F" w:rsidRPr="00613F1F" w:rsidRDefault="00613F1F" w:rsidP="003148B6">
            <w:pPr>
              <w:jc w:val="left"/>
              <w:rPr>
                <w:b/>
                <w:bCs/>
                <w:sz w:val="21"/>
                <w:szCs w:val="21"/>
                <w:lang w:val="fr-FR"/>
              </w:rPr>
            </w:pPr>
            <w:r w:rsidRPr="00613F1F">
              <w:rPr>
                <w:b/>
                <w:bCs/>
                <w:sz w:val="21"/>
                <w:szCs w:val="21"/>
                <w:lang w:val="fr-FR"/>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2020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2021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2022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Total (2020</w:t>
            </w:r>
            <w:r>
              <w:rPr>
                <w:b/>
                <w:sz w:val="21"/>
                <w:szCs w:val="21"/>
              </w:rPr>
              <w:t>–</w:t>
            </w:r>
            <w:r>
              <w:rPr>
                <w:b/>
                <w:bCs/>
                <w:sz w:val="21"/>
                <w:szCs w:val="21"/>
              </w:rPr>
              <w:t>2022)</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Total après 2022</w:t>
            </w:r>
          </w:p>
        </w:tc>
      </w:tr>
      <w:tr w:rsidR="00613F1F" w:rsidRPr="002A5E38" w:rsidTr="00C35E49">
        <w:trPr>
          <w:trHeight w:val="264"/>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613F1F" w:rsidRPr="002A5E38" w:rsidRDefault="00613F1F" w:rsidP="003148B6">
            <w:pPr>
              <w:jc w:val="left"/>
              <w:rPr>
                <w:b/>
                <w:bCs/>
                <w:sz w:val="21"/>
                <w:szCs w:val="21"/>
              </w:rPr>
            </w:pPr>
            <w:r>
              <w:rPr>
                <w:b/>
                <w:bCs/>
                <w:sz w:val="20"/>
                <w:szCs w:val="20"/>
              </w:rPr>
              <w:t>Activités des PGEH</w:t>
            </w:r>
          </w:p>
        </w:tc>
      </w:tr>
      <w:tr w:rsidR="00613F1F" w:rsidRPr="002A5E38" w:rsidTr="00C35E49">
        <w:trPr>
          <w:trHeight w:val="264"/>
        </w:trPr>
        <w:tc>
          <w:tcPr>
            <w:tcW w:w="2297" w:type="dxa"/>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keepNext/>
              <w:jc w:val="left"/>
              <w:rPr>
                <w:sz w:val="21"/>
                <w:szCs w:val="21"/>
              </w:rPr>
            </w:pPr>
            <w:r>
              <w:rPr>
                <w:sz w:val="21"/>
                <w:szCs w:val="21"/>
              </w:rPr>
              <w:t>PGEH - phase II</w:t>
            </w:r>
          </w:p>
        </w:tc>
        <w:tc>
          <w:tcPr>
            <w:tcW w:w="1276"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282 500</w:t>
            </w:r>
          </w:p>
        </w:tc>
        <w:tc>
          <w:tcPr>
            <w:tcW w:w="113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0</w:t>
            </w:r>
          </w:p>
        </w:tc>
        <w:tc>
          <w:tcPr>
            <w:tcW w:w="992"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0</w:t>
            </w:r>
          </w:p>
        </w:tc>
        <w:tc>
          <w:tcPr>
            <w:tcW w:w="184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282 500</w:t>
            </w:r>
          </w:p>
        </w:tc>
        <w:tc>
          <w:tcPr>
            <w:tcW w:w="181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282 500</w:t>
            </w:r>
          </w:p>
        </w:tc>
      </w:tr>
      <w:tr w:rsidR="00613F1F" w:rsidRPr="002A5E38" w:rsidTr="00C35E49">
        <w:trPr>
          <w:trHeight w:val="264"/>
        </w:trPr>
        <w:tc>
          <w:tcPr>
            <w:tcW w:w="2297" w:type="dxa"/>
            <w:tcBorders>
              <w:top w:val="nil"/>
              <w:left w:val="single" w:sz="4" w:space="0" w:color="auto"/>
              <w:bottom w:val="single" w:sz="4" w:space="0" w:color="auto"/>
              <w:right w:val="single" w:sz="4" w:space="0" w:color="auto"/>
            </w:tcBorders>
            <w:shd w:val="clear" w:color="auto" w:fill="auto"/>
            <w:noWrap/>
            <w:hideMark/>
          </w:tcPr>
          <w:p w:rsidR="00613F1F" w:rsidRPr="002A5E38" w:rsidRDefault="00613F1F" w:rsidP="003148B6">
            <w:pPr>
              <w:jc w:val="left"/>
              <w:rPr>
                <w:b/>
                <w:bCs/>
                <w:sz w:val="21"/>
                <w:szCs w:val="21"/>
              </w:rPr>
            </w:pPr>
            <w:r>
              <w:rPr>
                <w:b/>
                <w:bCs/>
                <w:sz w:val="21"/>
                <w:szCs w:val="21"/>
              </w:rPr>
              <w:t>Total</w:t>
            </w:r>
          </w:p>
        </w:tc>
        <w:tc>
          <w:tcPr>
            <w:tcW w:w="1276"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bCs/>
                <w:sz w:val="21"/>
                <w:szCs w:val="21"/>
              </w:rPr>
            </w:pPr>
            <w:r>
              <w:rPr>
                <w:b/>
                <w:sz w:val="21"/>
                <w:szCs w:val="21"/>
              </w:rPr>
              <w:t>282 500</w:t>
            </w:r>
          </w:p>
        </w:tc>
        <w:tc>
          <w:tcPr>
            <w:tcW w:w="113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bCs/>
                <w:sz w:val="21"/>
                <w:szCs w:val="21"/>
              </w:rPr>
            </w:pPr>
            <w:r>
              <w:rPr>
                <w:b/>
                <w:bCs/>
                <w:sz w:val="21"/>
                <w:szCs w:val="21"/>
              </w:rPr>
              <w:t>0</w:t>
            </w:r>
          </w:p>
        </w:tc>
        <w:tc>
          <w:tcPr>
            <w:tcW w:w="992"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bCs/>
                <w:sz w:val="21"/>
                <w:szCs w:val="21"/>
              </w:rPr>
            </w:pPr>
            <w:r>
              <w:rPr>
                <w:b/>
                <w:bCs/>
                <w:sz w:val="21"/>
                <w:szCs w:val="21"/>
              </w:rPr>
              <w:t>0</w:t>
            </w:r>
          </w:p>
        </w:tc>
        <w:tc>
          <w:tcPr>
            <w:tcW w:w="184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bCs/>
                <w:sz w:val="21"/>
                <w:szCs w:val="21"/>
              </w:rPr>
            </w:pPr>
            <w:r>
              <w:rPr>
                <w:b/>
                <w:sz w:val="21"/>
                <w:szCs w:val="21"/>
              </w:rPr>
              <w:t>282 500</w:t>
            </w:r>
          </w:p>
        </w:tc>
        <w:tc>
          <w:tcPr>
            <w:tcW w:w="181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bCs/>
                <w:sz w:val="21"/>
                <w:szCs w:val="21"/>
              </w:rPr>
            </w:pPr>
            <w:r>
              <w:rPr>
                <w:b/>
                <w:sz w:val="21"/>
                <w:szCs w:val="21"/>
              </w:rPr>
              <w:t>282 500</w:t>
            </w:r>
          </w:p>
        </w:tc>
      </w:tr>
    </w:tbl>
    <w:p w:rsidR="00613F1F" w:rsidRPr="00613F1F" w:rsidRDefault="00613F1F" w:rsidP="00613F1F">
      <w:pPr>
        <w:rPr>
          <w:sz w:val="18"/>
          <w:szCs w:val="18"/>
          <w:lang w:val="fr-FR"/>
        </w:rPr>
      </w:pPr>
      <w:r w:rsidRPr="00613F1F">
        <w:rPr>
          <w:sz w:val="18"/>
          <w:szCs w:val="18"/>
          <w:lang w:val="fr-FR"/>
        </w:rPr>
        <w:t xml:space="preserve">  * Y compris les coûts d'appui d'agence.</w:t>
      </w:r>
    </w:p>
    <w:p w:rsidR="00613F1F" w:rsidRPr="00F879EF" w:rsidRDefault="00613F1F" w:rsidP="00613F1F">
      <w:pPr>
        <w:rPr>
          <w:b/>
          <w:bCs/>
          <w:lang w:val="fr-FR"/>
        </w:rPr>
      </w:pPr>
    </w:p>
    <w:p w:rsidR="00613F1F" w:rsidRPr="00613F1F" w:rsidRDefault="00613F1F" w:rsidP="00613F1F">
      <w:pPr>
        <w:pStyle w:val="Heading1"/>
        <w:rPr>
          <w:lang w:val="fr-FR"/>
        </w:rPr>
      </w:pPr>
      <w:r w:rsidRPr="00613F1F">
        <w:rPr>
          <w:lang w:val="fr-FR"/>
        </w:rPr>
        <w:t>Le plan d’activités de l’Australie comprend 565 000 $ US pour la nouvelle phase II des PGEH pour la région des PIP, dont 282 500 $ US pour 2020–2022.</w:t>
      </w:r>
    </w:p>
    <w:p w:rsidR="00613F1F" w:rsidRPr="002A5E38" w:rsidRDefault="00613F1F" w:rsidP="00613F1F">
      <w:pPr>
        <w:rPr>
          <w:b/>
          <w:bCs/>
        </w:rPr>
      </w:pPr>
      <w:r>
        <w:rPr>
          <w:b/>
          <w:bCs/>
        </w:rPr>
        <w:t>France</w:t>
      </w:r>
    </w:p>
    <w:p w:rsidR="00613F1F" w:rsidRPr="002A5E38" w:rsidRDefault="00613F1F" w:rsidP="00613F1F">
      <w:pPr>
        <w:rPr>
          <w:b/>
          <w:bCs/>
          <w:lang w:val="en-CA"/>
        </w:rPr>
      </w:pPr>
    </w:p>
    <w:p w:rsidR="00613F1F" w:rsidRPr="00613F1F" w:rsidRDefault="00613F1F" w:rsidP="00613F1F">
      <w:pPr>
        <w:pStyle w:val="Heading1"/>
        <w:rPr>
          <w:lang w:val="fr-FR"/>
        </w:rPr>
      </w:pPr>
      <w:r w:rsidRPr="00613F1F">
        <w:rPr>
          <w:lang w:val="fr-FR"/>
        </w:rPr>
        <w:t xml:space="preserve">La répartition des ressources prévue par le plan d’activités de la France pour </w:t>
      </w:r>
      <w:r w:rsidRPr="00613F1F">
        <w:rPr>
          <w:caps/>
          <w:szCs w:val="24"/>
          <w:lang w:val="fr-FR"/>
        </w:rPr>
        <w:t>2020</w:t>
      </w:r>
      <w:r w:rsidRPr="00613F1F">
        <w:rPr>
          <w:lang w:val="fr-FR"/>
        </w:rPr>
        <w:t>–2022</w:t>
      </w:r>
      <w:r w:rsidRPr="00613F1F">
        <w:rPr>
          <w:caps/>
          <w:szCs w:val="24"/>
          <w:lang w:val="fr-FR"/>
        </w:rPr>
        <w:t xml:space="preserve"> </w:t>
      </w:r>
      <w:r w:rsidRPr="00613F1F">
        <w:rPr>
          <w:lang w:val="fr-FR"/>
        </w:rPr>
        <w:t>est présentée au tableau 3. 20 % des contributions annuelles annoncées par la France pour 2020 représentent 2 449 100 $ US.</w:t>
      </w:r>
    </w:p>
    <w:p w:rsidR="00613F1F" w:rsidRPr="002A5E38" w:rsidRDefault="00613F1F" w:rsidP="00613F1F">
      <w:pPr>
        <w:pStyle w:val="subhead"/>
        <w:keepNext/>
        <w:jc w:val="both"/>
        <w:rPr>
          <w:b/>
          <w:sz w:val="22"/>
          <w:szCs w:val="22"/>
        </w:rPr>
      </w:pPr>
      <w:r>
        <w:rPr>
          <w:b/>
          <w:sz w:val="22"/>
          <w:szCs w:val="22"/>
        </w:rPr>
        <w:t>Tableau 3. Répartition des ressources pour la France ($ US)*</w:t>
      </w:r>
    </w:p>
    <w:tbl>
      <w:tblPr>
        <w:tblW w:w="9356" w:type="dxa"/>
        <w:tblInd w:w="108" w:type="dxa"/>
        <w:tblLook w:val="04A0" w:firstRow="1" w:lastRow="0" w:firstColumn="1" w:lastColumn="0" w:noHBand="0" w:noVBand="1"/>
      </w:tblPr>
      <w:tblGrid>
        <w:gridCol w:w="2297"/>
        <w:gridCol w:w="1276"/>
        <w:gridCol w:w="1134"/>
        <w:gridCol w:w="992"/>
        <w:gridCol w:w="1843"/>
        <w:gridCol w:w="1814"/>
      </w:tblGrid>
      <w:tr w:rsidR="00613F1F" w:rsidRPr="002A5E38" w:rsidTr="00C35E49">
        <w:trPr>
          <w:trHeight w:val="219"/>
        </w:trPr>
        <w:tc>
          <w:tcPr>
            <w:tcW w:w="2297" w:type="dxa"/>
            <w:tcBorders>
              <w:top w:val="single" w:sz="4" w:space="0" w:color="auto"/>
              <w:left w:val="single" w:sz="4" w:space="0" w:color="auto"/>
              <w:bottom w:val="single" w:sz="4" w:space="0" w:color="auto"/>
              <w:right w:val="single" w:sz="4" w:space="0" w:color="auto"/>
            </w:tcBorders>
            <w:shd w:val="clear" w:color="auto" w:fill="auto"/>
            <w:noWrap/>
            <w:hideMark/>
          </w:tcPr>
          <w:p w:rsidR="00613F1F" w:rsidRPr="00613F1F" w:rsidRDefault="00613F1F" w:rsidP="003148B6">
            <w:pPr>
              <w:keepNext/>
              <w:jc w:val="left"/>
              <w:rPr>
                <w:b/>
                <w:bCs/>
                <w:sz w:val="21"/>
                <w:szCs w:val="21"/>
                <w:lang w:val="fr-FR"/>
              </w:rPr>
            </w:pPr>
            <w:r w:rsidRPr="00613F1F">
              <w:rPr>
                <w:b/>
                <w:bCs/>
                <w:sz w:val="21"/>
                <w:szCs w:val="21"/>
                <w:lang w:val="fr-FR"/>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keepNext/>
              <w:jc w:val="center"/>
              <w:rPr>
                <w:b/>
                <w:bCs/>
                <w:sz w:val="21"/>
                <w:szCs w:val="21"/>
              </w:rPr>
            </w:pPr>
            <w:r>
              <w:rPr>
                <w:b/>
                <w:bCs/>
                <w:sz w:val="21"/>
                <w:szCs w:val="21"/>
              </w:rPr>
              <w:t>2020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keepNext/>
              <w:jc w:val="center"/>
              <w:rPr>
                <w:b/>
                <w:bCs/>
                <w:sz w:val="21"/>
                <w:szCs w:val="21"/>
              </w:rPr>
            </w:pPr>
            <w:r>
              <w:rPr>
                <w:b/>
                <w:bCs/>
                <w:sz w:val="21"/>
                <w:szCs w:val="21"/>
              </w:rPr>
              <w:t>2021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keepNext/>
              <w:jc w:val="center"/>
              <w:rPr>
                <w:b/>
                <w:bCs/>
                <w:sz w:val="21"/>
                <w:szCs w:val="21"/>
              </w:rPr>
            </w:pPr>
            <w:r>
              <w:rPr>
                <w:b/>
                <w:bCs/>
                <w:sz w:val="21"/>
                <w:szCs w:val="21"/>
              </w:rPr>
              <w:t>2022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keepNext/>
              <w:jc w:val="center"/>
              <w:rPr>
                <w:b/>
                <w:bCs/>
                <w:sz w:val="21"/>
                <w:szCs w:val="21"/>
              </w:rPr>
            </w:pPr>
            <w:r>
              <w:rPr>
                <w:b/>
                <w:bCs/>
                <w:sz w:val="21"/>
                <w:szCs w:val="21"/>
              </w:rPr>
              <w:t>Total (2020</w:t>
            </w:r>
            <w:r>
              <w:rPr>
                <w:b/>
                <w:sz w:val="21"/>
                <w:szCs w:val="21"/>
              </w:rPr>
              <w:t>–</w:t>
            </w:r>
            <w:r>
              <w:rPr>
                <w:b/>
                <w:bCs/>
                <w:sz w:val="21"/>
                <w:szCs w:val="21"/>
              </w:rPr>
              <w:t>2022)</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keepNext/>
              <w:jc w:val="center"/>
              <w:rPr>
                <w:b/>
                <w:bCs/>
                <w:sz w:val="21"/>
                <w:szCs w:val="21"/>
              </w:rPr>
            </w:pPr>
            <w:r>
              <w:rPr>
                <w:b/>
                <w:bCs/>
                <w:sz w:val="21"/>
                <w:szCs w:val="21"/>
              </w:rPr>
              <w:t>Total après 2022</w:t>
            </w:r>
          </w:p>
        </w:tc>
      </w:tr>
      <w:tr w:rsidR="00613F1F" w:rsidRPr="002A5E38" w:rsidTr="00C35E49">
        <w:trPr>
          <w:trHeight w:val="264"/>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613F1F" w:rsidRPr="002A5E38" w:rsidRDefault="00613F1F" w:rsidP="003148B6">
            <w:pPr>
              <w:keepNext/>
              <w:jc w:val="left"/>
              <w:rPr>
                <w:b/>
                <w:bCs/>
                <w:sz w:val="21"/>
                <w:szCs w:val="21"/>
              </w:rPr>
            </w:pPr>
            <w:r>
              <w:rPr>
                <w:b/>
                <w:bCs/>
                <w:sz w:val="20"/>
                <w:szCs w:val="20"/>
              </w:rPr>
              <w:t>Activités des PGEH</w:t>
            </w:r>
          </w:p>
        </w:tc>
      </w:tr>
      <w:tr w:rsidR="00613F1F" w:rsidRPr="002A5E38" w:rsidTr="00C35E49">
        <w:trPr>
          <w:trHeight w:val="264"/>
        </w:trPr>
        <w:tc>
          <w:tcPr>
            <w:tcW w:w="2297" w:type="dxa"/>
            <w:tcBorders>
              <w:top w:val="nil"/>
              <w:left w:val="single" w:sz="4" w:space="0" w:color="auto"/>
              <w:bottom w:val="single" w:sz="4" w:space="0" w:color="auto"/>
              <w:right w:val="single" w:sz="4" w:space="0" w:color="auto"/>
            </w:tcBorders>
            <w:shd w:val="clear" w:color="auto" w:fill="auto"/>
            <w:noWrap/>
            <w:hideMark/>
          </w:tcPr>
          <w:p w:rsidR="00613F1F" w:rsidRPr="002A5E38" w:rsidRDefault="00613F1F" w:rsidP="003148B6">
            <w:pPr>
              <w:keepNext/>
              <w:jc w:val="left"/>
              <w:rPr>
                <w:sz w:val="21"/>
                <w:szCs w:val="21"/>
              </w:rPr>
            </w:pPr>
            <w:r>
              <w:rPr>
                <w:sz w:val="21"/>
                <w:szCs w:val="21"/>
              </w:rPr>
              <w:t>PGEH approuvés</w:t>
            </w:r>
          </w:p>
        </w:tc>
        <w:tc>
          <w:tcPr>
            <w:tcW w:w="1276"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keepNext/>
              <w:jc w:val="center"/>
              <w:rPr>
                <w:sz w:val="21"/>
                <w:szCs w:val="21"/>
              </w:rPr>
            </w:pPr>
            <w:r>
              <w:rPr>
                <w:sz w:val="21"/>
                <w:szCs w:val="21"/>
              </w:rPr>
              <w:t>692 895</w:t>
            </w:r>
          </w:p>
        </w:tc>
        <w:tc>
          <w:tcPr>
            <w:tcW w:w="113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keepNext/>
              <w:jc w:val="center"/>
              <w:rPr>
                <w:sz w:val="21"/>
                <w:szCs w:val="21"/>
              </w:rPr>
            </w:pPr>
            <w:r>
              <w:rPr>
                <w:sz w:val="21"/>
                <w:szCs w:val="21"/>
              </w:rPr>
              <w:t>0</w:t>
            </w:r>
          </w:p>
        </w:tc>
        <w:tc>
          <w:tcPr>
            <w:tcW w:w="992"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keepNext/>
              <w:jc w:val="center"/>
              <w:rPr>
                <w:sz w:val="21"/>
                <w:szCs w:val="21"/>
              </w:rPr>
            </w:pPr>
            <w:r>
              <w:rPr>
                <w:sz w:val="21"/>
                <w:szCs w:val="21"/>
              </w:rPr>
              <w:t>0</w:t>
            </w:r>
          </w:p>
        </w:tc>
        <w:tc>
          <w:tcPr>
            <w:tcW w:w="184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keepNext/>
              <w:jc w:val="center"/>
              <w:rPr>
                <w:sz w:val="21"/>
                <w:szCs w:val="21"/>
              </w:rPr>
            </w:pPr>
            <w:r>
              <w:rPr>
                <w:sz w:val="21"/>
                <w:szCs w:val="21"/>
              </w:rPr>
              <w:t>692 895</w:t>
            </w:r>
          </w:p>
        </w:tc>
        <w:tc>
          <w:tcPr>
            <w:tcW w:w="181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keepNext/>
              <w:jc w:val="center"/>
              <w:rPr>
                <w:sz w:val="21"/>
                <w:szCs w:val="21"/>
              </w:rPr>
            </w:pPr>
            <w:r>
              <w:rPr>
                <w:sz w:val="21"/>
                <w:szCs w:val="21"/>
              </w:rPr>
              <w:t>770 760</w:t>
            </w:r>
          </w:p>
        </w:tc>
      </w:tr>
      <w:tr w:rsidR="00613F1F" w:rsidRPr="002A5E38" w:rsidTr="00C35E49">
        <w:trPr>
          <w:trHeight w:val="264"/>
        </w:trPr>
        <w:tc>
          <w:tcPr>
            <w:tcW w:w="2297" w:type="dxa"/>
            <w:tcBorders>
              <w:top w:val="nil"/>
              <w:left w:val="single" w:sz="4" w:space="0" w:color="auto"/>
              <w:bottom w:val="single" w:sz="4" w:space="0" w:color="auto"/>
              <w:right w:val="single" w:sz="4" w:space="0" w:color="auto"/>
            </w:tcBorders>
            <w:shd w:val="clear" w:color="auto" w:fill="auto"/>
            <w:noWrap/>
            <w:hideMark/>
          </w:tcPr>
          <w:p w:rsidR="00613F1F" w:rsidRPr="002A5E38" w:rsidRDefault="00613F1F" w:rsidP="003148B6">
            <w:pPr>
              <w:keepNext/>
              <w:jc w:val="left"/>
              <w:rPr>
                <w:b/>
                <w:bCs/>
                <w:sz w:val="21"/>
                <w:szCs w:val="21"/>
              </w:rPr>
            </w:pPr>
            <w:r>
              <w:rPr>
                <w:b/>
                <w:bCs/>
                <w:sz w:val="21"/>
                <w:szCs w:val="21"/>
              </w:rPr>
              <w:t>Total</w:t>
            </w:r>
          </w:p>
        </w:tc>
        <w:tc>
          <w:tcPr>
            <w:tcW w:w="1276"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keepNext/>
              <w:jc w:val="center"/>
              <w:rPr>
                <w:b/>
                <w:sz w:val="21"/>
                <w:szCs w:val="21"/>
              </w:rPr>
            </w:pPr>
            <w:r>
              <w:rPr>
                <w:b/>
                <w:sz w:val="21"/>
                <w:szCs w:val="21"/>
              </w:rPr>
              <w:t>692 895</w:t>
            </w:r>
          </w:p>
        </w:tc>
        <w:tc>
          <w:tcPr>
            <w:tcW w:w="113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keepNext/>
              <w:jc w:val="center"/>
              <w:rPr>
                <w:b/>
                <w:bCs/>
                <w:sz w:val="21"/>
                <w:szCs w:val="21"/>
              </w:rPr>
            </w:pPr>
            <w:r>
              <w:rPr>
                <w:b/>
                <w:bCs/>
                <w:sz w:val="21"/>
                <w:szCs w:val="21"/>
              </w:rPr>
              <w:t>0</w:t>
            </w:r>
          </w:p>
        </w:tc>
        <w:tc>
          <w:tcPr>
            <w:tcW w:w="992"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keepNext/>
              <w:jc w:val="center"/>
              <w:rPr>
                <w:b/>
                <w:bCs/>
                <w:sz w:val="21"/>
                <w:szCs w:val="21"/>
              </w:rPr>
            </w:pPr>
            <w:r>
              <w:rPr>
                <w:b/>
                <w:bCs/>
                <w:sz w:val="21"/>
                <w:szCs w:val="21"/>
              </w:rPr>
              <w:t>0</w:t>
            </w:r>
          </w:p>
        </w:tc>
        <w:tc>
          <w:tcPr>
            <w:tcW w:w="184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keepNext/>
              <w:jc w:val="center"/>
              <w:rPr>
                <w:b/>
                <w:sz w:val="21"/>
                <w:szCs w:val="21"/>
              </w:rPr>
            </w:pPr>
            <w:r>
              <w:rPr>
                <w:b/>
                <w:sz w:val="21"/>
                <w:szCs w:val="21"/>
              </w:rPr>
              <w:t>692 895</w:t>
            </w:r>
          </w:p>
        </w:tc>
        <w:tc>
          <w:tcPr>
            <w:tcW w:w="181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keepNext/>
              <w:jc w:val="center"/>
              <w:rPr>
                <w:b/>
                <w:sz w:val="21"/>
                <w:szCs w:val="21"/>
              </w:rPr>
            </w:pPr>
            <w:r>
              <w:rPr>
                <w:b/>
                <w:sz w:val="21"/>
                <w:szCs w:val="21"/>
              </w:rPr>
              <w:t>770 760</w:t>
            </w:r>
          </w:p>
        </w:tc>
      </w:tr>
    </w:tbl>
    <w:p w:rsidR="00613F1F" w:rsidRPr="00613F1F" w:rsidRDefault="00613F1F" w:rsidP="00613F1F">
      <w:pPr>
        <w:rPr>
          <w:sz w:val="18"/>
          <w:szCs w:val="18"/>
          <w:lang w:val="fr-FR"/>
        </w:rPr>
      </w:pPr>
      <w:r w:rsidRPr="00613F1F">
        <w:rPr>
          <w:sz w:val="18"/>
          <w:szCs w:val="18"/>
          <w:lang w:val="fr-FR"/>
        </w:rPr>
        <w:t xml:space="preserve">  * Y compris les coûts d'appui d'agence.</w:t>
      </w:r>
    </w:p>
    <w:p w:rsidR="00613F1F" w:rsidRPr="00F879EF" w:rsidRDefault="00613F1F" w:rsidP="00613F1F">
      <w:pPr>
        <w:pStyle w:val="Heading1"/>
        <w:numPr>
          <w:ilvl w:val="0"/>
          <w:numId w:val="0"/>
        </w:numPr>
        <w:spacing w:after="0"/>
        <w:rPr>
          <w:lang w:val="fr-FR"/>
        </w:rPr>
      </w:pPr>
    </w:p>
    <w:p w:rsidR="00613F1F" w:rsidRPr="002A5E38" w:rsidRDefault="00613F1F" w:rsidP="00613F1F">
      <w:pPr>
        <w:rPr>
          <w:b/>
          <w:bCs/>
        </w:rPr>
      </w:pPr>
      <w:r>
        <w:rPr>
          <w:b/>
          <w:bCs/>
        </w:rPr>
        <w:lastRenderedPageBreak/>
        <w:t>Allemagne</w:t>
      </w:r>
    </w:p>
    <w:p w:rsidR="00613F1F" w:rsidRPr="002A5E38" w:rsidRDefault="00613F1F" w:rsidP="00613F1F">
      <w:pPr>
        <w:rPr>
          <w:iCs/>
          <w:lang w:val="en-CA"/>
        </w:rPr>
      </w:pPr>
    </w:p>
    <w:p w:rsidR="00613F1F" w:rsidRPr="00613F1F" w:rsidRDefault="00613F1F" w:rsidP="00613F1F">
      <w:pPr>
        <w:pStyle w:val="Heading1"/>
        <w:rPr>
          <w:lang w:val="fr-FR"/>
        </w:rPr>
      </w:pPr>
      <w:r w:rsidRPr="00613F1F">
        <w:rPr>
          <w:lang w:val="fr-FR"/>
        </w:rPr>
        <w:t>La répartition des ressources prévue au plan d'activités de l'Allemagne pour</w:t>
      </w:r>
      <w:r w:rsidRPr="00613F1F">
        <w:rPr>
          <w:caps/>
          <w:szCs w:val="24"/>
          <w:lang w:val="fr-FR"/>
        </w:rPr>
        <w:t xml:space="preserve"> 2020</w:t>
      </w:r>
      <w:r w:rsidRPr="00613F1F">
        <w:rPr>
          <w:lang w:val="fr-FR"/>
        </w:rPr>
        <w:t>–2022</w:t>
      </w:r>
      <w:r w:rsidRPr="00613F1F">
        <w:rPr>
          <w:caps/>
          <w:szCs w:val="24"/>
          <w:lang w:val="fr-FR"/>
        </w:rPr>
        <w:t xml:space="preserve"> </w:t>
      </w:r>
      <w:r w:rsidRPr="00613F1F">
        <w:rPr>
          <w:lang w:val="fr-FR"/>
        </w:rPr>
        <w:t>est présentée au tableau 4.</w:t>
      </w:r>
    </w:p>
    <w:p w:rsidR="00613F1F" w:rsidRPr="002A5E38" w:rsidRDefault="00613F1F" w:rsidP="00613F1F">
      <w:pPr>
        <w:pStyle w:val="subhead"/>
        <w:keepNext/>
        <w:jc w:val="both"/>
        <w:rPr>
          <w:b/>
          <w:sz w:val="22"/>
          <w:szCs w:val="22"/>
        </w:rPr>
      </w:pPr>
      <w:r>
        <w:rPr>
          <w:b/>
          <w:sz w:val="22"/>
          <w:szCs w:val="22"/>
        </w:rPr>
        <w:t>Tableau 4. Répartition des ressources pour l’Allemagne</w:t>
      </w:r>
      <w:r>
        <w:rPr>
          <w:sz w:val="22"/>
          <w:szCs w:val="22"/>
        </w:rPr>
        <w:t xml:space="preserve"> </w:t>
      </w:r>
      <w:r>
        <w:rPr>
          <w:b/>
          <w:sz w:val="22"/>
          <w:szCs w:val="22"/>
        </w:rPr>
        <w:t>($ US)*</w:t>
      </w:r>
    </w:p>
    <w:tbl>
      <w:tblPr>
        <w:tblW w:w="9498" w:type="dxa"/>
        <w:tblInd w:w="108" w:type="dxa"/>
        <w:tblLook w:val="04A0" w:firstRow="1" w:lastRow="0" w:firstColumn="1" w:lastColumn="0" w:noHBand="0" w:noVBand="1"/>
      </w:tblPr>
      <w:tblGrid>
        <w:gridCol w:w="2297"/>
        <w:gridCol w:w="1276"/>
        <w:gridCol w:w="1134"/>
        <w:gridCol w:w="1134"/>
        <w:gridCol w:w="1843"/>
        <w:gridCol w:w="1814"/>
      </w:tblGrid>
      <w:tr w:rsidR="00613F1F" w:rsidRPr="002A5E38" w:rsidTr="00C35E49">
        <w:trPr>
          <w:trHeight w:val="90"/>
        </w:trPr>
        <w:tc>
          <w:tcPr>
            <w:tcW w:w="2297" w:type="dxa"/>
            <w:tcBorders>
              <w:top w:val="single" w:sz="4" w:space="0" w:color="auto"/>
              <w:left w:val="single" w:sz="4" w:space="0" w:color="auto"/>
              <w:bottom w:val="single" w:sz="4" w:space="0" w:color="auto"/>
              <w:right w:val="single" w:sz="4" w:space="0" w:color="auto"/>
            </w:tcBorders>
            <w:shd w:val="clear" w:color="auto" w:fill="auto"/>
            <w:noWrap/>
            <w:hideMark/>
          </w:tcPr>
          <w:p w:rsidR="00613F1F" w:rsidRPr="00613F1F" w:rsidRDefault="00613F1F" w:rsidP="003148B6">
            <w:pPr>
              <w:keepNext/>
              <w:jc w:val="left"/>
              <w:rPr>
                <w:b/>
                <w:bCs/>
                <w:sz w:val="21"/>
                <w:szCs w:val="21"/>
                <w:lang w:val="fr-FR"/>
              </w:rPr>
            </w:pPr>
            <w:r w:rsidRPr="00613F1F">
              <w:rPr>
                <w:b/>
                <w:bCs/>
                <w:sz w:val="21"/>
                <w:szCs w:val="21"/>
                <w:lang w:val="fr-FR"/>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2020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2021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2022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Total (2020</w:t>
            </w:r>
            <w:r>
              <w:rPr>
                <w:b/>
                <w:sz w:val="21"/>
                <w:szCs w:val="21"/>
              </w:rPr>
              <w:t>–</w:t>
            </w:r>
            <w:r>
              <w:rPr>
                <w:b/>
                <w:bCs/>
                <w:sz w:val="21"/>
                <w:szCs w:val="21"/>
              </w:rPr>
              <w:t>2022)</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Total après 2022</w:t>
            </w:r>
          </w:p>
        </w:tc>
      </w:tr>
      <w:tr w:rsidR="00613F1F" w:rsidRPr="002A5E38" w:rsidTr="00C35E49">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keepNext/>
              <w:jc w:val="left"/>
              <w:rPr>
                <w:b/>
                <w:bCs/>
                <w:sz w:val="21"/>
                <w:szCs w:val="21"/>
              </w:rPr>
            </w:pPr>
            <w:r>
              <w:rPr>
                <w:b/>
                <w:bCs/>
                <w:sz w:val="20"/>
                <w:szCs w:val="20"/>
              </w:rPr>
              <w:t>Activités des PGEH</w:t>
            </w:r>
          </w:p>
        </w:tc>
      </w:tr>
      <w:tr w:rsidR="00613F1F" w:rsidRPr="002A5E38" w:rsidTr="00C35E49">
        <w:trPr>
          <w:trHeight w:val="264"/>
        </w:trPr>
        <w:tc>
          <w:tcPr>
            <w:tcW w:w="2297" w:type="dxa"/>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keepNext/>
              <w:jc w:val="left"/>
              <w:rPr>
                <w:sz w:val="21"/>
                <w:szCs w:val="21"/>
              </w:rPr>
            </w:pPr>
            <w:r>
              <w:rPr>
                <w:sz w:val="21"/>
                <w:szCs w:val="21"/>
              </w:rPr>
              <w:t>PGEH approuvés</w:t>
            </w:r>
          </w:p>
        </w:tc>
        <w:tc>
          <w:tcPr>
            <w:tcW w:w="1276"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4 622 132</w:t>
            </w:r>
          </w:p>
        </w:tc>
        <w:tc>
          <w:tcPr>
            <w:tcW w:w="113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2 394 232</w:t>
            </w:r>
          </w:p>
        </w:tc>
        <w:tc>
          <w:tcPr>
            <w:tcW w:w="113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1 963 806</w:t>
            </w:r>
          </w:p>
        </w:tc>
        <w:tc>
          <w:tcPr>
            <w:tcW w:w="184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8 980 170</w:t>
            </w:r>
          </w:p>
        </w:tc>
        <w:tc>
          <w:tcPr>
            <w:tcW w:w="181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1 644 715</w:t>
            </w:r>
          </w:p>
        </w:tc>
      </w:tr>
      <w:tr w:rsidR="00613F1F" w:rsidRPr="002A5E38" w:rsidTr="00C35E49">
        <w:trPr>
          <w:trHeight w:val="264"/>
        </w:trPr>
        <w:tc>
          <w:tcPr>
            <w:tcW w:w="2297" w:type="dxa"/>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keepNext/>
              <w:jc w:val="left"/>
              <w:rPr>
                <w:sz w:val="21"/>
                <w:szCs w:val="21"/>
              </w:rPr>
            </w:pPr>
            <w:r>
              <w:rPr>
                <w:sz w:val="21"/>
                <w:szCs w:val="21"/>
              </w:rPr>
              <w:t>PGEH - phase II</w:t>
            </w:r>
          </w:p>
        </w:tc>
        <w:tc>
          <w:tcPr>
            <w:tcW w:w="1276"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0</w:t>
            </w:r>
          </w:p>
        </w:tc>
        <w:tc>
          <w:tcPr>
            <w:tcW w:w="113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100 000</w:t>
            </w:r>
          </w:p>
        </w:tc>
        <w:tc>
          <w:tcPr>
            <w:tcW w:w="113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0</w:t>
            </w:r>
          </w:p>
        </w:tc>
        <w:tc>
          <w:tcPr>
            <w:tcW w:w="184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100 000</w:t>
            </w:r>
          </w:p>
        </w:tc>
        <w:tc>
          <w:tcPr>
            <w:tcW w:w="181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160 000</w:t>
            </w:r>
          </w:p>
        </w:tc>
      </w:tr>
      <w:tr w:rsidR="00613F1F" w:rsidRPr="002A5E38" w:rsidTr="00C35E49">
        <w:trPr>
          <w:trHeight w:val="264"/>
        </w:trPr>
        <w:tc>
          <w:tcPr>
            <w:tcW w:w="2297" w:type="dxa"/>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jc w:val="left"/>
              <w:rPr>
                <w:b/>
                <w:bCs/>
                <w:sz w:val="21"/>
                <w:szCs w:val="21"/>
              </w:rPr>
            </w:pPr>
            <w:r>
              <w:rPr>
                <w:b/>
                <w:bCs/>
                <w:sz w:val="21"/>
                <w:szCs w:val="21"/>
              </w:rPr>
              <w:t>Total</w:t>
            </w:r>
          </w:p>
        </w:tc>
        <w:tc>
          <w:tcPr>
            <w:tcW w:w="1276"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4 622 132</w:t>
            </w:r>
          </w:p>
        </w:tc>
        <w:tc>
          <w:tcPr>
            <w:tcW w:w="113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2 494 232</w:t>
            </w:r>
          </w:p>
        </w:tc>
        <w:tc>
          <w:tcPr>
            <w:tcW w:w="113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1 963 806</w:t>
            </w:r>
          </w:p>
        </w:tc>
        <w:tc>
          <w:tcPr>
            <w:tcW w:w="184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9 080 170</w:t>
            </w:r>
          </w:p>
        </w:tc>
        <w:tc>
          <w:tcPr>
            <w:tcW w:w="181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1 804 715</w:t>
            </w:r>
          </w:p>
        </w:tc>
      </w:tr>
    </w:tbl>
    <w:p w:rsidR="00613F1F" w:rsidRPr="00613F1F" w:rsidRDefault="00613F1F" w:rsidP="00613F1F">
      <w:pPr>
        <w:rPr>
          <w:sz w:val="18"/>
          <w:szCs w:val="18"/>
          <w:lang w:val="fr-FR"/>
        </w:rPr>
      </w:pPr>
      <w:r w:rsidRPr="00613F1F">
        <w:rPr>
          <w:sz w:val="18"/>
          <w:szCs w:val="18"/>
          <w:lang w:val="fr-FR"/>
        </w:rPr>
        <w:t>* Y compris les coûts d'appui d'agence.</w:t>
      </w:r>
    </w:p>
    <w:p w:rsidR="00613F1F" w:rsidRPr="00F879EF" w:rsidRDefault="00613F1F" w:rsidP="00613F1F">
      <w:pPr>
        <w:rPr>
          <w:lang w:val="fr-FR"/>
        </w:rPr>
      </w:pPr>
    </w:p>
    <w:p w:rsidR="00613F1F" w:rsidRPr="00613F1F" w:rsidRDefault="00613F1F" w:rsidP="00613F1F">
      <w:pPr>
        <w:pStyle w:val="Heading1"/>
        <w:rPr>
          <w:lang w:val="fr-FR"/>
        </w:rPr>
      </w:pPr>
      <w:r w:rsidRPr="00613F1F">
        <w:rPr>
          <w:lang w:val="fr-FR"/>
        </w:rPr>
        <w:t>Le plan d'activités de l'Allemagne comprend 10,62 millions de $ US pour les phases I et II approuvées des PGEH, dont 8,98 millions de $ US pour 2020–2022. Le Secrétariat propose des ajustements de coûts visant à refléter les montants de financement réellement approuvés en vertu des accords ou de l’accord révisé soumis à la 84</w:t>
      </w:r>
      <w:r w:rsidRPr="00613F1F">
        <w:rPr>
          <w:vertAlign w:val="superscript"/>
          <w:lang w:val="fr-FR"/>
        </w:rPr>
        <w:t>e</w:t>
      </w:r>
      <w:r w:rsidRPr="00613F1F">
        <w:rPr>
          <w:lang w:val="fr-FR"/>
        </w:rPr>
        <w:t> réunion, en retranchant 1 059 916 $ US pour 2020–2022 et en rajoutant 100 900 $ US pour après 2022.</w:t>
      </w:r>
    </w:p>
    <w:p w:rsidR="00613F1F" w:rsidRPr="00613F1F" w:rsidRDefault="00613F1F" w:rsidP="00613F1F">
      <w:pPr>
        <w:pStyle w:val="Heading1"/>
        <w:rPr>
          <w:lang w:val="fr-FR"/>
        </w:rPr>
      </w:pPr>
      <w:r w:rsidRPr="00613F1F">
        <w:rPr>
          <w:lang w:val="fr-FR"/>
        </w:rPr>
        <w:t xml:space="preserve">En outre, l'Allemagne a prévu un financement pour la phase II des PGEH dans les pays à faible volume de consommation </w:t>
      </w:r>
      <w:r w:rsidRPr="00AA1472">
        <w:rPr>
          <w:lang w:val="fr-FR"/>
        </w:rPr>
        <w:t>(</w:t>
      </w:r>
      <w:r w:rsidR="00A42C3E" w:rsidRPr="00AA1472">
        <w:rPr>
          <w:lang w:val="fr-FR"/>
        </w:rPr>
        <w:t>PFV</w:t>
      </w:r>
      <w:r w:rsidRPr="00AA1472">
        <w:rPr>
          <w:lang w:val="fr-FR"/>
        </w:rPr>
        <w:t>)</w:t>
      </w:r>
      <w:r w:rsidRPr="00613F1F">
        <w:rPr>
          <w:lang w:val="fr-FR"/>
        </w:rPr>
        <w:t xml:space="preserve"> afin de respecter une réduction de 67,5 % correspondant à 260 000 $ US, dont 160 000 $ US pour après 2022.</w:t>
      </w:r>
    </w:p>
    <w:p w:rsidR="00613F1F" w:rsidRPr="00613F1F" w:rsidRDefault="00613F1F" w:rsidP="00613F1F">
      <w:pPr>
        <w:pStyle w:val="Heading1"/>
        <w:rPr>
          <w:lang w:val="fr-FR"/>
        </w:rPr>
      </w:pPr>
      <w:r w:rsidRPr="00613F1F">
        <w:rPr>
          <w:lang w:val="fr-FR"/>
        </w:rPr>
        <w:t>Le tableau 5 présente les résultats des ajustements proposés par le Secrétariat au plan d'activités de l'Allemagne.</w:t>
      </w:r>
    </w:p>
    <w:p w:rsidR="00613F1F" w:rsidRPr="00613F1F" w:rsidRDefault="00613F1F" w:rsidP="00613F1F">
      <w:pPr>
        <w:pStyle w:val="Heading1"/>
        <w:keepNext/>
        <w:numPr>
          <w:ilvl w:val="0"/>
          <w:numId w:val="0"/>
        </w:numPr>
        <w:spacing w:after="0"/>
        <w:rPr>
          <w:b/>
          <w:lang w:val="fr-FR"/>
        </w:rPr>
      </w:pPr>
      <w:r w:rsidRPr="00613F1F">
        <w:rPr>
          <w:b/>
          <w:lang w:val="fr-FR"/>
        </w:rPr>
        <w:t>Tableau 5. Résultats des ajustements apportés au plan d'activités de l'Allemagne</w:t>
      </w:r>
      <w:r w:rsidRPr="00613F1F">
        <w:rPr>
          <w:lang w:val="fr-FR"/>
        </w:rPr>
        <w:t xml:space="preserve"> </w:t>
      </w:r>
      <w:r w:rsidRPr="00613F1F">
        <w:rPr>
          <w:b/>
          <w:lang w:val="fr-FR"/>
        </w:rPr>
        <w:t>($ US)*</w:t>
      </w:r>
    </w:p>
    <w:tbl>
      <w:tblPr>
        <w:tblW w:w="9498" w:type="dxa"/>
        <w:tblInd w:w="108" w:type="dxa"/>
        <w:tblLook w:val="04A0" w:firstRow="1" w:lastRow="0" w:firstColumn="1" w:lastColumn="0" w:noHBand="0" w:noVBand="1"/>
      </w:tblPr>
      <w:tblGrid>
        <w:gridCol w:w="2297"/>
        <w:gridCol w:w="1276"/>
        <w:gridCol w:w="1134"/>
        <w:gridCol w:w="1134"/>
        <w:gridCol w:w="1843"/>
        <w:gridCol w:w="1814"/>
      </w:tblGrid>
      <w:tr w:rsidR="00613F1F" w:rsidRPr="002A5E38" w:rsidTr="00AA1472">
        <w:trPr>
          <w:trHeight w:val="90"/>
        </w:trPr>
        <w:tc>
          <w:tcPr>
            <w:tcW w:w="2297" w:type="dxa"/>
            <w:tcBorders>
              <w:top w:val="single" w:sz="4" w:space="0" w:color="auto"/>
              <w:left w:val="single" w:sz="4" w:space="0" w:color="auto"/>
              <w:bottom w:val="single" w:sz="4" w:space="0" w:color="auto"/>
              <w:right w:val="single" w:sz="4" w:space="0" w:color="auto"/>
            </w:tcBorders>
            <w:shd w:val="clear" w:color="auto" w:fill="auto"/>
            <w:noWrap/>
            <w:hideMark/>
          </w:tcPr>
          <w:p w:rsidR="00613F1F" w:rsidRPr="00613F1F" w:rsidRDefault="00613F1F" w:rsidP="003148B6">
            <w:pPr>
              <w:keepNext/>
              <w:jc w:val="left"/>
              <w:rPr>
                <w:b/>
                <w:bCs/>
                <w:sz w:val="21"/>
                <w:szCs w:val="21"/>
                <w:lang w:val="fr-FR"/>
              </w:rPr>
            </w:pPr>
            <w:r w:rsidRPr="00613F1F">
              <w:rPr>
                <w:b/>
                <w:bCs/>
                <w:sz w:val="21"/>
                <w:szCs w:val="21"/>
                <w:lang w:val="fr-FR"/>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2020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2021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2022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Total (2020</w:t>
            </w:r>
            <w:r>
              <w:rPr>
                <w:b/>
                <w:sz w:val="21"/>
                <w:szCs w:val="21"/>
              </w:rPr>
              <w:t>–</w:t>
            </w:r>
            <w:r>
              <w:rPr>
                <w:b/>
                <w:bCs/>
                <w:sz w:val="21"/>
                <w:szCs w:val="21"/>
              </w:rPr>
              <w:t>2022)</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Total après 2022</w:t>
            </w:r>
          </w:p>
        </w:tc>
      </w:tr>
      <w:tr w:rsidR="00613F1F" w:rsidRPr="002A5E38" w:rsidTr="00AA1472">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keepNext/>
              <w:jc w:val="left"/>
              <w:rPr>
                <w:b/>
                <w:bCs/>
                <w:sz w:val="21"/>
                <w:szCs w:val="21"/>
              </w:rPr>
            </w:pPr>
            <w:r>
              <w:rPr>
                <w:b/>
                <w:bCs/>
                <w:sz w:val="20"/>
                <w:szCs w:val="20"/>
              </w:rPr>
              <w:t>Activités des PGEH</w:t>
            </w:r>
          </w:p>
        </w:tc>
      </w:tr>
      <w:tr w:rsidR="00613F1F" w:rsidRPr="002A5E38" w:rsidTr="00AA1472">
        <w:trPr>
          <w:trHeight w:val="264"/>
        </w:trPr>
        <w:tc>
          <w:tcPr>
            <w:tcW w:w="2297" w:type="dxa"/>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keepNext/>
              <w:jc w:val="left"/>
              <w:rPr>
                <w:sz w:val="21"/>
                <w:szCs w:val="21"/>
              </w:rPr>
            </w:pPr>
            <w:r>
              <w:rPr>
                <w:sz w:val="21"/>
                <w:szCs w:val="21"/>
              </w:rPr>
              <w:t>PGEH approuvés</w:t>
            </w:r>
          </w:p>
        </w:tc>
        <w:tc>
          <w:tcPr>
            <w:tcW w:w="1276"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3 562 216</w:t>
            </w:r>
          </w:p>
        </w:tc>
        <w:tc>
          <w:tcPr>
            <w:tcW w:w="113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2 854 650</w:t>
            </w:r>
          </w:p>
        </w:tc>
        <w:tc>
          <w:tcPr>
            <w:tcW w:w="113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1 503 388</w:t>
            </w:r>
          </w:p>
        </w:tc>
        <w:tc>
          <w:tcPr>
            <w:tcW w:w="184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7 920 254</w:t>
            </w:r>
          </w:p>
        </w:tc>
        <w:tc>
          <w:tcPr>
            <w:tcW w:w="181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1 745 615</w:t>
            </w:r>
          </w:p>
        </w:tc>
      </w:tr>
      <w:tr w:rsidR="00613F1F" w:rsidRPr="002A5E38" w:rsidTr="00AA1472">
        <w:trPr>
          <w:trHeight w:val="264"/>
        </w:trPr>
        <w:tc>
          <w:tcPr>
            <w:tcW w:w="2297" w:type="dxa"/>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keepNext/>
              <w:jc w:val="left"/>
              <w:rPr>
                <w:sz w:val="21"/>
                <w:szCs w:val="21"/>
              </w:rPr>
            </w:pPr>
            <w:r>
              <w:rPr>
                <w:sz w:val="21"/>
                <w:szCs w:val="21"/>
              </w:rPr>
              <w:t>PGEH - phase II</w:t>
            </w:r>
          </w:p>
        </w:tc>
        <w:tc>
          <w:tcPr>
            <w:tcW w:w="1276"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0</w:t>
            </w:r>
          </w:p>
        </w:tc>
        <w:tc>
          <w:tcPr>
            <w:tcW w:w="113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100 000</w:t>
            </w:r>
          </w:p>
        </w:tc>
        <w:tc>
          <w:tcPr>
            <w:tcW w:w="113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0</w:t>
            </w:r>
          </w:p>
        </w:tc>
        <w:tc>
          <w:tcPr>
            <w:tcW w:w="184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100 000</w:t>
            </w:r>
          </w:p>
        </w:tc>
        <w:tc>
          <w:tcPr>
            <w:tcW w:w="181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160 000</w:t>
            </w:r>
          </w:p>
        </w:tc>
      </w:tr>
      <w:tr w:rsidR="00613F1F" w:rsidRPr="002A5E38" w:rsidTr="00AA1472">
        <w:trPr>
          <w:trHeight w:val="264"/>
        </w:trPr>
        <w:tc>
          <w:tcPr>
            <w:tcW w:w="2297" w:type="dxa"/>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jc w:val="left"/>
              <w:rPr>
                <w:b/>
                <w:bCs/>
                <w:sz w:val="21"/>
                <w:szCs w:val="21"/>
              </w:rPr>
            </w:pPr>
            <w:r>
              <w:rPr>
                <w:b/>
                <w:bCs/>
                <w:sz w:val="21"/>
                <w:szCs w:val="21"/>
              </w:rPr>
              <w:t>Total</w:t>
            </w:r>
          </w:p>
        </w:tc>
        <w:tc>
          <w:tcPr>
            <w:tcW w:w="1276"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3 562 216</w:t>
            </w:r>
          </w:p>
        </w:tc>
        <w:tc>
          <w:tcPr>
            <w:tcW w:w="113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2 954 650</w:t>
            </w:r>
          </w:p>
        </w:tc>
        <w:tc>
          <w:tcPr>
            <w:tcW w:w="113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1 503 388</w:t>
            </w:r>
          </w:p>
        </w:tc>
        <w:tc>
          <w:tcPr>
            <w:tcW w:w="184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8 020 254</w:t>
            </w:r>
          </w:p>
        </w:tc>
        <w:tc>
          <w:tcPr>
            <w:tcW w:w="1814"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1 905 615</w:t>
            </w:r>
          </w:p>
        </w:tc>
      </w:tr>
    </w:tbl>
    <w:p w:rsidR="00613F1F" w:rsidRPr="00613F1F" w:rsidRDefault="00613F1F" w:rsidP="00613F1F">
      <w:pPr>
        <w:rPr>
          <w:sz w:val="18"/>
          <w:szCs w:val="18"/>
          <w:lang w:val="fr-FR"/>
        </w:rPr>
      </w:pPr>
      <w:r w:rsidRPr="00613F1F">
        <w:rPr>
          <w:sz w:val="18"/>
          <w:szCs w:val="18"/>
          <w:lang w:val="fr-FR"/>
        </w:rPr>
        <w:t>* Y compris les coûts d'appui d'agence.</w:t>
      </w:r>
    </w:p>
    <w:p w:rsidR="00613F1F" w:rsidRPr="00F879EF" w:rsidRDefault="00613F1F" w:rsidP="00613F1F">
      <w:pPr>
        <w:rPr>
          <w:lang w:val="fr-FR"/>
        </w:rPr>
      </w:pPr>
    </w:p>
    <w:p w:rsidR="00613F1F" w:rsidRPr="00613F1F" w:rsidRDefault="00613F1F" w:rsidP="00613F1F">
      <w:pPr>
        <w:pStyle w:val="Heading1"/>
        <w:rPr>
          <w:lang w:val="fr-FR"/>
        </w:rPr>
      </w:pPr>
      <w:r w:rsidRPr="00613F1F">
        <w:rPr>
          <w:lang w:val="fr-FR"/>
        </w:rPr>
        <w:t>20 % des contributions annuelles annoncées par l'Allemagne pour 2020 représentent 3 220 267 $ US, soit 9 660 800 $ US pour la période triennale 2018–2020. Compte tenu des approbations de comptes à la 81</w:t>
      </w:r>
      <w:r w:rsidRPr="00613F1F">
        <w:rPr>
          <w:vertAlign w:val="superscript"/>
          <w:lang w:val="fr-FR"/>
        </w:rPr>
        <w:t>e</w:t>
      </w:r>
      <w:r w:rsidRPr="00613F1F">
        <w:rPr>
          <w:lang w:val="fr-FR"/>
        </w:rPr>
        <w:t>, la 82</w:t>
      </w:r>
      <w:r w:rsidRPr="00613F1F">
        <w:rPr>
          <w:vertAlign w:val="superscript"/>
          <w:lang w:val="fr-FR"/>
        </w:rPr>
        <w:t>e</w:t>
      </w:r>
      <w:r w:rsidRPr="00613F1F">
        <w:rPr>
          <w:lang w:val="fr-FR"/>
        </w:rPr>
        <w:t xml:space="preserve"> et la 83</w:t>
      </w:r>
      <w:r w:rsidRPr="00613F1F">
        <w:rPr>
          <w:vertAlign w:val="superscript"/>
          <w:lang w:val="fr-FR"/>
        </w:rPr>
        <w:t>e</w:t>
      </w:r>
      <w:r w:rsidRPr="00613F1F">
        <w:rPr>
          <w:lang w:val="fr-FR"/>
        </w:rPr>
        <w:t> réunions (5 072 800 $ US), l'Allemagne dépassera de 1 333 608 $ US le seuil de 20 % des contributions annoncées pour la période triennale 2018–2020 si les soumissions à la 84</w:t>
      </w:r>
      <w:r w:rsidRPr="00613F1F">
        <w:rPr>
          <w:vertAlign w:val="superscript"/>
          <w:lang w:val="fr-FR"/>
        </w:rPr>
        <w:t>e</w:t>
      </w:r>
      <w:r w:rsidRPr="00613F1F">
        <w:rPr>
          <w:lang w:val="fr-FR"/>
        </w:rPr>
        <w:t> réunion (2 359 392 $ US) et les valeurs ajustées des plans d'activités pour 2020 (3 562 216 $ US) sont approuvées comme prévu. L’Allemagne devra alors reprogrammer des activités sur les années suivantes, ou demander à d’autres agences bilatérales ou d’exécution de mettre en œuvre certains de ses projets de façon à ce que sa coopération bilatérale ne dépasse pas l’allocation de 20 %.</w:t>
      </w:r>
    </w:p>
    <w:p w:rsidR="00613F1F" w:rsidRPr="00613F1F" w:rsidRDefault="00613F1F" w:rsidP="00613F1F">
      <w:pPr>
        <w:pStyle w:val="Heading1"/>
        <w:rPr>
          <w:lang w:val="fr-FR"/>
        </w:rPr>
      </w:pPr>
      <w:r w:rsidRPr="00613F1F">
        <w:rPr>
          <w:lang w:val="fr-FR"/>
        </w:rPr>
        <w:t>Le Comité exécutif pourrait donc souhaiter reconsidérer le niveau des activités du plan d'activités de l’Allemagne pour 2020–2022 à la lumière de l’allocation des activités bilatérales pour la période triennale 2018–2020. Le gouvernement de l’Allemagne a été informé de cet enjeu et a répondu envisager de décaler ou réaffecter certaines tranches des accords pluriannuels approuvés (APA) afin de se maintenir dans les 20 % des contributions annoncées si toutes les tranches des APA sont approuvées comme prévu. Toutefois, compte tenu des retards pris dans les approbations, notamment pour la Chine, l’Allemagne risque de ne pas respecter à la lettre l’allocation de 20 %. Dans ce cas, des tranches prévues pour « après 2020 » devront être avancées.</w:t>
      </w:r>
    </w:p>
    <w:p w:rsidR="00613F1F" w:rsidRPr="002A5E38" w:rsidRDefault="00613F1F" w:rsidP="00613F1F">
      <w:pPr>
        <w:pStyle w:val="a--"/>
        <w:keepNext/>
        <w:tabs>
          <w:tab w:val="clear" w:pos="-720"/>
          <w:tab w:val="clear" w:pos="0"/>
          <w:tab w:val="clear" w:pos="720"/>
          <w:tab w:val="clear" w:pos="1440"/>
          <w:tab w:val="clear" w:pos="2160"/>
          <w:tab w:val="clear" w:pos="2880"/>
          <w:tab w:val="clear" w:pos="3600"/>
        </w:tabs>
        <w:suppressAutoHyphens w:val="0"/>
        <w:rPr>
          <w:sz w:val="22"/>
          <w:szCs w:val="22"/>
        </w:rPr>
      </w:pPr>
      <w:r>
        <w:rPr>
          <w:sz w:val="22"/>
          <w:szCs w:val="22"/>
        </w:rPr>
        <w:lastRenderedPageBreak/>
        <w:t>Italie</w:t>
      </w:r>
    </w:p>
    <w:p w:rsidR="00613F1F" w:rsidRPr="002A5E38" w:rsidRDefault="00613F1F" w:rsidP="00613F1F">
      <w:pPr>
        <w:pStyle w:val="Footer"/>
        <w:keepNext/>
        <w:tabs>
          <w:tab w:val="clear" w:pos="4320"/>
          <w:tab w:val="clear" w:pos="8640"/>
        </w:tabs>
        <w:rPr>
          <w:lang w:val="en-CA"/>
        </w:rPr>
      </w:pPr>
    </w:p>
    <w:p w:rsidR="00613F1F" w:rsidRPr="002A5E38" w:rsidRDefault="00613F1F" w:rsidP="00613F1F">
      <w:pPr>
        <w:pStyle w:val="Heading1"/>
      </w:pPr>
      <w:r w:rsidRPr="00613F1F">
        <w:rPr>
          <w:lang w:val="fr-FR"/>
        </w:rPr>
        <w:t xml:space="preserve">La répartition des ressources prévue au plan d'activités de l'Italie pour 2020–2022 est présentée au tableau 6. </w:t>
      </w:r>
      <w:r>
        <w:t>20 % des contributions annuelles annoncées par l'Italie pour 2020 représentent 1 889 100 $ US.</w:t>
      </w:r>
    </w:p>
    <w:p w:rsidR="00613F1F" w:rsidRPr="002A5E38" w:rsidRDefault="00613F1F" w:rsidP="00613F1F">
      <w:pPr>
        <w:pStyle w:val="subhead"/>
        <w:keepNext/>
        <w:jc w:val="both"/>
        <w:rPr>
          <w:b/>
          <w:sz w:val="22"/>
          <w:szCs w:val="22"/>
        </w:rPr>
      </w:pPr>
      <w:r>
        <w:rPr>
          <w:b/>
          <w:sz w:val="22"/>
          <w:szCs w:val="22"/>
        </w:rPr>
        <w:t>Tableau 6. Répartition des ressources pour l’Italie</w:t>
      </w:r>
      <w:r>
        <w:rPr>
          <w:sz w:val="22"/>
          <w:szCs w:val="22"/>
        </w:rPr>
        <w:t xml:space="preserve"> </w:t>
      </w:r>
      <w:r>
        <w:rPr>
          <w:b/>
          <w:sz w:val="22"/>
          <w:szCs w:val="22"/>
        </w:rPr>
        <w:t>($ US)*</w:t>
      </w:r>
    </w:p>
    <w:tbl>
      <w:tblPr>
        <w:tblW w:w="9498" w:type="dxa"/>
        <w:tblInd w:w="108" w:type="dxa"/>
        <w:tblLook w:val="04A0" w:firstRow="1" w:lastRow="0" w:firstColumn="1" w:lastColumn="0" w:noHBand="0" w:noVBand="1"/>
      </w:tblPr>
      <w:tblGrid>
        <w:gridCol w:w="3119"/>
        <w:gridCol w:w="1559"/>
        <w:gridCol w:w="1418"/>
        <w:gridCol w:w="1559"/>
        <w:gridCol w:w="1843"/>
      </w:tblGrid>
      <w:tr w:rsidR="00613F1F" w:rsidRPr="002A5E38" w:rsidTr="00FC385F">
        <w:trPr>
          <w:trHeight w:val="270"/>
        </w:trPr>
        <w:tc>
          <w:tcPr>
            <w:tcW w:w="3119" w:type="dxa"/>
            <w:tcBorders>
              <w:top w:val="single" w:sz="4" w:space="0" w:color="auto"/>
              <w:left w:val="single" w:sz="4" w:space="0" w:color="auto"/>
              <w:bottom w:val="single" w:sz="4" w:space="0" w:color="auto"/>
              <w:right w:val="single" w:sz="4" w:space="0" w:color="auto"/>
            </w:tcBorders>
            <w:shd w:val="clear" w:color="auto" w:fill="auto"/>
            <w:noWrap/>
            <w:hideMark/>
          </w:tcPr>
          <w:p w:rsidR="00613F1F" w:rsidRPr="00613F1F" w:rsidRDefault="00613F1F" w:rsidP="003148B6">
            <w:pPr>
              <w:jc w:val="left"/>
              <w:rPr>
                <w:b/>
                <w:bCs/>
                <w:sz w:val="21"/>
                <w:szCs w:val="21"/>
                <w:lang w:val="fr-FR"/>
              </w:rPr>
            </w:pPr>
            <w:r w:rsidRPr="00613F1F">
              <w:rPr>
                <w:b/>
                <w:bCs/>
                <w:sz w:val="21"/>
                <w:szCs w:val="21"/>
                <w:lang w:val="fr-FR"/>
              </w:rPr>
              <w:t> </w:t>
            </w:r>
          </w:p>
        </w:tc>
        <w:tc>
          <w:tcPr>
            <w:tcW w:w="1559" w:type="dxa"/>
            <w:tcBorders>
              <w:top w:val="single" w:sz="4" w:space="0" w:color="auto"/>
              <w:left w:val="nil"/>
              <w:bottom w:val="single" w:sz="4" w:space="0" w:color="auto"/>
              <w:right w:val="single" w:sz="4" w:space="0" w:color="auto"/>
            </w:tcBorders>
            <w:shd w:val="clear" w:color="auto" w:fill="auto"/>
            <w:hideMark/>
          </w:tcPr>
          <w:p w:rsidR="00613F1F" w:rsidRPr="002A5E38" w:rsidRDefault="00613F1F" w:rsidP="003148B6">
            <w:pPr>
              <w:jc w:val="center"/>
              <w:rPr>
                <w:b/>
                <w:bCs/>
                <w:sz w:val="21"/>
                <w:szCs w:val="21"/>
              </w:rPr>
            </w:pPr>
            <w:r>
              <w:rPr>
                <w:b/>
                <w:bCs/>
                <w:sz w:val="21"/>
                <w:szCs w:val="21"/>
              </w:rPr>
              <w:t>2020</w:t>
            </w:r>
          </w:p>
        </w:tc>
        <w:tc>
          <w:tcPr>
            <w:tcW w:w="1418" w:type="dxa"/>
            <w:tcBorders>
              <w:top w:val="single" w:sz="4" w:space="0" w:color="auto"/>
              <w:left w:val="nil"/>
              <w:bottom w:val="single" w:sz="4" w:space="0" w:color="auto"/>
              <w:right w:val="single" w:sz="4" w:space="0" w:color="auto"/>
            </w:tcBorders>
            <w:shd w:val="clear" w:color="auto" w:fill="auto"/>
            <w:hideMark/>
          </w:tcPr>
          <w:p w:rsidR="00613F1F" w:rsidRPr="002A5E38" w:rsidRDefault="00613F1F" w:rsidP="003148B6">
            <w:pPr>
              <w:jc w:val="center"/>
              <w:rPr>
                <w:b/>
                <w:bCs/>
                <w:sz w:val="21"/>
                <w:szCs w:val="21"/>
              </w:rPr>
            </w:pPr>
            <w:r>
              <w:rPr>
                <w:b/>
                <w:bCs/>
                <w:sz w:val="21"/>
                <w:szCs w:val="21"/>
              </w:rPr>
              <w:t>2021</w:t>
            </w:r>
          </w:p>
        </w:tc>
        <w:tc>
          <w:tcPr>
            <w:tcW w:w="1559" w:type="dxa"/>
            <w:tcBorders>
              <w:top w:val="single" w:sz="4" w:space="0" w:color="auto"/>
              <w:left w:val="nil"/>
              <w:bottom w:val="single" w:sz="4" w:space="0" w:color="auto"/>
              <w:right w:val="single" w:sz="4" w:space="0" w:color="auto"/>
            </w:tcBorders>
            <w:shd w:val="clear" w:color="auto" w:fill="auto"/>
            <w:hideMark/>
          </w:tcPr>
          <w:p w:rsidR="00613F1F" w:rsidRPr="002A5E38" w:rsidRDefault="00613F1F" w:rsidP="003148B6">
            <w:pPr>
              <w:jc w:val="center"/>
              <w:rPr>
                <w:b/>
                <w:bCs/>
                <w:sz w:val="21"/>
                <w:szCs w:val="21"/>
              </w:rPr>
            </w:pPr>
            <w:r>
              <w:rPr>
                <w:b/>
                <w:bCs/>
                <w:sz w:val="21"/>
                <w:szCs w:val="21"/>
              </w:rPr>
              <w:t>2022 **</w:t>
            </w:r>
          </w:p>
        </w:tc>
        <w:tc>
          <w:tcPr>
            <w:tcW w:w="1843" w:type="dxa"/>
            <w:tcBorders>
              <w:top w:val="single" w:sz="4" w:space="0" w:color="auto"/>
              <w:left w:val="nil"/>
              <w:bottom w:val="single" w:sz="4" w:space="0" w:color="auto"/>
              <w:right w:val="single" w:sz="4" w:space="0" w:color="auto"/>
            </w:tcBorders>
            <w:shd w:val="clear" w:color="auto" w:fill="auto"/>
            <w:hideMark/>
          </w:tcPr>
          <w:p w:rsidR="00613F1F" w:rsidRPr="002A5E38" w:rsidRDefault="00613F1F" w:rsidP="003148B6">
            <w:pPr>
              <w:jc w:val="center"/>
              <w:rPr>
                <w:b/>
                <w:bCs/>
                <w:sz w:val="21"/>
                <w:szCs w:val="21"/>
              </w:rPr>
            </w:pPr>
            <w:r>
              <w:rPr>
                <w:b/>
                <w:bCs/>
                <w:sz w:val="21"/>
                <w:szCs w:val="21"/>
              </w:rPr>
              <w:t>Total (2020</w:t>
            </w:r>
            <w:r>
              <w:rPr>
                <w:b/>
                <w:sz w:val="21"/>
                <w:szCs w:val="21"/>
              </w:rPr>
              <w:t>–</w:t>
            </w:r>
            <w:r>
              <w:rPr>
                <w:b/>
                <w:bCs/>
                <w:sz w:val="21"/>
                <w:szCs w:val="21"/>
              </w:rPr>
              <w:t>2022)</w:t>
            </w:r>
          </w:p>
        </w:tc>
      </w:tr>
      <w:tr w:rsidR="00613F1F" w:rsidRPr="002A5E38" w:rsidTr="00FC385F">
        <w:trPr>
          <w:trHeight w:val="264"/>
        </w:trPr>
        <w:tc>
          <w:tcPr>
            <w:tcW w:w="9498" w:type="dxa"/>
            <w:gridSpan w:val="5"/>
            <w:tcBorders>
              <w:top w:val="nil"/>
              <w:left w:val="single" w:sz="4" w:space="0" w:color="auto"/>
              <w:bottom w:val="single" w:sz="4" w:space="0" w:color="auto"/>
              <w:right w:val="single" w:sz="4" w:space="0" w:color="auto"/>
            </w:tcBorders>
            <w:shd w:val="clear" w:color="auto" w:fill="auto"/>
            <w:noWrap/>
            <w:vAlign w:val="center"/>
          </w:tcPr>
          <w:p w:rsidR="00613F1F" w:rsidRPr="002A5E38" w:rsidRDefault="00613F1F" w:rsidP="003148B6">
            <w:pPr>
              <w:jc w:val="left"/>
              <w:rPr>
                <w:sz w:val="21"/>
                <w:szCs w:val="21"/>
              </w:rPr>
            </w:pPr>
            <w:r>
              <w:rPr>
                <w:b/>
                <w:bCs/>
                <w:sz w:val="20"/>
                <w:szCs w:val="20"/>
              </w:rPr>
              <w:t>Activités des PGEH</w:t>
            </w:r>
          </w:p>
        </w:tc>
      </w:tr>
      <w:tr w:rsidR="00613F1F" w:rsidRPr="002A5E38" w:rsidTr="00FC385F">
        <w:trPr>
          <w:trHeight w:val="264"/>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jc w:val="left"/>
              <w:rPr>
                <w:sz w:val="21"/>
                <w:szCs w:val="21"/>
              </w:rPr>
            </w:pPr>
            <w:r>
              <w:rPr>
                <w:sz w:val="21"/>
                <w:szCs w:val="21"/>
              </w:rPr>
              <w:t>PGEH approuvés</w:t>
            </w:r>
          </w:p>
        </w:tc>
        <w:tc>
          <w:tcPr>
            <w:tcW w:w="1559"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sz w:val="21"/>
                <w:szCs w:val="21"/>
              </w:rPr>
            </w:pPr>
            <w:r>
              <w:rPr>
                <w:sz w:val="21"/>
                <w:szCs w:val="21"/>
              </w:rPr>
              <w:t>264 840</w:t>
            </w:r>
          </w:p>
        </w:tc>
        <w:tc>
          <w:tcPr>
            <w:tcW w:w="1418"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0</w:t>
            </w:r>
          </w:p>
        </w:tc>
        <w:tc>
          <w:tcPr>
            <w:tcW w:w="1559"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sz w:val="21"/>
                <w:szCs w:val="21"/>
              </w:rPr>
            </w:pPr>
            <w:r>
              <w:rPr>
                <w:sz w:val="21"/>
                <w:szCs w:val="21"/>
              </w:rPr>
              <w:t>0</w:t>
            </w:r>
          </w:p>
        </w:tc>
        <w:tc>
          <w:tcPr>
            <w:tcW w:w="1843"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sz w:val="21"/>
                <w:szCs w:val="21"/>
              </w:rPr>
            </w:pPr>
            <w:r>
              <w:rPr>
                <w:sz w:val="21"/>
                <w:szCs w:val="21"/>
              </w:rPr>
              <w:t>264 840</w:t>
            </w:r>
          </w:p>
        </w:tc>
      </w:tr>
      <w:tr w:rsidR="00613F1F" w:rsidRPr="002A5E38" w:rsidTr="00FC385F">
        <w:trPr>
          <w:trHeight w:val="264"/>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jc w:val="left"/>
              <w:rPr>
                <w:b/>
                <w:bCs/>
                <w:sz w:val="21"/>
                <w:szCs w:val="21"/>
              </w:rPr>
            </w:pPr>
            <w:r>
              <w:rPr>
                <w:b/>
                <w:bCs/>
                <w:sz w:val="21"/>
                <w:szCs w:val="21"/>
              </w:rPr>
              <w:t>Total</w:t>
            </w:r>
          </w:p>
        </w:tc>
        <w:tc>
          <w:tcPr>
            <w:tcW w:w="1559"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b/>
                <w:sz w:val="21"/>
                <w:szCs w:val="21"/>
              </w:rPr>
            </w:pPr>
            <w:r>
              <w:rPr>
                <w:b/>
                <w:sz w:val="21"/>
                <w:szCs w:val="21"/>
              </w:rPr>
              <w:t>264 840</w:t>
            </w:r>
          </w:p>
        </w:tc>
        <w:tc>
          <w:tcPr>
            <w:tcW w:w="1418"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bCs/>
                <w:sz w:val="21"/>
                <w:szCs w:val="21"/>
              </w:rPr>
            </w:pPr>
            <w:r>
              <w:rPr>
                <w:b/>
                <w:bCs/>
                <w:sz w:val="21"/>
                <w:szCs w:val="21"/>
              </w:rPr>
              <w:t>0</w:t>
            </w:r>
          </w:p>
        </w:tc>
        <w:tc>
          <w:tcPr>
            <w:tcW w:w="1559"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b/>
                <w:bCs/>
                <w:sz w:val="21"/>
                <w:szCs w:val="21"/>
              </w:rPr>
            </w:pPr>
            <w:r>
              <w:rPr>
                <w:b/>
                <w:bCs/>
                <w:sz w:val="21"/>
                <w:szCs w:val="21"/>
              </w:rPr>
              <w:t>0</w:t>
            </w:r>
          </w:p>
        </w:tc>
        <w:tc>
          <w:tcPr>
            <w:tcW w:w="1843" w:type="dxa"/>
            <w:tcBorders>
              <w:top w:val="nil"/>
              <w:left w:val="nil"/>
              <w:bottom w:val="single" w:sz="4" w:space="0" w:color="auto"/>
              <w:right w:val="single" w:sz="4" w:space="0" w:color="auto"/>
            </w:tcBorders>
            <w:shd w:val="clear" w:color="auto" w:fill="auto"/>
            <w:noWrap/>
            <w:vAlign w:val="center"/>
            <w:hideMark/>
          </w:tcPr>
          <w:p w:rsidR="00613F1F" w:rsidRPr="002A5E38" w:rsidRDefault="00613F1F" w:rsidP="003148B6">
            <w:pPr>
              <w:jc w:val="center"/>
              <w:rPr>
                <w:b/>
                <w:sz w:val="21"/>
                <w:szCs w:val="21"/>
              </w:rPr>
            </w:pPr>
            <w:r>
              <w:rPr>
                <w:b/>
                <w:sz w:val="21"/>
                <w:szCs w:val="21"/>
              </w:rPr>
              <w:t>264 840</w:t>
            </w:r>
          </w:p>
        </w:tc>
      </w:tr>
    </w:tbl>
    <w:p w:rsidR="00613F1F" w:rsidRPr="00613F1F" w:rsidRDefault="00613F1F" w:rsidP="00613F1F">
      <w:pPr>
        <w:rPr>
          <w:sz w:val="18"/>
          <w:szCs w:val="18"/>
          <w:lang w:val="fr-FR"/>
        </w:rPr>
      </w:pPr>
      <w:r w:rsidRPr="00613F1F">
        <w:rPr>
          <w:sz w:val="18"/>
          <w:szCs w:val="18"/>
          <w:lang w:val="fr-FR"/>
        </w:rPr>
        <w:t>* Y compris les coûts d'appui d'agence.</w:t>
      </w:r>
    </w:p>
    <w:p w:rsidR="00613F1F" w:rsidRPr="00613F1F" w:rsidRDefault="00613F1F" w:rsidP="00613F1F">
      <w:pPr>
        <w:jc w:val="left"/>
        <w:rPr>
          <w:b/>
          <w:sz w:val="18"/>
          <w:szCs w:val="18"/>
          <w:lang w:val="fr-FR"/>
        </w:rPr>
      </w:pPr>
      <w:r w:rsidRPr="00613F1F">
        <w:rPr>
          <w:sz w:val="18"/>
          <w:szCs w:val="18"/>
          <w:lang w:val="fr-FR"/>
        </w:rPr>
        <w:t>** Il n'y a pas d'activités après 2022.</w:t>
      </w:r>
    </w:p>
    <w:p w:rsidR="00613F1F" w:rsidRPr="00F879EF" w:rsidRDefault="00613F1F" w:rsidP="00613F1F">
      <w:pPr>
        <w:pStyle w:val="Heading1"/>
        <w:numPr>
          <w:ilvl w:val="0"/>
          <w:numId w:val="0"/>
        </w:numPr>
        <w:spacing w:after="0"/>
        <w:rPr>
          <w:lang w:val="fr-FR"/>
        </w:rPr>
      </w:pPr>
    </w:p>
    <w:p w:rsidR="00613F1F" w:rsidRPr="002A5E38" w:rsidRDefault="00613F1F" w:rsidP="00613F1F">
      <w:pPr>
        <w:jc w:val="left"/>
        <w:rPr>
          <w:b/>
          <w:bCs/>
        </w:rPr>
      </w:pPr>
      <w:r>
        <w:rPr>
          <w:b/>
        </w:rPr>
        <w:t>Japon</w:t>
      </w:r>
    </w:p>
    <w:p w:rsidR="00613F1F" w:rsidRPr="002A5E38" w:rsidRDefault="00613F1F" w:rsidP="00613F1F">
      <w:pPr>
        <w:jc w:val="left"/>
        <w:rPr>
          <w:b/>
          <w:bCs/>
          <w:lang w:val="en-CA"/>
        </w:rPr>
      </w:pPr>
    </w:p>
    <w:p w:rsidR="00613F1F" w:rsidRPr="00613F1F" w:rsidRDefault="00613F1F" w:rsidP="00613F1F">
      <w:pPr>
        <w:pStyle w:val="Heading1"/>
        <w:rPr>
          <w:lang w:val="fr-FR"/>
        </w:rPr>
      </w:pPr>
      <w:r w:rsidRPr="00613F1F">
        <w:rPr>
          <w:lang w:val="fr-FR"/>
        </w:rPr>
        <w:t>La répartition des ressources prévue au plan d'activités du Japon pour 2020–2022 est présentée au tableau 7. 20 % des contributions annuelles annoncées par le Japon pour 2020 représentent 4 879 033 $ US.</w:t>
      </w:r>
    </w:p>
    <w:p w:rsidR="00613F1F" w:rsidRPr="002A5E38" w:rsidRDefault="00613F1F" w:rsidP="00613F1F">
      <w:pPr>
        <w:pStyle w:val="subhead"/>
        <w:keepNext/>
        <w:jc w:val="both"/>
        <w:rPr>
          <w:b/>
          <w:sz w:val="22"/>
          <w:szCs w:val="22"/>
        </w:rPr>
      </w:pPr>
      <w:r>
        <w:rPr>
          <w:b/>
          <w:sz w:val="22"/>
          <w:szCs w:val="22"/>
        </w:rPr>
        <w:t>Tableau 7. Répartition des ressources pour le Japon</w:t>
      </w:r>
      <w:r>
        <w:rPr>
          <w:sz w:val="22"/>
          <w:szCs w:val="22"/>
        </w:rPr>
        <w:t xml:space="preserve"> </w:t>
      </w:r>
      <w:r>
        <w:rPr>
          <w:b/>
          <w:sz w:val="22"/>
          <w:szCs w:val="22"/>
        </w:rPr>
        <w:t>($ US)*</w:t>
      </w:r>
    </w:p>
    <w:tbl>
      <w:tblPr>
        <w:tblW w:w="4944" w:type="pct"/>
        <w:tblInd w:w="108" w:type="dxa"/>
        <w:tblLayout w:type="fixed"/>
        <w:tblLook w:val="04A0" w:firstRow="1" w:lastRow="0" w:firstColumn="1" w:lastColumn="0" w:noHBand="0" w:noVBand="1"/>
      </w:tblPr>
      <w:tblGrid>
        <w:gridCol w:w="3082"/>
        <w:gridCol w:w="1490"/>
        <w:gridCol w:w="1492"/>
        <w:gridCol w:w="1492"/>
        <w:gridCol w:w="1913"/>
      </w:tblGrid>
      <w:tr w:rsidR="00613F1F" w:rsidRPr="002A5E38" w:rsidTr="00FC385F">
        <w:trPr>
          <w:trHeight w:val="255"/>
          <w:tblHeader/>
        </w:trPr>
        <w:tc>
          <w:tcPr>
            <w:tcW w:w="1627" w:type="pct"/>
            <w:tcBorders>
              <w:top w:val="single" w:sz="4" w:space="0" w:color="auto"/>
              <w:left w:val="single" w:sz="4" w:space="0" w:color="auto"/>
              <w:bottom w:val="single" w:sz="4" w:space="0" w:color="auto"/>
              <w:right w:val="single" w:sz="4" w:space="0" w:color="auto"/>
            </w:tcBorders>
            <w:shd w:val="clear" w:color="auto" w:fill="auto"/>
            <w:noWrap/>
            <w:hideMark/>
          </w:tcPr>
          <w:p w:rsidR="00613F1F" w:rsidRPr="002A5E38" w:rsidRDefault="00613F1F" w:rsidP="003148B6">
            <w:pPr>
              <w:jc w:val="left"/>
              <w:rPr>
                <w:b/>
                <w:bCs/>
                <w:sz w:val="21"/>
                <w:szCs w:val="21"/>
              </w:rPr>
            </w:pPr>
            <w:r>
              <w:rPr>
                <w:b/>
                <w:bCs/>
                <w:sz w:val="21"/>
                <w:szCs w:val="21"/>
              </w:rPr>
              <w:t>Poste</w:t>
            </w:r>
          </w:p>
        </w:tc>
        <w:tc>
          <w:tcPr>
            <w:tcW w:w="787" w:type="pct"/>
            <w:tcBorders>
              <w:top w:val="single" w:sz="4" w:space="0" w:color="auto"/>
              <w:left w:val="nil"/>
              <w:bottom w:val="single" w:sz="4" w:space="0" w:color="auto"/>
              <w:right w:val="single" w:sz="4" w:space="0" w:color="auto"/>
            </w:tcBorders>
            <w:shd w:val="clear" w:color="auto" w:fill="auto"/>
            <w:noWrap/>
            <w:hideMark/>
          </w:tcPr>
          <w:p w:rsidR="00613F1F" w:rsidRPr="002A5E38" w:rsidRDefault="00613F1F" w:rsidP="003148B6">
            <w:pPr>
              <w:jc w:val="center"/>
              <w:rPr>
                <w:b/>
                <w:bCs/>
                <w:sz w:val="21"/>
                <w:szCs w:val="21"/>
              </w:rPr>
            </w:pPr>
            <w:r>
              <w:rPr>
                <w:b/>
                <w:bCs/>
                <w:sz w:val="21"/>
                <w:szCs w:val="21"/>
              </w:rPr>
              <w:t>2020</w:t>
            </w:r>
          </w:p>
        </w:tc>
        <w:tc>
          <w:tcPr>
            <w:tcW w:w="788" w:type="pct"/>
            <w:tcBorders>
              <w:top w:val="single" w:sz="4" w:space="0" w:color="auto"/>
              <w:left w:val="nil"/>
              <w:bottom w:val="single" w:sz="4" w:space="0" w:color="auto"/>
              <w:right w:val="single" w:sz="4" w:space="0" w:color="auto"/>
            </w:tcBorders>
            <w:shd w:val="clear" w:color="auto" w:fill="auto"/>
            <w:noWrap/>
            <w:hideMark/>
          </w:tcPr>
          <w:p w:rsidR="00613F1F" w:rsidRPr="002A5E38" w:rsidRDefault="00613F1F" w:rsidP="003148B6">
            <w:pPr>
              <w:jc w:val="center"/>
              <w:rPr>
                <w:b/>
                <w:bCs/>
                <w:sz w:val="21"/>
                <w:szCs w:val="21"/>
              </w:rPr>
            </w:pPr>
            <w:r>
              <w:rPr>
                <w:b/>
                <w:bCs/>
                <w:sz w:val="21"/>
                <w:szCs w:val="21"/>
              </w:rPr>
              <w:t>2021</w:t>
            </w:r>
          </w:p>
        </w:tc>
        <w:tc>
          <w:tcPr>
            <w:tcW w:w="788" w:type="pct"/>
            <w:tcBorders>
              <w:top w:val="single" w:sz="4" w:space="0" w:color="auto"/>
              <w:left w:val="nil"/>
              <w:bottom w:val="single" w:sz="4" w:space="0" w:color="auto"/>
              <w:right w:val="single" w:sz="4" w:space="0" w:color="auto"/>
            </w:tcBorders>
            <w:shd w:val="clear" w:color="auto" w:fill="auto"/>
            <w:noWrap/>
            <w:hideMark/>
          </w:tcPr>
          <w:p w:rsidR="00613F1F" w:rsidRPr="002A5E38" w:rsidRDefault="00613F1F" w:rsidP="003148B6">
            <w:pPr>
              <w:jc w:val="center"/>
              <w:rPr>
                <w:b/>
                <w:bCs/>
                <w:sz w:val="21"/>
                <w:szCs w:val="21"/>
              </w:rPr>
            </w:pPr>
            <w:r>
              <w:rPr>
                <w:b/>
                <w:bCs/>
                <w:sz w:val="21"/>
                <w:szCs w:val="21"/>
              </w:rPr>
              <w:t>2022 **</w:t>
            </w:r>
          </w:p>
        </w:tc>
        <w:tc>
          <w:tcPr>
            <w:tcW w:w="1010" w:type="pct"/>
            <w:tcBorders>
              <w:top w:val="single" w:sz="4" w:space="0" w:color="auto"/>
              <w:left w:val="nil"/>
              <w:bottom w:val="single" w:sz="4" w:space="0" w:color="auto"/>
              <w:right w:val="single" w:sz="4" w:space="0" w:color="auto"/>
            </w:tcBorders>
            <w:shd w:val="clear" w:color="auto" w:fill="auto"/>
            <w:noWrap/>
            <w:hideMark/>
          </w:tcPr>
          <w:p w:rsidR="00613F1F" w:rsidRPr="002A5E38" w:rsidRDefault="00613F1F" w:rsidP="003148B6">
            <w:pPr>
              <w:jc w:val="center"/>
              <w:rPr>
                <w:b/>
                <w:bCs/>
                <w:sz w:val="21"/>
                <w:szCs w:val="21"/>
              </w:rPr>
            </w:pPr>
            <w:r>
              <w:rPr>
                <w:b/>
                <w:bCs/>
                <w:sz w:val="21"/>
                <w:szCs w:val="21"/>
              </w:rPr>
              <w:t>Total (2020</w:t>
            </w:r>
            <w:r>
              <w:rPr>
                <w:b/>
                <w:sz w:val="21"/>
                <w:szCs w:val="21"/>
              </w:rPr>
              <w:t>–</w:t>
            </w:r>
            <w:r>
              <w:rPr>
                <w:b/>
                <w:bCs/>
                <w:sz w:val="21"/>
                <w:szCs w:val="21"/>
              </w:rPr>
              <w:t>2022)</w:t>
            </w:r>
          </w:p>
        </w:tc>
      </w:tr>
      <w:tr w:rsidR="00613F1F" w:rsidRPr="002A5E38" w:rsidTr="00FC385F">
        <w:trPr>
          <w:trHeight w:val="255"/>
        </w:trPr>
        <w:tc>
          <w:tcPr>
            <w:tcW w:w="5000" w:type="pct"/>
            <w:gridSpan w:val="5"/>
            <w:tcBorders>
              <w:top w:val="nil"/>
              <w:left w:val="single" w:sz="4" w:space="0" w:color="auto"/>
              <w:bottom w:val="single" w:sz="4" w:space="0" w:color="auto"/>
              <w:right w:val="single" w:sz="4" w:space="0" w:color="auto"/>
            </w:tcBorders>
            <w:shd w:val="clear" w:color="auto" w:fill="auto"/>
            <w:noWrap/>
            <w:vAlign w:val="center"/>
          </w:tcPr>
          <w:p w:rsidR="00613F1F" w:rsidRPr="002A5E38" w:rsidRDefault="00613F1F" w:rsidP="003148B6">
            <w:pPr>
              <w:jc w:val="left"/>
              <w:rPr>
                <w:sz w:val="21"/>
                <w:szCs w:val="21"/>
              </w:rPr>
            </w:pPr>
            <w:r>
              <w:rPr>
                <w:b/>
                <w:bCs/>
                <w:sz w:val="20"/>
                <w:szCs w:val="20"/>
              </w:rPr>
              <w:t>Activités des PGEH</w:t>
            </w:r>
          </w:p>
        </w:tc>
      </w:tr>
      <w:tr w:rsidR="00613F1F" w:rsidRPr="002A5E38" w:rsidTr="00FC385F">
        <w:trPr>
          <w:trHeight w:val="255"/>
        </w:trPr>
        <w:tc>
          <w:tcPr>
            <w:tcW w:w="1627" w:type="pct"/>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jc w:val="left"/>
              <w:rPr>
                <w:sz w:val="21"/>
                <w:szCs w:val="21"/>
              </w:rPr>
            </w:pPr>
            <w:r>
              <w:rPr>
                <w:sz w:val="21"/>
                <w:szCs w:val="21"/>
              </w:rPr>
              <w:t>PGEH approuvés</w:t>
            </w:r>
          </w:p>
        </w:tc>
        <w:tc>
          <w:tcPr>
            <w:tcW w:w="787" w:type="pct"/>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120 232</w:t>
            </w:r>
          </w:p>
        </w:tc>
        <w:tc>
          <w:tcPr>
            <w:tcW w:w="788" w:type="pct"/>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90 400</w:t>
            </w:r>
          </w:p>
        </w:tc>
        <w:tc>
          <w:tcPr>
            <w:tcW w:w="788" w:type="pct"/>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0</w:t>
            </w:r>
          </w:p>
        </w:tc>
        <w:tc>
          <w:tcPr>
            <w:tcW w:w="1010" w:type="pct"/>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210 632</w:t>
            </w:r>
          </w:p>
        </w:tc>
      </w:tr>
      <w:tr w:rsidR="00613F1F" w:rsidRPr="002A5E38" w:rsidTr="00FC385F">
        <w:trPr>
          <w:trHeight w:val="255"/>
        </w:trPr>
        <w:tc>
          <w:tcPr>
            <w:tcW w:w="1627" w:type="pct"/>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jc w:val="left"/>
              <w:rPr>
                <w:b/>
                <w:bCs/>
                <w:sz w:val="21"/>
                <w:szCs w:val="21"/>
              </w:rPr>
            </w:pPr>
            <w:r>
              <w:rPr>
                <w:b/>
                <w:bCs/>
                <w:sz w:val="21"/>
                <w:szCs w:val="21"/>
              </w:rPr>
              <w:t>Total</w:t>
            </w:r>
          </w:p>
        </w:tc>
        <w:tc>
          <w:tcPr>
            <w:tcW w:w="787" w:type="pct"/>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120 232</w:t>
            </w:r>
          </w:p>
        </w:tc>
        <w:tc>
          <w:tcPr>
            <w:tcW w:w="788" w:type="pct"/>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90 400</w:t>
            </w:r>
          </w:p>
        </w:tc>
        <w:tc>
          <w:tcPr>
            <w:tcW w:w="788" w:type="pct"/>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0</w:t>
            </w:r>
          </w:p>
        </w:tc>
        <w:tc>
          <w:tcPr>
            <w:tcW w:w="1010" w:type="pct"/>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210 632</w:t>
            </w:r>
          </w:p>
        </w:tc>
      </w:tr>
    </w:tbl>
    <w:p w:rsidR="00613F1F" w:rsidRPr="00613F1F" w:rsidRDefault="00613F1F" w:rsidP="00613F1F">
      <w:pPr>
        <w:rPr>
          <w:sz w:val="18"/>
          <w:szCs w:val="18"/>
          <w:lang w:val="fr-FR"/>
        </w:rPr>
      </w:pPr>
      <w:r w:rsidRPr="00613F1F">
        <w:rPr>
          <w:sz w:val="18"/>
          <w:szCs w:val="18"/>
          <w:lang w:val="fr-FR"/>
        </w:rPr>
        <w:t>* Y compris les coûts d'appui d'agence.</w:t>
      </w:r>
    </w:p>
    <w:p w:rsidR="00613F1F" w:rsidRPr="00613F1F" w:rsidRDefault="00613F1F" w:rsidP="00613F1F">
      <w:pPr>
        <w:jc w:val="left"/>
        <w:rPr>
          <w:sz w:val="18"/>
          <w:szCs w:val="18"/>
          <w:lang w:val="fr-FR"/>
        </w:rPr>
      </w:pPr>
      <w:r w:rsidRPr="00613F1F">
        <w:rPr>
          <w:sz w:val="18"/>
          <w:szCs w:val="18"/>
          <w:lang w:val="fr-FR"/>
        </w:rPr>
        <w:t>** Il n'y a pas d'activités après 2022.</w:t>
      </w:r>
    </w:p>
    <w:p w:rsidR="00613F1F" w:rsidRPr="00613F1F" w:rsidRDefault="00613F1F" w:rsidP="00613F1F">
      <w:pPr>
        <w:jc w:val="left"/>
        <w:rPr>
          <w:sz w:val="18"/>
          <w:szCs w:val="18"/>
          <w:lang w:val="fr-FR"/>
        </w:rPr>
      </w:pPr>
    </w:p>
    <w:p w:rsidR="00613F1F" w:rsidRPr="00613F1F" w:rsidRDefault="00613F1F" w:rsidP="00613F1F">
      <w:pPr>
        <w:pStyle w:val="Heading1"/>
        <w:rPr>
          <w:lang w:val="fr-FR"/>
        </w:rPr>
      </w:pPr>
      <w:r w:rsidRPr="00613F1F">
        <w:rPr>
          <w:lang w:val="fr-FR"/>
        </w:rPr>
        <w:t>Le plan d'activités du Japon prévoit 210 632 $ US pour la phase II approuvée des PGEH pour 2020–2022. Le Secrétariat propose des ajustements de coûts visant à refléter la proposition d’accord révisé soumise à la 84</w:t>
      </w:r>
      <w:r w:rsidRPr="00613F1F">
        <w:rPr>
          <w:vertAlign w:val="superscript"/>
          <w:lang w:val="fr-FR"/>
        </w:rPr>
        <w:t>e</w:t>
      </w:r>
      <w:r w:rsidRPr="00613F1F">
        <w:rPr>
          <w:lang w:val="fr-FR"/>
        </w:rPr>
        <w:t> réunion, en rajoutant 90 400 $ US en 2020 et en retranchant ce montant de 2021.</w:t>
      </w:r>
    </w:p>
    <w:p w:rsidR="00613F1F" w:rsidRPr="00613F1F" w:rsidRDefault="00613F1F" w:rsidP="00613F1F">
      <w:pPr>
        <w:pStyle w:val="Heading1"/>
        <w:rPr>
          <w:lang w:val="fr-FR"/>
        </w:rPr>
      </w:pPr>
      <w:r w:rsidRPr="00613F1F">
        <w:rPr>
          <w:lang w:val="fr-FR"/>
        </w:rPr>
        <w:t>Le tableau 8 présente les résultats des ajustements proposés par le Secrétariat au plan d'activités du Japon.</w:t>
      </w:r>
    </w:p>
    <w:p w:rsidR="00613F1F" w:rsidRPr="00613F1F" w:rsidRDefault="00613F1F" w:rsidP="00613F1F">
      <w:pPr>
        <w:pStyle w:val="Heading1"/>
        <w:keepNext/>
        <w:numPr>
          <w:ilvl w:val="0"/>
          <w:numId w:val="0"/>
        </w:numPr>
        <w:spacing w:after="0"/>
        <w:rPr>
          <w:b/>
          <w:lang w:val="fr-FR"/>
        </w:rPr>
      </w:pPr>
      <w:r w:rsidRPr="00613F1F">
        <w:rPr>
          <w:b/>
          <w:lang w:val="fr-FR"/>
        </w:rPr>
        <w:t>Tableau 8. Résultats des ajustements apportés au plan d'activités du Japon</w:t>
      </w:r>
      <w:r w:rsidRPr="00613F1F">
        <w:rPr>
          <w:lang w:val="fr-FR"/>
        </w:rPr>
        <w:t xml:space="preserve"> </w:t>
      </w:r>
      <w:r w:rsidRPr="00613F1F">
        <w:rPr>
          <w:b/>
          <w:lang w:val="fr-FR"/>
        </w:rPr>
        <w:t>($ US)*</w:t>
      </w:r>
    </w:p>
    <w:tbl>
      <w:tblPr>
        <w:tblW w:w="4944" w:type="pct"/>
        <w:tblInd w:w="108" w:type="dxa"/>
        <w:tblLayout w:type="fixed"/>
        <w:tblLook w:val="04A0" w:firstRow="1" w:lastRow="0" w:firstColumn="1" w:lastColumn="0" w:noHBand="0" w:noVBand="1"/>
      </w:tblPr>
      <w:tblGrid>
        <w:gridCol w:w="3082"/>
        <w:gridCol w:w="1490"/>
        <w:gridCol w:w="1492"/>
        <w:gridCol w:w="1492"/>
        <w:gridCol w:w="1913"/>
      </w:tblGrid>
      <w:tr w:rsidR="00613F1F" w:rsidRPr="002A5E38" w:rsidTr="00FC385F">
        <w:trPr>
          <w:trHeight w:val="255"/>
          <w:tblHeader/>
        </w:trPr>
        <w:tc>
          <w:tcPr>
            <w:tcW w:w="1627" w:type="pct"/>
            <w:tcBorders>
              <w:top w:val="single" w:sz="4" w:space="0" w:color="auto"/>
              <w:left w:val="single" w:sz="4" w:space="0" w:color="auto"/>
              <w:bottom w:val="single" w:sz="4" w:space="0" w:color="auto"/>
              <w:right w:val="single" w:sz="4" w:space="0" w:color="auto"/>
            </w:tcBorders>
            <w:shd w:val="clear" w:color="auto" w:fill="auto"/>
            <w:noWrap/>
            <w:hideMark/>
          </w:tcPr>
          <w:p w:rsidR="00613F1F" w:rsidRPr="002A5E38" w:rsidRDefault="00613F1F" w:rsidP="003148B6">
            <w:pPr>
              <w:jc w:val="left"/>
              <w:rPr>
                <w:b/>
                <w:bCs/>
                <w:sz w:val="21"/>
                <w:szCs w:val="21"/>
              </w:rPr>
            </w:pPr>
            <w:r>
              <w:rPr>
                <w:b/>
                <w:bCs/>
                <w:sz w:val="21"/>
                <w:szCs w:val="21"/>
              </w:rPr>
              <w:t>Poste</w:t>
            </w:r>
          </w:p>
        </w:tc>
        <w:tc>
          <w:tcPr>
            <w:tcW w:w="787" w:type="pct"/>
            <w:tcBorders>
              <w:top w:val="single" w:sz="4" w:space="0" w:color="auto"/>
              <w:left w:val="nil"/>
              <w:bottom w:val="single" w:sz="4" w:space="0" w:color="auto"/>
              <w:right w:val="single" w:sz="4" w:space="0" w:color="auto"/>
            </w:tcBorders>
            <w:shd w:val="clear" w:color="auto" w:fill="auto"/>
            <w:noWrap/>
            <w:hideMark/>
          </w:tcPr>
          <w:p w:rsidR="00613F1F" w:rsidRPr="002A5E38" w:rsidRDefault="00613F1F" w:rsidP="003148B6">
            <w:pPr>
              <w:jc w:val="center"/>
              <w:rPr>
                <w:b/>
                <w:bCs/>
                <w:sz w:val="21"/>
                <w:szCs w:val="21"/>
              </w:rPr>
            </w:pPr>
            <w:r>
              <w:rPr>
                <w:b/>
                <w:bCs/>
                <w:sz w:val="21"/>
                <w:szCs w:val="21"/>
              </w:rPr>
              <w:t>2020</w:t>
            </w:r>
          </w:p>
        </w:tc>
        <w:tc>
          <w:tcPr>
            <w:tcW w:w="788" w:type="pct"/>
            <w:tcBorders>
              <w:top w:val="single" w:sz="4" w:space="0" w:color="auto"/>
              <w:left w:val="nil"/>
              <w:bottom w:val="single" w:sz="4" w:space="0" w:color="auto"/>
              <w:right w:val="single" w:sz="4" w:space="0" w:color="auto"/>
            </w:tcBorders>
            <w:shd w:val="clear" w:color="auto" w:fill="auto"/>
            <w:noWrap/>
            <w:hideMark/>
          </w:tcPr>
          <w:p w:rsidR="00613F1F" w:rsidRPr="002A5E38" w:rsidRDefault="00613F1F" w:rsidP="003148B6">
            <w:pPr>
              <w:jc w:val="center"/>
              <w:rPr>
                <w:b/>
                <w:bCs/>
                <w:sz w:val="21"/>
                <w:szCs w:val="21"/>
              </w:rPr>
            </w:pPr>
            <w:r>
              <w:rPr>
                <w:b/>
                <w:bCs/>
                <w:sz w:val="21"/>
                <w:szCs w:val="21"/>
              </w:rPr>
              <w:t>2021</w:t>
            </w:r>
          </w:p>
        </w:tc>
        <w:tc>
          <w:tcPr>
            <w:tcW w:w="788" w:type="pct"/>
            <w:tcBorders>
              <w:top w:val="single" w:sz="4" w:space="0" w:color="auto"/>
              <w:left w:val="nil"/>
              <w:bottom w:val="single" w:sz="4" w:space="0" w:color="auto"/>
              <w:right w:val="single" w:sz="4" w:space="0" w:color="auto"/>
            </w:tcBorders>
            <w:shd w:val="clear" w:color="auto" w:fill="auto"/>
            <w:noWrap/>
            <w:hideMark/>
          </w:tcPr>
          <w:p w:rsidR="00613F1F" w:rsidRPr="002A5E38" w:rsidRDefault="00613F1F" w:rsidP="003148B6">
            <w:pPr>
              <w:jc w:val="center"/>
              <w:rPr>
                <w:b/>
                <w:bCs/>
                <w:sz w:val="21"/>
                <w:szCs w:val="21"/>
              </w:rPr>
            </w:pPr>
            <w:r>
              <w:rPr>
                <w:b/>
                <w:bCs/>
                <w:sz w:val="21"/>
                <w:szCs w:val="21"/>
              </w:rPr>
              <w:t>2022 **</w:t>
            </w:r>
          </w:p>
        </w:tc>
        <w:tc>
          <w:tcPr>
            <w:tcW w:w="1010" w:type="pct"/>
            <w:tcBorders>
              <w:top w:val="single" w:sz="4" w:space="0" w:color="auto"/>
              <w:left w:val="nil"/>
              <w:bottom w:val="single" w:sz="4" w:space="0" w:color="auto"/>
              <w:right w:val="single" w:sz="4" w:space="0" w:color="auto"/>
            </w:tcBorders>
            <w:shd w:val="clear" w:color="auto" w:fill="auto"/>
            <w:noWrap/>
            <w:hideMark/>
          </w:tcPr>
          <w:p w:rsidR="00613F1F" w:rsidRPr="002A5E38" w:rsidRDefault="00613F1F" w:rsidP="003148B6">
            <w:pPr>
              <w:jc w:val="center"/>
              <w:rPr>
                <w:b/>
                <w:bCs/>
                <w:sz w:val="21"/>
                <w:szCs w:val="21"/>
              </w:rPr>
            </w:pPr>
            <w:r>
              <w:rPr>
                <w:b/>
                <w:bCs/>
                <w:sz w:val="21"/>
                <w:szCs w:val="21"/>
              </w:rPr>
              <w:t>Total (2020</w:t>
            </w:r>
            <w:r>
              <w:rPr>
                <w:b/>
                <w:sz w:val="21"/>
                <w:szCs w:val="21"/>
              </w:rPr>
              <w:t>–</w:t>
            </w:r>
            <w:r>
              <w:rPr>
                <w:b/>
                <w:bCs/>
                <w:sz w:val="21"/>
                <w:szCs w:val="21"/>
              </w:rPr>
              <w:t>2022)</w:t>
            </w:r>
          </w:p>
        </w:tc>
      </w:tr>
      <w:tr w:rsidR="00613F1F" w:rsidRPr="002A5E38" w:rsidTr="00FC385F">
        <w:trPr>
          <w:trHeight w:val="255"/>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Pr>
          <w:p w:rsidR="00613F1F" w:rsidRPr="002A5E38" w:rsidRDefault="00613F1F" w:rsidP="003148B6">
            <w:pPr>
              <w:jc w:val="left"/>
              <w:rPr>
                <w:b/>
                <w:bCs/>
                <w:sz w:val="21"/>
                <w:szCs w:val="21"/>
              </w:rPr>
            </w:pPr>
            <w:r>
              <w:rPr>
                <w:b/>
                <w:bCs/>
                <w:sz w:val="20"/>
                <w:szCs w:val="20"/>
              </w:rPr>
              <w:t>Activités des PGEH</w:t>
            </w:r>
          </w:p>
        </w:tc>
      </w:tr>
      <w:tr w:rsidR="00613F1F" w:rsidRPr="002A5E38" w:rsidTr="00FC385F">
        <w:trPr>
          <w:trHeight w:val="255"/>
        </w:trPr>
        <w:tc>
          <w:tcPr>
            <w:tcW w:w="1627" w:type="pct"/>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jc w:val="left"/>
              <w:rPr>
                <w:sz w:val="21"/>
                <w:szCs w:val="21"/>
              </w:rPr>
            </w:pPr>
            <w:r>
              <w:rPr>
                <w:sz w:val="21"/>
                <w:szCs w:val="21"/>
              </w:rPr>
              <w:t>PGEH approuvés</w:t>
            </w:r>
          </w:p>
        </w:tc>
        <w:tc>
          <w:tcPr>
            <w:tcW w:w="787" w:type="pct"/>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210 632</w:t>
            </w:r>
          </w:p>
        </w:tc>
        <w:tc>
          <w:tcPr>
            <w:tcW w:w="788" w:type="pct"/>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0</w:t>
            </w:r>
          </w:p>
        </w:tc>
        <w:tc>
          <w:tcPr>
            <w:tcW w:w="788" w:type="pct"/>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0</w:t>
            </w:r>
          </w:p>
        </w:tc>
        <w:tc>
          <w:tcPr>
            <w:tcW w:w="1010" w:type="pct"/>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210 632</w:t>
            </w:r>
          </w:p>
        </w:tc>
      </w:tr>
      <w:tr w:rsidR="00613F1F" w:rsidRPr="002A5E38" w:rsidTr="00FC385F">
        <w:trPr>
          <w:trHeight w:val="255"/>
        </w:trPr>
        <w:tc>
          <w:tcPr>
            <w:tcW w:w="1627" w:type="pct"/>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jc w:val="left"/>
              <w:rPr>
                <w:b/>
                <w:bCs/>
                <w:sz w:val="21"/>
                <w:szCs w:val="21"/>
              </w:rPr>
            </w:pPr>
            <w:r>
              <w:rPr>
                <w:b/>
                <w:bCs/>
                <w:sz w:val="21"/>
                <w:szCs w:val="21"/>
              </w:rPr>
              <w:t>Total</w:t>
            </w:r>
          </w:p>
        </w:tc>
        <w:tc>
          <w:tcPr>
            <w:tcW w:w="787" w:type="pct"/>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210 632</w:t>
            </w:r>
          </w:p>
        </w:tc>
        <w:tc>
          <w:tcPr>
            <w:tcW w:w="788" w:type="pct"/>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0</w:t>
            </w:r>
          </w:p>
        </w:tc>
        <w:tc>
          <w:tcPr>
            <w:tcW w:w="788" w:type="pct"/>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0</w:t>
            </w:r>
          </w:p>
        </w:tc>
        <w:tc>
          <w:tcPr>
            <w:tcW w:w="1010" w:type="pct"/>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210 632</w:t>
            </w:r>
          </w:p>
        </w:tc>
      </w:tr>
    </w:tbl>
    <w:p w:rsidR="00613F1F" w:rsidRPr="00613F1F" w:rsidRDefault="00613F1F" w:rsidP="00613F1F">
      <w:pPr>
        <w:rPr>
          <w:sz w:val="18"/>
          <w:szCs w:val="18"/>
          <w:lang w:val="fr-FR"/>
        </w:rPr>
      </w:pPr>
      <w:r w:rsidRPr="00613F1F">
        <w:rPr>
          <w:sz w:val="18"/>
          <w:szCs w:val="18"/>
          <w:lang w:val="fr-FR"/>
        </w:rPr>
        <w:t>* Y compris les coûts d'appui d'agence.</w:t>
      </w:r>
    </w:p>
    <w:p w:rsidR="00613F1F" w:rsidRPr="00613F1F" w:rsidRDefault="00613F1F" w:rsidP="00613F1F">
      <w:pPr>
        <w:jc w:val="left"/>
        <w:rPr>
          <w:sz w:val="18"/>
          <w:szCs w:val="18"/>
          <w:lang w:val="fr-FR"/>
        </w:rPr>
      </w:pPr>
    </w:p>
    <w:p w:rsidR="00613F1F" w:rsidRPr="00613F1F" w:rsidRDefault="00613F1F" w:rsidP="00613F1F">
      <w:pPr>
        <w:keepNext/>
        <w:keepLines/>
        <w:rPr>
          <w:rFonts w:ascii="Times New Roman Bold" w:hAnsi="Times New Roman Bold"/>
          <w:b/>
          <w:lang w:val="fr-FR"/>
        </w:rPr>
      </w:pPr>
      <w:r w:rsidRPr="00613F1F">
        <w:rPr>
          <w:rFonts w:ascii="Times New Roman Bold" w:hAnsi="Times New Roman Bold"/>
          <w:b/>
          <w:lang w:val="fr-FR"/>
        </w:rPr>
        <w:t>Ajustements aux plans d'activités des agences bilatérales pour 2020</w:t>
      </w:r>
      <w:r w:rsidRPr="00613F1F">
        <w:rPr>
          <w:b/>
          <w:lang w:val="fr-FR"/>
        </w:rPr>
        <w:t>–</w:t>
      </w:r>
      <w:r w:rsidRPr="00613F1F">
        <w:rPr>
          <w:rFonts w:ascii="Times New Roman Bold" w:hAnsi="Times New Roman Bold"/>
          <w:b/>
          <w:lang w:val="fr-FR"/>
        </w:rPr>
        <w:t>2022</w:t>
      </w:r>
    </w:p>
    <w:p w:rsidR="00613F1F" w:rsidRPr="00613F1F" w:rsidRDefault="00613F1F" w:rsidP="00613F1F">
      <w:pPr>
        <w:pStyle w:val="Footer"/>
        <w:keepNext/>
        <w:keepLines/>
        <w:tabs>
          <w:tab w:val="clear" w:pos="4320"/>
          <w:tab w:val="clear" w:pos="8640"/>
          <w:tab w:val="left" w:pos="450"/>
          <w:tab w:val="left" w:pos="709"/>
          <w:tab w:val="left" w:pos="990"/>
          <w:tab w:val="left" w:pos="2160"/>
        </w:tabs>
        <w:rPr>
          <w:lang w:val="fr-FR"/>
        </w:rPr>
      </w:pPr>
    </w:p>
    <w:p w:rsidR="00613F1F" w:rsidRPr="00613F1F" w:rsidRDefault="00613F1F" w:rsidP="00613F1F">
      <w:pPr>
        <w:pStyle w:val="Heading1"/>
        <w:rPr>
          <w:lang w:val="fr-FR"/>
        </w:rPr>
      </w:pPr>
      <w:r w:rsidRPr="00613F1F">
        <w:rPr>
          <w:lang w:val="fr-FR"/>
        </w:rPr>
        <w:t xml:space="preserve">Les ajustements proposés ci-dessus étant faits, la valeur totale des plans d'activités des agences bilatérales pour </w:t>
      </w:r>
      <w:r w:rsidRPr="00613F1F">
        <w:rPr>
          <w:caps/>
          <w:szCs w:val="24"/>
          <w:lang w:val="fr-FR"/>
        </w:rPr>
        <w:t>2020</w:t>
      </w:r>
      <w:r w:rsidRPr="00613F1F">
        <w:rPr>
          <w:lang w:val="fr-FR"/>
        </w:rPr>
        <w:t>–2022</w:t>
      </w:r>
      <w:r w:rsidRPr="00613F1F">
        <w:rPr>
          <w:caps/>
          <w:szCs w:val="24"/>
          <w:lang w:val="fr-FR"/>
        </w:rPr>
        <w:t xml:space="preserve"> </w:t>
      </w:r>
      <w:r w:rsidRPr="00613F1F">
        <w:rPr>
          <w:lang w:val="fr-FR"/>
        </w:rPr>
        <w:t>s'élève à 9 471 121 $ US, comme indiqué au tableau 9. Ces ajustements ont été reportés dans le plan d'activités consolidé du Fonds multilatéral pour 2020–2022.</w:t>
      </w:r>
      <w:r w:rsidRPr="002A5E38">
        <w:rPr>
          <w:rStyle w:val="FootnoteReference"/>
          <w:lang w:val="en-CA"/>
        </w:rPr>
        <w:footnoteReference w:id="3"/>
      </w:r>
    </w:p>
    <w:p w:rsidR="00D06D2C" w:rsidRDefault="00D06D2C">
      <w:pPr>
        <w:jc w:val="left"/>
        <w:rPr>
          <w:b/>
          <w:lang w:val="fr-FR"/>
        </w:rPr>
      </w:pPr>
      <w:r>
        <w:rPr>
          <w:b/>
          <w:lang w:val="fr-FR"/>
        </w:rPr>
        <w:br w:type="page"/>
      </w:r>
    </w:p>
    <w:p w:rsidR="00613F1F" w:rsidRPr="00613F1F" w:rsidRDefault="00613F1F" w:rsidP="00613F1F">
      <w:pPr>
        <w:pStyle w:val="Heading1"/>
        <w:keepNext/>
        <w:numPr>
          <w:ilvl w:val="0"/>
          <w:numId w:val="0"/>
        </w:numPr>
        <w:spacing w:after="0"/>
        <w:rPr>
          <w:b/>
          <w:lang w:val="fr-FR"/>
        </w:rPr>
      </w:pPr>
      <w:r w:rsidRPr="00613F1F">
        <w:rPr>
          <w:b/>
          <w:lang w:val="fr-FR"/>
        </w:rPr>
        <w:lastRenderedPageBreak/>
        <w:t xml:space="preserve">Tableau 9. Répartition des ressources prévues par les plans d'activités ajustés des agences bilatérales pour </w:t>
      </w:r>
      <w:r w:rsidRPr="00613F1F">
        <w:rPr>
          <w:b/>
          <w:caps/>
          <w:szCs w:val="24"/>
          <w:lang w:val="fr-FR"/>
        </w:rPr>
        <w:t>2020</w:t>
      </w:r>
      <w:r w:rsidRPr="00613F1F">
        <w:rPr>
          <w:b/>
          <w:szCs w:val="24"/>
          <w:lang w:val="fr-FR"/>
        </w:rPr>
        <w:t>–2022</w:t>
      </w:r>
      <w:r w:rsidRPr="00613F1F">
        <w:rPr>
          <w:b/>
          <w:lang w:val="fr-FR"/>
        </w:rPr>
        <w:t xml:space="preserve"> ($ US)*</w:t>
      </w:r>
    </w:p>
    <w:tbl>
      <w:tblPr>
        <w:tblW w:w="9356" w:type="dxa"/>
        <w:tblInd w:w="108" w:type="dxa"/>
        <w:tblLayout w:type="fixed"/>
        <w:tblLook w:val="04A0" w:firstRow="1" w:lastRow="0" w:firstColumn="1" w:lastColumn="0" w:noHBand="0" w:noVBand="1"/>
      </w:tblPr>
      <w:tblGrid>
        <w:gridCol w:w="2297"/>
        <w:gridCol w:w="1323"/>
        <w:gridCol w:w="1323"/>
        <w:gridCol w:w="1323"/>
        <w:gridCol w:w="1418"/>
        <w:gridCol w:w="1672"/>
      </w:tblGrid>
      <w:tr w:rsidR="00613F1F" w:rsidRPr="002A5E38" w:rsidTr="00FC385F">
        <w:trPr>
          <w:trHeight w:val="287"/>
        </w:trPr>
        <w:tc>
          <w:tcPr>
            <w:tcW w:w="22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3F1F" w:rsidRPr="00613F1F" w:rsidRDefault="00613F1F" w:rsidP="003148B6">
            <w:pPr>
              <w:jc w:val="left"/>
              <w:rPr>
                <w:b/>
                <w:bCs/>
                <w:sz w:val="21"/>
                <w:szCs w:val="21"/>
                <w:lang w:val="fr-FR"/>
              </w:rPr>
            </w:pPr>
            <w:r w:rsidRPr="00613F1F">
              <w:rPr>
                <w:b/>
                <w:bCs/>
                <w:sz w:val="21"/>
                <w:szCs w:val="21"/>
                <w:lang w:val="fr-FR"/>
              </w:rPr>
              <w:t> </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2020</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2021</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2022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Total</w:t>
            </w:r>
          </w:p>
          <w:p w:rsidR="00613F1F" w:rsidRPr="002A5E38" w:rsidRDefault="00613F1F" w:rsidP="003148B6">
            <w:pPr>
              <w:jc w:val="center"/>
              <w:rPr>
                <w:b/>
                <w:bCs/>
                <w:sz w:val="21"/>
                <w:szCs w:val="21"/>
              </w:rPr>
            </w:pPr>
            <w:r>
              <w:rPr>
                <w:b/>
                <w:bCs/>
                <w:sz w:val="21"/>
                <w:szCs w:val="21"/>
              </w:rPr>
              <w:t>(2020–2022)</w:t>
            </w:r>
          </w:p>
        </w:tc>
        <w:tc>
          <w:tcPr>
            <w:tcW w:w="1672" w:type="dxa"/>
            <w:tcBorders>
              <w:top w:val="single" w:sz="4" w:space="0" w:color="auto"/>
              <w:left w:val="nil"/>
              <w:bottom w:val="single" w:sz="4" w:space="0" w:color="auto"/>
              <w:right w:val="single" w:sz="4" w:space="0" w:color="auto"/>
            </w:tcBorders>
            <w:shd w:val="clear" w:color="auto" w:fill="auto"/>
            <w:vAlign w:val="center"/>
            <w:hideMark/>
          </w:tcPr>
          <w:p w:rsidR="00613F1F" w:rsidRPr="002A5E38" w:rsidRDefault="00613F1F" w:rsidP="003148B6">
            <w:pPr>
              <w:jc w:val="center"/>
              <w:rPr>
                <w:b/>
                <w:bCs/>
                <w:sz w:val="21"/>
                <w:szCs w:val="21"/>
              </w:rPr>
            </w:pPr>
            <w:r>
              <w:rPr>
                <w:b/>
                <w:bCs/>
                <w:sz w:val="21"/>
                <w:szCs w:val="21"/>
              </w:rPr>
              <w:t>Total après 2022</w:t>
            </w:r>
          </w:p>
        </w:tc>
      </w:tr>
      <w:tr w:rsidR="00613F1F" w:rsidRPr="002A5E38" w:rsidTr="00FC385F">
        <w:trPr>
          <w:trHeight w:val="264"/>
        </w:trPr>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jc w:val="left"/>
              <w:rPr>
                <w:b/>
                <w:bCs/>
                <w:sz w:val="21"/>
                <w:szCs w:val="21"/>
              </w:rPr>
            </w:pPr>
            <w:r>
              <w:rPr>
                <w:b/>
                <w:bCs/>
                <w:sz w:val="20"/>
                <w:szCs w:val="20"/>
              </w:rPr>
              <w:t>Activités des PGEH</w:t>
            </w:r>
          </w:p>
        </w:tc>
      </w:tr>
      <w:tr w:rsidR="00613F1F" w:rsidRPr="002A5E38" w:rsidTr="00FC385F">
        <w:trPr>
          <w:trHeight w:val="264"/>
        </w:trPr>
        <w:tc>
          <w:tcPr>
            <w:tcW w:w="2297" w:type="dxa"/>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jc w:val="left"/>
              <w:rPr>
                <w:sz w:val="21"/>
                <w:szCs w:val="21"/>
              </w:rPr>
            </w:pPr>
            <w:r>
              <w:rPr>
                <w:sz w:val="21"/>
                <w:szCs w:val="21"/>
              </w:rPr>
              <w:t>PGEH approuvés</w:t>
            </w:r>
          </w:p>
        </w:tc>
        <w:tc>
          <w:tcPr>
            <w:tcW w:w="132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4 730 583</w:t>
            </w:r>
          </w:p>
        </w:tc>
        <w:tc>
          <w:tcPr>
            <w:tcW w:w="132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2 854 650</w:t>
            </w:r>
          </w:p>
        </w:tc>
        <w:tc>
          <w:tcPr>
            <w:tcW w:w="132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1 503 388</w:t>
            </w:r>
          </w:p>
        </w:tc>
        <w:tc>
          <w:tcPr>
            <w:tcW w:w="1418"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9 088 621</w:t>
            </w:r>
          </w:p>
        </w:tc>
        <w:tc>
          <w:tcPr>
            <w:tcW w:w="1672"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2 516 375</w:t>
            </w:r>
          </w:p>
        </w:tc>
      </w:tr>
      <w:tr w:rsidR="00613F1F" w:rsidRPr="002A5E38" w:rsidTr="00FC385F">
        <w:trPr>
          <w:trHeight w:val="264"/>
        </w:trPr>
        <w:tc>
          <w:tcPr>
            <w:tcW w:w="2297" w:type="dxa"/>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jc w:val="left"/>
              <w:rPr>
                <w:sz w:val="21"/>
                <w:szCs w:val="21"/>
              </w:rPr>
            </w:pPr>
            <w:r>
              <w:rPr>
                <w:sz w:val="21"/>
                <w:szCs w:val="21"/>
              </w:rPr>
              <w:t xml:space="preserve">PGEH - phase II </w:t>
            </w:r>
          </w:p>
        </w:tc>
        <w:tc>
          <w:tcPr>
            <w:tcW w:w="132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282 500</w:t>
            </w:r>
          </w:p>
        </w:tc>
        <w:tc>
          <w:tcPr>
            <w:tcW w:w="132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100 000</w:t>
            </w:r>
          </w:p>
        </w:tc>
        <w:tc>
          <w:tcPr>
            <w:tcW w:w="132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p>
        </w:tc>
        <w:tc>
          <w:tcPr>
            <w:tcW w:w="1418"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382 500</w:t>
            </w:r>
          </w:p>
        </w:tc>
        <w:tc>
          <w:tcPr>
            <w:tcW w:w="1672"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sz w:val="21"/>
                <w:szCs w:val="21"/>
              </w:rPr>
            </w:pPr>
            <w:r>
              <w:rPr>
                <w:sz w:val="21"/>
                <w:szCs w:val="21"/>
              </w:rPr>
              <w:t>442 500</w:t>
            </w:r>
          </w:p>
        </w:tc>
      </w:tr>
      <w:tr w:rsidR="00613F1F" w:rsidRPr="002A5E38" w:rsidTr="00FC385F">
        <w:trPr>
          <w:trHeight w:val="264"/>
        </w:trPr>
        <w:tc>
          <w:tcPr>
            <w:tcW w:w="2297" w:type="dxa"/>
            <w:tcBorders>
              <w:top w:val="nil"/>
              <w:left w:val="single" w:sz="4" w:space="0" w:color="auto"/>
              <w:bottom w:val="single" w:sz="4" w:space="0" w:color="auto"/>
              <w:right w:val="single" w:sz="4" w:space="0" w:color="auto"/>
            </w:tcBorders>
            <w:shd w:val="clear" w:color="auto" w:fill="auto"/>
            <w:noWrap/>
            <w:vAlign w:val="center"/>
            <w:hideMark/>
          </w:tcPr>
          <w:p w:rsidR="00613F1F" w:rsidRPr="002A5E38" w:rsidRDefault="00613F1F" w:rsidP="003148B6">
            <w:pPr>
              <w:jc w:val="left"/>
              <w:rPr>
                <w:b/>
                <w:bCs/>
                <w:sz w:val="21"/>
                <w:szCs w:val="21"/>
              </w:rPr>
            </w:pPr>
            <w:r>
              <w:rPr>
                <w:b/>
                <w:bCs/>
                <w:sz w:val="21"/>
                <w:szCs w:val="21"/>
              </w:rPr>
              <w:t>Total</w:t>
            </w:r>
          </w:p>
        </w:tc>
        <w:tc>
          <w:tcPr>
            <w:tcW w:w="132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5 013 083</w:t>
            </w:r>
          </w:p>
        </w:tc>
        <w:tc>
          <w:tcPr>
            <w:tcW w:w="132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2 954 650</w:t>
            </w:r>
          </w:p>
        </w:tc>
        <w:tc>
          <w:tcPr>
            <w:tcW w:w="1323"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1 503 388</w:t>
            </w:r>
          </w:p>
        </w:tc>
        <w:tc>
          <w:tcPr>
            <w:tcW w:w="1418"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9 471 121</w:t>
            </w:r>
          </w:p>
        </w:tc>
        <w:tc>
          <w:tcPr>
            <w:tcW w:w="1672" w:type="dxa"/>
            <w:tcBorders>
              <w:top w:val="nil"/>
              <w:left w:val="nil"/>
              <w:bottom w:val="single" w:sz="4" w:space="0" w:color="auto"/>
              <w:right w:val="single" w:sz="4" w:space="0" w:color="auto"/>
            </w:tcBorders>
            <w:shd w:val="clear" w:color="auto" w:fill="auto"/>
            <w:noWrap/>
            <w:vAlign w:val="center"/>
          </w:tcPr>
          <w:p w:rsidR="00613F1F" w:rsidRPr="002A5E38" w:rsidRDefault="00613F1F" w:rsidP="003148B6">
            <w:pPr>
              <w:jc w:val="center"/>
              <w:rPr>
                <w:b/>
                <w:sz w:val="21"/>
                <w:szCs w:val="21"/>
              </w:rPr>
            </w:pPr>
            <w:r>
              <w:rPr>
                <w:b/>
                <w:sz w:val="21"/>
                <w:szCs w:val="21"/>
              </w:rPr>
              <w:t>2 958 875</w:t>
            </w:r>
          </w:p>
        </w:tc>
      </w:tr>
    </w:tbl>
    <w:p w:rsidR="00613F1F" w:rsidRPr="00613F1F" w:rsidRDefault="00613F1F" w:rsidP="00613F1F">
      <w:pPr>
        <w:rPr>
          <w:sz w:val="18"/>
          <w:szCs w:val="18"/>
          <w:lang w:val="fr-FR"/>
        </w:rPr>
      </w:pPr>
      <w:r w:rsidRPr="00613F1F">
        <w:rPr>
          <w:sz w:val="18"/>
          <w:szCs w:val="18"/>
          <w:lang w:val="fr-FR"/>
        </w:rPr>
        <w:t>* Y compris les coûts d'appui d'agence.</w:t>
      </w:r>
    </w:p>
    <w:p w:rsidR="00613F1F" w:rsidRPr="00613F1F" w:rsidRDefault="00613F1F" w:rsidP="00613F1F">
      <w:pPr>
        <w:rPr>
          <w:lang w:val="fr-FR"/>
        </w:rPr>
      </w:pPr>
    </w:p>
    <w:p w:rsidR="00613F1F" w:rsidRPr="002A5E38" w:rsidRDefault="00613F1F" w:rsidP="00613F1F">
      <w:pPr>
        <w:pStyle w:val="Heading1"/>
        <w:keepNext/>
        <w:keepLines/>
        <w:numPr>
          <w:ilvl w:val="0"/>
          <w:numId w:val="0"/>
        </w:numPr>
        <w:rPr>
          <w:b/>
          <w:bCs/>
        </w:rPr>
      </w:pPr>
      <w:r>
        <w:rPr>
          <w:b/>
          <w:bCs/>
        </w:rPr>
        <w:t>RECOMMANDATION</w:t>
      </w:r>
    </w:p>
    <w:p w:rsidR="00613F1F" w:rsidRPr="00613F1F" w:rsidRDefault="00613F1F" w:rsidP="00613F1F">
      <w:pPr>
        <w:pStyle w:val="Heading1"/>
        <w:keepNext/>
        <w:keepLines/>
        <w:rPr>
          <w:lang w:val="fr-FR"/>
        </w:rPr>
      </w:pPr>
      <w:r w:rsidRPr="00613F1F">
        <w:rPr>
          <w:lang w:val="fr-FR"/>
        </w:rPr>
        <w:t>Le Comité exécutif pourrait souhaiter :</w:t>
      </w:r>
    </w:p>
    <w:p w:rsidR="00613F1F" w:rsidRPr="00613F1F" w:rsidRDefault="00D1395E" w:rsidP="00613F1F">
      <w:pPr>
        <w:pStyle w:val="Heading2"/>
        <w:keepNext/>
        <w:keepLines/>
        <w:numPr>
          <w:ilvl w:val="1"/>
          <w:numId w:val="1"/>
        </w:numPr>
        <w:rPr>
          <w:lang w:val="fr-FR"/>
        </w:rPr>
      </w:pPr>
      <w:r>
        <w:rPr>
          <w:lang w:val="fr-FR"/>
        </w:rPr>
        <w:t>P</w:t>
      </w:r>
      <w:r w:rsidR="00613F1F" w:rsidRPr="00613F1F">
        <w:rPr>
          <w:lang w:val="fr-FR"/>
        </w:rPr>
        <w:t xml:space="preserve">rendre note des plans d'activités des agences bilatérales pour </w:t>
      </w:r>
      <w:r w:rsidR="00613F1F" w:rsidRPr="00613F1F">
        <w:rPr>
          <w:caps/>
          <w:szCs w:val="24"/>
          <w:lang w:val="fr-FR"/>
        </w:rPr>
        <w:t>20</w:t>
      </w:r>
      <w:r w:rsidR="00613F1F" w:rsidRPr="00613F1F">
        <w:rPr>
          <w:lang w:val="fr-FR"/>
        </w:rPr>
        <w:t>20–2022</w:t>
      </w:r>
      <w:r w:rsidR="00613F1F" w:rsidRPr="00613F1F">
        <w:rPr>
          <w:caps/>
          <w:szCs w:val="24"/>
          <w:lang w:val="fr-FR"/>
        </w:rPr>
        <w:t xml:space="preserve"> </w:t>
      </w:r>
      <w:r w:rsidR="00613F1F" w:rsidRPr="00613F1F">
        <w:rPr>
          <w:lang w:val="fr-FR"/>
        </w:rPr>
        <w:t>soumis par les gouvernements de l’Australie et de l’Allemagn</w:t>
      </w:r>
      <w:r w:rsidR="00FC385F">
        <w:rPr>
          <w:lang w:val="fr-FR"/>
        </w:rPr>
        <w:t>e et présentés dans le document </w:t>
      </w:r>
      <w:r w:rsidR="00613F1F" w:rsidRPr="00613F1F">
        <w:rPr>
          <w:lang w:val="fr-FR"/>
        </w:rPr>
        <w:t xml:space="preserve">UNEP/OzL.Pro/ExCom/84/27 ; et </w:t>
      </w:r>
    </w:p>
    <w:p w:rsidR="00613F1F" w:rsidRPr="00613F1F" w:rsidRDefault="00D1395E" w:rsidP="00613F1F">
      <w:pPr>
        <w:pStyle w:val="Heading2"/>
        <w:numPr>
          <w:ilvl w:val="1"/>
          <w:numId w:val="1"/>
        </w:numPr>
        <w:rPr>
          <w:lang w:val="fr-FR"/>
        </w:rPr>
      </w:pPr>
      <w:r>
        <w:rPr>
          <w:lang w:val="fr-FR"/>
        </w:rPr>
        <w:t>P</w:t>
      </w:r>
      <w:r w:rsidR="00613F1F" w:rsidRPr="00613F1F">
        <w:rPr>
          <w:lang w:val="fr-FR"/>
        </w:rPr>
        <w:t>rendre note du fait que le plan d’activités de l’Allemagne pour 2020–2022 devrait être reconsidéré à la lumière de l’allocation des activités bilatérales pour la période triennale 2018–2020.</w:t>
      </w:r>
    </w:p>
    <w:p w:rsidR="00613F1F" w:rsidRPr="00613F1F" w:rsidRDefault="00613F1F" w:rsidP="00613F1F">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13F1F" w:rsidRPr="00D06D2C" w:rsidTr="003148B6">
        <w:tc>
          <w:tcPr>
            <w:tcW w:w="1871" w:type="dxa"/>
          </w:tcPr>
          <w:p w:rsidR="00613F1F" w:rsidRPr="00613F1F" w:rsidRDefault="00613F1F" w:rsidP="003148B6">
            <w:pPr>
              <w:tabs>
                <w:tab w:val="left" w:pos="8280"/>
              </w:tabs>
              <w:rPr>
                <w:lang w:val="fr-FR"/>
              </w:rPr>
            </w:pPr>
          </w:p>
        </w:tc>
        <w:tc>
          <w:tcPr>
            <w:tcW w:w="1872" w:type="dxa"/>
          </w:tcPr>
          <w:p w:rsidR="00613F1F" w:rsidRPr="00613F1F" w:rsidRDefault="00613F1F" w:rsidP="003148B6">
            <w:pPr>
              <w:tabs>
                <w:tab w:val="left" w:pos="8280"/>
              </w:tabs>
              <w:rPr>
                <w:lang w:val="fr-FR"/>
              </w:rPr>
            </w:pPr>
          </w:p>
        </w:tc>
        <w:tc>
          <w:tcPr>
            <w:tcW w:w="1872" w:type="dxa"/>
            <w:tcBorders>
              <w:bottom w:val="single" w:sz="4" w:space="0" w:color="auto"/>
            </w:tcBorders>
          </w:tcPr>
          <w:p w:rsidR="00613F1F" w:rsidRPr="00613F1F" w:rsidRDefault="00613F1F" w:rsidP="003148B6">
            <w:pPr>
              <w:tabs>
                <w:tab w:val="left" w:pos="8280"/>
              </w:tabs>
              <w:rPr>
                <w:lang w:val="fr-FR"/>
              </w:rPr>
            </w:pPr>
          </w:p>
        </w:tc>
        <w:tc>
          <w:tcPr>
            <w:tcW w:w="1872" w:type="dxa"/>
          </w:tcPr>
          <w:p w:rsidR="00613F1F" w:rsidRPr="00613F1F" w:rsidRDefault="00613F1F" w:rsidP="003148B6">
            <w:pPr>
              <w:tabs>
                <w:tab w:val="left" w:pos="8280"/>
              </w:tabs>
              <w:rPr>
                <w:lang w:val="fr-FR"/>
              </w:rPr>
            </w:pPr>
          </w:p>
        </w:tc>
        <w:tc>
          <w:tcPr>
            <w:tcW w:w="1873" w:type="dxa"/>
          </w:tcPr>
          <w:p w:rsidR="00613F1F" w:rsidRPr="00613F1F" w:rsidRDefault="00613F1F" w:rsidP="003148B6">
            <w:pPr>
              <w:tabs>
                <w:tab w:val="left" w:pos="8280"/>
              </w:tabs>
              <w:rPr>
                <w:lang w:val="fr-FR"/>
              </w:rPr>
            </w:pPr>
          </w:p>
        </w:tc>
      </w:tr>
    </w:tbl>
    <w:p w:rsidR="00441083" w:rsidRDefault="00441083" w:rsidP="00504C9B">
      <w:pPr>
        <w:pStyle w:val="StyleHeader4Para4Left0Firstline0"/>
        <w:numPr>
          <w:ilvl w:val="0"/>
          <w:numId w:val="0"/>
        </w:num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41083" w:rsidRDefault="00441083" w:rsidP="00882E97">
      <w:pPr>
        <w:rPr>
          <w:lang w:val="fr-FR"/>
        </w:rPr>
      </w:pPr>
    </w:p>
    <w:sectPr w:rsidR="00441083" w:rsidSect="009E31C6">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017" w:rsidRDefault="00097017">
      <w:r>
        <w:separator/>
      </w:r>
    </w:p>
  </w:endnote>
  <w:endnote w:type="continuationSeparator" w:id="0">
    <w:p w:rsidR="00097017" w:rsidRDefault="00097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Times New Roman Bold">
    <w:altName w:val="Times New Roman"/>
    <w:panose1 w:val="02020803070505020304"/>
    <w:charset w:val="00"/>
    <w:family w:val="auto"/>
    <w:pitch w:val="variable"/>
    <w:sig w:usb0="E0002AFF" w:usb1="C0007841"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2D20DE">
    <w:pPr>
      <w:jc w:val="center"/>
    </w:pPr>
    <w:r>
      <w:fldChar w:fldCharType="begin"/>
    </w:r>
    <w:r w:rsidR="00E60D9C">
      <w:instrText xml:space="preserve"> PAGE </w:instrText>
    </w:r>
    <w:r>
      <w:fldChar w:fldCharType="separate"/>
    </w:r>
    <w:r w:rsidR="00B321AF">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2D20DE">
    <w:pPr>
      <w:jc w:val="center"/>
    </w:pPr>
    <w:r>
      <w:fldChar w:fldCharType="begin"/>
    </w:r>
    <w:r w:rsidR="00E60D9C">
      <w:instrText xml:space="preserve"> PAGE </w:instrText>
    </w:r>
    <w:r>
      <w:fldChar w:fldCharType="separate"/>
    </w:r>
    <w:r w:rsidR="00B321AF">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441083">
    <w:pPr>
      <w:pStyle w:val="Footer"/>
      <w:jc w:val="center"/>
    </w:pPr>
  </w:p>
  <w:p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017" w:rsidRDefault="00097017">
      <w:r>
        <w:separator/>
      </w:r>
    </w:p>
  </w:footnote>
  <w:footnote w:type="continuationSeparator" w:id="0">
    <w:p w:rsidR="00097017" w:rsidRDefault="00097017">
      <w:r>
        <w:continuationSeparator/>
      </w:r>
    </w:p>
  </w:footnote>
  <w:footnote w:id="1">
    <w:p w:rsidR="00613F1F" w:rsidRDefault="00613F1F" w:rsidP="00613F1F">
      <w:pPr>
        <w:pStyle w:val="FootnoteText"/>
      </w:pPr>
      <w:r>
        <w:rPr>
          <w:rStyle w:val="FootnoteReference"/>
        </w:rPr>
        <w:footnoteRef/>
      </w:r>
      <w:r>
        <w:t xml:space="preserve"> La coopération bilatérale peut être considérée comme une contribution au Fonds multilatéral si sa valeur ne dépasse pas 20 % des contributions annuelles annoncées au Fonds par le pays en question. Le Comité exécutif a décidé d’autoriser une certaine souplesse pour les années durant lesquelles des projets bilatéraux peuvent être crédités, à condition que les agences bilatérales présentent leurs programmes de travail suffisamment tôt en début d’année pour être examinés lors des délibérations sur les plans d'activités à la première réunion annuelle du Comité (décision 25/13(a)). Les autres Parties non visées à l'Article 5, comme le Canada, la République tchèque, la Finlande, la France, l'État d'Israël, l’Italie, la Polande, le Portugal, la Fédération de Russie, l’Espagne, la Suède, la Suisse, le Royaume-Uni de Grande-Bretagne et d'Irlande du Nord et les États-Unis d'Amérique n’ont pour l’instant pas soumis de plans d'activités de coopération bilatérale, le montant total des activités bilatérales pourrait donc augmenter s’ils le faisaient.</w:t>
      </w:r>
    </w:p>
    <w:p w:rsidR="00D06D2C" w:rsidRDefault="00D06D2C" w:rsidP="00613F1F">
      <w:pPr>
        <w:pStyle w:val="FootnoteText"/>
      </w:pPr>
    </w:p>
    <w:p w:rsidR="00D06D2C" w:rsidRPr="002245EB" w:rsidRDefault="00D06D2C" w:rsidP="00613F1F">
      <w:pPr>
        <w:pStyle w:val="FootnoteText"/>
      </w:pPr>
    </w:p>
  </w:footnote>
  <w:footnote w:id="2">
    <w:p w:rsidR="00613F1F" w:rsidRDefault="00613F1F" w:rsidP="00613F1F">
      <w:pPr>
        <w:pStyle w:val="FootnoteText"/>
      </w:pPr>
      <w:r>
        <w:rPr>
          <w:rStyle w:val="FootnoteReference"/>
        </w:rPr>
        <w:footnoteRef/>
      </w:r>
      <w:r>
        <w:t xml:space="preserve"> Toutes les activités après 2022 concernent la phase I approuvée des PGEH de Maurice, de la Papouasie-Nouvelle-Guinée et des Seychelles ; la phase II des PGEH du Brésil, de la Chine et du Kenya ; et la nouvelle phase II des PGEH du Lesotho et de la région des PIP.</w:t>
      </w:r>
    </w:p>
    <w:p w:rsidR="00D403A9" w:rsidRPr="009A6EAC" w:rsidRDefault="00D403A9" w:rsidP="00613F1F">
      <w:pPr>
        <w:pStyle w:val="FootnoteText"/>
      </w:pPr>
    </w:p>
  </w:footnote>
  <w:footnote w:id="3">
    <w:p w:rsidR="00613F1F" w:rsidRPr="00DD2D47" w:rsidRDefault="00613F1F" w:rsidP="00613F1F">
      <w:pPr>
        <w:pStyle w:val="FootnoteText"/>
      </w:pPr>
      <w:r>
        <w:rPr>
          <w:rStyle w:val="FootnoteReference"/>
        </w:rPr>
        <w:footnoteRef/>
      </w:r>
      <w:r>
        <w:t xml:space="preserve"> UNEP/OzL.Pro/ExCom/84/26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2D20DE">
    <w:r>
      <w:fldChar w:fldCharType="begin"/>
    </w:r>
    <w:r w:rsidR="00FE431D">
      <w:instrText xml:space="preserve"> DOCPROPERTY "Document number"  \* MERGEFORMAT </w:instrText>
    </w:r>
    <w:r>
      <w:fldChar w:fldCharType="separate"/>
    </w:r>
    <w:r w:rsidR="00882E97">
      <w:t>UNEP/OzL.Pro/ExCom/84/27</w:t>
    </w:r>
    <w:r>
      <w:fldChar w:fldCharType="end"/>
    </w:r>
  </w:p>
  <w:p w:rsidR="00441083" w:rsidRDefault="00441083"/>
  <w:p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2D20DE">
    <w:pPr>
      <w:jc w:val="right"/>
    </w:pPr>
    <w:r>
      <w:fldChar w:fldCharType="begin"/>
    </w:r>
    <w:r w:rsidR="00FE431D">
      <w:instrText xml:space="preserve"> DOCPROPERTY "Document number"  \* MERGEFORMAT </w:instrText>
    </w:r>
    <w:r>
      <w:fldChar w:fldCharType="separate"/>
    </w:r>
    <w:r w:rsidR="00882E97">
      <w:t>UNEP/OzL.Pro/ExCom/84/27</w:t>
    </w:r>
    <w:r>
      <w:fldChar w:fldCharType="end"/>
    </w:r>
  </w:p>
  <w:p w:rsidR="00441083" w:rsidRDefault="00441083"/>
  <w:p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Pr="00882E97" w:rsidRDefault="00441083" w:rsidP="00882E9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13F1F"/>
    <w:rsid w:val="00097017"/>
    <w:rsid w:val="000C2640"/>
    <w:rsid w:val="000F6C8E"/>
    <w:rsid w:val="001873FF"/>
    <w:rsid w:val="001C3D0C"/>
    <w:rsid w:val="001D4CE7"/>
    <w:rsid w:val="00265AF0"/>
    <w:rsid w:val="002D20DE"/>
    <w:rsid w:val="002F0B57"/>
    <w:rsid w:val="0030448B"/>
    <w:rsid w:val="003A0CA4"/>
    <w:rsid w:val="00441083"/>
    <w:rsid w:val="004C2C87"/>
    <w:rsid w:val="004E3A36"/>
    <w:rsid w:val="00504C9B"/>
    <w:rsid w:val="0058245C"/>
    <w:rsid w:val="005B3CAD"/>
    <w:rsid w:val="005C278F"/>
    <w:rsid w:val="00605093"/>
    <w:rsid w:val="00613F1F"/>
    <w:rsid w:val="007034FA"/>
    <w:rsid w:val="0075750B"/>
    <w:rsid w:val="007736E9"/>
    <w:rsid w:val="00882E97"/>
    <w:rsid w:val="0091161A"/>
    <w:rsid w:val="00972E99"/>
    <w:rsid w:val="009A5180"/>
    <w:rsid w:val="009E31C6"/>
    <w:rsid w:val="00A42C3E"/>
    <w:rsid w:val="00AA1472"/>
    <w:rsid w:val="00AC013C"/>
    <w:rsid w:val="00AE63D8"/>
    <w:rsid w:val="00B321AF"/>
    <w:rsid w:val="00B73A61"/>
    <w:rsid w:val="00B811F2"/>
    <w:rsid w:val="00BC3C7D"/>
    <w:rsid w:val="00C35E49"/>
    <w:rsid w:val="00C6443E"/>
    <w:rsid w:val="00D06D2C"/>
    <w:rsid w:val="00D1395E"/>
    <w:rsid w:val="00D403A9"/>
    <w:rsid w:val="00D7654A"/>
    <w:rsid w:val="00DB4E64"/>
    <w:rsid w:val="00DD3433"/>
    <w:rsid w:val="00E348C6"/>
    <w:rsid w:val="00E54871"/>
    <w:rsid w:val="00E60D9C"/>
    <w:rsid w:val="00EB2067"/>
    <w:rsid w:val="00F10DD4"/>
    <w:rsid w:val="00F37A42"/>
    <w:rsid w:val="00F557F5"/>
    <w:rsid w:val="00F95132"/>
    <w:rsid w:val="00FC0D87"/>
    <w:rsid w:val="00FC385F"/>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663049"/>
  <w15:docId w15:val="{968B3AAB-DC10-4A36-96EB-EC0785DD6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1C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9E31C6"/>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9E31C6"/>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9E31C6"/>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9E31C6"/>
    <w:pPr>
      <w:keepNext/>
      <w:numPr>
        <w:ilvl w:val="3"/>
        <w:numId w:val="4"/>
      </w:numPr>
      <w:spacing w:before="240" w:after="60"/>
      <w:outlineLvl w:val="3"/>
    </w:pPr>
  </w:style>
  <w:style w:type="paragraph" w:styleId="Heading5">
    <w:name w:val="heading 5"/>
    <w:basedOn w:val="Normal"/>
    <w:next w:val="Normal"/>
    <w:qFormat/>
    <w:rsid w:val="009E31C6"/>
    <w:pPr>
      <w:keepNext/>
      <w:numPr>
        <w:numId w:val="20"/>
      </w:numPr>
      <w:spacing w:after="240"/>
      <w:ind w:left="3600" w:hanging="720"/>
      <w:outlineLvl w:val="4"/>
    </w:pPr>
  </w:style>
  <w:style w:type="paragraph" w:styleId="Heading6">
    <w:name w:val="heading 6"/>
    <w:basedOn w:val="Normal"/>
    <w:next w:val="Normal"/>
    <w:uiPriority w:val="9"/>
    <w:qFormat/>
    <w:rsid w:val="009E31C6"/>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9E31C6"/>
    <w:pPr>
      <w:numPr>
        <w:ilvl w:val="6"/>
        <w:numId w:val="1"/>
      </w:numPr>
      <w:spacing w:before="240" w:after="60"/>
      <w:outlineLvl w:val="6"/>
    </w:pPr>
    <w:rPr>
      <w:rFonts w:ascii="Arial" w:hAnsi="Arial"/>
    </w:rPr>
  </w:style>
  <w:style w:type="paragraph" w:styleId="Heading8">
    <w:name w:val="heading 8"/>
    <w:basedOn w:val="Normal"/>
    <w:next w:val="Normal"/>
    <w:qFormat/>
    <w:rsid w:val="009E31C6"/>
    <w:pPr>
      <w:outlineLvl w:val="7"/>
    </w:pPr>
    <w:rPr>
      <w:b/>
    </w:rPr>
  </w:style>
  <w:style w:type="paragraph" w:styleId="Heading9">
    <w:name w:val="heading 9"/>
    <w:basedOn w:val="Normal"/>
    <w:next w:val="Normal"/>
    <w:uiPriority w:val="9"/>
    <w:qFormat/>
    <w:rsid w:val="009E31C6"/>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9E31C6"/>
    <w:pPr>
      <w:numPr>
        <w:numId w:val="16"/>
      </w:numPr>
    </w:pPr>
  </w:style>
  <w:style w:type="paragraph" w:styleId="Header">
    <w:name w:val="header"/>
    <w:basedOn w:val="Normal"/>
    <w:rsid w:val="009E31C6"/>
    <w:pPr>
      <w:tabs>
        <w:tab w:val="center" w:pos="4320"/>
        <w:tab w:val="right" w:pos="8640"/>
      </w:tabs>
    </w:pPr>
  </w:style>
  <w:style w:type="paragraph" w:customStyle="1" w:styleId="sub-title">
    <w:name w:val="sub-title"/>
    <w:rsid w:val="009E31C6"/>
    <w:pPr>
      <w:jc w:val="both"/>
      <w:outlineLvl w:val="0"/>
    </w:pPr>
    <w:rPr>
      <w:b/>
      <w:noProof/>
      <w:sz w:val="22"/>
      <w:szCs w:val="22"/>
    </w:rPr>
  </w:style>
  <w:style w:type="paragraph" w:customStyle="1" w:styleId="Title1">
    <w:name w:val="Title1"/>
    <w:rsid w:val="009E31C6"/>
    <w:pPr>
      <w:jc w:val="center"/>
      <w:outlineLvl w:val="0"/>
    </w:pPr>
    <w:rPr>
      <w:b/>
      <w:caps/>
      <w:sz w:val="22"/>
      <w:szCs w:val="22"/>
      <w:lang w:val="en-GB"/>
    </w:rPr>
  </w:style>
  <w:style w:type="paragraph" w:customStyle="1" w:styleId="Decision">
    <w:name w:val="Decision"/>
    <w:basedOn w:val="Normal"/>
    <w:rsid w:val="009E31C6"/>
    <w:pPr>
      <w:keepLines/>
      <w:jc w:val="right"/>
    </w:pPr>
    <w:rPr>
      <w:b/>
    </w:rPr>
  </w:style>
  <w:style w:type="paragraph" w:customStyle="1" w:styleId="0Heading0">
    <w:name w:val="0 Heading 0"/>
    <w:rsid w:val="009E31C6"/>
    <w:rPr>
      <w:sz w:val="22"/>
      <w:szCs w:val="22"/>
      <w:lang w:val="en-GB"/>
    </w:rPr>
  </w:style>
  <w:style w:type="paragraph" w:styleId="Footer">
    <w:name w:val="footer"/>
    <w:basedOn w:val="Normal"/>
    <w:link w:val="FooterChar"/>
    <w:uiPriority w:val="99"/>
    <w:rsid w:val="009E31C6"/>
    <w:pPr>
      <w:tabs>
        <w:tab w:val="center" w:pos="4320"/>
        <w:tab w:val="right" w:pos="8640"/>
      </w:tabs>
    </w:pPr>
  </w:style>
  <w:style w:type="numbering" w:styleId="1ai">
    <w:name w:val="Outline List 1"/>
    <w:basedOn w:val="NoList"/>
    <w:semiHidden/>
    <w:rsid w:val="009E31C6"/>
    <w:pPr>
      <w:numPr>
        <w:numId w:val="17"/>
      </w:numPr>
    </w:pPr>
  </w:style>
  <w:style w:type="numbering" w:styleId="ArticleSection">
    <w:name w:val="Outline List 3"/>
    <w:basedOn w:val="NoList"/>
    <w:semiHidden/>
    <w:rsid w:val="009E31C6"/>
    <w:pPr>
      <w:numPr>
        <w:numId w:val="18"/>
      </w:numPr>
    </w:pPr>
  </w:style>
  <w:style w:type="paragraph" w:styleId="BlockText">
    <w:name w:val="Block Text"/>
    <w:basedOn w:val="Normal"/>
    <w:semiHidden/>
    <w:rsid w:val="009E31C6"/>
    <w:pPr>
      <w:spacing w:after="120"/>
      <w:ind w:left="1440" w:right="1440"/>
    </w:pPr>
  </w:style>
  <w:style w:type="paragraph" w:styleId="BodyText3">
    <w:name w:val="Body Text 3"/>
    <w:basedOn w:val="Normal"/>
    <w:semiHidden/>
    <w:rsid w:val="009E31C6"/>
    <w:pPr>
      <w:spacing w:after="120"/>
    </w:pPr>
    <w:rPr>
      <w:sz w:val="16"/>
      <w:szCs w:val="16"/>
    </w:rPr>
  </w:style>
  <w:style w:type="paragraph" w:styleId="BodyTextIndent3">
    <w:name w:val="Body Text Indent 3"/>
    <w:basedOn w:val="Normal"/>
    <w:semiHidden/>
    <w:rsid w:val="009E31C6"/>
    <w:pPr>
      <w:spacing w:after="120"/>
      <w:ind w:left="360"/>
    </w:pPr>
    <w:rPr>
      <w:sz w:val="16"/>
      <w:szCs w:val="16"/>
    </w:rPr>
  </w:style>
  <w:style w:type="paragraph" w:styleId="PlainText">
    <w:name w:val="Plain Text"/>
    <w:basedOn w:val="Normal"/>
    <w:semiHidden/>
    <w:rsid w:val="009E31C6"/>
    <w:rPr>
      <w:rFonts w:ascii="Courier New" w:hAnsi="Courier New" w:cs="Courier New"/>
      <w:sz w:val="20"/>
    </w:rPr>
  </w:style>
  <w:style w:type="table" w:styleId="Table3Deffects1">
    <w:name w:val="Table 3D effects 1"/>
    <w:basedOn w:val="TableNormal"/>
    <w:semiHidden/>
    <w:rsid w:val="009E31C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E31C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E31C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E31C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E31C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E31C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E31C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E31C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E31C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E31C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E31C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E31C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E31C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E31C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E31C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E31C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E31C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9E31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E31C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E31C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E31C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E31C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E31C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E31C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E31C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E31C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E31C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E31C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E31C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E31C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E31C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E31C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E31C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E31C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E31C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E31C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E31C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E31C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E31C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E31C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E31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E31C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E31C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E31C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9E31C6"/>
    <w:rPr>
      <w:sz w:val="22"/>
      <w:szCs w:val="22"/>
      <w:lang w:val="en-GB"/>
    </w:rPr>
  </w:style>
  <w:style w:type="paragraph" w:customStyle="1" w:styleId="Header4">
    <w:name w:val="Header4"/>
    <w:aliases w:val="Para 4"/>
    <w:basedOn w:val="Normal"/>
    <w:next w:val="Normal"/>
    <w:rsid w:val="009E31C6"/>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9E31C6"/>
    <w:rPr>
      <w:sz w:val="16"/>
      <w:szCs w:val="16"/>
    </w:rPr>
  </w:style>
  <w:style w:type="paragraph" w:styleId="Subtitle">
    <w:name w:val="Subtitle"/>
    <w:basedOn w:val="Normal"/>
    <w:qFormat/>
    <w:rsid w:val="009E31C6"/>
    <w:pPr>
      <w:spacing w:after="60"/>
      <w:jc w:val="center"/>
      <w:outlineLvl w:val="1"/>
    </w:pPr>
    <w:rPr>
      <w:rFonts w:ascii="Arial" w:hAnsi="Arial" w:cs="Arial"/>
    </w:rPr>
  </w:style>
  <w:style w:type="paragraph" w:styleId="Title">
    <w:name w:val="Title"/>
    <w:basedOn w:val="Normal"/>
    <w:qFormat/>
    <w:rsid w:val="009E31C6"/>
    <w:pPr>
      <w:spacing w:before="240" w:after="60"/>
      <w:jc w:val="center"/>
      <w:outlineLvl w:val="0"/>
    </w:pPr>
    <w:rPr>
      <w:rFonts w:ascii="Arial" w:hAnsi="Arial" w:cs="Arial"/>
      <w:b/>
      <w:bCs/>
      <w:kern w:val="28"/>
    </w:rPr>
  </w:style>
  <w:style w:type="paragraph" w:styleId="Date">
    <w:name w:val="Date"/>
    <w:basedOn w:val="Normal"/>
    <w:next w:val="Normal"/>
    <w:rsid w:val="009E31C6"/>
  </w:style>
  <w:style w:type="character" w:styleId="PlaceholderText">
    <w:name w:val="Placeholder Text"/>
    <w:basedOn w:val="DefaultParagraphFont"/>
    <w:uiPriority w:val="99"/>
    <w:semiHidden/>
    <w:rsid w:val="009E31C6"/>
    <w:rPr>
      <w:color w:val="808080"/>
    </w:rPr>
  </w:style>
  <w:style w:type="paragraph" w:styleId="BalloonText">
    <w:name w:val="Balloon Text"/>
    <w:basedOn w:val="Normal"/>
    <w:link w:val="BalloonTextChar"/>
    <w:uiPriority w:val="99"/>
    <w:semiHidden/>
    <w:unhideWhenUsed/>
    <w:rsid w:val="009E31C6"/>
    <w:rPr>
      <w:rFonts w:ascii="Tahoma" w:hAnsi="Tahoma" w:cs="Tahoma"/>
      <w:sz w:val="16"/>
      <w:szCs w:val="16"/>
    </w:rPr>
  </w:style>
  <w:style w:type="character" w:customStyle="1" w:styleId="BalloonTextChar">
    <w:name w:val="Balloon Text Char"/>
    <w:basedOn w:val="DefaultParagraphFont"/>
    <w:link w:val="BalloonText"/>
    <w:uiPriority w:val="99"/>
    <w:semiHidden/>
    <w:rsid w:val="009E31C6"/>
    <w:rPr>
      <w:rFonts w:ascii="Tahoma" w:hAnsi="Tahoma" w:cs="Tahoma"/>
      <w:sz w:val="16"/>
      <w:szCs w:val="16"/>
      <w:lang w:val="en-GB"/>
    </w:rPr>
  </w:style>
  <w:style w:type="paragraph" w:styleId="CommentText">
    <w:name w:val="annotation text"/>
    <w:basedOn w:val="Normal"/>
    <w:link w:val="CommentTextChar"/>
    <w:uiPriority w:val="99"/>
    <w:semiHidden/>
    <w:unhideWhenUsed/>
    <w:rsid w:val="009E31C6"/>
    <w:rPr>
      <w:sz w:val="20"/>
      <w:szCs w:val="20"/>
    </w:rPr>
  </w:style>
  <w:style w:type="character" w:customStyle="1" w:styleId="CommentTextChar">
    <w:name w:val="Comment Text Char"/>
    <w:basedOn w:val="DefaultParagraphFont"/>
    <w:link w:val="CommentText"/>
    <w:uiPriority w:val="99"/>
    <w:semiHidden/>
    <w:rsid w:val="009E31C6"/>
    <w:rPr>
      <w:lang w:val="en-GB"/>
    </w:rPr>
  </w:style>
  <w:style w:type="paragraph" w:styleId="CommentSubject">
    <w:name w:val="annotation subject"/>
    <w:basedOn w:val="CommentText"/>
    <w:next w:val="CommentText"/>
    <w:link w:val="CommentSubjectChar"/>
    <w:uiPriority w:val="99"/>
    <w:semiHidden/>
    <w:unhideWhenUsed/>
    <w:rsid w:val="009E31C6"/>
    <w:rPr>
      <w:b/>
      <w:bCs/>
    </w:rPr>
  </w:style>
  <w:style w:type="character" w:customStyle="1" w:styleId="CommentSubjectChar">
    <w:name w:val="Comment Subject Char"/>
    <w:basedOn w:val="CommentTextChar"/>
    <w:link w:val="CommentSubject"/>
    <w:uiPriority w:val="99"/>
    <w:semiHidden/>
    <w:rsid w:val="009E31C6"/>
    <w:rPr>
      <w:b/>
      <w:bCs/>
      <w:lang w:val="en-GB"/>
    </w:rPr>
  </w:style>
  <w:style w:type="paragraph" w:customStyle="1" w:styleId="StyleHeader4Para4Left0Firstline0">
    <w:name w:val="Style Header4Para 4 + Left:  0&quot; First line:  0&quot;"/>
    <w:basedOn w:val="Header4"/>
    <w:rsid w:val="009E31C6"/>
    <w:pPr>
      <w:ind w:left="0" w:firstLine="0"/>
    </w:pPr>
    <w:rPr>
      <w:sz w:val="20"/>
    </w:rPr>
  </w:style>
  <w:style w:type="paragraph" w:customStyle="1" w:styleId="StyleHeading1Para1Heading1CharHeading1Char3CharHeadin">
    <w:name w:val="Style Heading 1Para (1)Heading 1 CharHeading 1 Char3 CharHeadin..."/>
    <w:basedOn w:val="Heading1"/>
    <w:rsid w:val="009E31C6"/>
    <w:pPr>
      <w:numPr>
        <w:numId w:val="0"/>
      </w:numPr>
      <w:tabs>
        <w:tab w:val="left" w:pos="720"/>
      </w:tabs>
    </w:pPr>
    <w:rPr>
      <w:szCs w:val="20"/>
    </w:rPr>
  </w:style>
  <w:style w:type="character" w:customStyle="1" w:styleId="FooterChar">
    <w:name w:val="Footer Char"/>
    <w:basedOn w:val="DefaultParagraphFont"/>
    <w:link w:val="Footer"/>
    <w:uiPriority w:val="99"/>
    <w:rsid w:val="009E31C6"/>
    <w:rPr>
      <w:sz w:val="22"/>
      <w:szCs w:val="22"/>
      <w:lang w:val="en-GB"/>
    </w:rPr>
  </w:style>
  <w:style w:type="paragraph" w:customStyle="1" w:styleId="Title2">
    <w:name w:val="Title2"/>
    <w:rsid w:val="00613F1F"/>
    <w:pPr>
      <w:jc w:val="center"/>
      <w:outlineLvl w:val="0"/>
    </w:pPr>
    <w:rPr>
      <w:b/>
      <w:caps/>
      <w:sz w:val="22"/>
      <w:szCs w:val="22"/>
      <w:lang w:val="fr-FR"/>
    </w:rPr>
  </w:style>
  <w:style w:type="paragraph" w:customStyle="1" w:styleId="subhead">
    <w:name w:val="subhead"/>
    <w:basedOn w:val="Normal"/>
    <w:next w:val="Normal"/>
    <w:uiPriority w:val="99"/>
    <w:rsid w:val="00613F1F"/>
    <w:pPr>
      <w:tabs>
        <w:tab w:val="left" w:pos="-720"/>
        <w:tab w:val="left" w:pos="0"/>
        <w:tab w:val="left" w:pos="720"/>
        <w:tab w:val="left" w:pos="1440"/>
        <w:tab w:val="left" w:pos="2160"/>
        <w:tab w:val="left" w:pos="2880"/>
        <w:tab w:val="left" w:pos="3600"/>
      </w:tabs>
      <w:jc w:val="center"/>
    </w:pPr>
    <w:rPr>
      <w:sz w:val="24"/>
      <w:szCs w:val="24"/>
      <w:lang w:val="fr-FR"/>
    </w:rPr>
  </w:style>
  <w:style w:type="paragraph" w:customStyle="1" w:styleId="a--">
    <w:name w:val="a-(-)"/>
    <w:basedOn w:val="Normal"/>
    <w:uiPriority w:val="99"/>
    <w:rsid w:val="00613F1F"/>
    <w:pPr>
      <w:tabs>
        <w:tab w:val="left" w:pos="-720"/>
        <w:tab w:val="left" w:pos="0"/>
        <w:tab w:val="left" w:pos="720"/>
        <w:tab w:val="left" w:pos="1440"/>
        <w:tab w:val="left" w:pos="2160"/>
        <w:tab w:val="left" w:pos="2880"/>
        <w:tab w:val="left" w:pos="3600"/>
      </w:tabs>
      <w:suppressAutoHyphens/>
    </w:pPr>
    <w:rPr>
      <w:b/>
      <w:bCs/>
      <w:sz w:val="24"/>
      <w:szCs w:val="24"/>
      <w:lang w:val="fr-FR"/>
    </w:rPr>
  </w:style>
  <w:style w:type="paragraph" w:styleId="FootnoteText">
    <w:name w:val="footnote text"/>
    <w:basedOn w:val="Normal"/>
    <w:link w:val="FootnoteTextChar"/>
    <w:semiHidden/>
    <w:rsid w:val="00613F1F"/>
    <w:rPr>
      <w:sz w:val="20"/>
      <w:szCs w:val="20"/>
      <w:lang w:val="fr-FR"/>
    </w:rPr>
  </w:style>
  <w:style w:type="character" w:customStyle="1" w:styleId="FootnoteTextChar">
    <w:name w:val="Footnote Text Char"/>
    <w:basedOn w:val="DefaultParagraphFont"/>
    <w:link w:val="FootnoteText"/>
    <w:semiHidden/>
    <w:rsid w:val="00613F1F"/>
    <w:rPr>
      <w:lang w:val="fr-FR"/>
    </w:rPr>
  </w:style>
  <w:style w:type="character" w:styleId="FootnoteReference">
    <w:name w:val="footnote reference"/>
    <w:semiHidden/>
    <w:rsid w:val="00613F1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613F1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Mon%20travail\traducteur\travaux\ONU\2019-11-12\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UNEP/OzL.Pro/ExCom/84/27</Document_x0020_Number>
  </documentManagement>
</p:properties>
</file>

<file path=customXml/itemProps1.xml><?xml version="1.0" encoding="utf-8"?>
<ds:datastoreItem xmlns:ds="http://schemas.openxmlformats.org/officeDocument/2006/customXml" ds:itemID="{C86FBFFC-6113-4A63-A22C-59B394851161}"/>
</file>

<file path=customXml/itemProps2.xml><?xml version="1.0" encoding="utf-8"?>
<ds:datastoreItem xmlns:ds="http://schemas.openxmlformats.org/officeDocument/2006/customXml" ds:itemID="{B170DA27-30C1-493A-8922-D861C6157F42}"/>
</file>

<file path=customXml/itemProps3.xml><?xml version="1.0" encoding="utf-8"?>
<ds:datastoreItem xmlns:ds="http://schemas.openxmlformats.org/officeDocument/2006/customXml" ds:itemID="{037ECC04-B520-4E6D-AEDC-64C71475E1C0}"/>
</file>

<file path=customXml/itemProps4.xml><?xml version="1.0" encoding="utf-8"?>
<ds:datastoreItem xmlns:ds="http://schemas.openxmlformats.org/officeDocument/2006/customXml" ds:itemID="{6E14B963-51D2-476E-AE87-606BBD48ECDE}"/>
</file>

<file path=docProps/app.xml><?xml version="1.0" encoding="utf-8"?>
<Properties xmlns="http://schemas.openxmlformats.org/officeDocument/2006/extended-properties" xmlns:vt="http://schemas.openxmlformats.org/officeDocument/2006/docPropsVTypes">
  <Template>F84-Template</Template>
  <TotalTime>60</TotalTime>
  <Pages>7</Pages>
  <Words>1382</Words>
  <Characters>7880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Plans d’activités des agences bilatérales pour la période 2020-2022</vt:lpstr>
    </vt:vector>
  </TitlesOfParts>
  <Company>UNMFS</Company>
  <LinksUpToDate>false</LinksUpToDate>
  <CharactersWithSpaces>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Plans d’activités des agences bilatérales pour la période 2020-2022</dc:title>
  <dc:creator>Magali Mourdon-Bertrand</dc:creator>
  <cp:lastModifiedBy>HBE</cp:lastModifiedBy>
  <cp:revision>19</cp:revision>
  <cp:lastPrinted>2001-05-26T16:40:00Z</cp:lastPrinted>
  <dcterms:created xsi:type="dcterms:W3CDTF">2019-11-22T14:57:00Z</dcterms:created>
  <dcterms:modified xsi:type="dcterms:W3CDTF">2019-11-27T23:03:00Z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UNEP/OzL.Pro/ExCom/84/27</vt:lpwstr>
  </property>
  <property fmtid="{D5CDD505-2E9C-101B-9397-08002B2CF9AE}" pid="3" name="Revision date">
    <vt:lpwstr>11/20/2019</vt:lpwstr>
  </property>
  <property fmtid="{D5CDD505-2E9C-101B-9397-08002B2CF9AE}" pid="4" name="ContentTypeId">
    <vt:lpwstr>0x010100109683CADC4F284EA5F0B82357B5BF3A</vt:lpwstr>
  </property>
</Properties>
</file>