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C40E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r>
              <w:rPr>
                <w:noProof/>
                <w:lang w:val="en-US"/>
              </w:rPr>
              <w:drawing>
                <wp:anchor distT="0" distB="0" distL="114300" distR="114300" simplePos="0" relativeHeight="251660288" behindDoc="0" locked="0" layoutInCell="1" allowOverlap="1" wp14:anchorId="0076CFBC" wp14:editId="690C1997">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r>
              <w:rPr>
                <w:lang w:val="es-ES"/>
              </w:rPr>
              <w:t>Distr.</w:t>
            </w:r>
          </w:p>
          <w:p w:rsidR="0087455A" w:rsidRDefault="0024162E">
            <w:pPr>
              <w:rPr>
                <w:lang w:val="es-ES"/>
              </w:rPr>
            </w:pPr>
            <w:r>
              <w:rPr>
                <w:lang w:val="es-ES"/>
              </w:rPr>
              <w:t>GENERAL</w:t>
            </w:r>
          </w:p>
          <w:p w:rsidR="0087455A" w:rsidRDefault="0087455A">
            <w:pPr>
              <w:rPr>
                <w:lang w:val="es-ES"/>
              </w:rPr>
            </w:pPr>
          </w:p>
          <w:p w:rsidR="00410436" w:rsidRPr="0082339C" w:rsidRDefault="00410436" w:rsidP="00410436">
            <w:pPr>
              <w:rPr>
                <w:lang w:val="en-CA"/>
              </w:rPr>
            </w:pPr>
            <w:r w:rsidRPr="0082339C">
              <w:rPr>
                <w:lang w:val="en-CA"/>
              </w:rPr>
              <w:fldChar w:fldCharType="begin"/>
            </w:r>
            <w:r w:rsidRPr="0082339C">
              <w:rPr>
                <w:lang w:val="en-CA"/>
              </w:rPr>
              <w:instrText xml:space="preserve"> DOCPROPERTY "Document number"  \* MERGEFORMAT </w:instrText>
            </w:r>
            <w:r w:rsidRPr="0082339C">
              <w:rPr>
                <w:lang w:val="en-CA"/>
              </w:rPr>
              <w:fldChar w:fldCharType="separate"/>
            </w:r>
            <w:r w:rsidRPr="0082339C">
              <w:rPr>
                <w:lang w:val="en-CA"/>
              </w:rPr>
              <w:t>UNEP/OzL.Pro/ExCom/86/71</w:t>
            </w:r>
            <w:r w:rsidRPr="0082339C">
              <w:rPr>
                <w:lang w:val="en-CA"/>
              </w:rPr>
              <w:fldChar w:fldCharType="end"/>
            </w:r>
          </w:p>
          <w:p w:rsidR="00410436" w:rsidRPr="0082339C" w:rsidRDefault="00410436" w:rsidP="00410436">
            <w:pPr>
              <w:rPr>
                <w:lang w:val="en-CA"/>
              </w:rPr>
            </w:pPr>
            <w:r w:rsidRPr="0082339C">
              <w:rPr>
                <w:lang w:val="en-CA"/>
              </w:rPr>
              <w:fldChar w:fldCharType="begin"/>
            </w:r>
            <w:r w:rsidRPr="0082339C">
              <w:rPr>
                <w:lang w:val="en-CA"/>
              </w:rPr>
              <w:instrText xml:space="preserve"> DOCPROPERTY "Revision date" \@ "d MMMM YYYY"  \* MERGEFORMAT </w:instrText>
            </w:r>
            <w:r w:rsidRPr="0082339C">
              <w:rPr>
                <w:lang w:val="en-CA"/>
              </w:rPr>
              <w:fldChar w:fldCharType="separate"/>
            </w:r>
            <w:r>
              <w:rPr>
                <w:lang w:val="en-CA"/>
              </w:rPr>
              <w:t>19 October 2020</w:t>
            </w:r>
            <w:r w:rsidRPr="0082339C">
              <w:rPr>
                <w:lang w:val="en-CA"/>
              </w:rPr>
              <w:fldChar w:fldCharType="end"/>
            </w:r>
          </w:p>
          <w:p w:rsidR="00410436" w:rsidRDefault="00410436">
            <w:pPr>
              <w:rPr>
                <w:lang w:val="en-CA"/>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87455A">
      <w:pPr>
        <w:jc w:val="left"/>
        <w:rPr>
          <w:lang w:val="es-MX"/>
        </w:rPr>
      </w:pPr>
    </w:p>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F4047">
      <w:pPr>
        <w:jc w:val="left"/>
        <w:rPr>
          <w:lang w:val="es-ES"/>
        </w:rPr>
      </w:pPr>
      <w:r>
        <w:rPr>
          <w:lang w:val="es-ES"/>
        </w:rPr>
        <w:t xml:space="preserve">Octogésima </w:t>
      </w:r>
      <w:r w:rsidR="006915A5">
        <w:rPr>
          <w:lang w:val="es-ES"/>
        </w:rPr>
        <w:t>sexta</w:t>
      </w:r>
      <w:r w:rsidR="003863A4">
        <w:rPr>
          <w:lang w:val="es-ES"/>
        </w:rPr>
        <w:t xml:space="preserve"> Reunión</w:t>
      </w:r>
      <w:r w:rsidR="003863A4">
        <w:rPr>
          <w:lang w:val="es-ES"/>
        </w:rPr>
        <w:br/>
        <w:t xml:space="preserve">Montreal, </w:t>
      </w:r>
      <w:r w:rsidR="0092685B">
        <w:rPr>
          <w:lang w:val="es-ES"/>
        </w:rPr>
        <w:t>2</w:t>
      </w:r>
      <w:r w:rsidR="003863A4">
        <w:rPr>
          <w:lang w:val="es-ES"/>
        </w:rPr>
        <w:t xml:space="preserve"> </w:t>
      </w:r>
      <w:r>
        <w:rPr>
          <w:lang w:val="es-ES"/>
        </w:rPr>
        <w:t xml:space="preserve">– </w:t>
      </w:r>
      <w:r w:rsidR="00B83FFA">
        <w:rPr>
          <w:lang w:val="es-ES"/>
        </w:rPr>
        <w:t>6</w:t>
      </w:r>
      <w:r>
        <w:rPr>
          <w:lang w:val="es-ES"/>
        </w:rPr>
        <w:t xml:space="preserve"> de </w:t>
      </w:r>
      <w:r w:rsidR="00B83FFA">
        <w:rPr>
          <w:lang w:val="es-ES"/>
        </w:rPr>
        <w:t>noviembre</w:t>
      </w:r>
      <w:r w:rsidR="001C2D22">
        <w:rPr>
          <w:lang w:val="es-ES"/>
        </w:rPr>
        <w:t xml:space="preserve"> de 20</w:t>
      </w:r>
      <w:r w:rsidR="0092685B">
        <w:rPr>
          <w:lang w:val="es-ES"/>
        </w:rPr>
        <w:t>20</w:t>
      </w:r>
    </w:p>
    <w:p w:rsidR="0092685B" w:rsidRDefault="00C40E04" w:rsidP="001F4047">
      <w:pPr>
        <w:jc w:val="left"/>
        <w:rPr>
          <w:lang w:val="es-ES"/>
        </w:rPr>
      </w:pPr>
      <w:r>
        <w:rPr>
          <w:lang w:val="es-ES"/>
        </w:rPr>
        <w:t xml:space="preserve">Pospuesta: </w:t>
      </w:r>
      <w:r w:rsidR="00B83FFA">
        <w:rPr>
          <w:lang w:val="es-ES"/>
        </w:rPr>
        <w:t>8</w:t>
      </w:r>
      <w:r>
        <w:rPr>
          <w:lang w:val="es-ES"/>
        </w:rPr>
        <w:t xml:space="preserve"> – </w:t>
      </w:r>
      <w:r w:rsidR="00B83FFA">
        <w:rPr>
          <w:lang w:val="es-ES"/>
        </w:rPr>
        <w:t>1</w:t>
      </w:r>
      <w:r>
        <w:rPr>
          <w:lang w:val="es-ES"/>
        </w:rPr>
        <w:t xml:space="preserve">2 de </w:t>
      </w:r>
      <w:r w:rsidR="00B83FFA">
        <w:rPr>
          <w:lang w:val="es-ES"/>
        </w:rPr>
        <w:t>marzo</w:t>
      </w:r>
      <w:r>
        <w:rPr>
          <w:lang w:val="es-ES"/>
        </w:rPr>
        <w:t xml:space="preserve"> de 202</w:t>
      </w:r>
      <w:r w:rsidR="00B83FFA">
        <w:rPr>
          <w:lang w:val="es-ES"/>
        </w:rPr>
        <w:t>1</w:t>
      </w:r>
      <w:r w:rsidR="004A0F9F" w:rsidRPr="0082339C">
        <w:rPr>
          <w:rStyle w:val="FootnoteReference"/>
          <w:lang w:val="en-CA"/>
        </w:rPr>
        <w:footnoteReference w:id="1"/>
      </w:r>
    </w:p>
    <w:p w:rsidR="00106F6E" w:rsidRDefault="00106F6E" w:rsidP="00106F6E">
      <w:pPr>
        <w:jc w:val="left"/>
        <w:rPr>
          <w:lang w:val="es-ES"/>
        </w:rPr>
      </w:pPr>
    </w:p>
    <w:p w:rsidR="0087455A" w:rsidRDefault="0087455A">
      <w:pPr>
        <w:jc w:val="left"/>
        <w:rPr>
          <w:lang w:val="es-ES"/>
        </w:rPr>
      </w:pPr>
    </w:p>
    <w:p w:rsidR="0087455A" w:rsidRDefault="0087455A">
      <w:pPr>
        <w:pStyle w:val="Heading3"/>
        <w:numPr>
          <w:ilvl w:val="0"/>
          <w:numId w:val="0"/>
        </w:numPr>
        <w:spacing w:after="0"/>
        <w:rPr>
          <w:lang w:val="es-ES"/>
        </w:rPr>
      </w:pPr>
    </w:p>
    <w:p w:rsidR="004A0F9F" w:rsidRPr="00410436" w:rsidRDefault="004A0F9F" w:rsidP="004A0F9F">
      <w:pPr>
        <w:jc w:val="center"/>
        <w:rPr>
          <w:b/>
          <w:lang w:val="es-AR"/>
        </w:rPr>
      </w:pPr>
      <w:r w:rsidRPr="00410436">
        <w:rPr>
          <w:b/>
          <w:lang w:val="es-AR"/>
        </w:rPr>
        <w:t>PROPUESTA DE PROYECTO: REPÚBLICA DE MOLDOVA (LA)</w:t>
      </w:r>
    </w:p>
    <w:p w:rsidR="004A0F9F" w:rsidRPr="00410436" w:rsidRDefault="004A0F9F" w:rsidP="004A0F9F">
      <w:pPr>
        <w:rPr>
          <w:lang w:val="es-AR"/>
        </w:rPr>
      </w:pPr>
    </w:p>
    <w:p w:rsidR="004A0F9F" w:rsidRPr="00410436" w:rsidRDefault="004A0F9F" w:rsidP="004A0F9F">
      <w:pPr>
        <w:rPr>
          <w:lang w:val="es-AR"/>
        </w:rPr>
      </w:pPr>
    </w:p>
    <w:p w:rsidR="004A0F9F" w:rsidRPr="00410436" w:rsidRDefault="004A0F9F" w:rsidP="004A0F9F">
      <w:pPr>
        <w:ind w:firstLine="720"/>
        <w:rPr>
          <w:lang w:val="es-AR"/>
        </w:rPr>
      </w:pPr>
      <w:r w:rsidRPr="00410436">
        <w:rPr>
          <w:lang w:val="es-AR"/>
        </w:rPr>
        <w:t xml:space="preserve">Este documento consta de los comentarios y la recomendación de la Secretaría de la siguiente propuesta de proyecto: </w:t>
      </w:r>
    </w:p>
    <w:p w:rsidR="004A0F9F" w:rsidRPr="00410436" w:rsidRDefault="004A0F9F" w:rsidP="004A0F9F">
      <w:pPr>
        <w:rPr>
          <w:lang w:val="es-AR"/>
        </w:rPr>
      </w:pPr>
    </w:p>
    <w:p w:rsidR="004A0F9F" w:rsidRPr="0082339C" w:rsidRDefault="004A0F9F" w:rsidP="004A0F9F">
      <w:pPr>
        <w:rPr>
          <w:u w:val="single"/>
        </w:rPr>
      </w:pPr>
      <w:r>
        <w:rPr>
          <w:u w:val="single"/>
        </w:rPr>
        <w:t>Eliminación</w:t>
      </w:r>
    </w:p>
    <w:p w:rsidR="004A0F9F" w:rsidRPr="0082339C" w:rsidRDefault="004A0F9F" w:rsidP="004A0F9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A0F9F" w:rsidRPr="0082339C" w:rsidTr="004F7F5B">
        <w:tc>
          <w:tcPr>
            <w:tcW w:w="6941" w:type="dxa"/>
          </w:tcPr>
          <w:p w:rsidR="004A0F9F" w:rsidRPr="0082339C" w:rsidRDefault="004A0F9F" w:rsidP="004A0F9F">
            <w:pPr>
              <w:pStyle w:val="ListParagraph"/>
              <w:numPr>
                <w:ilvl w:val="0"/>
                <w:numId w:val="21"/>
              </w:numPr>
              <w:ind w:hanging="830"/>
            </w:pPr>
            <w:r>
              <w:t>Plan de gestión para la eliminación de los HCFC (etapa II, tercer tramo)</w:t>
            </w:r>
          </w:p>
        </w:tc>
        <w:tc>
          <w:tcPr>
            <w:tcW w:w="2409" w:type="dxa"/>
          </w:tcPr>
          <w:p w:rsidR="004A0F9F" w:rsidRPr="0082339C" w:rsidRDefault="004A0F9F" w:rsidP="004F7F5B">
            <w:pPr>
              <w:jc w:val="right"/>
            </w:pPr>
            <w:r>
              <w:t>PNUD y PNUMA</w:t>
            </w:r>
          </w:p>
        </w:tc>
      </w:tr>
    </w:tbl>
    <w:p w:rsidR="004A0F9F" w:rsidRPr="0082339C" w:rsidRDefault="004A0F9F" w:rsidP="004A0F9F">
      <w:pPr>
        <w:rPr>
          <w:lang w:val="en-CA"/>
        </w:rPr>
      </w:pPr>
    </w:p>
    <w:p w:rsidR="004A0F9F" w:rsidRPr="0082339C" w:rsidRDefault="004A0F9F" w:rsidP="004A0F9F">
      <w:pPr>
        <w:rPr>
          <w:lang w:val="en-CA"/>
        </w:rPr>
      </w:pPr>
    </w:p>
    <w:p w:rsidR="004A0F9F" w:rsidRPr="0082339C" w:rsidRDefault="004A0F9F" w:rsidP="004A0F9F">
      <w:pPr>
        <w:rPr>
          <w:lang w:val="en-CA"/>
        </w:rPr>
      </w:pPr>
    </w:p>
    <w:p w:rsidR="004A0F9F" w:rsidRPr="0082339C" w:rsidRDefault="004A0F9F" w:rsidP="004A0F9F">
      <w:r>
        <w:br w:type="page"/>
      </w:r>
    </w:p>
    <w:p w:rsidR="004A0F9F" w:rsidRPr="00410436" w:rsidRDefault="004A0F9F" w:rsidP="004A0F9F">
      <w:pPr>
        <w:jc w:val="center"/>
        <w:rPr>
          <w:b/>
          <w:lang w:val="es-AR"/>
        </w:rPr>
      </w:pPr>
      <w:r w:rsidRPr="00410436">
        <w:rPr>
          <w:b/>
          <w:lang w:val="es-AR"/>
        </w:rPr>
        <w:lastRenderedPageBreak/>
        <w:t>HOJA DE EVALUACIÓN DE PROYECTO – PROYECTOS PLURIANUALES</w:t>
      </w:r>
    </w:p>
    <w:p w:rsidR="004A0F9F" w:rsidRPr="00410436" w:rsidRDefault="004A0F9F" w:rsidP="004A0F9F">
      <w:pPr>
        <w:jc w:val="center"/>
        <w:rPr>
          <w:lang w:val="es-AR"/>
        </w:rPr>
      </w:pPr>
    </w:p>
    <w:p w:rsidR="004A0F9F" w:rsidRPr="0082339C" w:rsidRDefault="004A0F9F" w:rsidP="004A0F9F">
      <w:pPr>
        <w:jc w:val="center"/>
      </w:pPr>
      <w:r>
        <w:rPr>
          <w:b/>
        </w:rPr>
        <w:t>República de Moldova (la)</w:t>
      </w:r>
    </w:p>
    <w:p w:rsidR="004A0F9F" w:rsidRPr="0082339C" w:rsidRDefault="004A0F9F" w:rsidP="004A0F9F">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309"/>
        <w:gridCol w:w="2501"/>
        <w:gridCol w:w="2501"/>
      </w:tblGrid>
      <w:tr w:rsidR="004A0F9F" w:rsidRPr="0082339C" w:rsidTr="004F7F5B">
        <w:trPr>
          <w:trHeight w:val="240"/>
        </w:trPr>
        <w:tc>
          <w:tcPr>
            <w:tcW w:w="2689" w:type="dxa"/>
            <w:shd w:val="clear" w:color="auto" w:fill="auto"/>
          </w:tcPr>
          <w:p w:rsidR="004A0F9F" w:rsidRPr="0082339C" w:rsidRDefault="004A0F9F" w:rsidP="004F7F5B">
            <w:pPr>
              <w:spacing w:after="80"/>
              <w:jc w:val="left"/>
              <w:rPr>
                <w:b/>
                <w:sz w:val="18"/>
              </w:rPr>
            </w:pPr>
            <w:r>
              <w:rPr>
                <w:b/>
                <w:sz w:val="18"/>
              </w:rPr>
              <w:t>I) TÍTULO DEL PROYECTO</w:t>
            </w:r>
          </w:p>
        </w:tc>
        <w:tc>
          <w:tcPr>
            <w:tcW w:w="2309" w:type="dxa"/>
            <w:shd w:val="clear" w:color="auto" w:fill="auto"/>
          </w:tcPr>
          <w:p w:rsidR="004A0F9F" w:rsidRPr="0082339C" w:rsidRDefault="004A0F9F" w:rsidP="004F7F5B">
            <w:pPr>
              <w:spacing w:after="80"/>
              <w:jc w:val="center"/>
              <w:rPr>
                <w:b/>
                <w:sz w:val="18"/>
              </w:rPr>
            </w:pPr>
            <w:r>
              <w:rPr>
                <w:b/>
                <w:sz w:val="18"/>
              </w:rPr>
              <w:t>ORGANISMO</w:t>
            </w:r>
          </w:p>
        </w:tc>
        <w:tc>
          <w:tcPr>
            <w:tcW w:w="2501" w:type="dxa"/>
            <w:shd w:val="clear" w:color="auto" w:fill="auto"/>
          </w:tcPr>
          <w:p w:rsidR="004A0F9F" w:rsidRPr="00410436" w:rsidRDefault="004A0F9F" w:rsidP="004F7F5B">
            <w:pPr>
              <w:spacing w:after="80"/>
              <w:jc w:val="center"/>
              <w:rPr>
                <w:b/>
                <w:sz w:val="18"/>
                <w:lang w:val="es-AR"/>
              </w:rPr>
            </w:pPr>
            <w:r w:rsidRPr="00410436">
              <w:rPr>
                <w:b/>
                <w:sz w:val="18"/>
                <w:lang w:val="es-AR"/>
              </w:rPr>
              <w:t>REUNIÓN EN QUE SE APROBÓ</w:t>
            </w:r>
          </w:p>
        </w:tc>
        <w:tc>
          <w:tcPr>
            <w:tcW w:w="2501" w:type="dxa"/>
            <w:shd w:val="clear" w:color="auto" w:fill="auto"/>
          </w:tcPr>
          <w:p w:rsidR="004A0F9F" w:rsidRPr="0082339C" w:rsidRDefault="004A0F9F" w:rsidP="004F7F5B">
            <w:pPr>
              <w:spacing w:after="80"/>
              <w:jc w:val="center"/>
              <w:rPr>
                <w:b/>
                <w:sz w:val="18"/>
              </w:rPr>
            </w:pPr>
            <w:r>
              <w:rPr>
                <w:b/>
                <w:sz w:val="18"/>
              </w:rPr>
              <w:t>MEDIDA DE CONTROL</w:t>
            </w:r>
          </w:p>
        </w:tc>
      </w:tr>
      <w:tr w:rsidR="004A0F9F" w:rsidRPr="0082339C" w:rsidTr="004F7F5B">
        <w:trPr>
          <w:trHeight w:val="240"/>
        </w:trPr>
        <w:tc>
          <w:tcPr>
            <w:tcW w:w="2689" w:type="dxa"/>
            <w:shd w:val="clear" w:color="auto" w:fill="auto"/>
          </w:tcPr>
          <w:p w:rsidR="004A0F9F" w:rsidRPr="00410436" w:rsidRDefault="004A0F9F" w:rsidP="004F7F5B">
            <w:pPr>
              <w:spacing w:after="80"/>
              <w:jc w:val="center"/>
              <w:rPr>
                <w:sz w:val="18"/>
                <w:lang w:val="es-AR"/>
              </w:rPr>
            </w:pPr>
            <w:r w:rsidRPr="00410436">
              <w:rPr>
                <w:sz w:val="18"/>
                <w:lang w:val="es-AR"/>
              </w:rPr>
              <w:t>Plan de gestión de la eliminación de los HCFC (etapa II)</w:t>
            </w:r>
          </w:p>
        </w:tc>
        <w:tc>
          <w:tcPr>
            <w:tcW w:w="2309" w:type="dxa"/>
            <w:shd w:val="clear" w:color="auto" w:fill="auto"/>
          </w:tcPr>
          <w:p w:rsidR="004A0F9F" w:rsidRPr="0082339C" w:rsidRDefault="004A0F9F" w:rsidP="004F7F5B">
            <w:pPr>
              <w:spacing w:after="80"/>
              <w:jc w:val="center"/>
              <w:rPr>
                <w:sz w:val="18"/>
              </w:rPr>
            </w:pPr>
            <w:r>
              <w:rPr>
                <w:sz w:val="18"/>
              </w:rPr>
              <w:t>PNUD (principal), PNUMA</w:t>
            </w:r>
          </w:p>
        </w:tc>
        <w:tc>
          <w:tcPr>
            <w:tcW w:w="2501" w:type="dxa"/>
            <w:shd w:val="clear" w:color="auto" w:fill="auto"/>
          </w:tcPr>
          <w:p w:rsidR="004A0F9F" w:rsidRPr="0082339C" w:rsidRDefault="004A0F9F" w:rsidP="004F7F5B">
            <w:pPr>
              <w:spacing w:after="80"/>
              <w:jc w:val="center"/>
              <w:rPr>
                <w:sz w:val="18"/>
              </w:rPr>
            </w:pPr>
            <w:r>
              <w:rPr>
                <w:sz w:val="18"/>
              </w:rPr>
              <w:t>77ª</w:t>
            </w:r>
          </w:p>
        </w:tc>
        <w:tc>
          <w:tcPr>
            <w:tcW w:w="2501" w:type="dxa"/>
            <w:shd w:val="clear" w:color="auto" w:fill="auto"/>
          </w:tcPr>
          <w:p w:rsidR="004A0F9F" w:rsidRPr="0082339C" w:rsidRDefault="004A0F9F" w:rsidP="004F7F5B">
            <w:pPr>
              <w:spacing w:after="80"/>
              <w:jc w:val="center"/>
              <w:rPr>
                <w:sz w:val="18"/>
              </w:rPr>
            </w:pPr>
            <w:r>
              <w:rPr>
                <w:sz w:val="18"/>
              </w:rPr>
              <w:t>35% para 2020</w:t>
            </w:r>
          </w:p>
        </w:tc>
      </w:tr>
    </w:tbl>
    <w:p w:rsidR="004A0F9F" w:rsidRPr="0082339C" w:rsidRDefault="004A0F9F" w:rsidP="004A0F9F">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4A0F9F" w:rsidRPr="0082339C" w:rsidTr="004F7F5B">
        <w:trPr>
          <w:trHeight w:val="240"/>
        </w:trPr>
        <w:tc>
          <w:tcPr>
            <w:tcW w:w="5200" w:type="dxa"/>
            <w:shd w:val="clear" w:color="auto" w:fill="auto"/>
          </w:tcPr>
          <w:p w:rsidR="004A0F9F" w:rsidRPr="00410436" w:rsidRDefault="004A0F9F" w:rsidP="004F7F5B">
            <w:pPr>
              <w:spacing w:after="60"/>
              <w:jc w:val="left"/>
              <w:rPr>
                <w:b/>
                <w:sz w:val="18"/>
                <w:lang w:val="es-AR"/>
              </w:rPr>
            </w:pPr>
            <w:r w:rsidRPr="00410436">
              <w:rPr>
                <w:b/>
                <w:sz w:val="18"/>
                <w:lang w:val="es-AR"/>
              </w:rPr>
              <w:t>II) DATOS MÁS RECIENTES CON ARREGLO AL ARTÍCULO 7 (Grupo I del Anexo C)</w:t>
            </w:r>
          </w:p>
        </w:tc>
        <w:tc>
          <w:tcPr>
            <w:tcW w:w="2400" w:type="dxa"/>
            <w:shd w:val="clear" w:color="auto" w:fill="auto"/>
          </w:tcPr>
          <w:p w:rsidR="004A0F9F" w:rsidRPr="0082339C" w:rsidRDefault="004A0F9F" w:rsidP="004F7F5B">
            <w:pPr>
              <w:spacing w:after="60"/>
              <w:jc w:val="center"/>
              <w:rPr>
                <w:sz w:val="18"/>
              </w:rPr>
            </w:pPr>
            <w:r>
              <w:rPr>
                <w:sz w:val="18"/>
              </w:rPr>
              <w:t>Año: 2019</w:t>
            </w:r>
          </w:p>
        </w:tc>
        <w:tc>
          <w:tcPr>
            <w:tcW w:w="2400" w:type="dxa"/>
            <w:shd w:val="clear" w:color="auto" w:fill="auto"/>
          </w:tcPr>
          <w:p w:rsidR="004A0F9F" w:rsidRPr="0082339C" w:rsidRDefault="004A0F9F" w:rsidP="004F7F5B">
            <w:pPr>
              <w:spacing w:after="60"/>
              <w:jc w:val="right"/>
              <w:rPr>
                <w:sz w:val="18"/>
              </w:rPr>
            </w:pPr>
            <w:r>
              <w:rPr>
                <w:sz w:val="18"/>
              </w:rPr>
              <w:t>0,53 (toneladas PAO)</w:t>
            </w:r>
          </w:p>
        </w:tc>
      </w:tr>
    </w:tbl>
    <w:p w:rsidR="004A0F9F" w:rsidRPr="0082339C" w:rsidRDefault="004A0F9F" w:rsidP="004A0F9F">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866"/>
        <w:gridCol w:w="1082"/>
        <w:gridCol w:w="1066"/>
        <w:gridCol w:w="1316"/>
        <w:gridCol w:w="996"/>
        <w:gridCol w:w="985"/>
        <w:gridCol w:w="600"/>
        <w:gridCol w:w="1103"/>
      </w:tblGrid>
      <w:tr w:rsidR="004A0F9F" w:rsidRPr="0082339C" w:rsidTr="004F7F5B">
        <w:trPr>
          <w:trHeight w:val="240"/>
        </w:trPr>
        <w:tc>
          <w:tcPr>
            <w:tcW w:w="0" w:type="auto"/>
            <w:gridSpan w:val="8"/>
            <w:shd w:val="clear" w:color="auto" w:fill="auto"/>
          </w:tcPr>
          <w:p w:rsidR="004A0F9F" w:rsidRPr="00410436" w:rsidRDefault="004A0F9F" w:rsidP="004F7F5B">
            <w:pPr>
              <w:spacing w:after="60"/>
              <w:jc w:val="left"/>
              <w:rPr>
                <w:b/>
                <w:sz w:val="18"/>
                <w:lang w:val="es-AR"/>
              </w:rPr>
            </w:pPr>
            <w:r w:rsidRPr="00410436">
              <w:rPr>
                <w:b/>
                <w:sz w:val="18"/>
                <w:lang w:val="es-AR"/>
              </w:rPr>
              <w:t>III) DATOS SECTORIALES DEL PROGRAMA DE PAÍS MÁS RECIENTES (toneladas PAO)</w:t>
            </w:r>
          </w:p>
        </w:tc>
        <w:tc>
          <w:tcPr>
            <w:tcW w:w="0" w:type="auto"/>
            <w:gridSpan w:val="2"/>
            <w:shd w:val="clear" w:color="auto" w:fill="auto"/>
          </w:tcPr>
          <w:p w:rsidR="004A0F9F" w:rsidRPr="0082339C" w:rsidRDefault="004A0F9F" w:rsidP="004F7F5B">
            <w:pPr>
              <w:spacing w:after="60"/>
              <w:jc w:val="right"/>
              <w:rPr>
                <w:b/>
                <w:sz w:val="18"/>
              </w:rPr>
            </w:pPr>
            <w:r>
              <w:rPr>
                <w:b/>
                <w:sz w:val="18"/>
              </w:rPr>
              <w:t>Año: 2019</w:t>
            </w:r>
          </w:p>
        </w:tc>
      </w:tr>
      <w:tr w:rsidR="004A0F9F" w:rsidRPr="0082339C" w:rsidTr="004F7F5B">
        <w:trPr>
          <w:trHeight w:val="240"/>
        </w:trPr>
        <w:tc>
          <w:tcPr>
            <w:tcW w:w="0" w:type="auto"/>
            <w:shd w:val="clear" w:color="auto" w:fill="auto"/>
          </w:tcPr>
          <w:p w:rsidR="004A0F9F" w:rsidRPr="0082339C" w:rsidRDefault="004A0F9F" w:rsidP="004F7F5B">
            <w:pPr>
              <w:spacing w:after="60"/>
              <w:jc w:val="center"/>
              <w:rPr>
                <w:sz w:val="18"/>
              </w:rPr>
            </w:pPr>
            <w:r>
              <w:rPr>
                <w:sz w:val="18"/>
              </w:rPr>
              <w:t>Sustancia química</w:t>
            </w:r>
          </w:p>
        </w:tc>
        <w:tc>
          <w:tcPr>
            <w:tcW w:w="0" w:type="auto"/>
            <w:shd w:val="clear" w:color="auto" w:fill="auto"/>
          </w:tcPr>
          <w:p w:rsidR="004A0F9F" w:rsidRPr="0082339C" w:rsidRDefault="004A0F9F" w:rsidP="004F7F5B">
            <w:pPr>
              <w:spacing w:after="60"/>
              <w:jc w:val="center"/>
              <w:rPr>
                <w:sz w:val="18"/>
              </w:rPr>
            </w:pPr>
            <w:r>
              <w:rPr>
                <w:sz w:val="18"/>
              </w:rPr>
              <w:t>Aerosol</w:t>
            </w:r>
          </w:p>
        </w:tc>
        <w:tc>
          <w:tcPr>
            <w:tcW w:w="0" w:type="auto"/>
            <w:shd w:val="clear" w:color="auto" w:fill="auto"/>
          </w:tcPr>
          <w:p w:rsidR="004A0F9F" w:rsidRPr="0082339C" w:rsidRDefault="004A0F9F" w:rsidP="004F7F5B">
            <w:pPr>
              <w:spacing w:after="60"/>
              <w:jc w:val="center"/>
              <w:rPr>
                <w:sz w:val="18"/>
              </w:rPr>
            </w:pPr>
            <w:r>
              <w:rPr>
                <w:sz w:val="18"/>
              </w:rPr>
              <w:t>Espumas</w:t>
            </w:r>
          </w:p>
        </w:tc>
        <w:tc>
          <w:tcPr>
            <w:tcW w:w="0" w:type="auto"/>
            <w:shd w:val="clear" w:color="auto" w:fill="auto"/>
          </w:tcPr>
          <w:p w:rsidR="004A0F9F" w:rsidRPr="0082339C" w:rsidRDefault="004A0F9F" w:rsidP="004F7F5B">
            <w:pPr>
              <w:spacing w:after="60"/>
              <w:jc w:val="center"/>
              <w:rPr>
                <w:sz w:val="18"/>
              </w:rPr>
            </w:pPr>
            <w:r>
              <w:rPr>
                <w:sz w:val="18"/>
              </w:rPr>
              <w:t>Lucha contra incendios</w:t>
            </w:r>
          </w:p>
        </w:tc>
        <w:tc>
          <w:tcPr>
            <w:tcW w:w="0" w:type="auto"/>
            <w:gridSpan w:val="2"/>
            <w:shd w:val="clear" w:color="auto" w:fill="auto"/>
          </w:tcPr>
          <w:p w:rsidR="004A0F9F" w:rsidRPr="0082339C" w:rsidRDefault="004A0F9F" w:rsidP="004F7F5B">
            <w:pPr>
              <w:spacing w:after="60"/>
              <w:jc w:val="center"/>
              <w:rPr>
                <w:sz w:val="18"/>
              </w:rPr>
            </w:pPr>
            <w:r>
              <w:rPr>
                <w:sz w:val="18"/>
              </w:rPr>
              <w:t>Refrigeración</w:t>
            </w:r>
          </w:p>
        </w:tc>
        <w:tc>
          <w:tcPr>
            <w:tcW w:w="0" w:type="auto"/>
            <w:shd w:val="clear" w:color="auto" w:fill="auto"/>
          </w:tcPr>
          <w:p w:rsidR="004A0F9F" w:rsidRPr="0082339C" w:rsidRDefault="004A0F9F" w:rsidP="004F7F5B">
            <w:pPr>
              <w:spacing w:after="60"/>
              <w:jc w:val="center"/>
              <w:rPr>
                <w:sz w:val="18"/>
              </w:rPr>
            </w:pPr>
            <w:r>
              <w:rPr>
                <w:sz w:val="18"/>
              </w:rPr>
              <w:t>Disolvente</w:t>
            </w:r>
          </w:p>
        </w:tc>
        <w:tc>
          <w:tcPr>
            <w:tcW w:w="0" w:type="auto"/>
            <w:shd w:val="clear" w:color="auto" w:fill="auto"/>
          </w:tcPr>
          <w:p w:rsidR="004A0F9F" w:rsidRPr="0082339C" w:rsidRDefault="004A0F9F" w:rsidP="004F7F5B">
            <w:pPr>
              <w:spacing w:after="60"/>
              <w:jc w:val="center"/>
              <w:rPr>
                <w:sz w:val="18"/>
              </w:rPr>
            </w:pPr>
            <w:r>
              <w:rPr>
                <w:sz w:val="18"/>
              </w:rPr>
              <w:t>Agente de procesos</w:t>
            </w:r>
          </w:p>
        </w:tc>
        <w:tc>
          <w:tcPr>
            <w:tcW w:w="0" w:type="auto"/>
            <w:shd w:val="clear" w:color="auto" w:fill="auto"/>
          </w:tcPr>
          <w:p w:rsidR="004A0F9F" w:rsidRPr="0082339C" w:rsidRDefault="004A0F9F" w:rsidP="004F7F5B">
            <w:pPr>
              <w:spacing w:after="60"/>
              <w:jc w:val="center"/>
              <w:rPr>
                <w:sz w:val="18"/>
              </w:rPr>
            </w:pPr>
            <w:r>
              <w:rPr>
                <w:sz w:val="18"/>
              </w:rPr>
              <w:t>Uso en lab.</w:t>
            </w:r>
          </w:p>
        </w:tc>
        <w:tc>
          <w:tcPr>
            <w:tcW w:w="0" w:type="auto"/>
            <w:shd w:val="clear" w:color="auto" w:fill="auto"/>
          </w:tcPr>
          <w:p w:rsidR="004A0F9F" w:rsidRPr="0082339C" w:rsidRDefault="004A0F9F" w:rsidP="004F7F5B">
            <w:pPr>
              <w:spacing w:after="60"/>
              <w:jc w:val="center"/>
              <w:rPr>
                <w:sz w:val="18"/>
              </w:rPr>
            </w:pPr>
            <w:r>
              <w:rPr>
                <w:sz w:val="18"/>
              </w:rPr>
              <w:t>Consumo total del sector</w:t>
            </w:r>
          </w:p>
        </w:tc>
      </w:tr>
      <w:tr w:rsidR="004A0F9F" w:rsidRPr="0082339C" w:rsidTr="004F7F5B">
        <w:trPr>
          <w:trHeight w:val="240"/>
        </w:trPr>
        <w:tc>
          <w:tcPr>
            <w:tcW w:w="0" w:type="auto"/>
            <w:gridSpan w:val="4"/>
            <w:shd w:val="clear" w:color="auto" w:fill="auto"/>
          </w:tcPr>
          <w:p w:rsidR="004A0F9F" w:rsidRPr="0082339C" w:rsidRDefault="004A0F9F" w:rsidP="004F7F5B">
            <w:pPr>
              <w:spacing w:after="60"/>
              <w:jc w:val="center"/>
              <w:rPr>
                <w:sz w:val="18"/>
              </w:rPr>
            </w:pPr>
            <w:r>
              <w:rPr>
                <w:sz w:val="18"/>
              </w:rPr>
              <w:t xml:space="preserve"> </w:t>
            </w:r>
          </w:p>
        </w:tc>
        <w:tc>
          <w:tcPr>
            <w:tcW w:w="0" w:type="auto"/>
            <w:shd w:val="clear" w:color="auto" w:fill="auto"/>
          </w:tcPr>
          <w:p w:rsidR="004A0F9F" w:rsidRPr="0082339C" w:rsidRDefault="004A0F9F" w:rsidP="004F7F5B">
            <w:pPr>
              <w:spacing w:after="60"/>
              <w:jc w:val="center"/>
              <w:rPr>
                <w:sz w:val="18"/>
              </w:rPr>
            </w:pPr>
            <w:r>
              <w:rPr>
                <w:sz w:val="18"/>
              </w:rPr>
              <w:t>Fabricación</w:t>
            </w:r>
          </w:p>
        </w:tc>
        <w:tc>
          <w:tcPr>
            <w:tcW w:w="0" w:type="auto"/>
            <w:shd w:val="clear" w:color="auto" w:fill="auto"/>
          </w:tcPr>
          <w:p w:rsidR="004A0F9F" w:rsidRPr="0082339C" w:rsidRDefault="004A0F9F" w:rsidP="004F7F5B">
            <w:pPr>
              <w:spacing w:after="60"/>
              <w:jc w:val="center"/>
              <w:rPr>
                <w:sz w:val="18"/>
              </w:rPr>
            </w:pPr>
            <w:r>
              <w:rPr>
                <w:sz w:val="18"/>
              </w:rPr>
              <w:t>Mantenimiento</w:t>
            </w:r>
          </w:p>
        </w:tc>
        <w:tc>
          <w:tcPr>
            <w:tcW w:w="0" w:type="auto"/>
            <w:gridSpan w:val="4"/>
            <w:shd w:val="clear" w:color="auto" w:fill="auto"/>
          </w:tcPr>
          <w:p w:rsidR="004A0F9F" w:rsidRPr="0082339C" w:rsidRDefault="004A0F9F" w:rsidP="004F7F5B">
            <w:pPr>
              <w:spacing w:after="60"/>
              <w:jc w:val="center"/>
              <w:rPr>
                <w:sz w:val="18"/>
                <w:lang w:val="en-CA"/>
              </w:rPr>
            </w:pPr>
          </w:p>
        </w:tc>
      </w:tr>
      <w:tr w:rsidR="004A0F9F" w:rsidRPr="0082339C" w:rsidTr="004F7F5B">
        <w:trPr>
          <w:trHeight w:val="240"/>
        </w:trPr>
        <w:tc>
          <w:tcPr>
            <w:tcW w:w="1200" w:type="dxa"/>
            <w:shd w:val="clear" w:color="auto" w:fill="auto"/>
          </w:tcPr>
          <w:p w:rsidR="004A0F9F" w:rsidRPr="0082339C" w:rsidRDefault="004A0F9F" w:rsidP="004F7F5B">
            <w:pPr>
              <w:spacing w:after="60"/>
              <w:jc w:val="left"/>
              <w:rPr>
                <w:sz w:val="18"/>
              </w:rPr>
            </w:pPr>
            <w:r>
              <w:rPr>
                <w:sz w:val="18"/>
              </w:rPr>
              <w:t>HCFC-22</w:t>
            </w:r>
          </w:p>
        </w:tc>
        <w:tc>
          <w:tcPr>
            <w:tcW w:w="0" w:type="auto"/>
            <w:shd w:val="clear" w:color="auto" w:fill="auto"/>
          </w:tcPr>
          <w:p w:rsidR="004A0F9F" w:rsidRPr="0082339C" w:rsidRDefault="004A0F9F" w:rsidP="004F7F5B">
            <w:pPr>
              <w:spacing w:after="60"/>
              <w:jc w:val="right"/>
              <w:rPr>
                <w:sz w:val="18"/>
                <w:lang w:val="en-CA"/>
              </w:rPr>
            </w:pPr>
          </w:p>
        </w:tc>
        <w:tc>
          <w:tcPr>
            <w:tcW w:w="0" w:type="auto"/>
            <w:shd w:val="clear" w:color="auto" w:fill="auto"/>
          </w:tcPr>
          <w:p w:rsidR="004A0F9F" w:rsidRPr="0082339C" w:rsidRDefault="004A0F9F" w:rsidP="004F7F5B">
            <w:pPr>
              <w:spacing w:after="60"/>
              <w:jc w:val="right"/>
              <w:rPr>
                <w:sz w:val="18"/>
                <w:lang w:val="en-CA"/>
              </w:rPr>
            </w:pPr>
          </w:p>
        </w:tc>
        <w:tc>
          <w:tcPr>
            <w:tcW w:w="0" w:type="auto"/>
            <w:shd w:val="clear" w:color="auto" w:fill="auto"/>
          </w:tcPr>
          <w:p w:rsidR="004A0F9F" w:rsidRPr="0082339C" w:rsidRDefault="004A0F9F" w:rsidP="004F7F5B">
            <w:pPr>
              <w:spacing w:after="60"/>
              <w:jc w:val="right"/>
              <w:rPr>
                <w:sz w:val="18"/>
                <w:lang w:val="en-CA"/>
              </w:rPr>
            </w:pPr>
          </w:p>
        </w:tc>
        <w:tc>
          <w:tcPr>
            <w:tcW w:w="0" w:type="auto"/>
            <w:shd w:val="clear" w:color="auto" w:fill="auto"/>
          </w:tcPr>
          <w:p w:rsidR="004A0F9F" w:rsidRPr="0082339C" w:rsidRDefault="004A0F9F" w:rsidP="004F7F5B">
            <w:pPr>
              <w:spacing w:after="60"/>
              <w:jc w:val="right"/>
              <w:rPr>
                <w:sz w:val="18"/>
                <w:lang w:val="en-CA"/>
              </w:rPr>
            </w:pPr>
          </w:p>
        </w:tc>
        <w:tc>
          <w:tcPr>
            <w:tcW w:w="0" w:type="auto"/>
            <w:shd w:val="clear" w:color="auto" w:fill="auto"/>
          </w:tcPr>
          <w:p w:rsidR="004A0F9F" w:rsidRPr="0082339C" w:rsidRDefault="004A0F9F" w:rsidP="004F7F5B">
            <w:pPr>
              <w:spacing w:after="60"/>
              <w:jc w:val="right"/>
              <w:rPr>
                <w:sz w:val="18"/>
              </w:rPr>
            </w:pPr>
            <w:r>
              <w:rPr>
                <w:sz w:val="18"/>
              </w:rPr>
              <w:t>0,53</w:t>
            </w:r>
          </w:p>
        </w:tc>
        <w:tc>
          <w:tcPr>
            <w:tcW w:w="0" w:type="auto"/>
            <w:shd w:val="clear" w:color="auto" w:fill="auto"/>
          </w:tcPr>
          <w:p w:rsidR="004A0F9F" w:rsidRPr="0082339C" w:rsidRDefault="004A0F9F" w:rsidP="004F7F5B">
            <w:pPr>
              <w:spacing w:after="60"/>
              <w:jc w:val="right"/>
              <w:rPr>
                <w:sz w:val="18"/>
                <w:lang w:val="en-CA"/>
              </w:rPr>
            </w:pPr>
          </w:p>
        </w:tc>
        <w:tc>
          <w:tcPr>
            <w:tcW w:w="0" w:type="auto"/>
            <w:shd w:val="clear" w:color="auto" w:fill="auto"/>
          </w:tcPr>
          <w:p w:rsidR="004A0F9F" w:rsidRPr="0082339C" w:rsidRDefault="004A0F9F" w:rsidP="004F7F5B">
            <w:pPr>
              <w:spacing w:after="60"/>
              <w:jc w:val="right"/>
              <w:rPr>
                <w:sz w:val="18"/>
                <w:lang w:val="en-CA"/>
              </w:rPr>
            </w:pPr>
          </w:p>
        </w:tc>
        <w:tc>
          <w:tcPr>
            <w:tcW w:w="0" w:type="auto"/>
            <w:shd w:val="clear" w:color="auto" w:fill="auto"/>
          </w:tcPr>
          <w:p w:rsidR="004A0F9F" w:rsidRPr="0082339C" w:rsidRDefault="004A0F9F" w:rsidP="004F7F5B">
            <w:pPr>
              <w:spacing w:after="60"/>
              <w:jc w:val="right"/>
              <w:rPr>
                <w:sz w:val="18"/>
                <w:lang w:val="en-CA"/>
              </w:rPr>
            </w:pPr>
          </w:p>
        </w:tc>
        <w:tc>
          <w:tcPr>
            <w:tcW w:w="0" w:type="auto"/>
            <w:shd w:val="clear" w:color="auto" w:fill="auto"/>
          </w:tcPr>
          <w:p w:rsidR="004A0F9F" w:rsidRPr="0082339C" w:rsidRDefault="004A0F9F" w:rsidP="004F7F5B">
            <w:pPr>
              <w:spacing w:after="60"/>
              <w:jc w:val="right"/>
              <w:rPr>
                <w:sz w:val="18"/>
              </w:rPr>
            </w:pPr>
            <w:r>
              <w:rPr>
                <w:sz w:val="18"/>
              </w:rPr>
              <w:t>0,53</w:t>
            </w:r>
          </w:p>
        </w:tc>
      </w:tr>
    </w:tbl>
    <w:p w:rsidR="004A0F9F" w:rsidRPr="0082339C" w:rsidRDefault="004A0F9F" w:rsidP="004A0F9F">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43"/>
        <w:gridCol w:w="656"/>
        <w:gridCol w:w="5845"/>
        <w:gridCol w:w="656"/>
      </w:tblGrid>
      <w:tr w:rsidR="004A0F9F" w:rsidRPr="00410436" w:rsidTr="004F7F5B">
        <w:trPr>
          <w:trHeight w:val="240"/>
        </w:trPr>
        <w:tc>
          <w:tcPr>
            <w:tcW w:w="0" w:type="auto"/>
            <w:gridSpan w:val="4"/>
            <w:shd w:val="clear" w:color="auto" w:fill="auto"/>
          </w:tcPr>
          <w:p w:rsidR="004A0F9F" w:rsidRPr="00410436" w:rsidRDefault="004A0F9F" w:rsidP="004F7F5B">
            <w:pPr>
              <w:spacing w:after="60"/>
              <w:jc w:val="left"/>
              <w:rPr>
                <w:b/>
                <w:sz w:val="18"/>
                <w:lang w:val="es-AR"/>
              </w:rPr>
            </w:pPr>
            <w:r w:rsidRPr="00410436">
              <w:rPr>
                <w:b/>
                <w:sz w:val="18"/>
                <w:lang w:val="es-AR"/>
              </w:rPr>
              <w:t>IV) DATOS SOBRE EL CONSUMO (toneladas PAO)</w:t>
            </w:r>
          </w:p>
        </w:tc>
      </w:tr>
      <w:tr w:rsidR="004A0F9F" w:rsidRPr="0082339C" w:rsidTr="004F7F5B">
        <w:trPr>
          <w:trHeight w:val="240"/>
        </w:trPr>
        <w:tc>
          <w:tcPr>
            <w:tcW w:w="0" w:type="auto"/>
            <w:shd w:val="clear" w:color="auto" w:fill="auto"/>
          </w:tcPr>
          <w:p w:rsidR="004A0F9F" w:rsidRPr="0082339C" w:rsidRDefault="004A0F9F" w:rsidP="004F7F5B">
            <w:pPr>
              <w:spacing w:after="60"/>
              <w:jc w:val="center"/>
              <w:rPr>
                <w:sz w:val="18"/>
              </w:rPr>
            </w:pPr>
            <w:r>
              <w:rPr>
                <w:sz w:val="18"/>
              </w:rPr>
              <w:t>Nivel básico en 2009 - 2010:</w:t>
            </w:r>
          </w:p>
        </w:tc>
        <w:tc>
          <w:tcPr>
            <w:tcW w:w="0" w:type="auto"/>
            <w:shd w:val="clear" w:color="auto" w:fill="auto"/>
          </w:tcPr>
          <w:p w:rsidR="004A0F9F" w:rsidRPr="0082339C" w:rsidRDefault="004A0F9F" w:rsidP="004F7F5B">
            <w:pPr>
              <w:spacing w:after="60"/>
              <w:jc w:val="right"/>
              <w:rPr>
                <w:sz w:val="18"/>
              </w:rPr>
            </w:pPr>
            <w:r>
              <w:rPr>
                <w:sz w:val="18"/>
              </w:rPr>
              <w:t>1,0</w:t>
            </w:r>
          </w:p>
        </w:tc>
        <w:tc>
          <w:tcPr>
            <w:tcW w:w="0" w:type="auto"/>
            <w:shd w:val="clear" w:color="auto" w:fill="auto"/>
          </w:tcPr>
          <w:p w:rsidR="004A0F9F" w:rsidRPr="00410436" w:rsidRDefault="004A0F9F" w:rsidP="004F7F5B">
            <w:pPr>
              <w:spacing w:after="60"/>
              <w:jc w:val="center"/>
              <w:rPr>
                <w:sz w:val="18"/>
                <w:lang w:val="es-AR"/>
              </w:rPr>
            </w:pPr>
            <w:r w:rsidRPr="00410436">
              <w:rPr>
                <w:sz w:val="18"/>
                <w:lang w:val="es-AR"/>
              </w:rPr>
              <w:t>Punto de partida para las reducciones acumulativas sostenidas:</w:t>
            </w:r>
          </w:p>
        </w:tc>
        <w:tc>
          <w:tcPr>
            <w:tcW w:w="0" w:type="auto"/>
            <w:shd w:val="clear" w:color="auto" w:fill="auto"/>
          </w:tcPr>
          <w:p w:rsidR="004A0F9F" w:rsidRPr="0082339C" w:rsidRDefault="004A0F9F" w:rsidP="004F7F5B">
            <w:pPr>
              <w:spacing w:after="60"/>
              <w:jc w:val="right"/>
              <w:rPr>
                <w:sz w:val="18"/>
              </w:rPr>
            </w:pPr>
            <w:r>
              <w:rPr>
                <w:sz w:val="18"/>
              </w:rPr>
              <w:t>1,0</w:t>
            </w:r>
          </w:p>
        </w:tc>
      </w:tr>
      <w:tr w:rsidR="004A0F9F" w:rsidRPr="00410436" w:rsidTr="004F7F5B">
        <w:trPr>
          <w:trHeight w:val="240"/>
        </w:trPr>
        <w:tc>
          <w:tcPr>
            <w:tcW w:w="0" w:type="auto"/>
            <w:gridSpan w:val="4"/>
            <w:shd w:val="clear" w:color="auto" w:fill="auto"/>
          </w:tcPr>
          <w:p w:rsidR="004A0F9F" w:rsidRPr="00410436" w:rsidRDefault="004A0F9F" w:rsidP="004F7F5B">
            <w:pPr>
              <w:spacing w:after="60"/>
              <w:jc w:val="center"/>
              <w:rPr>
                <w:b/>
                <w:sz w:val="18"/>
                <w:lang w:val="es-AR"/>
              </w:rPr>
            </w:pPr>
            <w:r w:rsidRPr="00410436">
              <w:rPr>
                <w:b/>
                <w:sz w:val="18"/>
                <w:lang w:val="es-AR"/>
              </w:rPr>
              <w:t>CONSUMO ADMISIBLE PARA LA FINANCIACIÓN (toneladas PAO)</w:t>
            </w:r>
          </w:p>
        </w:tc>
      </w:tr>
      <w:tr w:rsidR="004A0F9F" w:rsidRPr="0082339C" w:rsidTr="004F7F5B">
        <w:trPr>
          <w:trHeight w:val="240"/>
        </w:trPr>
        <w:tc>
          <w:tcPr>
            <w:tcW w:w="0" w:type="auto"/>
            <w:shd w:val="clear" w:color="auto" w:fill="auto"/>
          </w:tcPr>
          <w:p w:rsidR="004A0F9F" w:rsidRPr="0082339C" w:rsidRDefault="004A0F9F" w:rsidP="004F7F5B">
            <w:pPr>
              <w:spacing w:after="60"/>
              <w:jc w:val="center"/>
              <w:rPr>
                <w:sz w:val="18"/>
              </w:rPr>
            </w:pPr>
            <w:r>
              <w:rPr>
                <w:sz w:val="18"/>
              </w:rPr>
              <w:t>Ya aprobado:</w:t>
            </w:r>
          </w:p>
        </w:tc>
        <w:tc>
          <w:tcPr>
            <w:tcW w:w="0" w:type="auto"/>
            <w:shd w:val="clear" w:color="auto" w:fill="auto"/>
          </w:tcPr>
          <w:p w:rsidR="004A0F9F" w:rsidRPr="0082339C" w:rsidRDefault="004A0F9F" w:rsidP="004F7F5B">
            <w:pPr>
              <w:spacing w:after="60"/>
              <w:jc w:val="right"/>
              <w:rPr>
                <w:sz w:val="18"/>
              </w:rPr>
            </w:pPr>
            <w:r>
              <w:rPr>
                <w:sz w:val="18"/>
              </w:rPr>
              <w:t>0,35</w:t>
            </w:r>
          </w:p>
        </w:tc>
        <w:tc>
          <w:tcPr>
            <w:tcW w:w="0" w:type="auto"/>
            <w:shd w:val="clear" w:color="auto" w:fill="auto"/>
          </w:tcPr>
          <w:p w:rsidR="004A0F9F" w:rsidRPr="0082339C" w:rsidRDefault="004A0F9F" w:rsidP="004F7F5B">
            <w:pPr>
              <w:spacing w:after="60"/>
              <w:jc w:val="center"/>
              <w:rPr>
                <w:sz w:val="18"/>
              </w:rPr>
            </w:pPr>
            <w:r>
              <w:rPr>
                <w:sz w:val="18"/>
              </w:rPr>
              <w:t>Restante:</w:t>
            </w:r>
          </w:p>
        </w:tc>
        <w:tc>
          <w:tcPr>
            <w:tcW w:w="0" w:type="auto"/>
            <w:shd w:val="clear" w:color="auto" w:fill="auto"/>
          </w:tcPr>
          <w:p w:rsidR="004A0F9F" w:rsidRPr="0082339C" w:rsidRDefault="004A0F9F" w:rsidP="004F7F5B">
            <w:pPr>
              <w:spacing w:after="60"/>
              <w:jc w:val="right"/>
              <w:rPr>
                <w:sz w:val="18"/>
              </w:rPr>
            </w:pPr>
            <w:r>
              <w:rPr>
                <w:sz w:val="18"/>
              </w:rPr>
              <w:t>0,65</w:t>
            </w:r>
          </w:p>
        </w:tc>
      </w:tr>
    </w:tbl>
    <w:p w:rsidR="004A0F9F" w:rsidRPr="0082339C" w:rsidRDefault="004A0F9F" w:rsidP="004A0F9F">
      <w:pPr>
        <w:spacing w:after="60"/>
        <w:jc w:val="center"/>
        <w:rPr>
          <w:lang w:val="en-CA"/>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8"/>
        <w:gridCol w:w="4409"/>
        <w:gridCol w:w="4868"/>
      </w:tblGrid>
      <w:tr w:rsidR="004A0F9F" w:rsidRPr="0082339C" w:rsidTr="004F7F5B">
        <w:trPr>
          <w:trHeight w:val="220"/>
        </w:trPr>
        <w:tc>
          <w:tcPr>
            <w:tcW w:w="5117" w:type="dxa"/>
            <w:gridSpan w:val="2"/>
            <w:shd w:val="clear" w:color="auto" w:fill="auto"/>
          </w:tcPr>
          <w:p w:rsidR="004A0F9F" w:rsidRPr="0082339C" w:rsidRDefault="004A0F9F" w:rsidP="004F7F5B">
            <w:pPr>
              <w:spacing w:after="60"/>
              <w:jc w:val="left"/>
              <w:rPr>
                <w:b/>
                <w:sz w:val="18"/>
              </w:rPr>
            </w:pPr>
            <w:r>
              <w:rPr>
                <w:b/>
                <w:sz w:val="18"/>
              </w:rPr>
              <w:t>V) PLAN ADMINISTRATIVO</w:t>
            </w:r>
          </w:p>
        </w:tc>
        <w:tc>
          <w:tcPr>
            <w:tcW w:w="4868" w:type="dxa"/>
            <w:shd w:val="clear" w:color="auto" w:fill="auto"/>
          </w:tcPr>
          <w:p w:rsidR="004A0F9F" w:rsidRPr="0082339C" w:rsidRDefault="004A0F9F" w:rsidP="004F7F5B">
            <w:pPr>
              <w:spacing w:after="60"/>
              <w:jc w:val="center"/>
              <w:rPr>
                <w:b/>
                <w:sz w:val="18"/>
              </w:rPr>
            </w:pPr>
            <w:r>
              <w:rPr>
                <w:b/>
                <w:sz w:val="18"/>
              </w:rPr>
              <w:t>2020</w:t>
            </w:r>
          </w:p>
        </w:tc>
      </w:tr>
      <w:tr w:rsidR="004A0F9F" w:rsidRPr="0082339C" w:rsidTr="004F7F5B">
        <w:trPr>
          <w:trHeight w:val="220"/>
        </w:trPr>
        <w:tc>
          <w:tcPr>
            <w:tcW w:w="0" w:type="auto"/>
            <w:vMerge w:val="restart"/>
            <w:shd w:val="clear" w:color="auto" w:fill="auto"/>
          </w:tcPr>
          <w:p w:rsidR="004A0F9F" w:rsidRPr="0082339C" w:rsidRDefault="004A0F9F" w:rsidP="004F7F5B">
            <w:pPr>
              <w:spacing w:after="60"/>
              <w:jc w:val="center"/>
              <w:rPr>
                <w:sz w:val="18"/>
              </w:rPr>
            </w:pPr>
            <w:r>
              <w:rPr>
                <w:sz w:val="18"/>
              </w:rPr>
              <w:t>PNUD</w:t>
            </w:r>
          </w:p>
        </w:tc>
        <w:tc>
          <w:tcPr>
            <w:tcW w:w="4409" w:type="dxa"/>
            <w:shd w:val="clear" w:color="auto" w:fill="auto"/>
          </w:tcPr>
          <w:p w:rsidR="004A0F9F" w:rsidRPr="00410436" w:rsidRDefault="004A0F9F" w:rsidP="004F7F5B">
            <w:pPr>
              <w:spacing w:after="60"/>
              <w:jc w:val="left"/>
              <w:rPr>
                <w:sz w:val="18"/>
                <w:lang w:val="es-AR"/>
              </w:rPr>
            </w:pPr>
            <w:r w:rsidRPr="00410436">
              <w:rPr>
                <w:sz w:val="18"/>
                <w:lang w:val="es-AR"/>
              </w:rPr>
              <w:t>Eliminación de SAO (toneladas PAO)</w:t>
            </w:r>
          </w:p>
        </w:tc>
        <w:tc>
          <w:tcPr>
            <w:tcW w:w="4868" w:type="dxa"/>
            <w:shd w:val="clear" w:color="auto" w:fill="auto"/>
          </w:tcPr>
          <w:p w:rsidR="004A0F9F" w:rsidRPr="0082339C" w:rsidRDefault="004A0F9F" w:rsidP="004F7F5B">
            <w:pPr>
              <w:spacing w:after="60"/>
              <w:jc w:val="right"/>
              <w:rPr>
                <w:sz w:val="18"/>
              </w:rPr>
            </w:pPr>
            <w:r>
              <w:rPr>
                <w:sz w:val="18"/>
              </w:rPr>
              <w:t>0,03</w:t>
            </w:r>
          </w:p>
        </w:tc>
      </w:tr>
      <w:tr w:rsidR="004A0F9F" w:rsidRPr="0082339C" w:rsidTr="004F7F5B">
        <w:trPr>
          <w:trHeight w:val="220"/>
        </w:trPr>
        <w:tc>
          <w:tcPr>
            <w:tcW w:w="0" w:type="auto"/>
            <w:vMerge/>
            <w:shd w:val="clear" w:color="auto" w:fill="auto"/>
          </w:tcPr>
          <w:p w:rsidR="004A0F9F" w:rsidRPr="0082339C" w:rsidRDefault="004A0F9F" w:rsidP="004F7F5B">
            <w:pPr>
              <w:spacing w:after="60"/>
              <w:jc w:val="center"/>
              <w:rPr>
                <w:sz w:val="18"/>
                <w:lang w:val="en-CA"/>
              </w:rPr>
            </w:pPr>
          </w:p>
        </w:tc>
        <w:tc>
          <w:tcPr>
            <w:tcW w:w="4409" w:type="dxa"/>
            <w:shd w:val="clear" w:color="auto" w:fill="auto"/>
          </w:tcPr>
          <w:p w:rsidR="004A0F9F" w:rsidRPr="0082339C" w:rsidRDefault="004A0F9F" w:rsidP="004F7F5B">
            <w:pPr>
              <w:spacing w:after="60"/>
              <w:jc w:val="left"/>
              <w:rPr>
                <w:sz w:val="18"/>
              </w:rPr>
            </w:pPr>
            <w:r>
              <w:rPr>
                <w:sz w:val="18"/>
              </w:rPr>
              <w:t>Financiación ($EUA)</w:t>
            </w:r>
          </w:p>
        </w:tc>
        <w:tc>
          <w:tcPr>
            <w:tcW w:w="4868" w:type="dxa"/>
            <w:shd w:val="clear" w:color="auto" w:fill="auto"/>
          </w:tcPr>
          <w:p w:rsidR="004A0F9F" w:rsidRPr="0082339C" w:rsidRDefault="004A0F9F" w:rsidP="004F7F5B">
            <w:pPr>
              <w:spacing w:after="60"/>
              <w:jc w:val="right"/>
              <w:rPr>
                <w:sz w:val="18"/>
              </w:rPr>
            </w:pPr>
            <w:r>
              <w:rPr>
                <w:sz w:val="18"/>
              </w:rPr>
              <w:t>19.020</w:t>
            </w:r>
          </w:p>
        </w:tc>
      </w:tr>
    </w:tbl>
    <w:p w:rsidR="004A0F9F" w:rsidRPr="0082339C" w:rsidRDefault="004A0F9F" w:rsidP="004A0F9F">
      <w:pPr>
        <w:spacing w:after="60"/>
        <w:jc w:val="center"/>
        <w:rPr>
          <w:lang w:val="en-CA"/>
        </w:rPr>
      </w:pPr>
    </w:p>
    <w:tbl>
      <w:tblPr>
        <w:tblStyle w:val="TableGrid"/>
        <w:tblW w:w="996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38"/>
        <w:gridCol w:w="1276"/>
        <w:gridCol w:w="1417"/>
        <w:gridCol w:w="921"/>
        <w:gridCol w:w="921"/>
        <w:gridCol w:w="921"/>
        <w:gridCol w:w="921"/>
        <w:gridCol w:w="922"/>
        <w:gridCol w:w="826"/>
      </w:tblGrid>
      <w:tr w:rsidR="004A0F9F" w:rsidRPr="0082339C" w:rsidTr="004F7F5B">
        <w:trPr>
          <w:trHeight w:val="261"/>
        </w:trPr>
        <w:tc>
          <w:tcPr>
            <w:tcW w:w="4531" w:type="dxa"/>
            <w:gridSpan w:val="3"/>
            <w:shd w:val="clear" w:color="auto" w:fill="auto"/>
          </w:tcPr>
          <w:p w:rsidR="004A0F9F" w:rsidRPr="0082339C" w:rsidRDefault="004A0F9F" w:rsidP="004F7F5B">
            <w:pPr>
              <w:spacing w:after="60"/>
              <w:jc w:val="left"/>
              <w:rPr>
                <w:b/>
                <w:sz w:val="18"/>
              </w:rPr>
            </w:pPr>
            <w:r>
              <w:rPr>
                <w:b/>
                <w:sz w:val="18"/>
              </w:rPr>
              <w:t>VI) DATOS DEL PROYECTO</w:t>
            </w:r>
          </w:p>
        </w:tc>
        <w:tc>
          <w:tcPr>
            <w:tcW w:w="921" w:type="dxa"/>
            <w:shd w:val="clear" w:color="auto" w:fill="auto"/>
          </w:tcPr>
          <w:p w:rsidR="004A0F9F" w:rsidRPr="0082339C" w:rsidRDefault="004A0F9F" w:rsidP="004F7F5B">
            <w:pPr>
              <w:spacing w:after="60"/>
              <w:jc w:val="center"/>
              <w:rPr>
                <w:b/>
                <w:sz w:val="18"/>
              </w:rPr>
            </w:pPr>
            <w:r>
              <w:rPr>
                <w:b/>
                <w:sz w:val="18"/>
              </w:rPr>
              <w:t>2016</w:t>
            </w:r>
          </w:p>
        </w:tc>
        <w:tc>
          <w:tcPr>
            <w:tcW w:w="921" w:type="dxa"/>
            <w:shd w:val="clear" w:color="auto" w:fill="auto"/>
          </w:tcPr>
          <w:p w:rsidR="004A0F9F" w:rsidRPr="0082339C" w:rsidRDefault="004A0F9F" w:rsidP="004F7F5B">
            <w:pPr>
              <w:spacing w:after="60"/>
              <w:jc w:val="center"/>
              <w:rPr>
                <w:b/>
                <w:sz w:val="18"/>
              </w:rPr>
            </w:pPr>
            <w:r>
              <w:rPr>
                <w:b/>
                <w:sz w:val="18"/>
              </w:rPr>
              <w:t>2017</w:t>
            </w:r>
          </w:p>
        </w:tc>
        <w:tc>
          <w:tcPr>
            <w:tcW w:w="921" w:type="dxa"/>
            <w:shd w:val="clear" w:color="auto" w:fill="auto"/>
          </w:tcPr>
          <w:p w:rsidR="004A0F9F" w:rsidRPr="0082339C" w:rsidRDefault="004A0F9F" w:rsidP="004F7F5B">
            <w:pPr>
              <w:spacing w:after="60"/>
              <w:jc w:val="center"/>
              <w:rPr>
                <w:b/>
                <w:sz w:val="18"/>
              </w:rPr>
            </w:pPr>
            <w:r>
              <w:rPr>
                <w:b/>
                <w:sz w:val="18"/>
              </w:rPr>
              <w:t>2018</w:t>
            </w:r>
          </w:p>
        </w:tc>
        <w:tc>
          <w:tcPr>
            <w:tcW w:w="921" w:type="dxa"/>
            <w:shd w:val="clear" w:color="auto" w:fill="auto"/>
          </w:tcPr>
          <w:p w:rsidR="004A0F9F" w:rsidRPr="0082339C" w:rsidRDefault="004A0F9F" w:rsidP="004F7F5B">
            <w:pPr>
              <w:spacing w:after="60"/>
              <w:jc w:val="center"/>
              <w:rPr>
                <w:b/>
                <w:sz w:val="18"/>
              </w:rPr>
            </w:pPr>
            <w:r>
              <w:rPr>
                <w:b/>
                <w:sz w:val="18"/>
              </w:rPr>
              <w:t>2019*</w:t>
            </w:r>
          </w:p>
        </w:tc>
        <w:tc>
          <w:tcPr>
            <w:tcW w:w="922" w:type="dxa"/>
            <w:shd w:val="clear" w:color="auto" w:fill="auto"/>
          </w:tcPr>
          <w:p w:rsidR="004A0F9F" w:rsidRPr="0082339C" w:rsidRDefault="004A0F9F" w:rsidP="004F7F5B">
            <w:pPr>
              <w:spacing w:after="60"/>
              <w:jc w:val="center"/>
              <w:rPr>
                <w:b/>
                <w:sz w:val="18"/>
              </w:rPr>
            </w:pPr>
            <w:r>
              <w:rPr>
                <w:b/>
                <w:sz w:val="18"/>
              </w:rPr>
              <w:t>2020</w:t>
            </w:r>
          </w:p>
        </w:tc>
        <w:tc>
          <w:tcPr>
            <w:tcW w:w="0" w:type="auto"/>
            <w:shd w:val="clear" w:color="auto" w:fill="auto"/>
          </w:tcPr>
          <w:p w:rsidR="004A0F9F" w:rsidRPr="0082339C" w:rsidRDefault="004A0F9F" w:rsidP="004F7F5B">
            <w:pPr>
              <w:spacing w:after="60"/>
              <w:jc w:val="center"/>
              <w:rPr>
                <w:b/>
                <w:sz w:val="18"/>
              </w:rPr>
            </w:pPr>
            <w:r>
              <w:rPr>
                <w:b/>
                <w:sz w:val="18"/>
              </w:rPr>
              <w:t>Total</w:t>
            </w:r>
          </w:p>
        </w:tc>
      </w:tr>
      <w:tr w:rsidR="004A0F9F" w:rsidRPr="0082339C" w:rsidTr="004F7F5B">
        <w:trPr>
          <w:trHeight w:val="261"/>
        </w:trPr>
        <w:tc>
          <w:tcPr>
            <w:tcW w:w="4531" w:type="dxa"/>
            <w:gridSpan w:val="3"/>
            <w:shd w:val="clear" w:color="auto" w:fill="auto"/>
          </w:tcPr>
          <w:p w:rsidR="004A0F9F" w:rsidRPr="00410436" w:rsidRDefault="004A0F9F" w:rsidP="004F7F5B">
            <w:pPr>
              <w:spacing w:after="60"/>
              <w:jc w:val="left"/>
              <w:rPr>
                <w:sz w:val="18"/>
                <w:lang w:val="es-AR"/>
              </w:rPr>
            </w:pPr>
            <w:r w:rsidRPr="00410436">
              <w:rPr>
                <w:sz w:val="18"/>
                <w:lang w:val="es-AR"/>
              </w:rPr>
              <w:t>Límites del consumo establecidos en el Protocolo de Montreal</w:t>
            </w:r>
          </w:p>
        </w:tc>
        <w:tc>
          <w:tcPr>
            <w:tcW w:w="921" w:type="dxa"/>
            <w:shd w:val="clear" w:color="auto" w:fill="auto"/>
          </w:tcPr>
          <w:p w:rsidR="004A0F9F" w:rsidRPr="0082339C" w:rsidRDefault="004A0F9F" w:rsidP="004F7F5B">
            <w:pPr>
              <w:spacing w:after="60"/>
              <w:jc w:val="right"/>
              <w:rPr>
                <w:sz w:val="18"/>
              </w:rPr>
            </w:pPr>
            <w:r>
              <w:rPr>
                <w:sz w:val="18"/>
              </w:rPr>
              <w:t>0,9</w:t>
            </w:r>
          </w:p>
        </w:tc>
        <w:tc>
          <w:tcPr>
            <w:tcW w:w="921" w:type="dxa"/>
            <w:shd w:val="clear" w:color="auto" w:fill="auto"/>
          </w:tcPr>
          <w:p w:rsidR="004A0F9F" w:rsidRPr="0082339C" w:rsidRDefault="004A0F9F" w:rsidP="004F7F5B">
            <w:pPr>
              <w:spacing w:after="60"/>
              <w:jc w:val="right"/>
              <w:rPr>
                <w:sz w:val="18"/>
              </w:rPr>
            </w:pPr>
            <w:r>
              <w:rPr>
                <w:sz w:val="18"/>
              </w:rPr>
              <w:t>0,9</w:t>
            </w:r>
          </w:p>
        </w:tc>
        <w:tc>
          <w:tcPr>
            <w:tcW w:w="921" w:type="dxa"/>
            <w:shd w:val="clear" w:color="auto" w:fill="auto"/>
          </w:tcPr>
          <w:p w:rsidR="004A0F9F" w:rsidRPr="0082339C" w:rsidRDefault="004A0F9F" w:rsidP="004F7F5B">
            <w:pPr>
              <w:spacing w:after="60"/>
              <w:jc w:val="right"/>
              <w:rPr>
                <w:sz w:val="18"/>
              </w:rPr>
            </w:pPr>
            <w:r>
              <w:rPr>
                <w:sz w:val="18"/>
              </w:rPr>
              <w:t>0,9</w:t>
            </w:r>
          </w:p>
        </w:tc>
        <w:tc>
          <w:tcPr>
            <w:tcW w:w="921" w:type="dxa"/>
            <w:shd w:val="clear" w:color="auto" w:fill="auto"/>
          </w:tcPr>
          <w:p w:rsidR="004A0F9F" w:rsidRPr="0082339C" w:rsidRDefault="004A0F9F" w:rsidP="004F7F5B">
            <w:pPr>
              <w:spacing w:after="60"/>
              <w:jc w:val="right"/>
              <w:rPr>
                <w:sz w:val="18"/>
              </w:rPr>
            </w:pPr>
            <w:r>
              <w:rPr>
                <w:sz w:val="18"/>
              </w:rPr>
              <w:t>0,9</w:t>
            </w:r>
          </w:p>
        </w:tc>
        <w:tc>
          <w:tcPr>
            <w:tcW w:w="922" w:type="dxa"/>
            <w:shd w:val="clear" w:color="auto" w:fill="auto"/>
          </w:tcPr>
          <w:p w:rsidR="004A0F9F" w:rsidRPr="0082339C" w:rsidRDefault="004A0F9F" w:rsidP="004F7F5B">
            <w:pPr>
              <w:spacing w:after="60"/>
              <w:jc w:val="right"/>
              <w:rPr>
                <w:sz w:val="18"/>
              </w:rPr>
            </w:pPr>
            <w:r>
              <w:rPr>
                <w:sz w:val="18"/>
              </w:rPr>
              <w:t>0,65</w:t>
            </w:r>
          </w:p>
        </w:tc>
        <w:tc>
          <w:tcPr>
            <w:tcW w:w="0" w:type="auto"/>
            <w:shd w:val="clear" w:color="auto" w:fill="auto"/>
          </w:tcPr>
          <w:p w:rsidR="004A0F9F" w:rsidRPr="0082339C" w:rsidRDefault="004A0F9F" w:rsidP="004F7F5B">
            <w:pPr>
              <w:spacing w:after="60"/>
              <w:jc w:val="center"/>
              <w:rPr>
                <w:sz w:val="18"/>
              </w:rPr>
            </w:pPr>
            <w:r>
              <w:rPr>
                <w:sz w:val="18"/>
              </w:rPr>
              <w:t>nc</w:t>
            </w:r>
          </w:p>
        </w:tc>
      </w:tr>
      <w:tr w:rsidR="004A0F9F" w:rsidRPr="0082339C" w:rsidTr="004F7F5B">
        <w:trPr>
          <w:trHeight w:val="261"/>
        </w:trPr>
        <w:tc>
          <w:tcPr>
            <w:tcW w:w="4531" w:type="dxa"/>
            <w:gridSpan w:val="3"/>
            <w:shd w:val="clear" w:color="auto" w:fill="auto"/>
          </w:tcPr>
          <w:p w:rsidR="004A0F9F" w:rsidRPr="00410436" w:rsidRDefault="004A0F9F" w:rsidP="004F7F5B">
            <w:pPr>
              <w:spacing w:after="60"/>
              <w:jc w:val="left"/>
              <w:rPr>
                <w:sz w:val="18"/>
                <w:lang w:val="es-AR"/>
              </w:rPr>
            </w:pPr>
            <w:r w:rsidRPr="00410436">
              <w:rPr>
                <w:sz w:val="18"/>
                <w:lang w:val="es-AR"/>
              </w:rPr>
              <w:t>Consumo máximo permitido (toneladas PAO)</w:t>
            </w:r>
          </w:p>
        </w:tc>
        <w:tc>
          <w:tcPr>
            <w:tcW w:w="921" w:type="dxa"/>
            <w:shd w:val="clear" w:color="auto" w:fill="auto"/>
          </w:tcPr>
          <w:p w:rsidR="004A0F9F" w:rsidRPr="0082339C" w:rsidRDefault="004A0F9F" w:rsidP="004F7F5B">
            <w:pPr>
              <w:spacing w:after="60"/>
              <w:jc w:val="right"/>
              <w:rPr>
                <w:sz w:val="18"/>
              </w:rPr>
            </w:pPr>
            <w:r>
              <w:rPr>
                <w:sz w:val="18"/>
              </w:rPr>
              <w:t>0,9</w:t>
            </w:r>
          </w:p>
        </w:tc>
        <w:tc>
          <w:tcPr>
            <w:tcW w:w="921" w:type="dxa"/>
            <w:shd w:val="clear" w:color="auto" w:fill="auto"/>
          </w:tcPr>
          <w:p w:rsidR="004A0F9F" w:rsidRPr="0082339C" w:rsidRDefault="004A0F9F" w:rsidP="004F7F5B">
            <w:pPr>
              <w:spacing w:after="60"/>
              <w:jc w:val="right"/>
              <w:rPr>
                <w:sz w:val="18"/>
              </w:rPr>
            </w:pPr>
            <w:r>
              <w:rPr>
                <w:sz w:val="18"/>
              </w:rPr>
              <w:t>0,9</w:t>
            </w:r>
          </w:p>
        </w:tc>
        <w:tc>
          <w:tcPr>
            <w:tcW w:w="921" w:type="dxa"/>
            <w:shd w:val="clear" w:color="auto" w:fill="auto"/>
          </w:tcPr>
          <w:p w:rsidR="004A0F9F" w:rsidRPr="0082339C" w:rsidRDefault="004A0F9F" w:rsidP="004F7F5B">
            <w:pPr>
              <w:spacing w:after="60"/>
              <w:jc w:val="right"/>
              <w:rPr>
                <w:sz w:val="18"/>
              </w:rPr>
            </w:pPr>
            <w:r>
              <w:rPr>
                <w:sz w:val="18"/>
              </w:rPr>
              <w:t>0,9</w:t>
            </w:r>
          </w:p>
        </w:tc>
        <w:tc>
          <w:tcPr>
            <w:tcW w:w="921" w:type="dxa"/>
            <w:shd w:val="clear" w:color="auto" w:fill="auto"/>
          </w:tcPr>
          <w:p w:rsidR="004A0F9F" w:rsidRPr="0082339C" w:rsidRDefault="004A0F9F" w:rsidP="004F7F5B">
            <w:pPr>
              <w:spacing w:after="60"/>
              <w:jc w:val="right"/>
              <w:rPr>
                <w:sz w:val="18"/>
              </w:rPr>
            </w:pPr>
            <w:r>
              <w:rPr>
                <w:sz w:val="18"/>
              </w:rPr>
              <w:t>0,9</w:t>
            </w:r>
          </w:p>
        </w:tc>
        <w:tc>
          <w:tcPr>
            <w:tcW w:w="922" w:type="dxa"/>
            <w:shd w:val="clear" w:color="auto" w:fill="auto"/>
          </w:tcPr>
          <w:p w:rsidR="004A0F9F" w:rsidRPr="0082339C" w:rsidRDefault="004A0F9F" w:rsidP="004F7F5B">
            <w:pPr>
              <w:spacing w:after="60"/>
              <w:jc w:val="right"/>
              <w:rPr>
                <w:sz w:val="18"/>
              </w:rPr>
            </w:pPr>
            <w:r>
              <w:rPr>
                <w:sz w:val="18"/>
              </w:rPr>
              <w:t>0,65</w:t>
            </w:r>
          </w:p>
        </w:tc>
        <w:tc>
          <w:tcPr>
            <w:tcW w:w="0" w:type="auto"/>
            <w:shd w:val="clear" w:color="auto" w:fill="auto"/>
          </w:tcPr>
          <w:p w:rsidR="004A0F9F" w:rsidRPr="0082339C" w:rsidRDefault="004A0F9F" w:rsidP="004F7F5B">
            <w:pPr>
              <w:spacing w:after="60"/>
              <w:jc w:val="center"/>
              <w:rPr>
                <w:sz w:val="18"/>
              </w:rPr>
            </w:pPr>
            <w:r>
              <w:rPr>
                <w:sz w:val="18"/>
              </w:rPr>
              <w:t>nc</w:t>
            </w:r>
          </w:p>
        </w:tc>
      </w:tr>
      <w:tr w:rsidR="004A0F9F" w:rsidRPr="0082339C" w:rsidTr="004F7F5B">
        <w:trPr>
          <w:trHeight w:val="190"/>
        </w:trPr>
        <w:tc>
          <w:tcPr>
            <w:tcW w:w="1838" w:type="dxa"/>
            <w:vMerge w:val="restart"/>
            <w:shd w:val="clear" w:color="auto" w:fill="auto"/>
          </w:tcPr>
          <w:p w:rsidR="004A0F9F" w:rsidRPr="0082339C" w:rsidRDefault="004A0F9F" w:rsidP="004F7F5B">
            <w:pPr>
              <w:spacing w:after="60"/>
              <w:jc w:val="left"/>
              <w:rPr>
                <w:sz w:val="18"/>
              </w:rPr>
            </w:pPr>
            <w:r>
              <w:rPr>
                <w:sz w:val="18"/>
              </w:rPr>
              <w:t>Financiación acordada ($EUA)</w:t>
            </w:r>
          </w:p>
        </w:tc>
        <w:tc>
          <w:tcPr>
            <w:tcW w:w="1276" w:type="dxa"/>
            <w:vMerge w:val="restart"/>
            <w:shd w:val="clear" w:color="auto" w:fill="auto"/>
          </w:tcPr>
          <w:p w:rsidR="004A0F9F" w:rsidRPr="0082339C" w:rsidRDefault="004A0F9F" w:rsidP="004F7F5B">
            <w:pPr>
              <w:spacing w:after="60"/>
              <w:jc w:val="center"/>
              <w:rPr>
                <w:sz w:val="18"/>
              </w:rPr>
            </w:pPr>
            <w:r>
              <w:rPr>
                <w:sz w:val="18"/>
              </w:rPr>
              <w:t>PNUD</w:t>
            </w:r>
          </w:p>
        </w:tc>
        <w:tc>
          <w:tcPr>
            <w:tcW w:w="1417" w:type="dxa"/>
            <w:shd w:val="clear" w:color="auto" w:fill="auto"/>
          </w:tcPr>
          <w:p w:rsidR="004A0F9F" w:rsidRPr="0082339C" w:rsidRDefault="004A0F9F" w:rsidP="004F7F5B">
            <w:pPr>
              <w:spacing w:after="60"/>
              <w:jc w:val="left"/>
              <w:rPr>
                <w:sz w:val="18"/>
              </w:rPr>
            </w:pPr>
            <w:r>
              <w:rPr>
                <w:sz w:val="18"/>
              </w:rPr>
              <w:t>Costos del proyecto</w:t>
            </w:r>
          </w:p>
        </w:tc>
        <w:tc>
          <w:tcPr>
            <w:tcW w:w="921" w:type="dxa"/>
            <w:shd w:val="clear" w:color="auto" w:fill="auto"/>
          </w:tcPr>
          <w:p w:rsidR="004A0F9F" w:rsidRPr="0082339C" w:rsidRDefault="004A0F9F" w:rsidP="004F7F5B">
            <w:pPr>
              <w:spacing w:after="60"/>
              <w:jc w:val="right"/>
              <w:rPr>
                <w:sz w:val="18"/>
              </w:rPr>
            </w:pPr>
            <w:r>
              <w:rPr>
                <w:sz w:val="18"/>
              </w:rPr>
              <w:t>104.850</w:t>
            </w:r>
          </w:p>
        </w:tc>
        <w:tc>
          <w:tcPr>
            <w:tcW w:w="921" w:type="dxa"/>
            <w:shd w:val="clear" w:color="auto" w:fill="auto"/>
          </w:tcPr>
          <w:p w:rsidR="004A0F9F" w:rsidRPr="0082339C" w:rsidRDefault="004A0F9F" w:rsidP="004F7F5B">
            <w:pPr>
              <w:spacing w:after="60"/>
              <w:jc w:val="right"/>
              <w:rPr>
                <w:sz w:val="18"/>
              </w:rPr>
            </w:pPr>
            <w:r>
              <w:rPr>
                <w:sz w:val="18"/>
              </w:rPr>
              <w:t>0</w:t>
            </w:r>
          </w:p>
        </w:tc>
        <w:tc>
          <w:tcPr>
            <w:tcW w:w="921" w:type="dxa"/>
            <w:shd w:val="clear" w:color="auto" w:fill="auto"/>
          </w:tcPr>
          <w:p w:rsidR="004A0F9F" w:rsidRPr="0082339C" w:rsidRDefault="004A0F9F" w:rsidP="004F7F5B">
            <w:pPr>
              <w:spacing w:after="60"/>
              <w:jc w:val="right"/>
              <w:rPr>
                <w:sz w:val="18"/>
              </w:rPr>
            </w:pPr>
            <w:r>
              <w:rPr>
                <w:sz w:val="18"/>
              </w:rPr>
              <w:t>0</w:t>
            </w:r>
          </w:p>
        </w:tc>
        <w:tc>
          <w:tcPr>
            <w:tcW w:w="921" w:type="dxa"/>
            <w:shd w:val="clear" w:color="auto" w:fill="auto"/>
          </w:tcPr>
          <w:p w:rsidR="004A0F9F" w:rsidRPr="0082339C" w:rsidRDefault="004A0F9F" w:rsidP="004F7F5B">
            <w:pPr>
              <w:spacing w:after="60"/>
              <w:jc w:val="right"/>
              <w:rPr>
                <w:sz w:val="18"/>
              </w:rPr>
            </w:pPr>
            <w:r>
              <w:rPr>
                <w:sz w:val="18"/>
              </w:rPr>
              <w:t>0</w:t>
            </w:r>
          </w:p>
        </w:tc>
        <w:tc>
          <w:tcPr>
            <w:tcW w:w="922" w:type="dxa"/>
            <w:shd w:val="clear" w:color="auto" w:fill="auto"/>
          </w:tcPr>
          <w:p w:rsidR="004A0F9F" w:rsidRPr="0082339C" w:rsidRDefault="004A0F9F" w:rsidP="004F7F5B">
            <w:pPr>
              <w:spacing w:after="60"/>
              <w:jc w:val="right"/>
              <w:rPr>
                <w:sz w:val="18"/>
              </w:rPr>
            </w:pPr>
            <w:bookmarkStart w:id="0" w:name="_Hlk50051843"/>
            <w:r>
              <w:rPr>
                <w:sz w:val="18"/>
              </w:rPr>
              <w:t>17.450</w:t>
            </w:r>
            <w:bookmarkEnd w:id="0"/>
          </w:p>
        </w:tc>
        <w:tc>
          <w:tcPr>
            <w:tcW w:w="0" w:type="auto"/>
            <w:shd w:val="clear" w:color="auto" w:fill="auto"/>
          </w:tcPr>
          <w:p w:rsidR="004A0F9F" w:rsidRPr="0082339C" w:rsidRDefault="004A0F9F" w:rsidP="004F7F5B">
            <w:pPr>
              <w:spacing w:after="60"/>
              <w:jc w:val="right"/>
              <w:rPr>
                <w:sz w:val="18"/>
              </w:rPr>
            </w:pPr>
            <w:r>
              <w:rPr>
                <w:sz w:val="18"/>
              </w:rPr>
              <w:t>122.300</w:t>
            </w:r>
          </w:p>
        </w:tc>
      </w:tr>
      <w:tr w:rsidR="004A0F9F" w:rsidRPr="0082339C" w:rsidTr="004F7F5B">
        <w:trPr>
          <w:trHeight w:val="53"/>
        </w:trPr>
        <w:tc>
          <w:tcPr>
            <w:tcW w:w="1838" w:type="dxa"/>
            <w:vMerge/>
            <w:shd w:val="clear" w:color="auto" w:fill="auto"/>
          </w:tcPr>
          <w:p w:rsidR="004A0F9F" w:rsidRPr="0082339C" w:rsidRDefault="004A0F9F" w:rsidP="004F7F5B">
            <w:pPr>
              <w:spacing w:after="60"/>
              <w:jc w:val="center"/>
              <w:rPr>
                <w:sz w:val="18"/>
                <w:lang w:val="en-CA"/>
              </w:rPr>
            </w:pPr>
          </w:p>
        </w:tc>
        <w:tc>
          <w:tcPr>
            <w:tcW w:w="1276" w:type="dxa"/>
            <w:vMerge/>
            <w:shd w:val="clear" w:color="auto" w:fill="auto"/>
          </w:tcPr>
          <w:p w:rsidR="004A0F9F" w:rsidRPr="0082339C" w:rsidRDefault="004A0F9F" w:rsidP="004F7F5B">
            <w:pPr>
              <w:spacing w:after="60"/>
              <w:jc w:val="center"/>
              <w:rPr>
                <w:sz w:val="18"/>
                <w:lang w:val="en-CA"/>
              </w:rPr>
            </w:pPr>
          </w:p>
        </w:tc>
        <w:tc>
          <w:tcPr>
            <w:tcW w:w="1417" w:type="dxa"/>
            <w:shd w:val="clear" w:color="auto" w:fill="auto"/>
          </w:tcPr>
          <w:p w:rsidR="004A0F9F" w:rsidRPr="0082339C" w:rsidRDefault="004A0F9F" w:rsidP="004F7F5B">
            <w:pPr>
              <w:spacing w:after="60"/>
              <w:jc w:val="left"/>
              <w:rPr>
                <w:sz w:val="18"/>
              </w:rPr>
            </w:pPr>
            <w:r>
              <w:rPr>
                <w:sz w:val="18"/>
              </w:rPr>
              <w:t>Gastos de apoyo</w:t>
            </w:r>
          </w:p>
        </w:tc>
        <w:tc>
          <w:tcPr>
            <w:tcW w:w="921" w:type="dxa"/>
            <w:shd w:val="clear" w:color="auto" w:fill="auto"/>
          </w:tcPr>
          <w:p w:rsidR="004A0F9F" w:rsidRPr="0082339C" w:rsidRDefault="004A0F9F" w:rsidP="004F7F5B">
            <w:pPr>
              <w:spacing w:after="60"/>
              <w:jc w:val="right"/>
              <w:rPr>
                <w:sz w:val="18"/>
              </w:rPr>
            </w:pPr>
            <w:r>
              <w:rPr>
                <w:sz w:val="18"/>
              </w:rPr>
              <w:t>9.437</w:t>
            </w:r>
          </w:p>
        </w:tc>
        <w:tc>
          <w:tcPr>
            <w:tcW w:w="921" w:type="dxa"/>
            <w:shd w:val="clear" w:color="auto" w:fill="auto"/>
          </w:tcPr>
          <w:p w:rsidR="004A0F9F" w:rsidRPr="0082339C" w:rsidRDefault="004A0F9F" w:rsidP="004F7F5B">
            <w:pPr>
              <w:spacing w:after="60"/>
              <w:jc w:val="right"/>
              <w:rPr>
                <w:sz w:val="18"/>
              </w:rPr>
            </w:pPr>
            <w:r>
              <w:rPr>
                <w:sz w:val="18"/>
              </w:rPr>
              <w:t>0</w:t>
            </w:r>
          </w:p>
        </w:tc>
        <w:tc>
          <w:tcPr>
            <w:tcW w:w="921" w:type="dxa"/>
            <w:shd w:val="clear" w:color="auto" w:fill="auto"/>
          </w:tcPr>
          <w:p w:rsidR="004A0F9F" w:rsidRPr="0082339C" w:rsidRDefault="004A0F9F" w:rsidP="004F7F5B">
            <w:pPr>
              <w:spacing w:after="60"/>
              <w:jc w:val="right"/>
              <w:rPr>
                <w:sz w:val="18"/>
              </w:rPr>
            </w:pPr>
            <w:r>
              <w:rPr>
                <w:sz w:val="18"/>
              </w:rPr>
              <w:t>0</w:t>
            </w:r>
          </w:p>
        </w:tc>
        <w:tc>
          <w:tcPr>
            <w:tcW w:w="921" w:type="dxa"/>
            <w:shd w:val="clear" w:color="auto" w:fill="auto"/>
          </w:tcPr>
          <w:p w:rsidR="004A0F9F" w:rsidRPr="0082339C" w:rsidRDefault="004A0F9F" w:rsidP="004F7F5B">
            <w:pPr>
              <w:spacing w:after="60"/>
              <w:jc w:val="right"/>
              <w:rPr>
                <w:sz w:val="18"/>
              </w:rPr>
            </w:pPr>
            <w:r>
              <w:rPr>
                <w:sz w:val="18"/>
              </w:rPr>
              <w:t>0</w:t>
            </w:r>
          </w:p>
        </w:tc>
        <w:tc>
          <w:tcPr>
            <w:tcW w:w="922" w:type="dxa"/>
            <w:shd w:val="clear" w:color="auto" w:fill="auto"/>
          </w:tcPr>
          <w:p w:rsidR="004A0F9F" w:rsidRPr="0082339C" w:rsidRDefault="004A0F9F" w:rsidP="004F7F5B">
            <w:pPr>
              <w:spacing w:after="60"/>
              <w:jc w:val="right"/>
              <w:rPr>
                <w:sz w:val="18"/>
              </w:rPr>
            </w:pPr>
            <w:r>
              <w:rPr>
                <w:sz w:val="18"/>
              </w:rPr>
              <w:t>1.570</w:t>
            </w:r>
          </w:p>
        </w:tc>
        <w:tc>
          <w:tcPr>
            <w:tcW w:w="0" w:type="auto"/>
            <w:shd w:val="clear" w:color="auto" w:fill="auto"/>
          </w:tcPr>
          <w:p w:rsidR="004A0F9F" w:rsidRPr="0082339C" w:rsidRDefault="004A0F9F" w:rsidP="004F7F5B">
            <w:pPr>
              <w:spacing w:after="60"/>
              <w:jc w:val="right"/>
              <w:rPr>
                <w:sz w:val="18"/>
              </w:rPr>
            </w:pPr>
            <w:r>
              <w:rPr>
                <w:sz w:val="18"/>
              </w:rPr>
              <w:t>11.007</w:t>
            </w:r>
          </w:p>
        </w:tc>
      </w:tr>
      <w:tr w:rsidR="004A0F9F" w:rsidRPr="0082339C" w:rsidTr="004F7F5B">
        <w:trPr>
          <w:trHeight w:val="56"/>
        </w:trPr>
        <w:tc>
          <w:tcPr>
            <w:tcW w:w="1838" w:type="dxa"/>
            <w:vMerge/>
            <w:shd w:val="clear" w:color="auto" w:fill="auto"/>
          </w:tcPr>
          <w:p w:rsidR="004A0F9F" w:rsidRPr="0082339C" w:rsidRDefault="004A0F9F" w:rsidP="004F7F5B">
            <w:pPr>
              <w:spacing w:after="60"/>
              <w:jc w:val="center"/>
              <w:rPr>
                <w:sz w:val="18"/>
                <w:lang w:val="en-CA"/>
              </w:rPr>
            </w:pPr>
          </w:p>
        </w:tc>
        <w:tc>
          <w:tcPr>
            <w:tcW w:w="1276" w:type="dxa"/>
            <w:vMerge w:val="restart"/>
            <w:shd w:val="clear" w:color="auto" w:fill="auto"/>
          </w:tcPr>
          <w:p w:rsidR="004A0F9F" w:rsidRPr="0082339C" w:rsidRDefault="004A0F9F" w:rsidP="004F7F5B">
            <w:pPr>
              <w:spacing w:after="60"/>
              <w:jc w:val="center"/>
              <w:rPr>
                <w:sz w:val="18"/>
              </w:rPr>
            </w:pPr>
            <w:r>
              <w:rPr>
                <w:sz w:val="18"/>
              </w:rPr>
              <w:t>PNUMA</w:t>
            </w:r>
          </w:p>
        </w:tc>
        <w:tc>
          <w:tcPr>
            <w:tcW w:w="1417" w:type="dxa"/>
            <w:shd w:val="clear" w:color="auto" w:fill="auto"/>
          </w:tcPr>
          <w:p w:rsidR="004A0F9F" w:rsidRPr="0082339C" w:rsidRDefault="004A0F9F" w:rsidP="004F7F5B">
            <w:pPr>
              <w:spacing w:after="60"/>
              <w:jc w:val="left"/>
              <w:rPr>
                <w:sz w:val="18"/>
              </w:rPr>
            </w:pPr>
            <w:r>
              <w:rPr>
                <w:sz w:val="18"/>
              </w:rPr>
              <w:t>Costos del proyecto</w:t>
            </w:r>
          </w:p>
        </w:tc>
        <w:tc>
          <w:tcPr>
            <w:tcW w:w="921" w:type="dxa"/>
            <w:shd w:val="clear" w:color="auto" w:fill="auto"/>
          </w:tcPr>
          <w:p w:rsidR="004A0F9F" w:rsidRPr="0082339C" w:rsidRDefault="004A0F9F" w:rsidP="004F7F5B">
            <w:pPr>
              <w:spacing w:after="60"/>
              <w:jc w:val="right"/>
              <w:rPr>
                <w:sz w:val="18"/>
              </w:rPr>
            </w:pPr>
            <w:r>
              <w:rPr>
                <w:sz w:val="18"/>
              </w:rPr>
              <w:t>26.100</w:t>
            </w:r>
          </w:p>
        </w:tc>
        <w:tc>
          <w:tcPr>
            <w:tcW w:w="921" w:type="dxa"/>
            <w:shd w:val="clear" w:color="auto" w:fill="auto"/>
          </w:tcPr>
          <w:p w:rsidR="004A0F9F" w:rsidRPr="0082339C" w:rsidRDefault="004A0F9F" w:rsidP="004F7F5B">
            <w:pPr>
              <w:spacing w:after="60"/>
              <w:jc w:val="right"/>
              <w:rPr>
                <w:sz w:val="18"/>
              </w:rPr>
            </w:pPr>
            <w:r>
              <w:rPr>
                <w:sz w:val="18"/>
              </w:rPr>
              <w:t>0</w:t>
            </w:r>
          </w:p>
        </w:tc>
        <w:tc>
          <w:tcPr>
            <w:tcW w:w="921" w:type="dxa"/>
            <w:shd w:val="clear" w:color="auto" w:fill="auto"/>
          </w:tcPr>
          <w:p w:rsidR="004A0F9F" w:rsidRPr="0082339C" w:rsidRDefault="004A0F9F" w:rsidP="004F7F5B">
            <w:pPr>
              <w:spacing w:after="60"/>
              <w:jc w:val="right"/>
              <w:rPr>
                <w:sz w:val="18"/>
              </w:rPr>
            </w:pPr>
            <w:r>
              <w:rPr>
                <w:sz w:val="18"/>
              </w:rPr>
              <w:t>26.100</w:t>
            </w:r>
          </w:p>
        </w:tc>
        <w:tc>
          <w:tcPr>
            <w:tcW w:w="921" w:type="dxa"/>
            <w:shd w:val="clear" w:color="auto" w:fill="auto"/>
          </w:tcPr>
          <w:p w:rsidR="004A0F9F" w:rsidRPr="0082339C" w:rsidRDefault="004A0F9F" w:rsidP="004F7F5B">
            <w:pPr>
              <w:spacing w:after="60"/>
              <w:jc w:val="right"/>
              <w:rPr>
                <w:sz w:val="18"/>
              </w:rPr>
            </w:pPr>
            <w:r>
              <w:rPr>
                <w:sz w:val="18"/>
              </w:rPr>
              <w:t>0</w:t>
            </w:r>
          </w:p>
        </w:tc>
        <w:tc>
          <w:tcPr>
            <w:tcW w:w="922" w:type="dxa"/>
            <w:shd w:val="clear" w:color="auto" w:fill="auto"/>
          </w:tcPr>
          <w:p w:rsidR="004A0F9F" w:rsidRPr="0082339C" w:rsidRDefault="004A0F9F" w:rsidP="004F7F5B">
            <w:pPr>
              <w:spacing w:after="60"/>
              <w:jc w:val="right"/>
              <w:rPr>
                <w:sz w:val="18"/>
              </w:rPr>
            </w:pPr>
            <w:r>
              <w:rPr>
                <w:sz w:val="18"/>
              </w:rPr>
              <w:t>0</w:t>
            </w:r>
          </w:p>
        </w:tc>
        <w:tc>
          <w:tcPr>
            <w:tcW w:w="0" w:type="auto"/>
            <w:shd w:val="clear" w:color="auto" w:fill="auto"/>
          </w:tcPr>
          <w:p w:rsidR="004A0F9F" w:rsidRPr="0082339C" w:rsidRDefault="004A0F9F" w:rsidP="004F7F5B">
            <w:pPr>
              <w:spacing w:after="60"/>
              <w:jc w:val="right"/>
              <w:rPr>
                <w:sz w:val="18"/>
              </w:rPr>
            </w:pPr>
            <w:r>
              <w:rPr>
                <w:sz w:val="18"/>
              </w:rPr>
              <w:t>52.200</w:t>
            </w:r>
          </w:p>
        </w:tc>
      </w:tr>
      <w:tr w:rsidR="004A0F9F" w:rsidRPr="0082339C" w:rsidTr="004F7F5B">
        <w:trPr>
          <w:trHeight w:val="61"/>
        </w:trPr>
        <w:tc>
          <w:tcPr>
            <w:tcW w:w="1838" w:type="dxa"/>
            <w:vMerge/>
            <w:shd w:val="clear" w:color="auto" w:fill="auto"/>
          </w:tcPr>
          <w:p w:rsidR="004A0F9F" w:rsidRPr="0082339C" w:rsidRDefault="004A0F9F" w:rsidP="004F7F5B">
            <w:pPr>
              <w:spacing w:after="60"/>
              <w:jc w:val="center"/>
              <w:rPr>
                <w:sz w:val="18"/>
                <w:lang w:val="en-CA"/>
              </w:rPr>
            </w:pPr>
          </w:p>
        </w:tc>
        <w:tc>
          <w:tcPr>
            <w:tcW w:w="1276" w:type="dxa"/>
            <w:vMerge/>
            <w:shd w:val="clear" w:color="auto" w:fill="auto"/>
          </w:tcPr>
          <w:p w:rsidR="004A0F9F" w:rsidRPr="0082339C" w:rsidRDefault="004A0F9F" w:rsidP="004F7F5B">
            <w:pPr>
              <w:spacing w:after="60"/>
              <w:jc w:val="center"/>
              <w:rPr>
                <w:sz w:val="18"/>
                <w:lang w:val="en-CA"/>
              </w:rPr>
            </w:pPr>
          </w:p>
        </w:tc>
        <w:tc>
          <w:tcPr>
            <w:tcW w:w="1417" w:type="dxa"/>
            <w:shd w:val="clear" w:color="auto" w:fill="auto"/>
          </w:tcPr>
          <w:p w:rsidR="004A0F9F" w:rsidRPr="0082339C" w:rsidRDefault="004A0F9F" w:rsidP="004F7F5B">
            <w:pPr>
              <w:spacing w:after="60"/>
              <w:jc w:val="left"/>
              <w:rPr>
                <w:sz w:val="18"/>
              </w:rPr>
            </w:pPr>
            <w:r>
              <w:rPr>
                <w:sz w:val="18"/>
              </w:rPr>
              <w:t>Gastos de apoyo</w:t>
            </w:r>
          </w:p>
        </w:tc>
        <w:tc>
          <w:tcPr>
            <w:tcW w:w="921" w:type="dxa"/>
            <w:shd w:val="clear" w:color="auto" w:fill="auto"/>
          </w:tcPr>
          <w:p w:rsidR="004A0F9F" w:rsidRPr="0082339C" w:rsidRDefault="004A0F9F" w:rsidP="004F7F5B">
            <w:pPr>
              <w:spacing w:after="60"/>
              <w:jc w:val="right"/>
              <w:rPr>
                <w:sz w:val="18"/>
              </w:rPr>
            </w:pPr>
            <w:r>
              <w:rPr>
                <w:sz w:val="18"/>
              </w:rPr>
              <w:t>3.393</w:t>
            </w:r>
          </w:p>
        </w:tc>
        <w:tc>
          <w:tcPr>
            <w:tcW w:w="921" w:type="dxa"/>
            <w:shd w:val="clear" w:color="auto" w:fill="auto"/>
          </w:tcPr>
          <w:p w:rsidR="004A0F9F" w:rsidRPr="0082339C" w:rsidRDefault="004A0F9F" w:rsidP="004F7F5B">
            <w:pPr>
              <w:spacing w:after="60"/>
              <w:jc w:val="right"/>
              <w:rPr>
                <w:sz w:val="18"/>
              </w:rPr>
            </w:pPr>
            <w:r>
              <w:rPr>
                <w:sz w:val="18"/>
              </w:rPr>
              <w:t>0</w:t>
            </w:r>
          </w:p>
        </w:tc>
        <w:tc>
          <w:tcPr>
            <w:tcW w:w="921" w:type="dxa"/>
            <w:shd w:val="clear" w:color="auto" w:fill="auto"/>
          </w:tcPr>
          <w:p w:rsidR="004A0F9F" w:rsidRPr="0082339C" w:rsidRDefault="004A0F9F" w:rsidP="004F7F5B">
            <w:pPr>
              <w:spacing w:after="60"/>
              <w:jc w:val="right"/>
              <w:rPr>
                <w:sz w:val="18"/>
              </w:rPr>
            </w:pPr>
            <w:r>
              <w:rPr>
                <w:sz w:val="18"/>
              </w:rPr>
              <w:t>3.393</w:t>
            </w:r>
          </w:p>
        </w:tc>
        <w:tc>
          <w:tcPr>
            <w:tcW w:w="921" w:type="dxa"/>
            <w:shd w:val="clear" w:color="auto" w:fill="auto"/>
          </w:tcPr>
          <w:p w:rsidR="004A0F9F" w:rsidRPr="0082339C" w:rsidRDefault="004A0F9F" w:rsidP="004F7F5B">
            <w:pPr>
              <w:spacing w:after="60"/>
              <w:jc w:val="right"/>
              <w:rPr>
                <w:sz w:val="18"/>
              </w:rPr>
            </w:pPr>
            <w:r>
              <w:rPr>
                <w:sz w:val="18"/>
              </w:rPr>
              <w:t>0</w:t>
            </w:r>
          </w:p>
        </w:tc>
        <w:tc>
          <w:tcPr>
            <w:tcW w:w="922" w:type="dxa"/>
            <w:shd w:val="clear" w:color="auto" w:fill="auto"/>
          </w:tcPr>
          <w:p w:rsidR="004A0F9F" w:rsidRPr="0082339C" w:rsidRDefault="004A0F9F" w:rsidP="004F7F5B">
            <w:pPr>
              <w:spacing w:after="60"/>
              <w:jc w:val="right"/>
              <w:rPr>
                <w:sz w:val="18"/>
              </w:rPr>
            </w:pPr>
            <w:r>
              <w:rPr>
                <w:sz w:val="18"/>
              </w:rPr>
              <w:t>0</w:t>
            </w:r>
          </w:p>
        </w:tc>
        <w:tc>
          <w:tcPr>
            <w:tcW w:w="0" w:type="auto"/>
            <w:shd w:val="clear" w:color="auto" w:fill="auto"/>
          </w:tcPr>
          <w:p w:rsidR="004A0F9F" w:rsidRPr="0082339C" w:rsidRDefault="004A0F9F" w:rsidP="004F7F5B">
            <w:pPr>
              <w:spacing w:after="60"/>
              <w:jc w:val="right"/>
              <w:rPr>
                <w:sz w:val="18"/>
              </w:rPr>
            </w:pPr>
            <w:r>
              <w:rPr>
                <w:sz w:val="18"/>
              </w:rPr>
              <w:t>6.786</w:t>
            </w:r>
          </w:p>
        </w:tc>
      </w:tr>
      <w:tr w:rsidR="004A0F9F" w:rsidRPr="0082339C" w:rsidTr="004F7F5B">
        <w:trPr>
          <w:trHeight w:val="206"/>
        </w:trPr>
        <w:tc>
          <w:tcPr>
            <w:tcW w:w="3114" w:type="dxa"/>
            <w:gridSpan w:val="2"/>
            <w:vMerge w:val="restart"/>
            <w:shd w:val="clear" w:color="auto" w:fill="auto"/>
          </w:tcPr>
          <w:p w:rsidR="004A0F9F" w:rsidRPr="00410436" w:rsidRDefault="004A0F9F" w:rsidP="004F7F5B">
            <w:pPr>
              <w:spacing w:after="60"/>
              <w:jc w:val="left"/>
              <w:rPr>
                <w:sz w:val="18"/>
                <w:lang w:val="es-AR"/>
              </w:rPr>
            </w:pPr>
            <w:r w:rsidRPr="00410436">
              <w:rPr>
                <w:sz w:val="18"/>
                <w:lang w:val="es-AR"/>
              </w:rPr>
              <w:t>Fondos aprobados por el Comité Ejecutivo ($EUA)</w:t>
            </w:r>
          </w:p>
        </w:tc>
        <w:tc>
          <w:tcPr>
            <w:tcW w:w="1417" w:type="dxa"/>
            <w:shd w:val="clear" w:color="auto" w:fill="auto"/>
          </w:tcPr>
          <w:p w:rsidR="004A0F9F" w:rsidRPr="0082339C" w:rsidRDefault="004A0F9F" w:rsidP="004F7F5B">
            <w:pPr>
              <w:spacing w:after="60"/>
              <w:jc w:val="left"/>
              <w:rPr>
                <w:sz w:val="18"/>
              </w:rPr>
            </w:pPr>
            <w:r>
              <w:rPr>
                <w:sz w:val="18"/>
              </w:rPr>
              <w:t>Costos del proyecto</w:t>
            </w:r>
          </w:p>
        </w:tc>
        <w:tc>
          <w:tcPr>
            <w:tcW w:w="921" w:type="dxa"/>
            <w:shd w:val="clear" w:color="auto" w:fill="auto"/>
          </w:tcPr>
          <w:p w:rsidR="004A0F9F" w:rsidRPr="0082339C" w:rsidRDefault="004A0F9F" w:rsidP="004F7F5B">
            <w:pPr>
              <w:spacing w:after="60"/>
              <w:jc w:val="right"/>
              <w:rPr>
                <w:sz w:val="18"/>
              </w:rPr>
            </w:pPr>
            <w:r>
              <w:rPr>
                <w:sz w:val="18"/>
              </w:rPr>
              <w:t>130.950</w:t>
            </w:r>
          </w:p>
        </w:tc>
        <w:tc>
          <w:tcPr>
            <w:tcW w:w="921" w:type="dxa"/>
            <w:shd w:val="clear" w:color="auto" w:fill="auto"/>
          </w:tcPr>
          <w:p w:rsidR="004A0F9F" w:rsidRPr="0082339C" w:rsidRDefault="004A0F9F" w:rsidP="004F7F5B">
            <w:pPr>
              <w:spacing w:after="60"/>
              <w:jc w:val="right"/>
              <w:rPr>
                <w:sz w:val="18"/>
              </w:rPr>
            </w:pPr>
            <w:r>
              <w:rPr>
                <w:sz w:val="18"/>
              </w:rPr>
              <w:t>0</w:t>
            </w:r>
          </w:p>
        </w:tc>
        <w:tc>
          <w:tcPr>
            <w:tcW w:w="921" w:type="dxa"/>
            <w:shd w:val="clear" w:color="auto" w:fill="auto"/>
          </w:tcPr>
          <w:p w:rsidR="004A0F9F" w:rsidRPr="0082339C" w:rsidRDefault="004A0F9F" w:rsidP="004F7F5B">
            <w:pPr>
              <w:spacing w:after="60"/>
              <w:jc w:val="right"/>
              <w:rPr>
                <w:sz w:val="18"/>
              </w:rPr>
            </w:pPr>
            <w:r>
              <w:rPr>
                <w:sz w:val="18"/>
              </w:rPr>
              <w:t>0</w:t>
            </w:r>
          </w:p>
        </w:tc>
        <w:tc>
          <w:tcPr>
            <w:tcW w:w="921" w:type="dxa"/>
            <w:shd w:val="clear" w:color="auto" w:fill="auto"/>
          </w:tcPr>
          <w:p w:rsidR="004A0F9F" w:rsidRPr="0082339C" w:rsidRDefault="004A0F9F" w:rsidP="004F7F5B">
            <w:pPr>
              <w:spacing w:after="60"/>
              <w:jc w:val="right"/>
              <w:rPr>
                <w:sz w:val="18"/>
              </w:rPr>
            </w:pPr>
            <w:r>
              <w:rPr>
                <w:sz w:val="18"/>
              </w:rPr>
              <w:t>26.100</w:t>
            </w:r>
          </w:p>
        </w:tc>
        <w:tc>
          <w:tcPr>
            <w:tcW w:w="922" w:type="dxa"/>
            <w:shd w:val="clear" w:color="auto" w:fill="auto"/>
          </w:tcPr>
          <w:p w:rsidR="004A0F9F" w:rsidRPr="0082339C" w:rsidRDefault="004A0F9F" w:rsidP="004F7F5B">
            <w:pPr>
              <w:spacing w:after="60"/>
              <w:jc w:val="right"/>
              <w:rPr>
                <w:sz w:val="18"/>
              </w:rPr>
            </w:pPr>
            <w:r>
              <w:rPr>
                <w:sz w:val="18"/>
              </w:rPr>
              <w:t>0</w:t>
            </w:r>
          </w:p>
        </w:tc>
        <w:tc>
          <w:tcPr>
            <w:tcW w:w="0" w:type="auto"/>
            <w:shd w:val="clear" w:color="auto" w:fill="auto"/>
          </w:tcPr>
          <w:p w:rsidR="004A0F9F" w:rsidRPr="0082339C" w:rsidRDefault="004A0F9F" w:rsidP="004F7F5B">
            <w:pPr>
              <w:spacing w:after="60"/>
              <w:jc w:val="right"/>
              <w:rPr>
                <w:sz w:val="18"/>
              </w:rPr>
            </w:pPr>
            <w:r w:rsidRPr="0082339C">
              <w:rPr>
                <w:sz w:val="18"/>
              </w:rPr>
              <w:fldChar w:fldCharType="begin"/>
            </w:r>
            <w:r w:rsidRPr="0082339C">
              <w:rPr>
                <w:sz w:val="18"/>
              </w:rPr>
              <w:instrText xml:space="preserve"> =SUM(left) </w:instrText>
            </w:r>
            <w:r w:rsidRPr="0082339C">
              <w:rPr>
                <w:sz w:val="18"/>
              </w:rPr>
              <w:fldChar w:fldCharType="separate"/>
            </w:r>
            <w:r>
              <w:rPr>
                <w:noProof/>
                <w:sz w:val="18"/>
              </w:rPr>
              <w:t>157.05</w:t>
            </w:r>
            <w:r w:rsidRPr="0082339C">
              <w:rPr>
                <w:sz w:val="18"/>
              </w:rPr>
              <w:fldChar w:fldCharType="end"/>
            </w:r>
          </w:p>
        </w:tc>
      </w:tr>
      <w:tr w:rsidR="004A0F9F" w:rsidRPr="0082339C" w:rsidTr="004F7F5B">
        <w:trPr>
          <w:trHeight w:val="83"/>
        </w:trPr>
        <w:tc>
          <w:tcPr>
            <w:tcW w:w="3114" w:type="dxa"/>
            <w:gridSpan w:val="2"/>
            <w:vMerge/>
            <w:shd w:val="clear" w:color="auto" w:fill="auto"/>
          </w:tcPr>
          <w:p w:rsidR="004A0F9F" w:rsidRPr="0082339C" w:rsidRDefault="004A0F9F" w:rsidP="004F7F5B">
            <w:pPr>
              <w:spacing w:after="60"/>
              <w:jc w:val="center"/>
              <w:rPr>
                <w:sz w:val="18"/>
                <w:lang w:val="en-CA"/>
              </w:rPr>
            </w:pPr>
          </w:p>
        </w:tc>
        <w:tc>
          <w:tcPr>
            <w:tcW w:w="1417" w:type="dxa"/>
            <w:shd w:val="clear" w:color="auto" w:fill="auto"/>
          </w:tcPr>
          <w:p w:rsidR="004A0F9F" w:rsidRPr="0082339C" w:rsidRDefault="004A0F9F" w:rsidP="004F7F5B">
            <w:pPr>
              <w:spacing w:after="60"/>
              <w:jc w:val="left"/>
              <w:rPr>
                <w:sz w:val="18"/>
              </w:rPr>
            </w:pPr>
            <w:r>
              <w:rPr>
                <w:sz w:val="18"/>
              </w:rPr>
              <w:t>Gastos de apoyo</w:t>
            </w:r>
          </w:p>
        </w:tc>
        <w:tc>
          <w:tcPr>
            <w:tcW w:w="921" w:type="dxa"/>
            <w:shd w:val="clear" w:color="auto" w:fill="auto"/>
          </w:tcPr>
          <w:p w:rsidR="004A0F9F" w:rsidRPr="0082339C" w:rsidRDefault="004A0F9F" w:rsidP="004F7F5B">
            <w:pPr>
              <w:spacing w:after="60"/>
              <w:jc w:val="right"/>
              <w:rPr>
                <w:sz w:val="18"/>
              </w:rPr>
            </w:pPr>
            <w:r>
              <w:rPr>
                <w:sz w:val="18"/>
              </w:rPr>
              <w:t>12.830</w:t>
            </w:r>
          </w:p>
        </w:tc>
        <w:tc>
          <w:tcPr>
            <w:tcW w:w="921" w:type="dxa"/>
            <w:shd w:val="clear" w:color="auto" w:fill="auto"/>
          </w:tcPr>
          <w:p w:rsidR="004A0F9F" w:rsidRPr="0082339C" w:rsidRDefault="004A0F9F" w:rsidP="004F7F5B">
            <w:pPr>
              <w:spacing w:after="60"/>
              <w:jc w:val="right"/>
              <w:rPr>
                <w:sz w:val="18"/>
              </w:rPr>
            </w:pPr>
            <w:r>
              <w:rPr>
                <w:sz w:val="18"/>
              </w:rPr>
              <w:t>0</w:t>
            </w:r>
          </w:p>
        </w:tc>
        <w:tc>
          <w:tcPr>
            <w:tcW w:w="921" w:type="dxa"/>
            <w:shd w:val="clear" w:color="auto" w:fill="auto"/>
          </w:tcPr>
          <w:p w:rsidR="004A0F9F" w:rsidRPr="0082339C" w:rsidRDefault="004A0F9F" w:rsidP="004F7F5B">
            <w:pPr>
              <w:spacing w:after="60"/>
              <w:jc w:val="right"/>
              <w:rPr>
                <w:sz w:val="18"/>
              </w:rPr>
            </w:pPr>
            <w:r>
              <w:rPr>
                <w:sz w:val="18"/>
              </w:rPr>
              <w:t>0</w:t>
            </w:r>
          </w:p>
        </w:tc>
        <w:tc>
          <w:tcPr>
            <w:tcW w:w="921" w:type="dxa"/>
            <w:shd w:val="clear" w:color="auto" w:fill="auto"/>
          </w:tcPr>
          <w:p w:rsidR="004A0F9F" w:rsidRPr="0082339C" w:rsidRDefault="004A0F9F" w:rsidP="004F7F5B">
            <w:pPr>
              <w:spacing w:after="60"/>
              <w:jc w:val="right"/>
              <w:rPr>
                <w:sz w:val="18"/>
              </w:rPr>
            </w:pPr>
            <w:r>
              <w:rPr>
                <w:sz w:val="18"/>
              </w:rPr>
              <w:t>3.393</w:t>
            </w:r>
          </w:p>
        </w:tc>
        <w:tc>
          <w:tcPr>
            <w:tcW w:w="922" w:type="dxa"/>
            <w:shd w:val="clear" w:color="auto" w:fill="auto"/>
          </w:tcPr>
          <w:p w:rsidR="004A0F9F" w:rsidRPr="0082339C" w:rsidRDefault="004A0F9F" w:rsidP="004F7F5B">
            <w:pPr>
              <w:spacing w:after="60"/>
              <w:jc w:val="right"/>
              <w:rPr>
                <w:sz w:val="18"/>
              </w:rPr>
            </w:pPr>
            <w:r>
              <w:rPr>
                <w:sz w:val="18"/>
              </w:rPr>
              <w:t>0</w:t>
            </w:r>
          </w:p>
        </w:tc>
        <w:tc>
          <w:tcPr>
            <w:tcW w:w="0" w:type="auto"/>
            <w:shd w:val="clear" w:color="auto" w:fill="auto"/>
          </w:tcPr>
          <w:p w:rsidR="004A0F9F" w:rsidRPr="0082339C" w:rsidRDefault="004A0F9F" w:rsidP="004F7F5B">
            <w:pPr>
              <w:spacing w:after="60"/>
              <w:jc w:val="right"/>
              <w:rPr>
                <w:sz w:val="18"/>
              </w:rPr>
            </w:pPr>
            <w:r w:rsidRPr="0082339C">
              <w:rPr>
                <w:sz w:val="18"/>
              </w:rPr>
              <w:fldChar w:fldCharType="begin"/>
            </w:r>
            <w:r w:rsidRPr="0082339C">
              <w:rPr>
                <w:sz w:val="18"/>
              </w:rPr>
              <w:instrText xml:space="preserve"> =SUM(left) </w:instrText>
            </w:r>
            <w:r w:rsidRPr="0082339C">
              <w:rPr>
                <w:sz w:val="18"/>
              </w:rPr>
              <w:fldChar w:fldCharType="separate"/>
            </w:r>
            <w:r>
              <w:rPr>
                <w:noProof/>
                <w:sz w:val="18"/>
              </w:rPr>
              <w:t>16.223</w:t>
            </w:r>
            <w:r w:rsidRPr="0082339C">
              <w:rPr>
                <w:sz w:val="18"/>
              </w:rPr>
              <w:fldChar w:fldCharType="end"/>
            </w:r>
          </w:p>
        </w:tc>
      </w:tr>
      <w:tr w:rsidR="004A0F9F" w:rsidRPr="0082339C" w:rsidTr="004F7F5B">
        <w:trPr>
          <w:trHeight w:val="86"/>
        </w:trPr>
        <w:tc>
          <w:tcPr>
            <w:tcW w:w="3114" w:type="dxa"/>
            <w:gridSpan w:val="2"/>
            <w:vMerge w:val="restart"/>
            <w:shd w:val="clear" w:color="auto" w:fill="auto"/>
          </w:tcPr>
          <w:p w:rsidR="004A0F9F" w:rsidRPr="00410436" w:rsidRDefault="004A0F9F" w:rsidP="004F7F5B">
            <w:pPr>
              <w:spacing w:after="60"/>
              <w:jc w:val="left"/>
              <w:rPr>
                <w:sz w:val="18"/>
                <w:lang w:val="es-AR"/>
              </w:rPr>
            </w:pPr>
            <w:r w:rsidRPr="00410436">
              <w:rPr>
                <w:sz w:val="18"/>
                <w:lang w:val="es-AR"/>
              </w:rPr>
              <w:t>Total de fondos cuya aprobación se solicita en la reunión en cuso ($EUA)</w:t>
            </w:r>
          </w:p>
        </w:tc>
        <w:tc>
          <w:tcPr>
            <w:tcW w:w="1417" w:type="dxa"/>
            <w:shd w:val="clear" w:color="auto" w:fill="auto"/>
          </w:tcPr>
          <w:p w:rsidR="004A0F9F" w:rsidRPr="0082339C" w:rsidRDefault="004A0F9F" w:rsidP="004F7F5B">
            <w:pPr>
              <w:spacing w:after="60"/>
              <w:jc w:val="left"/>
              <w:rPr>
                <w:sz w:val="18"/>
              </w:rPr>
            </w:pPr>
            <w:r>
              <w:rPr>
                <w:sz w:val="18"/>
              </w:rPr>
              <w:t>Costos del proyecto</w:t>
            </w:r>
          </w:p>
        </w:tc>
        <w:tc>
          <w:tcPr>
            <w:tcW w:w="921" w:type="dxa"/>
            <w:shd w:val="clear" w:color="auto" w:fill="auto"/>
          </w:tcPr>
          <w:p w:rsidR="004A0F9F" w:rsidRPr="0082339C" w:rsidRDefault="004A0F9F" w:rsidP="004F7F5B">
            <w:pPr>
              <w:spacing w:after="60"/>
              <w:jc w:val="right"/>
              <w:rPr>
                <w:sz w:val="18"/>
                <w:lang w:val="en-CA"/>
              </w:rPr>
            </w:pPr>
          </w:p>
        </w:tc>
        <w:tc>
          <w:tcPr>
            <w:tcW w:w="921" w:type="dxa"/>
            <w:shd w:val="clear" w:color="auto" w:fill="auto"/>
          </w:tcPr>
          <w:p w:rsidR="004A0F9F" w:rsidRPr="0082339C" w:rsidRDefault="004A0F9F" w:rsidP="004F7F5B">
            <w:pPr>
              <w:spacing w:after="60"/>
              <w:jc w:val="right"/>
              <w:rPr>
                <w:sz w:val="18"/>
                <w:lang w:val="en-CA"/>
              </w:rPr>
            </w:pPr>
          </w:p>
        </w:tc>
        <w:tc>
          <w:tcPr>
            <w:tcW w:w="921" w:type="dxa"/>
            <w:shd w:val="clear" w:color="auto" w:fill="auto"/>
          </w:tcPr>
          <w:p w:rsidR="004A0F9F" w:rsidRPr="0082339C" w:rsidRDefault="004A0F9F" w:rsidP="004F7F5B">
            <w:pPr>
              <w:spacing w:after="60"/>
              <w:jc w:val="right"/>
              <w:rPr>
                <w:sz w:val="18"/>
                <w:lang w:val="en-CA"/>
              </w:rPr>
            </w:pPr>
          </w:p>
        </w:tc>
        <w:tc>
          <w:tcPr>
            <w:tcW w:w="921" w:type="dxa"/>
            <w:shd w:val="clear" w:color="auto" w:fill="auto"/>
          </w:tcPr>
          <w:p w:rsidR="004A0F9F" w:rsidRPr="0082339C" w:rsidRDefault="004A0F9F" w:rsidP="004F7F5B">
            <w:pPr>
              <w:spacing w:after="60"/>
              <w:jc w:val="right"/>
              <w:rPr>
                <w:b/>
                <w:sz w:val="18"/>
                <w:lang w:val="en-CA"/>
              </w:rPr>
            </w:pPr>
          </w:p>
        </w:tc>
        <w:tc>
          <w:tcPr>
            <w:tcW w:w="922" w:type="dxa"/>
            <w:shd w:val="clear" w:color="auto" w:fill="auto"/>
          </w:tcPr>
          <w:p w:rsidR="004A0F9F" w:rsidRPr="0082339C" w:rsidRDefault="004A0F9F" w:rsidP="004F7F5B">
            <w:pPr>
              <w:spacing w:after="60"/>
              <w:jc w:val="right"/>
              <w:rPr>
                <w:sz w:val="18"/>
              </w:rPr>
            </w:pPr>
            <w:r>
              <w:rPr>
                <w:sz w:val="18"/>
              </w:rPr>
              <w:t>17.450</w:t>
            </w:r>
          </w:p>
        </w:tc>
        <w:tc>
          <w:tcPr>
            <w:tcW w:w="0" w:type="auto"/>
            <w:shd w:val="clear" w:color="auto" w:fill="auto"/>
          </w:tcPr>
          <w:p w:rsidR="004A0F9F" w:rsidRPr="0082339C" w:rsidRDefault="004A0F9F" w:rsidP="004F7F5B">
            <w:pPr>
              <w:spacing w:after="60"/>
              <w:jc w:val="right"/>
              <w:rPr>
                <w:sz w:val="18"/>
              </w:rPr>
            </w:pPr>
            <w:r>
              <w:rPr>
                <w:sz w:val="18"/>
              </w:rPr>
              <w:t>17.450</w:t>
            </w:r>
          </w:p>
        </w:tc>
      </w:tr>
      <w:tr w:rsidR="004A0F9F" w:rsidRPr="0082339C" w:rsidTr="004F7F5B">
        <w:trPr>
          <w:trHeight w:val="233"/>
        </w:trPr>
        <w:tc>
          <w:tcPr>
            <w:tcW w:w="3114" w:type="dxa"/>
            <w:gridSpan w:val="2"/>
            <w:vMerge/>
            <w:shd w:val="clear" w:color="auto" w:fill="auto"/>
          </w:tcPr>
          <w:p w:rsidR="004A0F9F" w:rsidRPr="0082339C" w:rsidRDefault="004A0F9F" w:rsidP="004F7F5B">
            <w:pPr>
              <w:spacing w:after="60"/>
              <w:jc w:val="center"/>
              <w:rPr>
                <w:sz w:val="18"/>
                <w:lang w:val="en-CA"/>
              </w:rPr>
            </w:pPr>
          </w:p>
        </w:tc>
        <w:tc>
          <w:tcPr>
            <w:tcW w:w="1417" w:type="dxa"/>
            <w:shd w:val="clear" w:color="auto" w:fill="auto"/>
          </w:tcPr>
          <w:p w:rsidR="004A0F9F" w:rsidRPr="0082339C" w:rsidRDefault="004A0F9F" w:rsidP="004F7F5B">
            <w:pPr>
              <w:spacing w:after="60"/>
              <w:jc w:val="left"/>
              <w:rPr>
                <w:sz w:val="18"/>
              </w:rPr>
            </w:pPr>
            <w:r>
              <w:rPr>
                <w:sz w:val="18"/>
              </w:rPr>
              <w:t>Gastos de apoyo</w:t>
            </w:r>
          </w:p>
        </w:tc>
        <w:tc>
          <w:tcPr>
            <w:tcW w:w="921" w:type="dxa"/>
            <w:shd w:val="clear" w:color="auto" w:fill="auto"/>
          </w:tcPr>
          <w:p w:rsidR="004A0F9F" w:rsidRPr="0082339C" w:rsidRDefault="004A0F9F" w:rsidP="004F7F5B">
            <w:pPr>
              <w:spacing w:after="60"/>
              <w:jc w:val="right"/>
              <w:rPr>
                <w:sz w:val="18"/>
                <w:lang w:val="en-CA"/>
              </w:rPr>
            </w:pPr>
          </w:p>
        </w:tc>
        <w:tc>
          <w:tcPr>
            <w:tcW w:w="921" w:type="dxa"/>
            <w:shd w:val="clear" w:color="auto" w:fill="auto"/>
          </w:tcPr>
          <w:p w:rsidR="004A0F9F" w:rsidRPr="0082339C" w:rsidRDefault="004A0F9F" w:rsidP="004F7F5B">
            <w:pPr>
              <w:spacing w:after="60"/>
              <w:jc w:val="right"/>
              <w:rPr>
                <w:sz w:val="18"/>
                <w:lang w:val="en-CA"/>
              </w:rPr>
            </w:pPr>
          </w:p>
        </w:tc>
        <w:tc>
          <w:tcPr>
            <w:tcW w:w="921" w:type="dxa"/>
            <w:shd w:val="clear" w:color="auto" w:fill="auto"/>
          </w:tcPr>
          <w:p w:rsidR="004A0F9F" w:rsidRPr="0082339C" w:rsidRDefault="004A0F9F" w:rsidP="004F7F5B">
            <w:pPr>
              <w:spacing w:after="60"/>
              <w:jc w:val="right"/>
              <w:rPr>
                <w:sz w:val="18"/>
                <w:lang w:val="en-CA"/>
              </w:rPr>
            </w:pPr>
          </w:p>
        </w:tc>
        <w:tc>
          <w:tcPr>
            <w:tcW w:w="921" w:type="dxa"/>
            <w:shd w:val="clear" w:color="auto" w:fill="auto"/>
          </w:tcPr>
          <w:p w:rsidR="004A0F9F" w:rsidRPr="0082339C" w:rsidRDefault="004A0F9F" w:rsidP="004F7F5B">
            <w:pPr>
              <w:spacing w:after="60"/>
              <w:jc w:val="right"/>
              <w:rPr>
                <w:b/>
                <w:sz w:val="18"/>
                <w:lang w:val="en-CA"/>
              </w:rPr>
            </w:pPr>
          </w:p>
        </w:tc>
        <w:tc>
          <w:tcPr>
            <w:tcW w:w="922" w:type="dxa"/>
            <w:shd w:val="clear" w:color="auto" w:fill="auto"/>
          </w:tcPr>
          <w:p w:rsidR="004A0F9F" w:rsidRPr="0082339C" w:rsidRDefault="004A0F9F" w:rsidP="004F7F5B">
            <w:pPr>
              <w:spacing w:after="60"/>
              <w:jc w:val="right"/>
              <w:rPr>
                <w:sz w:val="18"/>
              </w:rPr>
            </w:pPr>
            <w:r>
              <w:rPr>
                <w:sz w:val="18"/>
              </w:rPr>
              <w:t>1.570</w:t>
            </w:r>
          </w:p>
        </w:tc>
        <w:tc>
          <w:tcPr>
            <w:tcW w:w="0" w:type="auto"/>
            <w:shd w:val="clear" w:color="auto" w:fill="auto"/>
          </w:tcPr>
          <w:p w:rsidR="004A0F9F" w:rsidRPr="0082339C" w:rsidRDefault="004A0F9F" w:rsidP="004F7F5B">
            <w:pPr>
              <w:spacing w:after="60"/>
              <w:jc w:val="right"/>
              <w:rPr>
                <w:sz w:val="18"/>
              </w:rPr>
            </w:pPr>
            <w:r>
              <w:rPr>
                <w:sz w:val="18"/>
              </w:rPr>
              <w:t>1.570</w:t>
            </w:r>
          </w:p>
        </w:tc>
      </w:tr>
    </w:tbl>
    <w:p w:rsidR="004A0F9F" w:rsidRPr="00410436" w:rsidRDefault="004A0F9F" w:rsidP="004A0F9F">
      <w:pPr>
        <w:spacing w:after="60"/>
        <w:jc w:val="left"/>
        <w:rPr>
          <w:sz w:val="18"/>
          <w:szCs w:val="18"/>
          <w:lang w:val="es-AR"/>
        </w:rPr>
      </w:pPr>
      <w:r w:rsidRPr="00410436">
        <w:rPr>
          <w:sz w:val="18"/>
          <w:szCs w:val="18"/>
          <w:lang w:val="es-AR"/>
        </w:rPr>
        <w:t>* El segundo tramo debió haberse presentado en 2018.</w:t>
      </w:r>
    </w:p>
    <w:p w:rsidR="004A0F9F" w:rsidRPr="00410436" w:rsidRDefault="004A0F9F" w:rsidP="004A0F9F">
      <w:pPr>
        <w:spacing w:after="60"/>
        <w:jc w:val="left"/>
        <w:rPr>
          <w:lang w:val="es-AR"/>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4A0F9F" w:rsidRPr="0082339C" w:rsidTr="004F7F5B">
        <w:trPr>
          <w:trHeight w:val="240"/>
        </w:trPr>
        <w:tc>
          <w:tcPr>
            <w:tcW w:w="3000" w:type="dxa"/>
            <w:shd w:val="clear" w:color="auto" w:fill="auto"/>
          </w:tcPr>
          <w:p w:rsidR="004A0F9F" w:rsidRPr="0082339C" w:rsidRDefault="004A0F9F" w:rsidP="004F7F5B">
            <w:pPr>
              <w:spacing w:after="60"/>
              <w:jc w:val="left"/>
              <w:rPr>
                <w:b/>
                <w:sz w:val="18"/>
              </w:rPr>
            </w:pPr>
            <w:r>
              <w:rPr>
                <w:b/>
                <w:sz w:val="18"/>
              </w:rPr>
              <w:t>Recomendación de la Secretaría:</w:t>
            </w:r>
          </w:p>
        </w:tc>
        <w:tc>
          <w:tcPr>
            <w:tcW w:w="7000" w:type="dxa"/>
            <w:shd w:val="clear" w:color="auto" w:fill="auto"/>
          </w:tcPr>
          <w:p w:rsidR="004A0F9F" w:rsidRPr="0082339C" w:rsidRDefault="004A0F9F" w:rsidP="004F7F5B">
            <w:pPr>
              <w:spacing w:after="60"/>
              <w:jc w:val="center"/>
              <w:rPr>
                <w:sz w:val="18"/>
              </w:rPr>
            </w:pPr>
            <w:r>
              <w:rPr>
                <w:sz w:val="18"/>
              </w:rPr>
              <w:t>Aprobación general</w:t>
            </w:r>
          </w:p>
        </w:tc>
      </w:tr>
    </w:tbl>
    <w:p w:rsidR="004A0F9F" w:rsidRPr="0082339C" w:rsidRDefault="004A0F9F" w:rsidP="004A0F9F">
      <w:r>
        <w:br w:type="page"/>
      </w:r>
    </w:p>
    <w:p w:rsidR="004A0F9F" w:rsidRDefault="004A0F9F" w:rsidP="004A0F9F">
      <w:pPr>
        <w:jc w:val="center"/>
        <w:rPr>
          <w:b/>
          <w:lang w:val="en-CA"/>
        </w:rPr>
      </w:pPr>
    </w:p>
    <w:p w:rsidR="004A0F9F" w:rsidRPr="0082339C" w:rsidRDefault="004A0F9F" w:rsidP="004A0F9F">
      <w:pPr>
        <w:jc w:val="center"/>
        <w:rPr>
          <w:b/>
        </w:rPr>
      </w:pPr>
      <w:r>
        <w:rPr>
          <w:b/>
        </w:rPr>
        <w:t>DESCRIPCIÓN DEL PROYECTO</w:t>
      </w:r>
    </w:p>
    <w:p w:rsidR="004A0F9F" w:rsidRPr="0082339C" w:rsidRDefault="004A0F9F" w:rsidP="004A0F9F">
      <w:pPr>
        <w:rPr>
          <w:lang w:val="en-CA"/>
        </w:rPr>
      </w:pPr>
    </w:p>
    <w:p w:rsidR="004A0F9F" w:rsidRPr="00410436" w:rsidRDefault="004A0F9F" w:rsidP="004A0F9F">
      <w:pPr>
        <w:pStyle w:val="Heading1"/>
        <w:rPr>
          <w:lang w:val="es-AR"/>
        </w:rPr>
      </w:pPr>
      <w:r w:rsidRPr="00410436">
        <w:rPr>
          <w:lang w:val="es-AR"/>
        </w:rPr>
        <w:t>El PNUD, en calidad de organismo de ejecución principal, ha presentado en nombre del Gobierno de la República de Moldova una solicitud de financiación para el tercer y último tramo de la etapa II del plan de gestión para la eliminación de los HCFC (PGEH) por un monto de 17.450 $EUA, más unos gastos de apoyo al organismo de 1.570 $EUA para el PNUD únicamente.</w:t>
      </w:r>
      <w:r w:rsidRPr="0082339C">
        <w:rPr>
          <w:rStyle w:val="FootnoteReference"/>
          <w:lang w:val="en-CA"/>
        </w:rPr>
        <w:footnoteReference w:id="2"/>
      </w:r>
      <w:r w:rsidRPr="00410436">
        <w:rPr>
          <w:lang w:val="es-AR"/>
        </w:rPr>
        <w:t xml:space="preserve"> La presentación de dicha solicitud incluye un informe sobre los progresos realizados en la aplicación del segundo tramo y el plan de ejecución del tramo para el período de 2020 a 2021.</w:t>
      </w:r>
    </w:p>
    <w:p w:rsidR="004A0F9F" w:rsidRPr="00410436" w:rsidRDefault="004A0F9F" w:rsidP="004A0F9F">
      <w:pPr>
        <w:rPr>
          <w:u w:val="single"/>
          <w:lang w:val="es-AR"/>
        </w:rPr>
      </w:pPr>
      <w:r w:rsidRPr="00410436">
        <w:rPr>
          <w:u w:val="single"/>
          <w:lang w:val="es-AR"/>
        </w:rPr>
        <w:t>Informe sobre el consumo de HCFC</w:t>
      </w:r>
    </w:p>
    <w:p w:rsidR="004A0F9F" w:rsidRPr="00410436" w:rsidRDefault="004A0F9F" w:rsidP="004A0F9F">
      <w:pPr>
        <w:rPr>
          <w:lang w:val="es-AR"/>
        </w:rPr>
      </w:pPr>
    </w:p>
    <w:p w:rsidR="004A0F9F" w:rsidRPr="00410436" w:rsidRDefault="004A0F9F" w:rsidP="004A0F9F">
      <w:pPr>
        <w:pStyle w:val="Heading1"/>
        <w:rPr>
          <w:lang w:val="es-AR"/>
        </w:rPr>
      </w:pPr>
      <w:r w:rsidRPr="00410436">
        <w:rPr>
          <w:lang w:val="es-AR"/>
        </w:rPr>
        <w:t xml:space="preserve">El Gobierno de la República de Moldova ha informado de un consumo de 0,53 toneladas PAO de HCFC en 2019, un 47 por ciento inferior al nivel básico de HCFC para el cumplimiento. En el Cuadro 1 se indica el consumo de HCFC entre 2015 y 2019. </w:t>
      </w:r>
    </w:p>
    <w:p w:rsidR="004A0F9F" w:rsidRPr="00410436" w:rsidRDefault="004A0F9F" w:rsidP="004A0F9F">
      <w:pPr>
        <w:rPr>
          <w:b/>
          <w:lang w:val="es-AR"/>
        </w:rPr>
      </w:pPr>
      <w:bookmarkStart w:id="1" w:name="_Hlk50031264"/>
      <w:r w:rsidRPr="00410436">
        <w:rPr>
          <w:b/>
          <w:lang w:val="es-AR"/>
        </w:rPr>
        <w:t>Cuadro 1. Consumo de HCFC en la República de Moldova (datos de 2015-2019 con arreglo al Artículo 7)</w:t>
      </w:r>
    </w:p>
    <w:tbl>
      <w:tblPr>
        <w:tblW w:w="5000" w:type="pct"/>
        <w:tblLook w:val="04A0" w:firstRow="1" w:lastRow="0" w:firstColumn="1" w:lastColumn="0" w:noHBand="0" w:noVBand="1"/>
      </w:tblPr>
      <w:tblGrid>
        <w:gridCol w:w="2496"/>
        <w:gridCol w:w="910"/>
        <w:gridCol w:w="910"/>
        <w:gridCol w:w="912"/>
        <w:gridCol w:w="911"/>
        <w:gridCol w:w="911"/>
        <w:gridCol w:w="2300"/>
      </w:tblGrid>
      <w:tr w:rsidR="004A0F9F" w:rsidRPr="0082339C" w:rsidTr="004F7F5B">
        <w:trPr>
          <w:tblHeader/>
        </w:trPr>
        <w:tc>
          <w:tcPr>
            <w:tcW w:w="14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A0F9F" w:rsidRPr="0082339C" w:rsidRDefault="004A0F9F" w:rsidP="004F7F5B">
            <w:pPr>
              <w:widowControl w:val="0"/>
              <w:jc w:val="left"/>
              <w:rPr>
                <w:b/>
                <w:bCs/>
                <w:sz w:val="20"/>
                <w:szCs w:val="20"/>
              </w:rPr>
            </w:pPr>
            <w:r>
              <w:rPr>
                <w:b/>
                <w:bCs/>
                <w:sz w:val="20"/>
                <w:szCs w:val="20"/>
              </w:rPr>
              <w:t>HCFC-22</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rsidR="004A0F9F" w:rsidRPr="0082339C" w:rsidRDefault="004A0F9F" w:rsidP="004F7F5B">
            <w:pPr>
              <w:widowControl w:val="0"/>
              <w:jc w:val="center"/>
              <w:rPr>
                <w:b/>
                <w:bCs/>
                <w:sz w:val="20"/>
                <w:szCs w:val="20"/>
              </w:rPr>
            </w:pPr>
            <w:r>
              <w:rPr>
                <w:b/>
                <w:bCs/>
                <w:sz w:val="20"/>
                <w:szCs w:val="20"/>
              </w:rPr>
              <w:t>2015</w:t>
            </w:r>
          </w:p>
        </w:tc>
        <w:tc>
          <w:tcPr>
            <w:tcW w:w="593" w:type="pct"/>
            <w:tcBorders>
              <w:top w:val="single" w:sz="4" w:space="0" w:color="auto"/>
              <w:left w:val="nil"/>
              <w:bottom w:val="single" w:sz="4" w:space="0" w:color="auto"/>
              <w:right w:val="single" w:sz="4" w:space="0" w:color="auto"/>
            </w:tcBorders>
          </w:tcPr>
          <w:p w:rsidR="004A0F9F" w:rsidRPr="0082339C" w:rsidRDefault="004A0F9F" w:rsidP="004F7F5B">
            <w:pPr>
              <w:widowControl w:val="0"/>
              <w:jc w:val="center"/>
              <w:rPr>
                <w:b/>
                <w:bCs/>
                <w:sz w:val="20"/>
                <w:szCs w:val="20"/>
              </w:rPr>
            </w:pPr>
            <w:r>
              <w:rPr>
                <w:b/>
                <w:bCs/>
                <w:sz w:val="20"/>
                <w:szCs w:val="20"/>
              </w:rPr>
              <w:t>2016</w:t>
            </w:r>
          </w:p>
        </w:tc>
        <w:tc>
          <w:tcPr>
            <w:tcW w:w="594" w:type="pct"/>
            <w:tcBorders>
              <w:top w:val="single" w:sz="4" w:space="0" w:color="auto"/>
              <w:left w:val="single" w:sz="4" w:space="0" w:color="auto"/>
              <w:bottom w:val="single" w:sz="4" w:space="0" w:color="auto"/>
              <w:right w:val="single" w:sz="4" w:space="0" w:color="auto"/>
            </w:tcBorders>
          </w:tcPr>
          <w:p w:rsidR="004A0F9F" w:rsidRPr="0082339C" w:rsidRDefault="004A0F9F" w:rsidP="004F7F5B">
            <w:pPr>
              <w:widowControl w:val="0"/>
              <w:jc w:val="center"/>
              <w:rPr>
                <w:b/>
                <w:bCs/>
                <w:sz w:val="20"/>
                <w:szCs w:val="20"/>
              </w:rPr>
            </w:pPr>
            <w:r>
              <w:rPr>
                <w:b/>
                <w:bCs/>
                <w:sz w:val="20"/>
                <w:szCs w:val="20"/>
              </w:rPr>
              <w:t>2017</w:t>
            </w:r>
          </w:p>
        </w:tc>
        <w:tc>
          <w:tcPr>
            <w:tcW w:w="593" w:type="pct"/>
            <w:tcBorders>
              <w:top w:val="single" w:sz="4" w:space="0" w:color="auto"/>
              <w:left w:val="single" w:sz="4" w:space="0" w:color="auto"/>
              <w:bottom w:val="single" w:sz="4" w:space="0" w:color="auto"/>
              <w:right w:val="single" w:sz="4" w:space="0" w:color="auto"/>
            </w:tcBorders>
          </w:tcPr>
          <w:p w:rsidR="004A0F9F" w:rsidRPr="0082339C" w:rsidRDefault="004A0F9F" w:rsidP="004F7F5B">
            <w:pPr>
              <w:widowControl w:val="0"/>
              <w:jc w:val="center"/>
              <w:rPr>
                <w:b/>
                <w:bCs/>
                <w:sz w:val="20"/>
                <w:szCs w:val="20"/>
              </w:rPr>
            </w:pPr>
            <w:r>
              <w:rPr>
                <w:b/>
                <w:bCs/>
                <w:sz w:val="20"/>
                <w:szCs w:val="20"/>
              </w:rPr>
              <w:t>2018</w:t>
            </w:r>
          </w:p>
        </w:tc>
        <w:tc>
          <w:tcPr>
            <w:tcW w:w="593" w:type="pct"/>
            <w:tcBorders>
              <w:top w:val="single" w:sz="4" w:space="0" w:color="auto"/>
              <w:left w:val="single" w:sz="4" w:space="0" w:color="auto"/>
              <w:bottom w:val="single" w:sz="4" w:space="0" w:color="auto"/>
              <w:right w:val="single" w:sz="4" w:space="0" w:color="auto"/>
            </w:tcBorders>
            <w:vAlign w:val="center"/>
          </w:tcPr>
          <w:p w:rsidR="004A0F9F" w:rsidRPr="0082339C" w:rsidRDefault="004A0F9F" w:rsidP="004F7F5B">
            <w:pPr>
              <w:widowControl w:val="0"/>
              <w:jc w:val="center"/>
              <w:rPr>
                <w:b/>
                <w:bCs/>
                <w:sz w:val="20"/>
                <w:szCs w:val="20"/>
              </w:rPr>
            </w:pPr>
            <w:r>
              <w:rPr>
                <w:b/>
                <w:bCs/>
                <w:sz w:val="20"/>
                <w:szCs w:val="20"/>
              </w:rPr>
              <w:t>2019</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0F9F" w:rsidRPr="0082339C" w:rsidRDefault="004A0F9F" w:rsidP="004F7F5B">
            <w:pPr>
              <w:widowControl w:val="0"/>
              <w:jc w:val="center"/>
              <w:rPr>
                <w:b/>
                <w:bCs/>
                <w:sz w:val="20"/>
                <w:szCs w:val="20"/>
              </w:rPr>
            </w:pPr>
            <w:r>
              <w:rPr>
                <w:b/>
                <w:bCs/>
                <w:sz w:val="20"/>
                <w:szCs w:val="20"/>
              </w:rPr>
              <w:t>Nivel básico de consumo</w:t>
            </w:r>
          </w:p>
        </w:tc>
      </w:tr>
      <w:tr w:rsidR="004A0F9F" w:rsidRPr="0082339C" w:rsidTr="004F7F5B">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A0F9F" w:rsidRPr="0082339C" w:rsidRDefault="004A0F9F" w:rsidP="004F7F5B">
            <w:pPr>
              <w:widowControl w:val="0"/>
              <w:jc w:val="left"/>
              <w:rPr>
                <w:bCs/>
                <w:sz w:val="20"/>
                <w:szCs w:val="20"/>
              </w:rPr>
            </w:pPr>
            <w:r>
              <w:rPr>
                <w:bCs/>
                <w:sz w:val="20"/>
                <w:szCs w:val="20"/>
              </w:rPr>
              <w:t>Toneladas métricas (tm)</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rsidR="004A0F9F" w:rsidRPr="0082339C" w:rsidRDefault="004A0F9F" w:rsidP="004F7F5B">
            <w:pPr>
              <w:jc w:val="right"/>
              <w:rPr>
                <w:bCs/>
                <w:sz w:val="20"/>
                <w:szCs w:val="20"/>
              </w:rPr>
            </w:pPr>
            <w:r>
              <w:rPr>
                <w:bCs/>
                <w:sz w:val="20"/>
                <w:szCs w:val="20"/>
              </w:rPr>
              <w:t>14,90</w:t>
            </w:r>
          </w:p>
        </w:tc>
        <w:tc>
          <w:tcPr>
            <w:tcW w:w="593" w:type="pct"/>
            <w:tcBorders>
              <w:top w:val="single" w:sz="4" w:space="0" w:color="auto"/>
              <w:left w:val="nil"/>
              <w:bottom w:val="single" w:sz="4" w:space="0" w:color="auto"/>
              <w:right w:val="single" w:sz="4" w:space="0" w:color="auto"/>
            </w:tcBorders>
            <w:tcMar>
              <w:left w:w="115" w:type="dxa"/>
              <w:right w:w="202" w:type="dxa"/>
            </w:tcMar>
          </w:tcPr>
          <w:p w:rsidR="004A0F9F" w:rsidRPr="0082339C" w:rsidRDefault="004A0F9F" w:rsidP="004F7F5B">
            <w:pPr>
              <w:jc w:val="right"/>
              <w:rPr>
                <w:bCs/>
                <w:sz w:val="20"/>
                <w:szCs w:val="20"/>
              </w:rPr>
            </w:pPr>
            <w:r>
              <w:rPr>
                <w:bCs/>
                <w:sz w:val="20"/>
                <w:szCs w:val="20"/>
              </w:rPr>
              <w:t>0,00</w:t>
            </w:r>
          </w:p>
        </w:tc>
        <w:tc>
          <w:tcPr>
            <w:tcW w:w="594" w:type="pct"/>
            <w:tcBorders>
              <w:top w:val="nil"/>
              <w:left w:val="single" w:sz="4" w:space="0" w:color="auto"/>
              <w:bottom w:val="single" w:sz="4" w:space="0" w:color="auto"/>
              <w:right w:val="single" w:sz="4" w:space="0" w:color="auto"/>
            </w:tcBorders>
            <w:tcMar>
              <w:left w:w="115" w:type="dxa"/>
              <w:right w:w="202" w:type="dxa"/>
            </w:tcMar>
          </w:tcPr>
          <w:p w:rsidR="004A0F9F" w:rsidRPr="0082339C" w:rsidRDefault="004A0F9F" w:rsidP="004F7F5B">
            <w:pPr>
              <w:jc w:val="right"/>
              <w:rPr>
                <w:bCs/>
                <w:sz w:val="20"/>
                <w:szCs w:val="20"/>
              </w:rPr>
            </w:pPr>
            <w:r>
              <w:rPr>
                <w:bCs/>
                <w:sz w:val="20"/>
                <w:szCs w:val="20"/>
              </w:rPr>
              <w:t>0,00</w:t>
            </w:r>
          </w:p>
        </w:tc>
        <w:tc>
          <w:tcPr>
            <w:tcW w:w="593" w:type="pct"/>
            <w:tcBorders>
              <w:top w:val="nil"/>
              <w:left w:val="single" w:sz="4" w:space="0" w:color="auto"/>
              <w:bottom w:val="single" w:sz="4" w:space="0" w:color="auto"/>
              <w:right w:val="single" w:sz="4" w:space="0" w:color="auto"/>
            </w:tcBorders>
            <w:tcMar>
              <w:left w:w="115" w:type="dxa"/>
              <w:right w:w="202" w:type="dxa"/>
            </w:tcMar>
          </w:tcPr>
          <w:p w:rsidR="004A0F9F" w:rsidRPr="0082339C" w:rsidRDefault="004A0F9F" w:rsidP="004F7F5B">
            <w:pPr>
              <w:jc w:val="right"/>
              <w:rPr>
                <w:bCs/>
                <w:sz w:val="20"/>
                <w:szCs w:val="20"/>
              </w:rPr>
            </w:pPr>
            <w:r>
              <w:rPr>
                <w:bCs/>
                <w:sz w:val="20"/>
                <w:szCs w:val="20"/>
              </w:rPr>
              <w:t>5,58</w:t>
            </w:r>
          </w:p>
        </w:tc>
        <w:tc>
          <w:tcPr>
            <w:tcW w:w="593" w:type="pct"/>
            <w:tcBorders>
              <w:top w:val="nil"/>
              <w:left w:val="single" w:sz="4" w:space="0" w:color="auto"/>
              <w:bottom w:val="single" w:sz="4" w:space="0" w:color="auto"/>
              <w:right w:val="single" w:sz="4" w:space="0" w:color="auto"/>
            </w:tcBorders>
            <w:tcMar>
              <w:left w:w="115" w:type="dxa"/>
              <w:right w:w="202" w:type="dxa"/>
            </w:tcMar>
          </w:tcPr>
          <w:p w:rsidR="004A0F9F" w:rsidRPr="0082339C" w:rsidRDefault="004A0F9F" w:rsidP="004F7F5B">
            <w:pPr>
              <w:widowControl w:val="0"/>
              <w:jc w:val="right"/>
              <w:rPr>
                <w:bCs/>
                <w:sz w:val="20"/>
                <w:szCs w:val="20"/>
              </w:rPr>
            </w:pPr>
            <w:r>
              <w:rPr>
                <w:bCs/>
                <w:sz w:val="20"/>
                <w:szCs w:val="20"/>
              </w:rPr>
              <w:t>9,68</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rsidR="004A0F9F" w:rsidRPr="0082339C" w:rsidRDefault="004A0F9F" w:rsidP="004F7F5B">
            <w:pPr>
              <w:widowControl w:val="0"/>
              <w:jc w:val="right"/>
              <w:rPr>
                <w:bCs/>
                <w:sz w:val="20"/>
                <w:szCs w:val="20"/>
              </w:rPr>
            </w:pPr>
            <w:r>
              <w:rPr>
                <w:bCs/>
                <w:sz w:val="20"/>
                <w:szCs w:val="20"/>
              </w:rPr>
              <w:t>17,00</w:t>
            </w:r>
          </w:p>
        </w:tc>
      </w:tr>
      <w:tr w:rsidR="004A0F9F" w:rsidRPr="0082339C" w:rsidTr="004F7F5B">
        <w:tc>
          <w:tcPr>
            <w:tcW w:w="14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4A0F9F" w:rsidRPr="0082339C" w:rsidRDefault="004A0F9F" w:rsidP="004F7F5B">
            <w:pPr>
              <w:widowControl w:val="0"/>
              <w:jc w:val="left"/>
              <w:rPr>
                <w:sz w:val="20"/>
                <w:szCs w:val="20"/>
              </w:rPr>
            </w:pPr>
            <w:r>
              <w:rPr>
                <w:bCs/>
                <w:sz w:val="20"/>
                <w:szCs w:val="20"/>
              </w:rPr>
              <w:t>Toneladas PAO</w:t>
            </w:r>
          </w:p>
        </w:tc>
        <w:tc>
          <w:tcPr>
            <w:tcW w:w="593" w:type="pct"/>
            <w:tcBorders>
              <w:top w:val="nil"/>
              <w:left w:val="nil"/>
              <w:bottom w:val="single" w:sz="4" w:space="0" w:color="auto"/>
              <w:right w:val="single" w:sz="4" w:space="0" w:color="auto"/>
            </w:tcBorders>
            <w:shd w:val="clear" w:color="auto" w:fill="auto"/>
            <w:noWrap/>
            <w:tcMar>
              <w:left w:w="115" w:type="dxa"/>
              <w:right w:w="202" w:type="dxa"/>
            </w:tcMar>
          </w:tcPr>
          <w:p w:rsidR="004A0F9F" w:rsidRPr="0082339C" w:rsidRDefault="004A0F9F" w:rsidP="004F7F5B">
            <w:pPr>
              <w:jc w:val="right"/>
              <w:rPr>
                <w:bCs/>
                <w:sz w:val="20"/>
                <w:szCs w:val="20"/>
              </w:rPr>
            </w:pPr>
            <w:r>
              <w:rPr>
                <w:bCs/>
                <w:sz w:val="20"/>
                <w:szCs w:val="20"/>
              </w:rPr>
              <w:t>0,82</w:t>
            </w:r>
          </w:p>
        </w:tc>
        <w:tc>
          <w:tcPr>
            <w:tcW w:w="593" w:type="pct"/>
            <w:tcBorders>
              <w:top w:val="single" w:sz="4" w:space="0" w:color="auto"/>
              <w:left w:val="nil"/>
              <w:bottom w:val="single" w:sz="4" w:space="0" w:color="auto"/>
              <w:right w:val="single" w:sz="4" w:space="0" w:color="auto"/>
            </w:tcBorders>
            <w:tcMar>
              <w:left w:w="115" w:type="dxa"/>
              <w:right w:w="202" w:type="dxa"/>
            </w:tcMar>
          </w:tcPr>
          <w:p w:rsidR="004A0F9F" w:rsidRPr="0082339C" w:rsidRDefault="004A0F9F" w:rsidP="004F7F5B">
            <w:pPr>
              <w:jc w:val="right"/>
              <w:rPr>
                <w:bCs/>
                <w:sz w:val="20"/>
                <w:szCs w:val="20"/>
              </w:rPr>
            </w:pPr>
            <w:r>
              <w:rPr>
                <w:bCs/>
                <w:sz w:val="20"/>
                <w:szCs w:val="20"/>
              </w:rPr>
              <w:t>0,00</w:t>
            </w:r>
          </w:p>
        </w:tc>
        <w:tc>
          <w:tcPr>
            <w:tcW w:w="594" w:type="pct"/>
            <w:tcBorders>
              <w:top w:val="nil"/>
              <w:left w:val="single" w:sz="4" w:space="0" w:color="auto"/>
              <w:bottom w:val="single" w:sz="4" w:space="0" w:color="auto"/>
              <w:right w:val="single" w:sz="4" w:space="0" w:color="auto"/>
            </w:tcBorders>
            <w:tcMar>
              <w:left w:w="115" w:type="dxa"/>
              <w:right w:w="202" w:type="dxa"/>
            </w:tcMar>
          </w:tcPr>
          <w:p w:rsidR="004A0F9F" w:rsidRPr="0082339C" w:rsidRDefault="004A0F9F" w:rsidP="004F7F5B">
            <w:pPr>
              <w:jc w:val="right"/>
              <w:rPr>
                <w:bCs/>
                <w:sz w:val="20"/>
                <w:szCs w:val="20"/>
              </w:rPr>
            </w:pPr>
            <w:r>
              <w:rPr>
                <w:bCs/>
                <w:sz w:val="20"/>
                <w:szCs w:val="20"/>
              </w:rPr>
              <w:t>0,00</w:t>
            </w:r>
          </w:p>
        </w:tc>
        <w:tc>
          <w:tcPr>
            <w:tcW w:w="593" w:type="pct"/>
            <w:tcBorders>
              <w:top w:val="nil"/>
              <w:left w:val="single" w:sz="4" w:space="0" w:color="auto"/>
              <w:bottom w:val="single" w:sz="4" w:space="0" w:color="auto"/>
              <w:right w:val="single" w:sz="4" w:space="0" w:color="auto"/>
            </w:tcBorders>
            <w:tcMar>
              <w:left w:w="115" w:type="dxa"/>
              <w:right w:w="202" w:type="dxa"/>
            </w:tcMar>
          </w:tcPr>
          <w:p w:rsidR="004A0F9F" w:rsidRPr="0082339C" w:rsidRDefault="004A0F9F" w:rsidP="004F7F5B">
            <w:pPr>
              <w:jc w:val="right"/>
              <w:rPr>
                <w:bCs/>
                <w:sz w:val="20"/>
                <w:szCs w:val="20"/>
              </w:rPr>
            </w:pPr>
            <w:r>
              <w:rPr>
                <w:bCs/>
                <w:sz w:val="20"/>
                <w:szCs w:val="20"/>
              </w:rPr>
              <w:t>0,31</w:t>
            </w:r>
          </w:p>
        </w:tc>
        <w:tc>
          <w:tcPr>
            <w:tcW w:w="593" w:type="pct"/>
            <w:tcBorders>
              <w:top w:val="nil"/>
              <w:left w:val="single" w:sz="4" w:space="0" w:color="auto"/>
              <w:bottom w:val="single" w:sz="4" w:space="0" w:color="auto"/>
              <w:right w:val="single" w:sz="4" w:space="0" w:color="auto"/>
            </w:tcBorders>
            <w:tcMar>
              <w:left w:w="115" w:type="dxa"/>
              <w:right w:w="202" w:type="dxa"/>
            </w:tcMar>
          </w:tcPr>
          <w:p w:rsidR="004A0F9F" w:rsidRPr="0082339C" w:rsidRDefault="004A0F9F" w:rsidP="004F7F5B">
            <w:pPr>
              <w:widowControl w:val="0"/>
              <w:jc w:val="right"/>
              <w:rPr>
                <w:b/>
                <w:bCs/>
                <w:sz w:val="20"/>
                <w:szCs w:val="20"/>
              </w:rPr>
            </w:pPr>
            <w:r>
              <w:rPr>
                <w:bCs/>
                <w:sz w:val="20"/>
                <w:szCs w:val="20"/>
              </w:rPr>
              <w:t>0,53</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rsidR="004A0F9F" w:rsidRPr="0082339C" w:rsidRDefault="004A0F9F" w:rsidP="004F7F5B">
            <w:pPr>
              <w:widowControl w:val="0"/>
              <w:jc w:val="right"/>
              <w:rPr>
                <w:bCs/>
                <w:sz w:val="20"/>
                <w:szCs w:val="20"/>
              </w:rPr>
            </w:pPr>
            <w:r>
              <w:rPr>
                <w:bCs/>
                <w:sz w:val="20"/>
                <w:szCs w:val="20"/>
              </w:rPr>
              <w:t>1,00</w:t>
            </w:r>
          </w:p>
        </w:tc>
      </w:tr>
      <w:bookmarkEnd w:id="1"/>
    </w:tbl>
    <w:p w:rsidR="004A0F9F" w:rsidRPr="0082339C" w:rsidRDefault="004A0F9F" w:rsidP="004A0F9F">
      <w:pPr>
        <w:rPr>
          <w:lang w:val="en-CA"/>
        </w:rPr>
      </w:pPr>
    </w:p>
    <w:p w:rsidR="004A0F9F" w:rsidRPr="00410436" w:rsidRDefault="004A0F9F" w:rsidP="004A0F9F">
      <w:pPr>
        <w:pStyle w:val="Heading1"/>
        <w:rPr>
          <w:lang w:val="es-AR"/>
        </w:rPr>
      </w:pPr>
      <w:r w:rsidRPr="00410436">
        <w:rPr>
          <w:lang w:val="es-AR"/>
        </w:rPr>
        <w:t>No se asignaron cupos de importación de HCFC para 2016 ni 2017; durante esos años, se emplearon los inventarios existentes de HCFC para satisfacer la demanda doméstica. Si bien el cupo de HCFC para 2018 fue de 0,61 toneladas PAO (11,00 tm), no se asignó a los cinco importadores hasta octubre de 2018 debido a la aprobación tardía del Gobierno del marco regulatorio nacional de asignación de cupos;</w:t>
      </w:r>
      <w:r w:rsidRPr="0082339C">
        <w:rPr>
          <w:vertAlign w:val="superscript"/>
          <w:lang w:val="en-CA"/>
        </w:rPr>
        <w:footnoteReference w:id="3"/>
      </w:r>
      <w:r w:rsidRPr="00410436">
        <w:rPr>
          <w:lang w:val="es-AR"/>
        </w:rPr>
        <w:t xml:space="preserve"> por tanto, ese año solo se importaron 0,31 toneladas PAO (5,58 tm) de HCFC-22. El cupo de 2019 de 0,60 toneladas PAO (10,995 tm) de HCFC-22 se asignó a los mismos cinco importadores en febrero de 2019, lo que tuvo como consecuencia un aumento en las importaciones de HCFC ese año respecto a 2018. </w:t>
      </w:r>
    </w:p>
    <w:p w:rsidR="004A0F9F" w:rsidRPr="00410436" w:rsidRDefault="004A0F9F" w:rsidP="004A0F9F">
      <w:pPr>
        <w:pStyle w:val="Heading1"/>
        <w:rPr>
          <w:lang w:val="es-AR"/>
        </w:rPr>
      </w:pPr>
      <w:r w:rsidRPr="00410436">
        <w:rPr>
          <w:lang w:val="es-AR"/>
        </w:rPr>
        <w:t>El consumo de HCFC se ha reducido entre 2015 y 2019 debido a la ejecución de actividades en el sector de servicio, incluyendo la formación de técnicos de refrigeración y aire acondicionado, la prohibición de importación de equipos que utilizan HCFC desde octubre de 2017, la adopción de equipos que utilizan HFC, la importación de R-422D</w:t>
      </w:r>
      <w:r w:rsidRPr="0082339C">
        <w:rPr>
          <w:vertAlign w:val="superscript"/>
          <w:lang w:val="en-CA"/>
        </w:rPr>
        <w:footnoteReference w:id="4"/>
      </w:r>
      <w:r w:rsidRPr="00410436">
        <w:rPr>
          <w:lang w:val="es-AR"/>
        </w:rPr>
        <w:t xml:space="preserve"> como sustituyo inmediato de HCFC-22 (en 2017, 2018 y 2019 se importaron respectivamente 4,80 tm, 2,36 tm y 5,85 tm), y el uso de HCFC-22 recuperado para el servicio técnico. </w:t>
      </w:r>
    </w:p>
    <w:p w:rsidR="004A0F9F" w:rsidRPr="00410436" w:rsidRDefault="004A0F9F" w:rsidP="004A0F9F">
      <w:pPr>
        <w:rPr>
          <w:i/>
          <w:lang w:val="es-AR"/>
        </w:rPr>
      </w:pPr>
      <w:r w:rsidRPr="00410436">
        <w:rPr>
          <w:i/>
          <w:lang w:val="es-AR"/>
        </w:rPr>
        <w:t xml:space="preserve">Informe sobre la ejecución del programa de país </w:t>
      </w:r>
    </w:p>
    <w:p w:rsidR="004A0F9F" w:rsidRPr="00410436" w:rsidRDefault="004A0F9F" w:rsidP="004A0F9F">
      <w:pPr>
        <w:rPr>
          <w:lang w:val="es-AR"/>
        </w:rPr>
      </w:pPr>
    </w:p>
    <w:p w:rsidR="004A0F9F" w:rsidRPr="00410436" w:rsidRDefault="004A0F9F" w:rsidP="004A0F9F">
      <w:pPr>
        <w:pStyle w:val="Heading1"/>
        <w:rPr>
          <w:lang w:val="es-AR"/>
        </w:rPr>
      </w:pPr>
      <w:r w:rsidRPr="00410436">
        <w:rPr>
          <w:lang w:val="es-AR"/>
        </w:rPr>
        <w:t xml:space="preserve">Los datos de consumo de HCFC por sectores presentados por el Gobierno de la República de Moldova en el informe de ejecución del programa país de 2019 están en consonancia con los datos notificados en virtud del Artículo 7 del Protocolo de Montreal. </w:t>
      </w:r>
    </w:p>
    <w:p w:rsidR="004A0F9F" w:rsidRPr="00410436" w:rsidRDefault="004A0F9F" w:rsidP="00410436">
      <w:pPr>
        <w:keepNext/>
        <w:keepLines/>
        <w:rPr>
          <w:u w:val="single"/>
          <w:lang w:val="es-AR"/>
        </w:rPr>
      </w:pPr>
      <w:r w:rsidRPr="00410436">
        <w:rPr>
          <w:u w:val="single"/>
          <w:lang w:val="es-AR"/>
        </w:rPr>
        <w:lastRenderedPageBreak/>
        <w:t>Informe sobre la marcha de las actividades de la ejecución del segundo tramo del plan de gestión para la eliminación de los HCFC</w:t>
      </w:r>
    </w:p>
    <w:p w:rsidR="004A0F9F" w:rsidRPr="00410436" w:rsidRDefault="004A0F9F" w:rsidP="00410436">
      <w:pPr>
        <w:keepNext/>
        <w:keepLines/>
        <w:rPr>
          <w:lang w:val="es-AR"/>
        </w:rPr>
      </w:pPr>
    </w:p>
    <w:p w:rsidR="004A0F9F" w:rsidRPr="0082339C" w:rsidRDefault="004A0F9F" w:rsidP="00410436">
      <w:pPr>
        <w:keepNext/>
        <w:keepLines/>
        <w:rPr>
          <w:i/>
        </w:rPr>
      </w:pPr>
      <w:r>
        <w:rPr>
          <w:i/>
        </w:rPr>
        <w:t>Marco jurídico</w:t>
      </w:r>
    </w:p>
    <w:p w:rsidR="004A0F9F" w:rsidRPr="0082339C" w:rsidRDefault="004A0F9F" w:rsidP="00410436">
      <w:pPr>
        <w:keepNext/>
        <w:keepLines/>
        <w:rPr>
          <w:lang w:val="en-CA"/>
        </w:rPr>
      </w:pPr>
    </w:p>
    <w:p w:rsidR="004A0F9F" w:rsidRPr="00410436" w:rsidRDefault="004A0F9F" w:rsidP="00410436">
      <w:pPr>
        <w:pStyle w:val="Heading1"/>
        <w:keepNext/>
        <w:keepLines/>
        <w:rPr>
          <w:lang w:val="es-AR"/>
        </w:rPr>
      </w:pPr>
      <w:r w:rsidRPr="00410436">
        <w:rPr>
          <w:lang w:val="es-AR"/>
        </w:rPr>
        <w:t xml:space="preserve">El marco reglamentario nacional de asignación de cupos se adoptó el 21 de junio de 2018. La </w:t>
      </w:r>
      <w:r w:rsidRPr="00410436">
        <w:rPr>
          <w:color w:val="000000" w:themeColor="text1"/>
          <w:lang w:val="es-AR"/>
        </w:rPr>
        <w:t>decisión</w:t>
      </w:r>
      <w:r w:rsidRPr="00410436">
        <w:rPr>
          <w:color w:val="000000" w:themeColor="text1"/>
          <w:vertAlign w:val="superscript"/>
          <w:lang w:val="es-AR"/>
        </w:rPr>
        <w:t>3</w:t>
      </w:r>
      <w:r w:rsidRPr="00410436">
        <w:rPr>
          <w:lang w:val="es-AR"/>
        </w:rPr>
        <w:t xml:space="preserve"> del Gobierno describe los aspectos jurídicos relativos a la organización de la labor de la Comisión Nacional organizada por el Ministerio de Agricultura, Desarrollo Regional y Medio Ambiente, que examina y controla la asignación de cupos anuales para la importación de HCFC. El Gobierno aprobó el plan de acción 2021-2025 del plan de gestión para la eliminación de los HCFC para el período 2016-2040, y la Comisión Nacional aprobó cupos anuales de importación por debajo de los objetivos del Protocolo de Montreal, como se indica a continuación: 0,54 toneladas PAO para 2021, 0,48 toneladas PAO para 2022, 0,42 toneladas PAO para 2023, 0,36 toneladas PAO para 2024, y 0,30 toneladas PAO para 2025. </w:t>
      </w:r>
    </w:p>
    <w:p w:rsidR="004A0F9F" w:rsidRPr="00410436" w:rsidRDefault="004A0F9F" w:rsidP="004A0F9F">
      <w:pPr>
        <w:pStyle w:val="Heading1"/>
        <w:rPr>
          <w:bCs/>
          <w:iCs/>
          <w:sz w:val="20"/>
          <w:szCs w:val="20"/>
          <w:lang w:val="es-AR"/>
        </w:rPr>
      </w:pPr>
      <w:r w:rsidRPr="00410436">
        <w:rPr>
          <w:lang w:val="es-AR"/>
        </w:rPr>
        <w:t xml:space="preserve">El 20 de julio de 2020, el Gobierno de la República de Moldova aprobó el proyecto de ley para la Adhesión a la Enmienda de Kigali, que se presentó al Parlamento para su aprobación. Se espera que el país deposite su instrumento de ratificación en 2021, después de lo cual los HFC se incluirán en el sistema nacional de otorgamiento de licencias. </w:t>
      </w:r>
    </w:p>
    <w:p w:rsidR="004A0F9F" w:rsidRPr="00410436" w:rsidRDefault="004A0F9F" w:rsidP="004A0F9F">
      <w:pPr>
        <w:rPr>
          <w:i/>
          <w:color w:val="000000" w:themeColor="text1"/>
          <w:lang w:val="es-AR"/>
        </w:rPr>
      </w:pPr>
      <w:r w:rsidRPr="00410436">
        <w:rPr>
          <w:i/>
          <w:color w:val="000000" w:themeColor="text1"/>
          <w:lang w:val="es-AR"/>
        </w:rPr>
        <w:t>Sector de servicio de equipos de refrigeración</w:t>
      </w:r>
    </w:p>
    <w:p w:rsidR="004A0F9F" w:rsidRPr="00410436" w:rsidRDefault="004A0F9F" w:rsidP="004A0F9F">
      <w:pPr>
        <w:rPr>
          <w:color w:val="000000" w:themeColor="text1"/>
          <w:lang w:val="es-AR"/>
        </w:rPr>
      </w:pPr>
    </w:p>
    <w:p w:rsidR="004A0F9F" w:rsidRPr="00410436" w:rsidRDefault="004A0F9F" w:rsidP="004A0F9F">
      <w:pPr>
        <w:pStyle w:val="Heading1"/>
        <w:rPr>
          <w:color w:val="000000" w:themeColor="text1"/>
          <w:lang w:val="es-AR"/>
        </w:rPr>
      </w:pPr>
      <w:r w:rsidRPr="00410436">
        <w:rPr>
          <w:color w:val="000000" w:themeColor="text1"/>
          <w:lang w:val="es-AR"/>
        </w:rPr>
        <w:t>Se llevaron a cabo las siguientes actividades:</w:t>
      </w:r>
      <w:r w:rsidRPr="0082339C">
        <w:rPr>
          <w:rStyle w:val="FootnoteReference"/>
          <w:color w:val="000000" w:themeColor="text1"/>
          <w:lang w:val="en-CA"/>
        </w:rPr>
        <w:footnoteReference w:id="5"/>
      </w:r>
    </w:p>
    <w:p w:rsidR="004A0F9F" w:rsidRPr="0082339C" w:rsidRDefault="004A0F9F" w:rsidP="004A0F9F">
      <w:pPr>
        <w:pStyle w:val="Heading2"/>
        <w:numPr>
          <w:ilvl w:val="1"/>
          <w:numId w:val="23"/>
        </w:numPr>
        <w:rPr>
          <w:color w:val="000000" w:themeColor="text1"/>
        </w:rPr>
      </w:pPr>
      <w:bookmarkStart w:id="2" w:name="_Hlk51178263"/>
      <w:r w:rsidRPr="00410436">
        <w:rPr>
          <w:color w:val="000000" w:themeColor="text1"/>
          <w:lang w:val="es-AR"/>
        </w:rPr>
        <w:t xml:space="preserve">Las partes interesadas prepararon y revisaron una versión de prueba del "Registro de sustancias químicas disponibles en el mercado" como parte del proceso de puesta en marcha de un sistema electrónico en la web de concesión de licencias y generación de informes de SAO en el marco del Sistema de Información Nacional para el Registro de Productos Químicos. </w:t>
      </w:r>
      <w:r>
        <w:rPr>
          <w:color w:val="000000" w:themeColor="text1"/>
        </w:rPr>
        <w:t xml:space="preserve">El sistema se terminará antes de finalizar diciembre de 2020; </w:t>
      </w:r>
    </w:p>
    <w:p w:rsidR="004A0F9F" w:rsidRPr="00410436" w:rsidRDefault="004A0F9F" w:rsidP="004A0F9F">
      <w:pPr>
        <w:pStyle w:val="Heading2"/>
        <w:rPr>
          <w:color w:val="000000" w:themeColor="text1"/>
          <w:lang w:val="es-AR"/>
        </w:rPr>
      </w:pPr>
      <w:r w:rsidRPr="00410436">
        <w:rPr>
          <w:color w:val="000000" w:themeColor="text1"/>
          <w:lang w:val="es-AR"/>
        </w:rPr>
        <w:t xml:space="preserve">Se celebró un taller en septiembre de 2020 que formó a 15 oficiales de aduanas y encargados de la aplicación de las reglamentaciones nacionales de importación y exportación de HCFC; se prevé un taller similar para 15 funcionarios de aduanas/encargados de la aplicación de las normas para el último trimestre de 2020; los participantes del taller de septiembre aportarán observaciones sobre el proyecto de Guía de aplicación de las normas de aduanas preparado por dos consultores nacionales, que se completará e imprimirá a más tardar en diciembre de 2020; </w:t>
      </w:r>
    </w:p>
    <w:p w:rsidR="004A0F9F" w:rsidRPr="00410436" w:rsidRDefault="004A0F9F" w:rsidP="004A0F9F">
      <w:pPr>
        <w:pStyle w:val="Heading2"/>
        <w:rPr>
          <w:color w:val="000000" w:themeColor="text1"/>
          <w:lang w:val="es-AR"/>
        </w:rPr>
      </w:pPr>
      <w:r w:rsidRPr="00410436">
        <w:rPr>
          <w:color w:val="000000" w:themeColor="text1"/>
          <w:lang w:val="es-AR"/>
        </w:rPr>
        <w:t>La Universidad Técnica de Moldova y el Centro Universitario Técnico revisaron el plan de estudios para incluir refrigerantes naturales, normas internacionales y nacionales, y tecnologías que no usan SAO sobre la base de la actualización de 2019 del código de buenas prácticas de refrigeración. Se prevé la finalización de los materiales de formación a finales de 2020;</w:t>
      </w:r>
    </w:p>
    <w:p w:rsidR="004A0F9F" w:rsidRPr="00410436" w:rsidRDefault="004A0F9F" w:rsidP="004A0F9F">
      <w:pPr>
        <w:pStyle w:val="Heading2"/>
        <w:rPr>
          <w:color w:val="000000" w:themeColor="text1"/>
          <w:lang w:val="es-AR"/>
        </w:rPr>
      </w:pPr>
      <w:r w:rsidRPr="00410436">
        <w:rPr>
          <w:color w:val="000000" w:themeColor="text1"/>
          <w:lang w:val="es-AR"/>
        </w:rPr>
        <w:t>Se realizaron preparativos para un taller de formación y la acreditación de 20 técnicos en refrigeración y aire acondicionado en buenas prácticas de servicio y manipulación segura de refrigerantes inflamables y tóxicos. El taller se reprogramó para finales de 2020 debido a las restricciones impuestas provocadas por la pandemia del COVID-19; y</w:t>
      </w:r>
    </w:p>
    <w:p w:rsidR="004A0F9F" w:rsidRPr="00410436" w:rsidRDefault="004A0F9F" w:rsidP="004A0F9F">
      <w:pPr>
        <w:pStyle w:val="Heading2"/>
        <w:rPr>
          <w:color w:val="000000" w:themeColor="text1"/>
          <w:lang w:val="es-AR"/>
        </w:rPr>
      </w:pPr>
      <w:r w:rsidRPr="00410436">
        <w:rPr>
          <w:color w:val="000000" w:themeColor="text1"/>
          <w:lang w:val="es-AR"/>
        </w:rPr>
        <w:t xml:space="preserve">Un consultor diseñó y desarrolló un sitio web para la Asociación Estatal de Técnicos de </w:t>
      </w:r>
      <w:r w:rsidRPr="00410436">
        <w:rPr>
          <w:color w:val="000000" w:themeColor="text1"/>
          <w:lang w:val="es-AR"/>
        </w:rPr>
        <w:lastRenderedPageBreak/>
        <w:t>Refrigeración, incluyendo una sección que enumera los técnicos de refrigeración y aire acondicionado certificados. Se espera que este sitio web esté listo antes de finalizar 2020.</w:t>
      </w:r>
    </w:p>
    <w:bookmarkEnd w:id="2"/>
    <w:p w:rsidR="004A0F9F" w:rsidRPr="00410436" w:rsidRDefault="004A0F9F" w:rsidP="004A0F9F">
      <w:pPr>
        <w:rPr>
          <w:i/>
          <w:lang w:val="es-AR"/>
        </w:rPr>
      </w:pPr>
      <w:r w:rsidRPr="00410436">
        <w:rPr>
          <w:i/>
          <w:lang w:val="es-AR"/>
        </w:rPr>
        <w:t>Proyectos de demostración para usuarios finales para el uso de tecnología que utiliza CO</w:t>
      </w:r>
      <w:r w:rsidRPr="00410436">
        <w:rPr>
          <w:i/>
          <w:vertAlign w:val="subscript"/>
          <w:lang w:val="es-AR"/>
        </w:rPr>
        <w:t>2</w:t>
      </w:r>
    </w:p>
    <w:p w:rsidR="004A0F9F" w:rsidRPr="00410436" w:rsidRDefault="004A0F9F" w:rsidP="004A0F9F">
      <w:pPr>
        <w:rPr>
          <w:i/>
          <w:lang w:val="es-AR"/>
        </w:rPr>
      </w:pPr>
    </w:p>
    <w:p w:rsidR="004A0F9F" w:rsidRPr="00410436" w:rsidRDefault="004A0F9F" w:rsidP="004A0F9F">
      <w:pPr>
        <w:pStyle w:val="Heading1"/>
        <w:rPr>
          <w:iCs/>
          <w:lang w:val="es-AR"/>
        </w:rPr>
      </w:pPr>
      <w:bookmarkStart w:id="3" w:name="_Hlk50039728"/>
      <w:r w:rsidRPr="00410436">
        <w:rPr>
          <w:lang w:val="es-AR"/>
        </w:rPr>
        <w:t>De conformidad con la condición para la aprobación del segundo tramo de la etapa II del plan de gestión para la eliminación de los HCFC (decisión 84/55(a)), el PNUD presentó el informe sobre el estado de ejecución de dos proyectos de demostración para el uso de tecnología que utiliza CO</w:t>
      </w:r>
      <w:r w:rsidRPr="00410436">
        <w:rPr>
          <w:vertAlign w:val="subscript"/>
          <w:lang w:val="es-AR"/>
        </w:rPr>
        <w:t>2</w:t>
      </w:r>
      <w:r w:rsidRPr="00410436">
        <w:rPr>
          <w:lang w:val="es-AR"/>
        </w:rPr>
        <w:t xml:space="preserve"> en el sector de refrigeración comercial en la reunión 85ª.</w:t>
      </w:r>
      <w:r w:rsidRPr="0082339C">
        <w:rPr>
          <w:rStyle w:val="FootnoteReference"/>
          <w:lang w:val="en-CA"/>
        </w:rPr>
        <w:footnoteReference w:id="6"/>
      </w:r>
      <w:r w:rsidRPr="00410436">
        <w:rPr>
          <w:lang w:val="es-AR"/>
        </w:rPr>
        <w:t xml:space="preserve"> Ambos proyectos de demostración se terminaron y estaban en funcionamiento a fecha de julio de 2020, y los resultados y las experiencias extraídas se difundirán en la última parte de 2020.</w:t>
      </w:r>
      <w:bookmarkEnd w:id="3"/>
      <w:r w:rsidRPr="00410436">
        <w:rPr>
          <w:lang w:val="es-AR"/>
        </w:rPr>
        <w:t xml:space="preserve"> Los proyectos permitieron adquirir una experiencia práctica sustancial con tecnología que utiliza CO</w:t>
      </w:r>
      <w:r w:rsidRPr="00410436">
        <w:rPr>
          <w:iCs/>
          <w:vertAlign w:val="subscript"/>
          <w:lang w:val="es-AR"/>
        </w:rPr>
        <w:t>2</w:t>
      </w:r>
      <w:r w:rsidRPr="00410436">
        <w:rPr>
          <w:lang w:val="es-AR"/>
        </w:rPr>
        <w:t xml:space="preserve"> para los subsectores comerciales de refrigeración de comercios y de almacenes, incluyendo la demostración de los costos de capital requeridos, la aplicabilidad de la tecnología y el funcionamiento de los equipos, y los posibles ahorros operacionales que podrían lograrse. Como resultado del proyecto, el mayor minorista nacional, Linella, con más de 100 supermercados en todo el país, expresó su interés en aplicar tecnología que utiliza CO</w:t>
      </w:r>
      <w:r w:rsidRPr="00410436">
        <w:rPr>
          <w:iCs/>
          <w:vertAlign w:val="subscript"/>
          <w:lang w:val="es-AR"/>
        </w:rPr>
        <w:t>2</w:t>
      </w:r>
      <w:r w:rsidRPr="00410436">
        <w:rPr>
          <w:lang w:val="es-AR"/>
        </w:rPr>
        <w:t xml:space="preserve">. </w:t>
      </w:r>
    </w:p>
    <w:p w:rsidR="004A0F9F" w:rsidRPr="0082339C" w:rsidRDefault="004A0F9F" w:rsidP="004A0F9F">
      <w:pPr>
        <w:keepNext/>
        <w:keepLines/>
        <w:rPr>
          <w:i/>
        </w:rPr>
      </w:pPr>
      <w:r>
        <w:rPr>
          <w:i/>
        </w:rPr>
        <w:t>Ejecución y seguimiento del proyecto</w:t>
      </w:r>
    </w:p>
    <w:p w:rsidR="004A0F9F" w:rsidRPr="0082339C" w:rsidRDefault="004A0F9F" w:rsidP="004A0F9F">
      <w:pPr>
        <w:keepNext/>
        <w:keepLines/>
        <w:rPr>
          <w:lang w:val="en-CA"/>
        </w:rPr>
      </w:pPr>
    </w:p>
    <w:p w:rsidR="004A0F9F" w:rsidRPr="00410436" w:rsidRDefault="004A0F9F" w:rsidP="004A0F9F">
      <w:pPr>
        <w:pStyle w:val="Heading1"/>
        <w:keepNext/>
        <w:keepLines/>
        <w:rPr>
          <w:lang w:val="es-AR"/>
        </w:rPr>
      </w:pPr>
      <w:r w:rsidRPr="00410436">
        <w:rPr>
          <w:lang w:val="es-AR"/>
        </w:rPr>
        <w:t>La gestión del proyecto la asume la Unidad del Protocolo de Montreal, que es la encargada de coordinar el plan de gestión para la eliminación de los HCFC. Se asignaron un total de 2.200 $EUA en el marco del primer y el segundo tramos para consultores de supervisión y presentación de informes, de los cuales se habían desembolsado 1.000 $EUA. El saldo de 1.200 $EUA de los primeros dos tramos se utilizará para contratar un consultor local para las actividades de supervisión en el marco del tercer tramo.</w:t>
      </w:r>
    </w:p>
    <w:p w:rsidR="004A0F9F" w:rsidRPr="00410436" w:rsidRDefault="004A0F9F" w:rsidP="004A0F9F">
      <w:pPr>
        <w:rPr>
          <w:u w:val="single"/>
          <w:lang w:val="es-AR"/>
        </w:rPr>
      </w:pPr>
      <w:r w:rsidRPr="00410436">
        <w:rPr>
          <w:u w:val="single"/>
          <w:lang w:val="es-AR"/>
        </w:rPr>
        <w:t>Nivel de desembolso de los fondos</w:t>
      </w:r>
    </w:p>
    <w:p w:rsidR="004A0F9F" w:rsidRPr="00410436" w:rsidRDefault="004A0F9F" w:rsidP="004A0F9F">
      <w:pPr>
        <w:rPr>
          <w:lang w:val="es-AR"/>
        </w:rPr>
      </w:pPr>
    </w:p>
    <w:p w:rsidR="004A0F9F" w:rsidRPr="00410436" w:rsidRDefault="004A0F9F" w:rsidP="004A0F9F">
      <w:pPr>
        <w:pStyle w:val="Heading1"/>
        <w:rPr>
          <w:lang w:val="es-AR"/>
        </w:rPr>
      </w:pPr>
      <w:bookmarkStart w:id="4" w:name="_Hlk50017331"/>
      <w:r w:rsidRPr="00410436">
        <w:rPr>
          <w:lang w:val="es-AR"/>
        </w:rPr>
        <w:t xml:space="preserve">En agosto de 2020, de los 157.050 $EUA aprobados hasta el momento, se habían desembolsado 133.558 $EUA (103.200 $EUA para el PNUD y 30.358 $EUA para el PNUMA), como se muestra en el Cuadro 2. Del saldo de 23.942 $EUA, el PNUMA devolverá 1.642 $EUA de su componente del primer tramo a la 86ª reunión, y el monto restante de 21.850 $EUA se desembolsará en 2020-2021. </w:t>
      </w:r>
    </w:p>
    <w:p w:rsidR="004A0F9F" w:rsidRPr="00410436" w:rsidRDefault="004A0F9F" w:rsidP="004A0F9F">
      <w:pPr>
        <w:autoSpaceDE w:val="0"/>
        <w:autoSpaceDN w:val="0"/>
        <w:adjustRightInd w:val="0"/>
        <w:rPr>
          <w:lang w:val="es-AR"/>
        </w:rPr>
      </w:pPr>
      <w:r w:rsidRPr="00410436">
        <w:rPr>
          <w:b/>
          <w:bCs/>
          <w:lang w:val="es-AR"/>
        </w:rPr>
        <w:t>Cuadro 2. Informe financiero de la etapa II del plan de gestión para la eliminación de los HCFC correspondiente a la República de Moldova ($EUA)</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55"/>
        <w:gridCol w:w="1200"/>
        <w:gridCol w:w="1200"/>
        <w:gridCol w:w="1200"/>
        <w:gridCol w:w="1200"/>
        <w:gridCol w:w="1200"/>
        <w:gridCol w:w="1200"/>
      </w:tblGrid>
      <w:tr w:rsidR="004A0F9F" w:rsidRPr="0082339C" w:rsidTr="004F7F5B">
        <w:tc>
          <w:tcPr>
            <w:tcW w:w="2155" w:type="dxa"/>
            <w:vMerge w:val="restart"/>
            <w:tcMar>
              <w:left w:w="29" w:type="dxa"/>
              <w:right w:w="29" w:type="dxa"/>
            </w:tcMar>
          </w:tcPr>
          <w:p w:rsidR="004A0F9F" w:rsidRPr="0082339C" w:rsidRDefault="004A0F9F" w:rsidP="004F7F5B">
            <w:pPr>
              <w:autoSpaceDE w:val="0"/>
              <w:autoSpaceDN w:val="0"/>
              <w:adjustRightInd w:val="0"/>
              <w:rPr>
                <w:sz w:val="20"/>
                <w:szCs w:val="20"/>
              </w:rPr>
            </w:pPr>
            <w:r>
              <w:rPr>
                <w:b/>
                <w:bCs/>
                <w:sz w:val="20"/>
                <w:szCs w:val="20"/>
              </w:rPr>
              <w:t>Organismo</w:t>
            </w:r>
          </w:p>
        </w:tc>
        <w:tc>
          <w:tcPr>
            <w:tcW w:w="2400" w:type="dxa"/>
            <w:gridSpan w:val="2"/>
            <w:tcMar>
              <w:left w:w="29" w:type="dxa"/>
              <w:right w:w="29" w:type="dxa"/>
            </w:tcMar>
          </w:tcPr>
          <w:p w:rsidR="004A0F9F" w:rsidRPr="0082339C" w:rsidRDefault="004A0F9F" w:rsidP="004F7F5B">
            <w:pPr>
              <w:autoSpaceDE w:val="0"/>
              <w:autoSpaceDN w:val="0"/>
              <w:adjustRightInd w:val="0"/>
              <w:jc w:val="center"/>
              <w:rPr>
                <w:sz w:val="20"/>
                <w:szCs w:val="20"/>
              </w:rPr>
            </w:pPr>
            <w:r>
              <w:rPr>
                <w:b/>
                <w:bCs/>
                <w:sz w:val="20"/>
                <w:szCs w:val="20"/>
              </w:rPr>
              <w:t>Primer tramo</w:t>
            </w:r>
          </w:p>
        </w:tc>
        <w:tc>
          <w:tcPr>
            <w:tcW w:w="2400" w:type="dxa"/>
            <w:gridSpan w:val="2"/>
            <w:tcMar>
              <w:left w:w="29" w:type="dxa"/>
              <w:right w:w="29" w:type="dxa"/>
            </w:tcMar>
          </w:tcPr>
          <w:p w:rsidR="004A0F9F" w:rsidRPr="0082339C" w:rsidRDefault="004A0F9F" w:rsidP="004F7F5B">
            <w:pPr>
              <w:autoSpaceDE w:val="0"/>
              <w:autoSpaceDN w:val="0"/>
              <w:adjustRightInd w:val="0"/>
              <w:jc w:val="center"/>
              <w:rPr>
                <w:sz w:val="20"/>
                <w:szCs w:val="20"/>
              </w:rPr>
            </w:pPr>
            <w:r>
              <w:rPr>
                <w:b/>
                <w:bCs/>
                <w:sz w:val="20"/>
                <w:szCs w:val="20"/>
              </w:rPr>
              <w:t>Segundo tramo**</w:t>
            </w:r>
          </w:p>
        </w:tc>
        <w:tc>
          <w:tcPr>
            <w:tcW w:w="2400" w:type="dxa"/>
            <w:gridSpan w:val="2"/>
            <w:tcMar>
              <w:left w:w="29" w:type="dxa"/>
              <w:right w:w="29" w:type="dxa"/>
            </w:tcMar>
          </w:tcPr>
          <w:p w:rsidR="004A0F9F" w:rsidRPr="0082339C" w:rsidRDefault="004A0F9F" w:rsidP="004F7F5B">
            <w:pPr>
              <w:autoSpaceDE w:val="0"/>
              <w:autoSpaceDN w:val="0"/>
              <w:adjustRightInd w:val="0"/>
              <w:jc w:val="center"/>
              <w:rPr>
                <w:sz w:val="20"/>
                <w:szCs w:val="20"/>
              </w:rPr>
            </w:pPr>
            <w:r>
              <w:rPr>
                <w:b/>
                <w:bCs/>
                <w:sz w:val="20"/>
                <w:szCs w:val="20"/>
              </w:rPr>
              <w:t>Total aprobado</w:t>
            </w:r>
          </w:p>
        </w:tc>
      </w:tr>
      <w:tr w:rsidR="004A0F9F" w:rsidRPr="0082339C" w:rsidTr="004F7F5B">
        <w:tc>
          <w:tcPr>
            <w:tcW w:w="2155" w:type="dxa"/>
            <w:vMerge/>
            <w:tcMar>
              <w:left w:w="29" w:type="dxa"/>
              <w:right w:w="29" w:type="dxa"/>
            </w:tcMar>
            <w:vAlign w:val="center"/>
          </w:tcPr>
          <w:p w:rsidR="004A0F9F" w:rsidRPr="0082339C" w:rsidRDefault="004A0F9F" w:rsidP="004F7F5B">
            <w:pPr>
              <w:autoSpaceDE w:val="0"/>
              <w:autoSpaceDN w:val="0"/>
              <w:adjustRightInd w:val="0"/>
              <w:rPr>
                <w:sz w:val="20"/>
                <w:szCs w:val="20"/>
                <w:lang w:val="en-CA"/>
              </w:rPr>
            </w:pPr>
          </w:p>
        </w:tc>
        <w:tc>
          <w:tcPr>
            <w:tcW w:w="1200" w:type="dxa"/>
            <w:tcMar>
              <w:left w:w="29" w:type="dxa"/>
              <w:right w:w="29" w:type="dxa"/>
            </w:tcMar>
          </w:tcPr>
          <w:p w:rsidR="004A0F9F" w:rsidRPr="0082339C" w:rsidRDefault="004A0F9F" w:rsidP="004F7F5B">
            <w:pPr>
              <w:autoSpaceDE w:val="0"/>
              <w:autoSpaceDN w:val="0"/>
              <w:adjustRightInd w:val="0"/>
              <w:jc w:val="center"/>
              <w:rPr>
                <w:sz w:val="20"/>
                <w:szCs w:val="20"/>
              </w:rPr>
            </w:pPr>
            <w:r>
              <w:rPr>
                <w:b/>
                <w:bCs/>
                <w:sz w:val="20"/>
                <w:szCs w:val="20"/>
              </w:rPr>
              <w:t>Aprobado</w:t>
            </w:r>
          </w:p>
        </w:tc>
        <w:tc>
          <w:tcPr>
            <w:tcW w:w="1200" w:type="dxa"/>
            <w:tcMar>
              <w:left w:w="29" w:type="dxa"/>
              <w:right w:w="29" w:type="dxa"/>
            </w:tcMar>
          </w:tcPr>
          <w:p w:rsidR="004A0F9F" w:rsidRPr="0082339C" w:rsidRDefault="004A0F9F" w:rsidP="004F7F5B">
            <w:pPr>
              <w:autoSpaceDE w:val="0"/>
              <w:autoSpaceDN w:val="0"/>
              <w:adjustRightInd w:val="0"/>
              <w:jc w:val="center"/>
              <w:rPr>
                <w:sz w:val="20"/>
                <w:szCs w:val="20"/>
              </w:rPr>
            </w:pPr>
            <w:r>
              <w:rPr>
                <w:b/>
                <w:bCs/>
                <w:sz w:val="20"/>
                <w:szCs w:val="20"/>
              </w:rPr>
              <w:t>Desembolsado</w:t>
            </w:r>
          </w:p>
        </w:tc>
        <w:tc>
          <w:tcPr>
            <w:tcW w:w="1200" w:type="dxa"/>
            <w:tcMar>
              <w:left w:w="29" w:type="dxa"/>
              <w:right w:w="29" w:type="dxa"/>
            </w:tcMar>
          </w:tcPr>
          <w:p w:rsidR="004A0F9F" w:rsidRPr="0082339C" w:rsidRDefault="004A0F9F" w:rsidP="004F7F5B">
            <w:pPr>
              <w:autoSpaceDE w:val="0"/>
              <w:autoSpaceDN w:val="0"/>
              <w:adjustRightInd w:val="0"/>
              <w:jc w:val="center"/>
              <w:rPr>
                <w:sz w:val="20"/>
                <w:szCs w:val="20"/>
              </w:rPr>
            </w:pPr>
            <w:r>
              <w:rPr>
                <w:b/>
                <w:bCs/>
                <w:sz w:val="20"/>
                <w:szCs w:val="20"/>
              </w:rPr>
              <w:t>Aprobado</w:t>
            </w:r>
          </w:p>
        </w:tc>
        <w:tc>
          <w:tcPr>
            <w:tcW w:w="1200" w:type="dxa"/>
            <w:tcMar>
              <w:left w:w="29" w:type="dxa"/>
              <w:right w:w="29" w:type="dxa"/>
            </w:tcMar>
          </w:tcPr>
          <w:p w:rsidR="004A0F9F" w:rsidRPr="0082339C" w:rsidRDefault="004A0F9F" w:rsidP="004F7F5B">
            <w:pPr>
              <w:autoSpaceDE w:val="0"/>
              <w:autoSpaceDN w:val="0"/>
              <w:adjustRightInd w:val="0"/>
              <w:jc w:val="center"/>
              <w:rPr>
                <w:sz w:val="20"/>
                <w:szCs w:val="20"/>
              </w:rPr>
            </w:pPr>
            <w:r>
              <w:rPr>
                <w:b/>
                <w:bCs/>
                <w:sz w:val="20"/>
                <w:szCs w:val="20"/>
              </w:rPr>
              <w:t>Desembolsado</w:t>
            </w:r>
          </w:p>
        </w:tc>
        <w:tc>
          <w:tcPr>
            <w:tcW w:w="1200" w:type="dxa"/>
            <w:tcMar>
              <w:left w:w="29" w:type="dxa"/>
              <w:right w:w="29" w:type="dxa"/>
            </w:tcMar>
          </w:tcPr>
          <w:p w:rsidR="004A0F9F" w:rsidRPr="0082339C" w:rsidRDefault="004A0F9F" w:rsidP="004F7F5B">
            <w:pPr>
              <w:autoSpaceDE w:val="0"/>
              <w:autoSpaceDN w:val="0"/>
              <w:adjustRightInd w:val="0"/>
              <w:jc w:val="center"/>
              <w:rPr>
                <w:sz w:val="20"/>
                <w:szCs w:val="20"/>
              </w:rPr>
            </w:pPr>
            <w:r>
              <w:rPr>
                <w:b/>
                <w:bCs/>
                <w:sz w:val="20"/>
                <w:szCs w:val="20"/>
              </w:rPr>
              <w:t>Aprobado</w:t>
            </w:r>
          </w:p>
        </w:tc>
        <w:tc>
          <w:tcPr>
            <w:tcW w:w="1200" w:type="dxa"/>
            <w:tcMar>
              <w:left w:w="29" w:type="dxa"/>
              <w:right w:w="29" w:type="dxa"/>
            </w:tcMar>
          </w:tcPr>
          <w:p w:rsidR="004A0F9F" w:rsidRPr="0082339C" w:rsidRDefault="004A0F9F" w:rsidP="004F7F5B">
            <w:pPr>
              <w:autoSpaceDE w:val="0"/>
              <w:autoSpaceDN w:val="0"/>
              <w:adjustRightInd w:val="0"/>
              <w:jc w:val="center"/>
              <w:rPr>
                <w:sz w:val="20"/>
                <w:szCs w:val="20"/>
              </w:rPr>
            </w:pPr>
            <w:r>
              <w:rPr>
                <w:b/>
                <w:bCs/>
                <w:sz w:val="20"/>
                <w:szCs w:val="20"/>
              </w:rPr>
              <w:t>Desembolsado</w:t>
            </w:r>
          </w:p>
        </w:tc>
      </w:tr>
      <w:tr w:rsidR="004A0F9F" w:rsidRPr="0082339C" w:rsidTr="004F7F5B">
        <w:tc>
          <w:tcPr>
            <w:tcW w:w="2155" w:type="dxa"/>
            <w:tcMar>
              <w:left w:w="29" w:type="dxa"/>
              <w:right w:w="29" w:type="dxa"/>
            </w:tcMar>
          </w:tcPr>
          <w:p w:rsidR="004A0F9F" w:rsidRPr="0082339C" w:rsidRDefault="004A0F9F" w:rsidP="004F7F5B">
            <w:pPr>
              <w:autoSpaceDE w:val="0"/>
              <w:autoSpaceDN w:val="0"/>
              <w:adjustRightInd w:val="0"/>
              <w:rPr>
                <w:sz w:val="20"/>
                <w:szCs w:val="20"/>
              </w:rPr>
            </w:pPr>
            <w:r>
              <w:rPr>
                <w:sz w:val="20"/>
                <w:szCs w:val="20"/>
              </w:rPr>
              <w:t>PNUD</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104.850</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103.200</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0</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0</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104.850</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103.200</w:t>
            </w:r>
          </w:p>
        </w:tc>
      </w:tr>
      <w:tr w:rsidR="004A0F9F" w:rsidRPr="0082339C" w:rsidTr="004F7F5B">
        <w:tc>
          <w:tcPr>
            <w:tcW w:w="2155" w:type="dxa"/>
            <w:tcMar>
              <w:left w:w="29" w:type="dxa"/>
              <w:right w:w="29" w:type="dxa"/>
            </w:tcMar>
          </w:tcPr>
          <w:p w:rsidR="004A0F9F" w:rsidRPr="0082339C" w:rsidRDefault="004A0F9F" w:rsidP="004F7F5B">
            <w:pPr>
              <w:autoSpaceDE w:val="0"/>
              <w:autoSpaceDN w:val="0"/>
              <w:adjustRightInd w:val="0"/>
              <w:rPr>
                <w:sz w:val="20"/>
                <w:szCs w:val="20"/>
              </w:rPr>
            </w:pPr>
            <w:r>
              <w:rPr>
                <w:sz w:val="20"/>
                <w:szCs w:val="20"/>
              </w:rPr>
              <w:t>PNUMA</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26.100</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24.458*</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26.100</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5.900</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52.200</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30.358</w:t>
            </w:r>
          </w:p>
        </w:tc>
      </w:tr>
      <w:tr w:rsidR="004A0F9F" w:rsidRPr="0082339C" w:rsidTr="004F7F5B">
        <w:tc>
          <w:tcPr>
            <w:tcW w:w="2155" w:type="dxa"/>
            <w:tcMar>
              <w:left w:w="29" w:type="dxa"/>
              <w:right w:w="29" w:type="dxa"/>
            </w:tcMar>
          </w:tcPr>
          <w:p w:rsidR="004A0F9F" w:rsidRPr="0082339C" w:rsidRDefault="004A0F9F" w:rsidP="004F7F5B">
            <w:pPr>
              <w:autoSpaceDE w:val="0"/>
              <w:autoSpaceDN w:val="0"/>
              <w:adjustRightInd w:val="0"/>
              <w:rPr>
                <w:sz w:val="20"/>
                <w:szCs w:val="20"/>
              </w:rPr>
            </w:pPr>
            <w:r>
              <w:rPr>
                <w:b/>
                <w:bCs/>
                <w:sz w:val="20"/>
                <w:szCs w:val="20"/>
              </w:rPr>
              <w:t>Total</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130.950</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127.658</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26.100</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5.900</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157.050</w:t>
            </w:r>
          </w:p>
        </w:tc>
        <w:tc>
          <w:tcPr>
            <w:tcW w:w="1200" w:type="dxa"/>
            <w:tcMar>
              <w:left w:w="29" w:type="dxa"/>
              <w:right w:w="144" w:type="dxa"/>
            </w:tcMar>
          </w:tcPr>
          <w:p w:rsidR="004A0F9F" w:rsidRPr="0082339C" w:rsidRDefault="004A0F9F" w:rsidP="004F7F5B">
            <w:pPr>
              <w:autoSpaceDE w:val="0"/>
              <w:autoSpaceDN w:val="0"/>
              <w:adjustRightInd w:val="0"/>
              <w:jc w:val="right"/>
              <w:rPr>
                <w:sz w:val="20"/>
                <w:szCs w:val="20"/>
              </w:rPr>
            </w:pPr>
            <w:r>
              <w:rPr>
                <w:sz w:val="20"/>
                <w:szCs w:val="20"/>
              </w:rPr>
              <w:t>133.558</w:t>
            </w:r>
          </w:p>
        </w:tc>
      </w:tr>
      <w:tr w:rsidR="004A0F9F" w:rsidRPr="0082339C" w:rsidTr="004F7F5B">
        <w:tc>
          <w:tcPr>
            <w:tcW w:w="2155" w:type="dxa"/>
            <w:tcMar>
              <w:left w:w="29" w:type="dxa"/>
              <w:right w:w="29" w:type="dxa"/>
            </w:tcMar>
          </w:tcPr>
          <w:p w:rsidR="004A0F9F" w:rsidRPr="0082339C" w:rsidRDefault="004A0F9F" w:rsidP="004F7F5B">
            <w:pPr>
              <w:autoSpaceDE w:val="0"/>
              <w:autoSpaceDN w:val="0"/>
              <w:adjustRightInd w:val="0"/>
              <w:rPr>
                <w:sz w:val="20"/>
                <w:szCs w:val="20"/>
              </w:rPr>
            </w:pPr>
            <w:r>
              <w:rPr>
                <w:b/>
                <w:bCs/>
                <w:sz w:val="20"/>
                <w:szCs w:val="20"/>
              </w:rPr>
              <w:t>Tasa de desembolso (%)</w:t>
            </w:r>
          </w:p>
        </w:tc>
        <w:tc>
          <w:tcPr>
            <w:tcW w:w="2400" w:type="dxa"/>
            <w:gridSpan w:val="2"/>
            <w:tcMar>
              <w:left w:w="29" w:type="dxa"/>
              <w:right w:w="29" w:type="dxa"/>
            </w:tcMar>
            <w:vAlign w:val="center"/>
          </w:tcPr>
          <w:p w:rsidR="004A0F9F" w:rsidRPr="0082339C" w:rsidRDefault="004A0F9F" w:rsidP="004F7F5B">
            <w:pPr>
              <w:autoSpaceDE w:val="0"/>
              <w:autoSpaceDN w:val="0"/>
              <w:adjustRightInd w:val="0"/>
              <w:jc w:val="center"/>
              <w:rPr>
                <w:sz w:val="20"/>
                <w:szCs w:val="20"/>
              </w:rPr>
            </w:pPr>
            <w:r>
              <w:rPr>
                <w:sz w:val="20"/>
                <w:szCs w:val="20"/>
              </w:rPr>
              <w:t>98</w:t>
            </w:r>
          </w:p>
        </w:tc>
        <w:tc>
          <w:tcPr>
            <w:tcW w:w="2400" w:type="dxa"/>
            <w:gridSpan w:val="2"/>
            <w:tcMar>
              <w:left w:w="29" w:type="dxa"/>
              <w:right w:w="29" w:type="dxa"/>
            </w:tcMar>
            <w:vAlign w:val="center"/>
          </w:tcPr>
          <w:p w:rsidR="004A0F9F" w:rsidRPr="0082339C" w:rsidRDefault="004A0F9F" w:rsidP="004F7F5B">
            <w:pPr>
              <w:autoSpaceDE w:val="0"/>
              <w:autoSpaceDN w:val="0"/>
              <w:adjustRightInd w:val="0"/>
              <w:jc w:val="center"/>
              <w:rPr>
                <w:sz w:val="20"/>
                <w:szCs w:val="20"/>
              </w:rPr>
            </w:pPr>
            <w:r>
              <w:rPr>
                <w:sz w:val="20"/>
                <w:szCs w:val="20"/>
              </w:rPr>
              <w:t>23</w:t>
            </w:r>
          </w:p>
        </w:tc>
        <w:tc>
          <w:tcPr>
            <w:tcW w:w="2400" w:type="dxa"/>
            <w:gridSpan w:val="2"/>
            <w:tcMar>
              <w:left w:w="29" w:type="dxa"/>
              <w:right w:w="29" w:type="dxa"/>
            </w:tcMar>
            <w:vAlign w:val="center"/>
          </w:tcPr>
          <w:p w:rsidR="004A0F9F" w:rsidRPr="0082339C" w:rsidRDefault="004A0F9F" w:rsidP="004F7F5B">
            <w:pPr>
              <w:autoSpaceDE w:val="0"/>
              <w:autoSpaceDN w:val="0"/>
              <w:adjustRightInd w:val="0"/>
              <w:jc w:val="center"/>
              <w:rPr>
                <w:sz w:val="20"/>
                <w:szCs w:val="20"/>
              </w:rPr>
            </w:pPr>
            <w:r>
              <w:rPr>
                <w:sz w:val="20"/>
                <w:szCs w:val="20"/>
              </w:rPr>
              <w:t>85</w:t>
            </w:r>
          </w:p>
        </w:tc>
      </w:tr>
    </w:tbl>
    <w:p w:rsidR="004A0F9F" w:rsidRPr="00410436" w:rsidRDefault="004A0F9F" w:rsidP="004A0F9F">
      <w:pPr>
        <w:rPr>
          <w:sz w:val="16"/>
          <w:szCs w:val="16"/>
          <w:lang w:val="es-AR"/>
        </w:rPr>
      </w:pPr>
      <w:r w:rsidRPr="00410436">
        <w:rPr>
          <w:sz w:val="16"/>
          <w:szCs w:val="16"/>
          <w:lang w:val="es-AR"/>
        </w:rPr>
        <w:t>* Se devolverán 1,642 $EUA a la 86ª reunión.</w:t>
      </w:r>
      <w:bookmarkEnd w:id="4"/>
    </w:p>
    <w:p w:rsidR="004A0F9F" w:rsidRPr="00410436" w:rsidRDefault="004A0F9F" w:rsidP="004A0F9F">
      <w:pPr>
        <w:rPr>
          <w:sz w:val="16"/>
          <w:szCs w:val="16"/>
          <w:lang w:val="es-AR"/>
        </w:rPr>
      </w:pPr>
      <w:r w:rsidRPr="00410436">
        <w:rPr>
          <w:sz w:val="16"/>
          <w:szCs w:val="16"/>
          <w:lang w:val="es-AR"/>
        </w:rPr>
        <w:t>** El PNUMA firmó un acuerdo de financiación a pequeña escala (SSFA) con el país por el monto total del segundo tramo; se adelantaron 13.000 $EUA en abril de 2020, y el pago segundo y el tercer/</w:t>
      </w:r>
      <w:proofErr w:type="gramStart"/>
      <w:r w:rsidRPr="00410436">
        <w:rPr>
          <w:sz w:val="16"/>
          <w:szCs w:val="16"/>
          <w:lang w:val="es-AR"/>
        </w:rPr>
        <w:t>final pago están</w:t>
      </w:r>
      <w:proofErr w:type="gramEnd"/>
      <w:r w:rsidRPr="00410436">
        <w:rPr>
          <w:sz w:val="16"/>
          <w:szCs w:val="16"/>
          <w:lang w:val="es-AR"/>
        </w:rPr>
        <w:t xml:space="preserve"> programados para diciembre 2020 y septiembre de 2021, respectivamente.</w:t>
      </w:r>
    </w:p>
    <w:p w:rsidR="004A0F9F" w:rsidRPr="00410436" w:rsidRDefault="004A0F9F" w:rsidP="004A0F9F">
      <w:pPr>
        <w:rPr>
          <w:sz w:val="20"/>
          <w:szCs w:val="20"/>
          <w:lang w:val="es-AR"/>
        </w:rPr>
      </w:pPr>
    </w:p>
    <w:p w:rsidR="004A0F9F" w:rsidRPr="00410436" w:rsidRDefault="004A0F9F" w:rsidP="004A0F9F">
      <w:pPr>
        <w:rPr>
          <w:u w:val="single"/>
          <w:lang w:val="es-AR"/>
        </w:rPr>
      </w:pPr>
      <w:r w:rsidRPr="00410436">
        <w:rPr>
          <w:u w:val="single"/>
          <w:lang w:val="es-AR"/>
        </w:rPr>
        <w:t>Plan de ejecución del tercer y último tramo del plan de gestión para la eliminación de los HCFC</w:t>
      </w:r>
    </w:p>
    <w:p w:rsidR="004A0F9F" w:rsidRPr="00410436" w:rsidRDefault="004A0F9F" w:rsidP="004A0F9F">
      <w:pPr>
        <w:rPr>
          <w:lang w:val="es-AR"/>
        </w:rPr>
      </w:pPr>
    </w:p>
    <w:p w:rsidR="004A0F9F" w:rsidRPr="00410436" w:rsidRDefault="004A0F9F" w:rsidP="004A0F9F">
      <w:pPr>
        <w:pStyle w:val="Heading1"/>
        <w:rPr>
          <w:lang w:val="es-AR"/>
        </w:rPr>
      </w:pPr>
      <w:r w:rsidRPr="00410436">
        <w:rPr>
          <w:lang w:val="es-AR"/>
        </w:rPr>
        <w:t>Se llevarán a cabo las siguientes actividades en 2021:</w:t>
      </w:r>
    </w:p>
    <w:p w:rsidR="004A0F9F" w:rsidRPr="00410436" w:rsidRDefault="004A0F9F" w:rsidP="004A0F9F">
      <w:pPr>
        <w:pStyle w:val="Heading2"/>
        <w:numPr>
          <w:ilvl w:val="1"/>
          <w:numId w:val="22"/>
        </w:numPr>
        <w:rPr>
          <w:lang w:val="es-AR"/>
        </w:rPr>
      </w:pPr>
      <w:bookmarkStart w:id="5" w:name="_Hlk50051982"/>
      <w:r w:rsidRPr="00410436">
        <w:rPr>
          <w:lang w:val="es-AR"/>
        </w:rPr>
        <w:t>Demostración de nuevas tecnologías en el sector comercial (PNUD) (17.450 $EUA más saldo del primer tramo):</w:t>
      </w:r>
    </w:p>
    <w:p w:rsidR="004A0F9F" w:rsidRPr="00410436" w:rsidRDefault="004A0F9F" w:rsidP="004A0F9F">
      <w:pPr>
        <w:pStyle w:val="Heading3"/>
        <w:rPr>
          <w:lang w:val="es-AR"/>
        </w:rPr>
      </w:pPr>
      <w:r w:rsidRPr="00410436">
        <w:rPr>
          <w:lang w:val="es-AR"/>
        </w:rPr>
        <w:lastRenderedPageBreak/>
        <w:t>Un programa de sensibilización dirigido al sector de refrigeración comercial sobre las experiencias extraídas de la ejecución de dos proyectos de demostración sobre tecnologías que utilizan refrigerantes naturales;</w:t>
      </w:r>
    </w:p>
    <w:p w:rsidR="004A0F9F" w:rsidRPr="00410436" w:rsidRDefault="004A0F9F" w:rsidP="004A0F9F">
      <w:pPr>
        <w:pStyle w:val="Heading3"/>
        <w:rPr>
          <w:lang w:val="es-AR"/>
        </w:rPr>
      </w:pPr>
      <w:r w:rsidRPr="00410436">
        <w:rPr>
          <w:lang w:val="es-AR"/>
        </w:rPr>
        <w:t xml:space="preserve">Un estudio que analiza el género en el sector del servicio de refrigeración y aire acondicionado; </w:t>
      </w:r>
    </w:p>
    <w:p w:rsidR="004A0F9F" w:rsidRPr="00410436" w:rsidRDefault="004A0F9F" w:rsidP="004A0F9F">
      <w:pPr>
        <w:pStyle w:val="Heading3"/>
        <w:keepNext/>
        <w:keepLines/>
        <w:rPr>
          <w:lang w:val="es-AR"/>
        </w:rPr>
      </w:pPr>
      <w:r w:rsidRPr="00410436">
        <w:rPr>
          <w:lang w:val="es-AR"/>
        </w:rPr>
        <w:t xml:space="preserve">Preparación de folletos y/o cuadernillos dirigidos a técnicos de refrigeración y aire acondicionado y las partes interesadas relevantes, que ilustren los resultados de los dos proyectos de demostración sobre refrigerantes naturales; </w:t>
      </w:r>
    </w:p>
    <w:p w:rsidR="004A0F9F" w:rsidRPr="00410436" w:rsidRDefault="004A0F9F" w:rsidP="004A0F9F">
      <w:pPr>
        <w:pStyle w:val="Heading3"/>
        <w:rPr>
          <w:lang w:val="es-AR"/>
        </w:rPr>
      </w:pPr>
      <w:r w:rsidRPr="00410436">
        <w:rPr>
          <w:lang w:val="es-AR"/>
        </w:rPr>
        <w:t xml:space="preserve">Un taller nacional para técnicos de refrigeración y aire acondicionado, la asociación de refrigeración y aire acondicionado, Importadores, instituciones pertinentes, incluidas las Aduanas, para difundir los resultados de los dos proyectos de demostración sobre refrigerantes naturales, el estudio de género y el programa de sensibilización; y </w:t>
      </w:r>
    </w:p>
    <w:p w:rsidR="004A0F9F" w:rsidRPr="00410436" w:rsidRDefault="004A0F9F" w:rsidP="004A0F9F">
      <w:pPr>
        <w:pStyle w:val="Heading2"/>
        <w:rPr>
          <w:lang w:val="es-AR"/>
        </w:rPr>
      </w:pPr>
      <w:r w:rsidRPr="00410436">
        <w:rPr>
          <w:lang w:val="es-AR"/>
        </w:rPr>
        <w:t xml:space="preserve">Actividades de supervisión del plan de gestión para la eliminación de los HCFC </w:t>
      </w:r>
      <w:r w:rsidRPr="00410436">
        <w:rPr>
          <w:color w:val="000000" w:themeColor="text1"/>
          <w:lang w:val="es-AR"/>
        </w:rPr>
        <w:t>(PNUD y PNUMA) (saldo de 1.200 $EUA del segundo tramo).</w:t>
      </w:r>
    </w:p>
    <w:bookmarkEnd w:id="5"/>
    <w:p w:rsidR="004A0F9F" w:rsidRPr="00410436" w:rsidRDefault="004A0F9F" w:rsidP="004A0F9F">
      <w:pPr>
        <w:jc w:val="center"/>
        <w:rPr>
          <w:b/>
          <w:lang w:val="es-AR"/>
        </w:rPr>
      </w:pPr>
    </w:p>
    <w:p w:rsidR="004A0F9F" w:rsidRPr="00410436" w:rsidRDefault="004A0F9F" w:rsidP="004A0F9F">
      <w:pPr>
        <w:jc w:val="center"/>
        <w:rPr>
          <w:b/>
          <w:lang w:val="es-AR"/>
        </w:rPr>
      </w:pPr>
      <w:r w:rsidRPr="00410436">
        <w:rPr>
          <w:b/>
          <w:lang w:val="es-AR"/>
        </w:rPr>
        <w:t>OBSERVACIONES Y RECOMENDACIÓN DE LA SECRETARÍA</w:t>
      </w:r>
    </w:p>
    <w:p w:rsidR="004A0F9F" w:rsidRPr="00410436" w:rsidRDefault="004A0F9F" w:rsidP="004A0F9F">
      <w:pPr>
        <w:rPr>
          <w:lang w:val="es-AR"/>
        </w:rPr>
      </w:pPr>
    </w:p>
    <w:p w:rsidR="004A0F9F" w:rsidRPr="00410436" w:rsidRDefault="004A0F9F" w:rsidP="004A0F9F">
      <w:pPr>
        <w:rPr>
          <w:b/>
          <w:lang w:val="es-AR"/>
        </w:rPr>
      </w:pPr>
      <w:r w:rsidRPr="00410436">
        <w:rPr>
          <w:b/>
          <w:lang w:val="es-AR"/>
        </w:rPr>
        <w:t>OBSERVACIONES</w:t>
      </w:r>
    </w:p>
    <w:p w:rsidR="004A0F9F" w:rsidRPr="00410436" w:rsidRDefault="004A0F9F" w:rsidP="004A0F9F">
      <w:pPr>
        <w:rPr>
          <w:lang w:val="es-AR"/>
        </w:rPr>
      </w:pPr>
    </w:p>
    <w:p w:rsidR="004A0F9F" w:rsidRPr="00410436" w:rsidRDefault="004A0F9F" w:rsidP="004A0F9F">
      <w:pPr>
        <w:rPr>
          <w:u w:val="single"/>
          <w:lang w:val="es-AR"/>
        </w:rPr>
      </w:pPr>
      <w:r w:rsidRPr="00410436">
        <w:rPr>
          <w:u w:val="single"/>
          <w:lang w:val="es-AR"/>
        </w:rPr>
        <w:t>Informe sobre el consumo de HCFC</w:t>
      </w:r>
    </w:p>
    <w:p w:rsidR="004A0F9F" w:rsidRPr="00410436" w:rsidRDefault="004A0F9F" w:rsidP="004A0F9F">
      <w:pPr>
        <w:rPr>
          <w:lang w:val="es-AR"/>
        </w:rPr>
      </w:pPr>
    </w:p>
    <w:p w:rsidR="004A0F9F" w:rsidRPr="00410436" w:rsidRDefault="004A0F9F" w:rsidP="004A0F9F">
      <w:pPr>
        <w:pStyle w:val="Heading1"/>
        <w:rPr>
          <w:lang w:val="es-AR"/>
        </w:rPr>
      </w:pPr>
      <w:r w:rsidRPr="00410436">
        <w:rPr>
          <w:lang w:val="es-AR"/>
        </w:rPr>
        <w:t>La Secretaría tomó nota de que, en el informe de ejecución del programa país, la República de Moldova notificó el uso de una pequeña cantidad (0,1 tm) de HCFC-141b en el sector de servicio de equipos de refrigeración en 2017, pero los informes del programa país de 2017 y los años anteriores no indicaban importaciones de HCFC-141b, ni se notificó consumo alguno de HCFC-141b con arreglo al Artículo 7. El PNUD informó que el HCFC-141b, utilizado como disolvente, no se importó oficialmente, sino que se adquirió a una empresa situada en la orilla izquierda del río Dniéster, y que las unidades administrativas-territoriales de esa zona, la región de Transnistria, no están bajo la autoridad del Gobierno de la República de Moldova. Se acordó que, en el marco del tercer tramo, el PNUD asistirá al Gobierno para fortalecer sus mecanismos aduaneros y de aplicación de las normas a fin de asegurar que ninguna sustancia controlada no contabilizada entre o salga de la República de Moldova.</w:t>
      </w:r>
    </w:p>
    <w:p w:rsidR="004A0F9F" w:rsidRPr="00410436" w:rsidRDefault="004A0F9F" w:rsidP="004A0F9F">
      <w:pPr>
        <w:rPr>
          <w:u w:val="single"/>
          <w:lang w:val="es-AR"/>
        </w:rPr>
      </w:pPr>
      <w:r w:rsidRPr="00410436">
        <w:rPr>
          <w:u w:val="single"/>
          <w:lang w:val="es-AR"/>
        </w:rPr>
        <w:t>Informe sobre la marcha de las actividades de la ejecución del segundo tramo del plan de gestión para la eliminación de los HCFC</w:t>
      </w:r>
    </w:p>
    <w:p w:rsidR="004A0F9F" w:rsidRPr="00410436" w:rsidRDefault="004A0F9F" w:rsidP="004A0F9F">
      <w:pPr>
        <w:rPr>
          <w:color w:val="000000" w:themeColor="text1"/>
          <w:lang w:val="es-AR"/>
        </w:rPr>
      </w:pPr>
    </w:p>
    <w:p w:rsidR="004A0F9F" w:rsidRPr="0082339C" w:rsidRDefault="004A0F9F" w:rsidP="004A0F9F">
      <w:pPr>
        <w:rPr>
          <w:i/>
          <w:color w:val="000000" w:themeColor="text1"/>
        </w:rPr>
      </w:pPr>
      <w:r>
        <w:rPr>
          <w:i/>
          <w:color w:val="000000" w:themeColor="text1"/>
        </w:rPr>
        <w:t>Marco jurídico</w:t>
      </w:r>
    </w:p>
    <w:p w:rsidR="004A0F9F" w:rsidRPr="0082339C" w:rsidRDefault="004A0F9F" w:rsidP="004A0F9F">
      <w:pPr>
        <w:rPr>
          <w:color w:val="000000" w:themeColor="text1"/>
          <w:lang w:val="en-CA"/>
        </w:rPr>
      </w:pPr>
    </w:p>
    <w:p w:rsidR="004A0F9F" w:rsidRPr="00410436" w:rsidRDefault="004A0F9F" w:rsidP="004A0F9F">
      <w:pPr>
        <w:pStyle w:val="Heading1"/>
        <w:rPr>
          <w:color w:val="000000" w:themeColor="text1"/>
          <w:lang w:val="es-AR"/>
        </w:rPr>
      </w:pPr>
      <w:r w:rsidRPr="00410436">
        <w:rPr>
          <w:color w:val="000000" w:themeColor="text1"/>
          <w:lang w:val="es-AR"/>
        </w:rPr>
        <w:t>El Gobierno de la República de Moldova ha emitido cupos de importación de HCFC para 2020 de 0,61 toneladas PAO (11,00 tm), que es inferior a las metas de control establecidas por el Protocolo de Montreal.</w:t>
      </w:r>
    </w:p>
    <w:p w:rsidR="004A0F9F" w:rsidRPr="00410436" w:rsidRDefault="004A0F9F" w:rsidP="004A0F9F">
      <w:pPr>
        <w:pStyle w:val="Heading1"/>
        <w:numPr>
          <w:ilvl w:val="0"/>
          <w:numId w:val="0"/>
        </w:numPr>
        <w:rPr>
          <w:i/>
          <w:lang w:val="es-AR"/>
        </w:rPr>
      </w:pPr>
      <w:r w:rsidRPr="00410436">
        <w:rPr>
          <w:i/>
          <w:lang w:val="es-AR"/>
        </w:rPr>
        <w:t>Sector de servicio de equipos de refrigeración</w:t>
      </w:r>
    </w:p>
    <w:p w:rsidR="004A0F9F" w:rsidRPr="00410436" w:rsidRDefault="004A0F9F" w:rsidP="004A0F9F">
      <w:pPr>
        <w:pStyle w:val="Heading1"/>
        <w:rPr>
          <w:lang w:val="es-AR"/>
        </w:rPr>
      </w:pPr>
      <w:r w:rsidRPr="00410436">
        <w:rPr>
          <w:lang w:val="es-AR"/>
        </w:rPr>
        <w:t xml:space="preserve">La Secretaría tomó nota de que una de las razones de la demora en la presentación del segundo tramo de la etapa II del plan de gestión para la eliminación de los HCFC eran los cambios estructurales en el Gobierno. El PNUD explicó que en enero de 2019, se creó la Institución Pública "Unidad de Ejecución de Proyectos Medioambientales" (PI "EPIU"), responsable de proyectos de protección del medio ambiente </w:t>
      </w:r>
      <w:r w:rsidRPr="00410436">
        <w:rPr>
          <w:lang w:val="es-AR"/>
        </w:rPr>
        <w:lastRenderedPageBreak/>
        <w:t>que eran gestionados anteriormente por ocho entidades separadas,</w:t>
      </w:r>
      <w:r w:rsidRPr="0082339C">
        <w:rPr>
          <w:rStyle w:val="FootnoteReference"/>
          <w:lang w:val="en-CA"/>
        </w:rPr>
        <w:footnoteReference w:id="7"/>
      </w:r>
      <w:r w:rsidRPr="00410436">
        <w:rPr>
          <w:lang w:val="es-AR"/>
        </w:rPr>
        <w:t xml:space="preserve"> con el fin de facilitar la comunicación y la coordinación entre las unidades independientes bajo el Ministerio. La PI "EPIU" no está financiada por el Fondo Multilateral y no afecta al papel de la Dependencia Nacional del Ozono ni a su personal. El PNUD explicó además que esta nueva organización retrasó el inicio de las actividades en el marco del segundo tramo, incluida la firma del SSFA entre el gobierno y el PNUMA, y la liberación de fondos. Se contrató personal para la Unidad del Protocolo de Montreal</w:t>
      </w:r>
      <w:r w:rsidRPr="0082339C">
        <w:rPr>
          <w:rStyle w:val="FootnoteReference"/>
          <w:lang w:val="en-CA"/>
        </w:rPr>
        <w:footnoteReference w:id="8"/>
      </w:r>
      <w:r w:rsidRPr="00410436">
        <w:rPr>
          <w:lang w:val="es-AR"/>
        </w:rPr>
        <w:t xml:space="preserve"> mediante fondos de fortalecimiento institucional tras el nombramiento del nuevo centro de coordinación para el Protocolo de Montreal en 2020, y las actividades del plan de gestión para la eliminación de los HCFC se reanudaron poco después en julio de 2020. </w:t>
      </w:r>
    </w:p>
    <w:p w:rsidR="004A0F9F" w:rsidRPr="00410436" w:rsidRDefault="004A0F9F" w:rsidP="004A0F9F">
      <w:pPr>
        <w:rPr>
          <w:u w:val="single"/>
          <w:lang w:val="es-AR"/>
        </w:rPr>
      </w:pPr>
      <w:r w:rsidRPr="00410436">
        <w:rPr>
          <w:u w:val="single"/>
          <w:lang w:val="es-AR"/>
        </w:rPr>
        <w:t>Plan de acción para el tercer tramo y ejecución en medio de la pandemia del COVID-19</w:t>
      </w:r>
    </w:p>
    <w:p w:rsidR="004A0F9F" w:rsidRPr="00410436" w:rsidRDefault="004A0F9F" w:rsidP="004A0F9F">
      <w:pPr>
        <w:rPr>
          <w:lang w:val="es-AR"/>
        </w:rPr>
      </w:pPr>
    </w:p>
    <w:p w:rsidR="004A0F9F" w:rsidRPr="00410436" w:rsidRDefault="004A0F9F" w:rsidP="004A0F9F">
      <w:pPr>
        <w:pStyle w:val="Heading1"/>
        <w:rPr>
          <w:lang w:val="es-AR"/>
        </w:rPr>
      </w:pPr>
      <w:r w:rsidRPr="00410436">
        <w:rPr>
          <w:lang w:val="es-AR"/>
        </w:rPr>
        <w:t xml:space="preserve">La Secretaría tomó nota de los continuos esfuerzos del Gobierno, el PNUD y el PNUMA para asegurar la continuación de la ejecución de las actividades que tienen el apoyo del Fondo Multilateral durante la pandemia del COVID-19. Durante la pandemia, la República de Moldova restringió las reuniones a un máximo de 30 personas; el PNUD observó que era difícil predecir cómo evolucionaría la situación durante la ejecución del tercer y último tramo de la etapa II. El Gobierno intentaría ejecutar plenamente las actividades previstas, incluida la difusión de información por medios electrónicos, y reuniones de menos de 30 personas. </w:t>
      </w:r>
    </w:p>
    <w:p w:rsidR="004A0F9F" w:rsidRPr="0082339C" w:rsidRDefault="004A0F9F" w:rsidP="004A0F9F">
      <w:pPr>
        <w:keepNext/>
        <w:keepLines/>
        <w:rPr>
          <w:u w:val="single"/>
        </w:rPr>
      </w:pPr>
      <w:r>
        <w:rPr>
          <w:u w:val="single"/>
        </w:rPr>
        <w:t>Terminación de la etapa II</w:t>
      </w:r>
    </w:p>
    <w:p w:rsidR="004A0F9F" w:rsidRPr="0082339C" w:rsidRDefault="004A0F9F" w:rsidP="004A0F9F">
      <w:pPr>
        <w:keepNext/>
        <w:keepLines/>
        <w:rPr>
          <w:i/>
          <w:lang w:val="en-CA"/>
        </w:rPr>
      </w:pPr>
    </w:p>
    <w:p w:rsidR="004A0F9F" w:rsidRPr="00410436" w:rsidRDefault="004A0F9F" w:rsidP="004A0F9F">
      <w:pPr>
        <w:pStyle w:val="Heading1"/>
        <w:keepNext/>
        <w:keepLines/>
        <w:rPr>
          <w:u w:val="single"/>
          <w:lang w:val="es-AR"/>
        </w:rPr>
      </w:pPr>
      <w:r w:rsidRPr="00410436">
        <w:rPr>
          <w:lang w:val="es-AR"/>
        </w:rPr>
        <w:t xml:space="preserve">El PNUD ha confirmado que la etapa II del plan de gestión para la eliminación de los HCFC para la República de Moldova finalizará a más tardar el 31 de diciembre de 2021, con arreglo al párrafo 14 del Acuerdo. De conformidad con la decisión adoptada durante el proceso de aprobación en el periodo entre sesiones para la reunión 85ª, el PNUD incluyó </w:t>
      </w:r>
      <w:r w:rsidRPr="00410436">
        <w:rPr>
          <w:color w:val="000000" w:themeColor="text1"/>
          <w:lang w:val="es-AR"/>
        </w:rPr>
        <w:t>en sus enmiendas al programa de trabajo</w:t>
      </w:r>
      <w:r w:rsidRPr="0082339C">
        <w:rPr>
          <w:rStyle w:val="FootnoteReference"/>
          <w:color w:val="000000" w:themeColor="text1"/>
          <w:lang w:val="en-CA"/>
        </w:rPr>
        <w:footnoteReference w:id="9"/>
      </w:r>
      <w:r w:rsidRPr="00410436">
        <w:rPr>
          <w:color w:val="000000" w:themeColor="text1"/>
          <w:lang w:val="es-AR"/>
        </w:rPr>
        <w:t xml:space="preserve"> la financiación de la 86ª reunión para el informe de verificación de la etapa II. Dado que el tercer tramo es el tramo final de la etapa II, </w:t>
      </w:r>
      <w:r w:rsidRPr="00410436">
        <w:rPr>
          <w:lang w:val="es-AR"/>
        </w:rPr>
        <w:t xml:space="preserve">si el informe de verificación que se presentará en 2021 y cubrirá el consumo del país de 2015 a 2020 </w:t>
      </w:r>
      <w:proofErr w:type="gramStart"/>
      <w:r w:rsidRPr="00410436">
        <w:rPr>
          <w:lang w:val="es-AR"/>
        </w:rPr>
        <w:t>indicara</w:t>
      </w:r>
      <w:proofErr w:type="gramEnd"/>
      <w:r w:rsidRPr="00410436">
        <w:rPr>
          <w:lang w:val="es-AR"/>
        </w:rPr>
        <w:t xml:space="preserve"> que el país no está en conformidad con los objetivos especificados en su Acuerdo, el Comité Ejecutivo consideraría aplicar la cláusula de sanción contra la etapa III del plan de gestión para la eliminación de los HCFC. </w:t>
      </w:r>
    </w:p>
    <w:p w:rsidR="004A0F9F" w:rsidRPr="00410436" w:rsidRDefault="004A0F9F" w:rsidP="004A0F9F">
      <w:pPr>
        <w:pStyle w:val="Heading1"/>
        <w:numPr>
          <w:ilvl w:val="0"/>
          <w:numId w:val="0"/>
        </w:numPr>
        <w:rPr>
          <w:color w:val="000000" w:themeColor="text1"/>
          <w:u w:val="single"/>
          <w:lang w:val="es-AR"/>
        </w:rPr>
      </w:pPr>
      <w:r w:rsidRPr="00410436">
        <w:rPr>
          <w:color w:val="000000" w:themeColor="text1"/>
          <w:u w:val="single"/>
          <w:lang w:val="es-AR"/>
        </w:rPr>
        <w:t>Aplicación de políticas de género</w:t>
      </w:r>
      <w:r w:rsidRPr="0082339C">
        <w:rPr>
          <w:rStyle w:val="FootnoteReference"/>
          <w:color w:val="000000" w:themeColor="text1"/>
          <w:lang w:val="en-CA"/>
        </w:rPr>
        <w:footnoteReference w:id="10"/>
      </w:r>
    </w:p>
    <w:p w:rsidR="004A0F9F" w:rsidRPr="00410436" w:rsidRDefault="004A0F9F" w:rsidP="004A0F9F">
      <w:pPr>
        <w:pStyle w:val="Heading1"/>
        <w:rPr>
          <w:color w:val="000000" w:themeColor="text1"/>
          <w:lang w:val="es-AR"/>
        </w:rPr>
      </w:pPr>
      <w:r w:rsidRPr="00410436">
        <w:rPr>
          <w:color w:val="000000" w:themeColor="text1"/>
          <w:lang w:val="es-AR"/>
        </w:rPr>
        <w:t xml:space="preserve">En el taller de capacitación sobre aduanas, celebrado en septiembre de 2020, se formó a cinco mujeres oficiales de aduanas y dos funcionarios mujeres de la Dependencia Nacional del Ozono, entre un total de veinte participantes. El tercer tramo de la etapa II del plan de gestión para la eliminación de los HCFC incluye un estudio de género como parte de las actividades de formación y sensibilización; el estudio examinará los papeles de género y buscará oportunidades para mejorar el equilibrio de género en el sector y evaluar formas de alentar a las mujeres técnicas a participar en los cursos de formación en servicio de equipos de refrigeración y aire acondicionado y otras actividades de creación de capacidad. Se han adoptado indicadores para evaluar los resultados en términos de gestión de recursos humanos (centrados en el reclutamiento), documentos preparados en el marco del proyecto, y gestión/difusión del conocimiento. La </w:t>
      </w:r>
      <w:r w:rsidRPr="00410436">
        <w:rPr>
          <w:color w:val="000000" w:themeColor="text1"/>
          <w:lang w:val="es-AR"/>
        </w:rPr>
        <w:lastRenderedPageBreak/>
        <w:t>etapa III del plan de gestión para la eliminación de los HCFC incluirá propuestas de incorporación de la perspectiva de género basadas en los resultados.</w:t>
      </w:r>
      <w:r w:rsidRPr="00410436">
        <w:rPr>
          <w:lang w:val="es-AR"/>
        </w:rPr>
        <w:t xml:space="preserve"> </w:t>
      </w:r>
    </w:p>
    <w:p w:rsidR="004A0F9F" w:rsidRPr="00410436" w:rsidRDefault="004A0F9F" w:rsidP="004A0F9F">
      <w:pPr>
        <w:keepNext/>
        <w:keepLines/>
        <w:rPr>
          <w:color w:val="000000" w:themeColor="text1"/>
          <w:u w:val="single"/>
          <w:lang w:val="es-AR"/>
        </w:rPr>
      </w:pPr>
      <w:r w:rsidRPr="00410436">
        <w:rPr>
          <w:color w:val="000000" w:themeColor="text1"/>
          <w:u w:val="single"/>
          <w:lang w:val="es-AR"/>
        </w:rPr>
        <w:t xml:space="preserve">Sostenibilidad de la eliminación de los HCFC </w:t>
      </w:r>
    </w:p>
    <w:p w:rsidR="004A0F9F" w:rsidRPr="00410436" w:rsidRDefault="004A0F9F" w:rsidP="004A0F9F">
      <w:pPr>
        <w:keepNext/>
        <w:keepLines/>
        <w:rPr>
          <w:color w:val="000000" w:themeColor="text1"/>
          <w:u w:val="single"/>
          <w:lang w:val="es-AR"/>
        </w:rPr>
      </w:pPr>
    </w:p>
    <w:p w:rsidR="004A0F9F" w:rsidRPr="00410436" w:rsidRDefault="004A0F9F" w:rsidP="004A0F9F">
      <w:pPr>
        <w:pStyle w:val="Heading1"/>
        <w:rPr>
          <w:color w:val="000000" w:themeColor="text1"/>
          <w:lang w:val="es-AR"/>
        </w:rPr>
      </w:pPr>
      <w:r w:rsidRPr="00410436">
        <w:rPr>
          <w:color w:val="000000" w:themeColor="text1"/>
          <w:lang w:val="es-AR"/>
        </w:rPr>
        <w:t xml:space="preserve">El país ha aplicado la prohibición de importación de equipos que utilizan HCFC a partir del 27 de octubre de 2017, así como </w:t>
      </w:r>
      <w:r w:rsidRPr="00410436">
        <w:rPr>
          <w:lang w:val="es-AR"/>
        </w:rPr>
        <w:t xml:space="preserve">la prohibición de importación de sustancias controladas que ya se han eliminado y de los equipos que las contienen, a partir del </w:t>
      </w:r>
      <w:r w:rsidRPr="00410436">
        <w:rPr>
          <w:color w:val="000000" w:themeColor="text1"/>
          <w:lang w:val="es-AR"/>
        </w:rPr>
        <w:t>14 de febrero de 2002.</w:t>
      </w:r>
      <w:r w:rsidRPr="0082339C">
        <w:rPr>
          <w:rStyle w:val="FootnoteReference"/>
          <w:color w:val="000000" w:themeColor="text1"/>
          <w:lang w:val="en-CA"/>
        </w:rPr>
        <w:footnoteReference w:id="11"/>
      </w:r>
      <w:r w:rsidRPr="00410436">
        <w:rPr>
          <w:color w:val="000000" w:themeColor="text1"/>
          <w:lang w:val="es-AR"/>
        </w:rPr>
        <w:t xml:space="preserve"> El Servicio de Aduanas cuenta con la ayuda de un centro de formación específico creado en octubre de 2007 para capacitar a los funcionarios de aduanas nuevos y en rotación sobre </w:t>
      </w:r>
      <w:r w:rsidRPr="00410436">
        <w:rPr>
          <w:lang w:val="es-AR"/>
        </w:rPr>
        <w:t xml:space="preserve">el marco reglamentario para la aplicación del Protocolo de Montreal. La sostenibilidad de la capacitación de técnicos se garantiza a través de la normativa sobre formación y certificación de especialistas en refrigeración y aire acondicionado (Decisión gubernamental n.º 483) que se adoptó en octubre de 2019. La normativa obliga a una formación profesional continua a los centros de formación y evaluación cualificados, con capacitación obligatoria y </w:t>
      </w:r>
      <w:r w:rsidRPr="00410436">
        <w:rPr>
          <w:color w:val="000000" w:themeColor="text1"/>
          <w:lang w:val="es-AR"/>
        </w:rPr>
        <w:t xml:space="preserve">renovación de la certificación cada tres años. </w:t>
      </w:r>
    </w:p>
    <w:p w:rsidR="004A0F9F" w:rsidRPr="00410436" w:rsidRDefault="004A0F9F" w:rsidP="004A0F9F">
      <w:pPr>
        <w:pStyle w:val="Heading1"/>
        <w:rPr>
          <w:color w:val="000000" w:themeColor="text1"/>
          <w:lang w:val="es-AR"/>
        </w:rPr>
      </w:pPr>
      <w:r w:rsidRPr="00410436">
        <w:rPr>
          <w:lang w:val="es-AR"/>
        </w:rPr>
        <w:t>La Dependencia Nacional del Ozono supervisa periódicamente el uso de refrigerantes en el mercado y no tiene conocimiento de ningún uso en el mercado ni de existencias de sustancias controladas que se han eliminado, ni de importaciones ilegales de esas sustancias. El PNUD informó de que la frontera de la República de Moldova con la región de Transnistria presenta dificultades, tales como el comercio ilegal potencial; estas dificultades se discuten periódicamente dentro del Gobierno para asegurar una mejor supervisión, dentro de lo posible, y mediante el fortalecimiento de los mecanismos de aduanas y de aplicación de normas, y la difusión de información al sector con sede en la República de Moldova. Además, la República de Moldova y Ucrania comparten Aduanas y control fronterizo a lo largo de la región de Transnistria, de conformidad con un acuerdo celebrado entre los dos gobiernos en octubre de 2017.</w:t>
      </w:r>
    </w:p>
    <w:p w:rsidR="004A0F9F" w:rsidRPr="0082339C" w:rsidRDefault="004A0F9F" w:rsidP="004A0F9F">
      <w:pPr>
        <w:rPr>
          <w:color w:val="000000" w:themeColor="text1"/>
          <w:u w:val="single"/>
        </w:rPr>
      </w:pPr>
      <w:r>
        <w:rPr>
          <w:color w:val="000000" w:themeColor="text1"/>
          <w:u w:val="single"/>
        </w:rPr>
        <w:t xml:space="preserve">Conclusión </w:t>
      </w:r>
    </w:p>
    <w:p w:rsidR="004A0F9F" w:rsidRPr="0082339C" w:rsidRDefault="004A0F9F" w:rsidP="004A0F9F">
      <w:pPr>
        <w:rPr>
          <w:color w:val="000000" w:themeColor="text1"/>
          <w:lang w:val="en-CA"/>
        </w:rPr>
      </w:pPr>
    </w:p>
    <w:p w:rsidR="004A0F9F" w:rsidRPr="00410436" w:rsidRDefault="004A0F9F" w:rsidP="004A0F9F">
      <w:pPr>
        <w:pStyle w:val="Heading1"/>
        <w:rPr>
          <w:color w:val="000000" w:themeColor="text1"/>
          <w:lang w:val="es-AR"/>
        </w:rPr>
      </w:pPr>
      <w:r w:rsidRPr="00410436">
        <w:rPr>
          <w:color w:val="000000" w:themeColor="text1"/>
          <w:lang w:val="es-AR"/>
        </w:rPr>
        <w:t xml:space="preserve">El consumo de HCFC en 2019 de 0,53 toneladas PAO de HCFC es un 41 por ciento inferior al consumo máximo permitido en el Acuerdo entre el Gobierno y el Comité Ejecutivo. El Gobierno sigue implementando un sistema de otorgamiento de licencias y cupos para la supervisión y el control de los HCFC e impone la prohibición de las importaciones de equipos que usan HCFC. A pesar de la demora en el inicio del segundo tramo y la pandemia del COVID-19, se celebró un taller para capacitar a funcionarios de aduanas y encargados de la aplicación de las leyes en septiembre de 2020, y se prevé que tengan lugar otras actividades antes de terminar el año 2020, incluyendo el funcionamiento de un sistema electrónico en la web de otorgamiento de licencias y presentación de informes de SAO; capacitación adicional en aduanas; publicación de la guía de aduanas y materiales de capacitación sobre refrigerantes naturales; capacitación de técnicos de refrigeración y aire acondicionado; y creación del sitio web de la asociación de refrigeración y aire acondicionado. El Gobierno continuará implementando las actividades del plan de gestión para la eliminación de los HCFC, centrándose en la aplicación de la normativa y la capacitación de técnicos de servicio, para que el país cumpla sus obligaciones de cumplimiento en virtud del Protocolo de Montreal. El desembolso de los fondos del segundo tramo ha alcanzado el 23 por ciento. </w:t>
      </w:r>
    </w:p>
    <w:p w:rsidR="004A0F9F" w:rsidRPr="0082339C" w:rsidRDefault="004A0F9F" w:rsidP="00410436">
      <w:pPr>
        <w:keepNext/>
        <w:keepLines/>
      </w:pPr>
      <w:r>
        <w:rPr>
          <w:b/>
        </w:rPr>
        <w:lastRenderedPageBreak/>
        <w:t xml:space="preserve">RECOMENDACIÓN </w:t>
      </w:r>
    </w:p>
    <w:p w:rsidR="004A0F9F" w:rsidRPr="0082339C" w:rsidRDefault="004A0F9F" w:rsidP="00410436">
      <w:pPr>
        <w:keepNext/>
        <w:keepLines/>
        <w:rPr>
          <w:lang w:val="en-CA"/>
        </w:rPr>
      </w:pPr>
    </w:p>
    <w:p w:rsidR="004A0F9F" w:rsidRPr="00410436" w:rsidRDefault="004A0F9F" w:rsidP="00410436">
      <w:pPr>
        <w:pStyle w:val="Heading1"/>
        <w:keepNext/>
        <w:keepLines/>
        <w:rPr>
          <w:lang w:val="es-AR"/>
        </w:rPr>
      </w:pPr>
      <w:r w:rsidRPr="00410436">
        <w:rPr>
          <w:lang w:val="es-AR"/>
        </w:rPr>
        <w:t>La Secretaría del Fondo recomienda que el Comité Ejecutivo tome nota del informe sobre la marcha de las actividades relativo a la ejecución del segundo tramo de la etapa II del plan de gestión para la eliminación de los HCFC para la República de Moldova, y recomienda además la aprobación general del tercer y último tramo de la etapa II del plan de gestión para la eliminación de los HCFC para la República de Moldova, y el correspondiente plan de ejecución del tramo para el periodo 2020-2021, correspondiente con el nivel de financiación que se indica en el cuadro</w:t>
      </w:r>
      <w:bookmarkStart w:id="6" w:name="_GoBack"/>
      <w:bookmarkEnd w:id="6"/>
      <w:r w:rsidRPr="00410436">
        <w:rPr>
          <w:lang w:val="es-AR"/>
        </w:rPr>
        <w:t xml:space="preserve"> a continuación, bajo la asunción de que si el informe de verificación que se presentará en 2021 y que cubrirá el consumo del país de 2015 a 2020 indicara que el país no cumple los objetivos especificados en el Acuerdo, el Comité Ejecutivo podría considerar aplicar la cláusula de sanción contra la etapa III del plan de gestión para la eliminación de los HCFC.</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4A0F9F" w:rsidRPr="0082339C" w:rsidTr="004F7F5B">
        <w:tc>
          <w:tcPr>
            <w:tcW w:w="540" w:type="dxa"/>
          </w:tcPr>
          <w:p w:rsidR="004A0F9F" w:rsidRPr="00410436" w:rsidRDefault="004A0F9F" w:rsidP="004F7F5B">
            <w:pPr>
              <w:keepNext/>
              <w:keepLines/>
              <w:jc w:val="center"/>
              <w:rPr>
                <w:b/>
                <w:bCs/>
                <w:sz w:val="20"/>
                <w:szCs w:val="20"/>
                <w:lang w:val="es-AR"/>
              </w:rPr>
            </w:pPr>
          </w:p>
        </w:tc>
        <w:tc>
          <w:tcPr>
            <w:tcW w:w="4320" w:type="dxa"/>
          </w:tcPr>
          <w:p w:rsidR="004A0F9F" w:rsidRPr="0082339C" w:rsidRDefault="004A0F9F" w:rsidP="004F7F5B">
            <w:pPr>
              <w:keepNext/>
              <w:keepLines/>
              <w:jc w:val="center"/>
              <w:rPr>
                <w:b/>
                <w:bCs/>
                <w:sz w:val="20"/>
                <w:szCs w:val="20"/>
              </w:rPr>
            </w:pPr>
            <w:r>
              <w:rPr>
                <w:b/>
                <w:bCs/>
                <w:sz w:val="20"/>
                <w:szCs w:val="20"/>
              </w:rPr>
              <w:t>Título del proyecto</w:t>
            </w:r>
          </w:p>
        </w:tc>
        <w:tc>
          <w:tcPr>
            <w:tcW w:w="1461" w:type="dxa"/>
            <w:tcMar>
              <w:left w:w="29" w:type="dxa"/>
              <w:right w:w="29" w:type="dxa"/>
            </w:tcMar>
          </w:tcPr>
          <w:p w:rsidR="004A0F9F" w:rsidRPr="0082339C" w:rsidRDefault="004A0F9F" w:rsidP="004F7F5B">
            <w:pPr>
              <w:keepNext/>
              <w:keepLines/>
              <w:jc w:val="center"/>
              <w:rPr>
                <w:b/>
                <w:bCs/>
                <w:sz w:val="20"/>
                <w:szCs w:val="20"/>
              </w:rPr>
            </w:pPr>
            <w:r>
              <w:rPr>
                <w:b/>
                <w:bCs/>
                <w:sz w:val="20"/>
                <w:szCs w:val="20"/>
              </w:rPr>
              <w:t>Financiación del proyecto ($EUA)</w:t>
            </w:r>
          </w:p>
        </w:tc>
        <w:tc>
          <w:tcPr>
            <w:tcW w:w="1461" w:type="dxa"/>
            <w:tcMar>
              <w:left w:w="29" w:type="dxa"/>
              <w:right w:w="29" w:type="dxa"/>
            </w:tcMar>
          </w:tcPr>
          <w:p w:rsidR="004A0F9F" w:rsidRPr="0082339C" w:rsidRDefault="004A0F9F" w:rsidP="004F7F5B">
            <w:pPr>
              <w:keepNext/>
              <w:keepLines/>
              <w:jc w:val="center"/>
              <w:rPr>
                <w:b/>
                <w:bCs/>
                <w:sz w:val="20"/>
                <w:szCs w:val="20"/>
              </w:rPr>
            </w:pPr>
            <w:r>
              <w:rPr>
                <w:b/>
                <w:bCs/>
                <w:sz w:val="20"/>
                <w:szCs w:val="20"/>
              </w:rPr>
              <w:t>Gastos de apoyo ($EUA)</w:t>
            </w:r>
          </w:p>
        </w:tc>
        <w:tc>
          <w:tcPr>
            <w:tcW w:w="1461" w:type="dxa"/>
            <w:tcMar>
              <w:left w:w="29" w:type="dxa"/>
              <w:right w:w="29" w:type="dxa"/>
            </w:tcMar>
          </w:tcPr>
          <w:p w:rsidR="004A0F9F" w:rsidRPr="0082339C" w:rsidRDefault="004A0F9F" w:rsidP="004F7F5B">
            <w:pPr>
              <w:keepNext/>
              <w:keepLines/>
              <w:jc w:val="center"/>
              <w:rPr>
                <w:b/>
                <w:bCs/>
                <w:sz w:val="20"/>
                <w:szCs w:val="20"/>
              </w:rPr>
            </w:pPr>
            <w:r>
              <w:rPr>
                <w:b/>
                <w:bCs/>
                <w:sz w:val="20"/>
                <w:szCs w:val="20"/>
              </w:rPr>
              <w:t>Organismo de ejecución</w:t>
            </w:r>
          </w:p>
        </w:tc>
      </w:tr>
      <w:tr w:rsidR="004A0F9F" w:rsidRPr="0082339C" w:rsidTr="004F7F5B">
        <w:trPr>
          <w:trHeight w:val="494"/>
        </w:trPr>
        <w:tc>
          <w:tcPr>
            <w:tcW w:w="540" w:type="dxa"/>
          </w:tcPr>
          <w:p w:rsidR="004A0F9F" w:rsidRPr="0082339C" w:rsidRDefault="004A0F9F" w:rsidP="004F7F5B">
            <w:pPr>
              <w:rPr>
                <w:sz w:val="20"/>
                <w:szCs w:val="20"/>
              </w:rPr>
            </w:pPr>
            <w:r>
              <w:rPr>
                <w:sz w:val="20"/>
                <w:szCs w:val="20"/>
              </w:rPr>
              <w:t>a)</w:t>
            </w:r>
          </w:p>
        </w:tc>
        <w:tc>
          <w:tcPr>
            <w:tcW w:w="4320" w:type="dxa"/>
          </w:tcPr>
          <w:p w:rsidR="004A0F9F" w:rsidRPr="00410436" w:rsidRDefault="004A0F9F" w:rsidP="004F7F5B">
            <w:pPr>
              <w:rPr>
                <w:sz w:val="20"/>
                <w:szCs w:val="20"/>
                <w:lang w:val="es-AR"/>
              </w:rPr>
            </w:pPr>
            <w:r w:rsidRPr="00410436">
              <w:rPr>
                <w:sz w:val="20"/>
                <w:szCs w:val="20"/>
                <w:lang w:val="es-AR"/>
              </w:rPr>
              <w:t>Plan de gestión para la eliminación de los HCFC (etapa II, tercer tramo)</w:t>
            </w:r>
          </w:p>
        </w:tc>
        <w:tc>
          <w:tcPr>
            <w:tcW w:w="1461" w:type="dxa"/>
          </w:tcPr>
          <w:p w:rsidR="004A0F9F" w:rsidRPr="0082339C" w:rsidRDefault="004A0F9F" w:rsidP="004F7F5B">
            <w:pPr>
              <w:jc w:val="right"/>
              <w:rPr>
                <w:sz w:val="20"/>
                <w:szCs w:val="20"/>
              </w:rPr>
            </w:pPr>
            <w:r>
              <w:rPr>
                <w:sz w:val="20"/>
                <w:szCs w:val="20"/>
              </w:rPr>
              <w:t>17.450</w:t>
            </w:r>
          </w:p>
        </w:tc>
        <w:tc>
          <w:tcPr>
            <w:tcW w:w="1461" w:type="dxa"/>
          </w:tcPr>
          <w:p w:rsidR="004A0F9F" w:rsidRPr="0082339C" w:rsidRDefault="004A0F9F" w:rsidP="004F7F5B">
            <w:pPr>
              <w:jc w:val="right"/>
            </w:pPr>
            <w:r>
              <w:rPr>
                <w:sz w:val="20"/>
                <w:szCs w:val="20"/>
              </w:rPr>
              <w:t>1.570</w:t>
            </w:r>
          </w:p>
        </w:tc>
        <w:tc>
          <w:tcPr>
            <w:tcW w:w="1461" w:type="dxa"/>
          </w:tcPr>
          <w:p w:rsidR="004A0F9F" w:rsidRPr="0082339C" w:rsidRDefault="004A0F9F" w:rsidP="004F7F5B">
            <w:pPr>
              <w:jc w:val="center"/>
              <w:rPr>
                <w:sz w:val="20"/>
                <w:szCs w:val="20"/>
              </w:rPr>
            </w:pPr>
            <w:r>
              <w:rPr>
                <w:sz w:val="20"/>
                <w:szCs w:val="20"/>
              </w:rPr>
              <w:t>PNUD</w:t>
            </w:r>
          </w:p>
        </w:tc>
      </w:tr>
    </w:tbl>
    <w:p w:rsidR="004A0F9F" w:rsidRPr="0082339C" w:rsidRDefault="004A0F9F" w:rsidP="004A0F9F">
      <w:pPr>
        <w:rPr>
          <w:lang w:val="en-CA"/>
        </w:rPr>
      </w:pPr>
    </w:p>
    <w:p w:rsidR="004A0F9F" w:rsidRPr="0082339C" w:rsidRDefault="004A0F9F" w:rsidP="004A0F9F">
      <w:pPr>
        <w:rPr>
          <w:lang w:val="en-CA"/>
        </w:rPr>
      </w:pPr>
    </w:p>
    <w:p w:rsidR="004A0F9F" w:rsidRPr="0082339C" w:rsidRDefault="004A0F9F" w:rsidP="004A0F9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A0F9F" w:rsidRPr="0082339C" w:rsidTr="004F7F5B">
        <w:tc>
          <w:tcPr>
            <w:tcW w:w="1871" w:type="dxa"/>
          </w:tcPr>
          <w:p w:rsidR="004A0F9F" w:rsidRPr="0082339C" w:rsidRDefault="004A0F9F" w:rsidP="004F7F5B">
            <w:pPr>
              <w:rPr>
                <w:lang w:val="en-CA"/>
              </w:rPr>
            </w:pPr>
          </w:p>
        </w:tc>
        <w:tc>
          <w:tcPr>
            <w:tcW w:w="1872" w:type="dxa"/>
          </w:tcPr>
          <w:p w:rsidR="004A0F9F" w:rsidRPr="0082339C" w:rsidRDefault="004A0F9F" w:rsidP="004F7F5B">
            <w:pPr>
              <w:rPr>
                <w:lang w:val="en-CA"/>
              </w:rPr>
            </w:pPr>
          </w:p>
        </w:tc>
        <w:tc>
          <w:tcPr>
            <w:tcW w:w="1872" w:type="dxa"/>
            <w:tcBorders>
              <w:bottom w:val="single" w:sz="4" w:space="0" w:color="auto"/>
            </w:tcBorders>
          </w:tcPr>
          <w:p w:rsidR="004A0F9F" w:rsidRPr="0082339C" w:rsidRDefault="004A0F9F" w:rsidP="004F7F5B">
            <w:pPr>
              <w:rPr>
                <w:lang w:val="en-CA"/>
              </w:rPr>
            </w:pPr>
          </w:p>
        </w:tc>
        <w:tc>
          <w:tcPr>
            <w:tcW w:w="1872" w:type="dxa"/>
          </w:tcPr>
          <w:p w:rsidR="004A0F9F" w:rsidRPr="0082339C" w:rsidRDefault="004A0F9F" w:rsidP="004F7F5B">
            <w:pPr>
              <w:rPr>
                <w:lang w:val="en-CA"/>
              </w:rPr>
            </w:pPr>
          </w:p>
        </w:tc>
        <w:tc>
          <w:tcPr>
            <w:tcW w:w="1873" w:type="dxa"/>
          </w:tcPr>
          <w:p w:rsidR="004A0F9F" w:rsidRPr="0082339C" w:rsidRDefault="004A0F9F" w:rsidP="004F7F5B">
            <w:pPr>
              <w:rPr>
                <w:lang w:val="en-CA"/>
              </w:rPr>
            </w:pPr>
          </w:p>
        </w:tc>
      </w:tr>
    </w:tbl>
    <w:p w:rsidR="004A0F9F" w:rsidRPr="0082339C" w:rsidRDefault="004A0F9F" w:rsidP="004A0F9F">
      <w:pPr>
        <w:rPr>
          <w:lang w:val="en-CA"/>
        </w:rPr>
      </w:pPr>
    </w:p>
    <w:p w:rsidR="0087455A" w:rsidRDefault="0087455A">
      <w:pPr>
        <w:pStyle w:val="Title1"/>
        <w:rPr>
          <w:lang w:val="es-ES"/>
        </w:rPr>
      </w:pPr>
    </w:p>
    <w:sectPr w:rsidR="0087455A" w:rsidSect="004A0F9F">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D00" w:rsidRDefault="00356D00">
      <w:r>
        <w:separator/>
      </w:r>
    </w:p>
  </w:endnote>
  <w:endnote w:type="continuationSeparator" w:id="0">
    <w:p w:rsidR="00356D00" w:rsidRDefault="00356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5630734"/>
      <w:docPartObj>
        <w:docPartGallery w:val="Page Numbers (Bottom of Page)"/>
        <w:docPartUnique/>
      </w:docPartObj>
    </w:sdtPr>
    <w:sdtEndPr>
      <w:rPr>
        <w:noProof/>
      </w:rPr>
    </w:sdtEndPr>
    <w:sdtContent>
      <w:p w:rsidR="004A0F9F" w:rsidRDefault="004A0F9F" w:rsidP="004A0F9F">
        <w:pPr>
          <w:pStyle w:val="Footer"/>
          <w:jc w:val="center"/>
        </w:pPr>
        <w:r>
          <w:fldChar w:fldCharType="begin"/>
        </w:r>
        <w:r>
          <w:instrText xml:space="preserve"> PAGE   \* MERGEFORMAT </w:instrText>
        </w:r>
        <w:r>
          <w:fldChar w:fldCharType="separate"/>
        </w:r>
        <w:r w:rsidR="00410436">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4A0F9F" w:rsidRDefault="004A0F9F" w:rsidP="004A0F9F">
        <w:pPr>
          <w:pStyle w:val="Footer"/>
          <w:jc w:val="center"/>
        </w:pPr>
        <w:r>
          <w:fldChar w:fldCharType="begin"/>
        </w:r>
        <w:r>
          <w:instrText xml:space="preserve"> PAGE   \* MERGEFORMAT </w:instrText>
        </w:r>
        <w:r>
          <w:fldChar w:fldCharType="separate"/>
        </w:r>
        <w:r w:rsidR="00410436">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Pr="004A0F9F" w:rsidRDefault="004A0F9F" w:rsidP="004A0F9F">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D00" w:rsidRDefault="00356D00">
      <w:r>
        <w:separator/>
      </w:r>
    </w:p>
  </w:footnote>
  <w:footnote w:type="continuationSeparator" w:id="0">
    <w:p w:rsidR="00356D00" w:rsidRDefault="00356D00">
      <w:r>
        <w:continuationSeparator/>
      </w:r>
    </w:p>
  </w:footnote>
  <w:footnote w:id="1">
    <w:p w:rsidR="004A0F9F" w:rsidRDefault="004A0F9F" w:rsidP="004A0F9F">
      <w:pPr>
        <w:pStyle w:val="FootnoteText"/>
      </w:pPr>
      <w:r>
        <w:rPr>
          <w:rStyle w:val="FootnoteReference"/>
        </w:rPr>
        <w:footnoteRef/>
      </w:r>
      <w:r>
        <w:t xml:space="preserve"> Debido al coronavirus (COVID-19)</w:t>
      </w:r>
    </w:p>
    <w:p w:rsidR="00410436" w:rsidRPr="009B499B" w:rsidRDefault="00410436" w:rsidP="004A0F9F">
      <w:pPr>
        <w:pStyle w:val="FootnoteText"/>
      </w:pPr>
    </w:p>
  </w:footnote>
  <w:footnote w:id="2">
    <w:p w:rsidR="004A0F9F" w:rsidRPr="00FE3307" w:rsidRDefault="004A0F9F" w:rsidP="004A0F9F">
      <w:pPr>
        <w:pStyle w:val="FootnoteText"/>
      </w:pPr>
      <w:r>
        <w:rPr>
          <w:rStyle w:val="FootnoteReference"/>
        </w:rPr>
        <w:footnoteRef/>
      </w:r>
      <w:r>
        <w:t xml:space="preserve"> Conforme a la carta del 12 de agosto de 2020 del Ministerio de Agricultura, Desarrollo Regional y Medio Ambiente de la República de Moldova al PNUD.</w:t>
      </w:r>
    </w:p>
  </w:footnote>
  <w:footnote w:id="3">
    <w:p w:rsidR="004A0F9F" w:rsidRPr="00337319" w:rsidRDefault="004A0F9F" w:rsidP="004A0F9F">
      <w:pPr>
        <w:pStyle w:val="FootnoteText"/>
      </w:pPr>
      <w:r>
        <w:rPr>
          <w:rStyle w:val="FootnoteReference"/>
        </w:rPr>
        <w:footnoteRef/>
      </w:r>
      <w:r>
        <w:t xml:space="preserve"> La Decisión Gubernamental número 589 se adoptó el 21 de junio de 2018.</w:t>
      </w:r>
    </w:p>
  </w:footnote>
  <w:footnote w:id="4">
    <w:p w:rsidR="004A0F9F" w:rsidRPr="000D1ED0" w:rsidRDefault="004A0F9F" w:rsidP="004A0F9F">
      <w:pPr>
        <w:pStyle w:val="FootnoteText"/>
      </w:pPr>
      <w:r>
        <w:rPr>
          <w:rStyle w:val="FootnoteReference"/>
        </w:rPr>
        <w:footnoteRef/>
      </w:r>
      <w:r>
        <w:t xml:space="preserve"> Mezcla de HFC con HFC-125, HFC-134a y R-600a. </w:t>
      </w:r>
    </w:p>
  </w:footnote>
  <w:footnote w:id="5">
    <w:p w:rsidR="004A0F9F" w:rsidRPr="0082339C" w:rsidRDefault="004A0F9F" w:rsidP="004A0F9F">
      <w:pPr>
        <w:pStyle w:val="FootnoteText"/>
      </w:pPr>
      <w:r>
        <w:rPr>
          <w:rStyle w:val="FootnoteReference"/>
        </w:rPr>
        <w:footnoteRef/>
      </w:r>
      <w:r>
        <w:t xml:space="preserve"> El plan para el segundo tramo del plan de gestión para la eliminación de los HCFC, tal como se indica en el párrafo 11 del documento UNEP/OzL. Pro/ExCom/84/58, en ejecución por el PNUMA, estaba programado para su terminación a más tardar en diciembre de 2021. </w:t>
      </w:r>
    </w:p>
  </w:footnote>
  <w:footnote w:id="6">
    <w:p w:rsidR="004A0F9F" w:rsidRPr="00336B7B" w:rsidRDefault="004A0F9F" w:rsidP="004A0F9F">
      <w:pPr>
        <w:pStyle w:val="FootnoteText"/>
      </w:pPr>
      <w:r>
        <w:rPr>
          <w:rStyle w:val="FootnoteReference"/>
        </w:rPr>
        <w:footnoteRef/>
      </w:r>
      <w:r>
        <w:t xml:space="preserve"> Párrafos del 117 al 127 del documento UNEP/OzL.Pro/ExCom/85/9. </w:t>
      </w:r>
    </w:p>
  </w:footnote>
  <w:footnote w:id="7">
    <w:p w:rsidR="004A0F9F" w:rsidRPr="00B76EDC" w:rsidRDefault="004A0F9F" w:rsidP="004A0F9F">
      <w:pPr>
        <w:pStyle w:val="FootnoteText"/>
      </w:pPr>
      <w:r>
        <w:rPr>
          <w:rStyle w:val="FootnoteReference"/>
        </w:rPr>
        <w:footnoteRef/>
      </w:r>
      <w:r>
        <w:t xml:space="preserve"> Dependencia Nacional del Ozono; Oficina de Diversidad Biológica; Oficina de Cambio Climático; Oficina de Financiación del Carbono; Oficina de Prevención de la Contaminación Medioambiental; Oficina de Bioseguridad; Unidad de Ejecución Consolidada de Proyectos Medioambientales; e Institución Pública de la Oficina de Gestión Sostenible de los Contaminantes Orgánicos Persistentes.</w:t>
      </w:r>
    </w:p>
  </w:footnote>
  <w:footnote w:id="8">
    <w:p w:rsidR="004A0F9F" w:rsidRPr="001A6212" w:rsidRDefault="004A0F9F" w:rsidP="004A0F9F">
      <w:pPr>
        <w:pStyle w:val="FootnoteText"/>
      </w:pPr>
      <w:r>
        <w:rPr>
          <w:rStyle w:val="FootnoteReference"/>
        </w:rPr>
        <w:footnoteRef/>
      </w:r>
      <w:r>
        <w:t xml:space="preserve"> La Unidad del Protocolo de Montreal incluirá funciones relacionadas con la Enmienda de Kigali sobre los HFC, y el término original para la unidad, la Oficina del ozono, asociada a la gestión de las sustancias que agotan la capa de ozono.</w:t>
      </w:r>
    </w:p>
  </w:footnote>
  <w:footnote w:id="9">
    <w:p w:rsidR="004A0F9F" w:rsidRPr="0082339C" w:rsidRDefault="004A0F9F" w:rsidP="004A0F9F">
      <w:pPr>
        <w:pStyle w:val="FootnoteText"/>
      </w:pPr>
      <w:r>
        <w:rPr>
          <w:rStyle w:val="FootnoteReference"/>
        </w:rPr>
        <w:footnoteRef/>
      </w:r>
      <w:r>
        <w:t xml:space="preserve"> UNEP/OzL.Pro/ExCom/86/33.</w:t>
      </w:r>
    </w:p>
  </w:footnote>
  <w:footnote w:id="10">
    <w:p w:rsidR="004A0F9F" w:rsidRPr="0082339C" w:rsidRDefault="004A0F9F" w:rsidP="004A0F9F">
      <w:pPr>
        <w:pStyle w:val="FootnoteText"/>
      </w:pPr>
      <w:r>
        <w:rPr>
          <w:rStyle w:val="FootnoteReference"/>
        </w:rPr>
        <w:footnoteRef/>
      </w:r>
      <w:r>
        <w:t xml:space="preserve"> La decisión 84/92(d) pidió a los organismos bilaterales y de ejecución la aplicación de la política operacional sobre la incorporación de la perspectiva de género en todo el ciclo del proyecto.</w:t>
      </w:r>
    </w:p>
  </w:footnote>
  <w:footnote w:id="11">
    <w:p w:rsidR="004A0F9F" w:rsidRPr="00E67EFD" w:rsidRDefault="004A0F9F" w:rsidP="004A0F9F">
      <w:pPr>
        <w:pStyle w:val="FootnoteText"/>
      </w:pPr>
      <w:r>
        <w:rPr>
          <w:rStyle w:val="FootnoteReference"/>
        </w:rPr>
        <w:footnoteRef/>
      </w:r>
      <w:r>
        <w:t xml:space="preserve"> La Ley N° 852-XV, de fecha 14 de febrero de 2002, es el documento legislativo fundamental relativo a la ejecución del Protocolo de Montreal en la República de Moldova.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F9F" w:rsidRDefault="004A0F9F">
    <w:pPr>
      <w:pStyle w:val="Header"/>
    </w:pPr>
    <w:fldSimple w:instr=" DOCPROPERTY &quot;Document number&quot;  \* MERGEFORMAT ">
      <w:r w:rsidR="00410436">
        <w:t>UNEP/OzL.Pro/ExCom/86/71</w:t>
      </w:r>
    </w:fldSimple>
  </w:p>
  <w:p w:rsidR="004A0F9F" w:rsidRDefault="004A0F9F">
    <w:pPr>
      <w:pStyle w:val="Header"/>
    </w:pPr>
  </w:p>
  <w:p w:rsidR="004A0F9F" w:rsidRDefault="004A0F9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F9F" w:rsidRDefault="004A0F9F" w:rsidP="004A0F9F">
    <w:pPr>
      <w:pStyle w:val="Header"/>
      <w:jc w:val="right"/>
    </w:pPr>
    <w:fldSimple w:instr=" DOCPROPERTY &quot;Document number&quot;  \* MERGEFORMAT ">
      <w:r w:rsidR="00410436">
        <w:t>UNEP/OzL.Pro/ExCom/86/71</w:t>
      </w:r>
    </w:fldSimple>
  </w:p>
  <w:p w:rsidR="004A0F9F" w:rsidRDefault="004A0F9F">
    <w:pPr>
      <w:pStyle w:val="Header"/>
    </w:pPr>
  </w:p>
  <w:p w:rsidR="004A0F9F" w:rsidRDefault="004A0F9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7455A">
    <w:pPr>
      <w:jc w:val="right"/>
    </w:pPr>
  </w:p>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FCC"/>
    <w:rsid w:val="00106F6E"/>
    <w:rsid w:val="00114CAA"/>
    <w:rsid w:val="001C2D22"/>
    <w:rsid w:val="001E390B"/>
    <w:rsid w:val="001F4047"/>
    <w:rsid w:val="00235D4C"/>
    <w:rsid w:val="0024162E"/>
    <w:rsid w:val="00356D00"/>
    <w:rsid w:val="003863A4"/>
    <w:rsid w:val="003B7115"/>
    <w:rsid w:val="00404FCC"/>
    <w:rsid w:val="00410436"/>
    <w:rsid w:val="00455352"/>
    <w:rsid w:val="00476E28"/>
    <w:rsid w:val="004A0F9F"/>
    <w:rsid w:val="005A6CB8"/>
    <w:rsid w:val="006915A5"/>
    <w:rsid w:val="00831BC5"/>
    <w:rsid w:val="0087455A"/>
    <w:rsid w:val="0092685B"/>
    <w:rsid w:val="00AB56E5"/>
    <w:rsid w:val="00AC4195"/>
    <w:rsid w:val="00B83FFA"/>
    <w:rsid w:val="00C14E67"/>
    <w:rsid w:val="00C40E04"/>
    <w:rsid w:val="00DB795B"/>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3583AE"/>
  <w15:docId w15:val="{CEEC5EE0-459A-486D-9BAC-D31AE29B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aliases w:val="List Paragraph (numbered (a)),List Paragraph1,WB Para,List Square,маркированный,Bullets,Akapit z listą BS,Абзац списка1,Lapis Bulleted List,List 100s,References,WB List Paragraph,Dot pt,F5 List Paragraph,No Spacing1,Indicator Text,L"/>
    <w:basedOn w:val="Normal"/>
    <w:link w:val="ListParagraphChar"/>
    <w:uiPriority w:val="34"/>
    <w:qFormat/>
    <w:rsid w:val="004A0F9F"/>
    <w:pPr>
      <w:ind w:left="720"/>
      <w:contextualSpacing/>
    </w:pPr>
    <w:rPr>
      <w:lang w:val="es-ES"/>
    </w:rPr>
  </w:style>
  <w:style w:type="paragraph" w:styleId="FootnoteText">
    <w:name w:val="footnote text"/>
    <w:aliases w:val="single space,Fußnote,Footnote,WB-Fußnotentext,WB-Fußnotentext Char Char,Fußnotentext Char,Footnote Text Char Char Char,Footnote Text Char Char,Geneva 9,Font: Geneva 9,Boston 10,f,fn,FOOTNOTES,Footnote Text Blue,otnote Text,A"/>
    <w:basedOn w:val="Normal"/>
    <w:link w:val="FootnoteTextChar"/>
    <w:uiPriority w:val="99"/>
    <w:unhideWhenUsed/>
    <w:rsid w:val="004A0F9F"/>
    <w:rPr>
      <w:sz w:val="20"/>
      <w:szCs w:val="20"/>
      <w:lang w:val="es-ES"/>
    </w:rPr>
  </w:style>
  <w:style w:type="character" w:customStyle="1" w:styleId="FootnoteTextChar">
    <w:name w:val="Footnote Text Char"/>
    <w:aliases w:val="single space Char,Fußnote Char,Footnote Char,WB-Fußnotentext Char,WB-Fußnotentext Char Char Char,Fußnotentext Char Char,Footnote Text Char Char Char Char,Footnote Text Char Char Char1,Geneva 9 Char,Font: Geneva 9 Char,Boston 10 Char"/>
    <w:basedOn w:val="DefaultParagraphFont"/>
    <w:link w:val="FootnoteText"/>
    <w:uiPriority w:val="99"/>
    <w:rsid w:val="004A0F9F"/>
    <w:rPr>
      <w:lang w:val="es-ES"/>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unhideWhenUsed/>
    <w:rsid w:val="004A0F9F"/>
    <w:rPr>
      <w:vertAlign w:val="superscript"/>
    </w:rPr>
  </w:style>
  <w:style w:type="character" w:customStyle="1" w:styleId="ListParagraphChar">
    <w:name w:val="List Paragraph Char"/>
    <w:aliases w:val="List Paragraph (numbered (a)) Char,List Paragraph1 Char,WB Para Char,List Square Char,маркированный Char,Bullets Char,Akapit z listą BS Char,Абзац списка1 Char,Lapis Bulleted List Char,List 100s Char,References Char,Dot pt Char"/>
    <w:basedOn w:val="DefaultParagraphFont"/>
    <w:link w:val="ListParagraph"/>
    <w:uiPriority w:val="34"/>
    <w:locked/>
    <w:rsid w:val="004A0F9F"/>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010%20ONU\plantillas\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e6e1f9e0-8f48-4721-871b-80b3d7694360">UNEP/OzL.Pro/ExCom/86/71</Document_x0020_Number>
    <Posted_x0020_after_x0020_IAP xmlns="4aeb65a0-cd8f-45aa-a04d-ad1384b86dfc">true</Posted_x0020_after_x0020_IA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95716-167E-4FE7-A73A-4249BF0F4D43}"/>
</file>

<file path=customXml/itemProps2.xml><?xml version="1.0" encoding="utf-8"?>
<ds:datastoreItem xmlns:ds="http://schemas.openxmlformats.org/officeDocument/2006/customXml" ds:itemID="{476B5359-4F92-4D44-BFA9-F6B5687B0B2B}"/>
</file>

<file path=customXml/itemProps3.xml><?xml version="1.0" encoding="utf-8"?>
<ds:datastoreItem xmlns:ds="http://schemas.openxmlformats.org/officeDocument/2006/customXml" ds:itemID="{C5C950F5-BA28-4C4E-AC58-03AEECE311BF}"/>
</file>

<file path=customXml/itemProps4.xml><?xml version="1.0" encoding="utf-8"?>
<ds:datastoreItem xmlns:ds="http://schemas.openxmlformats.org/officeDocument/2006/customXml" ds:itemID="{0B55059C-D6A7-4D27-AEF7-7EA2070D019D}"/>
</file>

<file path=docProps/app.xml><?xml version="1.0" encoding="utf-8"?>
<Properties xmlns="http://schemas.openxmlformats.org/officeDocument/2006/extended-properties" xmlns:vt="http://schemas.openxmlformats.org/officeDocument/2006/docPropsVTypes">
  <Template>S86-template</Template>
  <TotalTime>11</TotalTime>
  <Pages>9</Pages>
  <Words>3387</Words>
  <Characters>19311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Propuesta de proyecto: República de Moldova (la)</vt:lpstr>
    </vt:vector>
  </TitlesOfParts>
  <Company>UNMFS</Company>
  <LinksUpToDate>false</LinksUpToDate>
  <CharactersWithSpaces>22653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República de Moldova (la)</dc:title>
  <dc:creator>Alejandro Moreno-Ramos</dc:creator>
  <cp:lastModifiedBy>HB</cp:lastModifiedBy>
  <cp:revision>3</cp:revision>
  <cp:lastPrinted>2001-05-26T16:40:00Z</cp:lastPrinted>
  <dcterms:created xsi:type="dcterms:W3CDTF">2020-10-21T13:51:00Z</dcterms:created>
  <dcterms:modified xsi:type="dcterms:W3CDTF">2020-11-06T04:16:00Z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UNEP/OzL.Pro/ExCom/86/71</vt:lpwstr>
  </property>
  <property fmtid="{D5CDD505-2E9C-101B-9397-08002B2CF9AE}" pid="3" name="Revision date">
    <vt:lpwstr>10/19/2020</vt:lpwstr>
  </property>
  <property fmtid="{D5CDD505-2E9C-101B-9397-08002B2CF9AE}" pid="4" name="ContentTypeId">
    <vt:lpwstr>0x0101009701D9FFF1782646B282AA80F917E68F</vt:lpwstr>
  </property>
</Properties>
</file>