
<file path=[Content_Types].xml><?xml version="1.0" encoding="utf-8"?>
<Types xmlns="http://schemas.openxmlformats.org/package/2006/content-types">
  <Default Extension="bin" ContentType="application/vnd.ms-word.attachedToolbar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trPr>
          <w:trHeight w:val="720"/>
        </w:trPr>
        <w:tc>
          <w:tcPr>
            <w:tcW w:w="6494" w:type="dxa"/>
            <w:gridSpan w:val="2"/>
            <w:tcBorders>
              <w:bottom w:val="single" w:sz="18" w:space="0" w:color="auto"/>
            </w:tcBorders>
          </w:tcPr>
          <w:p w:rsidR="0087455A" w:rsidRDefault="0024162E">
            <w:pPr>
              <w:rPr>
                <w:rFonts w:ascii="Univers" w:hAnsi="Univers"/>
                <w:b/>
                <w:sz w:val="28"/>
                <w:szCs w:val="28"/>
                <w:lang w:val="es-MX"/>
              </w:rPr>
            </w:pPr>
            <w:r>
              <w:rPr>
                <w:rFonts w:ascii="Univers" w:hAnsi="Univers"/>
                <w:b/>
                <w:sz w:val="28"/>
                <w:szCs w:val="28"/>
                <w:lang w:val="es-MX"/>
              </w:rPr>
              <w:t>NACIONES</w:t>
            </w:r>
          </w:p>
          <w:p w:rsidR="0087455A" w:rsidRDefault="0024162E">
            <w:pPr>
              <w:rPr>
                <w:rFonts w:ascii="Univers" w:hAnsi="Univers"/>
                <w:b/>
                <w:sz w:val="28"/>
                <w:szCs w:val="28"/>
                <w:lang w:val="es-MX"/>
              </w:rPr>
            </w:pPr>
            <w:r>
              <w:rPr>
                <w:rFonts w:ascii="Univers" w:hAnsi="Univers"/>
                <w:b/>
                <w:sz w:val="28"/>
                <w:szCs w:val="28"/>
                <w:lang w:val="es-MX"/>
              </w:rPr>
              <w:t>UNIDAS</w:t>
            </w:r>
          </w:p>
        </w:tc>
        <w:tc>
          <w:tcPr>
            <w:tcW w:w="4590" w:type="dxa"/>
            <w:tcBorders>
              <w:bottom w:val="single" w:sz="18" w:space="0" w:color="auto"/>
            </w:tcBorders>
          </w:tcPr>
          <w:p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1C2D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87455A" w:rsidRDefault="0024162E">
            <w:pPr>
              <w:spacing w:before="120"/>
            </w:pPr>
            <w:r>
              <w:rPr>
                <w:noProof/>
                <w:lang w:val="en-CA" w:eastAsia="en-CA"/>
              </w:rPr>
              <w:drawing>
                <wp:anchor distT="0" distB="0" distL="114300" distR="114300" simplePos="0" relativeHeight="251660288" behindDoc="0" locked="0" layoutInCell="1" allowOverlap="1">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rsidR="0087455A" w:rsidRDefault="0087455A">
            <w:pPr>
              <w:spacing w:before="720"/>
              <w:ind w:left="158"/>
              <w:rPr>
                <w:lang w:val="es-ES"/>
              </w:rPr>
            </w:pPr>
          </w:p>
        </w:tc>
        <w:tc>
          <w:tcPr>
            <w:tcW w:w="4590" w:type="dxa"/>
            <w:tcBorders>
              <w:top w:val="nil"/>
              <w:left w:val="nil"/>
              <w:bottom w:val="single" w:sz="36" w:space="0" w:color="auto"/>
              <w:right w:val="nil"/>
            </w:tcBorders>
          </w:tcPr>
          <w:p w:rsidR="0087455A" w:rsidRDefault="0087455A">
            <w:pPr>
              <w:rPr>
                <w:lang w:val="es-ES"/>
              </w:rPr>
            </w:pPr>
          </w:p>
          <w:p w:rsidR="0087455A" w:rsidRDefault="0024162E">
            <w:pPr>
              <w:rPr>
                <w:lang w:val="es-ES"/>
              </w:rPr>
            </w:pPr>
            <w:r>
              <w:rPr>
                <w:lang w:val="es-ES"/>
              </w:rPr>
              <w:t>Distr.</w:t>
            </w:r>
          </w:p>
          <w:p w:rsidR="0087455A" w:rsidRDefault="0024162E">
            <w:pPr>
              <w:rPr>
                <w:lang w:val="es-ES"/>
              </w:rPr>
            </w:pPr>
            <w:r>
              <w:rPr>
                <w:lang w:val="es-ES"/>
              </w:rPr>
              <w:t>GENERAL</w:t>
            </w:r>
          </w:p>
          <w:p w:rsidR="0087455A" w:rsidRDefault="0087455A">
            <w:pPr>
              <w:rPr>
                <w:lang w:val="es-ES"/>
              </w:rPr>
            </w:pPr>
          </w:p>
          <w:p w:rsidR="0087455A" w:rsidRDefault="0024162E">
            <w:pPr>
              <w:rPr>
                <w:lang w:val="es-ES"/>
              </w:rPr>
            </w:pPr>
            <w:r>
              <w:fldChar w:fldCharType="begin"/>
            </w:r>
            <w:r>
              <w:rPr>
                <w:lang w:val="es-ES"/>
              </w:rPr>
              <w:instrText xml:space="preserve"> DOCPROPERTY "Document number"  \* MERGEFORMAT </w:instrText>
            </w:r>
            <w:r>
              <w:fldChar w:fldCharType="separate"/>
            </w:r>
            <w:r w:rsidR="007C0F5C">
              <w:rPr>
                <w:lang w:val="es-ES"/>
              </w:rPr>
              <w:t>UNEP/OzL.Pro/ExCom/84/39</w:t>
            </w:r>
            <w:r>
              <w:fldChar w:fldCharType="end"/>
            </w:r>
          </w:p>
          <w:p w:rsidR="0087455A" w:rsidRDefault="001C2D22" w:rsidP="00F10CD9">
            <w:pPr>
              <w:rPr>
                <w:caps/>
                <w:lang w:val="es-ES"/>
              </w:rPr>
            </w:pPr>
            <w:r>
              <w:rPr>
                <w:caps/>
                <w:lang w:val="es-ES"/>
              </w:rPr>
              <w:t>2</w:t>
            </w:r>
            <w:r w:rsidR="007C0F5C">
              <w:rPr>
                <w:caps/>
                <w:lang w:val="es-ES"/>
              </w:rPr>
              <w:t>1</w:t>
            </w:r>
            <w:r w:rsidR="00114CAA">
              <w:rPr>
                <w:caps/>
                <w:lang w:val="es-ES"/>
              </w:rPr>
              <w:t xml:space="preserve"> </w:t>
            </w:r>
            <w:r w:rsidR="007C0F5C">
              <w:rPr>
                <w:lang w:val="es-ES"/>
              </w:rPr>
              <w:t>de noviembre de</w:t>
            </w:r>
            <w:r w:rsidR="00114CAA">
              <w:rPr>
                <w:lang w:val="es-ES"/>
              </w:rPr>
              <w:t xml:space="preserve"> </w:t>
            </w:r>
            <w:r>
              <w:rPr>
                <w:caps/>
                <w:lang w:val="es-ES"/>
              </w:rPr>
              <w:t>2019</w:t>
            </w:r>
          </w:p>
          <w:p w:rsidR="00114CAA" w:rsidRDefault="00114CAA">
            <w:pPr>
              <w:rPr>
                <w:caps/>
                <w:lang w:val="es-ES"/>
              </w:rPr>
            </w:pPr>
          </w:p>
          <w:p w:rsidR="0087455A" w:rsidRDefault="0024162E">
            <w:pPr>
              <w:rPr>
                <w:lang w:val="es-MX"/>
              </w:rPr>
            </w:pPr>
            <w:r>
              <w:rPr>
                <w:lang w:val="es-MX"/>
              </w:rPr>
              <w:t xml:space="preserve">ESPAÑOL </w:t>
            </w:r>
          </w:p>
          <w:p w:rsidR="0087455A" w:rsidRDefault="0024162E">
            <w:pPr>
              <w:rPr>
                <w:lang w:val="es-ES"/>
              </w:rPr>
            </w:pPr>
            <w:r>
              <w:rPr>
                <w:lang w:val="es-ES"/>
              </w:rPr>
              <w:t xml:space="preserve">ORIGINAL: </w:t>
            </w:r>
            <w:r>
              <w:rPr>
                <w:lang w:val="es-MX"/>
              </w:rPr>
              <w:t>INGLÉS</w:t>
            </w:r>
          </w:p>
        </w:tc>
      </w:tr>
    </w:tbl>
    <w:p w:rsidR="0087455A" w:rsidRDefault="0087455A">
      <w:pPr>
        <w:jc w:val="left"/>
        <w:rPr>
          <w:lang w:val="es-MX"/>
        </w:rPr>
      </w:pPr>
    </w:p>
    <w:p w:rsidR="0087455A" w:rsidRDefault="0024162E">
      <w:pPr>
        <w:jc w:val="left"/>
        <w:rPr>
          <w:lang w:val="es-MX"/>
        </w:rPr>
      </w:pPr>
      <w:r>
        <w:rPr>
          <w:lang w:val="es-MX"/>
        </w:rPr>
        <w:t>COMITÉ EJECUTIVO DEL FONDO MULTILATERAL</w:t>
      </w:r>
      <w:r>
        <w:rPr>
          <w:lang w:val="es-MX"/>
        </w:rPr>
        <w:br/>
        <w:t xml:space="preserve">  PARA LA APLICACIÓN DEL</w:t>
      </w:r>
      <w:r>
        <w:rPr>
          <w:lang w:val="es-MX"/>
        </w:rPr>
        <w:br/>
        <w:t xml:space="preserve">  PROTOCOLO DE MONTREAL</w:t>
      </w:r>
    </w:p>
    <w:p w:rsidR="00106F6E" w:rsidRDefault="00106F6E" w:rsidP="001F4047">
      <w:pPr>
        <w:jc w:val="left"/>
        <w:rPr>
          <w:lang w:val="es-ES"/>
        </w:rPr>
      </w:pPr>
      <w:r>
        <w:rPr>
          <w:lang w:val="es-ES"/>
        </w:rPr>
        <w:t xml:space="preserve">Octogésima </w:t>
      </w:r>
      <w:r w:rsidR="003863A4">
        <w:rPr>
          <w:lang w:val="es-ES"/>
        </w:rPr>
        <w:t>cuarta Reunión</w:t>
      </w:r>
      <w:r w:rsidR="003863A4">
        <w:rPr>
          <w:lang w:val="es-ES"/>
        </w:rPr>
        <w:br/>
        <w:t xml:space="preserve">Montreal, 16 </w:t>
      </w:r>
      <w:r>
        <w:rPr>
          <w:lang w:val="es-ES"/>
        </w:rPr>
        <w:t xml:space="preserve">– </w:t>
      </w:r>
      <w:r w:rsidR="003863A4">
        <w:rPr>
          <w:lang w:val="es-ES"/>
        </w:rPr>
        <w:t>20</w:t>
      </w:r>
      <w:r>
        <w:rPr>
          <w:lang w:val="es-ES"/>
        </w:rPr>
        <w:t xml:space="preserve"> de </w:t>
      </w:r>
      <w:r w:rsidR="001F4047">
        <w:rPr>
          <w:lang w:val="es-ES"/>
        </w:rPr>
        <w:t>diciembre</w:t>
      </w:r>
      <w:r w:rsidR="001C2D22">
        <w:rPr>
          <w:lang w:val="es-ES"/>
        </w:rPr>
        <w:t xml:space="preserve"> de 2019</w:t>
      </w:r>
    </w:p>
    <w:p w:rsidR="007C0F5C" w:rsidRPr="00C10676" w:rsidRDefault="007C0F5C" w:rsidP="007C0F5C">
      <w:pPr>
        <w:jc w:val="center"/>
        <w:rPr>
          <w:b/>
          <w:lang w:val="es-419"/>
        </w:rPr>
      </w:pPr>
    </w:p>
    <w:p w:rsidR="007C0F5C" w:rsidRPr="00C10676" w:rsidRDefault="007C0F5C" w:rsidP="007C0F5C">
      <w:pPr>
        <w:jc w:val="center"/>
        <w:rPr>
          <w:b/>
          <w:lang w:val="es-419"/>
        </w:rPr>
      </w:pPr>
    </w:p>
    <w:p w:rsidR="007C0F5C" w:rsidRPr="00C10676" w:rsidRDefault="007C0F5C" w:rsidP="007C0F5C">
      <w:pPr>
        <w:jc w:val="center"/>
        <w:rPr>
          <w:b/>
          <w:lang w:val="es-419"/>
        </w:rPr>
      </w:pPr>
    </w:p>
    <w:p w:rsidR="007C0F5C" w:rsidRPr="00C10676" w:rsidRDefault="007C0F5C" w:rsidP="007C0F5C">
      <w:pPr>
        <w:jc w:val="center"/>
        <w:rPr>
          <w:b/>
          <w:lang w:val="es-419"/>
        </w:rPr>
      </w:pPr>
      <w:r w:rsidRPr="005972E0">
        <w:rPr>
          <w:b/>
          <w:lang w:val="es-ES"/>
        </w:rPr>
        <w:t>PROPUESTA DE PROYECTO: ARGENTINA</w:t>
      </w:r>
    </w:p>
    <w:p w:rsidR="007C0F5C" w:rsidRPr="00C10676" w:rsidRDefault="007C0F5C" w:rsidP="007C0F5C">
      <w:pPr>
        <w:rPr>
          <w:lang w:val="es-419"/>
        </w:rPr>
      </w:pPr>
    </w:p>
    <w:p w:rsidR="007C0F5C" w:rsidRPr="00C10676" w:rsidRDefault="007C0F5C" w:rsidP="007C0F5C">
      <w:pPr>
        <w:rPr>
          <w:lang w:val="es-419"/>
        </w:rPr>
      </w:pPr>
    </w:p>
    <w:p w:rsidR="007C0F5C" w:rsidRPr="00C10676" w:rsidRDefault="007C0F5C" w:rsidP="007C0F5C">
      <w:pPr>
        <w:ind w:firstLine="720"/>
        <w:rPr>
          <w:lang w:val="es-419"/>
        </w:rPr>
      </w:pPr>
      <w:r w:rsidRPr="00C10676">
        <w:rPr>
          <w:lang w:val="es-419"/>
        </w:rPr>
        <w:t xml:space="preserve">Este documento consta de las observaciones y recomendaciones de la Secretaría del Fondo acerca de la siguiente propuesta de proyecto: </w:t>
      </w:r>
    </w:p>
    <w:p w:rsidR="007C0F5C" w:rsidRPr="00C10676" w:rsidRDefault="007C0F5C" w:rsidP="007C0F5C">
      <w:pPr>
        <w:rPr>
          <w:lang w:val="es-419"/>
        </w:rPr>
      </w:pPr>
    </w:p>
    <w:p w:rsidR="007C0F5C" w:rsidRPr="00FE3307" w:rsidRDefault="007C0F5C" w:rsidP="007C0F5C">
      <w:pPr>
        <w:rPr>
          <w:u w:val="single"/>
        </w:rPr>
      </w:pPr>
      <w:r>
        <w:rPr>
          <w:u w:val="single"/>
        </w:rPr>
        <w:t>Eliminación</w:t>
      </w:r>
    </w:p>
    <w:p w:rsidR="007C0F5C" w:rsidRPr="00FE3307" w:rsidRDefault="007C0F5C" w:rsidP="007C0F5C">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gridCol w:w="2546"/>
      </w:tblGrid>
      <w:tr w:rsidR="007C0F5C" w:rsidRPr="00FE3307" w:rsidTr="007C0F5C">
        <w:tc>
          <w:tcPr>
            <w:tcW w:w="6804" w:type="dxa"/>
          </w:tcPr>
          <w:p w:rsidR="007C0F5C" w:rsidRPr="00FE3307" w:rsidRDefault="007C0F5C" w:rsidP="007C0F5C">
            <w:pPr>
              <w:pStyle w:val="ListParagraph"/>
              <w:numPr>
                <w:ilvl w:val="0"/>
                <w:numId w:val="21"/>
              </w:numPr>
              <w:ind w:hanging="830"/>
            </w:pPr>
            <w:r>
              <w:t>Plan de gestión de eliminación de HCFC (etapa II, segundo tramo)</w:t>
            </w:r>
          </w:p>
        </w:tc>
        <w:tc>
          <w:tcPr>
            <w:tcW w:w="2546" w:type="dxa"/>
          </w:tcPr>
          <w:p w:rsidR="007C0F5C" w:rsidRPr="00FE3307" w:rsidRDefault="007C0F5C" w:rsidP="007C0F5C">
            <w:pPr>
              <w:jc w:val="right"/>
            </w:pPr>
            <w:r>
              <w:t>ONUDI/Italia</w:t>
            </w:r>
          </w:p>
        </w:tc>
      </w:tr>
    </w:tbl>
    <w:p w:rsidR="007C0F5C" w:rsidRPr="00FE3307" w:rsidRDefault="007C0F5C" w:rsidP="007C0F5C">
      <w:pPr>
        <w:rPr>
          <w:lang w:val="en-CA"/>
        </w:rPr>
      </w:pPr>
    </w:p>
    <w:p w:rsidR="007C0F5C" w:rsidRPr="00FE3307" w:rsidRDefault="007C0F5C" w:rsidP="007C0F5C">
      <w:pPr>
        <w:rPr>
          <w:lang w:val="en-CA"/>
        </w:rPr>
      </w:pPr>
    </w:p>
    <w:p w:rsidR="007C0F5C" w:rsidRPr="00FE3307" w:rsidRDefault="007C0F5C" w:rsidP="007C0F5C">
      <w:pPr>
        <w:rPr>
          <w:lang w:val="en-CA"/>
        </w:rPr>
      </w:pPr>
    </w:p>
    <w:p w:rsidR="007C0F5C" w:rsidRPr="00FE3307" w:rsidRDefault="007C0F5C" w:rsidP="007C0F5C">
      <w:r>
        <w:br w:type="page"/>
      </w:r>
    </w:p>
    <w:p w:rsidR="007C0F5C" w:rsidRPr="005972E0" w:rsidRDefault="007C0F5C" w:rsidP="007C0F5C">
      <w:pPr>
        <w:jc w:val="center"/>
        <w:rPr>
          <w:b/>
          <w:sz w:val="20"/>
          <w:szCs w:val="20"/>
          <w:lang w:val="es-419"/>
        </w:rPr>
      </w:pPr>
      <w:r w:rsidRPr="005972E0">
        <w:rPr>
          <w:b/>
          <w:sz w:val="20"/>
          <w:szCs w:val="20"/>
          <w:lang w:val="es-419"/>
        </w:rPr>
        <w:lastRenderedPageBreak/>
        <w:t>HOJA DE EVALUACIÓN DE PROYECTO – PROYECTOS PLURIANUALES</w:t>
      </w:r>
      <w:bookmarkStart w:id="0" w:name="_GoBack"/>
      <w:bookmarkEnd w:id="0"/>
    </w:p>
    <w:p w:rsidR="007C0F5C" w:rsidRPr="005972E0" w:rsidRDefault="007C0F5C" w:rsidP="007C0F5C">
      <w:pPr>
        <w:pStyle w:val="StyleHeader4Para4Left0Firstline0"/>
        <w:numPr>
          <w:ilvl w:val="0"/>
          <w:numId w:val="0"/>
        </w:numPr>
        <w:spacing w:after="80"/>
        <w:jc w:val="center"/>
        <w:rPr>
          <w:sz w:val="18"/>
          <w:szCs w:val="20"/>
        </w:rPr>
      </w:pPr>
      <w:r w:rsidRPr="005972E0">
        <w:rPr>
          <w:b/>
          <w:sz w:val="22"/>
          <w:szCs w:val="20"/>
        </w:rPr>
        <w:t xml:space="preserve">Argentina </w:t>
      </w:r>
    </w:p>
    <w:tbl>
      <w:tblPr>
        <w:tblStyle w:val="TableGrid"/>
        <w:tblW w:w="10743" w:type="dxa"/>
        <w:tblInd w:w="-74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432"/>
        <w:gridCol w:w="2260"/>
        <w:gridCol w:w="2541"/>
        <w:gridCol w:w="2510"/>
      </w:tblGrid>
      <w:tr w:rsidR="007C0F5C" w:rsidRPr="005972E0" w:rsidTr="005972E0">
        <w:trPr>
          <w:trHeight w:val="240"/>
        </w:trPr>
        <w:tc>
          <w:tcPr>
            <w:tcW w:w="3432" w:type="dxa"/>
            <w:shd w:val="clear" w:color="auto" w:fill="auto"/>
          </w:tcPr>
          <w:p w:rsidR="007C0F5C" w:rsidRPr="005972E0" w:rsidRDefault="007C0F5C" w:rsidP="007C0F5C">
            <w:pPr>
              <w:pStyle w:val="StyleHeader4Para4Left0Firstline0"/>
              <w:numPr>
                <w:ilvl w:val="0"/>
                <w:numId w:val="0"/>
              </w:numPr>
              <w:spacing w:after="80"/>
              <w:jc w:val="left"/>
              <w:rPr>
                <w:b/>
                <w:sz w:val="16"/>
                <w:szCs w:val="20"/>
              </w:rPr>
            </w:pPr>
            <w:r w:rsidRPr="005972E0">
              <w:rPr>
                <w:b/>
                <w:sz w:val="16"/>
                <w:szCs w:val="20"/>
              </w:rPr>
              <w:t>I) TÍTULO DEL PROYECTO</w:t>
            </w:r>
          </w:p>
        </w:tc>
        <w:tc>
          <w:tcPr>
            <w:tcW w:w="2260" w:type="dxa"/>
            <w:shd w:val="clear" w:color="auto" w:fill="auto"/>
          </w:tcPr>
          <w:p w:rsidR="007C0F5C" w:rsidRPr="005972E0" w:rsidRDefault="007C0F5C" w:rsidP="007C0F5C">
            <w:pPr>
              <w:pStyle w:val="StyleHeader4Para4Left0Firstline0"/>
              <w:numPr>
                <w:ilvl w:val="0"/>
                <w:numId w:val="0"/>
              </w:numPr>
              <w:spacing w:after="80"/>
              <w:jc w:val="center"/>
              <w:rPr>
                <w:b/>
                <w:sz w:val="16"/>
                <w:szCs w:val="20"/>
              </w:rPr>
            </w:pPr>
            <w:r w:rsidRPr="005972E0">
              <w:rPr>
                <w:b/>
                <w:sz w:val="16"/>
                <w:szCs w:val="20"/>
              </w:rPr>
              <w:t>ORGANISMO</w:t>
            </w:r>
          </w:p>
        </w:tc>
        <w:tc>
          <w:tcPr>
            <w:tcW w:w="2541" w:type="dxa"/>
            <w:shd w:val="clear" w:color="auto" w:fill="auto"/>
          </w:tcPr>
          <w:p w:rsidR="007C0F5C" w:rsidRPr="005972E0" w:rsidRDefault="007C0F5C" w:rsidP="007C0F5C">
            <w:pPr>
              <w:pStyle w:val="StyleHeader4Para4Left0Firstline0"/>
              <w:numPr>
                <w:ilvl w:val="0"/>
                <w:numId w:val="0"/>
              </w:numPr>
              <w:spacing w:after="80"/>
              <w:jc w:val="center"/>
              <w:rPr>
                <w:b/>
                <w:sz w:val="16"/>
                <w:szCs w:val="20"/>
              </w:rPr>
            </w:pPr>
            <w:r w:rsidRPr="005972E0">
              <w:rPr>
                <w:b/>
                <w:sz w:val="14"/>
                <w:szCs w:val="18"/>
              </w:rPr>
              <w:t>APROBADO EN LA REUNIÓN</w:t>
            </w:r>
          </w:p>
        </w:tc>
        <w:tc>
          <w:tcPr>
            <w:tcW w:w="2510" w:type="dxa"/>
            <w:shd w:val="clear" w:color="auto" w:fill="auto"/>
          </w:tcPr>
          <w:p w:rsidR="007C0F5C" w:rsidRPr="005972E0" w:rsidRDefault="007C0F5C" w:rsidP="007C0F5C">
            <w:pPr>
              <w:pStyle w:val="StyleHeader4Para4Left0Firstline0"/>
              <w:numPr>
                <w:ilvl w:val="0"/>
                <w:numId w:val="0"/>
              </w:numPr>
              <w:spacing w:after="80"/>
              <w:jc w:val="center"/>
              <w:rPr>
                <w:b/>
                <w:sz w:val="16"/>
                <w:szCs w:val="20"/>
              </w:rPr>
            </w:pPr>
            <w:r w:rsidRPr="005972E0">
              <w:rPr>
                <w:b/>
                <w:sz w:val="16"/>
                <w:szCs w:val="20"/>
              </w:rPr>
              <w:t>MEDIDA DE CONTROL</w:t>
            </w:r>
          </w:p>
        </w:tc>
      </w:tr>
      <w:tr w:rsidR="007C0F5C" w:rsidRPr="005972E0" w:rsidTr="005972E0">
        <w:trPr>
          <w:trHeight w:val="240"/>
        </w:trPr>
        <w:tc>
          <w:tcPr>
            <w:tcW w:w="3432" w:type="dxa"/>
            <w:shd w:val="clear" w:color="auto" w:fill="auto"/>
          </w:tcPr>
          <w:p w:rsidR="007C0F5C" w:rsidRPr="005972E0" w:rsidRDefault="007C0F5C" w:rsidP="007C0F5C">
            <w:pPr>
              <w:pStyle w:val="StyleHeader4Para4Left0Firstline0"/>
              <w:numPr>
                <w:ilvl w:val="0"/>
                <w:numId w:val="0"/>
              </w:numPr>
              <w:spacing w:after="80"/>
              <w:jc w:val="center"/>
              <w:rPr>
                <w:sz w:val="16"/>
                <w:szCs w:val="20"/>
                <w:lang w:val="es-419"/>
              </w:rPr>
            </w:pPr>
            <w:r w:rsidRPr="005972E0">
              <w:rPr>
                <w:sz w:val="16"/>
                <w:szCs w:val="20"/>
                <w:lang w:val="es-419"/>
              </w:rPr>
              <w:t>Plan de gestión de eliminación de HCFC (Etapa II)</w:t>
            </w:r>
          </w:p>
        </w:tc>
        <w:tc>
          <w:tcPr>
            <w:tcW w:w="2260" w:type="dxa"/>
            <w:shd w:val="clear" w:color="auto" w:fill="auto"/>
          </w:tcPr>
          <w:p w:rsidR="007C0F5C" w:rsidRPr="005972E0" w:rsidRDefault="007C0F5C" w:rsidP="007C0F5C">
            <w:pPr>
              <w:pStyle w:val="StyleHeader4Para4Left0Firstline0"/>
              <w:numPr>
                <w:ilvl w:val="0"/>
                <w:numId w:val="0"/>
              </w:numPr>
              <w:spacing w:after="80"/>
              <w:jc w:val="center"/>
              <w:rPr>
                <w:sz w:val="16"/>
                <w:szCs w:val="20"/>
              </w:rPr>
            </w:pPr>
            <w:r w:rsidRPr="005972E0">
              <w:rPr>
                <w:sz w:val="16"/>
                <w:szCs w:val="20"/>
              </w:rPr>
              <w:t>ONUDI (Principal), Italia</w:t>
            </w:r>
          </w:p>
        </w:tc>
        <w:tc>
          <w:tcPr>
            <w:tcW w:w="2541" w:type="dxa"/>
            <w:shd w:val="clear" w:color="auto" w:fill="auto"/>
          </w:tcPr>
          <w:p w:rsidR="007C0F5C" w:rsidRPr="005972E0" w:rsidRDefault="007C0F5C" w:rsidP="007C0F5C">
            <w:pPr>
              <w:pStyle w:val="StyleHeader4Para4Left0Firstline0"/>
              <w:numPr>
                <w:ilvl w:val="0"/>
                <w:numId w:val="0"/>
              </w:numPr>
              <w:spacing w:after="80"/>
              <w:jc w:val="center"/>
              <w:rPr>
                <w:sz w:val="16"/>
                <w:szCs w:val="20"/>
              </w:rPr>
            </w:pPr>
            <w:r w:rsidRPr="005972E0">
              <w:rPr>
                <w:sz w:val="16"/>
                <w:szCs w:val="20"/>
              </w:rPr>
              <w:t>79</w:t>
            </w:r>
            <w:r w:rsidRPr="005972E0">
              <w:rPr>
                <w:sz w:val="16"/>
                <w:szCs w:val="20"/>
                <w:vertAlign w:val="superscript"/>
              </w:rPr>
              <w:t>a</w:t>
            </w:r>
          </w:p>
        </w:tc>
        <w:tc>
          <w:tcPr>
            <w:tcW w:w="2510" w:type="dxa"/>
            <w:shd w:val="clear" w:color="auto" w:fill="auto"/>
          </w:tcPr>
          <w:p w:rsidR="007C0F5C" w:rsidRPr="005972E0" w:rsidRDefault="007C0F5C" w:rsidP="007C0F5C">
            <w:pPr>
              <w:pStyle w:val="StyleHeader4Para4Left0Firstline0"/>
              <w:numPr>
                <w:ilvl w:val="0"/>
                <w:numId w:val="0"/>
              </w:numPr>
              <w:spacing w:after="80"/>
              <w:jc w:val="center"/>
              <w:rPr>
                <w:sz w:val="16"/>
                <w:szCs w:val="20"/>
              </w:rPr>
            </w:pPr>
            <w:r w:rsidRPr="005972E0">
              <w:rPr>
                <w:sz w:val="16"/>
                <w:szCs w:val="20"/>
              </w:rPr>
              <w:t>50% para 2022</w:t>
            </w:r>
          </w:p>
        </w:tc>
      </w:tr>
    </w:tbl>
    <w:p w:rsidR="007C0F5C" w:rsidRPr="005972E0" w:rsidRDefault="007C0F5C" w:rsidP="005972E0">
      <w:pPr>
        <w:pStyle w:val="StyleHeader4Para4Left0Firstline0"/>
        <w:numPr>
          <w:ilvl w:val="0"/>
          <w:numId w:val="0"/>
        </w:numPr>
        <w:spacing w:after="0" w:line="60" w:lineRule="exact"/>
        <w:jc w:val="center"/>
        <w:rPr>
          <w:sz w:val="14"/>
          <w:szCs w:val="14"/>
        </w:rPr>
      </w:pPr>
    </w:p>
    <w:tbl>
      <w:tblPr>
        <w:tblStyle w:val="TableGrid"/>
        <w:tblW w:w="10758" w:type="dxa"/>
        <w:tblInd w:w="-74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707"/>
        <w:gridCol w:w="2555"/>
        <w:gridCol w:w="2496"/>
      </w:tblGrid>
      <w:tr w:rsidR="007C0F5C" w:rsidRPr="005972E0" w:rsidTr="005972E0">
        <w:trPr>
          <w:trHeight w:val="281"/>
        </w:trPr>
        <w:tc>
          <w:tcPr>
            <w:tcW w:w="5707" w:type="dxa"/>
            <w:shd w:val="clear" w:color="auto" w:fill="auto"/>
          </w:tcPr>
          <w:p w:rsidR="007C0F5C" w:rsidRPr="005972E0" w:rsidRDefault="007C0F5C" w:rsidP="007C0F5C">
            <w:pPr>
              <w:pStyle w:val="StyleHeader4Para4Left0Firstline0"/>
              <w:numPr>
                <w:ilvl w:val="0"/>
                <w:numId w:val="0"/>
              </w:numPr>
              <w:spacing w:after="60"/>
              <w:jc w:val="left"/>
              <w:rPr>
                <w:b/>
                <w:sz w:val="16"/>
                <w:szCs w:val="20"/>
                <w:lang w:val="es-419"/>
              </w:rPr>
            </w:pPr>
            <w:r w:rsidRPr="005972E0">
              <w:rPr>
                <w:b/>
                <w:sz w:val="16"/>
                <w:szCs w:val="20"/>
                <w:lang w:val="es-419"/>
              </w:rPr>
              <w:t>II) DATOS MÁS RECIENTES CON ARREGLO AL ARTÍCULO 7 (Anexo C, Grupo l)</w:t>
            </w:r>
          </w:p>
        </w:tc>
        <w:tc>
          <w:tcPr>
            <w:tcW w:w="2555" w:type="dxa"/>
            <w:shd w:val="clear" w:color="auto" w:fill="auto"/>
          </w:tcPr>
          <w:p w:rsidR="007C0F5C" w:rsidRPr="005972E0" w:rsidRDefault="007C0F5C" w:rsidP="007C0F5C">
            <w:pPr>
              <w:pStyle w:val="StyleHeader4Para4Left0Firstline0"/>
              <w:numPr>
                <w:ilvl w:val="0"/>
                <w:numId w:val="0"/>
              </w:numPr>
              <w:spacing w:after="60"/>
              <w:jc w:val="center"/>
              <w:rPr>
                <w:sz w:val="16"/>
                <w:szCs w:val="20"/>
              </w:rPr>
            </w:pPr>
            <w:r w:rsidRPr="005972E0">
              <w:rPr>
                <w:sz w:val="16"/>
                <w:szCs w:val="20"/>
              </w:rPr>
              <w:t>Año: 2018</w:t>
            </w:r>
          </w:p>
        </w:tc>
        <w:tc>
          <w:tcPr>
            <w:tcW w:w="2496" w:type="dxa"/>
            <w:shd w:val="clear" w:color="auto" w:fill="auto"/>
          </w:tcPr>
          <w:p w:rsidR="007C0F5C" w:rsidRPr="005972E0" w:rsidRDefault="007C0F5C" w:rsidP="007C0F5C">
            <w:pPr>
              <w:pStyle w:val="StyleHeader4Para4Left0Firstline0"/>
              <w:numPr>
                <w:ilvl w:val="0"/>
                <w:numId w:val="0"/>
              </w:numPr>
              <w:spacing w:after="60"/>
              <w:jc w:val="right"/>
              <w:rPr>
                <w:sz w:val="16"/>
                <w:szCs w:val="20"/>
              </w:rPr>
            </w:pPr>
            <w:r w:rsidRPr="005972E0">
              <w:rPr>
                <w:sz w:val="16"/>
                <w:szCs w:val="20"/>
              </w:rPr>
              <w:t>187,79 (toneladas PAO)</w:t>
            </w:r>
          </w:p>
        </w:tc>
      </w:tr>
    </w:tbl>
    <w:tbl>
      <w:tblPr>
        <w:tblStyle w:val="TableGrid"/>
        <w:tblpPr w:leftFromText="180" w:rightFromText="180" w:vertAnchor="text" w:horzAnchor="margin" w:tblpX="-652" w:tblpY="260"/>
        <w:tblW w:w="1083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57" w:type="dxa"/>
        </w:tblCellMar>
        <w:tblLook w:val="04A0" w:firstRow="1" w:lastRow="0" w:firstColumn="1" w:lastColumn="0" w:noHBand="0" w:noVBand="1"/>
      </w:tblPr>
      <w:tblGrid>
        <w:gridCol w:w="2042"/>
        <w:gridCol w:w="850"/>
        <w:gridCol w:w="993"/>
        <w:gridCol w:w="1290"/>
        <w:gridCol w:w="694"/>
        <w:gridCol w:w="992"/>
        <w:gridCol w:w="709"/>
        <w:gridCol w:w="428"/>
        <w:gridCol w:w="10"/>
        <w:gridCol w:w="719"/>
        <w:gridCol w:w="709"/>
        <w:gridCol w:w="1394"/>
      </w:tblGrid>
      <w:tr w:rsidR="007C0F5C" w:rsidRPr="005972E0" w:rsidTr="005972E0">
        <w:trPr>
          <w:trHeight w:val="250"/>
        </w:trPr>
        <w:tc>
          <w:tcPr>
            <w:tcW w:w="8727" w:type="dxa"/>
            <w:gridSpan w:val="10"/>
            <w:shd w:val="clear" w:color="auto" w:fill="auto"/>
          </w:tcPr>
          <w:p w:rsidR="007C0F5C" w:rsidRPr="005972E0" w:rsidRDefault="007C0F5C" w:rsidP="005972E0">
            <w:pPr>
              <w:pStyle w:val="StyleHeader4Para4Left0Firstline0"/>
              <w:numPr>
                <w:ilvl w:val="0"/>
                <w:numId w:val="0"/>
              </w:numPr>
              <w:spacing w:after="60"/>
              <w:jc w:val="left"/>
              <w:rPr>
                <w:b/>
                <w:sz w:val="16"/>
                <w:szCs w:val="20"/>
                <w:lang w:val="es-419"/>
              </w:rPr>
            </w:pPr>
            <w:r w:rsidRPr="005972E0">
              <w:rPr>
                <w:b/>
                <w:sz w:val="16"/>
                <w:szCs w:val="20"/>
                <w:lang w:val="es-419"/>
              </w:rPr>
              <w:t>III) DATOS SECTORIALES DEL PROGRAMA DE PAÍS MÁS RECIENTES (toneladas PAO)</w:t>
            </w:r>
          </w:p>
        </w:tc>
        <w:tc>
          <w:tcPr>
            <w:tcW w:w="2103" w:type="dxa"/>
            <w:gridSpan w:val="2"/>
            <w:shd w:val="clear" w:color="auto" w:fill="auto"/>
          </w:tcPr>
          <w:p w:rsidR="007C0F5C" w:rsidRPr="005972E0" w:rsidRDefault="007C0F5C" w:rsidP="005972E0">
            <w:pPr>
              <w:pStyle w:val="StyleHeader4Para4Left0Firstline0"/>
              <w:numPr>
                <w:ilvl w:val="0"/>
                <w:numId w:val="0"/>
              </w:numPr>
              <w:spacing w:after="60"/>
              <w:jc w:val="right"/>
              <w:rPr>
                <w:b/>
                <w:sz w:val="16"/>
                <w:szCs w:val="20"/>
              </w:rPr>
            </w:pPr>
            <w:r w:rsidRPr="005972E0">
              <w:rPr>
                <w:b/>
                <w:sz w:val="16"/>
                <w:szCs w:val="20"/>
              </w:rPr>
              <w:t>Año: 2018</w:t>
            </w:r>
          </w:p>
        </w:tc>
      </w:tr>
      <w:tr w:rsidR="007C0F5C" w:rsidRPr="005972E0" w:rsidTr="005972E0">
        <w:trPr>
          <w:trHeight w:val="250"/>
        </w:trPr>
        <w:tc>
          <w:tcPr>
            <w:tcW w:w="2042" w:type="dxa"/>
            <w:shd w:val="clear" w:color="auto" w:fill="auto"/>
          </w:tcPr>
          <w:p w:rsidR="007C0F5C" w:rsidRPr="005972E0" w:rsidRDefault="007C0F5C" w:rsidP="005972E0">
            <w:pPr>
              <w:pStyle w:val="StyleHeader4Para4Left0Firstline0"/>
              <w:numPr>
                <w:ilvl w:val="0"/>
                <w:numId w:val="0"/>
              </w:numPr>
              <w:spacing w:after="60"/>
              <w:jc w:val="center"/>
              <w:rPr>
                <w:sz w:val="16"/>
                <w:szCs w:val="20"/>
              </w:rPr>
            </w:pPr>
            <w:r w:rsidRPr="005972E0">
              <w:rPr>
                <w:sz w:val="16"/>
                <w:szCs w:val="20"/>
              </w:rPr>
              <w:t>Sustancia química</w:t>
            </w:r>
          </w:p>
        </w:tc>
        <w:tc>
          <w:tcPr>
            <w:tcW w:w="850" w:type="dxa"/>
            <w:shd w:val="clear" w:color="auto" w:fill="auto"/>
          </w:tcPr>
          <w:p w:rsidR="007C0F5C" w:rsidRPr="005972E0" w:rsidRDefault="007C0F5C" w:rsidP="005972E0">
            <w:pPr>
              <w:pStyle w:val="StyleHeader4Para4Left0Firstline0"/>
              <w:numPr>
                <w:ilvl w:val="0"/>
                <w:numId w:val="0"/>
              </w:numPr>
              <w:spacing w:after="60"/>
              <w:jc w:val="center"/>
              <w:rPr>
                <w:sz w:val="16"/>
                <w:szCs w:val="20"/>
              </w:rPr>
            </w:pPr>
            <w:r w:rsidRPr="005972E0">
              <w:rPr>
                <w:sz w:val="16"/>
                <w:szCs w:val="20"/>
              </w:rPr>
              <w:t>Aerosoles</w:t>
            </w:r>
          </w:p>
        </w:tc>
        <w:tc>
          <w:tcPr>
            <w:tcW w:w="993" w:type="dxa"/>
            <w:shd w:val="clear" w:color="auto" w:fill="auto"/>
          </w:tcPr>
          <w:p w:rsidR="007C0F5C" w:rsidRPr="005972E0" w:rsidRDefault="007C0F5C" w:rsidP="005972E0">
            <w:pPr>
              <w:pStyle w:val="StyleHeader4Para4Left0Firstline0"/>
              <w:numPr>
                <w:ilvl w:val="0"/>
                <w:numId w:val="0"/>
              </w:numPr>
              <w:spacing w:after="60"/>
              <w:jc w:val="center"/>
              <w:rPr>
                <w:sz w:val="16"/>
                <w:szCs w:val="20"/>
              </w:rPr>
            </w:pPr>
            <w:r w:rsidRPr="005972E0">
              <w:rPr>
                <w:sz w:val="16"/>
                <w:szCs w:val="20"/>
              </w:rPr>
              <w:t>Espumas</w:t>
            </w:r>
          </w:p>
        </w:tc>
        <w:tc>
          <w:tcPr>
            <w:tcW w:w="1290" w:type="dxa"/>
            <w:shd w:val="clear" w:color="auto" w:fill="auto"/>
          </w:tcPr>
          <w:p w:rsidR="007C0F5C" w:rsidRPr="005972E0" w:rsidRDefault="007C0F5C" w:rsidP="005972E0">
            <w:pPr>
              <w:pStyle w:val="StyleHeader4Para4Left0Firstline0"/>
              <w:numPr>
                <w:ilvl w:val="0"/>
                <w:numId w:val="0"/>
              </w:numPr>
              <w:spacing w:after="60"/>
              <w:jc w:val="center"/>
              <w:rPr>
                <w:sz w:val="16"/>
                <w:szCs w:val="20"/>
              </w:rPr>
            </w:pPr>
            <w:r w:rsidRPr="005972E0">
              <w:rPr>
                <w:sz w:val="16"/>
                <w:szCs w:val="20"/>
              </w:rPr>
              <w:t>Lucha contra incendios</w:t>
            </w:r>
          </w:p>
        </w:tc>
        <w:tc>
          <w:tcPr>
            <w:tcW w:w="1686" w:type="dxa"/>
            <w:gridSpan w:val="2"/>
            <w:shd w:val="clear" w:color="auto" w:fill="auto"/>
          </w:tcPr>
          <w:p w:rsidR="007C0F5C" w:rsidRPr="005972E0" w:rsidRDefault="007C0F5C" w:rsidP="005972E0">
            <w:pPr>
              <w:pStyle w:val="StyleHeader4Para4Left0Firstline0"/>
              <w:numPr>
                <w:ilvl w:val="0"/>
                <w:numId w:val="0"/>
              </w:numPr>
              <w:spacing w:after="60"/>
              <w:jc w:val="center"/>
              <w:rPr>
                <w:sz w:val="16"/>
                <w:szCs w:val="20"/>
              </w:rPr>
            </w:pPr>
            <w:r w:rsidRPr="005972E0">
              <w:rPr>
                <w:sz w:val="16"/>
                <w:szCs w:val="20"/>
              </w:rPr>
              <w:t>Refrigeración</w:t>
            </w:r>
          </w:p>
        </w:tc>
        <w:tc>
          <w:tcPr>
            <w:tcW w:w="709" w:type="dxa"/>
            <w:shd w:val="clear" w:color="auto" w:fill="auto"/>
          </w:tcPr>
          <w:p w:rsidR="007C0F5C" w:rsidRPr="005972E0" w:rsidRDefault="007C0F5C" w:rsidP="005972E0">
            <w:pPr>
              <w:pStyle w:val="StyleHeader4Para4Left0Firstline0"/>
              <w:numPr>
                <w:ilvl w:val="0"/>
                <w:numId w:val="0"/>
              </w:numPr>
              <w:spacing w:after="60"/>
              <w:jc w:val="center"/>
              <w:rPr>
                <w:sz w:val="16"/>
                <w:szCs w:val="20"/>
              </w:rPr>
            </w:pPr>
            <w:r w:rsidRPr="005972E0">
              <w:rPr>
                <w:sz w:val="16"/>
                <w:szCs w:val="20"/>
              </w:rPr>
              <w:t>Disolventes</w:t>
            </w:r>
          </w:p>
        </w:tc>
        <w:tc>
          <w:tcPr>
            <w:tcW w:w="1157" w:type="dxa"/>
            <w:gridSpan w:val="3"/>
            <w:shd w:val="clear" w:color="auto" w:fill="auto"/>
          </w:tcPr>
          <w:p w:rsidR="007C0F5C" w:rsidRPr="005972E0" w:rsidRDefault="007C0F5C" w:rsidP="005972E0">
            <w:pPr>
              <w:pStyle w:val="StyleHeader4Para4Left0Firstline0"/>
              <w:numPr>
                <w:ilvl w:val="0"/>
                <w:numId w:val="0"/>
              </w:numPr>
              <w:spacing w:after="60"/>
              <w:jc w:val="center"/>
              <w:rPr>
                <w:sz w:val="16"/>
                <w:szCs w:val="20"/>
              </w:rPr>
            </w:pPr>
            <w:r w:rsidRPr="005972E0">
              <w:rPr>
                <w:sz w:val="16"/>
                <w:szCs w:val="20"/>
              </w:rPr>
              <w:t>Agentes de procesos</w:t>
            </w:r>
          </w:p>
        </w:tc>
        <w:tc>
          <w:tcPr>
            <w:tcW w:w="709" w:type="dxa"/>
            <w:shd w:val="clear" w:color="auto" w:fill="auto"/>
          </w:tcPr>
          <w:p w:rsidR="007C0F5C" w:rsidRPr="005972E0" w:rsidRDefault="007C0F5C" w:rsidP="005972E0">
            <w:pPr>
              <w:pStyle w:val="StyleHeader4Para4Left0Firstline0"/>
              <w:numPr>
                <w:ilvl w:val="0"/>
                <w:numId w:val="0"/>
              </w:numPr>
              <w:spacing w:after="60"/>
              <w:jc w:val="center"/>
              <w:rPr>
                <w:sz w:val="16"/>
                <w:szCs w:val="20"/>
              </w:rPr>
            </w:pPr>
            <w:r w:rsidRPr="005972E0">
              <w:rPr>
                <w:sz w:val="16"/>
                <w:szCs w:val="20"/>
              </w:rPr>
              <w:t>Uso en lab.</w:t>
            </w:r>
          </w:p>
        </w:tc>
        <w:tc>
          <w:tcPr>
            <w:tcW w:w="1394" w:type="dxa"/>
            <w:shd w:val="clear" w:color="auto" w:fill="auto"/>
          </w:tcPr>
          <w:p w:rsidR="007C0F5C" w:rsidRPr="005972E0" w:rsidRDefault="007C0F5C" w:rsidP="005972E0">
            <w:pPr>
              <w:pStyle w:val="StyleHeader4Para4Left0Firstline0"/>
              <w:numPr>
                <w:ilvl w:val="0"/>
                <w:numId w:val="0"/>
              </w:numPr>
              <w:spacing w:after="60"/>
              <w:jc w:val="center"/>
              <w:rPr>
                <w:sz w:val="16"/>
                <w:szCs w:val="20"/>
              </w:rPr>
            </w:pPr>
            <w:r w:rsidRPr="005972E0">
              <w:rPr>
                <w:sz w:val="16"/>
                <w:szCs w:val="20"/>
              </w:rPr>
              <w:t>Consumo total del sector</w:t>
            </w:r>
          </w:p>
        </w:tc>
      </w:tr>
      <w:tr w:rsidR="007C0F5C" w:rsidRPr="005972E0" w:rsidTr="005972E0">
        <w:trPr>
          <w:trHeight w:val="250"/>
        </w:trPr>
        <w:tc>
          <w:tcPr>
            <w:tcW w:w="2042" w:type="dxa"/>
            <w:shd w:val="clear" w:color="auto" w:fill="auto"/>
          </w:tcPr>
          <w:p w:rsidR="007C0F5C" w:rsidRPr="005972E0" w:rsidRDefault="007C0F5C" w:rsidP="005972E0">
            <w:pPr>
              <w:pStyle w:val="StyleHeader4Para4Left0Firstline0"/>
              <w:numPr>
                <w:ilvl w:val="0"/>
                <w:numId w:val="0"/>
              </w:numPr>
              <w:spacing w:after="60"/>
              <w:jc w:val="center"/>
              <w:rPr>
                <w:sz w:val="16"/>
                <w:szCs w:val="20"/>
              </w:rPr>
            </w:pPr>
            <w:r w:rsidRPr="005972E0">
              <w:rPr>
                <w:sz w:val="16"/>
                <w:szCs w:val="20"/>
              </w:rPr>
              <w:t xml:space="preserve"> </w:t>
            </w:r>
          </w:p>
        </w:tc>
        <w:tc>
          <w:tcPr>
            <w:tcW w:w="850" w:type="dxa"/>
            <w:shd w:val="clear" w:color="auto" w:fill="auto"/>
          </w:tcPr>
          <w:p w:rsidR="007C0F5C" w:rsidRPr="005972E0" w:rsidRDefault="007C0F5C" w:rsidP="005972E0">
            <w:pPr>
              <w:pStyle w:val="StyleHeader4Para4Left0Firstline0"/>
              <w:numPr>
                <w:ilvl w:val="0"/>
                <w:numId w:val="0"/>
              </w:numPr>
              <w:spacing w:after="60"/>
              <w:jc w:val="center"/>
              <w:rPr>
                <w:sz w:val="16"/>
                <w:szCs w:val="20"/>
              </w:rPr>
            </w:pPr>
          </w:p>
        </w:tc>
        <w:tc>
          <w:tcPr>
            <w:tcW w:w="993" w:type="dxa"/>
            <w:shd w:val="clear" w:color="auto" w:fill="auto"/>
          </w:tcPr>
          <w:p w:rsidR="007C0F5C" w:rsidRPr="005972E0" w:rsidRDefault="007C0F5C" w:rsidP="005972E0">
            <w:pPr>
              <w:pStyle w:val="StyleHeader4Para4Left0Firstline0"/>
              <w:numPr>
                <w:ilvl w:val="0"/>
                <w:numId w:val="0"/>
              </w:numPr>
              <w:spacing w:after="60"/>
              <w:jc w:val="center"/>
              <w:rPr>
                <w:sz w:val="16"/>
                <w:szCs w:val="20"/>
              </w:rPr>
            </w:pPr>
          </w:p>
        </w:tc>
        <w:tc>
          <w:tcPr>
            <w:tcW w:w="1290" w:type="dxa"/>
            <w:shd w:val="clear" w:color="auto" w:fill="auto"/>
          </w:tcPr>
          <w:p w:rsidR="007C0F5C" w:rsidRPr="005972E0" w:rsidRDefault="007C0F5C" w:rsidP="005972E0">
            <w:pPr>
              <w:pStyle w:val="StyleHeader4Para4Left0Firstline0"/>
              <w:numPr>
                <w:ilvl w:val="0"/>
                <w:numId w:val="0"/>
              </w:numPr>
              <w:spacing w:after="60"/>
              <w:jc w:val="center"/>
              <w:rPr>
                <w:sz w:val="16"/>
                <w:szCs w:val="20"/>
              </w:rPr>
            </w:pPr>
          </w:p>
        </w:tc>
        <w:tc>
          <w:tcPr>
            <w:tcW w:w="694" w:type="dxa"/>
            <w:shd w:val="clear" w:color="auto" w:fill="auto"/>
          </w:tcPr>
          <w:p w:rsidR="007C0F5C" w:rsidRPr="005972E0" w:rsidRDefault="007C0F5C" w:rsidP="005972E0">
            <w:pPr>
              <w:pStyle w:val="StyleHeader4Para4Left0Firstline0"/>
              <w:numPr>
                <w:ilvl w:val="0"/>
                <w:numId w:val="0"/>
              </w:numPr>
              <w:spacing w:after="60"/>
              <w:jc w:val="center"/>
              <w:rPr>
                <w:sz w:val="16"/>
                <w:szCs w:val="20"/>
              </w:rPr>
            </w:pPr>
            <w:r w:rsidRPr="005972E0">
              <w:rPr>
                <w:sz w:val="16"/>
                <w:szCs w:val="20"/>
              </w:rPr>
              <w:t>Fabricación</w:t>
            </w:r>
          </w:p>
        </w:tc>
        <w:tc>
          <w:tcPr>
            <w:tcW w:w="992" w:type="dxa"/>
            <w:shd w:val="clear" w:color="auto" w:fill="auto"/>
          </w:tcPr>
          <w:p w:rsidR="007C0F5C" w:rsidRPr="005972E0" w:rsidRDefault="007C0F5C" w:rsidP="005972E0">
            <w:pPr>
              <w:pStyle w:val="StyleHeader4Para4Left0Firstline0"/>
              <w:numPr>
                <w:ilvl w:val="0"/>
                <w:numId w:val="0"/>
              </w:numPr>
              <w:spacing w:after="60"/>
              <w:jc w:val="center"/>
              <w:rPr>
                <w:sz w:val="16"/>
                <w:szCs w:val="20"/>
              </w:rPr>
            </w:pPr>
            <w:r w:rsidRPr="005972E0">
              <w:rPr>
                <w:sz w:val="16"/>
                <w:szCs w:val="20"/>
              </w:rPr>
              <w:t>Serv. y mant.</w:t>
            </w:r>
          </w:p>
        </w:tc>
        <w:tc>
          <w:tcPr>
            <w:tcW w:w="3969" w:type="dxa"/>
            <w:gridSpan w:val="6"/>
            <w:shd w:val="clear" w:color="auto" w:fill="auto"/>
          </w:tcPr>
          <w:p w:rsidR="007C0F5C" w:rsidRPr="005972E0" w:rsidRDefault="007C0F5C" w:rsidP="005972E0">
            <w:pPr>
              <w:pStyle w:val="StyleHeader4Para4Left0Firstline0"/>
              <w:numPr>
                <w:ilvl w:val="0"/>
                <w:numId w:val="0"/>
              </w:numPr>
              <w:spacing w:after="60"/>
              <w:jc w:val="center"/>
              <w:rPr>
                <w:sz w:val="16"/>
                <w:szCs w:val="20"/>
              </w:rPr>
            </w:pPr>
          </w:p>
        </w:tc>
      </w:tr>
      <w:tr w:rsidR="007C0F5C" w:rsidRPr="005972E0" w:rsidTr="005972E0">
        <w:trPr>
          <w:trHeight w:val="250"/>
        </w:trPr>
        <w:tc>
          <w:tcPr>
            <w:tcW w:w="2042" w:type="dxa"/>
            <w:shd w:val="clear" w:color="auto" w:fill="auto"/>
          </w:tcPr>
          <w:p w:rsidR="007C0F5C" w:rsidRPr="005972E0" w:rsidRDefault="007C0F5C" w:rsidP="005972E0">
            <w:pPr>
              <w:pStyle w:val="StyleHeader4Para4Left0Firstline0"/>
              <w:numPr>
                <w:ilvl w:val="0"/>
                <w:numId w:val="0"/>
              </w:numPr>
              <w:spacing w:after="60"/>
              <w:jc w:val="left"/>
              <w:rPr>
                <w:sz w:val="16"/>
                <w:szCs w:val="20"/>
              </w:rPr>
            </w:pPr>
            <w:r w:rsidRPr="005972E0">
              <w:rPr>
                <w:sz w:val="16"/>
                <w:szCs w:val="20"/>
              </w:rPr>
              <w:t>HCFC-22</w:t>
            </w:r>
          </w:p>
        </w:tc>
        <w:tc>
          <w:tcPr>
            <w:tcW w:w="850" w:type="dxa"/>
            <w:shd w:val="clear" w:color="auto" w:fill="auto"/>
          </w:tcPr>
          <w:p w:rsidR="007C0F5C" w:rsidRPr="005972E0" w:rsidRDefault="007C0F5C" w:rsidP="005972E0">
            <w:pPr>
              <w:pStyle w:val="StyleHeader4Para4Left0Firstline0"/>
              <w:numPr>
                <w:ilvl w:val="0"/>
                <w:numId w:val="0"/>
              </w:numPr>
              <w:spacing w:after="60"/>
              <w:jc w:val="right"/>
              <w:rPr>
                <w:sz w:val="16"/>
                <w:szCs w:val="20"/>
              </w:rPr>
            </w:pPr>
            <w:r w:rsidRPr="005972E0">
              <w:rPr>
                <w:sz w:val="16"/>
                <w:szCs w:val="20"/>
              </w:rPr>
              <w:t>0,23</w:t>
            </w:r>
          </w:p>
        </w:tc>
        <w:tc>
          <w:tcPr>
            <w:tcW w:w="993" w:type="dxa"/>
            <w:shd w:val="clear" w:color="auto" w:fill="auto"/>
          </w:tcPr>
          <w:p w:rsidR="007C0F5C" w:rsidRPr="005972E0" w:rsidRDefault="007C0F5C" w:rsidP="005972E0">
            <w:pPr>
              <w:pStyle w:val="StyleHeader4Para4Left0Firstline0"/>
              <w:numPr>
                <w:ilvl w:val="0"/>
                <w:numId w:val="0"/>
              </w:numPr>
              <w:spacing w:after="60"/>
              <w:jc w:val="right"/>
              <w:rPr>
                <w:sz w:val="16"/>
                <w:szCs w:val="20"/>
              </w:rPr>
            </w:pPr>
            <w:r w:rsidRPr="005972E0">
              <w:rPr>
                <w:sz w:val="16"/>
                <w:szCs w:val="20"/>
              </w:rPr>
              <w:t>0,25</w:t>
            </w:r>
          </w:p>
        </w:tc>
        <w:tc>
          <w:tcPr>
            <w:tcW w:w="1290" w:type="dxa"/>
            <w:shd w:val="clear" w:color="auto" w:fill="auto"/>
          </w:tcPr>
          <w:p w:rsidR="007C0F5C" w:rsidRPr="005972E0" w:rsidRDefault="007C0F5C" w:rsidP="005972E0">
            <w:pPr>
              <w:pStyle w:val="StyleHeader4Para4Left0Firstline0"/>
              <w:numPr>
                <w:ilvl w:val="0"/>
                <w:numId w:val="0"/>
              </w:numPr>
              <w:spacing w:after="60"/>
              <w:jc w:val="right"/>
              <w:rPr>
                <w:sz w:val="16"/>
                <w:szCs w:val="20"/>
              </w:rPr>
            </w:pPr>
            <w:r w:rsidRPr="005972E0">
              <w:rPr>
                <w:sz w:val="16"/>
                <w:szCs w:val="20"/>
              </w:rPr>
              <w:t>0,00</w:t>
            </w:r>
          </w:p>
        </w:tc>
        <w:tc>
          <w:tcPr>
            <w:tcW w:w="694" w:type="dxa"/>
            <w:shd w:val="clear" w:color="auto" w:fill="auto"/>
          </w:tcPr>
          <w:p w:rsidR="007C0F5C" w:rsidRPr="005972E0" w:rsidRDefault="007C0F5C" w:rsidP="005972E0">
            <w:pPr>
              <w:pStyle w:val="StyleHeader4Para4Left0Firstline0"/>
              <w:numPr>
                <w:ilvl w:val="0"/>
                <w:numId w:val="0"/>
              </w:numPr>
              <w:spacing w:after="60"/>
              <w:jc w:val="right"/>
              <w:rPr>
                <w:sz w:val="16"/>
                <w:szCs w:val="20"/>
              </w:rPr>
            </w:pPr>
            <w:r w:rsidRPr="005972E0">
              <w:rPr>
                <w:sz w:val="16"/>
                <w:szCs w:val="20"/>
              </w:rPr>
              <w:t>6,60</w:t>
            </w:r>
          </w:p>
        </w:tc>
        <w:tc>
          <w:tcPr>
            <w:tcW w:w="992" w:type="dxa"/>
            <w:shd w:val="clear" w:color="auto" w:fill="auto"/>
          </w:tcPr>
          <w:p w:rsidR="007C0F5C" w:rsidRPr="005972E0" w:rsidRDefault="007C0F5C" w:rsidP="005972E0">
            <w:pPr>
              <w:pStyle w:val="StyleHeader4Para4Left0Firstline0"/>
              <w:numPr>
                <w:ilvl w:val="0"/>
                <w:numId w:val="0"/>
              </w:numPr>
              <w:spacing w:after="60"/>
              <w:jc w:val="right"/>
              <w:rPr>
                <w:sz w:val="16"/>
                <w:szCs w:val="20"/>
              </w:rPr>
            </w:pPr>
            <w:r w:rsidRPr="005972E0">
              <w:rPr>
                <w:sz w:val="16"/>
                <w:szCs w:val="20"/>
              </w:rPr>
              <w:t>102,28</w:t>
            </w:r>
          </w:p>
        </w:tc>
        <w:tc>
          <w:tcPr>
            <w:tcW w:w="1147" w:type="dxa"/>
            <w:gridSpan w:val="3"/>
            <w:shd w:val="clear" w:color="auto" w:fill="auto"/>
          </w:tcPr>
          <w:p w:rsidR="007C0F5C" w:rsidRPr="005972E0" w:rsidRDefault="007C0F5C" w:rsidP="005972E0">
            <w:pPr>
              <w:jc w:val="right"/>
              <w:rPr>
                <w:sz w:val="20"/>
                <w:szCs w:val="20"/>
              </w:rPr>
            </w:pPr>
            <w:r w:rsidRPr="005972E0">
              <w:rPr>
                <w:sz w:val="16"/>
                <w:szCs w:val="20"/>
              </w:rPr>
              <w:t>0,00</w:t>
            </w:r>
          </w:p>
        </w:tc>
        <w:tc>
          <w:tcPr>
            <w:tcW w:w="719" w:type="dxa"/>
            <w:shd w:val="clear" w:color="auto" w:fill="auto"/>
          </w:tcPr>
          <w:p w:rsidR="007C0F5C" w:rsidRPr="005972E0" w:rsidRDefault="007C0F5C" w:rsidP="005972E0">
            <w:pPr>
              <w:jc w:val="right"/>
              <w:rPr>
                <w:sz w:val="20"/>
                <w:szCs w:val="20"/>
              </w:rPr>
            </w:pPr>
            <w:r w:rsidRPr="005972E0">
              <w:rPr>
                <w:sz w:val="16"/>
                <w:szCs w:val="20"/>
              </w:rPr>
              <w:t>0,00</w:t>
            </w:r>
          </w:p>
        </w:tc>
        <w:tc>
          <w:tcPr>
            <w:tcW w:w="709" w:type="dxa"/>
            <w:shd w:val="clear" w:color="auto" w:fill="auto"/>
          </w:tcPr>
          <w:p w:rsidR="007C0F5C" w:rsidRPr="005972E0" w:rsidRDefault="007C0F5C" w:rsidP="005972E0">
            <w:pPr>
              <w:jc w:val="right"/>
              <w:rPr>
                <w:sz w:val="20"/>
                <w:szCs w:val="20"/>
              </w:rPr>
            </w:pPr>
            <w:r w:rsidRPr="005972E0">
              <w:rPr>
                <w:sz w:val="16"/>
                <w:szCs w:val="20"/>
              </w:rPr>
              <w:t>0,00</w:t>
            </w:r>
          </w:p>
        </w:tc>
        <w:tc>
          <w:tcPr>
            <w:tcW w:w="1394" w:type="dxa"/>
            <w:shd w:val="clear" w:color="auto" w:fill="auto"/>
          </w:tcPr>
          <w:p w:rsidR="007C0F5C" w:rsidRPr="005972E0" w:rsidRDefault="007C0F5C" w:rsidP="005972E0">
            <w:pPr>
              <w:pStyle w:val="StyleHeader4Para4Left0Firstline0"/>
              <w:numPr>
                <w:ilvl w:val="0"/>
                <w:numId w:val="0"/>
              </w:numPr>
              <w:spacing w:after="60"/>
              <w:jc w:val="right"/>
              <w:rPr>
                <w:sz w:val="16"/>
                <w:szCs w:val="20"/>
              </w:rPr>
            </w:pPr>
            <w:r w:rsidRPr="005972E0">
              <w:rPr>
                <w:sz w:val="16"/>
                <w:szCs w:val="20"/>
              </w:rPr>
              <w:t>109,36</w:t>
            </w:r>
          </w:p>
        </w:tc>
      </w:tr>
      <w:tr w:rsidR="007C0F5C" w:rsidRPr="005972E0" w:rsidTr="005972E0">
        <w:trPr>
          <w:trHeight w:val="250"/>
        </w:trPr>
        <w:tc>
          <w:tcPr>
            <w:tcW w:w="2042" w:type="dxa"/>
            <w:shd w:val="clear" w:color="auto" w:fill="auto"/>
          </w:tcPr>
          <w:p w:rsidR="007C0F5C" w:rsidRPr="005972E0" w:rsidRDefault="007C0F5C" w:rsidP="005972E0">
            <w:pPr>
              <w:pStyle w:val="StyleHeader4Para4Left0Firstline0"/>
              <w:numPr>
                <w:ilvl w:val="0"/>
                <w:numId w:val="0"/>
              </w:numPr>
              <w:spacing w:after="60"/>
              <w:jc w:val="left"/>
              <w:rPr>
                <w:sz w:val="16"/>
                <w:szCs w:val="20"/>
              </w:rPr>
            </w:pPr>
            <w:r w:rsidRPr="005972E0">
              <w:rPr>
                <w:sz w:val="16"/>
                <w:szCs w:val="20"/>
              </w:rPr>
              <w:t>HCFC-123</w:t>
            </w:r>
          </w:p>
        </w:tc>
        <w:tc>
          <w:tcPr>
            <w:tcW w:w="850" w:type="dxa"/>
            <w:shd w:val="clear" w:color="auto" w:fill="auto"/>
          </w:tcPr>
          <w:p w:rsidR="007C0F5C" w:rsidRPr="005972E0" w:rsidRDefault="007C0F5C" w:rsidP="005972E0">
            <w:pPr>
              <w:pStyle w:val="StyleHeader4Para4Left0Firstline0"/>
              <w:numPr>
                <w:ilvl w:val="0"/>
                <w:numId w:val="0"/>
              </w:numPr>
              <w:spacing w:after="60"/>
              <w:jc w:val="right"/>
              <w:rPr>
                <w:sz w:val="16"/>
                <w:szCs w:val="20"/>
              </w:rPr>
            </w:pPr>
            <w:r w:rsidRPr="005972E0">
              <w:rPr>
                <w:sz w:val="16"/>
                <w:szCs w:val="20"/>
              </w:rPr>
              <w:t>0,00</w:t>
            </w:r>
          </w:p>
        </w:tc>
        <w:tc>
          <w:tcPr>
            <w:tcW w:w="993" w:type="dxa"/>
            <w:shd w:val="clear" w:color="auto" w:fill="auto"/>
          </w:tcPr>
          <w:p w:rsidR="007C0F5C" w:rsidRPr="005972E0" w:rsidRDefault="007C0F5C" w:rsidP="005972E0">
            <w:pPr>
              <w:pStyle w:val="StyleHeader4Para4Left0Firstline0"/>
              <w:numPr>
                <w:ilvl w:val="0"/>
                <w:numId w:val="0"/>
              </w:numPr>
              <w:spacing w:after="60"/>
              <w:jc w:val="right"/>
              <w:rPr>
                <w:sz w:val="16"/>
                <w:szCs w:val="20"/>
              </w:rPr>
            </w:pPr>
            <w:r w:rsidRPr="005972E0">
              <w:rPr>
                <w:sz w:val="16"/>
                <w:szCs w:val="20"/>
              </w:rPr>
              <w:t>0,00</w:t>
            </w:r>
          </w:p>
        </w:tc>
        <w:tc>
          <w:tcPr>
            <w:tcW w:w="1290" w:type="dxa"/>
            <w:shd w:val="clear" w:color="auto" w:fill="auto"/>
          </w:tcPr>
          <w:p w:rsidR="007C0F5C" w:rsidRPr="005972E0" w:rsidRDefault="007C0F5C" w:rsidP="005972E0">
            <w:pPr>
              <w:pStyle w:val="StyleHeader4Para4Left0Firstline0"/>
              <w:numPr>
                <w:ilvl w:val="0"/>
                <w:numId w:val="0"/>
              </w:numPr>
              <w:spacing w:after="60"/>
              <w:jc w:val="right"/>
              <w:rPr>
                <w:sz w:val="16"/>
                <w:szCs w:val="20"/>
              </w:rPr>
            </w:pPr>
            <w:r w:rsidRPr="005972E0">
              <w:rPr>
                <w:sz w:val="16"/>
                <w:szCs w:val="20"/>
              </w:rPr>
              <w:t>0,86</w:t>
            </w:r>
          </w:p>
        </w:tc>
        <w:tc>
          <w:tcPr>
            <w:tcW w:w="694" w:type="dxa"/>
            <w:shd w:val="clear" w:color="auto" w:fill="auto"/>
          </w:tcPr>
          <w:p w:rsidR="007C0F5C" w:rsidRPr="005972E0" w:rsidRDefault="007C0F5C" w:rsidP="005972E0">
            <w:pPr>
              <w:pStyle w:val="StyleHeader4Para4Left0Firstline0"/>
              <w:numPr>
                <w:ilvl w:val="0"/>
                <w:numId w:val="0"/>
              </w:numPr>
              <w:spacing w:after="60"/>
              <w:jc w:val="right"/>
              <w:rPr>
                <w:sz w:val="16"/>
                <w:szCs w:val="20"/>
              </w:rPr>
            </w:pPr>
            <w:r w:rsidRPr="005972E0">
              <w:rPr>
                <w:sz w:val="16"/>
                <w:szCs w:val="20"/>
              </w:rPr>
              <w:t>0,00</w:t>
            </w:r>
          </w:p>
        </w:tc>
        <w:tc>
          <w:tcPr>
            <w:tcW w:w="992" w:type="dxa"/>
            <w:shd w:val="clear" w:color="auto" w:fill="auto"/>
          </w:tcPr>
          <w:p w:rsidR="007C0F5C" w:rsidRPr="005972E0" w:rsidRDefault="007C0F5C" w:rsidP="005972E0">
            <w:pPr>
              <w:pStyle w:val="StyleHeader4Para4Left0Firstline0"/>
              <w:numPr>
                <w:ilvl w:val="0"/>
                <w:numId w:val="0"/>
              </w:numPr>
              <w:spacing w:after="60"/>
              <w:jc w:val="right"/>
              <w:rPr>
                <w:sz w:val="16"/>
                <w:szCs w:val="20"/>
              </w:rPr>
            </w:pPr>
            <w:r w:rsidRPr="005972E0">
              <w:rPr>
                <w:sz w:val="16"/>
                <w:szCs w:val="20"/>
              </w:rPr>
              <w:t>0,01</w:t>
            </w:r>
          </w:p>
        </w:tc>
        <w:tc>
          <w:tcPr>
            <w:tcW w:w="1137" w:type="dxa"/>
            <w:gridSpan w:val="2"/>
            <w:shd w:val="clear" w:color="auto" w:fill="auto"/>
          </w:tcPr>
          <w:p w:rsidR="007C0F5C" w:rsidRPr="005972E0" w:rsidRDefault="007C0F5C" w:rsidP="005972E0">
            <w:pPr>
              <w:pStyle w:val="StyleHeader4Para4Left0Firstline0"/>
              <w:numPr>
                <w:ilvl w:val="0"/>
                <w:numId w:val="0"/>
              </w:numPr>
              <w:spacing w:after="60"/>
              <w:jc w:val="right"/>
              <w:rPr>
                <w:sz w:val="16"/>
                <w:szCs w:val="20"/>
              </w:rPr>
            </w:pPr>
            <w:r w:rsidRPr="005972E0">
              <w:rPr>
                <w:sz w:val="16"/>
                <w:szCs w:val="20"/>
              </w:rPr>
              <w:t>0,00</w:t>
            </w:r>
          </w:p>
        </w:tc>
        <w:tc>
          <w:tcPr>
            <w:tcW w:w="729" w:type="dxa"/>
            <w:gridSpan w:val="2"/>
            <w:shd w:val="clear" w:color="auto" w:fill="auto"/>
          </w:tcPr>
          <w:p w:rsidR="007C0F5C" w:rsidRPr="005972E0" w:rsidRDefault="007C0F5C" w:rsidP="005972E0">
            <w:pPr>
              <w:pStyle w:val="StyleHeader4Para4Left0Firstline0"/>
              <w:numPr>
                <w:ilvl w:val="0"/>
                <w:numId w:val="0"/>
              </w:numPr>
              <w:spacing w:after="60"/>
              <w:jc w:val="right"/>
              <w:rPr>
                <w:sz w:val="16"/>
                <w:szCs w:val="20"/>
              </w:rPr>
            </w:pPr>
            <w:r w:rsidRPr="005972E0">
              <w:rPr>
                <w:sz w:val="16"/>
                <w:szCs w:val="20"/>
              </w:rPr>
              <w:t>0,00</w:t>
            </w:r>
          </w:p>
        </w:tc>
        <w:tc>
          <w:tcPr>
            <w:tcW w:w="709" w:type="dxa"/>
            <w:shd w:val="clear" w:color="auto" w:fill="auto"/>
          </w:tcPr>
          <w:p w:rsidR="007C0F5C" w:rsidRPr="005972E0" w:rsidRDefault="007C0F5C" w:rsidP="005972E0">
            <w:pPr>
              <w:pStyle w:val="StyleHeader4Para4Left0Firstline0"/>
              <w:numPr>
                <w:ilvl w:val="0"/>
                <w:numId w:val="0"/>
              </w:numPr>
              <w:spacing w:after="60"/>
              <w:jc w:val="right"/>
              <w:rPr>
                <w:sz w:val="16"/>
                <w:szCs w:val="20"/>
              </w:rPr>
            </w:pPr>
            <w:r w:rsidRPr="005972E0">
              <w:rPr>
                <w:sz w:val="16"/>
                <w:szCs w:val="20"/>
              </w:rPr>
              <w:t>0,00</w:t>
            </w:r>
          </w:p>
        </w:tc>
        <w:tc>
          <w:tcPr>
            <w:tcW w:w="1394" w:type="dxa"/>
            <w:shd w:val="clear" w:color="auto" w:fill="auto"/>
          </w:tcPr>
          <w:p w:rsidR="007C0F5C" w:rsidRPr="005972E0" w:rsidRDefault="007C0F5C" w:rsidP="005972E0">
            <w:pPr>
              <w:pStyle w:val="StyleHeader4Para4Left0Firstline0"/>
              <w:numPr>
                <w:ilvl w:val="0"/>
                <w:numId w:val="0"/>
              </w:numPr>
              <w:spacing w:after="60"/>
              <w:jc w:val="right"/>
              <w:rPr>
                <w:sz w:val="16"/>
                <w:szCs w:val="20"/>
              </w:rPr>
            </w:pPr>
            <w:r w:rsidRPr="005972E0">
              <w:rPr>
                <w:sz w:val="16"/>
                <w:szCs w:val="20"/>
              </w:rPr>
              <w:t>0,87</w:t>
            </w:r>
          </w:p>
        </w:tc>
      </w:tr>
      <w:tr w:rsidR="007C0F5C" w:rsidRPr="005972E0" w:rsidTr="005972E0">
        <w:trPr>
          <w:trHeight w:val="250"/>
        </w:trPr>
        <w:tc>
          <w:tcPr>
            <w:tcW w:w="2042" w:type="dxa"/>
            <w:shd w:val="clear" w:color="auto" w:fill="auto"/>
          </w:tcPr>
          <w:p w:rsidR="007C0F5C" w:rsidRPr="005972E0" w:rsidRDefault="007C0F5C" w:rsidP="005972E0">
            <w:pPr>
              <w:pStyle w:val="StyleHeader4Para4Left0Firstline0"/>
              <w:numPr>
                <w:ilvl w:val="0"/>
                <w:numId w:val="0"/>
              </w:numPr>
              <w:spacing w:after="60"/>
              <w:jc w:val="left"/>
              <w:rPr>
                <w:sz w:val="16"/>
                <w:szCs w:val="20"/>
              </w:rPr>
            </w:pPr>
            <w:r w:rsidRPr="005972E0">
              <w:rPr>
                <w:sz w:val="16"/>
                <w:szCs w:val="20"/>
              </w:rPr>
              <w:t>HCFC-124</w:t>
            </w:r>
          </w:p>
        </w:tc>
        <w:tc>
          <w:tcPr>
            <w:tcW w:w="850" w:type="dxa"/>
            <w:shd w:val="clear" w:color="auto" w:fill="auto"/>
          </w:tcPr>
          <w:p w:rsidR="007C0F5C" w:rsidRPr="005972E0" w:rsidRDefault="007C0F5C" w:rsidP="005972E0">
            <w:pPr>
              <w:pStyle w:val="StyleHeader4Para4Left0Firstline0"/>
              <w:numPr>
                <w:ilvl w:val="0"/>
                <w:numId w:val="0"/>
              </w:numPr>
              <w:spacing w:after="60"/>
              <w:jc w:val="right"/>
              <w:rPr>
                <w:sz w:val="16"/>
                <w:szCs w:val="20"/>
              </w:rPr>
            </w:pPr>
            <w:r w:rsidRPr="005972E0">
              <w:rPr>
                <w:sz w:val="16"/>
                <w:szCs w:val="20"/>
              </w:rPr>
              <w:t>0,00</w:t>
            </w:r>
          </w:p>
        </w:tc>
        <w:tc>
          <w:tcPr>
            <w:tcW w:w="993" w:type="dxa"/>
            <w:shd w:val="clear" w:color="auto" w:fill="auto"/>
          </w:tcPr>
          <w:p w:rsidR="007C0F5C" w:rsidRPr="005972E0" w:rsidRDefault="007C0F5C" w:rsidP="005972E0">
            <w:pPr>
              <w:pStyle w:val="StyleHeader4Para4Left0Firstline0"/>
              <w:numPr>
                <w:ilvl w:val="0"/>
                <w:numId w:val="0"/>
              </w:numPr>
              <w:spacing w:after="60"/>
              <w:jc w:val="right"/>
              <w:rPr>
                <w:sz w:val="16"/>
                <w:szCs w:val="20"/>
              </w:rPr>
            </w:pPr>
            <w:r w:rsidRPr="005972E0">
              <w:rPr>
                <w:sz w:val="16"/>
                <w:szCs w:val="20"/>
              </w:rPr>
              <w:t>0,00</w:t>
            </w:r>
          </w:p>
        </w:tc>
        <w:tc>
          <w:tcPr>
            <w:tcW w:w="1290" w:type="dxa"/>
            <w:shd w:val="clear" w:color="auto" w:fill="auto"/>
          </w:tcPr>
          <w:p w:rsidR="007C0F5C" w:rsidRPr="005972E0" w:rsidRDefault="007C0F5C" w:rsidP="005972E0">
            <w:pPr>
              <w:pStyle w:val="StyleHeader4Para4Left0Firstline0"/>
              <w:numPr>
                <w:ilvl w:val="0"/>
                <w:numId w:val="0"/>
              </w:numPr>
              <w:spacing w:after="60"/>
              <w:jc w:val="right"/>
              <w:rPr>
                <w:sz w:val="16"/>
                <w:szCs w:val="20"/>
              </w:rPr>
            </w:pPr>
            <w:r w:rsidRPr="005972E0">
              <w:rPr>
                <w:sz w:val="16"/>
                <w:szCs w:val="20"/>
              </w:rPr>
              <w:t>0,00</w:t>
            </w:r>
          </w:p>
        </w:tc>
        <w:tc>
          <w:tcPr>
            <w:tcW w:w="694" w:type="dxa"/>
            <w:shd w:val="clear" w:color="auto" w:fill="auto"/>
          </w:tcPr>
          <w:p w:rsidR="007C0F5C" w:rsidRPr="005972E0" w:rsidRDefault="007C0F5C" w:rsidP="005972E0">
            <w:pPr>
              <w:pStyle w:val="StyleHeader4Para4Left0Firstline0"/>
              <w:numPr>
                <w:ilvl w:val="0"/>
                <w:numId w:val="0"/>
              </w:numPr>
              <w:spacing w:after="60"/>
              <w:jc w:val="right"/>
              <w:rPr>
                <w:sz w:val="16"/>
                <w:szCs w:val="20"/>
              </w:rPr>
            </w:pPr>
            <w:r w:rsidRPr="005972E0">
              <w:rPr>
                <w:sz w:val="16"/>
                <w:szCs w:val="20"/>
              </w:rPr>
              <w:t>0,00</w:t>
            </w:r>
          </w:p>
        </w:tc>
        <w:tc>
          <w:tcPr>
            <w:tcW w:w="992" w:type="dxa"/>
            <w:shd w:val="clear" w:color="auto" w:fill="auto"/>
          </w:tcPr>
          <w:p w:rsidR="007C0F5C" w:rsidRPr="005972E0" w:rsidRDefault="007C0F5C" w:rsidP="005972E0">
            <w:pPr>
              <w:pStyle w:val="StyleHeader4Para4Left0Firstline0"/>
              <w:numPr>
                <w:ilvl w:val="0"/>
                <w:numId w:val="0"/>
              </w:numPr>
              <w:spacing w:after="60"/>
              <w:jc w:val="right"/>
              <w:rPr>
                <w:sz w:val="16"/>
                <w:szCs w:val="20"/>
              </w:rPr>
            </w:pPr>
            <w:r w:rsidRPr="005972E0">
              <w:rPr>
                <w:sz w:val="16"/>
                <w:szCs w:val="20"/>
              </w:rPr>
              <w:t>0,00</w:t>
            </w:r>
          </w:p>
        </w:tc>
        <w:tc>
          <w:tcPr>
            <w:tcW w:w="1137" w:type="dxa"/>
            <w:gridSpan w:val="2"/>
            <w:shd w:val="clear" w:color="auto" w:fill="auto"/>
          </w:tcPr>
          <w:p w:rsidR="007C0F5C" w:rsidRPr="005972E0" w:rsidRDefault="007C0F5C" w:rsidP="005972E0">
            <w:pPr>
              <w:pStyle w:val="StyleHeader4Para4Left0Firstline0"/>
              <w:numPr>
                <w:ilvl w:val="0"/>
                <w:numId w:val="0"/>
              </w:numPr>
              <w:spacing w:after="60"/>
              <w:jc w:val="right"/>
              <w:rPr>
                <w:sz w:val="16"/>
                <w:szCs w:val="20"/>
              </w:rPr>
            </w:pPr>
            <w:r w:rsidRPr="005972E0">
              <w:rPr>
                <w:sz w:val="16"/>
                <w:szCs w:val="20"/>
              </w:rPr>
              <w:t>0,00</w:t>
            </w:r>
          </w:p>
        </w:tc>
        <w:tc>
          <w:tcPr>
            <w:tcW w:w="729" w:type="dxa"/>
            <w:gridSpan w:val="2"/>
            <w:shd w:val="clear" w:color="auto" w:fill="auto"/>
          </w:tcPr>
          <w:p w:rsidR="007C0F5C" w:rsidRPr="005972E0" w:rsidRDefault="007C0F5C" w:rsidP="005972E0">
            <w:pPr>
              <w:pStyle w:val="StyleHeader4Para4Left0Firstline0"/>
              <w:numPr>
                <w:ilvl w:val="0"/>
                <w:numId w:val="0"/>
              </w:numPr>
              <w:spacing w:after="60"/>
              <w:jc w:val="right"/>
              <w:rPr>
                <w:sz w:val="16"/>
                <w:szCs w:val="20"/>
              </w:rPr>
            </w:pPr>
            <w:r w:rsidRPr="005972E0">
              <w:rPr>
                <w:sz w:val="16"/>
                <w:szCs w:val="20"/>
              </w:rPr>
              <w:t>0,00</w:t>
            </w:r>
          </w:p>
        </w:tc>
        <w:tc>
          <w:tcPr>
            <w:tcW w:w="709" w:type="dxa"/>
            <w:shd w:val="clear" w:color="auto" w:fill="auto"/>
          </w:tcPr>
          <w:p w:rsidR="007C0F5C" w:rsidRPr="005972E0" w:rsidRDefault="007C0F5C" w:rsidP="005972E0">
            <w:pPr>
              <w:pStyle w:val="StyleHeader4Para4Left0Firstline0"/>
              <w:numPr>
                <w:ilvl w:val="0"/>
                <w:numId w:val="0"/>
              </w:numPr>
              <w:spacing w:after="60"/>
              <w:jc w:val="right"/>
              <w:rPr>
                <w:sz w:val="16"/>
                <w:szCs w:val="20"/>
              </w:rPr>
            </w:pPr>
            <w:r w:rsidRPr="005972E0">
              <w:rPr>
                <w:sz w:val="16"/>
                <w:szCs w:val="20"/>
              </w:rPr>
              <w:t>0,00</w:t>
            </w:r>
          </w:p>
        </w:tc>
        <w:tc>
          <w:tcPr>
            <w:tcW w:w="1394" w:type="dxa"/>
            <w:shd w:val="clear" w:color="auto" w:fill="auto"/>
          </w:tcPr>
          <w:p w:rsidR="007C0F5C" w:rsidRPr="005972E0" w:rsidRDefault="007C0F5C" w:rsidP="005972E0">
            <w:pPr>
              <w:pStyle w:val="StyleHeader4Para4Left0Firstline0"/>
              <w:numPr>
                <w:ilvl w:val="0"/>
                <w:numId w:val="0"/>
              </w:numPr>
              <w:spacing w:after="60"/>
              <w:jc w:val="right"/>
              <w:rPr>
                <w:sz w:val="16"/>
                <w:szCs w:val="20"/>
              </w:rPr>
            </w:pPr>
            <w:r w:rsidRPr="005972E0">
              <w:rPr>
                <w:sz w:val="16"/>
                <w:szCs w:val="20"/>
              </w:rPr>
              <w:t>0,00</w:t>
            </w:r>
          </w:p>
        </w:tc>
      </w:tr>
      <w:tr w:rsidR="007C0F5C" w:rsidRPr="005972E0" w:rsidTr="005972E0">
        <w:trPr>
          <w:trHeight w:val="250"/>
        </w:trPr>
        <w:tc>
          <w:tcPr>
            <w:tcW w:w="2042" w:type="dxa"/>
            <w:shd w:val="clear" w:color="auto" w:fill="auto"/>
          </w:tcPr>
          <w:p w:rsidR="007C0F5C" w:rsidRPr="005972E0" w:rsidRDefault="007C0F5C" w:rsidP="005972E0">
            <w:pPr>
              <w:pStyle w:val="StyleHeader4Para4Left0Firstline0"/>
              <w:numPr>
                <w:ilvl w:val="0"/>
                <w:numId w:val="0"/>
              </w:numPr>
              <w:spacing w:after="60"/>
              <w:jc w:val="left"/>
              <w:rPr>
                <w:sz w:val="16"/>
                <w:szCs w:val="20"/>
              </w:rPr>
            </w:pPr>
            <w:r w:rsidRPr="005972E0">
              <w:rPr>
                <w:sz w:val="16"/>
                <w:szCs w:val="20"/>
              </w:rPr>
              <w:t>HCFC-141b</w:t>
            </w:r>
          </w:p>
        </w:tc>
        <w:tc>
          <w:tcPr>
            <w:tcW w:w="850" w:type="dxa"/>
            <w:shd w:val="clear" w:color="auto" w:fill="auto"/>
          </w:tcPr>
          <w:p w:rsidR="007C0F5C" w:rsidRPr="005972E0" w:rsidRDefault="007C0F5C" w:rsidP="005972E0">
            <w:pPr>
              <w:pStyle w:val="StyleHeader4Para4Left0Firstline0"/>
              <w:numPr>
                <w:ilvl w:val="0"/>
                <w:numId w:val="0"/>
              </w:numPr>
              <w:spacing w:after="60"/>
              <w:jc w:val="right"/>
              <w:rPr>
                <w:sz w:val="16"/>
                <w:szCs w:val="20"/>
              </w:rPr>
            </w:pPr>
            <w:r w:rsidRPr="005972E0">
              <w:rPr>
                <w:sz w:val="16"/>
                <w:szCs w:val="20"/>
              </w:rPr>
              <w:t>6,61</w:t>
            </w:r>
          </w:p>
        </w:tc>
        <w:tc>
          <w:tcPr>
            <w:tcW w:w="993" w:type="dxa"/>
            <w:shd w:val="clear" w:color="auto" w:fill="auto"/>
          </w:tcPr>
          <w:p w:rsidR="007C0F5C" w:rsidRPr="005972E0" w:rsidRDefault="007C0F5C" w:rsidP="005972E0">
            <w:pPr>
              <w:pStyle w:val="StyleHeader4Para4Left0Firstline0"/>
              <w:numPr>
                <w:ilvl w:val="0"/>
                <w:numId w:val="0"/>
              </w:numPr>
              <w:spacing w:after="60"/>
              <w:jc w:val="right"/>
              <w:rPr>
                <w:sz w:val="16"/>
                <w:szCs w:val="20"/>
              </w:rPr>
            </w:pPr>
            <w:r w:rsidRPr="005972E0">
              <w:rPr>
                <w:sz w:val="16"/>
                <w:szCs w:val="20"/>
              </w:rPr>
              <w:t>49,06</w:t>
            </w:r>
          </w:p>
        </w:tc>
        <w:tc>
          <w:tcPr>
            <w:tcW w:w="1290" w:type="dxa"/>
            <w:shd w:val="clear" w:color="auto" w:fill="auto"/>
          </w:tcPr>
          <w:p w:rsidR="007C0F5C" w:rsidRPr="005972E0" w:rsidRDefault="007C0F5C" w:rsidP="005972E0">
            <w:pPr>
              <w:pStyle w:val="StyleHeader4Para4Left0Firstline0"/>
              <w:numPr>
                <w:ilvl w:val="0"/>
                <w:numId w:val="0"/>
              </w:numPr>
              <w:spacing w:after="60"/>
              <w:jc w:val="right"/>
              <w:rPr>
                <w:sz w:val="16"/>
                <w:szCs w:val="20"/>
              </w:rPr>
            </w:pPr>
            <w:r w:rsidRPr="005972E0">
              <w:rPr>
                <w:sz w:val="16"/>
                <w:szCs w:val="20"/>
              </w:rPr>
              <w:t>0,00</w:t>
            </w:r>
          </w:p>
        </w:tc>
        <w:tc>
          <w:tcPr>
            <w:tcW w:w="694" w:type="dxa"/>
            <w:shd w:val="clear" w:color="auto" w:fill="auto"/>
          </w:tcPr>
          <w:p w:rsidR="007C0F5C" w:rsidRPr="005972E0" w:rsidRDefault="007C0F5C" w:rsidP="005972E0">
            <w:pPr>
              <w:pStyle w:val="StyleHeader4Para4Left0Firstline0"/>
              <w:numPr>
                <w:ilvl w:val="0"/>
                <w:numId w:val="0"/>
              </w:numPr>
              <w:spacing w:after="60"/>
              <w:jc w:val="right"/>
              <w:rPr>
                <w:sz w:val="16"/>
                <w:szCs w:val="20"/>
              </w:rPr>
            </w:pPr>
            <w:r w:rsidRPr="005972E0">
              <w:rPr>
                <w:sz w:val="16"/>
                <w:szCs w:val="20"/>
              </w:rPr>
              <w:t>0,00</w:t>
            </w:r>
          </w:p>
        </w:tc>
        <w:tc>
          <w:tcPr>
            <w:tcW w:w="992" w:type="dxa"/>
            <w:shd w:val="clear" w:color="auto" w:fill="auto"/>
          </w:tcPr>
          <w:p w:rsidR="007C0F5C" w:rsidRPr="005972E0" w:rsidRDefault="007C0F5C" w:rsidP="005972E0">
            <w:pPr>
              <w:pStyle w:val="StyleHeader4Para4Left0Firstline0"/>
              <w:numPr>
                <w:ilvl w:val="0"/>
                <w:numId w:val="0"/>
              </w:numPr>
              <w:spacing w:after="60"/>
              <w:jc w:val="right"/>
              <w:rPr>
                <w:sz w:val="16"/>
                <w:szCs w:val="20"/>
              </w:rPr>
            </w:pPr>
            <w:r w:rsidRPr="005972E0">
              <w:rPr>
                <w:sz w:val="16"/>
                <w:szCs w:val="20"/>
              </w:rPr>
              <w:t>8,29</w:t>
            </w:r>
          </w:p>
        </w:tc>
        <w:tc>
          <w:tcPr>
            <w:tcW w:w="1137" w:type="dxa"/>
            <w:gridSpan w:val="2"/>
            <w:shd w:val="clear" w:color="auto" w:fill="auto"/>
          </w:tcPr>
          <w:p w:rsidR="007C0F5C" w:rsidRPr="005972E0" w:rsidRDefault="007C0F5C" w:rsidP="005972E0">
            <w:pPr>
              <w:pStyle w:val="StyleHeader4Para4Left0Firstline0"/>
              <w:numPr>
                <w:ilvl w:val="0"/>
                <w:numId w:val="0"/>
              </w:numPr>
              <w:spacing w:after="60"/>
              <w:jc w:val="right"/>
              <w:rPr>
                <w:sz w:val="16"/>
                <w:szCs w:val="20"/>
              </w:rPr>
            </w:pPr>
            <w:r w:rsidRPr="005972E0">
              <w:rPr>
                <w:sz w:val="16"/>
                <w:szCs w:val="20"/>
              </w:rPr>
              <w:t>0,00</w:t>
            </w:r>
          </w:p>
        </w:tc>
        <w:tc>
          <w:tcPr>
            <w:tcW w:w="729" w:type="dxa"/>
            <w:gridSpan w:val="2"/>
            <w:shd w:val="clear" w:color="auto" w:fill="auto"/>
          </w:tcPr>
          <w:p w:rsidR="007C0F5C" w:rsidRPr="005972E0" w:rsidRDefault="007C0F5C" w:rsidP="005972E0">
            <w:pPr>
              <w:pStyle w:val="StyleHeader4Para4Left0Firstline0"/>
              <w:numPr>
                <w:ilvl w:val="0"/>
                <w:numId w:val="0"/>
              </w:numPr>
              <w:spacing w:after="60"/>
              <w:jc w:val="right"/>
              <w:rPr>
                <w:sz w:val="16"/>
                <w:szCs w:val="20"/>
              </w:rPr>
            </w:pPr>
            <w:r w:rsidRPr="005972E0">
              <w:rPr>
                <w:sz w:val="16"/>
                <w:szCs w:val="20"/>
              </w:rPr>
              <w:t>0,00</w:t>
            </w:r>
          </w:p>
        </w:tc>
        <w:tc>
          <w:tcPr>
            <w:tcW w:w="709" w:type="dxa"/>
            <w:shd w:val="clear" w:color="auto" w:fill="auto"/>
          </w:tcPr>
          <w:p w:rsidR="007C0F5C" w:rsidRPr="005972E0" w:rsidRDefault="007C0F5C" w:rsidP="005972E0">
            <w:pPr>
              <w:pStyle w:val="StyleHeader4Para4Left0Firstline0"/>
              <w:numPr>
                <w:ilvl w:val="0"/>
                <w:numId w:val="0"/>
              </w:numPr>
              <w:spacing w:after="60"/>
              <w:jc w:val="right"/>
              <w:rPr>
                <w:sz w:val="16"/>
                <w:szCs w:val="20"/>
              </w:rPr>
            </w:pPr>
            <w:r w:rsidRPr="005972E0">
              <w:rPr>
                <w:sz w:val="16"/>
                <w:szCs w:val="20"/>
              </w:rPr>
              <w:t>0,00</w:t>
            </w:r>
          </w:p>
        </w:tc>
        <w:tc>
          <w:tcPr>
            <w:tcW w:w="1394" w:type="dxa"/>
            <w:shd w:val="clear" w:color="auto" w:fill="auto"/>
          </w:tcPr>
          <w:p w:rsidR="007C0F5C" w:rsidRPr="005972E0" w:rsidRDefault="007C0F5C" w:rsidP="005972E0">
            <w:pPr>
              <w:pStyle w:val="StyleHeader4Para4Left0Firstline0"/>
              <w:numPr>
                <w:ilvl w:val="0"/>
                <w:numId w:val="0"/>
              </w:numPr>
              <w:spacing w:after="60"/>
              <w:jc w:val="right"/>
              <w:rPr>
                <w:sz w:val="16"/>
                <w:szCs w:val="20"/>
              </w:rPr>
            </w:pPr>
            <w:r w:rsidRPr="005972E0">
              <w:rPr>
                <w:sz w:val="16"/>
                <w:szCs w:val="20"/>
              </w:rPr>
              <w:t>63,96</w:t>
            </w:r>
          </w:p>
        </w:tc>
      </w:tr>
      <w:tr w:rsidR="007C0F5C" w:rsidRPr="005972E0" w:rsidTr="005972E0">
        <w:trPr>
          <w:trHeight w:val="428"/>
        </w:trPr>
        <w:tc>
          <w:tcPr>
            <w:tcW w:w="2042" w:type="dxa"/>
            <w:shd w:val="clear" w:color="auto" w:fill="auto"/>
          </w:tcPr>
          <w:p w:rsidR="007C0F5C" w:rsidRPr="005972E0" w:rsidRDefault="007C0F5C" w:rsidP="005972E0">
            <w:pPr>
              <w:pStyle w:val="StyleHeader4Para4Left0Firstline0"/>
              <w:numPr>
                <w:ilvl w:val="0"/>
                <w:numId w:val="0"/>
              </w:numPr>
              <w:spacing w:after="60"/>
              <w:jc w:val="left"/>
              <w:rPr>
                <w:sz w:val="16"/>
                <w:szCs w:val="20"/>
                <w:lang w:val="es-419"/>
              </w:rPr>
            </w:pPr>
            <w:r w:rsidRPr="005972E0">
              <w:rPr>
                <w:sz w:val="16"/>
                <w:szCs w:val="20"/>
                <w:lang w:val="es-419"/>
              </w:rPr>
              <w:t>HCFC-141b en polioles premezclados importados</w:t>
            </w:r>
          </w:p>
        </w:tc>
        <w:tc>
          <w:tcPr>
            <w:tcW w:w="850" w:type="dxa"/>
            <w:shd w:val="clear" w:color="auto" w:fill="auto"/>
          </w:tcPr>
          <w:p w:rsidR="007C0F5C" w:rsidRPr="005972E0" w:rsidRDefault="007C0F5C" w:rsidP="005972E0">
            <w:pPr>
              <w:pStyle w:val="StyleHeader4Para4Left0Firstline0"/>
              <w:numPr>
                <w:ilvl w:val="0"/>
                <w:numId w:val="0"/>
              </w:numPr>
              <w:spacing w:after="60"/>
              <w:jc w:val="right"/>
              <w:rPr>
                <w:sz w:val="16"/>
                <w:szCs w:val="20"/>
              </w:rPr>
            </w:pPr>
            <w:r w:rsidRPr="005972E0">
              <w:rPr>
                <w:sz w:val="16"/>
                <w:szCs w:val="20"/>
              </w:rPr>
              <w:t>0,00</w:t>
            </w:r>
          </w:p>
        </w:tc>
        <w:tc>
          <w:tcPr>
            <w:tcW w:w="993" w:type="dxa"/>
            <w:shd w:val="clear" w:color="auto" w:fill="auto"/>
          </w:tcPr>
          <w:p w:rsidR="007C0F5C" w:rsidRPr="005972E0" w:rsidRDefault="007C0F5C" w:rsidP="005972E0">
            <w:pPr>
              <w:pStyle w:val="StyleHeader4Para4Left0Firstline0"/>
              <w:numPr>
                <w:ilvl w:val="0"/>
                <w:numId w:val="0"/>
              </w:numPr>
              <w:spacing w:after="60"/>
              <w:jc w:val="right"/>
              <w:rPr>
                <w:sz w:val="16"/>
                <w:szCs w:val="20"/>
              </w:rPr>
            </w:pPr>
            <w:r w:rsidRPr="005972E0">
              <w:rPr>
                <w:sz w:val="16"/>
                <w:szCs w:val="20"/>
              </w:rPr>
              <w:t>19,94</w:t>
            </w:r>
          </w:p>
        </w:tc>
        <w:tc>
          <w:tcPr>
            <w:tcW w:w="1290" w:type="dxa"/>
            <w:shd w:val="clear" w:color="auto" w:fill="auto"/>
          </w:tcPr>
          <w:p w:rsidR="007C0F5C" w:rsidRPr="005972E0" w:rsidRDefault="007C0F5C" w:rsidP="005972E0">
            <w:pPr>
              <w:pStyle w:val="StyleHeader4Para4Left0Firstline0"/>
              <w:numPr>
                <w:ilvl w:val="0"/>
                <w:numId w:val="0"/>
              </w:numPr>
              <w:spacing w:after="60"/>
              <w:jc w:val="right"/>
              <w:rPr>
                <w:sz w:val="16"/>
                <w:szCs w:val="20"/>
              </w:rPr>
            </w:pPr>
            <w:r w:rsidRPr="005972E0">
              <w:rPr>
                <w:sz w:val="16"/>
                <w:szCs w:val="20"/>
              </w:rPr>
              <w:t>0,00</w:t>
            </w:r>
          </w:p>
        </w:tc>
        <w:tc>
          <w:tcPr>
            <w:tcW w:w="694" w:type="dxa"/>
            <w:shd w:val="clear" w:color="auto" w:fill="auto"/>
          </w:tcPr>
          <w:p w:rsidR="007C0F5C" w:rsidRPr="005972E0" w:rsidRDefault="007C0F5C" w:rsidP="005972E0">
            <w:pPr>
              <w:pStyle w:val="StyleHeader4Para4Left0Firstline0"/>
              <w:numPr>
                <w:ilvl w:val="0"/>
                <w:numId w:val="0"/>
              </w:numPr>
              <w:spacing w:after="60"/>
              <w:jc w:val="right"/>
              <w:rPr>
                <w:sz w:val="16"/>
                <w:szCs w:val="20"/>
              </w:rPr>
            </w:pPr>
            <w:r w:rsidRPr="005972E0">
              <w:rPr>
                <w:sz w:val="16"/>
                <w:szCs w:val="20"/>
              </w:rPr>
              <w:t>0,00</w:t>
            </w:r>
          </w:p>
        </w:tc>
        <w:tc>
          <w:tcPr>
            <w:tcW w:w="992" w:type="dxa"/>
            <w:shd w:val="clear" w:color="auto" w:fill="auto"/>
          </w:tcPr>
          <w:p w:rsidR="007C0F5C" w:rsidRPr="005972E0" w:rsidRDefault="007C0F5C" w:rsidP="005972E0">
            <w:pPr>
              <w:pStyle w:val="StyleHeader4Para4Left0Firstline0"/>
              <w:numPr>
                <w:ilvl w:val="0"/>
                <w:numId w:val="0"/>
              </w:numPr>
              <w:spacing w:after="60"/>
              <w:jc w:val="right"/>
              <w:rPr>
                <w:sz w:val="16"/>
                <w:szCs w:val="20"/>
              </w:rPr>
            </w:pPr>
            <w:r w:rsidRPr="005972E0">
              <w:rPr>
                <w:sz w:val="16"/>
                <w:szCs w:val="20"/>
              </w:rPr>
              <w:t>0,00</w:t>
            </w:r>
          </w:p>
        </w:tc>
        <w:tc>
          <w:tcPr>
            <w:tcW w:w="1137" w:type="dxa"/>
            <w:gridSpan w:val="2"/>
            <w:shd w:val="clear" w:color="auto" w:fill="auto"/>
          </w:tcPr>
          <w:p w:rsidR="007C0F5C" w:rsidRPr="005972E0" w:rsidRDefault="007C0F5C" w:rsidP="005972E0">
            <w:pPr>
              <w:pStyle w:val="StyleHeader4Para4Left0Firstline0"/>
              <w:numPr>
                <w:ilvl w:val="0"/>
                <w:numId w:val="0"/>
              </w:numPr>
              <w:spacing w:after="60"/>
              <w:jc w:val="right"/>
              <w:rPr>
                <w:sz w:val="16"/>
                <w:szCs w:val="20"/>
              </w:rPr>
            </w:pPr>
            <w:r w:rsidRPr="005972E0">
              <w:rPr>
                <w:sz w:val="16"/>
                <w:szCs w:val="20"/>
              </w:rPr>
              <w:t>0,00</w:t>
            </w:r>
          </w:p>
        </w:tc>
        <w:tc>
          <w:tcPr>
            <w:tcW w:w="729" w:type="dxa"/>
            <w:gridSpan w:val="2"/>
            <w:shd w:val="clear" w:color="auto" w:fill="auto"/>
          </w:tcPr>
          <w:p w:rsidR="007C0F5C" w:rsidRPr="005972E0" w:rsidRDefault="007C0F5C" w:rsidP="005972E0">
            <w:pPr>
              <w:pStyle w:val="StyleHeader4Para4Left0Firstline0"/>
              <w:numPr>
                <w:ilvl w:val="0"/>
                <w:numId w:val="0"/>
              </w:numPr>
              <w:spacing w:after="60"/>
              <w:jc w:val="right"/>
              <w:rPr>
                <w:sz w:val="16"/>
                <w:szCs w:val="20"/>
              </w:rPr>
            </w:pPr>
            <w:r w:rsidRPr="005972E0">
              <w:rPr>
                <w:sz w:val="16"/>
                <w:szCs w:val="20"/>
              </w:rPr>
              <w:t>0,00</w:t>
            </w:r>
          </w:p>
        </w:tc>
        <w:tc>
          <w:tcPr>
            <w:tcW w:w="709" w:type="dxa"/>
            <w:shd w:val="clear" w:color="auto" w:fill="auto"/>
          </w:tcPr>
          <w:p w:rsidR="007C0F5C" w:rsidRPr="005972E0" w:rsidRDefault="007C0F5C" w:rsidP="005972E0">
            <w:pPr>
              <w:pStyle w:val="StyleHeader4Para4Left0Firstline0"/>
              <w:numPr>
                <w:ilvl w:val="0"/>
                <w:numId w:val="0"/>
              </w:numPr>
              <w:spacing w:after="60"/>
              <w:jc w:val="right"/>
              <w:rPr>
                <w:sz w:val="16"/>
                <w:szCs w:val="20"/>
              </w:rPr>
            </w:pPr>
            <w:r w:rsidRPr="005972E0">
              <w:rPr>
                <w:sz w:val="16"/>
                <w:szCs w:val="20"/>
              </w:rPr>
              <w:t>0,00</w:t>
            </w:r>
          </w:p>
        </w:tc>
        <w:tc>
          <w:tcPr>
            <w:tcW w:w="1394" w:type="dxa"/>
            <w:shd w:val="clear" w:color="auto" w:fill="auto"/>
          </w:tcPr>
          <w:p w:rsidR="007C0F5C" w:rsidRPr="005972E0" w:rsidRDefault="007C0F5C" w:rsidP="005972E0">
            <w:pPr>
              <w:pStyle w:val="StyleHeader4Para4Left0Firstline0"/>
              <w:numPr>
                <w:ilvl w:val="0"/>
                <w:numId w:val="0"/>
              </w:numPr>
              <w:spacing w:after="60"/>
              <w:jc w:val="right"/>
              <w:rPr>
                <w:sz w:val="16"/>
                <w:szCs w:val="20"/>
              </w:rPr>
            </w:pPr>
            <w:r w:rsidRPr="005972E0">
              <w:rPr>
                <w:sz w:val="16"/>
                <w:szCs w:val="20"/>
              </w:rPr>
              <w:t>19,94</w:t>
            </w:r>
          </w:p>
        </w:tc>
      </w:tr>
      <w:tr w:rsidR="007C0F5C" w:rsidRPr="005972E0" w:rsidTr="005972E0">
        <w:trPr>
          <w:trHeight w:val="250"/>
        </w:trPr>
        <w:tc>
          <w:tcPr>
            <w:tcW w:w="2042" w:type="dxa"/>
            <w:shd w:val="clear" w:color="auto" w:fill="auto"/>
          </w:tcPr>
          <w:p w:rsidR="007C0F5C" w:rsidRPr="005972E0" w:rsidRDefault="007C0F5C" w:rsidP="005972E0">
            <w:pPr>
              <w:pStyle w:val="StyleHeader4Para4Left0Firstline0"/>
              <w:numPr>
                <w:ilvl w:val="0"/>
                <w:numId w:val="0"/>
              </w:numPr>
              <w:spacing w:after="60"/>
              <w:jc w:val="left"/>
              <w:rPr>
                <w:sz w:val="16"/>
                <w:szCs w:val="20"/>
              </w:rPr>
            </w:pPr>
            <w:r w:rsidRPr="005972E0">
              <w:rPr>
                <w:sz w:val="16"/>
                <w:szCs w:val="20"/>
              </w:rPr>
              <w:t>HCFC-142b</w:t>
            </w:r>
          </w:p>
        </w:tc>
        <w:tc>
          <w:tcPr>
            <w:tcW w:w="850" w:type="dxa"/>
            <w:shd w:val="clear" w:color="auto" w:fill="auto"/>
          </w:tcPr>
          <w:p w:rsidR="007C0F5C" w:rsidRPr="005972E0" w:rsidRDefault="007C0F5C" w:rsidP="005972E0">
            <w:pPr>
              <w:pStyle w:val="StyleHeader4Para4Left0Firstline0"/>
              <w:numPr>
                <w:ilvl w:val="0"/>
                <w:numId w:val="0"/>
              </w:numPr>
              <w:spacing w:after="60"/>
              <w:jc w:val="right"/>
              <w:rPr>
                <w:sz w:val="16"/>
                <w:szCs w:val="20"/>
              </w:rPr>
            </w:pPr>
            <w:r w:rsidRPr="005972E0">
              <w:rPr>
                <w:sz w:val="16"/>
                <w:szCs w:val="20"/>
              </w:rPr>
              <w:t>0,00</w:t>
            </w:r>
          </w:p>
        </w:tc>
        <w:tc>
          <w:tcPr>
            <w:tcW w:w="993" w:type="dxa"/>
            <w:shd w:val="clear" w:color="auto" w:fill="auto"/>
          </w:tcPr>
          <w:p w:rsidR="007C0F5C" w:rsidRPr="005972E0" w:rsidRDefault="007C0F5C" w:rsidP="005972E0">
            <w:pPr>
              <w:pStyle w:val="StyleHeader4Para4Left0Firstline0"/>
              <w:numPr>
                <w:ilvl w:val="0"/>
                <w:numId w:val="0"/>
              </w:numPr>
              <w:spacing w:after="60"/>
              <w:jc w:val="right"/>
              <w:rPr>
                <w:sz w:val="16"/>
                <w:szCs w:val="20"/>
              </w:rPr>
            </w:pPr>
            <w:r w:rsidRPr="005972E0">
              <w:rPr>
                <w:sz w:val="16"/>
                <w:szCs w:val="20"/>
              </w:rPr>
              <w:t>0,89</w:t>
            </w:r>
          </w:p>
        </w:tc>
        <w:tc>
          <w:tcPr>
            <w:tcW w:w="1290" w:type="dxa"/>
            <w:shd w:val="clear" w:color="auto" w:fill="auto"/>
          </w:tcPr>
          <w:p w:rsidR="007C0F5C" w:rsidRPr="005972E0" w:rsidRDefault="007C0F5C" w:rsidP="005972E0">
            <w:pPr>
              <w:pStyle w:val="StyleHeader4Para4Left0Firstline0"/>
              <w:numPr>
                <w:ilvl w:val="0"/>
                <w:numId w:val="0"/>
              </w:numPr>
              <w:spacing w:after="60"/>
              <w:jc w:val="right"/>
              <w:rPr>
                <w:sz w:val="16"/>
                <w:szCs w:val="20"/>
              </w:rPr>
            </w:pPr>
            <w:r w:rsidRPr="005972E0">
              <w:rPr>
                <w:sz w:val="16"/>
                <w:szCs w:val="20"/>
              </w:rPr>
              <w:t>0,00</w:t>
            </w:r>
          </w:p>
        </w:tc>
        <w:tc>
          <w:tcPr>
            <w:tcW w:w="694" w:type="dxa"/>
            <w:shd w:val="clear" w:color="auto" w:fill="auto"/>
          </w:tcPr>
          <w:p w:rsidR="007C0F5C" w:rsidRPr="005972E0" w:rsidRDefault="007C0F5C" w:rsidP="005972E0">
            <w:pPr>
              <w:pStyle w:val="StyleHeader4Para4Left0Firstline0"/>
              <w:numPr>
                <w:ilvl w:val="0"/>
                <w:numId w:val="0"/>
              </w:numPr>
              <w:spacing w:after="60"/>
              <w:jc w:val="right"/>
              <w:rPr>
                <w:sz w:val="16"/>
                <w:szCs w:val="20"/>
              </w:rPr>
            </w:pPr>
            <w:r w:rsidRPr="005972E0">
              <w:rPr>
                <w:sz w:val="16"/>
                <w:szCs w:val="20"/>
              </w:rPr>
              <w:t>0,00</w:t>
            </w:r>
          </w:p>
        </w:tc>
        <w:tc>
          <w:tcPr>
            <w:tcW w:w="992" w:type="dxa"/>
            <w:shd w:val="clear" w:color="auto" w:fill="auto"/>
          </w:tcPr>
          <w:p w:rsidR="007C0F5C" w:rsidRPr="005972E0" w:rsidRDefault="007C0F5C" w:rsidP="005972E0">
            <w:pPr>
              <w:pStyle w:val="StyleHeader4Para4Left0Firstline0"/>
              <w:numPr>
                <w:ilvl w:val="0"/>
                <w:numId w:val="0"/>
              </w:numPr>
              <w:spacing w:after="60"/>
              <w:jc w:val="right"/>
              <w:rPr>
                <w:sz w:val="16"/>
                <w:szCs w:val="20"/>
              </w:rPr>
            </w:pPr>
            <w:r w:rsidRPr="005972E0">
              <w:rPr>
                <w:sz w:val="16"/>
                <w:szCs w:val="20"/>
              </w:rPr>
              <w:t>3,39</w:t>
            </w:r>
          </w:p>
        </w:tc>
        <w:tc>
          <w:tcPr>
            <w:tcW w:w="1137" w:type="dxa"/>
            <w:gridSpan w:val="2"/>
            <w:shd w:val="clear" w:color="auto" w:fill="auto"/>
          </w:tcPr>
          <w:p w:rsidR="007C0F5C" w:rsidRPr="005972E0" w:rsidRDefault="007C0F5C" w:rsidP="005972E0">
            <w:pPr>
              <w:pStyle w:val="StyleHeader4Para4Left0Firstline0"/>
              <w:numPr>
                <w:ilvl w:val="0"/>
                <w:numId w:val="0"/>
              </w:numPr>
              <w:spacing w:after="60"/>
              <w:jc w:val="right"/>
              <w:rPr>
                <w:sz w:val="16"/>
                <w:szCs w:val="20"/>
              </w:rPr>
            </w:pPr>
            <w:r w:rsidRPr="005972E0">
              <w:rPr>
                <w:sz w:val="16"/>
                <w:szCs w:val="20"/>
              </w:rPr>
              <w:t>0,00</w:t>
            </w:r>
          </w:p>
        </w:tc>
        <w:tc>
          <w:tcPr>
            <w:tcW w:w="729" w:type="dxa"/>
            <w:gridSpan w:val="2"/>
            <w:shd w:val="clear" w:color="auto" w:fill="auto"/>
          </w:tcPr>
          <w:p w:rsidR="007C0F5C" w:rsidRPr="005972E0" w:rsidRDefault="007C0F5C" w:rsidP="005972E0">
            <w:pPr>
              <w:pStyle w:val="StyleHeader4Para4Left0Firstline0"/>
              <w:numPr>
                <w:ilvl w:val="0"/>
                <w:numId w:val="0"/>
              </w:numPr>
              <w:spacing w:after="60"/>
              <w:jc w:val="right"/>
              <w:rPr>
                <w:sz w:val="16"/>
                <w:szCs w:val="20"/>
              </w:rPr>
            </w:pPr>
            <w:r w:rsidRPr="005972E0">
              <w:rPr>
                <w:sz w:val="16"/>
                <w:szCs w:val="20"/>
              </w:rPr>
              <w:t>0,00</w:t>
            </w:r>
          </w:p>
        </w:tc>
        <w:tc>
          <w:tcPr>
            <w:tcW w:w="709" w:type="dxa"/>
            <w:shd w:val="clear" w:color="auto" w:fill="auto"/>
          </w:tcPr>
          <w:p w:rsidR="007C0F5C" w:rsidRPr="005972E0" w:rsidRDefault="007C0F5C" w:rsidP="005972E0">
            <w:pPr>
              <w:pStyle w:val="StyleHeader4Para4Left0Firstline0"/>
              <w:numPr>
                <w:ilvl w:val="0"/>
                <w:numId w:val="0"/>
              </w:numPr>
              <w:spacing w:after="60"/>
              <w:jc w:val="right"/>
              <w:rPr>
                <w:sz w:val="16"/>
                <w:szCs w:val="20"/>
              </w:rPr>
            </w:pPr>
            <w:r w:rsidRPr="005972E0">
              <w:rPr>
                <w:sz w:val="16"/>
                <w:szCs w:val="20"/>
              </w:rPr>
              <w:t>0,00</w:t>
            </w:r>
          </w:p>
        </w:tc>
        <w:tc>
          <w:tcPr>
            <w:tcW w:w="1394" w:type="dxa"/>
            <w:shd w:val="clear" w:color="auto" w:fill="auto"/>
          </w:tcPr>
          <w:p w:rsidR="007C0F5C" w:rsidRPr="005972E0" w:rsidRDefault="007C0F5C" w:rsidP="005972E0">
            <w:pPr>
              <w:pStyle w:val="StyleHeader4Para4Left0Firstline0"/>
              <w:numPr>
                <w:ilvl w:val="0"/>
                <w:numId w:val="0"/>
              </w:numPr>
              <w:spacing w:after="60"/>
              <w:jc w:val="right"/>
              <w:rPr>
                <w:sz w:val="16"/>
                <w:szCs w:val="20"/>
              </w:rPr>
            </w:pPr>
            <w:r w:rsidRPr="005972E0">
              <w:rPr>
                <w:sz w:val="16"/>
                <w:szCs w:val="20"/>
              </w:rPr>
              <w:t>4,28</w:t>
            </w:r>
          </w:p>
        </w:tc>
      </w:tr>
    </w:tbl>
    <w:p w:rsidR="007C0F5C" w:rsidRPr="005972E0" w:rsidRDefault="007C0F5C" w:rsidP="005972E0">
      <w:pPr>
        <w:pStyle w:val="StyleHeader4Para4Left0Firstline0"/>
        <w:numPr>
          <w:ilvl w:val="0"/>
          <w:numId w:val="0"/>
        </w:numPr>
        <w:spacing w:after="0" w:line="60" w:lineRule="exact"/>
        <w:jc w:val="center"/>
        <w:rPr>
          <w:sz w:val="14"/>
          <w:szCs w:val="14"/>
        </w:rPr>
      </w:pPr>
    </w:p>
    <w:p w:rsidR="00054E5B" w:rsidRPr="005972E0" w:rsidRDefault="00054E5B" w:rsidP="005972E0">
      <w:pPr>
        <w:spacing w:line="60" w:lineRule="exact"/>
        <w:rPr>
          <w:sz w:val="20"/>
          <w:szCs w:val="20"/>
        </w:rPr>
      </w:pPr>
    </w:p>
    <w:tbl>
      <w:tblPr>
        <w:tblStyle w:val="TableGrid"/>
        <w:tblW w:w="10470" w:type="dxa"/>
        <w:tblInd w:w="-459"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886"/>
        <w:gridCol w:w="792"/>
        <w:gridCol w:w="5000"/>
        <w:gridCol w:w="792"/>
      </w:tblGrid>
      <w:tr w:rsidR="007C0F5C" w:rsidRPr="005972E0" w:rsidTr="005972E0">
        <w:trPr>
          <w:trHeight w:val="252"/>
        </w:trPr>
        <w:tc>
          <w:tcPr>
            <w:tcW w:w="10470" w:type="dxa"/>
            <w:gridSpan w:val="4"/>
            <w:shd w:val="clear" w:color="auto" w:fill="auto"/>
          </w:tcPr>
          <w:p w:rsidR="007C0F5C" w:rsidRPr="005972E0" w:rsidRDefault="007C0F5C" w:rsidP="007C0F5C">
            <w:pPr>
              <w:pStyle w:val="StyleHeader4Para4Left0Firstline0"/>
              <w:numPr>
                <w:ilvl w:val="0"/>
                <w:numId w:val="0"/>
              </w:numPr>
              <w:spacing w:after="60"/>
              <w:jc w:val="left"/>
              <w:rPr>
                <w:b/>
                <w:sz w:val="16"/>
                <w:szCs w:val="20"/>
                <w:lang w:val="es-419"/>
              </w:rPr>
            </w:pPr>
            <w:r w:rsidRPr="005972E0">
              <w:rPr>
                <w:b/>
                <w:sz w:val="16"/>
                <w:szCs w:val="20"/>
                <w:lang w:val="es-419"/>
              </w:rPr>
              <w:t>IV) DATOS SOBRE EL CONSUMO (toneladas PAO)</w:t>
            </w:r>
          </w:p>
        </w:tc>
      </w:tr>
      <w:tr w:rsidR="007C0F5C" w:rsidRPr="005972E0" w:rsidTr="005972E0">
        <w:trPr>
          <w:trHeight w:val="252"/>
        </w:trPr>
        <w:tc>
          <w:tcPr>
            <w:tcW w:w="3217" w:type="dxa"/>
            <w:shd w:val="clear" w:color="auto" w:fill="auto"/>
          </w:tcPr>
          <w:p w:rsidR="007C0F5C" w:rsidRPr="005972E0" w:rsidRDefault="007C0F5C" w:rsidP="007C0F5C">
            <w:pPr>
              <w:pStyle w:val="StyleHeader4Para4Left0Firstline0"/>
              <w:numPr>
                <w:ilvl w:val="0"/>
                <w:numId w:val="0"/>
              </w:numPr>
              <w:spacing w:after="60"/>
              <w:jc w:val="center"/>
              <w:rPr>
                <w:sz w:val="16"/>
                <w:szCs w:val="20"/>
              </w:rPr>
            </w:pPr>
            <w:r w:rsidRPr="005972E0">
              <w:rPr>
                <w:sz w:val="16"/>
                <w:szCs w:val="20"/>
              </w:rPr>
              <w:t>Nivel básico de 2009 - 2010:</w:t>
            </w:r>
          </w:p>
        </w:tc>
        <w:tc>
          <w:tcPr>
            <w:tcW w:w="0" w:type="auto"/>
            <w:shd w:val="clear" w:color="auto" w:fill="auto"/>
          </w:tcPr>
          <w:p w:rsidR="007C0F5C" w:rsidRPr="005972E0" w:rsidRDefault="007C0F5C" w:rsidP="007C0F5C">
            <w:pPr>
              <w:pStyle w:val="StyleHeader4Para4Left0Firstline0"/>
              <w:numPr>
                <w:ilvl w:val="0"/>
                <w:numId w:val="0"/>
              </w:numPr>
              <w:spacing w:after="60"/>
              <w:jc w:val="right"/>
              <w:rPr>
                <w:sz w:val="16"/>
                <w:szCs w:val="20"/>
              </w:rPr>
            </w:pPr>
            <w:r w:rsidRPr="005972E0">
              <w:rPr>
                <w:sz w:val="16"/>
                <w:szCs w:val="20"/>
              </w:rPr>
              <w:t>400,70</w:t>
            </w:r>
          </w:p>
        </w:tc>
        <w:tc>
          <w:tcPr>
            <w:tcW w:w="0" w:type="auto"/>
            <w:shd w:val="clear" w:color="auto" w:fill="auto"/>
          </w:tcPr>
          <w:p w:rsidR="007C0F5C" w:rsidRPr="005972E0" w:rsidRDefault="007C0F5C" w:rsidP="007C0F5C">
            <w:pPr>
              <w:pStyle w:val="StyleHeader4Para4Left0Firstline0"/>
              <w:numPr>
                <w:ilvl w:val="0"/>
                <w:numId w:val="0"/>
              </w:numPr>
              <w:spacing w:after="60"/>
              <w:jc w:val="center"/>
              <w:rPr>
                <w:sz w:val="16"/>
                <w:szCs w:val="20"/>
                <w:lang w:val="es-419"/>
              </w:rPr>
            </w:pPr>
            <w:r w:rsidRPr="005972E0">
              <w:rPr>
                <w:sz w:val="16"/>
                <w:szCs w:val="20"/>
                <w:lang w:val="es-419"/>
              </w:rPr>
              <w:t>Punto de partida para las reducciones acumuladas sostenidas:</w:t>
            </w:r>
          </w:p>
        </w:tc>
        <w:tc>
          <w:tcPr>
            <w:tcW w:w="0" w:type="auto"/>
            <w:shd w:val="clear" w:color="auto" w:fill="auto"/>
          </w:tcPr>
          <w:p w:rsidR="007C0F5C" w:rsidRPr="005972E0" w:rsidRDefault="007C0F5C" w:rsidP="007C0F5C">
            <w:pPr>
              <w:pStyle w:val="StyleHeader4Para4Left0Firstline0"/>
              <w:numPr>
                <w:ilvl w:val="0"/>
                <w:numId w:val="0"/>
              </w:numPr>
              <w:spacing w:after="60"/>
              <w:jc w:val="right"/>
              <w:rPr>
                <w:sz w:val="16"/>
                <w:szCs w:val="20"/>
              </w:rPr>
            </w:pPr>
            <w:r w:rsidRPr="005972E0">
              <w:rPr>
                <w:sz w:val="16"/>
                <w:szCs w:val="20"/>
              </w:rPr>
              <w:t>377,51</w:t>
            </w:r>
          </w:p>
        </w:tc>
      </w:tr>
      <w:tr w:rsidR="007C0F5C" w:rsidRPr="005972E0" w:rsidTr="005972E0">
        <w:trPr>
          <w:trHeight w:val="252"/>
        </w:trPr>
        <w:tc>
          <w:tcPr>
            <w:tcW w:w="10470" w:type="dxa"/>
            <w:gridSpan w:val="4"/>
            <w:shd w:val="clear" w:color="auto" w:fill="auto"/>
          </w:tcPr>
          <w:p w:rsidR="007C0F5C" w:rsidRPr="005972E0" w:rsidRDefault="007C0F5C" w:rsidP="007C0F5C">
            <w:pPr>
              <w:pStyle w:val="StyleHeader4Para4Left0Firstline0"/>
              <w:numPr>
                <w:ilvl w:val="0"/>
                <w:numId w:val="0"/>
              </w:numPr>
              <w:spacing w:after="60"/>
              <w:jc w:val="center"/>
              <w:rPr>
                <w:b/>
                <w:sz w:val="16"/>
                <w:szCs w:val="20"/>
                <w:lang w:val="es-419"/>
              </w:rPr>
            </w:pPr>
            <w:r w:rsidRPr="005972E0">
              <w:rPr>
                <w:b/>
                <w:sz w:val="16"/>
                <w:szCs w:val="20"/>
                <w:lang w:val="es-419"/>
              </w:rPr>
              <w:t>CONSUMO ADMISIBLE PARA LA FINANCIACIÓN (toneladas PAO)</w:t>
            </w:r>
          </w:p>
        </w:tc>
      </w:tr>
      <w:tr w:rsidR="007C0F5C" w:rsidRPr="005972E0" w:rsidTr="005972E0">
        <w:trPr>
          <w:trHeight w:val="252"/>
        </w:trPr>
        <w:tc>
          <w:tcPr>
            <w:tcW w:w="3217" w:type="dxa"/>
            <w:shd w:val="clear" w:color="auto" w:fill="auto"/>
          </w:tcPr>
          <w:p w:rsidR="007C0F5C" w:rsidRPr="005972E0" w:rsidRDefault="007C0F5C" w:rsidP="007C0F5C">
            <w:pPr>
              <w:pStyle w:val="StyleHeader4Para4Left0Firstline0"/>
              <w:numPr>
                <w:ilvl w:val="0"/>
                <w:numId w:val="0"/>
              </w:numPr>
              <w:spacing w:after="60"/>
              <w:jc w:val="center"/>
              <w:rPr>
                <w:sz w:val="16"/>
                <w:szCs w:val="20"/>
              </w:rPr>
            </w:pPr>
            <w:r w:rsidRPr="005972E0">
              <w:rPr>
                <w:sz w:val="16"/>
                <w:szCs w:val="20"/>
              </w:rPr>
              <w:t>Ya aprobado:</w:t>
            </w:r>
          </w:p>
        </w:tc>
        <w:tc>
          <w:tcPr>
            <w:tcW w:w="0" w:type="auto"/>
            <w:shd w:val="clear" w:color="auto" w:fill="auto"/>
          </w:tcPr>
          <w:p w:rsidR="007C0F5C" w:rsidRPr="005972E0" w:rsidRDefault="007C0F5C" w:rsidP="007C0F5C">
            <w:pPr>
              <w:pStyle w:val="StyleHeader4Para4Left0Firstline0"/>
              <w:numPr>
                <w:ilvl w:val="0"/>
                <w:numId w:val="0"/>
              </w:numPr>
              <w:spacing w:after="60"/>
              <w:jc w:val="right"/>
              <w:rPr>
                <w:sz w:val="16"/>
                <w:szCs w:val="20"/>
              </w:rPr>
            </w:pPr>
            <w:r w:rsidRPr="005972E0">
              <w:rPr>
                <w:sz w:val="16"/>
                <w:szCs w:val="20"/>
              </w:rPr>
              <w:t>198,72</w:t>
            </w:r>
          </w:p>
        </w:tc>
        <w:tc>
          <w:tcPr>
            <w:tcW w:w="0" w:type="auto"/>
            <w:shd w:val="clear" w:color="auto" w:fill="auto"/>
          </w:tcPr>
          <w:p w:rsidR="007C0F5C" w:rsidRPr="005972E0" w:rsidRDefault="007C0F5C" w:rsidP="007C0F5C">
            <w:pPr>
              <w:pStyle w:val="StyleHeader4Para4Left0Firstline0"/>
              <w:numPr>
                <w:ilvl w:val="0"/>
                <w:numId w:val="0"/>
              </w:numPr>
              <w:spacing w:after="60"/>
              <w:jc w:val="center"/>
              <w:rPr>
                <w:sz w:val="16"/>
                <w:szCs w:val="20"/>
              </w:rPr>
            </w:pPr>
            <w:r w:rsidRPr="005972E0">
              <w:rPr>
                <w:sz w:val="16"/>
                <w:szCs w:val="20"/>
              </w:rPr>
              <w:t>Restante:</w:t>
            </w:r>
          </w:p>
        </w:tc>
        <w:tc>
          <w:tcPr>
            <w:tcW w:w="0" w:type="auto"/>
            <w:shd w:val="clear" w:color="auto" w:fill="auto"/>
          </w:tcPr>
          <w:p w:rsidR="007C0F5C" w:rsidRPr="005972E0" w:rsidRDefault="007C0F5C" w:rsidP="007C0F5C">
            <w:pPr>
              <w:pStyle w:val="StyleHeader4Para4Left0Firstline0"/>
              <w:numPr>
                <w:ilvl w:val="0"/>
                <w:numId w:val="0"/>
              </w:numPr>
              <w:spacing w:after="60"/>
              <w:jc w:val="right"/>
              <w:rPr>
                <w:sz w:val="16"/>
                <w:szCs w:val="20"/>
              </w:rPr>
            </w:pPr>
            <w:r w:rsidRPr="005972E0">
              <w:rPr>
                <w:sz w:val="16"/>
                <w:szCs w:val="20"/>
              </w:rPr>
              <w:t>178,79</w:t>
            </w:r>
          </w:p>
        </w:tc>
      </w:tr>
    </w:tbl>
    <w:p w:rsidR="007C0F5C" w:rsidRPr="005972E0" w:rsidRDefault="007C0F5C" w:rsidP="005972E0">
      <w:pPr>
        <w:pStyle w:val="StyleHeader4Para4Left0Firstline0"/>
        <w:numPr>
          <w:ilvl w:val="0"/>
          <w:numId w:val="0"/>
        </w:numPr>
        <w:spacing w:after="0" w:line="60" w:lineRule="exact"/>
        <w:jc w:val="center"/>
        <w:rPr>
          <w:sz w:val="14"/>
          <w:szCs w:val="14"/>
        </w:rPr>
      </w:pPr>
    </w:p>
    <w:tbl>
      <w:tblPr>
        <w:tblStyle w:val="TableGrid"/>
        <w:tblW w:w="10507" w:type="dxa"/>
        <w:tblInd w:w="-459"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578"/>
        <w:gridCol w:w="4175"/>
        <w:gridCol w:w="1313"/>
        <w:gridCol w:w="822"/>
        <w:gridCol w:w="1313"/>
        <w:gridCol w:w="1306"/>
      </w:tblGrid>
      <w:tr w:rsidR="007C0F5C" w:rsidRPr="005972E0" w:rsidTr="005972E0">
        <w:trPr>
          <w:trHeight w:val="271"/>
        </w:trPr>
        <w:tc>
          <w:tcPr>
            <w:tcW w:w="5754" w:type="dxa"/>
            <w:gridSpan w:val="2"/>
            <w:shd w:val="clear" w:color="auto" w:fill="auto"/>
          </w:tcPr>
          <w:p w:rsidR="007C0F5C" w:rsidRPr="005972E0" w:rsidRDefault="007C0F5C" w:rsidP="007C0F5C">
            <w:pPr>
              <w:pStyle w:val="StyleHeader4Para4Left0Firstline0"/>
              <w:numPr>
                <w:ilvl w:val="0"/>
                <w:numId w:val="0"/>
              </w:numPr>
              <w:spacing w:after="60"/>
              <w:jc w:val="left"/>
              <w:rPr>
                <w:b/>
                <w:sz w:val="16"/>
                <w:szCs w:val="20"/>
              </w:rPr>
            </w:pPr>
            <w:r w:rsidRPr="005972E0">
              <w:rPr>
                <w:b/>
                <w:sz w:val="16"/>
                <w:szCs w:val="20"/>
              </w:rPr>
              <w:t>V) PLAN ADMINISTRATIVO</w:t>
            </w:r>
          </w:p>
        </w:tc>
        <w:tc>
          <w:tcPr>
            <w:tcW w:w="0" w:type="auto"/>
            <w:shd w:val="clear" w:color="auto" w:fill="auto"/>
          </w:tcPr>
          <w:p w:rsidR="007C0F5C" w:rsidRPr="005972E0" w:rsidRDefault="007C0F5C" w:rsidP="007C0F5C">
            <w:pPr>
              <w:pStyle w:val="StyleHeader4Para4Left0Firstline0"/>
              <w:numPr>
                <w:ilvl w:val="0"/>
                <w:numId w:val="0"/>
              </w:numPr>
              <w:spacing w:after="60"/>
              <w:jc w:val="center"/>
              <w:rPr>
                <w:b/>
                <w:sz w:val="16"/>
                <w:szCs w:val="20"/>
              </w:rPr>
            </w:pPr>
            <w:r w:rsidRPr="005972E0">
              <w:rPr>
                <w:b/>
                <w:sz w:val="16"/>
                <w:szCs w:val="20"/>
              </w:rPr>
              <w:t>2019</w:t>
            </w:r>
          </w:p>
        </w:tc>
        <w:tc>
          <w:tcPr>
            <w:tcW w:w="0" w:type="auto"/>
            <w:shd w:val="clear" w:color="auto" w:fill="auto"/>
          </w:tcPr>
          <w:p w:rsidR="007C0F5C" w:rsidRPr="005972E0" w:rsidRDefault="007C0F5C" w:rsidP="007C0F5C">
            <w:pPr>
              <w:pStyle w:val="StyleHeader4Para4Left0Firstline0"/>
              <w:numPr>
                <w:ilvl w:val="0"/>
                <w:numId w:val="0"/>
              </w:numPr>
              <w:spacing w:after="60"/>
              <w:jc w:val="center"/>
              <w:rPr>
                <w:b/>
                <w:sz w:val="16"/>
                <w:szCs w:val="20"/>
              </w:rPr>
            </w:pPr>
            <w:r w:rsidRPr="005972E0">
              <w:rPr>
                <w:b/>
                <w:sz w:val="16"/>
                <w:szCs w:val="20"/>
              </w:rPr>
              <w:t>2020</w:t>
            </w:r>
          </w:p>
        </w:tc>
        <w:tc>
          <w:tcPr>
            <w:tcW w:w="0" w:type="auto"/>
            <w:shd w:val="clear" w:color="auto" w:fill="auto"/>
          </w:tcPr>
          <w:p w:rsidR="007C0F5C" w:rsidRPr="005972E0" w:rsidRDefault="007C0F5C" w:rsidP="007C0F5C">
            <w:pPr>
              <w:pStyle w:val="StyleHeader4Para4Left0Firstline0"/>
              <w:numPr>
                <w:ilvl w:val="0"/>
                <w:numId w:val="0"/>
              </w:numPr>
              <w:spacing w:after="60"/>
              <w:jc w:val="center"/>
              <w:rPr>
                <w:b/>
                <w:sz w:val="16"/>
                <w:szCs w:val="20"/>
              </w:rPr>
            </w:pPr>
            <w:r w:rsidRPr="005972E0">
              <w:rPr>
                <w:b/>
                <w:sz w:val="16"/>
                <w:szCs w:val="20"/>
              </w:rPr>
              <w:t>2021</w:t>
            </w:r>
          </w:p>
        </w:tc>
        <w:tc>
          <w:tcPr>
            <w:tcW w:w="1306" w:type="dxa"/>
            <w:shd w:val="clear" w:color="auto" w:fill="auto"/>
          </w:tcPr>
          <w:p w:rsidR="007C0F5C" w:rsidRPr="005972E0" w:rsidRDefault="007C0F5C" w:rsidP="007C0F5C">
            <w:pPr>
              <w:pStyle w:val="StyleHeader4Para4Left0Firstline0"/>
              <w:numPr>
                <w:ilvl w:val="0"/>
                <w:numId w:val="0"/>
              </w:numPr>
              <w:spacing w:after="60"/>
              <w:jc w:val="center"/>
              <w:rPr>
                <w:b/>
                <w:sz w:val="16"/>
                <w:szCs w:val="20"/>
              </w:rPr>
            </w:pPr>
            <w:r w:rsidRPr="005972E0">
              <w:rPr>
                <w:b/>
                <w:sz w:val="16"/>
                <w:szCs w:val="20"/>
              </w:rPr>
              <w:t>Total</w:t>
            </w:r>
          </w:p>
        </w:tc>
      </w:tr>
      <w:tr w:rsidR="007C0F5C" w:rsidRPr="005972E0" w:rsidTr="005972E0">
        <w:trPr>
          <w:trHeight w:val="271"/>
        </w:trPr>
        <w:tc>
          <w:tcPr>
            <w:tcW w:w="1579" w:type="dxa"/>
            <w:vMerge w:val="restart"/>
            <w:shd w:val="clear" w:color="auto" w:fill="auto"/>
          </w:tcPr>
          <w:p w:rsidR="007C0F5C" w:rsidRPr="005972E0" w:rsidRDefault="007C0F5C" w:rsidP="007C0F5C">
            <w:pPr>
              <w:pStyle w:val="StyleHeader4Para4Left0Firstline0"/>
              <w:numPr>
                <w:ilvl w:val="0"/>
                <w:numId w:val="0"/>
              </w:numPr>
              <w:spacing w:after="60"/>
              <w:jc w:val="center"/>
              <w:rPr>
                <w:sz w:val="16"/>
                <w:szCs w:val="20"/>
              </w:rPr>
            </w:pPr>
            <w:r w:rsidRPr="005972E0">
              <w:rPr>
                <w:sz w:val="16"/>
                <w:szCs w:val="20"/>
              </w:rPr>
              <w:t>ONUDI</w:t>
            </w:r>
          </w:p>
        </w:tc>
        <w:tc>
          <w:tcPr>
            <w:tcW w:w="0" w:type="auto"/>
            <w:shd w:val="clear" w:color="auto" w:fill="auto"/>
          </w:tcPr>
          <w:p w:rsidR="007C0F5C" w:rsidRPr="005972E0" w:rsidRDefault="007C0F5C" w:rsidP="007C0F5C">
            <w:pPr>
              <w:pStyle w:val="StyleHeader4Para4Left0Firstline0"/>
              <w:numPr>
                <w:ilvl w:val="0"/>
                <w:numId w:val="0"/>
              </w:numPr>
              <w:spacing w:after="60"/>
              <w:jc w:val="left"/>
              <w:rPr>
                <w:sz w:val="16"/>
                <w:szCs w:val="20"/>
                <w:lang w:val="es-419"/>
              </w:rPr>
            </w:pPr>
            <w:r w:rsidRPr="005972E0">
              <w:rPr>
                <w:sz w:val="16"/>
                <w:szCs w:val="20"/>
                <w:lang w:val="es-419"/>
              </w:rPr>
              <w:t>Eliminación de SAO (toneladas PAO)</w:t>
            </w:r>
          </w:p>
        </w:tc>
        <w:tc>
          <w:tcPr>
            <w:tcW w:w="0" w:type="auto"/>
            <w:shd w:val="clear" w:color="auto" w:fill="auto"/>
          </w:tcPr>
          <w:p w:rsidR="007C0F5C" w:rsidRPr="005972E0" w:rsidRDefault="007C0F5C" w:rsidP="007C0F5C">
            <w:pPr>
              <w:pStyle w:val="StyleHeader4Para4Left0Firstline0"/>
              <w:numPr>
                <w:ilvl w:val="0"/>
                <w:numId w:val="0"/>
              </w:numPr>
              <w:spacing w:after="60"/>
              <w:jc w:val="right"/>
              <w:rPr>
                <w:sz w:val="16"/>
                <w:szCs w:val="20"/>
              </w:rPr>
            </w:pPr>
            <w:r w:rsidRPr="005972E0">
              <w:rPr>
                <w:sz w:val="16"/>
                <w:szCs w:val="20"/>
              </w:rPr>
              <w:t>38,01</w:t>
            </w:r>
          </w:p>
        </w:tc>
        <w:tc>
          <w:tcPr>
            <w:tcW w:w="0" w:type="auto"/>
            <w:shd w:val="clear" w:color="auto" w:fill="auto"/>
          </w:tcPr>
          <w:p w:rsidR="007C0F5C" w:rsidRPr="005972E0" w:rsidRDefault="007C0F5C" w:rsidP="007C0F5C">
            <w:pPr>
              <w:pStyle w:val="StyleHeader4Para4Left0Firstline0"/>
              <w:numPr>
                <w:ilvl w:val="0"/>
                <w:numId w:val="0"/>
              </w:numPr>
              <w:spacing w:after="60"/>
              <w:jc w:val="right"/>
              <w:rPr>
                <w:sz w:val="16"/>
                <w:szCs w:val="20"/>
              </w:rPr>
            </w:pPr>
            <w:r w:rsidRPr="005972E0">
              <w:rPr>
                <w:sz w:val="16"/>
                <w:szCs w:val="20"/>
              </w:rPr>
              <w:t>0,0</w:t>
            </w:r>
          </w:p>
        </w:tc>
        <w:tc>
          <w:tcPr>
            <w:tcW w:w="0" w:type="auto"/>
            <w:shd w:val="clear" w:color="auto" w:fill="auto"/>
          </w:tcPr>
          <w:p w:rsidR="007C0F5C" w:rsidRPr="005972E0" w:rsidRDefault="007C0F5C" w:rsidP="007C0F5C">
            <w:pPr>
              <w:pStyle w:val="StyleHeader4Para4Left0Firstline0"/>
              <w:numPr>
                <w:ilvl w:val="0"/>
                <w:numId w:val="0"/>
              </w:numPr>
              <w:spacing w:after="60"/>
              <w:jc w:val="right"/>
              <w:rPr>
                <w:sz w:val="16"/>
                <w:szCs w:val="20"/>
              </w:rPr>
            </w:pPr>
            <w:r w:rsidRPr="005972E0">
              <w:rPr>
                <w:sz w:val="16"/>
                <w:szCs w:val="20"/>
              </w:rPr>
              <w:t>45,05</w:t>
            </w:r>
          </w:p>
        </w:tc>
        <w:tc>
          <w:tcPr>
            <w:tcW w:w="1306" w:type="dxa"/>
            <w:shd w:val="clear" w:color="auto" w:fill="auto"/>
          </w:tcPr>
          <w:p w:rsidR="007C0F5C" w:rsidRPr="005972E0" w:rsidRDefault="007C0F5C" w:rsidP="007C0F5C">
            <w:pPr>
              <w:pStyle w:val="StyleHeader4Para4Left0Firstline0"/>
              <w:numPr>
                <w:ilvl w:val="0"/>
                <w:numId w:val="0"/>
              </w:numPr>
              <w:spacing w:after="60"/>
              <w:jc w:val="right"/>
              <w:rPr>
                <w:sz w:val="16"/>
                <w:szCs w:val="20"/>
              </w:rPr>
            </w:pPr>
            <w:r w:rsidRPr="005972E0">
              <w:rPr>
                <w:sz w:val="16"/>
                <w:szCs w:val="20"/>
              </w:rPr>
              <w:t>83,06</w:t>
            </w:r>
          </w:p>
        </w:tc>
      </w:tr>
      <w:tr w:rsidR="007C0F5C" w:rsidRPr="005972E0" w:rsidTr="005972E0">
        <w:trPr>
          <w:trHeight w:val="271"/>
        </w:trPr>
        <w:tc>
          <w:tcPr>
            <w:tcW w:w="1579" w:type="dxa"/>
            <w:vMerge/>
            <w:shd w:val="clear" w:color="auto" w:fill="auto"/>
          </w:tcPr>
          <w:p w:rsidR="007C0F5C" w:rsidRPr="005972E0" w:rsidRDefault="007C0F5C" w:rsidP="007C0F5C">
            <w:pPr>
              <w:pStyle w:val="StyleHeader4Para4Left0Firstline0"/>
              <w:numPr>
                <w:ilvl w:val="0"/>
                <w:numId w:val="0"/>
              </w:numPr>
              <w:spacing w:after="60"/>
              <w:jc w:val="center"/>
              <w:rPr>
                <w:sz w:val="16"/>
                <w:szCs w:val="20"/>
              </w:rPr>
            </w:pPr>
          </w:p>
        </w:tc>
        <w:tc>
          <w:tcPr>
            <w:tcW w:w="0" w:type="auto"/>
            <w:shd w:val="clear" w:color="auto" w:fill="auto"/>
          </w:tcPr>
          <w:p w:rsidR="007C0F5C" w:rsidRPr="005972E0" w:rsidRDefault="007C0F5C" w:rsidP="007C0F5C">
            <w:pPr>
              <w:pStyle w:val="StyleHeader4Para4Left0Firstline0"/>
              <w:numPr>
                <w:ilvl w:val="0"/>
                <w:numId w:val="0"/>
              </w:numPr>
              <w:spacing w:after="60"/>
              <w:jc w:val="left"/>
              <w:rPr>
                <w:sz w:val="16"/>
                <w:szCs w:val="20"/>
              </w:rPr>
            </w:pPr>
            <w:r w:rsidRPr="005972E0">
              <w:rPr>
                <w:sz w:val="16"/>
                <w:szCs w:val="20"/>
              </w:rPr>
              <w:t>Financiación ($EUA)</w:t>
            </w:r>
          </w:p>
        </w:tc>
        <w:tc>
          <w:tcPr>
            <w:tcW w:w="0" w:type="auto"/>
            <w:shd w:val="clear" w:color="auto" w:fill="auto"/>
          </w:tcPr>
          <w:p w:rsidR="007C0F5C" w:rsidRPr="005972E0" w:rsidRDefault="007C0F5C" w:rsidP="007C0F5C">
            <w:pPr>
              <w:pStyle w:val="StyleHeader4Para4Left0Firstline0"/>
              <w:numPr>
                <w:ilvl w:val="0"/>
                <w:numId w:val="0"/>
              </w:numPr>
              <w:spacing w:after="60"/>
              <w:jc w:val="right"/>
              <w:rPr>
                <w:sz w:val="16"/>
                <w:szCs w:val="20"/>
              </w:rPr>
            </w:pPr>
            <w:r w:rsidRPr="005972E0">
              <w:rPr>
                <w:sz w:val="16"/>
                <w:szCs w:val="20"/>
              </w:rPr>
              <w:t>3 510 449</w:t>
            </w:r>
          </w:p>
        </w:tc>
        <w:tc>
          <w:tcPr>
            <w:tcW w:w="0" w:type="auto"/>
            <w:shd w:val="clear" w:color="auto" w:fill="auto"/>
          </w:tcPr>
          <w:p w:rsidR="007C0F5C" w:rsidRPr="005972E0" w:rsidRDefault="007C0F5C" w:rsidP="007C0F5C">
            <w:pPr>
              <w:pStyle w:val="StyleHeader4Para4Left0Firstline0"/>
              <w:numPr>
                <w:ilvl w:val="0"/>
                <w:numId w:val="0"/>
              </w:numPr>
              <w:spacing w:after="60"/>
              <w:jc w:val="right"/>
              <w:rPr>
                <w:sz w:val="16"/>
                <w:szCs w:val="20"/>
              </w:rPr>
            </w:pPr>
            <w:r w:rsidRPr="005972E0">
              <w:rPr>
                <w:sz w:val="16"/>
                <w:szCs w:val="20"/>
              </w:rPr>
              <w:t>0</w:t>
            </w:r>
          </w:p>
        </w:tc>
        <w:tc>
          <w:tcPr>
            <w:tcW w:w="0" w:type="auto"/>
            <w:shd w:val="clear" w:color="auto" w:fill="auto"/>
          </w:tcPr>
          <w:p w:rsidR="007C0F5C" w:rsidRPr="005972E0" w:rsidRDefault="007C0F5C" w:rsidP="007C0F5C">
            <w:pPr>
              <w:pStyle w:val="StyleHeader4Para4Left0Firstline0"/>
              <w:numPr>
                <w:ilvl w:val="0"/>
                <w:numId w:val="0"/>
              </w:numPr>
              <w:spacing w:after="60"/>
              <w:jc w:val="right"/>
              <w:rPr>
                <w:sz w:val="16"/>
                <w:szCs w:val="20"/>
              </w:rPr>
            </w:pPr>
            <w:r w:rsidRPr="005972E0">
              <w:rPr>
                <w:sz w:val="16"/>
                <w:szCs w:val="20"/>
              </w:rPr>
              <w:t>4 160 214</w:t>
            </w:r>
          </w:p>
        </w:tc>
        <w:tc>
          <w:tcPr>
            <w:tcW w:w="1306" w:type="dxa"/>
            <w:shd w:val="clear" w:color="auto" w:fill="auto"/>
          </w:tcPr>
          <w:p w:rsidR="007C0F5C" w:rsidRPr="005972E0" w:rsidRDefault="007C0F5C" w:rsidP="007C0F5C">
            <w:pPr>
              <w:pStyle w:val="StyleHeader4Para4Left0Firstline0"/>
              <w:numPr>
                <w:ilvl w:val="0"/>
                <w:numId w:val="0"/>
              </w:numPr>
              <w:spacing w:after="60"/>
              <w:jc w:val="right"/>
              <w:rPr>
                <w:sz w:val="16"/>
                <w:szCs w:val="20"/>
              </w:rPr>
            </w:pPr>
            <w:r w:rsidRPr="005972E0">
              <w:rPr>
                <w:sz w:val="16"/>
                <w:szCs w:val="20"/>
              </w:rPr>
              <w:t>7 670 663</w:t>
            </w:r>
          </w:p>
        </w:tc>
      </w:tr>
    </w:tbl>
    <w:tbl>
      <w:tblPr>
        <w:tblStyle w:val="TableGrid"/>
        <w:tblpPr w:leftFromText="180" w:rightFromText="180" w:vertAnchor="text" w:horzAnchor="margin" w:tblpX="-624" w:tblpY="327"/>
        <w:tblW w:w="1067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CellMar>
          <w:left w:w="85" w:type="dxa"/>
          <w:right w:w="85" w:type="dxa"/>
        </w:tblCellMar>
        <w:tblLook w:val="04A0" w:firstRow="1" w:lastRow="0" w:firstColumn="1" w:lastColumn="0" w:noHBand="0" w:noVBand="1"/>
      </w:tblPr>
      <w:tblGrid>
        <w:gridCol w:w="1724"/>
        <w:gridCol w:w="1354"/>
        <w:gridCol w:w="1139"/>
        <w:gridCol w:w="1209"/>
        <w:gridCol w:w="842"/>
        <w:gridCol w:w="904"/>
        <w:gridCol w:w="842"/>
        <w:gridCol w:w="904"/>
        <w:gridCol w:w="867"/>
        <w:gridCol w:w="890"/>
      </w:tblGrid>
      <w:tr w:rsidR="00D17D05" w:rsidRPr="005972E0" w:rsidTr="005972E0">
        <w:trPr>
          <w:trHeight w:val="54"/>
          <w:tblHeader/>
        </w:trPr>
        <w:tc>
          <w:tcPr>
            <w:tcW w:w="4217" w:type="dxa"/>
            <w:gridSpan w:val="3"/>
            <w:shd w:val="clear" w:color="auto" w:fill="auto"/>
          </w:tcPr>
          <w:p w:rsidR="00D17D05" w:rsidRPr="005972E0" w:rsidRDefault="00D17D05" w:rsidP="005972E0">
            <w:pPr>
              <w:pStyle w:val="StyleHeader4Para4Left0Firstline0"/>
              <w:numPr>
                <w:ilvl w:val="0"/>
                <w:numId w:val="0"/>
              </w:numPr>
              <w:spacing w:after="60"/>
              <w:jc w:val="left"/>
              <w:rPr>
                <w:sz w:val="16"/>
                <w:szCs w:val="20"/>
              </w:rPr>
            </w:pPr>
            <w:r w:rsidRPr="005972E0">
              <w:rPr>
                <w:b/>
                <w:sz w:val="16"/>
                <w:szCs w:val="20"/>
              </w:rPr>
              <w:t>VI) DATOS DEL PROYECTO</w:t>
            </w:r>
          </w:p>
        </w:tc>
        <w:tc>
          <w:tcPr>
            <w:tcW w:w="1209" w:type="dxa"/>
            <w:shd w:val="clear" w:color="auto" w:fill="auto"/>
          </w:tcPr>
          <w:p w:rsidR="00D17D05" w:rsidRPr="005972E0" w:rsidRDefault="00D17D05" w:rsidP="005972E0">
            <w:pPr>
              <w:pStyle w:val="StyleHeader4Para4Left0Firstline0"/>
              <w:numPr>
                <w:ilvl w:val="0"/>
                <w:numId w:val="0"/>
              </w:numPr>
              <w:spacing w:after="60"/>
              <w:jc w:val="center"/>
              <w:rPr>
                <w:sz w:val="16"/>
                <w:szCs w:val="20"/>
              </w:rPr>
            </w:pPr>
            <w:r w:rsidRPr="005972E0">
              <w:rPr>
                <w:b/>
                <w:sz w:val="16"/>
                <w:szCs w:val="20"/>
              </w:rPr>
              <w:t>2017</w:t>
            </w:r>
          </w:p>
        </w:tc>
        <w:tc>
          <w:tcPr>
            <w:tcW w:w="842" w:type="dxa"/>
            <w:shd w:val="clear" w:color="auto" w:fill="auto"/>
          </w:tcPr>
          <w:p w:rsidR="00D17D05" w:rsidRPr="005972E0" w:rsidRDefault="00D17D05" w:rsidP="005972E0">
            <w:pPr>
              <w:pStyle w:val="StyleHeader4Para4Left0Firstline0"/>
              <w:numPr>
                <w:ilvl w:val="0"/>
                <w:numId w:val="0"/>
              </w:numPr>
              <w:spacing w:after="60"/>
              <w:jc w:val="center"/>
              <w:rPr>
                <w:sz w:val="16"/>
                <w:szCs w:val="20"/>
              </w:rPr>
            </w:pPr>
            <w:r w:rsidRPr="005972E0">
              <w:rPr>
                <w:b/>
                <w:sz w:val="16"/>
                <w:szCs w:val="20"/>
              </w:rPr>
              <w:t>2018</w:t>
            </w:r>
          </w:p>
        </w:tc>
        <w:tc>
          <w:tcPr>
            <w:tcW w:w="904" w:type="dxa"/>
            <w:shd w:val="clear" w:color="auto" w:fill="auto"/>
          </w:tcPr>
          <w:p w:rsidR="00D17D05" w:rsidRPr="005972E0" w:rsidRDefault="00D17D05" w:rsidP="005972E0">
            <w:pPr>
              <w:pStyle w:val="StyleHeader4Para4Left0Firstline0"/>
              <w:numPr>
                <w:ilvl w:val="0"/>
                <w:numId w:val="0"/>
              </w:numPr>
              <w:spacing w:after="60"/>
              <w:jc w:val="center"/>
              <w:rPr>
                <w:sz w:val="16"/>
                <w:szCs w:val="20"/>
              </w:rPr>
            </w:pPr>
            <w:r w:rsidRPr="005972E0">
              <w:rPr>
                <w:b/>
                <w:sz w:val="16"/>
                <w:szCs w:val="20"/>
              </w:rPr>
              <w:t>2019</w:t>
            </w:r>
          </w:p>
        </w:tc>
        <w:tc>
          <w:tcPr>
            <w:tcW w:w="842" w:type="dxa"/>
            <w:shd w:val="clear" w:color="auto" w:fill="auto"/>
          </w:tcPr>
          <w:p w:rsidR="00D17D05" w:rsidRPr="005972E0" w:rsidRDefault="00D17D05" w:rsidP="005972E0">
            <w:pPr>
              <w:pStyle w:val="StyleHeader4Para4Left0Firstline0"/>
              <w:numPr>
                <w:ilvl w:val="0"/>
                <w:numId w:val="0"/>
              </w:numPr>
              <w:spacing w:after="60"/>
              <w:jc w:val="center"/>
              <w:rPr>
                <w:sz w:val="16"/>
                <w:szCs w:val="20"/>
              </w:rPr>
            </w:pPr>
            <w:r w:rsidRPr="005972E0">
              <w:rPr>
                <w:b/>
                <w:sz w:val="16"/>
                <w:szCs w:val="20"/>
              </w:rPr>
              <w:t>2020</w:t>
            </w:r>
          </w:p>
        </w:tc>
        <w:tc>
          <w:tcPr>
            <w:tcW w:w="904" w:type="dxa"/>
            <w:shd w:val="clear" w:color="auto" w:fill="auto"/>
          </w:tcPr>
          <w:p w:rsidR="00D17D05" w:rsidRPr="005972E0" w:rsidRDefault="00D17D05" w:rsidP="005972E0">
            <w:pPr>
              <w:pStyle w:val="StyleHeader4Para4Left0Firstline0"/>
              <w:numPr>
                <w:ilvl w:val="0"/>
                <w:numId w:val="0"/>
              </w:numPr>
              <w:spacing w:after="60"/>
              <w:jc w:val="center"/>
              <w:rPr>
                <w:sz w:val="16"/>
                <w:szCs w:val="20"/>
              </w:rPr>
            </w:pPr>
            <w:r w:rsidRPr="005972E0">
              <w:rPr>
                <w:b/>
                <w:sz w:val="16"/>
                <w:szCs w:val="20"/>
              </w:rPr>
              <w:t>2021</w:t>
            </w:r>
          </w:p>
        </w:tc>
        <w:tc>
          <w:tcPr>
            <w:tcW w:w="867" w:type="dxa"/>
            <w:shd w:val="clear" w:color="auto" w:fill="auto"/>
          </w:tcPr>
          <w:p w:rsidR="00D17D05" w:rsidRPr="005972E0" w:rsidRDefault="00D17D05" w:rsidP="005972E0">
            <w:pPr>
              <w:pStyle w:val="StyleHeader4Para4Left0Firstline0"/>
              <w:numPr>
                <w:ilvl w:val="0"/>
                <w:numId w:val="0"/>
              </w:numPr>
              <w:spacing w:after="60"/>
              <w:jc w:val="center"/>
              <w:rPr>
                <w:sz w:val="16"/>
                <w:szCs w:val="20"/>
              </w:rPr>
            </w:pPr>
            <w:r w:rsidRPr="005972E0">
              <w:rPr>
                <w:b/>
                <w:sz w:val="16"/>
                <w:szCs w:val="20"/>
              </w:rPr>
              <w:t>2022</w:t>
            </w:r>
          </w:p>
        </w:tc>
        <w:tc>
          <w:tcPr>
            <w:tcW w:w="890" w:type="dxa"/>
            <w:shd w:val="clear" w:color="auto" w:fill="auto"/>
          </w:tcPr>
          <w:p w:rsidR="00D17D05" w:rsidRPr="005972E0" w:rsidRDefault="00D17D05" w:rsidP="005972E0">
            <w:pPr>
              <w:pStyle w:val="StyleHeader4Para4Left0Firstline0"/>
              <w:numPr>
                <w:ilvl w:val="0"/>
                <w:numId w:val="0"/>
              </w:numPr>
              <w:spacing w:after="60"/>
              <w:jc w:val="center"/>
              <w:rPr>
                <w:sz w:val="16"/>
                <w:szCs w:val="20"/>
              </w:rPr>
            </w:pPr>
            <w:r w:rsidRPr="005972E0">
              <w:rPr>
                <w:b/>
                <w:sz w:val="16"/>
                <w:szCs w:val="20"/>
              </w:rPr>
              <w:t>Total</w:t>
            </w:r>
          </w:p>
        </w:tc>
      </w:tr>
      <w:tr w:rsidR="007C0F5C" w:rsidRPr="005972E0" w:rsidTr="005972E0">
        <w:trPr>
          <w:trHeight w:val="54"/>
        </w:trPr>
        <w:tc>
          <w:tcPr>
            <w:tcW w:w="4217" w:type="dxa"/>
            <w:gridSpan w:val="3"/>
            <w:shd w:val="clear" w:color="auto" w:fill="auto"/>
          </w:tcPr>
          <w:p w:rsidR="007C0F5C" w:rsidRPr="005972E0" w:rsidRDefault="007C0F5C" w:rsidP="005972E0">
            <w:pPr>
              <w:pStyle w:val="StyleHeader4Para4Left0Firstline0"/>
              <w:numPr>
                <w:ilvl w:val="0"/>
                <w:numId w:val="0"/>
              </w:numPr>
              <w:spacing w:after="60"/>
              <w:jc w:val="left"/>
              <w:rPr>
                <w:sz w:val="16"/>
                <w:szCs w:val="20"/>
                <w:lang w:val="es-419"/>
              </w:rPr>
            </w:pPr>
            <w:r w:rsidRPr="005972E0">
              <w:rPr>
                <w:sz w:val="16"/>
                <w:szCs w:val="20"/>
                <w:lang w:val="es-419"/>
              </w:rPr>
              <w:t>Límites de consumo establecidos en el Protocolo de Montreal</w:t>
            </w:r>
          </w:p>
        </w:tc>
        <w:tc>
          <w:tcPr>
            <w:tcW w:w="1209" w:type="dxa"/>
            <w:shd w:val="clear" w:color="auto" w:fill="auto"/>
          </w:tcPr>
          <w:p w:rsidR="007C0F5C" w:rsidRPr="005972E0" w:rsidRDefault="007C0F5C" w:rsidP="005972E0">
            <w:pPr>
              <w:pStyle w:val="StyleHeader4Para4Left0Firstline0"/>
              <w:numPr>
                <w:ilvl w:val="0"/>
                <w:numId w:val="0"/>
              </w:numPr>
              <w:spacing w:after="60"/>
              <w:jc w:val="right"/>
              <w:rPr>
                <w:sz w:val="16"/>
                <w:szCs w:val="20"/>
              </w:rPr>
            </w:pPr>
            <w:r w:rsidRPr="005972E0">
              <w:rPr>
                <w:sz w:val="16"/>
                <w:szCs w:val="20"/>
              </w:rPr>
              <w:t>360,63</w:t>
            </w:r>
          </w:p>
        </w:tc>
        <w:tc>
          <w:tcPr>
            <w:tcW w:w="842" w:type="dxa"/>
            <w:shd w:val="clear" w:color="auto" w:fill="auto"/>
          </w:tcPr>
          <w:p w:rsidR="007C0F5C" w:rsidRPr="005972E0" w:rsidRDefault="007C0F5C" w:rsidP="005972E0">
            <w:pPr>
              <w:pStyle w:val="StyleHeader4Para4Left0Firstline0"/>
              <w:numPr>
                <w:ilvl w:val="0"/>
                <w:numId w:val="0"/>
              </w:numPr>
              <w:spacing w:after="60"/>
              <w:jc w:val="right"/>
              <w:rPr>
                <w:sz w:val="16"/>
                <w:szCs w:val="20"/>
              </w:rPr>
            </w:pPr>
            <w:r w:rsidRPr="005972E0">
              <w:rPr>
                <w:sz w:val="16"/>
                <w:szCs w:val="20"/>
              </w:rPr>
              <w:t>360,63</w:t>
            </w:r>
          </w:p>
        </w:tc>
        <w:tc>
          <w:tcPr>
            <w:tcW w:w="904" w:type="dxa"/>
            <w:shd w:val="clear" w:color="auto" w:fill="auto"/>
          </w:tcPr>
          <w:p w:rsidR="007C0F5C" w:rsidRPr="005972E0" w:rsidRDefault="007C0F5C" w:rsidP="005972E0">
            <w:pPr>
              <w:pStyle w:val="StyleHeader4Para4Left0Firstline0"/>
              <w:numPr>
                <w:ilvl w:val="0"/>
                <w:numId w:val="0"/>
              </w:numPr>
              <w:spacing w:after="60"/>
              <w:jc w:val="right"/>
              <w:rPr>
                <w:sz w:val="16"/>
                <w:szCs w:val="20"/>
              </w:rPr>
            </w:pPr>
            <w:r w:rsidRPr="005972E0">
              <w:rPr>
                <w:sz w:val="16"/>
                <w:szCs w:val="20"/>
              </w:rPr>
              <w:t>360,63</w:t>
            </w:r>
          </w:p>
        </w:tc>
        <w:tc>
          <w:tcPr>
            <w:tcW w:w="842" w:type="dxa"/>
            <w:shd w:val="clear" w:color="auto" w:fill="auto"/>
          </w:tcPr>
          <w:p w:rsidR="007C0F5C" w:rsidRPr="005972E0" w:rsidRDefault="007C0F5C" w:rsidP="005972E0">
            <w:pPr>
              <w:pStyle w:val="StyleHeader4Para4Left0Firstline0"/>
              <w:numPr>
                <w:ilvl w:val="0"/>
                <w:numId w:val="0"/>
              </w:numPr>
              <w:spacing w:after="60"/>
              <w:jc w:val="right"/>
              <w:rPr>
                <w:sz w:val="16"/>
                <w:szCs w:val="20"/>
              </w:rPr>
            </w:pPr>
            <w:r w:rsidRPr="005972E0">
              <w:rPr>
                <w:sz w:val="16"/>
                <w:szCs w:val="20"/>
              </w:rPr>
              <w:t>260,45</w:t>
            </w:r>
          </w:p>
        </w:tc>
        <w:tc>
          <w:tcPr>
            <w:tcW w:w="904" w:type="dxa"/>
            <w:shd w:val="clear" w:color="auto" w:fill="auto"/>
          </w:tcPr>
          <w:p w:rsidR="007C0F5C" w:rsidRPr="005972E0" w:rsidRDefault="007C0F5C" w:rsidP="005972E0">
            <w:pPr>
              <w:pStyle w:val="StyleHeader4Para4Left0Firstline0"/>
              <w:numPr>
                <w:ilvl w:val="0"/>
                <w:numId w:val="0"/>
              </w:numPr>
              <w:spacing w:after="60"/>
              <w:jc w:val="right"/>
              <w:rPr>
                <w:sz w:val="16"/>
                <w:szCs w:val="20"/>
              </w:rPr>
            </w:pPr>
            <w:r w:rsidRPr="005972E0">
              <w:rPr>
                <w:sz w:val="16"/>
                <w:szCs w:val="20"/>
              </w:rPr>
              <w:t>260,45</w:t>
            </w:r>
          </w:p>
        </w:tc>
        <w:tc>
          <w:tcPr>
            <w:tcW w:w="867" w:type="dxa"/>
            <w:shd w:val="clear" w:color="auto" w:fill="auto"/>
          </w:tcPr>
          <w:p w:rsidR="007C0F5C" w:rsidRPr="005972E0" w:rsidRDefault="007C0F5C" w:rsidP="005972E0">
            <w:pPr>
              <w:pStyle w:val="StyleHeader4Para4Left0Firstline0"/>
              <w:numPr>
                <w:ilvl w:val="0"/>
                <w:numId w:val="0"/>
              </w:numPr>
              <w:spacing w:after="60"/>
              <w:jc w:val="right"/>
              <w:rPr>
                <w:sz w:val="16"/>
                <w:szCs w:val="20"/>
              </w:rPr>
            </w:pPr>
            <w:r w:rsidRPr="005972E0">
              <w:rPr>
                <w:sz w:val="16"/>
                <w:szCs w:val="20"/>
              </w:rPr>
              <w:t>260,45</w:t>
            </w:r>
          </w:p>
        </w:tc>
        <w:tc>
          <w:tcPr>
            <w:tcW w:w="890" w:type="dxa"/>
            <w:shd w:val="clear" w:color="auto" w:fill="auto"/>
          </w:tcPr>
          <w:p w:rsidR="007C0F5C" w:rsidRPr="005972E0" w:rsidRDefault="007C0F5C" w:rsidP="005972E0">
            <w:pPr>
              <w:pStyle w:val="StyleHeader4Para4Left0Firstline0"/>
              <w:numPr>
                <w:ilvl w:val="0"/>
                <w:numId w:val="0"/>
              </w:numPr>
              <w:spacing w:after="60"/>
              <w:jc w:val="center"/>
              <w:rPr>
                <w:sz w:val="16"/>
                <w:szCs w:val="20"/>
              </w:rPr>
            </w:pPr>
            <w:r w:rsidRPr="005972E0">
              <w:rPr>
                <w:sz w:val="16"/>
                <w:szCs w:val="20"/>
              </w:rPr>
              <w:t>n/a</w:t>
            </w:r>
          </w:p>
        </w:tc>
      </w:tr>
      <w:tr w:rsidR="007C0F5C" w:rsidRPr="005972E0" w:rsidTr="005972E0">
        <w:trPr>
          <w:trHeight w:val="140"/>
        </w:trPr>
        <w:tc>
          <w:tcPr>
            <w:tcW w:w="4217" w:type="dxa"/>
            <w:gridSpan w:val="3"/>
            <w:shd w:val="clear" w:color="auto" w:fill="auto"/>
          </w:tcPr>
          <w:p w:rsidR="007C0F5C" w:rsidRPr="005972E0" w:rsidRDefault="007C0F5C" w:rsidP="005972E0">
            <w:pPr>
              <w:pStyle w:val="StyleHeader4Para4Left0Firstline0"/>
              <w:numPr>
                <w:ilvl w:val="0"/>
                <w:numId w:val="0"/>
              </w:numPr>
              <w:spacing w:after="60"/>
              <w:jc w:val="left"/>
              <w:rPr>
                <w:sz w:val="16"/>
                <w:szCs w:val="20"/>
                <w:lang w:val="es-419"/>
              </w:rPr>
            </w:pPr>
            <w:r w:rsidRPr="005972E0">
              <w:rPr>
                <w:sz w:val="16"/>
                <w:szCs w:val="20"/>
                <w:lang w:val="es-419"/>
              </w:rPr>
              <w:t>Consumo máximo permitido (toneladas PAO)</w:t>
            </w:r>
          </w:p>
        </w:tc>
        <w:tc>
          <w:tcPr>
            <w:tcW w:w="1209" w:type="dxa"/>
            <w:shd w:val="clear" w:color="auto" w:fill="auto"/>
          </w:tcPr>
          <w:p w:rsidR="007C0F5C" w:rsidRPr="005972E0" w:rsidRDefault="007C0F5C" w:rsidP="005972E0">
            <w:pPr>
              <w:pStyle w:val="StyleHeader4Para4Left0Firstline0"/>
              <w:numPr>
                <w:ilvl w:val="0"/>
                <w:numId w:val="0"/>
              </w:numPr>
              <w:spacing w:after="60"/>
              <w:jc w:val="right"/>
              <w:rPr>
                <w:sz w:val="16"/>
                <w:szCs w:val="20"/>
              </w:rPr>
            </w:pPr>
            <w:r w:rsidRPr="005972E0">
              <w:rPr>
                <w:sz w:val="16"/>
                <w:szCs w:val="20"/>
              </w:rPr>
              <w:t>330,58</w:t>
            </w:r>
          </w:p>
        </w:tc>
        <w:tc>
          <w:tcPr>
            <w:tcW w:w="842" w:type="dxa"/>
            <w:shd w:val="clear" w:color="auto" w:fill="auto"/>
          </w:tcPr>
          <w:p w:rsidR="007C0F5C" w:rsidRPr="005972E0" w:rsidRDefault="007C0F5C" w:rsidP="005972E0">
            <w:pPr>
              <w:pStyle w:val="StyleHeader4Para4Left0Firstline0"/>
              <w:numPr>
                <w:ilvl w:val="0"/>
                <w:numId w:val="0"/>
              </w:numPr>
              <w:spacing w:after="60"/>
              <w:jc w:val="right"/>
              <w:rPr>
                <w:sz w:val="16"/>
                <w:szCs w:val="20"/>
              </w:rPr>
            </w:pPr>
            <w:r w:rsidRPr="005972E0">
              <w:rPr>
                <w:sz w:val="16"/>
                <w:szCs w:val="20"/>
              </w:rPr>
              <w:t>330,58</w:t>
            </w:r>
          </w:p>
        </w:tc>
        <w:tc>
          <w:tcPr>
            <w:tcW w:w="904" w:type="dxa"/>
            <w:shd w:val="clear" w:color="auto" w:fill="auto"/>
          </w:tcPr>
          <w:p w:rsidR="007C0F5C" w:rsidRPr="005972E0" w:rsidRDefault="007C0F5C" w:rsidP="005972E0">
            <w:pPr>
              <w:pStyle w:val="StyleHeader4Para4Left0Firstline0"/>
              <w:numPr>
                <w:ilvl w:val="0"/>
                <w:numId w:val="0"/>
              </w:numPr>
              <w:spacing w:after="60"/>
              <w:jc w:val="right"/>
              <w:rPr>
                <w:sz w:val="16"/>
                <w:szCs w:val="20"/>
              </w:rPr>
            </w:pPr>
            <w:r w:rsidRPr="005972E0">
              <w:rPr>
                <w:sz w:val="16"/>
                <w:szCs w:val="20"/>
              </w:rPr>
              <w:t>330,58</w:t>
            </w:r>
          </w:p>
        </w:tc>
        <w:tc>
          <w:tcPr>
            <w:tcW w:w="842" w:type="dxa"/>
            <w:shd w:val="clear" w:color="auto" w:fill="auto"/>
          </w:tcPr>
          <w:p w:rsidR="007C0F5C" w:rsidRPr="005972E0" w:rsidRDefault="007C0F5C" w:rsidP="005972E0">
            <w:pPr>
              <w:pStyle w:val="StyleHeader4Para4Left0Firstline0"/>
              <w:numPr>
                <w:ilvl w:val="0"/>
                <w:numId w:val="0"/>
              </w:numPr>
              <w:spacing w:after="60"/>
              <w:jc w:val="right"/>
              <w:rPr>
                <w:sz w:val="16"/>
                <w:szCs w:val="20"/>
              </w:rPr>
            </w:pPr>
            <w:r w:rsidRPr="005972E0">
              <w:rPr>
                <w:sz w:val="16"/>
                <w:szCs w:val="20"/>
              </w:rPr>
              <w:t>260,45</w:t>
            </w:r>
          </w:p>
        </w:tc>
        <w:tc>
          <w:tcPr>
            <w:tcW w:w="904" w:type="dxa"/>
            <w:shd w:val="clear" w:color="auto" w:fill="auto"/>
          </w:tcPr>
          <w:p w:rsidR="007C0F5C" w:rsidRPr="005972E0" w:rsidRDefault="007C0F5C" w:rsidP="005972E0">
            <w:pPr>
              <w:pStyle w:val="StyleHeader4Para4Left0Firstline0"/>
              <w:numPr>
                <w:ilvl w:val="0"/>
                <w:numId w:val="0"/>
              </w:numPr>
              <w:spacing w:after="60"/>
              <w:jc w:val="right"/>
              <w:rPr>
                <w:sz w:val="16"/>
                <w:szCs w:val="20"/>
              </w:rPr>
            </w:pPr>
            <w:r w:rsidRPr="005972E0">
              <w:rPr>
                <w:sz w:val="16"/>
                <w:szCs w:val="20"/>
              </w:rPr>
              <w:t>260,45</w:t>
            </w:r>
          </w:p>
        </w:tc>
        <w:tc>
          <w:tcPr>
            <w:tcW w:w="867" w:type="dxa"/>
            <w:shd w:val="clear" w:color="auto" w:fill="auto"/>
          </w:tcPr>
          <w:p w:rsidR="007C0F5C" w:rsidRPr="005972E0" w:rsidRDefault="007C0F5C" w:rsidP="005972E0">
            <w:pPr>
              <w:pStyle w:val="StyleHeader4Para4Left0Firstline0"/>
              <w:numPr>
                <w:ilvl w:val="0"/>
                <w:numId w:val="0"/>
              </w:numPr>
              <w:spacing w:after="60"/>
              <w:jc w:val="right"/>
              <w:rPr>
                <w:sz w:val="16"/>
                <w:szCs w:val="20"/>
              </w:rPr>
            </w:pPr>
            <w:r w:rsidRPr="005972E0">
              <w:rPr>
                <w:sz w:val="16"/>
                <w:szCs w:val="20"/>
              </w:rPr>
              <w:t>260,45</w:t>
            </w:r>
          </w:p>
        </w:tc>
        <w:tc>
          <w:tcPr>
            <w:tcW w:w="890" w:type="dxa"/>
            <w:shd w:val="clear" w:color="auto" w:fill="auto"/>
          </w:tcPr>
          <w:p w:rsidR="007C0F5C" w:rsidRPr="005972E0" w:rsidRDefault="007C0F5C" w:rsidP="005972E0">
            <w:pPr>
              <w:pStyle w:val="StyleHeader4Para4Left0Firstline0"/>
              <w:numPr>
                <w:ilvl w:val="0"/>
                <w:numId w:val="0"/>
              </w:numPr>
              <w:spacing w:after="60"/>
              <w:jc w:val="center"/>
              <w:rPr>
                <w:sz w:val="16"/>
                <w:szCs w:val="20"/>
              </w:rPr>
            </w:pPr>
            <w:r w:rsidRPr="005972E0">
              <w:rPr>
                <w:sz w:val="16"/>
                <w:szCs w:val="20"/>
              </w:rPr>
              <w:t>n/a</w:t>
            </w:r>
          </w:p>
        </w:tc>
      </w:tr>
      <w:tr w:rsidR="007C0F5C" w:rsidRPr="005972E0" w:rsidTr="005972E0">
        <w:trPr>
          <w:trHeight w:val="101"/>
        </w:trPr>
        <w:tc>
          <w:tcPr>
            <w:tcW w:w="1724" w:type="dxa"/>
            <w:vMerge w:val="restart"/>
            <w:shd w:val="clear" w:color="auto" w:fill="auto"/>
          </w:tcPr>
          <w:p w:rsidR="007C0F5C" w:rsidRPr="005972E0" w:rsidRDefault="007C0F5C" w:rsidP="005972E0">
            <w:pPr>
              <w:pStyle w:val="StyleHeader4Para4Left0Firstline0"/>
              <w:numPr>
                <w:ilvl w:val="0"/>
                <w:numId w:val="0"/>
              </w:numPr>
              <w:spacing w:after="60"/>
              <w:jc w:val="left"/>
              <w:rPr>
                <w:sz w:val="16"/>
                <w:szCs w:val="20"/>
              </w:rPr>
            </w:pPr>
            <w:r w:rsidRPr="005972E0">
              <w:rPr>
                <w:sz w:val="16"/>
                <w:szCs w:val="20"/>
              </w:rPr>
              <w:t>Financiación convenida ($EUA)</w:t>
            </w:r>
          </w:p>
        </w:tc>
        <w:tc>
          <w:tcPr>
            <w:tcW w:w="1354" w:type="dxa"/>
            <w:vMerge w:val="restart"/>
            <w:shd w:val="clear" w:color="auto" w:fill="auto"/>
          </w:tcPr>
          <w:p w:rsidR="007C0F5C" w:rsidRPr="005972E0" w:rsidRDefault="007C0F5C" w:rsidP="005972E0">
            <w:pPr>
              <w:pStyle w:val="StyleHeader4Para4Left0Firstline0"/>
              <w:numPr>
                <w:ilvl w:val="0"/>
                <w:numId w:val="0"/>
              </w:numPr>
              <w:spacing w:after="60"/>
              <w:jc w:val="center"/>
              <w:rPr>
                <w:sz w:val="16"/>
                <w:szCs w:val="20"/>
              </w:rPr>
            </w:pPr>
            <w:r w:rsidRPr="005972E0">
              <w:rPr>
                <w:sz w:val="16"/>
                <w:szCs w:val="20"/>
              </w:rPr>
              <w:t>Banco Mundial*</w:t>
            </w:r>
          </w:p>
        </w:tc>
        <w:tc>
          <w:tcPr>
            <w:tcW w:w="1139" w:type="dxa"/>
            <w:shd w:val="clear" w:color="auto" w:fill="auto"/>
          </w:tcPr>
          <w:p w:rsidR="007C0F5C" w:rsidRPr="005972E0" w:rsidRDefault="007C0F5C" w:rsidP="005972E0">
            <w:pPr>
              <w:pStyle w:val="StyleHeader4Para4Left0Firstline0"/>
              <w:numPr>
                <w:ilvl w:val="0"/>
                <w:numId w:val="0"/>
              </w:numPr>
              <w:spacing w:after="60"/>
              <w:jc w:val="left"/>
              <w:rPr>
                <w:sz w:val="16"/>
                <w:szCs w:val="20"/>
              </w:rPr>
            </w:pPr>
            <w:r w:rsidRPr="005972E0">
              <w:rPr>
                <w:sz w:val="16"/>
                <w:szCs w:val="20"/>
              </w:rPr>
              <w:t>Costos del proyecto</w:t>
            </w:r>
          </w:p>
        </w:tc>
        <w:tc>
          <w:tcPr>
            <w:tcW w:w="1209" w:type="dxa"/>
            <w:shd w:val="clear" w:color="auto" w:fill="auto"/>
          </w:tcPr>
          <w:p w:rsidR="007C0F5C" w:rsidRPr="005972E0" w:rsidRDefault="007C0F5C" w:rsidP="005972E0">
            <w:pPr>
              <w:pStyle w:val="StyleHeader4Para4Left0Firstline0"/>
              <w:numPr>
                <w:ilvl w:val="0"/>
                <w:numId w:val="0"/>
              </w:numPr>
              <w:spacing w:after="60"/>
              <w:jc w:val="right"/>
              <w:rPr>
                <w:sz w:val="16"/>
                <w:szCs w:val="20"/>
              </w:rPr>
            </w:pPr>
            <w:r w:rsidRPr="005972E0">
              <w:rPr>
                <w:sz w:val="16"/>
                <w:szCs w:val="20"/>
              </w:rPr>
              <w:t>0</w:t>
            </w:r>
          </w:p>
        </w:tc>
        <w:tc>
          <w:tcPr>
            <w:tcW w:w="842" w:type="dxa"/>
            <w:shd w:val="clear" w:color="auto" w:fill="auto"/>
          </w:tcPr>
          <w:p w:rsidR="007C0F5C" w:rsidRPr="005972E0" w:rsidRDefault="007C0F5C" w:rsidP="005972E0">
            <w:pPr>
              <w:pStyle w:val="StyleHeader4Para4Left0Firstline0"/>
              <w:numPr>
                <w:ilvl w:val="0"/>
                <w:numId w:val="0"/>
              </w:numPr>
              <w:spacing w:after="60"/>
              <w:jc w:val="right"/>
              <w:rPr>
                <w:sz w:val="16"/>
                <w:szCs w:val="20"/>
              </w:rPr>
            </w:pPr>
            <w:r w:rsidRPr="005972E0">
              <w:rPr>
                <w:sz w:val="16"/>
                <w:szCs w:val="20"/>
              </w:rPr>
              <w:t>0</w:t>
            </w:r>
          </w:p>
        </w:tc>
        <w:tc>
          <w:tcPr>
            <w:tcW w:w="904" w:type="dxa"/>
            <w:shd w:val="clear" w:color="auto" w:fill="auto"/>
          </w:tcPr>
          <w:p w:rsidR="007C0F5C" w:rsidRPr="005972E0" w:rsidRDefault="007C0F5C" w:rsidP="005972E0">
            <w:pPr>
              <w:pStyle w:val="StyleHeader4Para4Left0Firstline0"/>
              <w:numPr>
                <w:ilvl w:val="0"/>
                <w:numId w:val="0"/>
              </w:numPr>
              <w:spacing w:after="60"/>
              <w:jc w:val="right"/>
              <w:rPr>
                <w:sz w:val="16"/>
                <w:szCs w:val="20"/>
              </w:rPr>
            </w:pPr>
            <w:r w:rsidRPr="005972E0">
              <w:rPr>
                <w:sz w:val="16"/>
                <w:szCs w:val="20"/>
              </w:rPr>
              <w:t>0</w:t>
            </w:r>
          </w:p>
        </w:tc>
        <w:tc>
          <w:tcPr>
            <w:tcW w:w="842" w:type="dxa"/>
            <w:shd w:val="clear" w:color="auto" w:fill="auto"/>
          </w:tcPr>
          <w:p w:rsidR="007C0F5C" w:rsidRPr="005972E0" w:rsidRDefault="007C0F5C" w:rsidP="005972E0">
            <w:pPr>
              <w:pStyle w:val="StyleHeader4Para4Left0Firstline0"/>
              <w:numPr>
                <w:ilvl w:val="0"/>
                <w:numId w:val="0"/>
              </w:numPr>
              <w:spacing w:after="60"/>
              <w:jc w:val="right"/>
              <w:rPr>
                <w:sz w:val="16"/>
                <w:szCs w:val="20"/>
              </w:rPr>
            </w:pPr>
            <w:r w:rsidRPr="005972E0">
              <w:rPr>
                <w:sz w:val="16"/>
                <w:szCs w:val="20"/>
              </w:rPr>
              <w:t>0</w:t>
            </w:r>
          </w:p>
        </w:tc>
        <w:tc>
          <w:tcPr>
            <w:tcW w:w="904" w:type="dxa"/>
            <w:shd w:val="clear" w:color="auto" w:fill="auto"/>
          </w:tcPr>
          <w:p w:rsidR="007C0F5C" w:rsidRPr="005972E0" w:rsidRDefault="007C0F5C" w:rsidP="005972E0">
            <w:pPr>
              <w:pStyle w:val="StyleHeader4Para4Left0Firstline0"/>
              <w:numPr>
                <w:ilvl w:val="0"/>
                <w:numId w:val="0"/>
              </w:numPr>
              <w:spacing w:after="60"/>
              <w:jc w:val="right"/>
              <w:rPr>
                <w:sz w:val="16"/>
                <w:szCs w:val="20"/>
              </w:rPr>
            </w:pPr>
            <w:r w:rsidRPr="005972E0">
              <w:rPr>
                <w:sz w:val="16"/>
                <w:szCs w:val="20"/>
              </w:rPr>
              <w:t>0</w:t>
            </w:r>
          </w:p>
        </w:tc>
        <w:tc>
          <w:tcPr>
            <w:tcW w:w="867" w:type="dxa"/>
            <w:shd w:val="clear" w:color="auto" w:fill="auto"/>
          </w:tcPr>
          <w:p w:rsidR="007C0F5C" w:rsidRPr="005972E0" w:rsidRDefault="007C0F5C" w:rsidP="005972E0">
            <w:pPr>
              <w:pStyle w:val="StyleHeader4Para4Left0Firstline0"/>
              <w:numPr>
                <w:ilvl w:val="0"/>
                <w:numId w:val="0"/>
              </w:numPr>
              <w:spacing w:after="60"/>
              <w:jc w:val="right"/>
              <w:rPr>
                <w:sz w:val="16"/>
                <w:szCs w:val="20"/>
              </w:rPr>
            </w:pPr>
            <w:r w:rsidRPr="005972E0">
              <w:rPr>
                <w:sz w:val="16"/>
                <w:szCs w:val="20"/>
              </w:rPr>
              <w:t>0</w:t>
            </w:r>
          </w:p>
        </w:tc>
        <w:tc>
          <w:tcPr>
            <w:tcW w:w="890" w:type="dxa"/>
            <w:shd w:val="clear" w:color="auto" w:fill="auto"/>
          </w:tcPr>
          <w:p w:rsidR="007C0F5C" w:rsidRPr="005972E0" w:rsidRDefault="007C0F5C" w:rsidP="005972E0">
            <w:pPr>
              <w:pStyle w:val="StyleHeader4Para4Left0Firstline0"/>
              <w:numPr>
                <w:ilvl w:val="0"/>
                <w:numId w:val="0"/>
              </w:numPr>
              <w:spacing w:after="60"/>
              <w:jc w:val="right"/>
              <w:rPr>
                <w:sz w:val="16"/>
                <w:szCs w:val="20"/>
              </w:rPr>
            </w:pPr>
            <w:r w:rsidRPr="005972E0">
              <w:rPr>
                <w:sz w:val="16"/>
                <w:szCs w:val="20"/>
              </w:rPr>
              <w:t>0</w:t>
            </w:r>
          </w:p>
        </w:tc>
      </w:tr>
      <w:tr w:rsidR="007C0F5C" w:rsidRPr="005972E0" w:rsidTr="005972E0">
        <w:trPr>
          <w:trHeight w:val="101"/>
        </w:trPr>
        <w:tc>
          <w:tcPr>
            <w:tcW w:w="1724" w:type="dxa"/>
            <w:vMerge/>
            <w:shd w:val="clear" w:color="auto" w:fill="auto"/>
          </w:tcPr>
          <w:p w:rsidR="007C0F5C" w:rsidRPr="005972E0" w:rsidRDefault="007C0F5C" w:rsidP="005972E0">
            <w:pPr>
              <w:pStyle w:val="StyleHeader4Para4Left0Firstline0"/>
              <w:spacing w:after="60"/>
              <w:jc w:val="left"/>
              <w:rPr>
                <w:sz w:val="16"/>
                <w:szCs w:val="20"/>
              </w:rPr>
            </w:pPr>
          </w:p>
        </w:tc>
        <w:tc>
          <w:tcPr>
            <w:tcW w:w="1354" w:type="dxa"/>
            <w:vMerge/>
            <w:shd w:val="clear" w:color="auto" w:fill="auto"/>
          </w:tcPr>
          <w:p w:rsidR="007C0F5C" w:rsidRPr="005972E0" w:rsidRDefault="007C0F5C" w:rsidP="005972E0">
            <w:pPr>
              <w:pStyle w:val="StyleHeader4Para4Left0Firstline0"/>
              <w:numPr>
                <w:ilvl w:val="0"/>
                <w:numId w:val="0"/>
              </w:numPr>
              <w:spacing w:after="60"/>
              <w:jc w:val="center"/>
              <w:rPr>
                <w:sz w:val="16"/>
                <w:szCs w:val="20"/>
              </w:rPr>
            </w:pPr>
          </w:p>
        </w:tc>
        <w:tc>
          <w:tcPr>
            <w:tcW w:w="1139" w:type="dxa"/>
            <w:shd w:val="clear" w:color="auto" w:fill="auto"/>
          </w:tcPr>
          <w:p w:rsidR="007C0F5C" w:rsidRPr="005972E0" w:rsidRDefault="007C0F5C" w:rsidP="005972E0">
            <w:pPr>
              <w:pStyle w:val="StyleHeader4Para4Left0Firstline0"/>
              <w:numPr>
                <w:ilvl w:val="0"/>
                <w:numId w:val="0"/>
              </w:numPr>
              <w:spacing w:after="60"/>
              <w:jc w:val="left"/>
              <w:rPr>
                <w:sz w:val="16"/>
                <w:szCs w:val="20"/>
              </w:rPr>
            </w:pPr>
            <w:r w:rsidRPr="005972E0">
              <w:rPr>
                <w:sz w:val="16"/>
                <w:szCs w:val="20"/>
              </w:rPr>
              <w:t>Gastos de apoyo</w:t>
            </w:r>
          </w:p>
        </w:tc>
        <w:tc>
          <w:tcPr>
            <w:tcW w:w="1209" w:type="dxa"/>
            <w:shd w:val="clear" w:color="auto" w:fill="auto"/>
          </w:tcPr>
          <w:p w:rsidR="007C0F5C" w:rsidRPr="005972E0" w:rsidRDefault="007C0F5C" w:rsidP="005972E0">
            <w:pPr>
              <w:pStyle w:val="StyleHeader4Para4Left0Firstline0"/>
              <w:numPr>
                <w:ilvl w:val="0"/>
                <w:numId w:val="0"/>
              </w:numPr>
              <w:spacing w:after="60"/>
              <w:jc w:val="right"/>
              <w:rPr>
                <w:sz w:val="16"/>
                <w:szCs w:val="20"/>
              </w:rPr>
            </w:pPr>
            <w:r w:rsidRPr="005972E0">
              <w:rPr>
                <w:sz w:val="16"/>
                <w:szCs w:val="20"/>
              </w:rPr>
              <w:t>0</w:t>
            </w:r>
          </w:p>
        </w:tc>
        <w:tc>
          <w:tcPr>
            <w:tcW w:w="842" w:type="dxa"/>
            <w:shd w:val="clear" w:color="auto" w:fill="auto"/>
          </w:tcPr>
          <w:p w:rsidR="007C0F5C" w:rsidRPr="005972E0" w:rsidRDefault="007C0F5C" w:rsidP="005972E0">
            <w:pPr>
              <w:pStyle w:val="StyleHeader4Para4Left0Firstline0"/>
              <w:numPr>
                <w:ilvl w:val="0"/>
                <w:numId w:val="0"/>
              </w:numPr>
              <w:spacing w:after="60"/>
              <w:jc w:val="right"/>
              <w:rPr>
                <w:sz w:val="16"/>
                <w:szCs w:val="20"/>
              </w:rPr>
            </w:pPr>
            <w:r w:rsidRPr="005972E0">
              <w:rPr>
                <w:sz w:val="16"/>
                <w:szCs w:val="20"/>
              </w:rPr>
              <w:t>0</w:t>
            </w:r>
          </w:p>
        </w:tc>
        <w:tc>
          <w:tcPr>
            <w:tcW w:w="904" w:type="dxa"/>
            <w:shd w:val="clear" w:color="auto" w:fill="auto"/>
          </w:tcPr>
          <w:p w:rsidR="007C0F5C" w:rsidRPr="005972E0" w:rsidRDefault="007C0F5C" w:rsidP="005972E0">
            <w:pPr>
              <w:pStyle w:val="StyleHeader4Para4Left0Firstline0"/>
              <w:numPr>
                <w:ilvl w:val="0"/>
                <w:numId w:val="0"/>
              </w:numPr>
              <w:spacing w:after="60"/>
              <w:jc w:val="right"/>
              <w:rPr>
                <w:sz w:val="16"/>
                <w:szCs w:val="20"/>
              </w:rPr>
            </w:pPr>
            <w:r w:rsidRPr="005972E0">
              <w:rPr>
                <w:sz w:val="16"/>
                <w:szCs w:val="20"/>
              </w:rPr>
              <w:t>0</w:t>
            </w:r>
          </w:p>
        </w:tc>
        <w:tc>
          <w:tcPr>
            <w:tcW w:w="842" w:type="dxa"/>
            <w:shd w:val="clear" w:color="auto" w:fill="auto"/>
          </w:tcPr>
          <w:p w:rsidR="007C0F5C" w:rsidRPr="005972E0" w:rsidRDefault="007C0F5C" w:rsidP="005972E0">
            <w:pPr>
              <w:pStyle w:val="StyleHeader4Para4Left0Firstline0"/>
              <w:numPr>
                <w:ilvl w:val="0"/>
                <w:numId w:val="0"/>
              </w:numPr>
              <w:spacing w:after="60"/>
              <w:jc w:val="right"/>
              <w:rPr>
                <w:sz w:val="16"/>
                <w:szCs w:val="20"/>
              </w:rPr>
            </w:pPr>
            <w:r w:rsidRPr="005972E0">
              <w:rPr>
                <w:sz w:val="16"/>
                <w:szCs w:val="20"/>
              </w:rPr>
              <w:t>0</w:t>
            </w:r>
          </w:p>
        </w:tc>
        <w:tc>
          <w:tcPr>
            <w:tcW w:w="904" w:type="dxa"/>
            <w:shd w:val="clear" w:color="auto" w:fill="auto"/>
          </w:tcPr>
          <w:p w:rsidR="007C0F5C" w:rsidRPr="005972E0" w:rsidRDefault="007C0F5C" w:rsidP="005972E0">
            <w:pPr>
              <w:pStyle w:val="StyleHeader4Para4Left0Firstline0"/>
              <w:numPr>
                <w:ilvl w:val="0"/>
                <w:numId w:val="0"/>
              </w:numPr>
              <w:spacing w:after="60"/>
              <w:jc w:val="right"/>
              <w:rPr>
                <w:sz w:val="16"/>
                <w:szCs w:val="20"/>
              </w:rPr>
            </w:pPr>
            <w:r w:rsidRPr="005972E0">
              <w:rPr>
                <w:sz w:val="16"/>
                <w:szCs w:val="20"/>
              </w:rPr>
              <w:t>0</w:t>
            </w:r>
          </w:p>
        </w:tc>
        <w:tc>
          <w:tcPr>
            <w:tcW w:w="867" w:type="dxa"/>
            <w:shd w:val="clear" w:color="auto" w:fill="auto"/>
          </w:tcPr>
          <w:p w:rsidR="007C0F5C" w:rsidRPr="005972E0" w:rsidRDefault="007C0F5C" w:rsidP="005972E0">
            <w:pPr>
              <w:pStyle w:val="StyleHeader4Para4Left0Firstline0"/>
              <w:numPr>
                <w:ilvl w:val="0"/>
                <w:numId w:val="0"/>
              </w:numPr>
              <w:spacing w:after="60"/>
              <w:jc w:val="right"/>
              <w:rPr>
                <w:sz w:val="16"/>
                <w:szCs w:val="20"/>
              </w:rPr>
            </w:pPr>
            <w:r w:rsidRPr="005972E0">
              <w:rPr>
                <w:sz w:val="16"/>
                <w:szCs w:val="20"/>
              </w:rPr>
              <w:t>0</w:t>
            </w:r>
          </w:p>
        </w:tc>
        <w:tc>
          <w:tcPr>
            <w:tcW w:w="890" w:type="dxa"/>
            <w:shd w:val="clear" w:color="auto" w:fill="auto"/>
          </w:tcPr>
          <w:p w:rsidR="007C0F5C" w:rsidRPr="005972E0" w:rsidRDefault="007C0F5C" w:rsidP="005972E0">
            <w:pPr>
              <w:pStyle w:val="StyleHeader4Para4Left0Firstline0"/>
              <w:numPr>
                <w:ilvl w:val="0"/>
                <w:numId w:val="0"/>
              </w:numPr>
              <w:spacing w:after="60"/>
              <w:jc w:val="right"/>
              <w:rPr>
                <w:sz w:val="16"/>
                <w:szCs w:val="20"/>
              </w:rPr>
            </w:pPr>
            <w:r w:rsidRPr="005972E0">
              <w:rPr>
                <w:sz w:val="16"/>
                <w:szCs w:val="20"/>
              </w:rPr>
              <w:t>0</w:t>
            </w:r>
          </w:p>
        </w:tc>
      </w:tr>
      <w:tr w:rsidR="007C0F5C" w:rsidRPr="005972E0" w:rsidTr="005972E0">
        <w:trPr>
          <w:trHeight w:val="172"/>
        </w:trPr>
        <w:tc>
          <w:tcPr>
            <w:tcW w:w="1724" w:type="dxa"/>
            <w:vMerge/>
            <w:shd w:val="clear" w:color="auto" w:fill="auto"/>
          </w:tcPr>
          <w:p w:rsidR="007C0F5C" w:rsidRPr="005972E0" w:rsidRDefault="007C0F5C" w:rsidP="005972E0">
            <w:pPr>
              <w:pStyle w:val="StyleHeader4Para4Left0Firstline0"/>
              <w:numPr>
                <w:ilvl w:val="0"/>
                <w:numId w:val="0"/>
              </w:numPr>
              <w:spacing w:after="60"/>
              <w:jc w:val="left"/>
              <w:rPr>
                <w:sz w:val="16"/>
                <w:szCs w:val="20"/>
              </w:rPr>
            </w:pPr>
          </w:p>
        </w:tc>
        <w:tc>
          <w:tcPr>
            <w:tcW w:w="1354" w:type="dxa"/>
            <w:vMerge w:val="restart"/>
            <w:shd w:val="clear" w:color="auto" w:fill="auto"/>
          </w:tcPr>
          <w:p w:rsidR="007C0F5C" w:rsidRPr="005972E0" w:rsidRDefault="007C0F5C" w:rsidP="005972E0">
            <w:pPr>
              <w:pStyle w:val="StyleHeader4Para4Left0Firstline0"/>
              <w:numPr>
                <w:ilvl w:val="0"/>
                <w:numId w:val="0"/>
              </w:numPr>
              <w:spacing w:after="60"/>
              <w:jc w:val="center"/>
              <w:rPr>
                <w:sz w:val="16"/>
                <w:szCs w:val="20"/>
              </w:rPr>
            </w:pPr>
            <w:r w:rsidRPr="005972E0">
              <w:rPr>
                <w:sz w:val="16"/>
                <w:szCs w:val="20"/>
              </w:rPr>
              <w:t>ONUDI</w:t>
            </w:r>
          </w:p>
        </w:tc>
        <w:tc>
          <w:tcPr>
            <w:tcW w:w="1139" w:type="dxa"/>
            <w:shd w:val="clear" w:color="auto" w:fill="auto"/>
          </w:tcPr>
          <w:p w:rsidR="007C0F5C" w:rsidRPr="005972E0" w:rsidRDefault="007C0F5C" w:rsidP="005972E0">
            <w:pPr>
              <w:pStyle w:val="StyleHeader4Para4Left0Firstline0"/>
              <w:numPr>
                <w:ilvl w:val="0"/>
                <w:numId w:val="0"/>
              </w:numPr>
              <w:spacing w:after="60"/>
              <w:jc w:val="left"/>
              <w:rPr>
                <w:sz w:val="16"/>
                <w:szCs w:val="20"/>
              </w:rPr>
            </w:pPr>
            <w:r w:rsidRPr="005972E0">
              <w:rPr>
                <w:sz w:val="16"/>
                <w:szCs w:val="20"/>
              </w:rPr>
              <w:t>Costos del proyecto</w:t>
            </w:r>
          </w:p>
        </w:tc>
        <w:tc>
          <w:tcPr>
            <w:tcW w:w="1209" w:type="dxa"/>
            <w:tcBorders>
              <w:top w:val="nil"/>
              <w:left w:val="nil"/>
              <w:bottom w:val="single" w:sz="4" w:space="0" w:color="auto"/>
              <w:right w:val="single" w:sz="4" w:space="0" w:color="auto"/>
            </w:tcBorders>
            <w:shd w:val="clear" w:color="auto" w:fill="auto"/>
          </w:tcPr>
          <w:p w:rsidR="007C0F5C" w:rsidRPr="005972E0" w:rsidRDefault="007C0F5C" w:rsidP="005972E0">
            <w:pPr>
              <w:pStyle w:val="StyleHeader4Para4Left0Firstline0"/>
              <w:numPr>
                <w:ilvl w:val="0"/>
                <w:numId w:val="0"/>
              </w:numPr>
              <w:spacing w:after="60"/>
              <w:jc w:val="right"/>
              <w:rPr>
                <w:sz w:val="16"/>
                <w:szCs w:val="20"/>
              </w:rPr>
            </w:pPr>
            <w:r w:rsidRPr="005972E0">
              <w:rPr>
                <w:bCs/>
                <w:color w:val="000000"/>
                <w:sz w:val="16"/>
                <w:szCs w:val="16"/>
              </w:rPr>
              <w:t>1 553 271</w:t>
            </w:r>
          </w:p>
        </w:tc>
        <w:tc>
          <w:tcPr>
            <w:tcW w:w="842" w:type="dxa"/>
            <w:shd w:val="clear" w:color="auto" w:fill="auto"/>
          </w:tcPr>
          <w:p w:rsidR="007C0F5C" w:rsidRPr="005972E0" w:rsidRDefault="007C0F5C" w:rsidP="005972E0">
            <w:pPr>
              <w:pStyle w:val="StyleHeader4Para4Left0Firstline0"/>
              <w:numPr>
                <w:ilvl w:val="0"/>
                <w:numId w:val="0"/>
              </w:numPr>
              <w:spacing w:after="60"/>
              <w:jc w:val="right"/>
              <w:rPr>
                <w:sz w:val="16"/>
                <w:szCs w:val="20"/>
              </w:rPr>
            </w:pPr>
            <w:r w:rsidRPr="005972E0">
              <w:rPr>
                <w:sz w:val="16"/>
                <w:szCs w:val="20"/>
              </w:rPr>
              <w:t>0</w:t>
            </w:r>
          </w:p>
        </w:tc>
        <w:tc>
          <w:tcPr>
            <w:tcW w:w="904" w:type="dxa"/>
            <w:shd w:val="clear" w:color="auto" w:fill="auto"/>
          </w:tcPr>
          <w:p w:rsidR="007C0F5C" w:rsidRPr="005972E0" w:rsidRDefault="007C0F5C" w:rsidP="005972E0">
            <w:pPr>
              <w:pStyle w:val="StyleHeader4Para4Left0Firstline0"/>
              <w:numPr>
                <w:ilvl w:val="0"/>
                <w:numId w:val="0"/>
              </w:numPr>
              <w:spacing w:after="60"/>
              <w:jc w:val="right"/>
              <w:rPr>
                <w:sz w:val="16"/>
                <w:szCs w:val="20"/>
              </w:rPr>
            </w:pPr>
            <w:r w:rsidRPr="005972E0">
              <w:rPr>
                <w:sz w:val="16"/>
                <w:szCs w:val="20"/>
              </w:rPr>
              <w:t>3 280 793</w:t>
            </w:r>
          </w:p>
        </w:tc>
        <w:tc>
          <w:tcPr>
            <w:tcW w:w="842" w:type="dxa"/>
            <w:shd w:val="clear" w:color="auto" w:fill="auto"/>
          </w:tcPr>
          <w:p w:rsidR="007C0F5C" w:rsidRPr="005972E0" w:rsidRDefault="007C0F5C" w:rsidP="005972E0">
            <w:pPr>
              <w:pStyle w:val="StyleHeader4Para4Left0Firstline0"/>
              <w:numPr>
                <w:ilvl w:val="0"/>
                <w:numId w:val="0"/>
              </w:numPr>
              <w:spacing w:after="60"/>
              <w:jc w:val="right"/>
              <w:rPr>
                <w:sz w:val="16"/>
                <w:szCs w:val="20"/>
              </w:rPr>
            </w:pPr>
            <w:r w:rsidRPr="005972E0">
              <w:rPr>
                <w:sz w:val="16"/>
                <w:szCs w:val="20"/>
              </w:rPr>
              <w:t>0</w:t>
            </w:r>
          </w:p>
        </w:tc>
        <w:tc>
          <w:tcPr>
            <w:tcW w:w="904" w:type="dxa"/>
            <w:shd w:val="clear" w:color="auto" w:fill="auto"/>
          </w:tcPr>
          <w:p w:rsidR="007C0F5C" w:rsidRPr="005972E0" w:rsidRDefault="007C0F5C" w:rsidP="005972E0">
            <w:pPr>
              <w:pStyle w:val="StyleHeader4Para4Left0Firstline0"/>
              <w:numPr>
                <w:ilvl w:val="0"/>
                <w:numId w:val="0"/>
              </w:numPr>
              <w:spacing w:after="60"/>
              <w:jc w:val="right"/>
              <w:rPr>
                <w:sz w:val="16"/>
                <w:szCs w:val="20"/>
              </w:rPr>
            </w:pPr>
            <w:r w:rsidRPr="005972E0">
              <w:rPr>
                <w:sz w:val="16"/>
                <w:szCs w:val="20"/>
              </w:rPr>
              <w:t>3 888 050</w:t>
            </w:r>
          </w:p>
        </w:tc>
        <w:tc>
          <w:tcPr>
            <w:tcW w:w="867" w:type="dxa"/>
            <w:shd w:val="clear" w:color="auto" w:fill="auto"/>
          </w:tcPr>
          <w:p w:rsidR="007C0F5C" w:rsidRPr="005972E0" w:rsidRDefault="007C0F5C" w:rsidP="005972E0">
            <w:pPr>
              <w:pStyle w:val="StyleHeader4Para4Left0Firstline0"/>
              <w:numPr>
                <w:ilvl w:val="0"/>
                <w:numId w:val="0"/>
              </w:numPr>
              <w:spacing w:after="60"/>
              <w:jc w:val="right"/>
              <w:rPr>
                <w:sz w:val="16"/>
                <w:szCs w:val="20"/>
              </w:rPr>
            </w:pPr>
            <w:r w:rsidRPr="005972E0">
              <w:rPr>
                <w:sz w:val="16"/>
                <w:szCs w:val="20"/>
              </w:rPr>
              <w:t>969 124</w:t>
            </w:r>
          </w:p>
        </w:tc>
        <w:tc>
          <w:tcPr>
            <w:tcW w:w="890" w:type="dxa"/>
            <w:shd w:val="clear" w:color="auto" w:fill="auto"/>
          </w:tcPr>
          <w:p w:rsidR="007C0F5C" w:rsidRPr="005972E0" w:rsidRDefault="007C0F5C" w:rsidP="005972E0">
            <w:pPr>
              <w:pStyle w:val="StyleHeader4Para4Left0Firstline0"/>
              <w:numPr>
                <w:ilvl w:val="0"/>
                <w:numId w:val="0"/>
              </w:numPr>
              <w:spacing w:after="60"/>
              <w:jc w:val="right"/>
              <w:rPr>
                <w:sz w:val="16"/>
                <w:szCs w:val="20"/>
              </w:rPr>
            </w:pPr>
            <w:r w:rsidRPr="005972E0">
              <w:rPr>
                <w:sz w:val="16"/>
                <w:szCs w:val="20"/>
              </w:rPr>
              <w:t>9.691.238</w:t>
            </w:r>
          </w:p>
        </w:tc>
      </w:tr>
      <w:tr w:rsidR="007C0F5C" w:rsidRPr="005972E0" w:rsidTr="005972E0">
        <w:trPr>
          <w:trHeight w:val="51"/>
        </w:trPr>
        <w:tc>
          <w:tcPr>
            <w:tcW w:w="1724" w:type="dxa"/>
            <w:vMerge/>
            <w:shd w:val="clear" w:color="auto" w:fill="auto"/>
          </w:tcPr>
          <w:p w:rsidR="007C0F5C" w:rsidRPr="005972E0" w:rsidRDefault="007C0F5C" w:rsidP="005972E0">
            <w:pPr>
              <w:pStyle w:val="StyleHeader4Para4Left0Firstline0"/>
              <w:numPr>
                <w:ilvl w:val="0"/>
                <w:numId w:val="0"/>
              </w:numPr>
              <w:spacing w:after="60"/>
              <w:jc w:val="center"/>
              <w:rPr>
                <w:sz w:val="16"/>
                <w:szCs w:val="20"/>
              </w:rPr>
            </w:pPr>
          </w:p>
        </w:tc>
        <w:tc>
          <w:tcPr>
            <w:tcW w:w="1354" w:type="dxa"/>
            <w:vMerge/>
            <w:shd w:val="clear" w:color="auto" w:fill="auto"/>
          </w:tcPr>
          <w:p w:rsidR="007C0F5C" w:rsidRPr="005972E0" w:rsidRDefault="007C0F5C" w:rsidP="005972E0">
            <w:pPr>
              <w:pStyle w:val="StyleHeader4Para4Left0Firstline0"/>
              <w:numPr>
                <w:ilvl w:val="0"/>
                <w:numId w:val="0"/>
              </w:numPr>
              <w:spacing w:after="60"/>
              <w:jc w:val="center"/>
              <w:rPr>
                <w:sz w:val="16"/>
                <w:szCs w:val="20"/>
              </w:rPr>
            </w:pPr>
          </w:p>
        </w:tc>
        <w:tc>
          <w:tcPr>
            <w:tcW w:w="1139" w:type="dxa"/>
            <w:shd w:val="clear" w:color="auto" w:fill="auto"/>
          </w:tcPr>
          <w:p w:rsidR="007C0F5C" w:rsidRPr="005972E0" w:rsidRDefault="007C0F5C" w:rsidP="005972E0">
            <w:pPr>
              <w:pStyle w:val="StyleHeader4Para4Left0Firstline0"/>
              <w:numPr>
                <w:ilvl w:val="0"/>
                <w:numId w:val="0"/>
              </w:numPr>
              <w:spacing w:after="60"/>
              <w:jc w:val="left"/>
              <w:rPr>
                <w:sz w:val="16"/>
                <w:szCs w:val="20"/>
              </w:rPr>
            </w:pPr>
            <w:r w:rsidRPr="005972E0">
              <w:rPr>
                <w:sz w:val="16"/>
                <w:szCs w:val="20"/>
              </w:rPr>
              <w:t>Gastos de apoyo</w:t>
            </w:r>
          </w:p>
        </w:tc>
        <w:tc>
          <w:tcPr>
            <w:tcW w:w="1209" w:type="dxa"/>
            <w:tcBorders>
              <w:top w:val="nil"/>
              <w:left w:val="nil"/>
              <w:bottom w:val="single" w:sz="4" w:space="0" w:color="auto"/>
              <w:right w:val="single" w:sz="4" w:space="0" w:color="auto"/>
            </w:tcBorders>
            <w:shd w:val="clear" w:color="auto" w:fill="auto"/>
          </w:tcPr>
          <w:p w:rsidR="007C0F5C" w:rsidRPr="005972E0" w:rsidRDefault="007C0F5C" w:rsidP="005972E0">
            <w:pPr>
              <w:pStyle w:val="StyleHeader4Para4Left0Firstline0"/>
              <w:numPr>
                <w:ilvl w:val="0"/>
                <w:numId w:val="0"/>
              </w:numPr>
              <w:spacing w:after="60"/>
              <w:jc w:val="right"/>
              <w:rPr>
                <w:sz w:val="16"/>
                <w:szCs w:val="20"/>
              </w:rPr>
            </w:pPr>
            <w:r w:rsidRPr="005972E0">
              <w:rPr>
                <w:bCs/>
                <w:color w:val="000000"/>
                <w:sz w:val="16"/>
                <w:szCs w:val="16"/>
              </w:rPr>
              <w:t>108 729</w:t>
            </w:r>
          </w:p>
        </w:tc>
        <w:tc>
          <w:tcPr>
            <w:tcW w:w="842" w:type="dxa"/>
            <w:shd w:val="clear" w:color="auto" w:fill="auto"/>
          </w:tcPr>
          <w:p w:rsidR="007C0F5C" w:rsidRPr="005972E0" w:rsidRDefault="007C0F5C" w:rsidP="005972E0">
            <w:pPr>
              <w:pStyle w:val="StyleHeader4Para4Left0Firstline0"/>
              <w:numPr>
                <w:ilvl w:val="0"/>
                <w:numId w:val="0"/>
              </w:numPr>
              <w:spacing w:after="60"/>
              <w:jc w:val="right"/>
              <w:rPr>
                <w:sz w:val="16"/>
                <w:szCs w:val="20"/>
              </w:rPr>
            </w:pPr>
            <w:r w:rsidRPr="005972E0">
              <w:rPr>
                <w:sz w:val="16"/>
                <w:szCs w:val="20"/>
              </w:rPr>
              <w:t>0</w:t>
            </w:r>
          </w:p>
        </w:tc>
        <w:tc>
          <w:tcPr>
            <w:tcW w:w="904" w:type="dxa"/>
            <w:shd w:val="clear" w:color="auto" w:fill="auto"/>
          </w:tcPr>
          <w:p w:rsidR="007C0F5C" w:rsidRPr="005972E0" w:rsidRDefault="007C0F5C" w:rsidP="005972E0">
            <w:pPr>
              <w:pStyle w:val="StyleHeader4Para4Left0Firstline0"/>
              <w:numPr>
                <w:ilvl w:val="0"/>
                <w:numId w:val="0"/>
              </w:numPr>
              <w:spacing w:after="60"/>
              <w:jc w:val="right"/>
              <w:rPr>
                <w:sz w:val="16"/>
                <w:szCs w:val="20"/>
              </w:rPr>
            </w:pPr>
            <w:r w:rsidRPr="005972E0">
              <w:rPr>
                <w:sz w:val="16"/>
                <w:szCs w:val="20"/>
              </w:rPr>
              <w:t>229 656</w:t>
            </w:r>
          </w:p>
        </w:tc>
        <w:tc>
          <w:tcPr>
            <w:tcW w:w="842" w:type="dxa"/>
            <w:shd w:val="clear" w:color="auto" w:fill="auto"/>
          </w:tcPr>
          <w:p w:rsidR="007C0F5C" w:rsidRPr="005972E0" w:rsidRDefault="007C0F5C" w:rsidP="005972E0">
            <w:pPr>
              <w:pStyle w:val="StyleHeader4Para4Left0Firstline0"/>
              <w:numPr>
                <w:ilvl w:val="0"/>
                <w:numId w:val="0"/>
              </w:numPr>
              <w:spacing w:after="60"/>
              <w:jc w:val="right"/>
              <w:rPr>
                <w:sz w:val="16"/>
                <w:szCs w:val="20"/>
              </w:rPr>
            </w:pPr>
            <w:r w:rsidRPr="005972E0">
              <w:rPr>
                <w:sz w:val="16"/>
                <w:szCs w:val="20"/>
              </w:rPr>
              <w:t>0</w:t>
            </w:r>
          </w:p>
        </w:tc>
        <w:tc>
          <w:tcPr>
            <w:tcW w:w="904" w:type="dxa"/>
            <w:shd w:val="clear" w:color="auto" w:fill="auto"/>
          </w:tcPr>
          <w:p w:rsidR="007C0F5C" w:rsidRPr="005972E0" w:rsidRDefault="007C0F5C" w:rsidP="005972E0">
            <w:pPr>
              <w:pStyle w:val="StyleHeader4Para4Left0Firstline0"/>
              <w:numPr>
                <w:ilvl w:val="0"/>
                <w:numId w:val="0"/>
              </w:numPr>
              <w:spacing w:after="60"/>
              <w:jc w:val="right"/>
              <w:rPr>
                <w:sz w:val="16"/>
                <w:szCs w:val="20"/>
              </w:rPr>
            </w:pPr>
            <w:r w:rsidRPr="005972E0">
              <w:rPr>
                <w:sz w:val="16"/>
                <w:szCs w:val="20"/>
              </w:rPr>
              <w:t>272 164</w:t>
            </w:r>
          </w:p>
        </w:tc>
        <w:tc>
          <w:tcPr>
            <w:tcW w:w="867" w:type="dxa"/>
            <w:shd w:val="clear" w:color="auto" w:fill="auto"/>
          </w:tcPr>
          <w:p w:rsidR="007C0F5C" w:rsidRPr="005972E0" w:rsidRDefault="007C0F5C" w:rsidP="005972E0">
            <w:pPr>
              <w:pStyle w:val="StyleHeader4Para4Left0Firstline0"/>
              <w:numPr>
                <w:ilvl w:val="0"/>
                <w:numId w:val="0"/>
              </w:numPr>
              <w:spacing w:after="60"/>
              <w:jc w:val="right"/>
              <w:rPr>
                <w:sz w:val="16"/>
                <w:szCs w:val="20"/>
              </w:rPr>
            </w:pPr>
            <w:r w:rsidRPr="005972E0">
              <w:rPr>
                <w:sz w:val="16"/>
                <w:szCs w:val="20"/>
              </w:rPr>
              <w:t>67 839</w:t>
            </w:r>
          </w:p>
        </w:tc>
        <w:tc>
          <w:tcPr>
            <w:tcW w:w="890" w:type="dxa"/>
            <w:shd w:val="clear" w:color="auto" w:fill="auto"/>
          </w:tcPr>
          <w:p w:rsidR="007C0F5C" w:rsidRPr="005972E0" w:rsidRDefault="007C0F5C" w:rsidP="005972E0">
            <w:pPr>
              <w:pStyle w:val="StyleHeader4Para4Left0Firstline0"/>
              <w:numPr>
                <w:ilvl w:val="0"/>
                <w:numId w:val="0"/>
              </w:numPr>
              <w:spacing w:after="60"/>
              <w:jc w:val="right"/>
              <w:rPr>
                <w:sz w:val="16"/>
                <w:szCs w:val="20"/>
              </w:rPr>
            </w:pPr>
            <w:r w:rsidRPr="005972E0">
              <w:rPr>
                <w:sz w:val="16"/>
                <w:szCs w:val="20"/>
              </w:rPr>
              <w:t>678.388</w:t>
            </w:r>
          </w:p>
        </w:tc>
      </w:tr>
      <w:tr w:rsidR="007C0F5C" w:rsidRPr="005972E0" w:rsidTr="005972E0">
        <w:trPr>
          <w:trHeight w:val="121"/>
        </w:trPr>
        <w:tc>
          <w:tcPr>
            <w:tcW w:w="1724" w:type="dxa"/>
            <w:vMerge/>
            <w:shd w:val="clear" w:color="auto" w:fill="auto"/>
          </w:tcPr>
          <w:p w:rsidR="007C0F5C" w:rsidRPr="005972E0" w:rsidRDefault="007C0F5C" w:rsidP="005972E0">
            <w:pPr>
              <w:pStyle w:val="StyleHeader4Para4Left0Firstline0"/>
              <w:numPr>
                <w:ilvl w:val="0"/>
                <w:numId w:val="0"/>
              </w:numPr>
              <w:spacing w:after="60"/>
              <w:jc w:val="center"/>
              <w:rPr>
                <w:sz w:val="16"/>
                <w:szCs w:val="20"/>
              </w:rPr>
            </w:pPr>
          </w:p>
        </w:tc>
        <w:tc>
          <w:tcPr>
            <w:tcW w:w="1354" w:type="dxa"/>
            <w:vMerge w:val="restart"/>
            <w:shd w:val="clear" w:color="auto" w:fill="auto"/>
          </w:tcPr>
          <w:p w:rsidR="007C0F5C" w:rsidRPr="005972E0" w:rsidRDefault="007C0F5C" w:rsidP="005972E0">
            <w:pPr>
              <w:pStyle w:val="StyleHeader4Para4Left0Firstline0"/>
              <w:numPr>
                <w:ilvl w:val="0"/>
                <w:numId w:val="0"/>
              </w:numPr>
              <w:spacing w:after="60"/>
              <w:jc w:val="center"/>
              <w:rPr>
                <w:sz w:val="16"/>
                <w:szCs w:val="20"/>
              </w:rPr>
            </w:pPr>
            <w:r w:rsidRPr="005972E0">
              <w:rPr>
                <w:sz w:val="16"/>
                <w:szCs w:val="20"/>
              </w:rPr>
              <w:t>Italia</w:t>
            </w:r>
          </w:p>
        </w:tc>
        <w:tc>
          <w:tcPr>
            <w:tcW w:w="1139" w:type="dxa"/>
            <w:shd w:val="clear" w:color="auto" w:fill="auto"/>
          </w:tcPr>
          <w:p w:rsidR="007C0F5C" w:rsidRPr="005972E0" w:rsidRDefault="007C0F5C" w:rsidP="005972E0">
            <w:pPr>
              <w:pStyle w:val="StyleHeader4Para4Left0Firstline0"/>
              <w:numPr>
                <w:ilvl w:val="0"/>
                <w:numId w:val="0"/>
              </w:numPr>
              <w:spacing w:after="60"/>
              <w:jc w:val="left"/>
              <w:rPr>
                <w:sz w:val="16"/>
                <w:szCs w:val="20"/>
              </w:rPr>
            </w:pPr>
            <w:r w:rsidRPr="005972E0">
              <w:rPr>
                <w:sz w:val="16"/>
                <w:szCs w:val="20"/>
              </w:rPr>
              <w:t>Costos del proyecto</w:t>
            </w:r>
          </w:p>
        </w:tc>
        <w:tc>
          <w:tcPr>
            <w:tcW w:w="1209" w:type="dxa"/>
            <w:shd w:val="clear" w:color="auto" w:fill="auto"/>
          </w:tcPr>
          <w:p w:rsidR="007C0F5C" w:rsidRPr="005972E0" w:rsidRDefault="007C0F5C" w:rsidP="005972E0">
            <w:pPr>
              <w:pStyle w:val="StyleHeader4Para4Left0Firstline0"/>
              <w:numPr>
                <w:ilvl w:val="0"/>
                <w:numId w:val="0"/>
              </w:numPr>
              <w:spacing w:after="60"/>
              <w:jc w:val="right"/>
              <w:rPr>
                <w:sz w:val="16"/>
                <w:szCs w:val="20"/>
              </w:rPr>
            </w:pPr>
            <w:r w:rsidRPr="005972E0">
              <w:rPr>
                <w:sz w:val="16"/>
                <w:szCs w:val="20"/>
              </w:rPr>
              <w:t>250 000</w:t>
            </w:r>
          </w:p>
        </w:tc>
        <w:tc>
          <w:tcPr>
            <w:tcW w:w="842" w:type="dxa"/>
            <w:shd w:val="clear" w:color="auto" w:fill="auto"/>
          </w:tcPr>
          <w:p w:rsidR="007C0F5C" w:rsidRPr="005972E0" w:rsidRDefault="007C0F5C" w:rsidP="005972E0">
            <w:pPr>
              <w:pStyle w:val="StyleHeader4Para4Left0Firstline0"/>
              <w:numPr>
                <w:ilvl w:val="0"/>
                <w:numId w:val="0"/>
              </w:numPr>
              <w:spacing w:after="60"/>
              <w:jc w:val="right"/>
              <w:rPr>
                <w:sz w:val="16"/>
                <w:szCs w:val="20"/>
              </w:rPr>
            </w:pPr>
            <w:r w:rsidRPr="005972E0">
              <w:rPr>
                <w:sz w:val="16"/>
                <w:szCs w:val="20"/>
              </w:rPr>
              <w:t>0</w:t>
            </w:r>
          </w:p>
        </w:tc>
        <w:tc>
          <w:tcPr>
            <w:tcW w:w="904" w:type="dxa"/>
            <w:shd w:val="clear" w:color="auto" w:fill="auto"/>
          </w:tcPr>
          <w:p w:rsidR="007C0F5C" w:rsidRPr="005972E0" w:rsidRDefault="007C0F5C" w:rsidP="005972E0">
            <w:pPr>
              <w:pStyle w:val="StyleHeader4Para4Left0Firstline0"/>
              <w:numPr>
                <w:ilvl w:val="0"/>
                <w:numId w:val="0"/>
              </w:numPr>
              <w:spacing w:after="60"/>
              <w:jc w:val="right"/>
              <w:rPr>
                <w:sz w:val="16"/>
                <w:szCs w:val="20"/>
              </w:rPr>
            </w:pPr>
            <w:r w:rsidRPr="005972E0">
              <w:rPr>
                <w:sz w:val="16"/>
                <w:szCs w:val="20"/>
              </w:rPr>
              <w:t>0</w:t>
            </w:r>
          </w:p>
        </w:tc>
        <w:tc>
          <w:tcPr>
            <w:tcW w:w="842" w:type="dxa"/>
            <w:shd w:val="clear" w:color="auto" w:fill="auto"/>
          </w:tcPr>
          <w:p w:rsidR="007C0F5C" w:rsidRPr="005972E0" w:rsidRDefault="007C0F5C" w:rsidP="005972E0">
            <w:pPr>
              <w:pStyle w:val="StyleHeader4Para4Left0Firstline0"/>
              <w:numPr>
                <w:ilvl w:val="0"/>
                <w:numId w:val="0"/>
              </w:numPr>
              <w:spacing w:after="60"/>
              <w:jc w:val="right"/>
              <w:rPr>
                <w:sz w:val="16"/>
                <w:szCs w:val="20"/>
              </w:rPr>
            </w:pPr>
            <w:r w:rsidRPr="005972E0">
              <w:rPr>
                <w:sz w:val="16"/>
                <w:szCs w:val="20"/>
              </w:rPr>
              <w:t>0</w:t>
            </w:r>
          </w:p>
        </w:tc>
        <w:tc>
          <w:tcPr>
            <w:tcW w:w="904" w:type="dxa"/>
            <w:shd w:val="clear" w:color="auto" w:fill="auto"/>
          </w:tcPr>
          <w:p w:rsidR="007C0F5C" w:rsidRPr="005972E0" w:rsidRDefault="007C0F5C" w:rsidP="005972E0">
            <w:pPr>
              <w:pStyle w:val="StyleHeader4Para4Left0Firstline0"/>
              <w:numPr>
                <w:ilvl w:val="0"/>
                <w:numId w:val="0"/>
              </w:numPr>
              <w:spacing w:after="60"/>
              <w:jc w:val="right"/>
              <w:rPr>
                <w:sz w:val="16"/>
                <w:szCs w:val="20"/>
              </w:rPr>
            </w:pPr>
            <w:r w:rsidRPr="005972E0">
              <w:rPr>
                <w:sz w:val="16"/>
                <w:szCs w:val="20"/>
              </w:rPr>
              <w:t>0</w:t>
            </w:r>
          </w:p>
        </w:tc>
        <w:tc>
          <w:tcPr>
            <w:tcW w:w="867" w:type="dxa"/>
            <w:shd w:val="clear" w:color="auto" w:fill="auto"/>
          </w:tcPr>
          <w:p w:rsidR="007C0F5C" w:rsidRPr="005972E0" w:rsidRDefault="007C0F5C" w:rsidP="005972E0">
            <w:pPr>
              <w:pStyle w:val="StyleHeader4Para4Left0Firstline0"/>
              <w:numPr>
                <w:ilvl w:val="0"/>
                <w:numId w:val="0"/>
              </w:numPr>
              <w:spacing w:after="60"/>
              <w:jc w:val="right"/>
              <w:rPr>
                <w:sz w:val="16"/>
                <w:szCs w:val="20"/>
              </w:rPr>
            </w:pPr>
            <w:r w:rsidRPr="005972E0">
              <w:rPr>
                <w:sz w:val="16"/>
                <w:szCs w:val="20"/>
              </w:rPr>
              <w:t>0</w:t>
            </w:r>
          </w:p>
        </w:tc>
        <w:tc>
          <w:tcPr>
            <w:tcW w:w="890" w:type="dxa"/>
            <w:shd w:val="clear" w:color="auto" w:fill="auto"/>
          </w:tcPr>
          <w:p w:rsidR="007C0F5C" w:rsidRPr="005972E0" w:rsidRDefault="007C0F5C" w:rsidP="005972E0">
            <w:pPr>
              <w:pStyle w:val="StyleHeader4Para4Left0Firstline0"/>
              <w:numPr>
                <w:ilvl w:val="0"/>
                <w:numId w:val="0"/>
              </w:numPr>
              <w:spacing w:after="60"/>
              <w:jc w:val="right"/>
              <w:rPr>
                <w:sz w:val="16"/>
                <w:szCs w:val="20"/>
              </w:rPr>
            </w:pPr>
            <w:r w:rsidRPr="005972E0">
              <w:rPr>
                <w:sz w:val="16"/>
                <w:szCs w:val="20"/>
              </w:rPr>
              <w:t>250.000</w:t>
            </w:r>
          </w:p>
        </w:tc>
      </w:tr>
      <w:tr w:rsidR="007C0F5C" w:rsidRPr="005972E0" w:rsidTr="005972E0">
        <w:trPr>
          <w:trHeight w:val="125"/>
        </w:trPr>
        <w:tc>
          <w:tcPr>
            <w:tcW w:w="1724" w:type="dxa"/>
            <w:vMerge/>
            <w:shd w:val="clear" w:color="auto" w:fill="auto"/>
          </w:tcPr>
          <w:p w:rsidR="007C0F5C" w:rsidRPr="005972E0" w:rsidRDefault="007C0F5C" w:rsidP="005972E0">
            <w:pPr>
              <w:pStyle w:val="StyleHeader4Para4Left0Firstline0"/>
              <w:numPr>
                <w:ilvl w:val="0"/>
                <w:numId w:val="0"/>
              </w:numPr>
              <w:spacing w:after="60"/>
              <w:jc w:val="center"/>
              <w:rPr>
                <w:sz w:val="16"/>
                <w:szCs w:val="20"/>
              </w:rPr>
            </w:pPr>
          </w:p>
        </w:tc>
        <w:tc>
          <w:tcPr>
            <w:tcW w:w="1354" w:type="dxa"/>
            <w:vMerge/>
            <w:shd w:val="clear" w:color="auto" w:fill="auto"/>
          </w:tcPr>
          <w:p w:rsidR="007C0F5C" w:rsidRPr="005972E0" w:rsidRDefault="007C0F5C" w:rsidP="005972E0">
            <w:pPr>
              <w:pStyle w:val="StyleHeader4Para4Left0Firstline0"/>
              <w:numPr>
                <w:ilvl w:val="0"/>
                <w:numId w:val="0"/>
              </w:numPr>
              <w:spacing w:after="60"/>
              <w:jc w:val="center"/>
              <w:rPr>
                <w:sz w:val="16"/>
                <w:szCs w:val="20"/>
              </w:rPr>
            </w:pPr>
          </w:p>
        </w:tc>
        <w:tc>
          <w:tcPr>
            <w:tcW w:w="1139" w:type="dxa"/>
            <w:shd w:val="clear" w:color="auto" w:fill="auto"/>
          </w:tcPr>
          <w:p w:rsidR="007C0F5C" w:rsidRPr="005972E0" w:rsidRDefault="007C0F5C" w:rsidP="005972E0">
            <w:pPr>
              <w:pStyle w:val="StyleHeader4Para4Left0Firstline0"/>
              <w:numPr>
                <w:ilvl w:val="0"/>
                <w:numId w:val="0"/>
              </w:numPr>
              <w:spacing w:after="60"/>
              <w:jc w:val="left"/>
              <w:rPr>
                <w:sz w:val="16"/>
                <w:szCs w:val="20"/>
              </w:rPr>
            </w:pPr>
            <w:r w:rsidRPr="005972E0">
              <w:rPr>
                <w:sz w:val="16"/>
                <w:szCs w:val="20"/>
              </w:rPr>
              <w:t>Gastos de apoyo</w:t>
            </w:r>
          </w:p>
        </w:tc>
        <w:tc>
          <w:tcPr>
            <w:tcW w:w="1209" w:type="dxa"/>
            <w:shd w:val="clear" w:color="auto" w:fill="auto"/>
          </w:tcPr>
          <w:p w:rsidR="007C0F5C" w:rsidRPr="005972E0" w:rsidRDefault="007C0F5C" w:rsidP="005972E0">
            <w:pPr>
              <w:pStyle w:val="StyleHeader4Para4Left0Firstline0"/>
              <w:numPr>
                <w:ilvl w:val="0"/>
                <w:numId w:val="0"/>
              </w:numPr>
              <w:spacing w:after="60"/>
              <w:jc w:val="right"/>
              <w:rPr>
                <w:sz w:val="16"/>
                <w:szCs w:val="20"/>
              </w:rPr>
            </w:pPr>
            <w:r w:rsidRPr="005972E0">
              <w:rPr>
                <w:sz w:val="16"/>
                <w:szCs w:val="20"/>
              </w:rPr>
              <w:t>32 500</w:t>
            </w:r>
          </w:p>
        </w:tc>
        <w:tc>
          <w:tcPr>
            <w:tcW w:w="842" w:type="dxa"/>
            <w:shd w:val="clear" w:color="auto" w:fill="auto"/>
          </w:tcPr>
          <w:p w:rsidR="007C0F5C" w:rsidRPr="005972E0" w:rsidRDefault="007C0F5C" w:rsidP="005972E0">
            <w:pPr>
              <w:pStyle w:val="StyleHeader4Para4Left0Firstline0"/>
              <w:numPr>
                <w:ilvl w:val="0"/>
                <w:numId w:val="0"/>
              </w:numPr>
              <w:spacing w:after="60"/>
              <w:jc w:val="right"/>
              <w:rPr>
                <w:sz w:val="16"/>
                <w:szCs w:val="20"/>
              </w:rPr>
            </w:pPr>
            <w:r w:rsidRPr="005972E0">
              <w:rPr>
                <w:sz w:val="16"/>
                <w:szCs w:val="20"/>
              </w:rPr>
              <w:t>0</w:t>
            </w:r>
          </w:p>
        </w:tc>
        <w:tc>
          <w:tcPr>
            <w:tcW w:w="904" w:type="dxa"/>
            <w:shd w:val="clear" w:color="auto" w:fill="auto"/>
          </w:tcPr>
          <w:p w:rsidR="007C0F5C" w:rsidRPr="005972E0" w:rsidRDefault="007C0F5C" w:rsidP="005972E0">
            <w:pPr>
              <w:pStyle w:val="StyleHeader4Para4Left0Firstline0"/>
              <w:numPr>
                <w:ilvl w:val="0"/>
                <w:numId w:val="0"/>
              </w:numPr>
              <w:spacing w:after="60"/>
              <w:jc w:val="right"/>
              <w:rPr>
                <w:sz w:val="16"/>
                <w:szCs w:val="20"/>
              </w:rPr>
            </w:pPr>
            <w:r w:rsidRPr="005972E0">
              <w:rPr>
                <w:sz w:val="16"/>
                <w:szCs w:val="20"/>
              </w:rPr>
              <w:t>0</w:t>
            </w:r>
          </w:p>
        </w:tc>
        <w:tc>
          <w:tcPr>
            <w:tcW w:w="842" w:type="dxa"/>
            <w:shd w:val="clear" w:color="auto" w:fill="auto"/>
          </w:tcPr>
          <w:p w:rsidR="007C0F5C" w:rsidRPr="005972E0" w:rsidRDefault="007C0F5C" w:rsidP="005972E0">
            <w:pPr>
              <w:pStyle w:val="StyleHeader4Para4Left0Firstline0"/>
              <w:numPr>
                <w:ilvl w:val="0"/>
                <w:numId w:val="0"/>
              </w:numPr>
              <w:spacing w:after="60"/>
              <w:jc w:val="right"/>
              <w:rPr>
                <w:sz w:val="16"/>
                <w:szCs w:val="20"/>
              </w:rPr>
            </w:pPr>
            <w:r w:rsidRPr="005972E0">
              <w:rPr>
                <w:sz w:val="16"/>
                <w:szCs w:val="20"/>
              </w:rPr>
              <w:t>0</w:t>
            </w:r>
          </w:p>
        </w:tc>
        <w:tc>
          <w:tcPr>
            <w:tcW w:w="904" w:type="dxa"/>
            <w:shd w:val="clear" w:color="auto" w:fill="auto"/>
          </w:tcPr>
          <w:p w:rsidR="007C0F5C" w:rsidRPr="005972E0" w:rsidRDefault="007C0F5C" w:rsidP="005972E0">
            <w:pPr>
              <w:pStyle w:val="StyleHeader4Para4Left0Firstline0"/>
              <w:numPr>
                <w:ilvl w:val="0"/>
                <w:numId w:val="0"/>
              </w:numPr>
              <w:spacing w:after="60"/>
              <w:jc w:val="right"/>
              <w:rPr>
                <w:sz w:val="16"/>
                <w:szCs w:val="20"/>
              </w:rPr>
            </w:pPr>
            <w:r w:rsidRPr="005972E0">
              <w:rPr>
                <w:sz w:val="16"/>
                <w:szCs w:val="20"/>
              </w:rPr>
              <w:t>0</w:t>
            </w:r>
          </w:p>
        </w:tc>
        <w:tc>
          <w:tcPr>
            <w:tcW w:w="867" w:type="dxa"/>
            <w:shd w:val="clear" w:color="auto" w:fill="auto"/>
          </w:tcPr>
          <w:p w:rsidR="007C0F5C" w:rsidRPr="005972E0" w:rsidRDefault="007C0F5C" w:rsidP="005972E0">
            <w:pPr>
              <w:pStyle w:val="StyleHeader4Para4Left0Firstline0"/>
              <w:numPr>
                <w:ilvl w:val="0"/>
                <w:numId w:val="0"/>
              </w:numPr>
              <w:spacing w:after="60"/>
              <w:jc w:val="right"/>
              <w:rPr>
                <w:sz w:val="16"/>
                <w:szCs w:val="20"/>
              </w:rPr>
            </w:pPr>
            <w:r w:rsidRPr="005972E0">
              <w:rPr>
                <w:sz w:val="16"/>
                <w:szCs w:val="20"/>
              </w:rPr>
              <w:t>0</w:t>
            </w:r>
          </w:p>
        </w:tc>
        <w:tc>
          <w:tcPr>
            <w:tcW w:w="890" w:type="dxa"/>
            <w:shd w:val="clear" w:color="auto" w:fill="auto"/>
          </w:tcPr>
          <w:p w:rsidR="007C0F5C" w:rsidRPr="005972E0" w:rsidRDefault="007C0F5C" w:rsidP="005972E0">
            <w:pPr>
              <w:pStyle w:val="StyleHeader4Para4Left0Firstline0"/>
              <w:numPr>
                <w:ilvl w:val="0"/>
                <w:numId w:val="0"/>
              </w:numPr>
              <w:spacing w:after="60"/>
              <w:jc w:val="right"/>
              <w:rPr>
                <w:sz w:val="16"/>
                <w:szCs w:val="20"/>
              </w:rPr>
            </w:pPr>
            <w:r w:rsidRPr="005972E0">
              <w:rPr>
                <w:sz w:val="16"/>
                <w:szCs w:val="20"/>
              </w:rPr>
              <w:t>32.500</w:t>
            </w:r>
          </w:p>
        </w:tc>
      </w:tr>
      <w:tr w:rsidR="00054E5B" w:rsidRPr="005972E0" w:rsidTr="005972E0">
        <w:trPr>
          <w:cantSplit/>
          <w:trHeight w:val="132"/>
        </w:trPr>
        <w:tc>
          <w:tcPr>
            <w:tcW w:w="3078" w:type="dxa"/>
            <w:gridSpan w:val="2"/>
            <w:vMerge w:val="restart"/>
            <w:shd w:val="clear" w:color="auto" w:fill="auto"/>
          </w:tcPr>
          <w:p w:rsidR="00054E5B" w:rsidRPr="005972E0" w:rsidRDefault="00054E5B" w:rsidP="005972E0">
            <w:pPr>
              <w:pStyle w:val="StyleHeader4Para4Left0Firstline0"/>
              <w:keepNext/>
              <w:keepLines/>
              <w:widowControl/>
              <w:numPr>
                <w:ilvl w:val="0"/>
                <w:numId w:val="0"/>
              </w:numPr>
              <w:spacing w:after="60"/>
              <w:jc w:val="left"/>
              <w:rPr>
                <w:sz w:val="16"/>
                <w:szCs w:val="20"/>
                <w:lang w:val="es-419"/>
              </w:rPr>
            </w:pPr>
            <w:r w:rsidRPr="005972E0">
              <w:rPr>
                <w:sz w:val="16"/>
                <w:szCs w:val="20"/>
                <w:lang w:val="es-419"/>
              </w:rPr>
              <w:t>Fondos aprobados por el Comité Ejecutivo ($EUA)</w:t>
            </w:r>
          </w:p>
        </w:tc>
        <w:tc>
          <w:tcPr>
            <w:tcW w:w="1139" w:type="dxa"/>
            <w:shd w:val="clear" w:color="auto" w:fill="auto"/>
          </w:tcPr>
          <w:p w:rsidR="00054E5B" w:rsidRPr="005972E0" w:rsidRDefault="00054E5B" w:rsidP="005972E0">
            <w:pPr>
              <w:pStyle w:val="StyleHeader4Para4Left0Firstline0"/>
              <w:keepNext/>
              <w:keepLines/>
              <w:widowControl/>
              <w:numPr>
                <w:ilvl w:val="0"/>
                <w:numId w:val="0"/>
              </w:numPr>
              <w:spacing w:after="60"/>
              <w:jc w:val="left"/>
              <w:rPr>
                <w:sz w:val="16"/>
                <w:szCs w:val="20"/>
              </w:rPr>
            </w:pPr>
            <w:r w:rsidRPr="005972E0">
              <w:rPr>
                <w:sz w:val="16"/>
                <w:szCs w:val="20"/>
              </w:rPr>
              <w:t>Costos del proyecto</w:t>
            </w:r>
          </w:p>
        </w:tc>
        <w:tc>
          <w:tcPr>
            <w:tcW w:w="1209" w:type="dxa"/>
            <w:shd w:val="clear" w:color="auto" w:fill="auto"/>
          </w:tcPr>
          <w:p w:rsidR="00054E5B" w:rsidRPr="005972E0" w:rsidRDefault="00054E5B" w:rsidP="005972E0">
            <w:pPr>
              <w:pStyle w:val="StyleHeader4Para4Left0Firstline0"/>
              <w:keepNext/>
              <w:keepLines/>
              <w:widowControl/>
              <w:numPr>
                <w:ilvl w:val="0"/>
                <w:numId w:val="0"/>
              </w:numPr>
              <w:spacing w:after="60"/>
              <w:jc w:val="right"/>
              <w:rPr>
                <w:sz w:val="16"/>
                <w:szCs w:val="20"/>
              </w:rPr>
            </w:pPr>
            <w:r w:rsidRPr="005972E0">
              <w:rPr>
                <w:sz w:val="16"/>
                <w:szCs w:val="20"/>
              </w:rPr>
              <w:t>1 803 271</w:t>
            </w:r>
          </w:p>
        </w:tc>
        <w:tc>
          <w:tcPr>
            <w:tcW w:w="842" w:type="dxa"/>
            <w:shd w:val="clear" w:color="auto" w:fill="auto"/>
          </w:tcPr>
          <w:p w:rsidR="00054E5B" w:rsidRPr="005972E0" w:rsidRDefault="00054E5B" w:rsidP="005972E0">
            <w:pPr>
              <w:pStyle w:val="StyleHeader4Para4Left0Firstline0"/>
              <w:keepNext/>
              <w:keepLines/>
              <w:widowControl/>
              <w:numPr>
                <w:ilvl w:val="0"/>
                <w:numId w:val="0"/>
              </w:numPr>
              <w:spacing w:after="60"/>
              <w:jc w:val="right"/>
              <w:rPr>
                <w:sz w:val="16"/>
                <w:szCs w:val="20"/>
              </w:rPr>
            </w:pPr>
            <w:r w:rsidRPr="005972E0">
              <w:rPr>
                <w:sz w:val="16"/>
                <w:szCs w:val="20"/>
              </w:rPr>
              <w:t>0</w:t>
            </w:r>
          </w:p>
        </w:tc>
        <w:tc>
          <w:tcPr>
            <w:tcW w:w="904" w:type="dxa"/>
            <w:shd w:val="clear" w:color="auto" w:fill="auto"/>
          </w:tcPr>
          <w:p w:rsidR="00054E5B" w:rsidRPr="005972E0" w:rsidRDefault="00054E5B" w:rsidP="005972E0">
            <w:pPr>
              <w:pStyle w:val="StyleHeader4Para4Left0Firstline0"/>
              <w:keepNext/>
              <w:keepLines/>
              <w:widowControl/>
              <w:numPr>
                <w:ilvl w:val="0"/>
                <w:numId w:val="0"/>
              </w:numPr>
              <w:spacing w:after="60"/>
              <w:jc w:val="right"/>
              <w:rPr>
                <w:sz w:val="16"/>
                <w:szCs w:val="20"/>
              </w:rPr>
            </w:pPr>
          </w:p>
        </w:tc>
        <w:tc>
          <w:tcPr>
            <w:tcW w:w="842" w:type="dxa"/>
            <w:shd w:val="clear" w:color="auto" w:fill="auto"/>
          </w:tcPr>
          <w:p w:rsidR="00054E5B" w:rsidRPr="005972E0" w:rsidRDefault="00054E5B" w:rsidP="005972E0">
            <w:pPr>
              <w:pStyle w:val="StyleHeader4Para4Left0Firstline0"/>
              <w:keepNext/>
              <w:keepLines/>
              <w:widowControl/>
              <w:numPr>
                <w:ilvl w:val="0"/>
                <w:numId w:val="0"/>
              </w:numPr>
              <w:spacing w:after="60"/>
              <w:jc w:val="right"/>
              <w:rPr>
                <w:sz w:val="16"/>
                <w:szCs w:val="20"/>
              </w:rPr>
            </w:pPr>
            <w:r w:rsidRPr="005972E0">
              <w:rPr>
                <w:sz w:val="16"/>
                <w:szCs w:val="20"/>
              </w:rPr>
              <w:t>0</w:t>
            </w:r>
          </w:p>
        </w:tc>
        <w:tc>
          <w:tcPr>
            <w:tcW w:w="904" w:type="dxa"/>
            <w:shd w:val="clear" w:color="auto" w:fill="auto"/>
          </w:tcPr>
          <w:p w:rsidR="00054E5B" w:rsidRPr="005972E0" w:rsidRDefault="00054E5B" w:rsidP="005972E0">
            <w:pPr>
              <w:pStyle w:val="StyleHeader4Para4Left0Firstline0"/>
              <w:keepNext/>
              <w:keepLines/>
              <w:widowControl/>
              <w:numPr>
                <w:ilvl w:val="0"/>
                <w:numId w:val="0"/>
              </w:numPr>
              <w:spacing w:after="60"/>
              <w:jc w:val="right"/>
              <w:rPr>
                <w:sz w:val="16"/>
                <w:szCs w:val="20"/>
              </w:rPr>
            </w:pPr>
            <w:r w:rsidRPr="005972E0">
              <w:rPr>
                <w:sz w:val="16"/>
                <w:szCs w:val="20"/>
              </w:rPr>
              <w:t>0</w:t>
            </w:r>
          </w:p>
        </w:tc>
        <w:tc>
          <w:tcPr>
            <w:tcW w:w="867" w:type="dxa"/>
            <w:shd w:val="clear" w:color="auto" w:fill="auto"/>
          </w:tcPr>
          <w:p w:rsidR="00054E5B" w:rsidRPr="005972E0" w:rsidRDefault="00054E5B" w:rsidP="005972E0">
            <w:pPr>
              <w:pStyle w:val="StyleHeader4Para4Left0Firstline0"/>
              <w:keepNext/>
              <w:keepLines/>
              <w:widowControl/>
              <w:numPr>
                <w:ilvl w:val="0"/>
                <w:numId w:val="0"/>
              </w:numPr>
              <w:spacing w:after="60"/>
              <w:jc w:val="right"/>
              <w:rPr>
                <w:sz w:val="16"/>
                <w:szCs w:val="20"/>
              </w:rPr>
            </w:pPr>
            <w:r w:rsidRPr="005972E0">
              <w:rPr>
                <w:sz w:val="16"/>
                <w:szCs w:val="20"/>
              </w:rPr>
              <w:t>0</w:t>
            </w:r>
          </w:p>
        </w:tc>
        <w:tc>
          <w:tcPr>
            <w:tcW w:w="890" w:type="dxa"/>
            <w:shd w:val="clear" w:color="auto" w:fill="auto"/>
          </w:tcPr>
          <w:p w:rsidR="00054E5B" w:rsidRPr="005972E0" w:rsidRDefault="00054E5B" w:rsidP="005972E0">
            <w:pPr>
              <w:pStyle w:val="StyleHeader4Para4Left0Firstline0"/>
              <w:keepNext/>
              <w:keepLines/>
              <w:widowControl/>
              <w:numPr>
                <w:ilvl w:val="0"/>
                <w:numId w:val="0"/>
              </w:numPr>
              <w:spacing w:after="60"/>
              <w:jc w:val="right"/>
              <w:rPr>
                <w:sz w:val="16"/>
                <w:szCs w:val="20"/>
              </w:rPr>
            </w:pPr>
            <w:r w:rsidRPr="005972E0">
              <w:rPr>
                <w:sz w:val="16"/>
                <w:szCs w:val="20"/>
              </w:rPr>
              <w:t>1 803 271</w:t>
            </w:r>
          </w:p>
        </w:tc>
      </w:tr>
      <w:tr w:rsidR="00054E5B" w:rsidRPr="005972E0" w:rsidTr="005972E0">
        <w:trPr>
          <w:trHeight w:val="51"/>
        </w:trPr>
        <w:tc>
          <w:tcPr>
            <w:tcW w:w="3078" w:type="dxa"/>
            <w:gridSpan w:val="2"/>
            <w:vMerge/>
            <w:shd w:val="clear" w:color="auto" w:fill="auto"/>
          </w:tcPr>
          <w:p w:rsidR="00054E5B" w:rsidRPr="005972E0" w:rsidRDefault="00054E5B" w:rsidP="005972E0">
            <w:pPr>
              <w:pStyle w:val="StyleHeader4Para4Left0Firstline0"/>
              <w:keepNext/>
              <w:keepLines/>
              <w:numPr>
                <w:ilvl w:val="0"/>
                <w:numId w:val="0"/>
              </w:numPr>
              <w:spacing w:after="60"/>
              <w:jc w:val="center"/>
              <w:rPr>
                <w:sz w:val="16"/>
                <w:szCs w:val="20"/>
              </w:rPr>
            </w:pPr>
          </w:p>
        </w:tc>
        <w:tc>
          <w:tcPr>
            <w:tcW w:w="1139" w:type="dxa"/>
            <w:shd w:val="clear" w:color="auto" w:fill="auto"/>
          </w:tcPr>
          <w:p w:rsidR="00054E5B" w:rsidRPr="005972E0" w:rsidRDefault="00054E5B" w:rsidP="005972E0">
            <w:pPr>
              <w:pStyle w:val="StyleHeader4Para4Left0Firstline0"/>
              <w:keepNext/>
              <w:keepLines/>
              <w:numPr>
                <w:ilvl w:val="0"/>
                <w:numId w:val="0"/>
              </w:numPr>
              <w:spacing w:after="60"/>
              <w:jc w:val="left"/>
              <w:rPr>
                <w:sz w:val="16"/>
                <w:szCs w:val="20"/>
              </w:rPr>
            </w:pPr>
            <w:r w:rsidRPr="005972E0">
              <w:rPr>
                <w:sz w:val="16"/>
                <w:szCs w:val="20"/>
              </w:rPr>
              <w:t>Gastos de apoyo</w:t>
            </w:r>
          </w:p>
        </w:tc>
        <w:tc>
          <w:tcPr>
            <w:tcW w:w="1209" w:type="dxa"/>
            <w:shd w:val="clear" w:color="auto" w:fill="auto"/>
          </w:tcPr>
          <w:p w:rsidR="00054E5B" w:rsidRPr="005972E0" w:rsidRDefault="00054E5B" w:rsidP="005972E0">
            <w:pPr>
              <w:pStyle w:val="StyleHeader4Para4Left0Firstline0"/>
              <w:keepNext/>
              <w:keepLines/>
              <w:numPr>
                <w:ilvl w:val="0"/>
                <w:numId w:val="0"/>
              </w:numPr>
              <w:spacing w:after="60"/>
              <w:jc w:val="right"/>
              <w:rPr>
                <w:sz w:val="16"/>
                <w:szCs w:val="20"/>
              </w:rPr>
            </w:pPr>
            <w:r w:rsidRPr="005972E0">
              <w:rPr>
                <w:sz w:val="16"/>
                <w:szCs w:val="20"/>
              </w:rPr>
              <w:t>141 229</w:t>
            </w:r>
          </w:p>
        </w:tc>
        <w:tc>
          <w:tcPr>
            <w:tcW w:w="842" w:type="dxa"/>
            <w:shd w:val="clear" w:color="auto" w:fill="auto"/>
          </w:tcPr>
          <w:p w:rsidR="00054E5B" w:rsidRPr="005972E0" w:rsidRDefault="00054E5B" w:rsidP="005972E0">
            <w:pPr>
              <w:pStyle w:val="StyleHeader4Para4Left0Firstline0"/>
              <w:keepNext/>
              <w:keepLines/>
              <w:numPr>
                <w:ilvl w:val="0"/>
                <w:numId w:val="0"/>
              </w:numPr>
              <w:spacing w:after="60"/>
              <w:jc w:val="right"/>
              <w:rPr>
                <w:sz w:val="16"/>
                <w:szCs w:val="20"/>
              </w:rPr>
            </w:pPr>
            <w:r w:rsidRPr="005972E0">
              <w:rPr>
                <w:sz w:val="16"/>
                <w:szCs w:val="20"/>
              </w:rPr>
              <w:t>0</w:t>
            </w:r>
          </w:p>
        </w:tc>
        <w:tc>
          <w:tcPr>
            <w:tcW w:w="904" w:type="dxa"/>
            <w:shd w:val="clear" w:color="auto" w:fill="auto"/>
          </w:tcPr>
          <w:p w:rsidR="00054E5B" w:rsidRPr="005972E0" w:rsidRDefault="00054E5B" w:rsidP="005972E0">
            <w:pPr>
              <w:pStyle w:val="StyleHeader4Para4Left0Firstline0"/>
              <w:keepNext/>
              <w:keepLines/>
              <w:numPr>
                <w:ilvl w:val="0"/>
                <w:numId w:val="0"/>
              </w:numPr>
              <w:spacing w:after="60"/>
              <w:jc w:val="right"/>
              <w:rPr>
                <w:sz w:val="16"/>
                <w:szCs w:val="20"/>
              </w:rPr>
            </w:pPr>
          </w:p>
        </w:tc>
        <w:tc>
          <w:tcPr>
            <w:tcW w:w="842" w:type="dxa"/>
            <w:shd w:val="clear" w:color="auto" w:fill="auto"/>
          </w:tcPr>
          <w:p w:rsidR="00054E5B" w:rsidRPr="005972E0" w:rsidRDefault="00054E5B" w:rsidP="005972E0">
            <w:pPr>
              <w:pStyle w:val="StyleHeader4Para4Left0Firstline0"/>
              <w:keepNext/>
              <w:keepLines/>
              <w:numPr>
                <w:ilvl w:val="0"/>
                <w:numId w:val="0"/>
              </w:numPr>
              <w:spacing w:after="60"/>
              <w:jc w:val="right"/>
              <w:rPr>
                <w:sz w:val="16"/>
                <w:szCs w:val="20"/>
              </w:rPr>
            </w:pPr>
            <w:r w:rsidRPr="005972E0">
              <w:rPr>
                <w:sz w:val="16"/>
                <w:szCs w:val="20"/>
              </w:rPr>
              <w:t>0</w:t>
            </w:r>
          </w:p>
        </w:tc>
        <w:tc>
          <w:tcPr>
            <w:tcW w:w="904" w:type="dxa"/>
            <w:shd w:val="clear" w:color="auto" w:fill="auto"/>
          </w:tcPr>
          <w:p w:rsidR="00054E5B" w:rsidRPr="005972E0" w:rsidRDefault="00054E5B" w:rsidP="005972E0">
            <w:pPr>
              <w:pStyle w:val="StyleHeader4Para4Left0Firstline0"/>
              <w:keepNext/>
              <w:keepLines/>
              <w:numPr>
                <w:ilvl w:val="0"/>
                <w:numId w:val="0"/>
              </w:numPr>
              <w:spacing w:after="60"/>
              <w:jc w:val="right"/>
              <w:rPr>
                <w:sz w:val="16"/>
                <w:szCs w:val="20"/>
              </w:rPr>
            </w:pPr>
            <w:r w:rsidRPr="005972E0">
              <w:rPr>
                <w:sz w:val="16"/>
                <w:szCs w:val="20"/>
              </w:rPr>
              <w:t>0</w:t>
            </w:r>
          </w:p>
        </w:tc>
        <w:tc>
          <w:tcPr>
            <w:tcW w:w="867" w:type="dxa"/>
            <w:shd w:val="clear" w:color="auto" w:fill="auto"/>
          </w:tcPr>
          <w:p w:rsidR="00054E5B" w:rsidRPr="005972E0" w:rsidRDefault="00054E5B" w:rsidP="005972E0">
            <w:pPr>
              <w:pStyle w:val="StyleHeader4Para4Left0Firstline0"/>
              <w:keepNext/>
              <w:keepLines/>
              <w:numPr>
                <w:ilvl w:val="0"/>
                <w:numId w:val="0"/>
              </w:numPr>
              <w:spacing w:after="60"/>
              <w:jc w:val="right"/>
              <w:rPr>
                <w:sz w:val="16"/>
                <w:szCs w:val="20"/>
              </w:rPr>
            </w:pPr>
            <w:r w:rsidRPr="005972E0">
              <w:rPr>
                <w:sz w:val="16"/>
                <w:szCs w:val="20"/>
              </w:rPr>
              <w:t>0</w:t>
            </w:r>
          </w:p>
        </w:tc>
        <w:tc>
          <w:tcPr>
            <w:tcW w:w="890" w:type="dxa"/>
            <w:shd w:val="clear" w:color="auto" w:fill="auto"/>
          </w:tcPr>
          <w:p w:rsidR="00054E5B" w:rsidRPr="005972E0" w:rsidRDefault="00054E5B" w:rsidP="005972E0">
            <w:pPr>
              <w:pStyle w:val="StyleHeader4Para4Left0Firstline0"/>
              <w:keepNext/>
              <w:keepLines/>
              <w:numPr>
                <w:ilvl w:val="0"/>
                <w:numId w:val="0"/>
              </w:numPr>
              <w:spacing w:after="60"/>
              <w:jc w:val="right"/>
              <w:rPr>
                <w:sz w:val="16"/>
                <w:szCs w:val="20"/>
              </w:rPr>
            </w:pPr>
            <w:r w:rsidRPr="005972E0">
              <w:rPr>
                <w:sz w:val="16"/>
                <w:szCs w:val="20"/>
              </w:rPr>
              <w:t>141 229</w:t>
            </w:r>
          </w:p>
        </w:tc>
      </w:tr>
      <w:tr w:rsidR="00054E5B" w:rsidRPr="005972E0" w:rsidTr="005972E0">
        <w:trPr>
          <w:trHeight w:val="138"/>
        </w:trPr>
        <w:tc>
          <w:tcPr>
            <w:tcW w:w="3078" w:type="dxa"/>
            <w:gridSpan w:val="2"/>
            <w:vMerge w:val="restart"/>
            <w:shd w:val="clear" w:color="auto" w:fill="auto"/>
          </w:tcPr>
          <w:p w:rsidR="00054E5B" w:rsidRPr="005972E0" w:rsidRDefault="00054E5B" w:rsidP="005972E0">
            <w:pPr>
              <w:pStyle w:val="StyleHeader4Para4Left0Firstline0"/>
              <w:keepNext/>
              <w:keepLines/>
              <w:numPr>
                <w:ilvl w:val="0"/>
                <w:numId w:val="0"/>
              </w:numPr>
              <w:spacing w:after="60"/>
              <w:jc w:val="left"/>
              <w:rPr>
                <w:sz w:val="16"/>
                <w:szCs w:val="20"/>
                <w:lang w:val="es-419"/>
              </w:rPr>
            </w:pPr>
            <w:r w:rsidRPr="005972E0">
              <w:rPr>
                <w:sz w:val="16"/>
                <w:szCs w:val="20"/>
                <w:lang w:val="es-419"/>
              </w:rPr>
              <w:t>Total de fondos solicitados para aprobación en esta reunión ($EUA)</w:t>
            </w:r>
          </w:p>
        </w:tc>
        <w:tc>
          <w:tcPr>
            <w:tcW w:w="1139" w:type="dxa"/>
            <w:shd w:val="clear" w:color="auto" w:fill="auto"/>
          </w:tcPr>
          <w:p w:rsidR="00054E5B" w:rsidRPr="005972E0" w:rsidRDefault="00054E5B" w:rsidP="005972E0">
            <w:pPr>
              <w:pStyle w:val="StyleHeader4Para4Left0Firstline0"/>
              <w:keepNext/>
              <w:keepLines/>
              <w:numPr>
                <w:ilvl w:val="0"/>
                <w:numId w:val="0"/>
              </w:numPr>
              <w:spacing w:after="60"/>
              <w:jc w:val="left"/>
              <w:rPr>
                <w:sz w:val="16"/>
                <w:szCs w:val="20"/>
              </w:rPr>
            </w:pPr>
            <w:r w:rsidRPr="005972E0">
              <w:rPr>
                <w:sz w:val="16"/>
                <w:szCs w:val="20"/>
              </w:rPr>
              <w:t>Costos del proyecto</w:t>
            </w:r>
          </w:p>
        </w:tc>
        <w:tc>
          <w:tcPr>
            <w:tcW w:w="1209" w:type="dxa"/>
            <w:shd w:val="clear" w:color="auto" w:fill="auto"/>
          </w:tcPr>
          <w:p w:rsidR="00054E5B" w:rsidRPr="005972E0" w:rsidRDefault="00054E5B" w:rsidP="005972E0">
            <w:pPr>
              <w:pStyle w:val="StyleHeader4Para4Left0Firstline0"/>
              <w:keepNext/>
              <w:keepLines/>
              <w:numPr>
                <w:ilvl w:val="0"/>
                <w:numId w:val="0"/>
              </w:numPr>
              <w:spacing w:after="60"/>
              <w:jc w:val="right"/>
              <w:rPr>
                <w:sz w:val="16"/>
                <w:szCs w:val="20"/>
              </w:rPr>
            </w:pPr>
          </w:p>
        </w:tc>
        <w:tc>
          <w:tcPr>
            <w:tcW w:w="842" w:type="dxa"/>
            <w:shd w:val="clear" w:color="auto" w:fill="auto"/>
          </w:tcPr>
          <w:p w:rsidR="00054E5B" w:rsidRPr="005972E0" w:rsidRDefault="00054E5B" w:rsidP="005972E0">
            <w:pPr>
              <w:pStyle w:val="StyleHeader4Para4Left0Firstline0"/>
              <w:keepNext/>
              <w:keepLines/>
              <w:numPr>
                <w:ilvl w:val="0"/>
                <w:numId w:val="0"/>
              </w:numPr>
              <w:spacing w:after="60"/>
              <w:jc w:val="right"/>
              <w:rPr>
                <w:sz w:val="16"/>
                <w:szCs w:val="20"/>
              </w:rPr>
            </w:pPr>
          </w:p>
        </w:tc>
        <w:tc>
          <w:tcPr>
            <w:tcW w:w="904" w:type="dxa"/>
            <w:shd w:val="clear" w:color="auto" w:fill="auto"/>
          </w:tcPr>
          <w:p w:rsidR="00054E5B" w:rsidRPr="005972E0" w:rsidRDefault="00054E5B" w:rsidP="005972E0">
            <w:pPr>
              <w:pStyle w:val="StyleHeader4Para4Left0Firstline0"/>
              <w:keepNext/>
              <w:keepLines/>
              <w:numPr>
                <w:ilvl w:val="0"/>
                <w:numId w:val="0"/>
              </w:numPr>
              <w:spacing w:after="60"/>
              <w:jc w:val="right"/>
              <w:rPr>
                <w:sz w:val="16"/>
                <w:szCs w:val="20"/>
              </w:rPr>
            </w:pPr>
            <w:r w:rsidRPr="005972E0">
              <w:rPr>
                <w:sz w:val="16"/>
                <w:szCs w:val="20"/>
              </w:rPr>
              <w:t>3 280 793</w:t>
            </w:r>
          </w:p>
        </w:tc>
        <w:tc>
          <w:tcPr>
            <w:tcW w:w="842" w:type="dxa"/>
            <w:shd w:val="clear" w:color="auto" w:fill="auto"/>
          </w:tcPr>
          <w:p w:rsidR="00054E5B" w:rsidRPr="005972E0" w:rsidRDefault="00054E5B" w:rsidP="005972E0">
            <w:pPr>
              <w:pStyle w:val="StyleHeader4Para4Left0Firstline0"/>
              <w:keepNext/>
              <w:keepLines/>
              <w:numPr>
                <w:ilvl w:val="0"/>
                <w:numId w:val="0"/>
              </w:numPr>
              <w:spacing w:after="60"/>
              <w:jc w:val="right"/>
              <w:rPr>
                <w:sz w:val="16"/>
                <w:szCs w:val="20"/>
              </w:rPr>
            </w:pPr>
          </w:p>
        </w:tc>
        <w:tc>
          <w:tcPr>
            <w:tcW w:w="904" w:type="dxa"/>
            <w:shd w:val="clear" w:color="auto" w:fill="auto"/>
          </w:tcPr>
          <w:p w:rsidR="00054E5B" w:rsidRPr="005972E0" w:rsidRDefault="00054E5B" w:rsidP="005972E0">
            <w:pPr>
              <w:pStyle w:val="StyleHeader4Para4Left0Firstline0"/>
              <w:keepNext/>
              <w:keepLines/>
              <w:numPr>
                <w:ilvl w:val="0"/>
                <w:numId w:val="0"/>
              </w:numPr>
              <w:spacing w:after="60"/>
              <w:jc w:val="right"/>
              <w:rPr>
                <w:sz w:val="16"/>
                <w:szCs w:val="20"/>
              </w:rPr>
            </w:pPr>
          </w:p>
        </w:tc>
        <w:tc>
          <w:tcPr>
            <w:tcW w:w="867" w:type="dxa"/>
            <w:shd w:val="clear" w:color="auto" w:fill="auto"/>
          </w:tcPr>
          <w:p w:rsidR="00054E5B" w:rsidRPr="005972E0" w:rsidRDefault="00054E5B" w:rsidP="005972E0">
            <w:pPr>
              <w:pStyle w:val="StyleHeader4Para4Left0Firstline0"/>
              <w:keepNext/>
              <w:keepLines/>
              <w:numPr>
                <w:ilvl w:val="0"/>
                <w:numId w:val="0"/>
              </w:numPr>
              <w:spacing w:after="60"/>
              <w:jc w:val="right"/>
              <w:rPr>
                <w:sz w:val="16"/>
                <w:szCs w:val="20"/>
              </w:rPr>
            </w:pPr>
          </w:p>
        </w:tc>
        <w:tc>
          <w:tcPr>
            <w:tcW w:w="890" w:type="dxa"/>
            <w:shd w:val="clear" w:color="auto" w:fill="auto"/>
          </w:tcPr>
          <w:p w:rsidR="00054E5B" w:rsidRPr="005972E0" w:rsidRDefault="00054E5B" w:rsidP="005972E0">
            <w:pPr>
              <w:pStyle w:val="StyleHeader4Para4Left0Firstline0"/>
              <w:keepNext/>
              <w:keepLines/>
              <w:numPr>
                <w:ilvl w:val="0"/>
                <w:numId w:val="0"/>
              </w:numPr>
              <w:spacing w:after="60"/>
              <w:jc w:val="right"/>
              <w:rPr>
                <w:sz w:val="16"/>
                <w:szCs w:val="20"/>
              </w:rPr>
            </w:pPr>
            <w:r w:rsidRPr="005972E0">
              <w:rPr>
                <w:sz w:val="16"/>
                <w:szCs w:val="20"/>
              </w:rPr>
              <w:t>3 280 793</w:t>
            </w:r>
          </w:p>
        </w:tc>
      </w:tr>
      <w:tr w:rsidR="00054E5B" w:rsidRPr="005972E0" w:rsidTr="005972E0">
        <w:trPr>
          <w:trHeight w:val="72"/>
        </w:trPr>
        <w:tc>
          <w:tcPr>
            <w:tcW w:w="3078" w:type="dxa"/>
            <w:gridSpan w:val="2"/>
            <w:vMerge/>
            <w:shd w:val="clear" w:color="auto" w:fill="auto"/>
          </w:tcPr>
          <w:p w:rsidR="00054E5B" w:rsidRPr="005972E0" w:rsidRDefault="00054E5B" w:rsidP="005972E0">
            <w:pPr>
              <w:pStyle w:val="StyleHeader4Para4Left0Firstline0"/>
              <w:numPr>
                <w:ilvl w:val="0"/>
                <w:numId w:val="0"/>
              </w:numPr>
              <w:spacing w:after="60"/>
              <w:jc w:val="center"/>
              <w:rPr>
                <w:sz w:val="16"/>
                <w:szCs w:val="20"/>
              </w:rPr>
            </w:pPr>
          </w:p>
        </w:tc>
        <w:tc>
          <w:tcPr>
            <w:tcW w:w="1139" w:type="dxa"/>
            <w:shd w:val="clear" w:color="auto" w:fill="auto"/>
          </w:tcPr>
          <w:p w:rsidR="00054E5B" w:rsidRPr="005972E0" w:rsidRDefault="00054E5B" w:rsidP="005972E0">
            <w:pPr>
              <w:pStyle w:val="StyleHeader4Para4Left0Firstline0"/>
              <w:numPr>
                <w:ilvl w:val="0"/>
                <w:numId w:val="0"/>
              </w:numPr>
              <w:spacing w:after="60"/>
              <w:jc w:val="left"/>
              <w:rPr>
                <w:sz w:val="16"/>
                <w:szCs w:val="20"/>
              </w:rPr>
            </w:pPr>
            <w:r w:rsidRPr="005972E0">
              <w:rPr>
                <w:sz w:val="16"/>
                <w:szCs w:val="20"/>
              </w:rPr>
              <w:t>Gastos de apoyo</w:t>
            </w:r>
          </w:p>
        </w:tc>
        <w:tc>
          <w:tcPr>
            <w:tcW w:w="1209" w:type="dxa"/>
            <w:shd w:val="clear" w:color="auto" w:fill="auto"/>
          </w:tcPr>
          <w:p w:rsidR="00054E5B" w:rsidRPr="005972E0" w:rsidRDefault="00054E5B" w:rsidP="005972E0">
            <w:pPr>
              <w:pStyle w:val="StyleHeader4Para4Left0Firstline0"/>
              <w:numPr>
                <w:ilvl w:val="0"/>
                <w:numId w:val="0"/>
              </w:numPr>
              <w:spacing w:after="60"/>
              <w:jc w:val="right"/>
              <w:rPr>
                <w:sz w:val="16"/>
                <w:szCs w:val="20"/>
              </w:rPr>
            </w:pPr>
          </w:p>
        </w:tc>
        <w:tc>
          <w:tcPr>
            <w:tcW w:w="842" w:type="dxa"/>
            <w:shd w:val="clear" w:color="auto" w:fill="auto"/>
          </w:tcPr>
          <w:p w:rsidR="00054E5B" w:rsidRPr="005972E0" w:rsidRDefault="00054E5B" w:rsidP="005972E0">
            <w:pPr>
              <w:pStyle w:val="StyleHeader4Para4Left0Firstline0"/>
              <w:numPr>
                <w:ilvl w:val="0"/>
                <w:numId w:val="0"/>
              </w:numPr>
              <w:spacing w:after="60"/>
              <w:jc w:val="right"/>
              <w:rPr>
                <w:sz w:val="16"/>
                <w:szCs w:val="20"/>
              </w:rPr>
            </w:pPr>
          </w:p>
        </w:tc>
        <w:tc>
          <w:tcPr>
            <w:tcW w:w="904" w:type="dxa"/>
            <w:shd w:val="clear" w:color="auto" w:fill="auto"/>
          </w:tcPr>
          <w:p w:rsidR="00054E5B" w:rsidRPr="005972E0" w:rsidRDefault="00054E5B" w:rsidP="005972E0">
            <w:pPr>
              <w:pStyle w:val="StyleHeader4Para4Left0Firstline0"/>
              <w:numPr>
                <w:ilvl w:val="0"/>
                <w:numId w:val="0"/>
              </w:numPr>
              <w:spacing w:after="60"/>
              <w:jc w:val="right"/>
              <w:rPr>
                <w:sz w:val="16"/>
                <w:szCs w:val="20"/>
              </w:rPr>
            </w:pPr>
            <w:r w:rsidRPr="005972E0">
              <w:rPr>
                <w:sz w:val="16"/>
                <w:szCs w:val="20"/>
              </w:rPr>
              <w:t>229 656</w:t>
            </w:r>
          </w:p>
        </w:tc>
        <w:tc>
          <w:tcPr>
            <w:tcW w:w="842" w:type="dxa"/>
            <w:shd w:val="clear" w:color="auto" w:fill="auto"/>
          </w:tcPr>
          <w:p w:rsidR="00054E5B" w:rsidRPr="005972E0" w:rsidRDefault="00054E5B" w:rsidP="005972E0">
            <w:pPr>
              <w:pStyle w:val="StyleHeader4Para4Left0Firstline0"/>
              <w:numPr>
                <w:ilvl w:val="0"/>
                <w:numId w:val="0"/>
              </w:numPr>
              <w:spacing w:after="60"/>
              <w:jc w:val="right"/>
              <w:rPr>
                <w:sz w:val="16"/>
                <w:szCs w:val="20"/>
              </w:rPr>
            </w:pPr>
          </w:p>
        </w:tc>
        <w:tc>
          <w:tcPr>
            <w:tcW w:w="904" w:type="dxa"/>
            <w:shd w:val="clear" w:color="auto" w:fill="auto"/>
          </w:tcPr>
          <w:p w:rsidR="00054E5B" w:rsidRPr="005972E0" w:rsidRDefault="00054E5B" w:rsidP="005972E0">
            <w:pPr>
              <w:pStyle w:val="StyleHeader4Para4Left0Firstline0"/>
              <w:numPr>
                <w:ilvl w:val="0"/>
                <w:numId w:val="0"/>
              </w:numPr>
              <w:spacing w:after="60"/>
              <w:jc w:val="right"/>
              <w:rPr>
                <w:sz w:val="16"/>
                <w:szCs w:val="20"/>
              </w:rPr>
            </w:pPr>
          </w:p>
        </w:tc>
        <w:tc>
          <w:tcPr>
            <w:tcW w:w="867" w:type="dxa"/>
            <w:shd w:val="clear" w:color="auto" w:fill="auto"/>
          </w:tcPr>
          <w:p w:rsidR="00054E5B" w:rsidRPr="005972E0" w:rsidRDefault="00054E5B" w:rsidP="005972E0">
            <w:pPr>
              <w:pStyle w:val="StyleHeader4Para4Left0Firstline0"/>
              <w:numPr>
                <w:ilvl w:val="0"/>
                <w:numId w:val="0"/>
              </w:numPr>
              <w:spacing w:after="60"/>
              <w:jc w:val="right"/>
              <w:rPr>
                <w:sz w:val="16"/>
                <w:szCs w:val="20"/>
              </w:rPr>
            </w:pPr>
          </w:p>
        </w:tc>
        <w:tc>
          <w:tcPr>
            <w:tcW w:w="890" w:type="dxa"/>
            <w:shd w:val="clear" w:color="auto" w:fill="auto"/>
          </w:tcPr>
          <w:p w:rsidR="00054E5B" w:rsidRPr="005972E0" w:rsidRDefault="00054E5B" w:rsidP="005972E0">
            <w:pPr>
              <w:pStyle w:val="StyleHeader4Para4Left0Firstline0"/>
              <w:numPr>
                <w:ilvl w:val="0"/>
                <w:numId w:val="0"/>
              </w:numPr>
              <w:spacing w:after="60"/>
              <w:jc w:val="right"/>
              <w:rPr>
                <w:sz w:val="16"/>
                <w:szCs w:val="20"/>
              </w:rPr>
            </w:pPr>
            <w:r w:rsidRPr="005972E0">
              <w:rPr>
                <w:sz w:val="16"/>
                <w:szCs w:val="20"/>
              </w:rPr>
              <w:t>229 656</w:t>
            </w:r>
          </w:p>
        </w:tc>
      </w:tr>
    </w:tbl>
    <w:p w:rsidR="007C0F5C" w:rsidRPr="005972E0" w:rsidRDefault="007C0F5C" w:rsidP="007C0F5C">
      <w:pPr>
        <w:pStyle w:val="StyleHeader4Para4Left0Firstline0"/>
        <w:numPr>
          <w:ilvl w:val="0"/>
          <w:numId w:val="0"/>
        </w:numPr>
        <w:spacing w:after="0"/>
        <w:jc w:val="center"/>
        <w:rPr>
          <w:sz w:val="14"/>
          <w:szCs w:val="14"/>
        </w:rPr>
      </w:pPr>
    </w:p>
    <w:p w:rsidR="007C0F5C" w:rsidRPr="005972E0" w:rsidRDefault="007C0F5C" w:rsidP="007C0F5C">
      <w:pPr>
        <w:pStyle w:val="StyleHeader4Para4Left0Firstline0"/>
        <w:numPr>
          <w:ilvl w:val="0"/>
          <w:numId w:val="0"/>
        </w:numPr>
        <w:spacing w:after="60"/>
        <w:jc w:val="left"/>
        <w:rPr>
          <w:sz w:val="14"/>
          <w:szCs w:val="14"/>
          <w:lang w:val="es-419"/>
        </w:rPr>
      </w:pPr>
      <w:r w:rsidRPr="005972E0">
        <w:rPr>
          <w:sz w:val="14"/>
          <w:szCs w:val="14"/>
          <w:lang w:val="es-419"/>
        </w:rPr>
        <w:t>* En la 80ª reunión, todas las actividades de la etapa II que serían ejecutadas por el Banco Mundial fueron transferidas a la ONUDI (decisión 80/31)</w:t>
      </w: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000"/>
      </w:tblGrid>
      <w:tr w:rsidR="007C0F5C" w:rsidRPr="005972E0" w:rsidTr="007C0F5C">
        <w:trPr>
          <w:trHeight w:val="240"/>
        </w:trPr>
        <w:tc>
          <w:tcPr>
            <w:tcW w:w="3000" w:type="dxa"/>
            <w:shd w:val="clear" w:color="auto" w:fill="auto"/>
          </w:tcPr>
          <w:p w:rsidR="007C0F5C" w:rsidRPr="005972E0" w:rsidRDefault="007C0F5C" w:rsidP="007C0F5C">
            <w:pPr>
              <w:pStyle w:val="StyleHeader4Para4Left0Firstline0"/>
              <w:numPr>
                <w:ilvl w:val="0"/>
                <w:numId w:val="0"/>
              </w:numPr>
              <w:spacing w:after="60"/>
              <w:jc w:val="left"/>
              <w:rPr>
                <w:b/>
                <w:sz w:val="16"/>
                <w:szCs w:val="20"/>
              </w:rPr>
            </w:pPr>
            <w:r w:rsidRPr="005972E0">
              <w:rPr>
                <w:b/>
                <w:sz w:val="16"/>
                <w:szCs w:val="20"/>
              </w:rPr>
              <w:t>Recomendación de la Secretaría:</w:t>
            </w:r>
          </w:p>
        </w:tc>
        <w:tc>
          <w:tcPr>
            <w:tcW w:w="7000" w:type="dxa"/>
            <w:shd w:val="clear" w:color="auto" w:fill="auto"/>
          </w:tcPr>
          <w:p w:rsidR="007C0F5C" w:rsidRPr="005972E0" w:rsidRDefault="007C0F5C" w:rsidP="007C0F5C">
            <w:pPr>
              <w:pStyle w:val="StyleHeader4Para4Left0Firstline0"/>
              <w:numPr>
                <w:ilvl w:val="0"/>
                <w:numId w:val="0"/>
              </w:numPr>
              <w:spacing w:after="60"/>
              <w:jc w:val="center"/>
              <w:rPr>
                <w:sz w:val="16"/>
                <w:szCs w:val="20"/>
              </w:rPr>
            </w:pPr>
            <w:r w:rsidRPr="005972E0">
              <w:rPr>
                <w:sz w:val="16"/>
                <w:szCs w:val="20"/>
              </w:rPr>
              <w:t>Consideración individual</w:t>
            </w:r>
          </w:p>
        </w:tc>
      </w:tr>
    </w:tbl>
    <w:p w:rsidR="007C0F5C" w:rsidRPr="00FE3307" w:rsidRDefault="007C0F5C" w:rsidP="007C0F5C">
      <w:r>
        <w:br w:type="page"/>
      </w:r>
    </w:p>
    <w:p w:rsidR="007C0F5C" w:rsidRPr="00FE3307" w:rsidRDefault="007C0F5C" w:rsidP="007C0F5C">
      <w:pPr>
        <w:jc w:val="center"/>
        <w:rPr>
          <w:b/>
        </w:rPr>
      </w:pPr>
      <w:r>
        <w:rPr>
          <w:b/>
        </w:rPr>
        <w:lastRenderedPageBreak/>
        <w:t>DESCRIPCIÓN DEL PROYECTO</w:t>
      </w:r>
    </w:p>
    <w:p w:rsidR="007C0F5C" w:rsidRPr="00FE3307" w:rsidRDefault="007C0F5C" w:rsidP="007C0F5C">
      <w:pPr>
        <w:rPr>
          <w:lang w:val="en-CA"/>
        </w:rPr>
      </w:pPr>
    </w:p>
    <w:p w:rsidR="007C0F5C" w:rsidRPr="00C10676" w:rsidRDefault="007C0F5C" w:rsidP="007C0F5C">
      <w:pPr>
        <w:pStyle w:val="Heading1"/>
        <w:rPr>
          <w:lang w:val="es-419"/>
        </w:rPr>
      </w:pPr>
      <w:r w:rsidRPr="00C10676">
        <w:rPr>
          <w:lang w:val="es-419"/>
        </w:rPr>
        <w:t>La ONUDI, en su calidad de organismo de ejecución principal, ha presentado en nombre del Gobierno de la Argentina una solicitud de financiación para el quinto y último tramo del plan de gestión de eliminación de HCFC (PGEH), por el monto de 3 280 793 $EUA, más gastos de apoyo del organismo de 229 656 $EUA para la ONUDI únicamente</w:t>
      </w:r>
      <w:r w:rsidRPr="001347B2">
        <w:rPr>
          <w:rStyle w:val="FootnoteReference"/>
          <w:lang w:val="en-CA"/>
        </w:rPr>
        <w:footnoteReference w:id="1"/>
      </w:r>
      <w:r w:rsidRPr="00C10676">
        <w:rPr>
          <w:lang w:val="es-419"/>
        </w:rPr>
        <w:t>. La comunicación incluye un informe de los progresos realizados en la ejecución del primer tramo, el informe de verificación del consumo de HCFC para 2017 y 2018, el plan de ejecución del tramo para el período de 2020 a 2022 y una solicitud de prórroga de la etapa I.</w:t>
      </w:r>
    </w:p>
    <w:p w:rsidR="007C0F5C" w:rsidRPr="00C10676" w:rsidRDefault="007C0F5C" w:rsidP="007C0F5C">
      <w:pPr>
        <w:rPr>
          <w:u w:val="single"/>
          <w:lang w:val="es-419"/>
        </w:rPr>
      </w:pPr>
      <w:r w:rsidRPr="00C10676">
        <w:rPr>
          <w:u w:val="single"/>
          <w:lang w:val="es-419"/>
        </w:rPr>
        <w:t>Informe sobre el consumo de HCFC</w:t>
      </w:r>
    </w:p>
    <w:p w:rsidR="007C0F5C" w:rsidRPr="00C10676" w:rsidRDefault="007C0F5C" w:rsidP="007C0F5C">
      <w:pPr>
        <w:rPr>
          <w:lang w:val="es-419"/>
        </w:rPr>
      </w:pPr>
    </w:p>
    <w:p w:rsidR="007C0F5C" w:rsidRPr="00C10676" w:rsidRDefault="007C0F5C" w:rsidP="007C0F5C">
      <w:pPr>
        <w:pStyle w:val="Heading1"/>
        <w:rPr>
          <w:lang w:val="es-419"/>
        </w:rPr>
      </w:pPr>
      <w:r w:rsidRPr="00C10676">
        <w:rPr>
          <w:lang w:val="es-419"/>
        </w:rPr>
        <w:t>El Gobierno de la Argentina informó un consumo de 187,79 toneladas PAO de HCFC en 2018, que es 53% inferior al nivel básico de HCFC para el cumplimiento. En el Cuadro 1 se muestra el consumo de HCFC para el período 2014-2018.</w:t>
      </w:r>
    </w:p>
    <w:p w:rsidR="007C0F5C" w:rsidRPr="00C10676" w:rsidRDefault="007C0F5C" w:rsidP="007C0F5C">
      <w:pPr>
        <w:rPr>
          <w:b/>
          <w:lang w:val="es-419"/>
        </w:rPr>
      </w:pPr>
      <w:r w:rsidRPr="00C10676">
        <w:rPr>
          <w:b/>
          <w:lang w:val="es-419"/>
        </w:rPr>
        <w:t>Cuadro 1. Consumo de HCFC en la Argentina (datos de 2014-2018 con arreglo al artículo 7)</w:t>
      </w:r>
    </w:p>
    <w:tbl>
      <w:tblPr>
        <w:tblW w:w="5000" w:type="pct"/>
        <w:tblLayout w:type="fixed"/>
        <w:tblLook w:val="04A0" w:firstRow="1" w:lastRow="0" w:firstColumn="1" w:lastColumn="0" w:noHBand="0" w:noVBand="1"/>
      </w:tblPr>
      <w:tblGrid>
        <w:gridCol w:w="3201"/>
        <w:gridCol w:w="1006"/>
        <w:gridCol w:w="1006"/>
        <w:gridCol w:w="1006"/>
        <w:gridCol w:w="1006"/>
        <w:gridCol w:w="1008"/>
        <w:gridCol w:w="1278"/>
      </w:tblGrid>
      <w:tr w:rsidR="007C0F5C" w:rsidRPr="00FE3307" w:rsidTr="007C0F5C">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7C0F5C" w:rsidRPr="00FE3307" w:rsidRDefault="007C0F5C" w:rsidP="007C0F5C">
            <w:pPr>
              <w:widowControl w:val="0"/>
              <w:jc w:val="left"/>
              <w:rPr>
                <w:b/>
                <w:bCs/>
                <w:color w:val="000000"/>
                <w:sz w:val="20"/>
                <w:szCs w:val="20"/>
              </w:rPr>
            </w:pPr>
            <w:r>
              <w:rPr>
                <w:b/>
                <w:bCs/>
                <w:color w:val="000000"/>
                <w:sz w:val="20"/>
                <w:szCs w:val="20"/>
              </w:rPr>
              <w:t>HCFC</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rsidR="007C0F5C" w:rsidRPr="00FE3307" w:rsidRDefault="007C0F5C" w:rsidP="007C0F5C">
            <w:pPr>
              <w:widowControl w:val="0"/>
              <w:jc w:val="center"/>
              <w:rPr>
                <w:b/>
                <w:bCs/>
                <w:color w:val="000000"/>
                <w:sz w:val="20"/>
                <w:szCs w:val="20"/>
              </w:rPr>
            </w:pPr>
            <w:r>
              <w:rPr>
                <w:b/>
                <w:bCs/>
                <w:color w:val="000000"/>
                <w:sz w:val="20"/>
                <w:szCs w:val="20"/>
              </w:rPr>
              <w:t>2014</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rsidR="007C0F5C" w:rsidRPr="00FE3307" w:rsidRDefault="007C0F5C" w:rsidP="007C0F5C">
            <w:pPr>
              <w:widowControl w:val="0"/>
              <w:jc w:val="center"/>
              <w:rPr>
                <w:b/>
                <w:bCs/>
                <w:color w:val="000000"/>
                <w:sz w:val="20"/>
                <w:szCs w:val="20"/>
              </w:rPr>
            </w:pPr>
            <w:r>
              <w:rPr>
                <w:b/>
                <w:bCs/>
                <w:color w:val="000000"/>
                <w:sz w:val="20"/>
                <w:szCs w:val="20"/>
              </w:rPr>
              <w:t>2015</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rsidR="007C0F5C" w:rsidRPr="00FE3307" w:rsidRDefault="007C0F5C" w:rsidP="007C0F5C">
            <w:pPr>
              <w:widowControl w:val="0"/>
              <w:jc w:val="center"/>
              <w:rPr>
                <w:b/>
                <w:bCs/>
                <w:color w:val="000000"/>
                <w:sz w:val="20"/>
                <w:szCs w:val="20"/>
              </w:rPr>
            </w:pPr>
            <w:r>
              <w:rPr>
                <w:b/>
                <w:bCs/>
                <w:color w:val="000000"/>
                <w:sz w:val="20"/>
                <w:szCs w:val="20"/>
              </w:rPr>
              <w:t>2016</w:t>
            </w:r>
          </w:p>
        </w:tc>
        <w:tc>
          <w:tcPr>
            <w:tcW w:w="529" w:type="pct"/>
            <w:tcBorders>
              <w:top w:val="single" w:sz="4" w:space="0" w:color="auto"/>
              <w:left w:val="nil"/>
              <w:bottom w:val="single" w:sz="4" w:space="0" w:color="auto"/>
              <w:right w:val="single" w:sz="4" w:space="0" w:color="auto"/>
            </w:tcBorders>
          </w:tcPr>
          <w:p w:rsidR="007C0F5C" w:rsidRPr="00FE3307" w:rsidRDefault="007C0F5C" w:rsidP="007C0F5C">
            <w:pPr>
              <w:widowControl w:val="0"/>
              <w:jc w:val="center"/>
              <w:rPr>
                <w:b/>
                <w:bCs/>
                <w:color w:val="000000"/>
                <w:sz w:val="20"/>
                <w:szCs w:val="20"/>
              </w:rPr>
            </w:pPr>
            <w:r>
              <w:rPr>
                <w:b/>
                <w:bCs/>
                <w:color w:val="000000"/>
                <w:sz w:val="20"/>
                <w:szCs w:val="20"/>
              </w:rPr>
              <w:t>2017</w:t>
            </w:r>
          </w:p>
        </w:tc>
        <w:tc>
          <w:tcPr>
            <w:tcW w:w="530" w:type="pct"/>
            <w:tcBorders>
              <w:top w:val="single" w:sz="4" w:space="0" w:color="auto"/>
              <w:left w:val="single" w:sz="4" w:space="0" w:color="auto"/>
              <w:bottom w:val="single" w:sz="4" w:space="0" w:color="auto"/>
              <w:right w:val="single" w:sz="4" w:space="0" w:color="auto"/>
            </w:tcBorders>
          </w:tcPr>
          <w:p w:rsidR="007C0F5C" w:rsidRPr="00FE3307" w:rsidRDefault="007C0F5C" w:rsidP="007C0F5C">
            <w:pPr>
              <w:widowControl w:val="0"/>
              <w:jc w:val="center"/>
              <w:rPr>
                <w:b/>
                <w:bCs/>
                <w:color w:val="000000"/>
                <w:sz w:val="20"/>
                <w:szCs w:val="20"/>
              </w:rPr>
            </w:pPr>
            <w:r>
              <w:rPr>
                <w:b/>
                <w:bCs/>
                <w:color w:val="000000"/>
                <w:sz w:val="20"/>
                <w:szCs w:val="20"/>
              </w:rPr>
              <w:t>2018</w:t>
            </w:r>
          </w:p>
        </w:tc>
        <w:tc>
          <w:tcPr>
            <w:tcW w:w="6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C0F5C" w:rsidRPr="00FE3307" w:rsidRDefault="007C0F5C" w:rsidP="007C0F5C">
            <w:pPr>
              <w:widowControl w:val="0"/>
              <w:jc w:val="center"/>
              <w:rPr>
                <w:b/>
                <w:bCs/>
                <w:color w:val="000000"/>
                <w:sz w:val="20"/>
                <w:szCs w:val="20"/>
              </w:rPr>
            </w:pPr>
            <w:r>
              <w:rPr>
                <w:b/>
                <w:bCs/>
                <w:color w:val="000000"/>
                <w:sz w:val="20"/>
                <w:szCs w:val="20"/>
              </w:rPr>
              <w:t>Nivel básico</w:t>
            </w:r>
          </w:p>
        </w:tc>
      </w:tr>
      <w:tr w:rsidR="007C0F5C" w:rsidRPr="00FE3307" w:rsidTr="007C0F5C">
        <w:trPr>
          <w:trHeight w:val="58"/>
        </w:trPr>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7C0F5C" w:rsidRPr="00FE3307" w:rsidRDefault="007C0F5C" w:rsidP="007C0F5C">
            <w:pPr>
              <w:widowControl w:val="0"/>
              <w:jc w:val="left"/>
              <w:rPr>
                <w:b/>
                <w:bCs/>
                <w:color w:val="000000"/>
                <w:sz w:val="20"/>
                <w:szCs w:val="20"/>
              </w:rPr>
            </w:pPr>
            <w:r>
              <w:rPr>
                <w:b/>
                <w:bCs/>
                <w:color w:val="000000"/>
                <w:sz w:val="20"/>
                <w:szCs w:val="20"/>
              </w:rPr>
              <w:t>Toneladas métricas</w:t>
            </w:r>
          </w:p>
        </w:tc>
      </w:tr>
      <w:tr w:rsidR="007C0F5C" w:rsidRPr="00FE3307" w:rsidTr="007C0F5C">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7C0F5C" w:rsidRPr="00FE3307" w:rsidRDefault="007C0F5C" w:rsidP="007C0F5C">
            <w:pPr>
              <w:widowControl w:val="0"/>
              <w:jc w:val="left"/>
              <w:rPr>
                <w:color w:val="000000"/>
                <w:sz w:val="20"/>
                <w:szCs w:val="20"/>
              </w:rPr>
            </w:pPr>
            <w:r>
              <w:rPr>
                <w:color w:val="000000"/>
                <w:sz w:val="20"/>
                <w:szCs w:val="20"/>
              </w:rPr>
              <w:t>HCFC-22</w:t>
            </w:r>
          </w:p>
        </w:tc>
        <w:tc>
          <w:tcPr>
            <w:tcW w:w="529" w:type="pct"/>
            <w:tcBorders>
              <w:top w:val="single" w:sz="4" w:space="0" w:color="auto"/>
              <w:bottom w:val="single" w:sz="4" w:space="0" w:color="auto"/>
              <w:right w:val="single" w:sz="4" w:space="0" w:color="auto"/>
            </w:tcBorders>
            <w:noWrap/>
            <w:vAlign w:val="center"/>
          </w:tcPr>
          <w:p w:rsidR="007C0F5C" w:rsidRPr="00A132A5" w:rsidRDefault="007C0F5C" w:rsidP="007C0F5C">
            <w:pPr>
              <w:keepNext/>
              <w:jc w:val="right"/>
              <w:rPr>
                <w:color w:val="000000"/>
                <w:sz w:val="20"/>
                <w:szCs w:val="20"/>
              </w:rPr>
            </w:pPr>
            <w:r>
              <w:rPr>
                <w:color w:val="000000"/>
                <w:sz w:val="20"/>
                <w:szCs w:val="20"/>
              </w:rPr>
              <w:t>2</w:t>
            </w:r>
            <w:r w:rsidR="00D17D05">
              <w:rPr>
                <w:color w:val="000000"/>
                <w:sz w:val="20"/>
                <w:szCs w:val="20"/>
              </w:rPr>
              <w:t> </w:t>
            </w:r>
            <w:r>
              <w:rPr>
                <w:color w:val="000000"/>
                <w:sz w:val="20"/>
                <w:szCs w:val="20"/>
              </w:rPr>
              <w:t>904,33</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bottom"/>
          </w:tcPr>
          <w:p w:rsidR="007C0F5C" w:rsidRPr="00A132A5" w:rsidRDefault="007C0F5C" w:rsidP="007C0F5C">
            <w:pPr>
              <w:keepNext/>
              <w:jc w:val="right"/>
              <w:rPr>
                <w:color w:val="000000"/>
                <w:sz w:val="20"/>
                <w:szCs w:val="20"/>
              </w:rPr>
            </w:pPr>
            <w:r>
              <w:rPr>
                <w:color w:val="000000"/>
                <w:sz w:val="20"/>
                <w:szCs w:val="20"/>
              </w:rPr>
              <w:t>3</w:t>
            </w:r>
            <w:r w:rsidR="00D17D05">
              <w:rPr>
                <w:color w:val="000000"/>
                <w:sz w:val="20"/>
                <w:szCs w:val="20"/>
              </w:rPr>
              <w:t> </w:t>
            </w:r>
            <w:r>
              <w:rPr>
                <w:color w:val="000000"/>
                <w:sz w:val="20"/>
                <w:szCs w:val="20"/>
              </w:rPr>
              <w:t>043,23</w:t>
            </w:r>
          </w:p>
        </w:tc>
        <w:tc>
          <w:tcPr>
            <w:tcW w:w="529" w:type="pct"/>
            <w:tcBorders>
              <w:top w:val="single" w:sz="4" w:space="0" w:color="auto"/>
              <w:left w:val="single" w:sz="4" w:space="0" w:color="auto"/>
              <w:bottom w:val="single" w:sz="4" w:space="0" w:color="auto"/>
              <w:right w:val="single" w:sz="4" w:space="0" w:color="auto"/>
            </w:tcBorders>
            <w:noWrap/>
            <w:vAlign w:val="center"/>
          </w:tcPr>
          <w:p w:rsidR="007C0F5C" w:rsidRPr="006224E3" w:rsidRDefault="007C0F5C" w:rsidP="007C0F5C">
            <w:pPr>
              <w:keepNext/>
              <w:jc w:val="right"/>
              <w:rPr>
                <w:color w:val="000000"/>
                <w:sz w:val="20"/>
                <w:szCs w:val="20"/>
              </w:rPr>
            </w:pPr>
            <w:r>
              <w:rPr>
                <w:color w:val="000000"/>
                <w:sz w:val="20"/>
                <w:szCs w:val="20"/>
              </w:rPr>
              <w:t>2</w:t>
            </w:r>
            <w:r w:rsidR="00D17D05">
              <w:rPr>
                <w:color w:val="000000"/>
                <w:sz w:val="20"/>
                <w:szCs w:val="20"/>
              </w:rPr>
              <w:t> </w:t>
            </w:r>
            <w:r>
              <w:rPr>
                <w:color w:val="000000"/>
                <w:sz w:val="20"/>
                <w:szCs w:val="20"/>
              </w:rPr>
              <w:t>324,60</w:t>
            </w:r>
          </w:p>
        </w:tc>
        <w:tc>
          <w:tcPr>
            <w:tcW w:w="529" w:type="pct"/>
            <w:tcBorders>
              <w:top w:val="single" w:sz="4" w:space="0" w:color="auto"/>
              <w:left w:val="single" w:sz="4" w:space="0" w:color="auto"/>
              <w:bottom w:val="single" w:sz="4" w:space="0" w:color="auto"/>
              <w:right w:val="single" w:sz="4" w:space="0" w:color="auto"/>
            </w:tcBorders>
          </w:tcPr>
          <w:p w:rsidR="007C0F5C" w:rsidRPr="00FE3307" w:rsidRDefault="007C0F5C" w:rsidP="007C0F5C">
            <w:pPr>
              <w:widowControl w:val="0"/>
              <w:jc w:val="right"/>
              <w:rPr>
                <w:color w:val="000000"/>
                <w:sz w:val="20"/>
                <w:szCs w:val="20"/>
              </w:rPr>
            </w:pPr>
            <w:r>
              <w:rPr>
                <w:color w:val="000000"/>
                <w:sz w:val="20"/>
                <w:szCs w:val="20"/>
              </w:rPr>
              <w:t>2</w:t>
            </w:r>
            <w:r w:rsidR="00D17D05">
              <w:rPr>
                <w:color w:val="000000"/>
                <w:sz w:val="20"/>
                <w:szCs w:val="20"/>
              </w:rPr>
              <w:t> </w:t>
            </w:r>
            <w:r>
              <w:rPr>
                <w:color w:val="000000"/>
                <w:sz w:val="20"/>
                <w:szCs w:val="20"/>
              </w:rPr>
              <w:t>463,96</w:t>
            </w:r>
          </w:p>
        </w:tc>
        <w:tc>
          <w:tcPr>
            <w:tcW w:w="530" w:type="pct"/>
            <w:tcBorders>
              <w:top w:val="single" w:sz="4" w:space="0" w:color="auto"/>
              <w:left w:val="single" w:sz="4" w:space="0" w:color="auto"/>
              <w:bottom w:val="single" w:sz="4" w:space="0" w:color="auto"/>
              <w:right w:val="single" w:sz="4" w:space="0" w:color="auto"/>
            </w:tcBorders>
          </w:tcPr>
          <w:p w:rsidR="007C0F5C" w:rsidRPr="00FE3307" w:rsidRDefault="007C0F5C" w:rsidP="007C0F5C">
            <w:pPr>
              <w:widowControl w:val="0"/>
              <w:jc w:val="right"/>
              <w:rPr>
                <w:color w:val="000000"/>
                <w:sz w:val="20"/>
                <w:szCs w:val="20"/>
              </w:rPr>
            </w:pPr>
            <w:r>
              <w:rPr>
                <w:color w:val="000000"/>
                <w:sz w:val="20"/>
                <w:szCs w:val="20"/>
              </w:rPr>
              <w:t>1</w:t>
            </w:r>
            <w:r w:rsidR="00D17D05">
              <w:rPr>
                <w:color w:val="000000"/>
                <w:sz w:val="20"/>
                <w:szCs w:val="20"/>
              </w:rPr>
              <w:t> </w:t>
            </w:r>
            <w:r>
              <w:rPr>
                <w:color w:val="000000"/>
                <w:sz w:val="20"/>
                <w:szCs w:val="20"/>
              </w:rPr>
              <w:t>817,45</w:t>
            </w:r>
          </w:p>
        </w:tc>
        <w:tc>
          <w:tcPr>
            <w:tcW w:w="672" w:type="pct"/>
            <w:tcBorders>
              <w:top w:val="single" w:sz="4" w:space="0" w:color="auto"/>
              <w:left w:val="single" w:sz="4" w:space="0" w:color="auto"/>
              <w:bottom w:val="single" w:sz="4" w:space="0" w:color="auto"/>
              <w:right w:val="single" w:sz="4" w:space="0" w:color="auto"/>
            </w:tcBorders>
            <w:shd w:val="clear" w:color="auto" w:fill="auto"/>
            <w:noWrap/>
            <w:vAlign w:val="center"/>
          </w:tcPr>
          <w:p w:rsidR="007C0F5C" w:rsidRPr="00FE3307" w:rsidRDefault="007C0F5C" w:rsidP="007C0F5C">
            <w:pPr>
              <w:widowControl w:val="0"/>
              <w:jc w:val="right"/>
              <w:rPr>
                <w:color w:val="000000"/>
                <w:sz w:val="20"/>
                <w:szCs w:val="20"/>
              </w:rPr>
            </w:pPr>
            <w:r>
              <w:rPr>
                <w:color w:val="000000"/>
                <w:sz w:val="20"/>
                <w:szCs w:val="20"/>
              </w:rPr>
              <w:t>4</w:t>
            </w:r>
            <w:r w:rsidR="00D17D05">
              <w:rPr>
                <w:color w:val="000000"/>
                <w:sz w:val="20"/>
                <w:szCs w:val="20"/>
              </w:rPr>
              <w:t> </w:t>
            </w:r>
            <w:r>
              <w:rPr>
                <w:color w:val="000000"/>
                <w:sz w:val="20"/>
                <w:szCs w:val="20"/>
              </w:rPr>
              <w:t>859,5</w:t>
            </w:r>
          </w:p>
        </w:tc>
      </w:tr>
      <w:tr w:rsidR="007C0F5C" w:rsidRPr="00FE3307" w:rsidTr="007C0F5C">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7C0F5C" w:rsidRPr="00FE3307" w:rsidRDefault="007C0F5C" w:rsidP="007C0F5C">
            <w:pPr>
              <w:widowControl w:val="0"/>
              <w:jc w:val="left"/>
              <w:rPr>
                <w:color w:val="000000"/>
                <w:sz w:val="20"/>
                <w:szCs w:val="20"/>
              </w:rPr>
            </w:pPr>
            <w:r>
              <w:rPr>
                <w:color w:val="000000"/>
                <w:sz w:val="20"/>
                <w:szCs w:val="20"/>
              </w:rPr>
              <w:t>HCFC-123</w:t>
            </w:r>
          </w:p>
        </w:tc>
        <w:tc>
          <w:tcPr>
            <w:tcW w:w="529" w:type="pct"/>
            <w:tcBorders>
              <w:top w:val="single" w:sz="4" w:space="0" w:color="auto"/>
              <w:bottom w:val="single" w:sz="4" w:space="0" w:color="auto"/>
              <w:right w:val="single" w:sz="4" w:space="0" w:color="auto"/>
            </w:tcBorders>
            <w:noWrap/>
            <w:vAlign w:val="center"/>
          </w:tcPr>
          <w:p w:rsidR="007C0F5C" w:rsidRPr="00A132A5" w:rsidRDefault="007C0F5C" w:rsidP="007C0F5C">
            <w:pPr>
              <w:keepNext/>
              <w:jc w:val="right"/>
              <w:rPr>
                <w:color w:val="000000"/>
                <w:sz w:val="20"/>
                <w:szCs w:val="20"/>
              </w:rPr>
            </w:pPr>
            <w:r>
              <w:rPr>
                <w:color w:val="000000"/>
                <w:sz w:val="20"/>
                <w:szCs w:val="20"/>
              </w:rPr>
              <w:t>77,96</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bottom"/>
          </w:tcPr>
          <w:p w:rsidR="007C0F5C" w:rsidRPr="00A132A5" w:rsidRDefault="007C0F5C" w:rsidP="007C0F5C">
            <w:pPr>
              <w:keepNext/>
              <w:jc w:val="right"/>
              <w:rPr>
                <w:color w:val="000000"/>
                <w:sz w:val="20"/>
                <w:szCs w:val="20"/>
              </w:rPr>
            </w:pPr>
            <w:r>
              <w:rPr>
                <w:color w:val="000000"/>
                <w:sz w:val="20"/>
                <w:szCs w:val="20"/>
              </w:rPr>
              <w:t>111,38</w:t>
            </w:r>
          </w:p>
        </w:tc>
        <w:tc>
          <w:tcPr>
            <w:tcW w:w="529" w:type="pct"/>
            <w:tcBorders>
              <w:top w:val="single" w:sz="4" w:space="0" w:color="auto"/>
              <w:left w:val="single" w:sz="4" w:space="0" w:color="auto"/>
              <w:bottom w:val="single" w:sz="4" w:space="0" w:color="auto"/>
              <w:right w:val="single" w:sz="4" w:space="0" w:color="auto"/>
            </w:tcBorders>
            <w:noWrap/>
            <w:vAlign w:val="center"/>
          </w:tcPr>
          <w:p w:rsidR="007C0F5C" w:rsidRPr="006224E3" w:rsidRDefault="007C0F5C" w:rsidP="007C0F5C">
            <w:pPr>
              <w:keepNext/>
              <w:jc w:val="right"/>
              <w:rPr>
                <w:color w:val="000000"/>
                <w:sz w:val="20"/>
                <w:szCs w:val="20"/>
              </w:rPr>
            </w:pPr>
            <w:r>
              <w:rPr>
                <w:color w:val="000000"/>
                <w:sz w:val="20"/>
                <w:szCs w:val="20"/>
              </w:rPr>
              <w:t>109,55</w:t>
            </w:r>
          </w:p>
        </w:tc>
        <w:tc>
          <w:tcPr>
            <w:tcW w:w="529" w:type="pct"/>
            <w:tcBorders>
              <w:top w:val="single" w:sz="4" w:space="0" w:color="auto"/>
              <w:left w:val="single" w:sz="4" w:space="0" w:color="auto"/>
              <w:bottom w:val="single" w:sz="4" w:space="0" w:color="auto"/>
              <w:right w:val="single" w:sz="4" w:space="0" w:color="auto"/>
            </w:tcBorders>
          </w:tcPr>
          <w:p w:rsidR="007C0F5C" w:rsidRPr="00FE3307" w:rsidRDefault="007C0F5C" w:rsidP="007C0F5C">
            <w:pPr>
              <w:widowControl w:val="0"/>
              <w:jc w:val="right"/>
              <w:rPr>
                <w:color w:val="000000"/>
                <w:sz w:val="20"/>
                <w:szCs w:val="20"/>
              </w:rPr>
            </w:pPr>
            <w:r>
              <w:rPr>
                <w:color w:val="000000"/>
                <w:sz w:val="20"/>
                <w:szCs w:val="20"/>
              </w:rPr>
              <w:t>162,37</w:t>
            </w:r>
          </w:p>
        </w:tc>
        <w:tc>
          <w:tcPr>
            <w:tcW w:w="530" w:type="pct"/>
            <w:tcBorders>
              <w:top w:val="single" w:sz="4" w:space="0" w:color="auto"/>
              <w:left w:val="single" w:sz="4" w:space="0" w:color="auto"/>
              <w:bottom w:val="single" w:sz="4" w:space="0" w:color="auto"/>
              <w:right w:val="single" w:sz="4" w:space="0" w:color="auto"/>
            </w:tcBorders>
          </w:tcPr>
          <w:p w:rsidR="007C0F5C" w:rsidRPr="00FE3307" w:rsidRDefault="007C0F5C" w:rsidP="007C0F5C">
            <w:pPr>
              <w:widowControl w:val="0"/>
              <w:jc w:val="right"/>
              <w:rPr>
                <w:color w:val="000000"/>
                <w:sz w:val="20"/>
                <w:szCs w:val="20"/>
              </w:rPr>
            </w:pPr>
            <w:r>
              <w:rPr>
                <w:color w:val="000000"/>
                <w:sz w:val="20"/>
                <w:szCs w:val="20"/>
              </w:rPr>
              <w:t>46,28</w:t>
            </w:r>
          </w:p>
        </w:tc>
        <w:tc>
          <w:tcPr>
            <w:tcW w:w="672" w:type="pct"/>
            <w:tcBorders>
              <w:top w:val="single" w:sz="4" w:space="0" w:color="auto"/>
              <w:left w:val="single" w:sz="4" w:space="0" w:color="auto"/>
              <w:bottom w:val="single" w:sz="4" w:space="0" w:color="auto"/>
              <w:right w:val="single" w:sz="4" w:space="0" w:color="auto"/>
            </w:tcBorders>
            <w:noWrap/>
          </w:tcPr>
          <w:p w:rsidR="007C0F5C" w:rsidRPr="00A132A5" w:rsidRDefault="007C0F5C" w:rsidP="007C0F5C">
            <w:pPr>
              <w:keepNext/>
              <w:jc w:val="right"/>
              <w:rPr>
                <w:rFonts w:eastAsiaTheme="minorHAnsi"/>
                <w:color w:val="000000"/>
                <w:sz w:val="20"/>
                <w:szCs w:val="20"/>
              </w:rPr>
            </w:pPr>
            <w:r>
              <w:rPr>
                <w:color w:val="000000"/>
                <w:sz w:val="20"/>
                <w:szCs w:val="20"/>
              </w:rPr>
              <w:t>74,7</w:t>
            </w:r>
          </w:p>
        </w:tc>
      </w:tr>
      <w:tr w:rsidR="007C0F5C" w:rsidRPr="00FE3307" w:rsidTr="007C0F5C">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7C0F5C" w:rsidRPr="00FE3307" w:rsidRDefault="007C0F5C" w:rsidP="007C0F5C">
            <w:pPr>
              <w:widowControl w:val="0"/>
              <w:jc w:val="left"/>
              <w:rPr>
                <w:color w:val="000000"/>
                <w:sz w:val="20"/>
                <w:szCs w:val="20"/>
              </w:rPr>
            </w:pPr>
            <w:r>
              <w:rPr>
                <w:color w:val="000000"/>
                <w:sz w:val="20"/>
                <w:szCs w:val="20"/>
              </w:rPr>
              <w:t>HCFC-124</w:t>
            </w:r>
          </w:p>
        </w:tc>
        <w:tc>
          <w:tcPr>
            <w:tcW w:w="529" w:type="pct"/>
            <w:tcBorders>
              <w:top w:val="single" w:sz="4" w:space="0" w:color="auto"/>
              <w:bottom w:val="single" w:sz="4" w:space="0" w:color="auto"/>
              <w:right w:val="single" w:sz="4" w:space="0" w:color="auto"/>
            </w:tcBorders>
            <w:noWrap/>
            <w:vAlign w:val="center"/>
          </w:tcPr>
          <w:p w:rsidR="007C0F5C" w:rsidRPr="00A132A5" w:rsidRDefault="007C0F5C" w:rsidP="007C0F5C">
            <w:pPr>
              <w:keepNext/>
              <w:jc w:val="right"/>
              <w:rPr>
                <w:color w:val="000000"/>
                <w:sz w:val="20"/>
                <w:szCs w:val="20"/>
              </w:rPr>
            </w:pPr>
            <w:r>
              <w:rPr>
                <w:color w:val="000000"/>
                <w:sz w:val="20"/>
                <w:szCs w:val="20"/>
              </w:rPr>
              <w:t>28,56</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bottom"/>
          </w:tcPr>
          <w:p w:rsidR="007C0F5C" w:rsidRPr="00A132A5" w:rsidRDefault="007C0F5C" w:rsidP="007C0F5C">
            <w:pPr>
              <w:keepNext/>
              <w:jc w:val="right"/>
              <w:rPr>
                <w:color w:val="000000"/>
                <w:sz w:val="20"/>
                <w:szCs w:val="20"/>
              </w:rPr>
            </w:pPr>
            <w:r>
              <w:rPr>
                <w:color w:val="000000"/>
                <w:sz w:val="20"/>
                <w:szCs w:val="20"/>
              </w:rPr>
              <w:t>38,66</w:t>
            </w:r>
          </w:p>
        </w:tc>
        <w:tc>
          <w:tcPr>
            <w:tcW w:w="529" w:type="pct"/>
            <w:tcBorders>
              <w:top w:val="single" w:sz="4" w:space="0" w:color="auto"/>
              <w:left w:val="single" w:sz="4" w:space="0" w:color="auto"/>
              <w:bottom w:val="single" w:sz="4" w:space="0" w:color="auto"/>
              <w:right w:val="single" w:sz="4" w:space="0" w:color="auto"/>
            </w:tcBorders>
            <w:noWrap/>
            <w:vAlign w:val="center"/>
          </w:tcPr>
          <w:p w:rsidR="007C0F5C" w:rsidRPr="006224E3" w:rsidRDefault="007C0F5C" w:rsidP="007C0F5C">
            <w:pPr>
              <w:keepNext/>
              <w:jc w:val="right"/>
              <w:rPr>
                <w:color w:val="000000"/>
                <w:sz w:val="20"/>
                <w:szCs w:val="20"/>
              </w:rPr>
            </w:pPr>
            <w:r>
              <w:rPr>
                <w:color w:val="000000"/>
                <w:sz w:val="20"/>
                <w:szCs w:val="20"/>
              </w:rPr>
              <w:t>21,05</w:t>
            </w:r>
          </w:p>
        </w:tc>
        <w:tc>
          <w:tcPr>
            <w:tcW w:w="529" w:type="pct"/>
            <w:tcBorders>
              <w:top w:val="single" w:sz="4" w:space="0" w:color="auto"/>
              <w:left w:val="single" w:sz="4" w:space="0" w:color="auto"/>
              <w:bottom w:val="single" w:sz="4" w:space="0" w:color="auto"/>
              <w:right w:val="single" w:sz="4" w:space="0" w:color="auto"/>
            </w:tcBorders>
          </w:tcPr>
          <w:p w:rsidR="007C0F5C" w:rsidRPr="00FE3307" w:rsidRDefault="007C0F5C" w:rsidP="007C0F5C">
            <w:pPr>
              <w:widowControl w:val="0"/>
              <w:jc w:val="right"/>
              <w:rPr>
                <w:color w:val="000000"/>
                <w:sz w:val="20"/>
                <w:szCs w:val="20"/>
              </w:rPr>
            </w:pPr>
            <w:r>
              <w:rPr>
                <w:color w:val="000000"/>
                <w:sz w:val="20"/>
                <w:szCs w:val="20"/>
              </w:rPr>
              <w:t>7,78</w:t>
            </w:r>
          </w:p>
        </w:tc>
        <w:tc>
          <w:tcPr>
            <w:tcW w:w="530" w:type="pct"/>
            <w:tcBorders>
              <w:top w:val="single" w:sz="4" w:space="0" w:color="auto"/>
              <w:left w:val="single" w:sz="4" w:space="0" w:color="auto"/>
              <w:bottom w:val="single" w:sz="4" w:space="0" w:color="auto"/>
              <w:right w:val="single" w:sz="4" w:space="0" w:color="auto"/>
            </w:tcBorders>
          </w:tcPr>
          <w:p w:rsidR="007C0F5C" w:rsidRPr="00FE3307" w:rsidRDefault="007C0F5C" w:rsidP="007C0F5C">
            <w:pPr>
              <w:widowControl w:val="0"/>
              <w:jc w:val="right"/>
              <w:rPr>
                <w:color w:val="000000"/>
                <w:sz w:val="20"/>
                <w:szCs w:val="20"/>
              </w:rPr>
            </w:pPr>
            <w:r>
              <w:rPr>
                <w:color w:val="000000"/>
                <w:sz w:val="20"/>
                <w:szCs w:val="20"/>
              </w:rPr>
              <w:t>0,0</w:t>
            </w:r>
          </w:p>
        </w:tc>
        <w:tc>
          <w:tcPr>
            <w:tcW w:w="672" w:type="pct"/>
            <w:tcBorders>
              <w:top w:val="single" w:sz="4" w:space="0" w:color="auto"/>
              <w:left w:val="single" w:sz="4" w:space="0" w:color="auto"/>
              <w:bottom w:val="single" w:sz="4" w:space="0" w:color="auto"/>
              <w:right w:val="single" w:sz="4" w:space="0" w:color="auto"/>
            </w:tcBorders>
            <w:noWrap/>
          </w:tcPr>
          <w:p w:rsidR="007C0F5C" w:rsidRPr="00A132A5" w:rsidRDefault="007C0F5C" w:rsidP="007C0F5C">
            <w:pPr>
              <w:keepNext/>
              <w:jc w:val="right"/>
              <w:rPr>
                <w:rFonts w:eastAsiaTheme="minorHAnsi"/>
                <w:color w:val="000000"/>
                <w:sz w:val="20"/>
                <w:szCs w:val="20"/>
              </w:rPr>
            </w:pPr>
            <w:r>
              <w:rPr>
                <w:color w:val="000000"/>
                <w:sz w:val="20"/>
                <w:szCs w:val="20"/>
              </w:rPr>
              <w:t>47,9</w:t>
            </w:r>
          </w:p>
        </w:tc>
      </w:tr>
      <w:tr w:rsidR="007C0F5C" w:rsidRPr="00FE3307" w:rsidTr="007C0F5C">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7C0F5C" w:rsidRPr="00FE3307" w:rsidRDefault="007C0F5C" w:rsidP="007C0F5C">
            <w:pPr>
              <w:widowControl w:val="0"/>
              <w:jc w:val="left"/>
              <w:rPr>
                <w:color w:val="000000"/>
                <w:sz w:val="20"/>
                <w:szCs w:val="20"/>
              </w:rPr>
            </w:pPr>
            <w:r>
              <w:rPr>
                <w:color w:val="000000"/>
                <w:sz w:val="20"/>
                <w:szCs w:val="20"/>
              </w:rPr>
              <w:t>HCFC-141b</w:t>
            </w:r>
          </w:p>
        </w:tc>
        <w:tc>
          <w:tcPr>
            <w:tcW w:w="529" w:type="pct"/>
            <w:tcBorders>
              <w:top w:val="single" w:sz="4" w:space="0" w:color="auto"/>
              <w:bottom w:val="single" w:sz="4" w:space="0" w:color="auto"/>
              <w:right w:val="single" w:sz="4" w:space="0" w:color="auto"/>
            </w:tcBorders>
            <w:noWrap/>
            <w:vAlign w:val="center"/>
          </w:tcPr>
          <w:p w:rsidR="007C0F5C" w:rsidRPr="00A132A5" w:rsidRDefault="007C0F5C" w:rsidP="007C0F5C">
            <w:pPr>
              <w:keepNext/>
              <w:jc w:val="right"/>
              <w:rPr>
                <w:color w:val="000000"/>
                <w:sz w:val="20"/>
                <w:szCs w:val="20"/>
              </w:rPr>
            </w:pPr>
            <w:r>
              <w:rPr>
                <w:color w:val="000000"/>
                <w:sz w:val="20"/>
                <w:szCs w:val="20"/>
              </w:rPr>
              <w:t>951,71</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bottom"/>
          </w:tcPr>
          <w:p w:rsidR="007C0F5C" w:rsidRPr="00A132A5" w:rsidRDefault="007C0F5C" w:rsidP="007C0F5C">
            <w:pPr>
              <w:keepNext/>
              <w:jc w:val="right"/>
              <w:rPr>
                <w:color w:val="000000"/>
                <w:sz w:val="20"/>
                <w:szCs w:val="20"/>
              </w:rPr>
            </w:pPr>
            <w:r>
              <w:rPr>
                <w:color w:val="000000"/>
                <w:sz w:val="20"/>
                <w:szCs w:val="20"/>
              </w:rPr>
              <w:t>978,73</w:t>
            </w:r>
          </w:p>
        </w:tc>
        <w:tc>
          <w:tcPr>
            <w:tcW w:w="529" w:type="pct"/>
            <w:tcBorders>
              <w:top w:val="single" w:sz="4" w:space="0" w:color="auto"/>
              <w:left w:val="single" w:sz="4" w:space="0" w:color="auto"/>
              <w:bottom w:val="single" w:sz="4" w:space="0" w:color="auto"/>
              <w:right w:val="single" w:sz="4" w:space="0" w:color="auto"/>
            </w:tcBorders>
            <w:noWrap/>
            <w:vAlign w:val="center"/>
          </w:tcPr>
          <w:p w:rsidR="007C0F5C" w:rsidRPr="006224E3" w:rsidRDefault="007C0F5C" w:rsidP="007C0F5C">
            <w:pPr>
              <w:keepNext/>
              <w:jc w:val="right"/>
              <w:rPr>
                <w:color w:val="000000"/>
                <w:sz w:val="20"/>
                <w:szCs w:val="20"/>
              </w:rPr>
            </w:pPr>
            <w:r>
              <w:rPr>
                <w:color w:val="000000"/>
                <w:sz w:val="20"/>
                <w:szCs w:val="20"/>
              </w:rPr>
              <w:t>829,54</w:t>
            </w:r>
          </w:p>
        </w:tc>
        <w:tc>
          <w:tcPr>
            <w:tcW w:w="529" w:type="pct"/>
            <w:tcBorders>
              <w:top w:val="single" w:sz="4" w:space="0" w:color="auto"/>
              <w:left w:val="single" w:sz="4" w:space="0" w:color="auto"/>
              <w:bottom w:val="single" w:sz="4" w:space="0" w:color="auto"/>
              <w:right w:val="single" w:sz="4" w:space="0" w:color="auto"/>
            </w:tcBorders>
          </w:tcPr>
          <w:p w:rsidR="007C0F5C" w:rsidRPr="00FE3307" w:rsidRDefault="007C0F5C" w:rsidP="007C0F5C">
            <w:pPr>
              <w:widowControl w:val="0"/>
              <w:jc w:val="right"/>
              <w:rPr>
                <w:color w:val="000000"/>
                <w:sz w:val="20"/>
                <w:szCs w:val="20"/>
              </w:rPr>
            </w:pPr>
            <w:r>
              <w:rPr>
                <w:color w:val="000000"/>
                <w:sz w:val="20"/>
                <w:szCs w:val="20"/>
              </w:rPr>
              <w:t>958,28</w:t>
            </w:r>
          </w:p>
        </w:tc>
        <w:tc>
          <w:tcPr>
            <w:tcW w:w="530" w:type="pct"/>
            <w:tcBorders>
              <w:top w:val="single" w:sz="4" w:space="0" w:color="auto"/>
              <w:left w:val="single" w:sz="4" w:space="0" w:color="auto"/>
              <w:bottom w:val="single" w:sz="4" w:space="0" w:color="auto"/>
              <w:right w:val="single" w:sz="4" w:space="0" w:color="auto"/>
            </w:tcBorders>
          </w:tcPr>
          <w:p w:rsidR="007C0F5C" w:rsidRPr="00FE3307" w:rsidRDefault="007C0F5C" w:rsidP="007C0F5C">
            <w:pPr>
              <w:widowControl w:val="0"/>
              <w:jc w:val="right"/>
              <w:rPr>
                <w:color w:val="000000"/>
                <w:sz w:val="20"/>
                <w:szCs w:val="20"/>
              </w:rPr>
            </w:pPr>
            <w:r>
              <w:rPr>
                <w:color w:val="000000"/>
                <w:sz w:val="20"/>
                <w:szCs w:val="20"/>
              </w:rPr>
              <w:t>766,28</w:t>
            </w:r>
          </w:p>
        </w:tc>
        <w:tc>
          <w:tcPr>
            <w:tcW w:w="672" w:type="pct"/>
            <w:tcBorders>
              <w:top w:val="single" w:sz="4" w:space="0" w:color="auto"/>
              <w:left w:val="single" w:sz="4" w:space="0" w:color="auto"/>
              <w:bottom w:val="single" w:sz="4" w:space="0" w:color="auto"/>
              <w:right w:val="single" w:sz="4" w:space="0" w:color="auto"/>
            </w:tcBorders>
            <w:noWrap/>
          </w:tcPr>
          <w:p w:rsidR="007C0F5C" w:rsidRPr="00A132A5" w:rsidRDefault="007C0F5C" w:rsidP="007C0F5C">
            <w:pPr>
              <w:keepNext/>
              <w:jc w:val="right"/>
              <w:rPr>
                <w:rFonts w:eastAsiaTheme="minorHAnsi"/>
                <w:color w:val="000000"/>
                <w:sz w:val="20"/>
                <w:szCs w:val="20"/>
              </w:rPr>
            </w:pPr>
            <w:r>
              <w:rPr>
                <w:color w:val="000000"/>
                <w:sz w:val="20"/>
                <w:szCs w:val="20"/>
              </w:rPr>
              <w:t>1</w:t>
            </w:r>
            <w:r w:rsidR="00D17D05">
              <w:rPr>
                <w:color w:val="000000"/>
                <w:sz w:val="20"/>
                <w:szCs w:val="20"/>
              </w:rPr>
              <w:t> </w:t>
            </w:r>
            <w:r>
              <w:rPr>
                <w:color w:val="000000"/>
                <w:sz w:val="20"/>
                <w:szCs w:val="20"/>
              </w:rPr>
              <w:t>031,1</w:t>
            </w:r>
          </w:p>
        </w:tc>
      </w:tr>
      <w:tr w:rsidR="007C0F5C" w:rsidRPr="00FE3307" w:rsidTr="007C0F5C">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7C0F5C" w:rsidRPr="00FE3307" w:rsidRDefault="007C0F5C" w:rsidP="007C0F5C">
            <w:pPr>
              <w:widowControl w:val="0"/>
              <w:jc w:val="left"/>
              <w:rPr>
                <w:color w:val="000000"/>
                <w:sz w:val="20"/>
                <w:szCs w:val="20"/>
              </w:rPr>
            </w:pPr>
            <w:r>
              <w:rPr>
                <w:color w:val="000000"/>
                <w:sz w:val="20"/>
                <w:szCs w:val="20"/>
              </w:rPr>
              <w:t>HCFC-142b</w:t>
            </w:r>
          </w:p>
        </w:tc>
        <w:tc>
          <w:tcPr>
            <w:tcW w:w="529" w:type="pct"/>
            <w:tcBorders>
              <w:top w:val="single" w:sz="4" w:space="0" w:color="auto"/>
              <w:bottom w:val="single" w:sz="4" w:space="0" w:color="auto"/>
              <w:right w:val="single" w:sz="4" w:space="0" w:color="auto"/>
            </w:tcBorders>
            <w:noWrap/>
            <w:vAlign w:val="center"/>
          </w:tcPr>
          <w:p w:rsidR="007C0F5C" w:rsidRPr="00A132A5" w:rsidRDefault="007C0F5C" w:rsidP="007C0F5C">
            <w:pPr>
              <w:keepNext/>
              <w:jc w:val="right"/>
              <w:rPr>
                <w:color w:val="000000"/>
                <w:sz w:val="20"/>
                <w:szCs w:val="20"/>
              </w:rPr>
            </w:pPr>
            <w:r>
              <w:rPr>
                <w:color w:val="000000"/>
                <w:sz w:val="20"/>
                <w:szCs w:val="20"/>
              </w:rPr>
              <w:t>145,82</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bottom"/>
          </w:tcPr>
          <w:p w:rsidR="007C0F5C" w:rsidRPr="00A132A5" w:rsidRDefault="007C0F5C" w:rsidP="007C0F5C">
            <w:pPr>
              <w:keepNext/>
              <w:jc w:val="right"/>
              <w:rPr>
                <w:color w:val="000000"/>
                <w:sz w:val="20"/>
                <w:szCs w:val="20"/>
              </w:rPr>
            </w:pPr>
            <w:r>
              <w:rPr>
                <w:color w:val="000000"/>
                <w:sz w:val="20"/>
                <w:szCs w:val="20"/>
              </w:rPr>
              <w:t>266,25</w:t>
            </w:r>
          </w:p>
        </w:tc>
        <w:tc>
          <w:tcPr>
            <w:tcW w:w="529" w:type="pct"/>
            <w:tcBorders>
              <w:top w:val="single" w:sz="4" w:space="0" w:color="auto"/>
              <w:left w:val="single" w:sz="4" w:space="0" w:color="auto"/>
              <w:bottom w:val="single" w:sz="4" w:space="0" w:color="auto"/>
              <w:right w:val="single" w:sz="4" w:space="0" w:color="auto"/>
            </w:tcBorders>
            <w:noWrap/>
            <w:vAlign w:val="center"/>
          </w:tcPr>
          <w:p w:rsidR="007C0F5C" w:rsidRPr="006224E3" w:rsidRDefault="007C0F5C" w:rsidP="007C0F5C">
            <w:pPr>
              <w:keepNext/>
              <w:jc w:val="right"/>
              <w:rPr>
                <w:color w:val="000000"/>
                <w:sz w:val="20"/>
                <w:szCs w:val="20"/>
              </w:rPr>
            </w:pPr>
            <w:r>
              <w:rPr>
                <w:color w:val="000000"/>
                <w:sz w:val="20"/>
                <w:szCs w:val="20"/>
              </w:rPr>
              <w:t>111,21</w:t>
            </w:r>
          </w:p>
        </w:tc>
        <w:tc>
          <w:tcPr>
            <w:tcW w:w="529" w:type="pct"/>
            <w:tcBorders>
              <w:top w:val="single" w:sz="4" w:space="0" w:color="auto"/>
              <w:left w:val="single" w:sz="4" w:space="0" w:color="auto"/>
              <w:bottom w:val="single" w:sz="4" w:space="0" w:color="auto"/>
              <w:right w:val="single" w:sz="4" w:space="0" w:color="auto"/>
            </w:tcBorders>
          </w:tcPr>
          <w:p w:rsidR="007C0F5C" w:rsidRPr="00FE3307" w:rsidRDefault="007C0F5C" w:rsidP="007C0F5C">
            <w:pPr>
              <w:widowControl w:val="0"/>
              <w:jc w:val="right"/>
              <w:rPr>
                <w:color w:val="000000"/>
                <w:sz w:val="20"/>
                <w:szCs w:val="20"/>
              </w:rPr>
            </w:pPr>
            <w:r>
              <w:rPr>
                <w:color w:val="000000"/>
                <w:sz w:val="20"/>
                <w:szCs w:val="20"/>
              </w:rPr>
              <w:t>60,69</w:t>
            </w:r>
          </w:p>
        </w:tc>
        <w:tc>
          <w:tcPr>
            <w:tcW w:w="530" w:type="pct"/>
            <w:tcBorders>
              <w:top w:val="single" w:sz="4" w:space="0" w:color="auto"/>
              <w:left w:val="single" w:sz="4" w:space="0" w:color="auto"/>
              <w:bottom w:val="single" w:sz="4" w:space="0" w:color="auto"/>
              <w:right w:val="single" w:sz="4" w:space="0" w:color="auto"/>
            </w:tcBorders>
          </w:tcPr>
          <w:p w:rsidR="007C0F5C" w:rsidRPr="00FE3307" w:rsidRDefault="007C0F5C" w:rsidP="007C0F5C">
            <w:pPr>
              <w:widowControl w:val="0"/>
              <w:jc w:val="right"/>
              <w:rPr>
                <w:color w:val="000000"/>
                <w:sz w:val="20"/>
                <w:szCs w:val="20"/>
              </w:rPr>
            </w:pPr>
            <w:r>
              <w:rPr>
                <w:color w:val="000000"/>
                <w:sz w:val="20"/>
                <w:szCs w:val="20"/>
              </w:rPr>
              <w:t>40,18</w:t>
            </w:r>
          </w:p>
        </w:tc>
        <w:tc>
          <w:tcPr>
            <w:tcW w:w="672" w:type="pct"/>
            <w:tcBorders>
              <w:top w:val="single" w:sz="4" w:space="0" w:color="auto"/>
              <w:left w:val="single" w:sz="4" w:space="0" w:color="auto"/>
              <w:bottom w:val="single" w:sz="4" w:space="0" w:color="auto"/>
              <w:right w:val="single" w:sz="4" w:space="0" w:color="auto"/>
            </w:tcBorders>
            <w:noWrap/>
          </w:tcPr>
          <w:p w:rsidR="007C0F5C" w:rsidRPr="00A132A5" w:rsidRDefault="007C0F5C" w:rsidP="007C0F5C">
            <w:pPr>
              <w:keepNext/>
              <w:jc w:val="right"/>
              <w:rPr>
                <w:rFonts w:eastAsiaTheme="minorHAnsi"/>
                <w:color w:val="000000"/>
                <w:sz w:val="20"/>
                <w:szCs w:val="20"/>
              </w:rPr>
            </w:pPr>
            <w:r>
              <w:rPr>
                <w:color w:val="000000"/>
                <w:sz w:val="20"/>
                <w:szCs w:val="20"/>
              </w:rPr>
              <w:t>268,1</w:t>
            </w:r>
          </w:p>
        </w:tc>
      </w:tr>
      <w:tr w:rsidR="007C0F5C" w:rsidRPr="00FE3307" w:rsidTr="007C0F5C">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rsidR="007C0F5C" w:rsidRPr="00FE3307" w:rsidRDefault="007C0F5C" w:rsidP="007C0F5C">
            <w:pPr>
              <w:jc w:val="left"/>
              <w:rPr>
                <w:rFonts w:eastAsiaTheme="minorHAnsi"/>
                <w:b/>
                <w:color w:val="000000"/>
                <w:sz w:val="20"/>
                <w:szCs w:val="20"/>
              </w:rPr>
            </w:pPr>
            <w:r>
              <w:rPr>
                <w:b/>
                <w:color w:val="000000"/>
                <w:sz w:val="20"/>
                <w:szCs w:val="20"/>
              </w:rPr>
              <w:t>Total (tm)</w:t>
            </w:r>
          </w:p>
        </w:tc>
        <w:tc>
          <w:tcPr>
            <w:tcW w:w="529" w:type="pct"/>
            <w:tcBorders>
              <w:top w:val="single" w:sz="4" w:space="0" w:color="auto"/>
              <w:bottom w:val="single" w:sz="4" w:space="0" w:color="auto"/>
              <w:right w:val="single" w:sz="4" w:space="0" w:color="auto"/>
            </w:tcBorders>
            <w:noWrap/>
          </w:tcPr>
          <w:p w:rsidR="007C0F5C" w:rsidRPr="00A132A5" w:rsidRDefault="007C0F5C" w:rsidP="007C0F5C">
            <w:pPr>
              <w:keepNext/>
              <w:jc w:val="right"/>
              <w:rPr>
                <w:rFonts w:eastAsiaTheme="minorHAnsi"/>
                <w:b/>
                <w:color w:val="000000"/>
                <w:sz w:val="20"/>
                <w:szCs w:val="20"/>
              </w:rPr>
            </w:pPr>
            <w:r>
              <w:rPr>
                <w:b/>
                <w:color w:val="000000"/>
                <w:sz w:val="20"/>
                <w:szCs w:val="20"/>
              </w:rPr>
              <w:t>4</w:t>
            </w:r>
            <w:r w:rsidR="00D17D05">
              <w:rPr>
                <w:b/>
                <w:color w:val="000000"/>
                <w:sz w:val="20"/>
                <w:szCs w:val="20"/>
              </w:rPr>
              <w:t> </w:t>
            </w:r>
            <w:r>
              <w:rPr>
                <w:b/>
                <w:color w:val="000000"/>
                <w:sz w:val="20"/>
                <w:szCs w:val="20"/>
              </w:rPr>
              <w:t>108,38</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7C0F5C" w:rsidRPr="00A132A5" w:rsidRDefault="007C0F5C" w:rsidP="007C0F5C">
            <w:pPr>
              <w:keepNext/>
              <w:jc w:val="right"/>
              <w:rPr>
                <w:rFonts w:eastAsiaTheme="minorHAnsi"/>
                <w:b/>
                <w:color w:val="000000"/>
                <w:sz w:val="20"/>
                <w:szCs w:val="20"/>
              </w:rPr>
            </w:pPr>
            <w:r>
              <w:rPr>
                <w:b/>
                <w:color w:val="000000"/>
                <w:sz w:val="20"/>
                <w:szCs w:val="20"/>
              </w:rPr>
              <w:t>4</w:t>
            </w:r>
            <w:r w:rsidR="00D17D05">
              <w:rPr>
                <w:b/>
                <w:color w:val="000000"/>
                <w:sz w:val="20"/>
                <w:szCs w:val="20"/>
              </w:rPr>
              <w:t> </w:t>
            </w:r>
            <w:r>
              <w:rPr>
                <w:b/>
                <w:color w:val="000000"/>
                <w:sz w:val="20"/>
                <w:szCs w:val="20"/>
              </w:rPr>
              <w:t>438,25</w:t>
            </w:r>
          </w:p>
        </w:tc>
        <w:tc>
          <w:tcPr>
            <w:tcW w:w="529" w:type="pct"/>
            <w:tcBorders>
              <w:top w:val="single" w:sz="4" w:space="0" w:color="auto"/>
              <w:left w:val="single" w:sz="4" w:space="0" w:color="auto"/>
              <w:bottom w:val="single" w:sz="4" w:space="0" w:color="auto"/>
              <w:right w:val="single" w:sz="4" w:space="0" w:color="auto"/>
            </w:tcBorders>
            <w:noWrap/>
          </w:tcPr>
          <w:p w:rsidR="007C0F5C" w:rsidRPr="006224E3" w:rsidRDefault="007C0F5C" w:rsidP="007C0F5C">
            <w:pPr>
              <w:keepNext/>
              <w:jc w:val="right"/>
              <w:rPr>
                <w:rFonts w:eastAsiaTheme="minorHAnsi"/>
                <w:b/>
                <w:color w:val="000000"/>
                <w:sz w:val="20"/>
                <w:szCs w:val="20"/>
              </w:rPr>
            </w:pPr>
            <w:r>
              <w:rPr>
                <w:b/>
                <w:color w:val="000000"/>
                <w:sz w:val="20"/>
                <w:szCs w:val="20"/>
              </w:rPr>
              <w:t>3</w:t>
            </w:r>
            <w:r w:rsidR="00D17D05">
              <w:rPr>
                <w:b/>
                <w:color w:val="000000"/>
                <w:sz w:val="20"/>
                <w:szCs w:val="20"/>
              </w:rPr>
              <w:t> </w:t>
            </w:r>
            <w:r>
              <w:rPr>
                <w:b/>
                <w:color w:val="000000"/>
                <w:sz w:val="20"/>
                <w:szCs w:val="20"/>
              </w:rPr>
              <w:t>395,95</w:t>
            </w:r>
          </w:p>
        </w:tc>
        <w:tc>
          <w:tcPr>
            <w:tcW w:w="529" w:type="pct"/>
            <w:tcBorders>
              <w:top w:val="single" w:sz="4" w:space="0" w:color="auto"/>
              <w:left w:val="single" w:sz="4" w:space="0" w:color="auto"/>
              <w:bottom w:val="single" w:sz="4" w:space="0" w:color="auto"/>
              <w:right w:val="single" w:sz="4" w:space="0" w:color="auto"/>
            </w:tcBorders>
          </w:tcPr>
          <w:p w:rsidR="007C0F5C" w:rsidRPr="00FE3307" w:rsidRDefault="007C0F5C" w:rsidP="007C0F5C">
            <w:pPr>
              <w:widowControl w:val="0"/>
              <w:jc w:val="right"/>
              <w:rPr>
                <w:b/>
                <w:color w:val="000000"/>
                <w:sz w:val="20"/>
                <w:szCs w:val="20"/>
              </w:rPr>
            </w:pPr>
            <w:r>
              <w:rPr>
                <w:b/>
                <w:color w:val="000000"/>
                <w:sz w:val="20"/>
                <w:szCs w:val="20"/>
              </w:rPr>
              <w:t>3</w:t>
            </w:r>
            <w:r w:rsidR="00D17D05">
              <w:rPr>
                <w:b/>
                <w:color w:val="000000"/>
                <w:sz w:val="20"/>
                <w:szCs w:val="20"/>
              </w:rPr>
              <w:t> </w:t>
            </w:r>
            <w:r>
              <w:rPr>
                <w:b/>
                <w:color w:val="000000"/>
                <w:sz w:val="20"/>
                <w:szCs w:val="20"/>
              </w:rPr>
              <w:t>653,08</w:t>
            </w:r>
          </w:p>
        </w:tc>
        <w:tc>
          <w:tcPr>
            <w:tcW w:w="530" w:type="pct"/>
            <w:tcBorders>
              <w:top w:val="single" w:sz="4" w:space="0" w:color="auto"/>
              <w:left w:val="single" w:sz="4" w:space="0" w:color="auto"/>
              <w:bottom w:val="single" w:sz="4" w:space="0" w:color="auto"/>
              <w:right w:val="single" w:sz="4" w:space="0" w:color="auto"/>
            </w:tcBorders>
          </w:tcPr>
          <w:p w:rsidR="007C0F5C" w:rsidRPr="00FE3307" w:rsidRDefault="007C0F5C" w:rsidP="007C0F5C">
            <w:pPr>
              <w:widowControl w:val="0"/>
              <w:jc w:val="right"/>
              <w:rPr>
                <w:b/>
                <w:color w:val="000000"/>
                <w:sz w:val="20"/>
                <w:szCs w:val="20"/>
              </w:rPr>
            </w:pPr>
            <w:r>
              <w:rPr>
                <w:b/>
                <w:color w:val="000000"/>
                <w:sz w:val="20"/>
                <w:szCs w:val="20"/>
              </w:rPr>
              <w:t>2</w:t>
            </w:r>
            <w:r w:rsidR="00D17D05">
              <w:rPr>
                <w:b/>
                <w:color w:val="000000"/>
                <w:sz w:val="20"/>
                <w:szCs w:val="20"/>
              </w:rPr>
              <w:t> </w:t>
            </w:r>
            <w:r>
              <w:rPr>
                <w:b/>
                <w:color w:val="000000"/>
                <w:sz w:val="20"/>
                <w:szCs w:val="20"/>
              </w:rPr>
              <w:t>670,19</w:t>
            </w:r>
          </w:p>
        </w:tc>
        <w:tc>
          <w:tcPr>
            <w:tcW w:w="672" w:type="pct"/>
            <w:tcBorders>
              <w:top w:val="single" w:sz="4" w:space="0" w:color="auto"/>
              <w:left w:val="single" w:sz="4" w:space="0" w:color="auto"/>
              <w:bottom w:val="single" w:sz="4" w:space="0" w:color="auto"/>
              <w:right w:val="single" w:sz="4" w:space="0" w:color="auto"/>
            </w:tcBorders>
            <w:shd w:val="clear" w:color="auto" w:fill="auto"/>
            <w:noWrap/>
            <w:vAlign w:val="center"/>
          </w:tcPr>
          <w:p w:rsidR="007C0F5C" w:rsidRPr="00FE3307" w:rsidRDefault="007C0F5C" w:rsidP="007C0F5C">
            <w:pPr>
              <w:widowControl w:val="0"/>
              <w:jc w:val="right"/>
              <w:rPr>
                <w:b/>
                <w:color w:val="000000"/>
                <w:sz w:val="20"/>
                <w:szCs w:val="20"/>
              </w:rPr>
            </w:pPr>
            <w:r>
              <w:rPr>
                <w:b/>
                <w:color w:val="000000"/>
                <w:sz w:val="20"/>
                <w:szCs w:val="20"/>
              </w:rPr>
              <w:t>6</w:t>
            </w:r>
            <w:r w:rsidR="00D17D05">
              <w:rPr>
                <w:b/>
                <w:color w:val="000000"/>
                <w:sz w:val="20"/>
                <w:szCs w:val="20"/>
              </w:rPr>
              <w:t> </w:t>
            </w:r>
            <w:r>
              <w:rPr>
                <w:b/>
                <w:color w:val="000000"/>
                <w:sz w:val="20"/>
                <w:szCs w:val="20"/>
              </w:rPr>
              <w:t>281,3</w:t>
            </w:r>
          </w:p>
        </w:tc>
      </w:tr>
      <w:tr w:rsidR="007C0F5C" w:rsidRPr="00FE3307" w:rsidTr="007C0F5C">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7C0F5C" w:rsidRPr="00FE3307" w:rsidRDefault="007C0F5C" w:rsidP="007C0F5C">
            <w:pPr>
              <w:widowControl w:val="0"/>
              <w:jc w:val="left"/>
              <w:rPr>
                <w:color w:val="000000"/>
                <w:sz w:val="20"/>
                <w:szCs w:val="20"/>
              </w:rPr>
            </w:pPr>
            <w:r>
              <w:rPr>
                <w:b/>
                <w:bCs/>
                <w:color w:val="000000"/>
                <w:sz w:val="20"/>
                <w:szCs w:val="20"/>
              </w:rPr>
              <w:t>Toneladas PAO</w:t>
            </w:r>
          </w:p>
        </w:tc>
      </w:tr>
      <w:tr w:rsidR="007C0F5C" w:rsidRPr="00FE3307" w:rsidTr="007C0F5C">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7C0F5C" w:rsidRPr="00FE3307" w:rsidRDefault="007C0F5C" w:rsidP="007C0F5C">
            <w:pPr>
              <w:widowControl w:val="0"/>
              <w:jc w:val="left"/>
              <w:rPr>
                <w:color w:val="000000"/>
                <w:sz w:val="20"/>
                <w:szCs w:val="20"/>
              </w:rPr>
            </w:pPr>
            <w:r>
              <w:rPr>
                <w:color w:val="000000"/>
                <w:sz w:val="20"/>
                <w:szCs w:val="20"/>
              </w:rPr>
              <w:t>HCFC-22</w:t>
            </w:r>
          </w:p>
        </w:tc>
        <w:tc>
          <w:tcPr>
            <w:tcW w:w="529" w:type="pct"/>
            <w:tcBorders>
              <w:top w:val="single" w:sz="4" w:space="0" w:color="auto"/>
              <w:bottom w:val="single" w:sz="4" w:space="0" w:color="auto"/>
              <w:right w:val="single" w:sz="4" w:space="0" w:color="auto"/>
            </w:tcBorders>
            <w:noWrap/>
            <w:vAlign w:val="center"/>
          </w:tcPr>
          <w:p w:rsidR="007C0F5C" w:rsidRPr="00A132A5" w:rsidRDefault="007C0F5C" w:rsidP="007C0F5C">
            <w:pPr>
              <w:jc w:val="right"/>
              <w:rPr>
                <w:color w:val="000000"/>
                <w:sz w:val="20"/>
                <w:szCs w:val="20"/>
              </w:rPr>
            </w:pPr>
            <w:r>
              <w:rPr>
                <w:color w:val="000000"/>
                <w:sz w:val="20"/>
                <w:szCs w:val="20"/>
              </w:rPr>
              <w:t>159,73</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7C0F5C" w:rsidRPr="00A132A5" w:rsidRDefault="007C0F5C" w:rsidP="007C0F5C">
            <w:pPr>
              <w:keepNext/>
              <w:jc w:val="right"/>
              <w:rPr>
                <w:color w:val="000000"/>
                <w:sz w:val="20"/>
                <w:szCs w:val="20"/>
              </w:rPr>
            </w:pPr>
            <w:r>
              <w:rPr>
                <w:color w:val="000000"/>
                <w:sz w:val="20"/>
                <w:szCs w:val="20"/>
              </w:rPr>
              <w:t>167,38</w:t>
            </w:r>
          </w:p>
        </w:tc>
        <w:tc>
          <w:tcPr>
            <w:tcW w:w="529" w:type="pct"/>
            <w:tcBorders>
              <w:top w:val="single" w:sz="4" w:space="0" w:color="auto"/>
              <w:left w:val="single" w:sz="4" w:space="0" w:color="auto"/>
              <w:bottom w:val="single" w:sz="4" w:space="0" w:color="auto"/>
              <w:right w:val="single" w:sz="4" w:space="0" w:color="auto"/>
            </w:tcBorders>
            <w:noWrap/>
            <w:vAlign w:val="center"/>
          </w:tcPr>
          <w:p w:rsidR="007C0F5C" w:rsidRPr="006224E3" w:rsidRDefault="007C0F5C" w:rsidP="007C0F5C">
            <w:pPr>
              <w:keepNext/>
              <w:jc w:val="right"/>
              <w:rPr>
                <w:color w:val="000000"/>
                <w:sz w:val="20"/>
                <w:szCs w:val="20"/>
              </w:rPr>
            </w:pPr>
            <w:r>
              <w:rPr>
                <w:color w:val="000000"/>
                <w:sz w:val="20"/>
                <w:szCs w:val="20"/>
              </w:rPr>
              <w:t>127,85</w:t>
            </w:r>
          </w:p>
        </w:tc>
        <w:tc>
          <w:tcPr>
            <w:tcW w:w="529" w:type="pct"/>
            <w:tcBorders>
              <w:top w:val="single" w:sz="4" w:space="0" w:color="auto"/>
              <w:left w:val="single" w:sz="4" w:space="0" w:color="auto"/>
              <w:bottom w:val="single" w:sz="4" w:space="0" w:color="auto"/>
              <w:right w:val="single" w:sz="4" w:space="0" w:color="auto"/>
            </w:tcBorders>
          </w:tcPr>
          <w:p w:rsidR="007C0F5C" w:rsidRPr="00FE3307" w:rsidRDefault="007C0F5C" w:rsidP="007C0F5C">
            <w:pPr>
              <w:widowControl w:val="0"/>
              <w:jc w:val="right"/>
              <w:rPr>
                <w:color w:val="000000"/>
                <w:sz w:val="20"/>
                <w:szCs w:val="20"/>
              </w:rPr>
            </w:pPr>
            <w:r>
              <w:rPr>
                <w:color w:val="000000"/>
                <w:sz w:val="20"/>
                <w:szCs w:val="20"/>
              </w:rPr>
              <w:t>135,52</w:t>
            </w:r>
          </w:p>
        </w:tc>
        <w:tc>
          <w:tcPr>
            <w:tcW w:w="530" w:type="pct"/>
            <w:tcBorders>
              <w:top w:val="single" w:sz="4" w:space="0" w:color="auto"/>
              <w:left w:val="single" w:sz="4" w:space="0" w:color="auto"/>
              <w:bottom w:val="single" w:sz="4" w:space="0" w:color="auto"/>
              <w:right w:val="single" w:sz="4" w:space="0" w:color="auto"/>
            </w:tcBorders>
          </w:tcPr>
          <w:p w:rsidR="007C0F5C" w:rsidRPr="00FE3307" w:rsidRDefault="007C0F5C" w:rsidP="007C0F5C">
            <w:pPr>
              <w:widowControl w:val="0"/>
              <w:jc w:val="right"/>
              <w:rPr>
                <w:color w:val="000000"/>
                <w:sz w:val="20"/>
                <w:szCs w:val="20"/>
              </w:rPr>
            </w:pPr>
            <w:r>
              <w:rPr>
                <w:color w:val="000000"/>
                <w:sz w:val="20"/>
                <w:szCs w:val="20"/>
              </w:rPr>
              <w:t>99,96</w:t>
            </w:r>
          </w:p>
        </w:tc>
        <w:tc>
          <w:tcPr>
            <w:tcW w:w="672" w:type="pct"/>
            <w:tcBorders>
              <w:top w:val="single" w:sz="4" w:space="0" w:color="auto"/>
              <w:left w:val="single" w:sz="4" w:space="0" w:color="auto"/>
              <w:bottom w:val="single" w:sz="4" w:space="0" w:color="auto"/>
              <w:right w:val="single" w:sz="4" w:space="0" w:color="auto"/>
            </w:tcBorders>
            <w:shd w:val="clear" w:color="auto" w:fill="auto"/>
            <w:noWrap/>
            <w:vAlign w:val="center"/>
          </w:tcPr>
          <w:p w:rsidR="007C0F5C" w:rsidRPr="00FE3307" w:rsidRDefault="007C0F5C" w:rsidP="007C0F5C">
            <w:pPr>
              <w:widowControl w:val="0"/>
              <w:jc w:val="right"/>
              <w:rPr>
                <w:color w:val="000000"/>
                <w:sz w:val="20"/>
                <w:szCs w:val="20"/>
              </w:rPr>
            </w:pPr>
            <w:r>
              <w:rPr>
                <w:color w:val="000000"/>
                <w:sz w:val="20"/>
                <w:szCs w:val="20"/>
              </w:rPr>
              <w:t>267,3</w:t>
            </w:r>
          </w:p>
        </w:tc>
      </w:tr>
      <w:tr w:rsidR="007C0F5C" w:rsidRPr="00FE3307" w:rsidTr="007C0F5C">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7C0F5C" w:rsidRPr="00FE3307" w:rsidRDefault="007C0F5C" w:rsidP="007C0F5C">
            <w:pPr>
              <w:widowControl w:val="0"/>
              <w:jc w:val="left"/>
              <w:rPr>
                <w:color w:val="000000"/>
                <w:sz w:val="20"/>
                <w:szCs w:val="20"/>
              </w:rPr>
            </w:pPr>
            <w:r>
              <w:rPr>
                <w:color w:val="000000"/>
                <w:sz w:val="20"/>
                <w:szCs w:val="20"/>
              </w:rPr>
              <w:t>HCFC-123</w:t>
            </w:r>
          </w:p>
        </w:tc>
        <w:tc>
          <w:tcPr>
            <w:tcW w:w="529" w:type="pct"/>
            <w:tcBorders>
              <w:top w:val="single" w:sz="4" w:space="0" w:color="auto"/>
              <w:bottom w:val="single" w:sz="4" w:space="0" w:color="auto"/>
              <w:right w:val="single" w:sz="4" w:space="0" w:color="auto"/>
            </w:tcBorders>
            <w:noWrap/>
            <w:vAlign w:val="center"/>
          </w:tcPr>
          <w:p w:rsidR="007C0F5C" w:rsidRPr="00A132A5" w:rsidRDefault="007C0F5C" w:rsidP="007C0F5C">
            <w:pPr>
              <w:jc w:val="right"/>
              <w:rPr>
                <w:color w:val="000000"/>
                <w:sz w:val="20"/>
                <w:szCs w:val="20"/>
              </w:rPr>
            </w:pPr>
            <w:r>
              <w:rPr>
                <w:color w:val="000000"/>
                <w:sz w:val="20"/>
                <w:szCs w:val="20"/>
              </w:rPr>
              <w:t>1,56</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7C0F5C" w:rsidRPr="00A132A5" w:rsidRDefault="007C0F5C" w:rsidP="007C0F5C">
            <w:pPr>
              <w:keepNext/>
              <w:jc w:val="right"/>
              <w:rPr>
                <w:color w:val="000000"/>
                <w:sz w:val="20"/>
                <w:szCs w:val="20"/>
              </w:rPr>
            </w:pPr>
            <w:r>
              <w:rPr>
                <w:color w:val="000000"/>
                <w:sz w:val="20"/>
                <w:szCs w:val="20"/>
              </w:rPr>
              <w:t>2,23</w:t>
            </w:r>
          </w:p>
        </w:tc>
        <w:tc>
          <w:tcPr>
            <w:tcW w:w="529" w:type="pct"/>
            <w:tcBorders>
              <w:top w:val="single" w:sz="4" w:space="0" w:color="auto"/>
              <w:left w:val="single" w:sz="4" w:space="0" w:color="auto"/>
              <w:bottom w:val="single" w:sz="4" w:space="0" w:color="auto"/>
              <w:right w:val="single" w:sz="4" w:space="0" w:color="auto"/>
            </w:tcBorders>
            <w:noWrap/>
            <w:vAlign w:val="center"/>
          </w:tcPr>
          <w:p w:rsidR="007C0F5C" w:rsidRPr="006224E3" w:rsidRDefault="007C0F5C" w:rsidP="007C0F5C">
            <w:pPr>
              <w:jc w:val="right"/>
              <w:rPr>
                <w:color w:val="000000"/>
                <w:sz w:val="20"/>
                <w:szCs w:val="20"/>
              </w:rPr>
            </w:pPr>
            <w:r>
              <w:rPr>
                <w:color w:val="000000"/>
                <w:sz w:val="20"/>
                <w:szCs w:val="20"/>
              </w:rPr>
              <w:t>2,19</w:t>
            </w:r>
          </w:p>
        </w:tc>
        <w:tc>
          <w:tcPr>
            <w:tcW w:w="529" w:type="pct"/>
            <w:tcBorders>
              <w:top w:val="single" w:sz="4" w:space="0" w:color="auto"/>
              <w:left w:val="single" w:sz="4" w:space="0" w:color="auto"/>
              <w:bottom w:val="single" w:sz="4" w:space="0" w:color="auto"/>
              <w:right w:val="single" w:sz="4" w:space="0" w:color="auto"/>
            </w:tcBorders>
          </w:tcPr>
          <w:p w:rsidR="007C0F5C" w:rsidRPr="00FE3307" w:rsidRDefault="007C0F5C" w:rsidP="007C0F5C">
            <w:pPr>
              <w:widowControl w:val="0"/>
              <w:jc w:val="right"/>
              <w:rPr>
                <w:color w:val="000000"/>
                <w:sz w:val="20"/>
                <w:szCs w:val="20"/>
              </w:rPr>
            </w:pPr>
            <w:r>
              <w:rPr>
                <w:color w:val="000000"/>
                <w:sz w:val="20"/>
                <w:szCs w:val="20"/>
              </w:rPr>
              <w:t>3,25</w:t>
            </w:r>
          </w:p>
        </w:tc>
        <w:tc>
          <w:tcPr>
            <w:tcW w:w="530" w:type="pct"/>
            <w:tcBorders>
              <w:top w:val="single" w:sz="4" w:space="0" w:color="auto"/>
              <w:left w:val="single" w:sz="4" w:space="0" w:color="auto"/>
              <w:bottom w:val="single" w:sz="4" w:space="0" w:color="auto"/>
              <w:right w:val="single" w:sz="4" w:space="0" w:color="auto"/>
            </w:tcBorders>
          </w:tcPr>
          <w:p w:rsidR="007C0F5C" w:rsidRPr="00FE3307" w:rsidRDefault="007C0F5C" w:rsidP="007C0F5C">
            <w:pPr>
              <w:widowControl w:val="0"/>
              <w:jc w:val="right"/>
              <w:rPr>
                <w:color w:val="000000"/>
                <w:sz w:val="20"/>
                <w:szCs w:val="20"/>
              </w:rPr>
            </w:pPr>
            <w:r>
              <w:rPr>
                <w:color w:val="000000"/>
                <w:sz w:val="20"/>
                <w:szCs w:val="20"/>
              </w:rPr>
              <w:t>2,78</w:t>
            </w:r>
          </w:p>
        </w:tc>
        <w:tc>
          <w:tcPr>
            <w:tcW w:w="672" w:type="pct"/>
            <w:tcBorders>
              <w:top w:val="single" w:sz="4" w:space="0" w:color="auto"/>
              <w:left w:val="single" w:sz="4" w:space="0" w:color="auto"/>
              <w:bottom w:val="single" w:sz="4" w:space="0" w:color="auto"/>
              <w:right w:val="single" w:sz="4" w:space="0" w:color="auto"/>
            </w:tcBorders>
            <w:noWrap/>
          </w:tcPr>
          <w:p w:rsidR="007C0F5C" w:rsidRPr="00A132A5" w:rsidRDefault="007C0F5C" w:rsidP="007C0F5C">
            <w:pPr>
              <w:jc w:val="right"/>
              <w:rPr>
                <w:rFonts w:eastAsiaTheme="minorHAnsi"/>
                <w:color w:val="000000"/>
                <w:sz w:val="20"/>
                <w:szCs w:val="20"/>
              </w:rPr>
            </w:pPr>
            <w:r>
              <w:rPr>
                <w:color w:val="000000"/>
                <w:sz w:val="20"/>
                <w:szCs w:val="20"/>
              </w:rPr>
              <w:t>1,5</w:t>
            </w:r>
          </w:p>
        </w:tc>
      </w:tr>
      <w:tr w:rsidR="007C0F5C" w:rsidRPr="00FE3307" w:rsidTr="007C0F5C">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7C0F5C" w:rsidRPr="00FE3307" w:rsidRDefault="007C0F5C" w:rsidP="007C0F5C">
            <w:pPr>
              <w:widowControl w:val="0"/>
              <w:jc w:val="left"/>
              <w:rPr>
                <w:color w:val="000000"/>
                <w:sz w:val="20"/>
                <w:szCs w:val="20"/>
              </w:rPr>
            </w:pPr>
            <w:r>
              <w:rPr>
                <w:color w:val="000000"/>
                <w:sz w:val="20"/>
                <w:szCs w:val="20"/>
              </w:rPr>
              <w:t>HCFC-124</w:t>
            </w:r>
          </w:p>
        </w:tc>
        <w:tc>
          <w:tcPr>
            <w:tcW w:w="529" w:type="pct"/>
            <w:tcBorders>
              <w:top w:val="single" w:sz="4" w:space="0" w:color="auto"/>
              <w:bottom w:val="single" w:sz="4" w:space="0" w:color="auto"/>
              <w:right w:val="single" w:sz="4" w:space="0" w:color="auto"/>
            </w:tcBorders>
            <w:noWrap/>
            <w:vAlign w:val="center"/>
          </w:tcPr>
          <w:p w:rsidR="007C0F5C" w:rsidRPr="00A132A5" w:rsidRDefault="007C0F5C" w:rsidP="007C0F5C">
            <w:pPr>
              <w:jc w:val="right"/>
              <w:rPr>
                <w:color w:val="000000"/>
                <w:sz w:val="20"/>
                <w:szCs w:val="20"/>
              </w:rPr>
            </w:pPr>
            <w:r>
              <w:rPr>
                <w:color w:val="000000"/>
                <w:sz w:val="20"/>
                <w:szCs w:val="20"/>
              </w:rPr>
              <w:t>0,63</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7C0F5C" w:rsidRPr="00A132A5" w:rsidRDefault="007C0F5C" w:rsidP="007C0F5C">
            <w:pPr>
              <w:keepNext/>
              <w:jc w:val="right"/>
              <w:rPr>
                <w:color w:val="000000"/>
                <w:sz w:val="20"/>
                <w:szCs w:val="20"/>
              </w:rPr>
            </w:pPr>
            <w:r>
              <w:rPr>
                <w:color w:val="000000"/>
                <w:sz w:val="20"/>
                <w:szCs w:val="20"/>
              </w:rPr>
              <w:t>0,85</w:t>
            </w:r>
          </w:p>
        </w:tc>
        <w:tc>
          <w:tcPr>
            <w:tcW w:w="529" w:type="pct"/>
            <w:tcBorders>
              <w:top w:val="single" w:sz="4" w:space="0" w:color="auto"/>
              <w:left w:val="single" w:sz="4" w:space="0" w:color="auto"/>
              <w:bottom w:val="single" w:sz="4" w:space="0" w:color="auto"/>
              <w:right w:val="single" w:sz="4" w:space="0" w:color="auto"/>
            </w:tcBorders>
            <w:noWrap/>
            <w:vAlign w:val="center"/>
          </w:tcPr>
          <w:p w:rsidR="007C0F5C" w:rsidRPr="006224E3" w:rsidRDefault="007C0F5C" w:rsidP="007C0F5C">
            <w:pPr>
              <w:jc w:val="right"/>
              <w:rPr>
                <w:color w:val="000000"/>
                <w:sz w:val="20"/>
                <w:szCs w:val="20"/>
              </w:rPr>
            </w:pPr>
            <w:r>
              <w:rPr>
                <w:color w:val="000000"/>
                <w:sz w:val="20"/>
                <w:szCs w:val="20"/>
              </w:rPr>
              <w:t>0,46</w:t>
            </w:r>
          </w:p>
        </w:tc>
        <w:tc>
          <w:tcPr>
            <w:tcW w:w="529" w:type="pct"/>
            <w:tcBorders>
              <w:top w:val="single" w:sz="4" w:space="0" w:color="auto"/>
              <w:left w:val="single" w:sz="4" w:space="0" w:color="auto"/>
              <w:bottom w:val="single" w:sz="4" w:space="0" w:color="auto"/>
              <w:right w:val="single" w:sz="4" w:space="0" w:color="auto"/>
            </w:tcBorders>
          </w:tcPr>
          <w:p w:rsidR="007C0F5C" w:rsidRPr="00FE3307" w:rsidRDefault="007C0F5C" w:rsidP="007C0F5C">
            <w:pPr>
              <w:widowControl w:val="0"/>
              <w:jc w:val="right"/>
              <w:rPr>
                <w:color w:val="000000"/>
                <w:sz w:val="20"/>
                <w:szCs w:val="20"/>
              </w:rPr>
            </w:pPr>
            <w:r>
              <w:rPr>
                <w:color w:val="000000"/>
                <w:sz w:val="20"/>
                <w:szCs w:val="20"/>
              </w:rPr>
              <w:t>0,17</w:t>
            </w:r>
          </w:p>
        </w:tc>
        <w:tc>
          <w:tcPr>
            <w:tcW w:w="530" w:type="pct"/>
            <w:tcBorders>
              <w:top w:val="single" w:sz="4" w:space="0" w:color="auto"/>
              <w:left w:val="single" w:sz="4" w:space="0" w:color="auto"/>
              <w:bottom w:val="single" w:sz="4" w:space="0" w:color="auto"/>
              <w:right w:val="single" w:sz="4" w:space="0" w:color="auto"/>
            </w:tcBorders>
          </w:tcPr>
          <w:p w:rsidR="007C0F5C" w:rsidRPr="00FE3307" w:rsidRDefault="007C0F5C" w:rsidP="007C0F5C">
            <w:pPr>
              <w:widowControl w:val="0"/>
              <w:jc w:val="right"/>
              <w:rPr>
                <w:color w:val="000000"/>
                <w:sz w:val="20"/>
                <w:szCs w:val="20"/>
              </w:rPr>
            </w:pPr>
            <w:r>
              <w:rPr>
                <w:color w:val="000000"/>
                <w:sz w:val="20"/>
                <w:szCs w:val="20"/>
              </w:rPr>
              <w:t>0,0</w:t>
            </w:r>
          </w:p>
        </w:tc>
        <w:tc>
          <w:tcPr>
            <w:tcW w:w="672" w:type="pct"/>
            <w:tcBorders>
              <w:top w:val="single" w:sz="4" w:space="0" w:color="auto"/>
              <w:left w:val="single" w:sz="4" w:space="0" w:color="auto"/>
              <w:bottom w:val="single" w:sz="4" w:space="0" w:color="auto"/>
              <w:right w:val="single" w:sz="4" w:space="0" w:color="auto"/>
            </w:tcBorders>
            <w:noWrap/>
          </w:tcPr>
          <w:p w:rsidR="007C0F5C" w:rsidRPr="00A132A5" w:rsidRDefault="007C0F5C" w:rsidP="007C0F5C">
            <w:pPr>
              <w:jc w:val="right"/>
              <w:rPr>
                <w:rFonts w:eastAsiaTheme="minorHAnsi"/>
                <w:color w:val="000000"/>
                <w:sz w:val="20"/>
                <w:szCs w:val="20"/>
                <w:highlight w:val="cyan"/>
              </w:rPr>
            </w:pPr>
            <w:r>
              <w:rPr>
                <w:color w:val="000000"/>
                <w:sz w:val="20"/>
                <w:szCs w:val="20"/>
              </w:rPr>
              <w:t>1,0</w:t>
            </w:r>
          </w:p>
        </w:tc>
      </w:tr>
      <w:tr w:rsidR="007C0F5C" w:rsidRPr="00FE3307" w:rsidTr="007C0F5C">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7C0F5C" w:rsidRPr="00FE3307" w:rsidRDefault="007C0F5C" w:rsidP="007C0F5C">
            <w:pPr>
              <w:widowControl w:val="0"/>
              <w:jc w:val="left"/>
              <w:rPr>
                <w:color w:val="000000"/>
                <w:sz w:val="20"/>
                <w:szCs w:val="20"/>
              </w:rPr>
            </w:pPr>
            <w:r>
              <w:rPr>
                <w:color w:val="000000"/>
                <w:sz w:val="20"/>
                <w:szCs w:val="20"/>
              </w:rPr>
              <w:t>HCFC-141b</w:t>
            </w:r>
          </w:p>
        </w:tc>
        <w:tc>
          <w:tcPr>
            <w:tcW w:w="529" w:type="pct"/>
            <w:tcBorders>
              <w:top w:val="single" w:sz="4" w:space="0" w:color="auto"/>
              <w:bottom w:val="single" w:sz="4" w:space="0" w:color="auto"/>
              <w:right w:val="single" w:sz="4" w:space="0" w:color="auto"/>
            </w:tcBorders>
            <w:noWrap/>
            <w:vAlign w:val="center"/>
          </w:tcPr>
          <w:p w:rsidR="007C0F5C" w:rsidRPr="00A132A5" w:rsidRDefault="007C0F5C" w:rsidP="007C0F5C">
            <w:pPr>
              <w:jc w:val="right"/>
              <w:rPr>
                <w:color w:val="000000"/>
                <w:sz w:val="20"/>
                <w:szCs w:val="20"/>
              </w:rPr>
            </w:pPr>
            <w:r>
              <w:rPr>
                <w:color w:val="000000"/>
                <w:sz w:val="20"/>
                <w:szCs w:val="20"/>
              </w:rPr>
              <w:t>104,69</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7C0F5C" w:rsidRPr="00A132A5" w:rsidRDefault="007C0F5C" w:rsidP="007C0F5C">
            <w:pPr>
              <w:keepNext/>
              <w:jc w:val="right"/>
              <w:rPr>
                <w:color w:val="000000"/>
                <w:sz w:val="20"/>
                <w:szCs w:val="20"/>
              </w:rPr>
            </w:pPr>
            <w:r>
              <w:rPr>
                <w:color w:val="000000"/>
                <w:sz w:val="20"/>
                <w:szCs w:val="20"/>
              </w:rPr>
              <w:t>107,66</w:t>
            </w:r>
          </w:p>
        </w:tc>
        <w:tc>
          <w:tcPr>
            <w:tcW w:w="529" w:type="pct"/>
            <w:tcBorders>
              <w:top w:val="single" w:sz="4" w:space="0" w:color="auto"/>
              <w:left w:val="single" w:sz="4" w:space="0" w:color="auto"/>
              <w:bottom w:val="single" w:sz="4" w:space="0" w:color="auto"/>
              <w:right w:val="single" w:sz="4" w:space="0" w:color="auto"/>
            </w:tcBorders>
            <w:noWrap/>
            <w:vAlign w:val="center"/>
          </w:tcPr>
          <w:p w:rsidR="007C0F5C" w:rsidRPr="006224E3" w:rsidRDefault="007C0F5C" w:rsidP="007C0F5C">
            <w:pPr>
              <w:keepNext/>
              <w:jc w:val="right"/>
              <w:rPr>
                <w:color w:val="000000"/>
                <w:sz w:val="20"/>
                <w:szCs w:val="20"/>
              </w:rPr>
            </w:pPr>
            <w:r>
              <w:rPr>
                <w:color w:val="000000"/>
                <w:sz w:val="20"/>
                <w:szCs w:val="20"/>
              </w:rPr>
              <w:t>91,25</w:t>
            </w:r>
          </w:p>
        </w:tc>
        <w:tc>
          <w:tcPr>
            <w:tcW w:w="529" w:type="pct"/>
            <w:tcBorders>
              <w:top w:val="single" w:sz="4" w:space="0" w:color="auto"/>
              <w:left w:val="single" w:sz="4" w:space="0" w:color="auto"/>
              <w:bottom w:val="single" w:sz="4" w:space="0" w:color="auto"/>
              <w:right w:val="single" w:sz="4" w:space="0" w:color="auto"/>
            </w:tcBorders>
          </w:tcPr>
          <w:p w:rsidR="007C0F5C" w:rsidRPr="00FE3307" w:rsidRDefault="007C0F5C" w:rsidP="007C0F5C">
            <w:pPr>
              <w:widowControl w:val="0"/>
              <w:jc w:val="right"/>
              <w:rPr>
                <w:color w:val="000000"/>
                <w:sz w:val="20"/>
                <w:szCs w:val="20"/>
              </w:rPr>
            </w:pPr>
            <w:r>
              <w:rPr>
                <w:color w:val="000000"/>
                <w:sz w:val="20"/>
                <w:szCs w:val="20"/>
              </w:rPr>
              <w:t>105,41</w:t>
            </w:r>
          </w:p>
        </w:tc>
        <w:tc>
          <w:tcPr>
            <w:tcW w:w="530" w:type="pct"/>
            <w:tcBorders>
              <w:top w:val="single" w:sz="4" w:space="0" w:color="auto"/>
              <w:left w:val="single" w:sz="4" w:space="0" w:color="auto"/>
              <w:bottom w:val="single" w:sz="4" w:space="0" w:color="auto"/>
              <w:right w:val="single" w:sz="4" w:space="0" w:color="auto"/>
            </w:tcBorders>
          </w:tcPr>
          <w:p w:rsidR="007C0F5C" w:rsidRPr="00FE3307" w:rsidRDefault="007C0F5C" w:rsidP="007C0F5C">
            <w:pPr>
              <w:widowControl w:val="0"/>
              <w:jc w:val="right"/>
              <w:rPr>
                <w:color w:val="000000"/>
                <w:sz w:val="20"/>
                <w:szCs w:val="20"/>
              </w:rPr>
            </w:pPr>
            <w:r>
              <w:rPr>
                <w:color w:val="000000"/>
                <w:sz w:val="20"/>
                <w:szCs w:val="20"/>
              </w:rPr>
              <w:t>84,29</w:t>
            </w:r>
          </w:p>
        </w:tc>
        <w:tc>
          <w:tcPr>
            <w:tcW w:w="672" w:type="pct"/>
            <w:tcBorders>
              <w:top w:val="single" w:sz="4" w:space="0" w:color="auto"/>
              <w:left w:val="single" w:sz="4" w:space="0" w:color="auto"/>
              <w:bottom w:val="single" w:sz="4" w:space="0" w:color="auto"/>
              <w:right w:val="single" w:sz="4" w:space="0" w:color="auto"/>
            </w:tcBorders>
            <w:noWrap/>
          </w:tcPr>
          <w:p w:rsidR="007C0F5C" w:rsidRPr="00A132A5" w:rsidRDefault="007C0F5C" w:rsidP="007C0F5C">
            <w:pPr>
              <w:jc w:val="right"/>
              <w:rPr>
                <w:rFonts w:eastAsiaTheme="minorHAnsi"/>
                <w:color w:val="000000"/>
                <w:sz w:val="20"/>
                <w:szCs w:val="20"/>
              </w:rPr>
            </w:pPr>
            <w:r>
              <w:rPr>
                <w:color w:val="000000"/>
                <w:sz w:val="20"/>
                <w:szCs w:val="20"/>
              </w:rPr>
              <w:t>113,4</w:t>
            </w:r>
          </w:p>
        </w:tc>
      </w:tr>
      <w:tr w:rsidR="007C0F5C" w:rsidRPr="00FE3307" w:rsidTr="007C0F5C">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7C0F5C" w:rsidRPr="00FE3307" w:rsidRDefault="007C0F5C" w:rsidP="007C0F5C">
            <w:pPr>
              <w:widowControl w:val="0"/>
              <w:jc w:val="left"/>
              <w:rPr>
                <w:color w:val="000000"/>
                <w:sz w:val="20"/>
                <w:szCs w:val="20"/>
              </w:rPr>
            </w:pPr>
            <w:r>
              <w:rPr>
                <w:color w:val="000000"/>
                <w:sz w:val="20"/>
                <w:szCs w:val="20"/>
              </w:rPr>
              <w:t>HCFC-142b</w:t>
            </w:r>
          </w:p>
        </w:tc>
        <w:tc>
          <w:tcPr>
            <w:tcW w:w="529" w:type="pct"/>
            <w:tcBorders>
              <w:top w:val="single" w:sz="4" w:space="0" w:color="auto"/>
              <w:bottom w:val="single" w:sz="4" w:space="0" w:color="auto"/>
              <w:right w:val="single" w:sz="4" w:space="0" w:color="auto"/>
            </w:tcBorders>
            <w:noWrap/>
            <w:vAlign w:val="center"/>
          </w:tcPr>
          <w:p w:rsidR="007C0F5C" w:rsidRPr="00A132A5" w:rsidRDefault="007C0F5C" w:rsidP="007C0F5C">
            <w:pPr>
              <w:jc w:val="right"/>
              <w:rPr>
                <w:color w:val="000000"/>
                <w:sz w:val="20"/>
                <w:szCs w:val="20"/>
              </w:rPr>
            </w:pPr>
            <w:r>
              <w:rPr>
                <w:color w:val="000000"/>
                <w:sz w:val="20"/>
                <w:szCs w:val="20"/>
              </w:rPr>
              <w:t>9,48</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7C0F5C" w:rsidRPr="00A132A5" w:rsidRDefault="007C0F5C" w:rsidP="007C0F5C">
            <w:pPr>
              <w:keepNext/>
              <w:jc w:val="right"/>
              <w:rPr>
                <w:color w:val="000000"/>
                <w:sz w:val="20"/>
                <w:szCs w:val="20"/>
              </w:rPr>
            </w:pPr>
            <w:r>
              <w:rPr>
                <w:color w:val="000000"/>
                <w:sz w:val="20"/>
                <w:szCs w:val="20"/>
              </w:rPr>
              <w:t>17,31</w:t>
            </w:r>
          </w:p>
        </w:tc>
        <w:tc>
          <w:tcPr>
            <w:tcW w:w="529" w:type="pct"/>
            <w:tcBorders>
              <w:top w:val="single" w:sz="4" w:space="0" w:color="auto"/>
              <w:left w:val="single" w:sz="4" w:space="0" w:color="auto"/>
              <w:bottom w:val="single" w:sz="4" w:space="0" w:color="auto"/>
              <w:right w:val="single" w:sz="4" w:space="0" w:color="auto"/>
            </w:tcBorders>
            <w:noWrap/>
            <w:vAlign w:val="center"/>
          </w:tcPr>
          <w:p w:rsidR="007C0F5C" w:rsidRPr="006224E3" w:rsidRDefault="007C0F5C" w:rsidP="007C0F5C">
            <w:pPr>
              <w:keepNext/>
              <w:jc w:val="right"/>
              <w:rPr>
                <w:color w:val="000000"/>
                <w:sz w:val="20"/>
                <w:szCs w:val="20"/>
              </w:rPr>
            </w:pPr>
            <w:r>
              <w:rPr>
                <w:color w:val="000000"/>
                <w:sz w:val="20"/>
                <w:szCs w:val="20"/>
              </w:rPr>
              <w:t>7,23</w:t>
            </w:r>
          </w:p>
        </w:tc>
        <w:tc>
          <w:tcPr>
            <w:tcW w:w="529" w:type="pct"/>
            <w:tcBorders>
              <w:top w:val="single" w:sz="4" w:space="0" w:color="auto"/>
              <w:left w:val="single" w:sz="4" w:space="0" w:color="auto"/>
              <w:bottom w:val="single" w:sz="4" w:space="0" w:color="auto"/>
              <w:right w:val="single" w:sz="4" w:space="0" w:color="auto"/>
            </w:tcBorders>
          </w:tcPr>
          <w:p w:rsidR="007C0F5C" w:rsidRPr="00FE3307" w:rsidRDefault="007C0F5C" w:rsidP="007C0F5C">
            <w:pPr>
              <w:widowControl w:val="0"/>
              <w:jc w:val="right"/>
              <w:rPr>
                <w:color w:val="000000"/>
                <w:sz w:val="20"/>
                <w:szCs w:val="20"/>
              </w:rPr>
            </w:pPr>
            <w:r>
              <w:rPr>
                <w:color w:val="000000"/>
                <w:sz w:val="20"/>
                <w:szCs w:val="20"/>
              </w:rPr>
              <w:t>3,94</w:t>
            </w:r>
          </w:p>
        </w:tc>
        <w:tc>
          <w:tcPr>
            <w:tcW w:w="530" w:type="pct"/>
            <w:tcBorders>
              <w:top w:val="single" w:sz="4" w:space="0" w:color="auto"/>
              <w:left w:val="single" w:sz="4" w:space="0" w:color="auto"/>
              <w:bottom w:val="single" w:sz="4" w:space="0" w:color="auto"/>
              <w:right w:val="single" w:sz="4" w:space="0" w:color="auto"/>
            </w:tcBorders>
          </w:tcPr>
          <w:p w:rsidR="007C0F5C" w:rsidRPr="00FE3307" w:rsidRDefault="007C0F5C" w:rsidP="007C0F5C">
            <w:pPr>
              <w:widowControl w:val="0"/>
              <w:jc w:val="right"/>
              <w:rPr>
                <w:color w:val="000000"/>
                <w:sz w:val="20"/>
                <w:szCs w:val="20"/>
              </w:rPr>
            </w:pPr>
            <w:r>
              <w:rPr>
                <w:color w:val="000000"/>
                <w:sz w:val="20"/>
                <w:szCs w:val="20"/>
              </w:rPr>
              <w:t>2,61</w:t>
            </w:r>
          </w:p>
        </w:tc>
        <w:tc>
          <w:tcPr>
            <w:tcW w:w="672" w:type="pct"/>
            <w:tcBorders>
              <w:top w:val="single" w:sz="4" w:space="0" w:color="auto"/>
              <w:left w:val="single" w:sz="4" w:space="0" w:color="auto"/>
              <w:bottom w:val="single" w:sz="4" w:space="0" w:color="auto"/>
              <w:right w:val="single" w:sz="4" w:space="0" w:color="auto"/>
            </w:tcBorders>
            <w:noWrap/>
          </w:tcPr>
          <w:p w:rsidR="007C0F5C" w:rsidRPr="00A132A5" w:rsidRDefault="007C0F5C" w:rsidP="007C0F5C">
            <w:pPr>
              <w:jc w:val="right"/>
              <w:rPr>
                <w:rFonts w:eastAsiaTheme="minorHAnsi"/>
                <w:color w:val="000000"/>
                <w:sz w:val="20"/>
                <w:szCs w:val="20"/>
              </w:rPr>
            </w:pPr>
            <w:r>
              <w:rPr>
                <w:color w:val="000000"/>
                <w:sz w:val="20"/>
                <w:szCs w:val="20"/>
              </w:rPr>
              <w:t>17,5</w:t>
            </w:r>
          </w:p>
        </w:tc>
      </w:tr>
      <w:tr w:rsidR="007C0F5C" w:rsidRPr="00FE3307" w:rsidTr="007C0F5C">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rsidR="007C0F5C" w:rsidRPr="00FE3307" w:rsidRDefault="007C0F5C" w:rsidP="007C0F5C">
            <w:pPr>
              <w:jc w:val="left"/>
              <w:rPr>
                <w:rFonts w:eastAsiaTheme="minorHAnsi"/>
                <w:b/>
                <w:sz w:val="20"/>
                <w:szCs w:val="20"/>
              </w:rPr>
            </w:pPr>
            <w:r>
              <w:rPr>
                <w:b/>
                <w:sz w:val="20"/>
                <w:szCs w:val="20"/>
              </w:rPr>
              <w:t>Total (toneladas PAO)</w:t>
            </w:r>
          </w:p>
        </w:tc>
        <w:tc>
          <w:tcPr>
            <w:tcW w:w="529" w:type="pct"/>
            <w:tcBorders>
              <w:top w:val="single" w:sz="4" w:space="0" w:color="auto"/>
              <w:bottom w:val="single" w:sz="4" w:space="0" w:color="auto"/>
              <w:right w:val="single" w:sz="4" w:space="0" w:color="auto"/>
            </w:tcBorders>
            <w:noWrap/>
          </w:tcPr>
          <w:p w:rsidR="007C0F5C" w:rsidRPr="00A132A5" w:rsidRDefault="007C0F5C" w:rsidP="007C0F5C">
            <w:pPr>
              <w:jc w:val="right"/>
              <w:rPr>
                <w:rFonts w:eastAsiaTheme="minorHAnsi"/>
                <w:b/>
                <w:color w:val="000000"/>
                <w:sz w:val="20"/>
                <w:szCs w:val="20"/>
                <w:highlight w:val="cyan"/>
              </w:rPr>
            </w:pPr>
            <w:r>
              <w:rPr>
                <w:b/>
                <w:color w:val="000000"/>
                <w:sz w:val="20"/>
                <w:szCs w:val="20"/>
              </w:rPr>
              <w:t>276,09</w:t>
            </w:r>
          </w:p>
        </w:tc>
        <w:tc>
          <w:tcPr>
            <w:tcW w:w="529" w:type="pct"/>
            <w:tcBorders>
              <w:top w:val="single" w:sz="4" w:space="0" w:color="auto"/>
              <w:left w:val="single" w:sz="4" w:space="0" w:color="auto"/>
              <w:bottom w:val="single" w:sz="4" w:space="0" w:color="auto"/>
              <w:right w:val="single" w:sz="4" w:space="0" w:color="auto"/>
            </w:tcBorders>
            <w:noWrap/>
          </w:tcPr>
          <w:p w:rsidR="007C0F5C" w:rsidRPr="00A132A5" w:rsidRDefault="007C0F5C" w:rsidP="007C0F5C">
            <w:pPr>
              <w:jc w:val="right"/>
              <w:rPr>
                <w:b/>
                <w:color w:val="000000"/>
                <w:sz w:val="20"/>
                <w:szCs w:val="20"/>
              </w:rPr>
            </w:pPr>
            <w:r>
              <w:rPr>
                <w:b/>
                <w:color w:val="000000"/>
                <w:sz w:val="20"/>
                <w:szCs w:val="20"/>
              </w:rPr>
              <w:t>295,42</w:t>
            </w:r>
          </w:p>
        </w:tc>
        <w:tc>
          <w:tcPr>
            <w:tcW w:w="529" w:type="pct"/>
            <w:tcBorders>
              <w:top w:val="single" w:sz="4" w:space="0" w:color="auto"/>
              <w:left w:val="single" w:sz="4" w:space="0" w:color="auto"/>
              <w:bottom w:val="single" w:sz="4" w:space="0" w:color="auto"/>
              <w:right w:val="single" w:sz="4" w:space="0" w:color="auto"/>
            </w:tcBorders>
            <w:noWrap/>
          </w:tcPr>
          <w:p w:rsidR="007C0F5C" w:rsidRPr="006224E3" w:rsidRDefault="007C0F5C" w:rsidP="007C0F5C">
            <w:pPr>
              <w:jc w:val="right"/>
              <w:rPr>
                <w:rFonts w:eastAsiaTheme="minorHAnsi"/>
                <w:b/>
                <w:color w:val="000000"/>
                <w:sz w:val="20"/>
                <w:szCs w:val="20"/>
              </w:rPr>
            </w:pPr>
            <w:r>
              <w:rPr>
                <w:b/>
                <w:color w:val="000000"/>
                <w:sz w:val="20"/>
                <w:szCs w:val="20"/>
              </w:rPr>
              <w:t>228,99</w:t>
            </w:r>
          </w:p>
        </w:tc>
        <w:tc>
          <w:tcPr>
            <w:tcW w:w="529" w:type="pct"/>
            <w:tcBorders>
              <w:top w:val="single" w:sz="4" w:space="0" w:color="auto"/>
              <w:left w:val="single" w:sz="4" w:space="0" w:color="auto"/>
              <w:bottom w:val="single" w:sz="4" w:space="0" w:color="auto"/>
              <w:right w:val="single" w:sz="4" w:space="0" w:color="auto"/>
            </w:tcBorders>
          </w:tcPr>
          <w:p w:rsidR="007C0F5C" w:rsidRPr="00FE3307" w:rsidRDefault="007C0F5C" w:rsidP="007C0F5C">
            <w:pPr>
              <w:jc w:val="right"/>
              <w:rPr>
                <w:b/>
                <w:color w:val="000000"/>
                <w:sz w:val="20"/>
                <w:szCs w:val="20"/>
              </w:rPr>
            </w:pPr>
            <w:r>
              <w:rPr>
                <w:b/>
                <w:color w:val="000000"/>
                <w:sz w:val="20"/>
                <w:szCs w:val="20"/>
              </w:rPr>
              <w:t>248,29</w:t>
            </w:r>
          </w:p>
        </w:tc>
        <w:tc>
          <w:tcPr>
            <w:tcW w:w="530" w:type="pct"/>
            <w:tcBorders>
              <w:top w:val="single" w:sz="4" w:space="0" w:color="auto"/>
              <w:left w:val="single" w:sz="4" w:space="0" w:color="auto"/>
              <w:bottom w:val="single" w:sz="4" w:space="0" w:color="auto"/>
              <w:right w:val="single" w:sz="4" w:space="0" w:color="auto"/>
            </w:tcBorders>
          </w:tcPr>
          <w:p w:rsidR="007C0F5C" w:rsidRPr="00FE3307" w:rsidRDefault="007C0F5C" w:rsidP="007C0F5C">
            <w:pPr>
              <w:jc w:val="right"/>
              <w:rPr>
                <w:b/>
                <w:color w:val="000000"/>
                <w:sz w:val="20"/>
                <w:szCs w:val="20"/>
              </w:rPr>
            </w:pPr>
            <w:r>
              <w:rPr>
                <w:b/>
                <w:color w:val="000000"/>
                <w:sz w:val="20"/>
                <w:szCs w:val="20"/>
              </w:rPr>
              <w:t>187,79</w:t>
            </w:r>
          </w:p>
        </w:tc>
        <w:tc>
          <w:tcPr>
            <w:tcW w:w="672" w:type="pct"/>
            <w:tcBorders>
              <w:top w:val="single" w:sz="4" w:space="0" w:color="auto"/>
              <w:left w:val="single" w:sz="4" w:space="0" w:color="auto"/>
              <w:bottom w:val="single" w:sz="4" w:space="0" w:color="auto"/>
              <w:right w:val="single" w:sz="4" w:space="0" w:color="auto"/>
            </w:tcBorders>
            <w:shd w:val="clear" w:color="auto" w:fill="auto"/>
            <w:noWrap/>
          </w:tcPr>
          <w:p w:rsidR="007C0F5C" w:rsidRPr="00FE3307" w:rsidRDefault="007C0F5C" w:rsidP="007C0F5C">
            <w:pPr>
              <w:jc w:val="right"/>
              <w:rPr>
                <w:rFonts w:eastAsiaTheme="minorHAnsi"/>
                <w:b/>
                <w:color w:val="000000"/>
                <w:sz w:val="20"/>
                <w:szCs w:val="20"/>
              </w:rPr>
            </w:pPr>
            <w:r>
              <w:rPr>
                <w:b/>
                <w:color w:val="000000"/>
                <w:sz w:val="20"/>
                <w:szCs w:val="20"/>
              </w:rPr>
              <w:t>400,7</w:t>
            </w:r>
          </w:p>
        </w:tc>
      </w:tr>
    </w:tbl>
    <w:p w:rsidR="007C0F5C" w:rsidRPr="009947FC" w:rsidRDefault="007C0F5C" w:rsidP="007C0F5C">
      <w:pPr>
        <w:rPr>
          <w:lang w:val="en-CA"/>
        </w:rPr>
      </w:pPr>
    </w:p>
    <w:p w:rsidR="007C0F5C" w:rsidRPr="00C10676" w:rsidRDefault="007C0F5C" w:rsidP="007C0F5C">
      <w:pPr>
        <w:pStyle w:val="Heading1"/>
        <w:rPr>
          <w:lang w:val="es-419"/>
        </w:rPr>
      </w:pPr>
      <w:r w:rsidRPr="00C10676">
        <w:rPr>
          <w:lang w:val="es-419"/>
        </w:rPr>
        <w:t>La reducción del consumo de HCFC en los últimos años se debe principalmente a la ejecución exitosa de las actividades comprendidas en la etapa I y la etapa II del PGEH, tales como la terminación de las conversiones de fabricación de equipos de aire acondicionado (A/A) en la etapa I y el programa de capacitación de técnicos en refrigeración. La desaceleración económica que enfrenta el país también ha contribuido al bajo nivel de consumo notificado en 2018.</w:t>
      </w:r>
    </w:p>
    <w:p w:rsidR="007C0F5C" w:rsidRPr="00C10676" w:rsidRDefault="007C0F5C" w:rsidP="007C0F5C">
      <w:pPr>
        <w:rPr>
          <w:i/>
          <w:lang w:val="es-419"/>
        </w:rPr>
      </w:pPr>
      <w:r w:rsidRPr="00C10676">
        <w:rPr>
          <w:i/>
          <w:lang w:val="es-419"/>
        </w:rPr>
        <w:t>Informe de ejecución del programa de país</w:t>
      </w:r>
    </w:p>
    <w:p w:rsidR="007C0F5C" w:rsidRPr="00C10676" w:rsidRDefault="007C0F5C" w:rsidP="007C0F5C">
      <w:pPr>
        <w:rPr>
          <w:lang w:val="es-419"/>
        </w:rPr>
      </w:pPr>
    </w:p>
    <w:p w:rsidR="007C0F5C" w:rsidRPr="00C10676" w:rsidRDefault="007C0F5C" w:rsidP="007C0F5C">
      <w:pPr>
        <w:pStyle w:val="Heading1"/>
        <w:rPr>
          <w:lang w:val="es-419"/>
        </w:rPr>
      </w:pPr>
      <w:r w:rsidRPr="00C10676">
        <w:rPr>
          <w:lang w:val="es-419"/>
        </w:rPr>
        <w:t>El Gobierno de la Argentina notificó datos de consumo para el sector de HCFC de 198,42 toneladas PAO en el informe de ejecución del programa de país (PP) de 2018. La diferencia en el consumo calculado con arreglo al artículo 7 y las cantidades reales utilizadas según los datos del PP se atribuye al uso de existencias.</w:t>
      </w:r>
    </w:p>
    <w:p w:rsidR="007C0F5C" w:rsidRDefault="007C0F5C" w:rsidP="007C0F5C">
      <w:pPr>
        <w:widowControl w:val="0"/>
        <w:rPr>
          <w:i/>
        </w:rPr>
      </w:pPr>
      <w:r>
        <w:rPr>
          <w:i/>
        </w:rPr>
        <w:t xml:space="preserve">Informe de verificación </w:t>
      </w:r>
    </w:p>
    <w:p w:rsidR="007C0F5C" w:rsidRPr="00756B89" w:rsidRDefault="007C0F5C" w:rsidP="007C0F5C">
      <w:pPr>
        <w:widowControl w:val="0"/>
        <w:rPr>
          <w:lang w:val="en-CA"/>
        </w:rPr>
      </w:pPr>
    </w:p>
    <w:p w:rsidR="007C0F5C" w:rsidRPr="00C10676" w:rsidRDefault="007C0F5C" w:rsidP="007C0F5C">
      <w:pPr>
        <w:pStyle w:val="Heading1"/>
        <w:widowControl w:val="0"/>
        <w:rPr>
          <w:u w:val="single"/>
          <w:lang w:val="es-419"/>
        </w:rPr>
      </w:pPr>
      <w:r w:rsidRPr="00C10676">
        <w:rPr>
          <w:lang w:val="es-419"/>
        </w:rPr>
        <w:t xml:space="preserve">El informe de verificación confirmó que el Gobierno está aplicando un sistema de concesión de licencias y cupos eficaz para la importación y exportación de HCFC y que el consumo total de HCFC para 2017 y 2018 fue de 248,3 y 187,8 toneladas PAO, respectivamente, muy por debajo del nivel </w:t>
      </w:r>
      <w:r w:rsidRPr="00C10676">
        <w:rPr>
          <w:lang w:val="es-419"/>
        </w:rPr>
        <w:lastRenderedPageBreak/>
        <w:t xml:space="preserve">máximo permitido con arreglo al Protocolo de Montreal y el Acuerdo entre el Gobierno y el Comité Ejecutivo. </w:t>
      </w:r>
    </w:p>
    <w:p w:rsidR="007C0F5C" w:rsidRPr="00C10676" w:rsidRDefault="007C0F5C" w:rsidP="007C0F5C">
      <w:pPr>
        <w:pStyle w:val="Heading1"/>
        <w:keepNext/>
        <w:keepLines/>
        <w:numPr>
          <w:ilvl w:val="0"/>
          <w:numId w:val="0"/>
        </w:numPr>
        <w:rPr>
          <w:u w:val="single"/>
          <w:lang w:val="es-419"/>
        </w:rPr>
      </w:pPr>
      <w:r w:rsidRPr="00C10676">
        <w:rPr>
          <w:u w:val="single"/>
          <w:lang w:val="es-419"/>
        </w:rPr>
        <w:t>Informe sobre los progresos logrados en la ejecución del primer tramo del plan de gestión de eliminación de HCFC</w:t>
      </w:r>
    </w:p>
    <w:p w:rsidR="007C0F5C" w:rsidRPr="00FE3307" w:rsidRDefault="007C0F5C" w:rsidP="007C0F5C">
      <w:pPr>
        <w:keepNext/>
        <w:keepLines/>
        <w:rPr>
          <w:i/>
        </w:rPr>
      </w:pPr>
      <w:r>
        <w:rPr>
          <w:i/>
        </w:rPr>
        <w:t>Marco jurídico</w:t>
      </w:r>
    </w:p>
    <w:p w:rsidR="007C0F5C" w:rsidRPr="00FE3307" w:rsidRDefault="007C0F5C" w:rsidP="007C0F5C">
      <w:pPr>
        <w:rPr>
          <w:lang w:val="en-CA"/>
        </w:rPr>
      </w:pPr>
    </w:p>
    <w:p w:rsidR="007C0F5C" w:rsidRPr="00C10676" w:rsidRDefault="007C0F5C" w:rsidP="007C0F5C">
      <w:pPr>
        <w:pStyle w:val="Heading1"/>
        <w:rPr>
          <w:rFonts w:eastAsia="SimSun"/>
          <w:lang w:val="es-419"/>
        </w:rPr>
      </w:pPr>
      <w:r w:rsidRPr="00C10676">
        <w:rPr>
          <w:lang w:val="es-419"/>
        </w:rPr>
        <w:t>La Argentina cuenta con un sólido sistema basado en la Web para controlar las importaciones y exportaciones de SAO, ya sea puras y contenidas en mezclas. En el sistema de concesión de licencias para las SAO también se incluye información sobre la importación de unidades de A/A. El Gobierno está creando códigos aduaneros armonizados para las sustancias controladas en virtud de la Enmienda de Kigali (HFC y mezclas a base de HFC), así como otras sustancias utilizadas como refrigerantes (p. ej., R</w:t>
      </w:r>
      <w:r w:rsidRPr="00C10676">
        <w:rPr>
          <w:lang w:val="es-419"/>
        </w:rPr>
        <w:noBreakHyphen/>
        <w:t>290 and R</w:t>
      </w:r>
      <w:r w:rsidRPr="00C10676">
        <w:rPr>
          <w:lang w:val="es-419"/>
        </w:rPr>
        <w:noBreakHyphen/>
        <w:t>600a) y está actualizando el sistema de concesión de licencias para considerar otras sustancias. El marco jurídico existente para el uso de refrigerantes inflamables se está sometiendo a revisión como parte de las actividades de apoyo para la reducción de los HFC.</w:t>
      </w:r>
    </w:p>
    <w:p w:rsidR="007C0F5C" w:rsidRPr="00FE3307" w:rsidRDefault="007C0F5C" w:rsidP="007C0F5C">
      <w:pPr>
        <w:rPr>
          <w:i/>
        </w:rPr>
      </w:pPr>
      <w:r>
        <w:rPr>
          <w:i/>
        </w:rPr>
        <w:t>Sector de fabricación</w:t>
      </w:r>
    </w:p>
    <w:p w:rsidR="007C0F5C" w:rsidRPr="00FE3307" w:rsidRDefault="007C0F5C" w:rsidP="007C0F5C">
      <w:pPr>
        <w:rPr>
          <w:lang w:val="en-CA"/>
        </w:rPr>
      </w:pPr>
    </w:p>
    <w:p w:rsidR="007C0F5C" w:rsidRPr="00C10676" w:rsidRDefault="007C0F5C" w:rsidP="007C0F5C">
      <w:pPr>
        <w:pStyle w:val="Heading1"/>
        <w:rPr>
          <w:lang w:val="es-419"/>
        </w:rPr>
      </w:pPr>
      <w:r w:rsidRPr="00C10676">
        <w:rPr>
          <w:lang w:val="es-419"/>
        </w:rPr>
        <w:t>En el Cuadro 2 se presenta un resumen de la situación de la conversión en los proyectos para los sectores de espumas de poliuretano (PU) y poliestireno extruido (XPS).</w:t>
      </w:r>
    </w:p>
    <w:p w:rsidR="007C0F5C" w:rsidRPr="00C10676" w:rsidRDefault="007C0F5C" w:rsidP="007C0F5C">
      <w:pPr>
        <w:keepNext/>
        <w:keepLines/>
        <w:rPr>
          <w:b/>
          <w:lang w:val="es-419"/>
        </w:rPr>
      </w:pPr>
      <w:r w:rsidRPr="00C10676">
        <w:rPr>
          <w:b/>
          <w:lang w:val="es-419"/>
        </w:rPr>
        <w:t>Cuadro 2. Situación de progresos en los proyectos de conversión para espumas de PU y XPS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08"/>
        <w:gridCol w:w="871"/>
        <w:gridCol w:w="1017"/>
        <w:gridCol w:w="1140"/>
        <w:gridCol w:w="3940"/>
      </w:tblGrid>
      <w:tr w:rsidR="007C0F5C" w:rsidRPr="00BC7B56" w:rsidTr="00D17D05">
        <w:trPr>
          <w:trHeight w:val="252"/>
          <w:tblHeader/>
        </w:trPr>
        <w:tc>
          <w:tcPr>
            <w:tcW w:w="1362" w:type="pct"/>
            <w:vMerge w:val="restart"/>
            <w:shd w:val="clear" w:color="auto" w:fill="auto"/>
            <w:noWrap/>
            <w:vAlign w:val="center"/>
            <w:hideMark/>
          </w:tcPr>
          <w:p w:rsidR="007C0F5C" w:rsidRPr="00BC7B56" w:rsidRDefault="009E75AA" w:rsidP="007C0F5C">
            <w:pPr>
              <w:keepNext/>
              <w:keepLines/>
              <w:jc w:val="center"/>
              <w:rPr>
                <w:b/>
                <w:bCs/>
                <w:color w:val="000000"/>
                <w:sz w:val="18"/>
                <w:szCs w:val="18"/>
              </w:rPr>
            </w:pPr>
            <w:r>
              <w:rPr>
                <w:b/>
                <w:bCs/>
                <w:color w:val="000000"/>
                <w:sz w:val="18"/>
                <w:szCs w:val="18"/>
              </w:rPr>
              <w:t>Empresas del proyecto</w:t>
            </w:r>
          </w:p>
        </w:tc>
        <w:tc>
          <w:tcPr>
            <w:tcW w:w="986" w:type="pct"/>
            <w:gridSpan w:val="2"/>
            <w:shd w:val="clear" w:color="auto" w:fill="auto"/>
            <w:noWrap/>
            <w:vAlign w:val="center"/>
            <w:hideMark/>
          </w:tcPr>
          <w:p w:rsidR="007C0F5C" w:rsidRPr="00BC7B56" w:rsidRDefault="007C0F5C" w:rsidP="007C0F5C">
            <w:pPr>
              <w:keepNext/>
              <w:keepLines/>
              <w:jc w:val="center"/>
              <w:rPr>
                <w:b/>
                <w:bCs/>
                <w:color w:val="000000"/>
                <w:sz w:val="18"/>
                <w:szCs w:val="18"/>
              </w:rPr>
            </w:pPr>
            <w:r>
              <w:rPr>
                <w:b/>
                <w:bCs/>
                <w:color w:val="000000"/>
                <w:sz w:val="18"/>
                <w:szCs w:val="18"/>
              </w:rPr>
              <w:t>Consumo de HCFC</w:t>
            </w:r>
          </w:p>
        </w:tc>
        <w:tc>
          <w:tcPr>
            <w:tcW w:w="595" w:type="pct"/>
            <w:vMerge w:val="restart"/>
            <w:shd w:val="clear" w:color="auto" w:fill="auto"/>
            <w:vAlign w:val="center"/>
            <w:hideMark/>
          </w:tcPr>
          <w:p w:rsidR="007C0F5C" w:rsidRPr="00BC7B56" w:rsidRDefault="007C0F5C" w:rsidP="007C0F5C">
            <w:pPr>
              <w:keepNext/>
              <w:keepLines/>
              <w:jc w:val="center"/>
              <w:rPr>
                <w:b/>
                <w:bCs/>
                <w:color w:val="000000"/>
                <w:sz w:val="18"/>
                <w:szCs w:val="18"/>
              </w:rPr>
            </w:pPr>
            <w:r>
              <w:rPr>
                <w:b/>
                <w:bCs/>
                <w:color w:val="000000"/>
                <w:sz w:val="18"/>
                <w:szCs w:val="18"/>
              </w:rPr>
              <w:t>Fondos aprobados ($EUA)</w:t>
            </w:r>
          </w:p>
        </w:tc>
        <w:tc>
          <w:tcPr>
            <w:tcW w:w="2057" w:type="pct"/>
            <w:vMerge w:val="restart"/>
            <w:shd w:val="clear" w:color="auto" w:fill="auto"/>
            <w:vAlign w:val="center"/>
            <w:hideMark/>
          </w:tcPr>
          <w:p w:rsidR="007C0F5C" w:rsidRPr="0015763C" w:rsidRDefault="007C0F5C" w:rsidP="007C0F5C">
            <w:pPr>
              <w:keepNext/>
              <w:keepLines/>
              <w:ind w:left="-63" w:firstLine="63"/>
              <w:jc w:val="center"/>
              <w:rPr>
                <w:b/>
                <w:bCs/>
                <w:color w:val="000000"/>
                <w:sz w:val="18"/>
                <w:szCs w:val="18"/>
              </w:rPr>
            </w:pPr>
            <w:r>
              <w:rPr>
                <w:b/>
                <w:bCs/>
                <w:color w:val="000000"/>
                <w:sz w:val="18"/>
                <w:szCs w:val="18"/>
              </w:rPr>
              <w:t>Situación</w:t>
            </w:r>
          </w:p>
        </w:tc>
      </w:tr>
      <w:tr w:rsidR="007C0F5C" w:rsidRPr="00BC7B56" w:rsidTr="00D17D05">
        <w:trPr>
          <w:trHeight w:val="252"/>
          <w:tblHeader/>
        </w:trPr>
        <w:tc>
          <w:tcPr>
            <w:tcW w:w="1362" w:type="pct"/>
            <w:vMerge/>
            <w:vAlign w:val="center"/>
            <w:hideMark/>
          </w:tcPr>
          <w:p w:rsidR="007C0F5C" w:rsidRPr="00BC7B56" w:rsidRDefault="007C0F5C" w:rsidP="007C0F5C">
            <w:pPr>
              <w:keepNext/>
              <w:jc w:val="left"/>
              <w:rPr>
                <w:b/>
                <w:bCs/>
                <w:color w:val="000000"/>
                <w:sz w:val="18"/>
                <w:szCs w:val="18"/>
                <w:lang w:val="en-US"/>
              </w:rPr>
            </w:pPr>
          </w:p>
        </w:tc>
        <w:tc>
          <w:tcPr>
            <w:tcW w:w="455" w:type="pct"/>
            <w:shd w:val="clear" w:color="auto" w:fill="auto"/>
            <w:noWrap/>
            <w:vAlign w:val="center"/>
            <w:hideMark/>
          </w:tcPr>
          <w:p w:rsidR="007C0F5C" w:rsidRPr="00BC7B56" w:rsidRDefault="007C0F5C" w:rsidP="007C0F5C">
            <w:pPr>
              <w:keepNext/>
              <w:jc w:val="center"/>
              <w:rPr>
                <w:b/>
                <w:bCs/>
                <w:color w:val="000000"/>
                <w:sz w:val="18"/>
                <w:szCs w:val="18"/>
              </w:rPr>
            </w:pPr>
            <w:r>
              <w:rPr>
                <w:b/>
                <w:bCs/>
                <w:color w:val="000000"/>
                <w:sz w:val="18"/>
                <w:szCs w:val="18"/>
              </w:rPr>
              <w:t>tm</w:t>
            </w:r>
          </w:p>
        </w:tc>
        <w:tc>
          <w:tcPr>
            <w:tcW w:w="531" w:type="pct"/>
            <w:shd w:val="clear" w:color="auto" w:fill="auto"/>
            <w:noWrap/>
            <w:hideMark/>
          </w:tcPr>
          <w:p w:rsidR="007C0F5C" w:rsidRPr="00BC7B56" w:rsidRDefault="007C0F5C" w:rsidP="007C0F5C">
            <w:pPr>
              <w:keepNext/>
              <w:jc w:val="center"/>
              <w:rPr>
                <w:b/>
                <w:bCs/>
                <w:color w:val="000000"/>
                <w:sz w:val="18"/>
                <w:szCs w:val="18"/>
              </w:rPr>
            </w:pPr>
            <w:r>
              <w:rPr>
                <w:b/>
                <w:bCs/>
                <w:color w:val="000000"/>
                <w:sz w:val="18"/>
                <w:szCs w:val="18"/>
              </w:rPr>
              <w:t>Toneladas PAO</w:t>
            </w:r>
          </w:p>
        </w:tc>
        <w:tc>
          <w:tcPr>
            <w:tcW w:w="595" w:type="pct"/>
            <w:vMerge/>
            <w:vAlign w:val="center"/>
            <w:hideMark/>
          </w:tcPr>
          <w:p w:rsidR="007C0F5C" w:rsidRPr="00BC7B56" w:rsidRDefault="007C0F5C" w:rsidP="007C0F5C">
            <w:pPr>
              <w:keepNext/>
              <w:jc w:val="left"/>
              <w:rPr>
                <w:b/>
                <w:bCs/>
                <w:color w:val="000000"/>
                <w:sz w:val="18"/>
                <w:szCs w:val="18"/>
                <w:lang w:val="en-US"/>
              </w:rPr>
            </w:pPr>
          </w:p>
        </w:tc>
        <w:tc>
          <w:tcPr>
            <w:tcW w:w="2057" w:type="pct"/>
            <w:vMerge/>
            <w:vAlign w:val="center"/>
            <w:hideMark/>
          </w:tcPr>
          <w:p w:rsidR="007C0F5C" w:rsidRPr="0015763C" w:rsidRDefault="007C0F5C" w:rsidP="007C0F5C">
            <w:pPr>
              <w:keepNext/>
              <w:jc w:val="left"/>
              <w:rPr>
                <w:b/>
                <w:bCs/>
                <w:color w:val="000000"/>
                <w:sz w:val="18"/>
                <w:szCs w:val="18"/>
                <w:lang w:val="en-US"/>
              </w:rPr>
            </w:pPr>
          </w:p>
        </w:tc>
      </w:tr>
      <w:tr w:rsidR="007C0F5C" w:rsidRPr="005972E0" w:rsidTr="007C0F5C">
        <w:trPr>
          <w:trHeight w:val="252"/>
          <w:tblHeader/>
        </w:trPr>
        <w:tc>
          <w:tcPr>
            <w:tcW w:w="5000" w:type="pct"/>
            <w:gridSpan w:val="5"/>
            <w:vAlign w:val="center"/>
          </w:tcPr>
          <w:p w:rsidR="007C0F5C" w:rsidRPr="00C10676" w:rsidRDefault="007C0F5C" w:rsidP="007C0F5C">
            <w:pPr>
              <w:keepNext/>
              <w:jc w:val="left"/>
              <w:rPr>
                <w:b/>
                <w:bCs/>
                <w:color w:val="000000"/>
                <w:sz w:val="18"/>
                <w:szCs w:val="18"/>
                <w:lang w:val="es-419"/>
              </w:rPr>
            </w:pPr>
            <w:r w:rsidRPr="00C10676">
              <w:rPr>
                <w:b/>
                <w:sz w:val="18"/>
                <w:szCs w:val="18"/>
                <w:lang w:val="es-419"/>
              </w:rPr>
              <w:t>Proyectos individuales - Espuma de PU</w:t>
            </w:r>
          </w:p>
        </w:tc>
      </w:tr>
      <w:tr w:rsidR="007C0F5C" w:rsidRPr="005972E0" w:rsidTr="00D17D05">
        <w:trPr>
          <w:trHeight w:val="98"/>
        </w:trPr>
        <w:tc>
          <w:tcPr>
            <w:tcW w:w="1362" w:type="pct"/>
            <w:shd w:val="clear" w:color="auto" w:fill="auto"/>
            <w:noWrap/>
            <w:hideMark/>
          </w:tcPr>
          <w:p w:rsidR="007C0F5C" w:rsidRPr="00BC7B56" w:rsidRDefault="007C0F5C" w:rsidP="007C0F5C">
            <w:pPr>
              <w:keepNext/>
              <w:jc w:val="left"/>
              <w:rPr>
                <w:sz w:val="18"/>
                <w:szCs w:val="18"/>
              </w:rPr>
            </w:pPr>
            <w:r>
              <w:rPr>
                <w:sz w:val="18"/>
                <w:szCs w:val="18"/>
              </w:rPr>
              <w:t xml:space="preserve">Friostar </w:t>
            </w:r>
          </w:p>
        </w:tc>
        <w:tc>
          <w:tcPr>
            <w:tcW w:w="455" w:type="pct"/>
            <w:shd w:val="clear" w:color="auto" w:fill="auto"/>
            <w:noWrap/>
            <w:hideMark/>
          </w:tcPr>
          <w:p w:rsidR="007C0F5C" w:rsidRPr="00BC7B56" w:rsidRDefault="007C0F5C" w:rsidP="007C0F5C">
            <w:pPr>
              <w:keepNext/>
              <w:jc w:val="right"/>
              <w:rPr>
                <w:sz w:val="18"/>
                <w:szCs w:val="18"/>
              </w:rPr>
            </w:pPr>
            <w:r>
              <w:rPr>
                <w:sz w:val="18"/>
                <w:szCs w:val="18"/>
              </w:rPr>
              <w:t>38,92</w:t>
            </w:r>
          </w:p>
        </w:tc>
        <w:tc>
          <w:tcPr>
            <w:tcW w:w="531" w:type="pct"/>
            <w:shd w:val="clear" w:color="auto" w:fill="auto"/>
            <w:noWrap/>
            <w:hideMark/>
          </w:tcPr>
          <w:p w:rsidR="007C0F5C" w:rsidRPr="00BC7B56" w:rsidRDefault="007C0F5C" w:rsidP="007C0F5C">
            <w:pPr>
              <w:keepNext/>
              <w:jc w:val="right"/>
              <w:rPr>
                <w:sz w:val="18"/>
                <w:szCs w:val="18"/>
              </w:rPr>
            </w:pPr>
            <w:r>
              <w:rPr>
                <w:sz w:val="18"/>
                <w:szCs w:val="18"/>
              </w:rPr>
              <w:t>4,28</w:t>
            </w:r>
          </w:p>
        </w:tc>
        <w:tc>
          <w:tcPr>
            <w:tcW w:w="595" w:type="pct"/>
            <w:shd w:val="clear" w:color="auto" w:fill="auto"/>
            <w:noWrap/>
            <w:hideMark/>
          </w:tcPr>
          <w:p w:rsidR="007C0F5C" w:rsidRPr="00BC7B56" w:rsidRDefault="007C0F5C" w:rsidP="007C0F5C">
            <w:pPr>
              <w:keepNext/>
              <w:jc w:val="right"/>
              <w:rPr>
                <w:sz w:val="18"/>
                <w:szCs w:val="18"/>
              </w:rPr>
            </w:pPr>
            <w:r>
              <w:rPr>
                <w:sz w:val="18"/>
                <w:szCs w:val="18"/>
              </w:rPr>
              <w:t>336</w:t>
            </w:r>
            <w:r w:rsidR="00D17D05">
              <w:rPr>
                <w:sz w:val="18"/>
                <w:szCs w:val="18"/>
              </w:rPr>
              <w:t> </w:t>
            </w:r>
            <w:r>
              <w:rPr>
                <w:sz w:val="18"/>
                <w:szCs w:val="18"/>
              </w:rPr>
              <w:t>050</w:t>
            </w:r>
          </w:p>
        </w:tc>
        <w:tc>
          <w:tcPr>
            <w:tcW w:w="2057" w:type="pct"/>
            <w:shd w:val="clear" w:color="auto" w:fill="auto"/>
            <w:noWrap/>
          </w:tcPr>
          <w:p w:rsidR="007C0F5C" w:rsidRPr="00C10676" w:rsidRDefault="007C0F5C" w:rsidP="007C0F5C">
            <w:pPr>
              <w:keepNext/>
              <w:ind w:left="-15"/>
              <w:jc w:val="left"/>
              <w:rPr>
                <w:sz w:val="18"/>
                <w:szCs w:val="18"/>
                <w:lang w:val="es-419"/>
              </w:rPr>
            </w:pPr>
            <w:r w:rsidRPr="00C10676">
              <w:rPr>
                <w:sz w:val="18"/>
                <w:szCs w:val="18"/>
                <w:lang w:val="es-419"/>
              </w:rPr>
              <w:t>Se prepararon las condiciones para la adquisición de equipos y el proceso de licitación comenzó en julio de 2019. Se prevé que la ONUDI expedirá el contrato con el proveedor a mediados de noviembre de 2019</w:t>
            </w:r>
          </w:p>
        </w:tc>
      </w:tr>
      <w:tr w:rsidR="007C0F5C" w:rsidRPr="005972E0" w:rsidTr="00D17D05">
        <w:trPr>
          <w:trHeight w:val="71"/>
        </w:trPr>
        <w:tc>
          <w:tcPr>
            <w:tcW w:w="1362" w:type="pct"/>
            <w:shd w:val="clear" w:color="auto" w:fill="auto"/>
            <w:noWrap/>
            <w:hideMark/>
          </w:tcPr>
          <w:p w:rsidR="007C0F5C" w:rsidRPr="00BC7B56" w:rsidRDefault="007C0F5C" w:rsidP="007C0F5C">
            <w:pPr>
              <w:keepNext/>
              <w:jc w:val="left"/>
              <w:rPr>
                <w:sz w:val="18"/>
                <w:szCs w:val="18"/>
              </w:rPr>
            </w:pPr>
            <w:r>
              <w:rPr>
                <w:sz w:val="18"/>
                <w:szCs w:val="18"/>
              </w:rPr>
              <w:t xml:space="preserve">Argenpur </w:t>
            </w:r>
          </w:p>
        </w:tc>
        <w:tc>
          <w:tcPr>
            <w:tcW w:w="455" w:type="pct"/>
            <w:shd w:val="clear" w:color="auto" w:fill="auto"/>
            <w:noWrap/>
            <w:hideMark/>
          </w:tcPr>
          <w:p w:rsidR="007C0F5C" w:rsidRPr="00BC7B56" w:rsidRDefault="007C0F5C" w:rsidP="007C0F5C">
            <w:pPr>
              <w:keepNext/>
              <w:jc w:val="right"/>
              <w:rPr>
                <w:sz w:val="18"/>
                <w:szCs w:val="18"/>
              </w:rPr>
            </w:pPr>
            <w:r>
              <w:rPr>
                <w:sz w:val="18"/>
                <w:szCs w:val="18"/>
              </w:rPr>
              <w:t>21,61</w:t>
            </w:r>
          </w:p>
        </w:tc>
        <w:tc>
          <w:tcPr>
            <w:tcW w:w="531" w:type="pct"/>
            <w:shd w:val="clear" w:color="auto" w:fill="auto"/>
            <w:noWrap/>
            <w:hideMark/>
          </w:tcPr>
          <w:p w:rsidR="007C0F5C" w:rsidRPr="00BC7B56" w:rsidRDefault="007C0F5C" w:rsidP="007C0F5C">
            <w:pPr>
              <w:keepNext/>
              <w:jc w:val="right"/>
              <w:rPr>
                <w:sz w:val="18"/>
                <w:szCs w:val="18"/>
              </w:rPr>
            </w:pPr>
            <w:r>
              <w:rPr>
                <w:sz w:val="18"/>
                <w:szCs w:val="18"/>
              </w:rPr>
              <w:t>2,38</w:t>
            </w:r>
          </w:p>
        </w:tc>
        <w:tc>
          <w:tcPr>
            <w:tcW w:w="595" w:type="pct"/>
            <w:shd w:val="clear" w:color="auto" w:fill="auto"/>
            <w:noWrap/>
            <w:hideMark/>
          </w:tcPr>
          <w:p w:rsidR="007C0F5C" w:rsidRPr="00BC7B56" w:rsidRDefault="007C0F5C" w:rsidP="007C0F5C">
            <w:pPr>
              <w:keepNext/>
              <w:jc w:val="right"/>
              <w:rPr>
                <w:sz w:val="18"/>
                <w:szCs w:val="18"/>
              </w:rPr>
            </w:pPr>
            <w:r>
              <w:rPr>
                <w:sz w:val="18"/>
                <w:szCs w:val="18"/>
              </w:rPr>
              <w:t>211</w:t>
            </w:r>
            <w:r w:rsidR="00D17D05">
              <w:rPr>
                <w:sz w:val="18"/>
                <w:szCs w:val="18"/>
              </w:rPr>
              <w:t> </w:t>
            </w:r>
            <w:r>
              <w:rPr>
                <w:sz w:val="18"/>
                <w:szCs w:val="18"/>
              </w:rPr>
              <w:t>524</w:t>
            </w:r>
          </w:p>
        </w:tc>
        <w:tc>
          <w:tcPr>
            <w:tcW w:w="2057" w:type="pct"/>
            <w:shd w:val="clear" w:color="auto" w:fill="auto"/>
            <w:noWrap/>
          </w:tcPr>
          <w:p w:rsidR="007C0F5C" w:rsidRPr="00C10676" w:rsidRDefault="007C0F5C" w:rsidP="007C0F5C">
            <w:pPr>
              <w:keepNext/>
              <w:jc w:val="left"/>
              <w:rPr>
                <w:sz w:val="18"/>
                <w:szCs w:val="18"/>
                <w:lang w:val="es-419"/>
              </w:rPr>
            </w:pPr>
            <w:r w:rsidRPr="00C10676">
              <w:rPr>
                <w:sz w:val="18"/>
                <w:szCs w:val="18"/>
                <w:lang w:val="es-419"/>
              </w:rPr>
              <w:t>La ONUDI ha visitado la empresa y esta ha solicitado un préstamo en un banco local para cofinanciar la conversión</w:t>
            </w:r>
          </w:p>
        </w:tc>
      </w:tr>
      <w:tr w:rsidR="007C0F5C" w:rsidRPr="00BC7B56" w:rsidTr="00D17D05">
        <w:trPr>
          <w:trHeight w:val="50"/>
        </w:trPr>
        <w:tc>
          <w:tcPr>
            <w:tcW w:w="1362" w:type="pct"/>
            <w:shd w:val="clear" w:color="auto" w:fill="auto"/>
            <w:noWrap/>
            <w:hideMark/>
          </w:tcPr>
          <w:p w:rsidR="007C0F5C" w:rsidRPr="00BC7B56" w:rsidRDefault="007C0F5C" w:rsidP="007C0F5C">
            <w:pPr>
              <w:keepNext/>
              <w:jc w:val="left"/>
              <w:rPr>
                <w:b/>
                <w:bCs/>
                <w:sz w:val="18"/>
                <w:szCs w:val="18"/>
              </w:rPr>
            </w:pPr>
            <w:r>
              <w:rPr>
                <w:b/>
                <w:bCs/>
                <w:sz w:val="18"/>
                <w:szCs w:val="18"/>
              </w:rPr>
              <w:t>Subtotal para proyectos individuales</w:t>
            </w:r>
          </w:p>
        </w:tc>
        <w:tc>
          <w:tcPr>
            <w:tcW w:w="455" w:type="pct"/>
            <w:shd w:val="clear" w:color="auto" w:fill="auto"/>
            <w:noWrap/>
            <w:hideMark/>
          </w:tcPr>
          <w:p w:rsidR="007C0F5C" w:rsidRPr="00BC7B56" w:rsidRDefault="007C0F5C" w:rsidP="007C0F5C">
            <w:pPr>
              <w:keepNext/>
              <w:jc w:val="right"/>
              <w:rPr>
                <w:b/>
                <w:bCs/>
                <w:sz w:val="18"/>
                <w:szCs w:val="18"/>
              </w:rPr>
            </w:pPr>
            <w:r>
              <w:rPr>
                <w:b/>
                <w:bCs/>
                <w:sz w:val="18"/>
                <w:szCs w:val="18"/>
              </w:rPr>
              <w:t>60,53</w:t>
            </w:r>
          </w:p>
        </w:tc>
        <w:tc>
          <w:tcPr>
            <w:tcW w:w="531" w:type="pct"/>
            <w:shd w:val="clear" w:color="auto" w:fill="auto"/>
            <w:noWrap/>
            <w:hideMark/>
          </w:tcPr>
          <w:p w:rsidR="007C0F5C" w:rsidRPr="00BC7B56" w:rsidRDefault="007C0F5C" w:rsidP="007C0F5C">
            <w:pPr>
              <w:keepNext/>
              <w:jc w:val="right"/>
              <w:rPr>
                <w:b/>
                <w:bCs/>
                <w:sz w:val="18"/>
                <w:szCs w:val="18"/>
              </w:rPr>
            </w:pPr>
            <w:r>
              <w:rPr>
                <w:b/>
                <w:bCs/>
                <w:sz w:val="18"/>
                <w:szCs w:val="18"/>
              </w:rPr>
              <w:t>6,66</w:t>
            </w:r>
          </w:p>
        </w:tc>
        <w:tc>
          <w:tcPr>
            <w:tcW w:w="595" w:type="pct"/>
            <w:shd w:val="clear" w:color="auto" w:fill="auto"/>
            <w:noWrap/>
            <w:hideMark/>
          </w:tcPr>
          <w:p w:rsidR="007C0F5C" w:rsidRPr="00BC7B56" w:rsidRDefault="007C0F5C" w:rsidP="007C0F5C">
            <w:pPr>
              <w:keepNext/>
              <w:jc w:val="right"/>
              <w:rPr>
                <w:b/>
                <w:bCs/>
                <w:sz w:val="18"/>
                <w:szCs w:val="18"/>
              </w:rPr>
            </w:pPr>
            <w:r>
              <w:rPr>
                <w:b/>
                <w:bCs/>
                <w:sz w:val="18"/>
                <w:szCs w:val="18"/>
              </w:rPr>
              <w:t>547</w:t>
            </w:r>
            <w:r w:rsidR="00D17D05">
              <w:rPr>
                <w:b/>
                <w:bCs/>
                <w:sz w:val="18"/>
                <w:szCs w:val="18"/>
              </w:rPr>
              <w:t> </w:t>
            </w:r>
            <w:r>
              <w:rPr>
                <w:b/>
                <w:bCs/>
                <w:sz w:val="18"/>
                <w:szCs w:val="18"/>
              </w:rPr>
              <w:t>574</w:t>
            </w:r>
          </w:p>
        </w:tc>
        <w:tc>
          <w:tcPr>
            <w:tcW w:w="2057" w:type="pct"/>
            <w:shd w:val="clear" w:color="auto" w:fill="auto"/>
            <w:noWrap/>
          </w:tcPr>
          <w:p w:rsidR="007C0F5C" w:rsidRPr="008D2A24" w:rsidRDefault="007C0F5C" w:rsidP="007C0F5C">
            <w:pPr>
              <w:keepNext/>
              <w:jc w:val="right"/>
              <w:rPr>
                <w:b/>
                <w:bCs/>
                <w:sz w:val="18"/>
                <w:szCs w:val="18"/>
                <w:lang w:val="en-US"/>
              </w:rPr>
            </w:pPr>
          </w:p>
        </w:tc>
      </w:tr>
      <w:tr w:rsidR="007C0F5C" w:rsidRPr="005972E0" w:rsidTr="007C0F5C">
        <w:trPr>
          <w:trHeight w:val="50"/>
        </w:trPr>
        <w:tc>
          <w:tcPr>
            <w:tcW w:w="5000" w:type="pct"/>
            <w:gridSpan w:val="5"/>
            <w:shd w:val="clear" w:color="auto" w:fill="auto"/>
            <w:noWrap/>
          </w:tcPr>
          <w:p w:rsidR="007C0F5C" w:rsidRPr="00C10676" w:rsidRDefault="007C0F5C" w:rsidP="007C0F5C">
            <w:pPr>
              <w:keepNext/>
              <w:jc w:val="left"/>
              <w:rPr>
                <w:b/>
                <w:bCs/>
                <w:sz w:val="18"/>
                <w:szCs w:val="18"/>
                <w:lang w:val="es-419"/>
              </w:rPr>
            </w:pPr>
            <w:r w:rsidRPr="00C10676">
              <w:rPr>
                <w:b/>
                <w:bCs/>
                <w:sz w:val="18"/>
                <w:szCs w:val="18"/>
                <w:lang w:val="es-419"/>
              </w:rPr>
              <w:t>Proveedores de sistemas y empresas transformadoras</w:t>
            </w:r>
          </w:p>
        </w:tc>
      </w:tr>
      <w:tr w:rsidR="007C0F5C" w:rsidRPr="005972E0" w:rsidTr="00D17D05">
        <w:trPr>
          <w:trHeight w:val="250"/>
        </w:trPr>
        <w:tc>
          <w:tcPr>
            <w:tcW w:w="1362" w:type="pct"/>
            <w:shd w:val="clear" w:color="auto" w:fill="auto"/>
            <w:noWrap/>
            <w:hideMark/>
          </w:tcPr>
          <w:p w:rsidR="007C0F5C" w:rsidRPr="00BC7B56" w:rsidRDefault="007C0F5C" w:rsidP="007C0F5C">
            <w:pPr>
              <w:keepNext/>
              <w:jc w:val="left"/>
              <w:rPr>
                <w:sz w:val="18"/>
                <w:szCs w:val="18"/>
              </w:rPr>
            </w:pPr>
            <w:r>
              <w:rPr>
                <w:sz w:val="18"/>
                <w:szCs w:val="18"/>
              </w:rPr>
              <w:t>Alkanos (16)</w:t>
            </w:r>
          </w:p>
        </w:tc>
        <w:tc>
          <w:tcPr>
            <w:tcW w:w="455" w:type="pct"/>
            <w:tcBorders>
              <w:top w:val="nil"/>
              <w:left w:val="nil"/>
              <w:bottom w:val="single" w:sz="4" w:space="0" w:color="auto"/>
              <w:right w:val="single" w:sz="4" w:space="0" w:color="auto"/>
            </w:tcBorders>
            <w:shd w:val="clear" w:color="auto" w:fill="auto"/>
            <w:noWrap/>
            <w:hideMark/>
          </w:tcPr>
          <w:p w:rsidR="007C0F5C" w:rsidRPr="007F5CA3" w:rsidRDefault="007C0F5C" w:rsidP="007C0F5C">
            <w:pPr>
              <w:keepNext/>
              <w:jc w:val="right"/>
              <w:rPr>
                <w:sz w:val="18"/>
                <w:szCs w:val="18"/>
              </w:rPr>
            </w:pPr>
            <w:r>
              <w:rPr>
                <w:sz w:val="18"/>
                <w:szCs w:val="18"/>
              </w:rPr>
              <w:t>96,02</w:t>
            </w:r>
          </w:p>
        </w:tc>
        <w:tc>
          <w:tcPr>
            <w:tcW w:w="531" w:type="pct"/>
            <w:tcBorders>
              <w:top w:val="nil"/>
              <w:left w:val="nil"/>
              <w:bottom w:val="single" w:sz="4" w:space="0" w:color="auto"/>
              <w:right w:val="single" w:sz="4" w:space="0" w:color="auto"/>
            </w:tcBorders>
            <w:shd w:val="clear" w:color="auto" w:fill="auto"/>
            <w:noWrap/>
            <w:hideMark/>
          </w:tcPr>
          <w:p w:rsidR="007C0F5C" w:rsidRPr="007F5CA3" w:rsidRDefault="007C0F5C" w:rsidP="007C0F5C">
            <w:pPr>
              <w:keepNext/>
              <w:jc w:val="right"/>
              <w:rPr>
                <w:sz w:val="18"/>
                <w:szCs w:val="18"/>
              </w:rPr>
            </w:pPr>
            <w:r>
              <w:rPr>
                <w:sz w:val="18"/>
                <w:szCs w:val="18"/>
              </w:rPr>
              <w:t>10,56</w:t>
            </w:r>
          </w:p>
        </w:tc>
        <w:tc>
          <w:tcPr>
            <w:tcW w:w="595" w:type="pct"/>
            <w:shd w:val="clear" w:color="auto" w:fill="auto"/>
            <w:noWrap/>
            <w:hideMark/>
          </w:tcPr>
          <w:p w:rsidR="007C0F5C" w:rsidRPr="0014283E" w:rsidRDefault="007C0F5C" w:rsidP="007C0F5C">
            <w:pPr>
              <w:keepNext/>
              <w:jc w:val="right"/>
              <w:rPr>
                <w:sz w:val="18"/>
                <w:szCs w:val="18"/>
              </w:rPr>
            </w:pPr>
            <w:r>
              <w:rPr>
                <w:sz w:val="18"/>
                <w:szCs w:val="18"/>
              </w:rPr>
              <w:t>999</w:t>
            </w:r>
            <w:r w:rsidR="00D17D05">
              <w:rPr>
                <w:sz w:val="18"/>
                <w:szCs w:val="18"/>
              </w:rPr>
              <w:t> </w:t>
            </w:r>
            <w:r>
              <w:rPr>
                <w:sz w:val="18"/>
                <w:szCs w:val="18"/>
              </w:rPr>
              <w:t>647</w:t>
            </w:r>
          </w:p>
        </w:tc>
        <w:tc>
          <w:tcPr>
            <w:tcW w:w="2057" w:type="pct"/>
            <w:vMerge w:val="restart"/>
            <w:shd w:val="clear" w:color="auto" w:fill="auto"/>
            <w:noWrap/>
          </w:tcPr>
          <w:p w:rsidR="007C0F5C" w:rsidRPr="00C10676" w:rsidRDefault="007C0F5C" w:rsidP="007C0F5C">
            <w:pPr>
              <w:keepNext/>
              <w:jc w:val="left"/>
              <w:rPr>
                <w:sz w:val="18"/>
                <w:szCs w:val="18"/>
                <w:lang w:val="es-419"/>
              </w:rPr>
            </w:pPr>
            <w:r w:rsidRPr="00C10676">
              <w:rPr>
                <w:sz w:val="18"/>
                <w:szCs w:val="18"/>
                <w:lang w:val="es-419"/>
              </w:rPr>
              <w:t>La ONUDI ha verificado y confirmado la admisibilidad de todos los proveedores de sistemas locales. Se determinaron los procedimientos para la ejecución del proyecto y se solicitó a los usuarios de HCFC-141b que se registraran a fin de realizar la conversión a HFO. Se mantuvieron reuniones con los proveedores de sistemas para determinar las modalidades de asistencia a las empresas transformadoras. Algunos proveedores de sistemas informaron que podían obtener HFO para las pruebas solamente de algunos proveedores y expresaron preocupación respecto a la gran diferencia de precio entre el HCFC-141b y las HFO</w:t>
            </w:r>
            <w:r w:rsidRPr="00C10676">
              <w:rPr>
                <w:lang w:val="es-419"/>
              </w:rPr>
              <w:t xml:space="preserve"> </w:t>
            </w:r>
          </w:p>
        </w:tc>
      </w:tr>
      <w:tr w:rsidR="007C0F5C" w:rsidRPr="00BC7B56" w:rsidTr="00D17D05">
        <w:trPr>
          <w:trHeight w:val="250"/>
        </w:trPr>
        <w:tc>
          <w:tcPr>
            <w:tcW w:w="1362" w:type="pct"/>
            <w:shd w:val="clear" w:color="auto" w:fill="auto"/>
            <w:noWrap/>
            <w:hideMark/>
          </w:tcPr>
          <w:p w:rsidR="007C0F5C" w:rsidRPr="00BC7B56" w:rsidRDefault="007C0F5C" w:rsidP="007C0F5C">
            <w:pPr>
              <w:keepNext/>
              <w:jc w:val="left"/>
              <w:rPr>
                <w:sz w:val="18"/>
                <w:szCs w:val="18"/>
              </w:rPr>
            </w:pPr>
            <w:r>
              <w:rPr>
                <w:sz w:val="18"/>
                <w:szCs w:val="18"/>
              </w:rPr>
              <w:t>BASF (20)*</w:t>
            </w:r>
          </w:p>
        </w:tc>
        <w:tc>
          <w:tcPr>
            <w:tcW w:w="455" w:type="pct"/>
            <w:tcBorders>
              <w:top w:val="nil"/>
              <w:left w:val="nil"/>
              <w:bottom w:val="single" w:sz="4" w:space="0" w:color="auto"/>
              <w:right w:val="single" w:sz="4" w:space="0" w:color="auto"/>
            </w:tcBorders>
            <w:shd w:val="clear" w:color="auto" w:fill="auto"/>
            <w:noWrap/>
            <w:hideMark/>
          </w:tcPr>
          <w:p w:rsidR="007C0F5C" w:rsidRPr="007F5CA3" w:rsidRDefault="007C0F5C" w:rsidP="007C0F5C">
            <w:pPr>
              <w:keepNext/>
              <w:jc w:val="right"/>
              <w:rPr>
                <w:sz w:val="18"/>
                <w:szCs w:val="18"/>
              </w:rPr>
            </w:pPr>
            <w:r>
              <w:rPr>
                <w:sz w:val="18"/>
                <w:szCs w:val="18"/>
              </w:rPr>
              <w:t>107,98</w:t>
            </w:r>
          </w:p>
        </w:tc>
        <w:tc>
          <w:tcPr>
            <w:tcW w:w="531" w:type="pct"/>
            <w:tcBorders>
              <w:top w:val="nil"/>
              <w:left w:val="nil"/>
              <w:bottom w:val="single" w:sz="4" w:space="0" w:color="auto"/>
              <w:right w:val="single" w:sz="4" w:space="0" w:color="auto"/>
            </w:tcBorders>
            <w:shd w:val="clear" w:color="auto" w:fill="auto"/>
            <w:noWrap/>
            <w:hideMark/>
          </w:tcPr>
          <w:p w:rsidR="007C0F5C" w:rsidRPr="007F5CA3" w:rsidRDefault="007C0F5C" w:rsidP="007C0F5C">
            <w:pPr>
              <w:keepNext/>
              <w:jc w:val="right"/>
              <w:rPr>
                <w:sz w:val="18"/>
                <w:szCs w:val="18"/>
              </w:rPr>
            </w:pPr>
            <w:r>
              <w:rPr>
                <w:sz w:val="18"/>
                <w:szCs w:val="18"/>
              </w:rPr>
              <w:t>11,88</w:t>
            </w:r>
          </w:p>
        </w:tc>
        <w:tc>
          <w:tcPr>
            <w:tcW w:w="595" w:type="pct"/>
            <w:shd w:val="clear" w:color="auto" w:fill="auto"/>
            <w:noWrap/>
            <w:hideMark/>
          </w:tcPr>
          <w:p w:rsidR="007C0F5C" w:rsidRPr="0014283E" w:rsidRDefault="007C0F5C" w:rsidP="007C0F5C">
            <w:pPr>
              <w:keepNext/>
              <w:jc w:val="right"/>
              <w:rPr>
                <w:sz w:val="18"/>
                <w:szCs w:val="18"/>
              </w:rPr>
            </w:pPr>
            <w:r>
              <w:rPr>
                <w:sz w:val="18"/>
                <w:szCs w:val="18"/>
              </w:rPr>
              <w:t>914</w:t>
            </w:r>
            <w:r w:rsidR="00D17D05">
              <w:rPr>
                <w:sz w:val="18"/>
                <w:szCs w:val="18"/>
              </w:rPr>
              <w:t> </w:t>
            </w:r>
            <w:r>
              <w:rPr>
                <w:sz w:val="18"/>
                <w:szCs w:val="18"/>
              </w:rPr>
              <w:t>955</w:t>
            </w:r>
          </w:p>
        </w:tc>
        <w:tc>
          <w:tcPr>
            <w:tcW w:w="2057" w:type="pct"/>
            <w:vMerge/>
            <w:shd w:val="clear" w:color="auto" w:fill="auto"/>
            <w:noWrap/>
          </w:tcPr>
          <w:p w:rsidR="007C0F5C" w:rsidRPr="008D2A24" w:rsidRDefault="007C0F5C" w:rsidP="007C0F5C">
            <w:pPr>
              <w:keepNext/>
              <w:jc w:val="left"/>
              <w:rPr>
                <w:sz w:val="18"/>
                <w:szCs w:val="18"/>
                <w:lang w:val="en-US"/>
              </w:rPr>
            </w:pPr>
          </w:p>
        </w:tc>
      </w:tr>
      <w:tr w:rsidR="007C0F5C" w:rsidRPr="00BC7B56" w:rsidTr="00D17D05">
        <w:trPr>
          <w:trHeight w:val="250"/>
        </w:trPr>
        <w:tc>
          <w:tcPr>
            <w:tcW w:w="1362" w:type="pct"/>
            <w:shd w:val="clear" w:color="auto" w:fill="auto"/>
            <w:noWrap/>
            <w:hideMark/>
          </w:tcPr>
          <w:p w:rsidR="007C0F5C" w:rsidRPr="00BC7B56" w:rsidRDefault="007C0F5C" w:rsidP="007C0F5C">
            <w:pPr>
              <w:keepNext/>
              <w:jc w:val="left"/>
              <w:rPr>
                <w:sz w:val="18"/>
                <w:szCs w:val="18"/>
              </w:rPr>
            </w:pPr>
            <w:r>
              <w:rPr>
                <w:sz w:val="18"/>
                <w:szCs w:val="18"/>
              </w:rPr>
              <w:t>Dow (8)*</w:t>
            </w:r>
          </w:p>
        </w:tc>
        <w:tc>
          <w:tcPr>
            <w:tcW w:w="455" w:type="pct"/>
            <w:tcBorders>
              <w:top w:val="nil"/>
              <w:left w:val="nil"/>
              <w:bottom w:val="single" w:sz="4" w:space="0" w:color="auto"/>
              <w:right w:val="single" w:sz="4" w:space="0" w:color="auto"/>
            </w:tcBorders>
            <w:shd w:val="clear" w:color="auto" w:fill="auto"/>
            <w:noWrap/>
            <w:hideMark/>
          </w:tcPr>
          <w:p w:rsidR="007C0F5C" w:rsidRPr="007F5CA3" w:rsidRDefault="007C0F5C" w:rsidP="007C0F5C">
            <w:pPr>
              <w:keepNext/>
              <w:jc w:val="right"/>
              <w:rPr>
                <w:sz w:val="18"/>
                <w:szCs w:val="18"/>
              </w:rPr>
            </w:pPr>
            <w:r>
              <w:rPr>
                <w:sz w:val="18"/>
                <w:szCs w:val="18"/>
              </w:rPr>
              <w:t>45,35</w:t>
            </w:r>
          </w:p>
        </w:tc>
        <w:tc>
          <w:tcPr>
            <w:tcW w:w="531" w:type="pct"/>
            <w:tcBorders>
              <w:top w:val="nil"/>
              <w:left w:val="nil"/>
              <w:bottom w:val="single" w:sz="4" w:space="0" w:color="auto"/>
              <w:right w:val="single" w:sz="4" w:space="0" w:color="auto"/>
            </w:tcBorders>
            <w:shd w:val="clear" w:color="auto" w:fill="auto"/>
            <w:noWrap/>
            <w:hideMark/>
          </w:tcPr>
          <w:p w:rsidR="007C0F5C" w:rsidRPr="007F5CA3" w:rsidRDefault="007C0F5C" w:rsidP="007C0F5C">
            <w:pPr>
              <w:keepNext/>
              <w:jc w:val="right"/>
              <w:rPr>
                <w:sz w:val="18"/>
                <w:szCs w:val="18"/>
              </w:rPr>
            </w:pPr>
            <w:r>
              <w:rPr>
                <w:sz w:val="18"/>
                <w:szCs w:val="18"/>
              </w:rPr>
              <w:t>4,99</w:t>
            </w:r>
          </w:p>
        </w:tc>
        <w:tc>
          <w:tcPr>
            <w:tcW w:w="595" w:type="pct"/>
            <w:shd w:val="clear" w:color="auto" w:fill="auto"/>
            <w:noWrap/>
            <w:hideMark/>
          </w:tcPr>
          <w:p w:rsidR="007C0F5C" w:rsidRPr="0014283E" w:rsidRDefault="007C0F5C" w:rsidP="007C0F5C">
            <w:pPr>
              <w:keepNext/>
              <w:jc w:val="right"/>
              <w:rPr>
                <w:sz w:val="18"/>
                <w:szCs w:val="18"/>
              </w:rPr>
            </w:pPr>
            <w:r>
              <w:rPr>
                <w:sz w:val="18"/>
                <w:szCs w:val="18"/>
              </w:rPr>
              <w:t>446</w:t>
            </w:r>
            <w:r w:rsidR="00D17D05">
              <w:rPr>
                <w:sz w:val="18"/>
                <w:szCs w:val="18"/>
              </w:rPr>
              <w:t> </w:t>
            </w:r>
            <w:r>
              <w:rPr>
                <w:sz w:val="18"/>
                <w:szCs w:val="18"/>
              </w:rPr>
              <w:t>140</w:t>
            </w:r>
          </w:p>
        </w:tc>
        <w:tc>
          <w:tcPr>
            <w:tcW w:w="2057" w:type="pct"/>
            <w:vMerge/>
            <w:shd w:val="clear" w:color="auto" w:fill="auto"/>
            <w:noWrap/>
          </w:tcPr>
          <w:p w:rsidR="007C0F5C" w:rsidRPr="008D2A24" w:rsidRDefault="007C0F5C" w:rsidP="007C0F5C">
            <w:pPr>
              <w:keepNext/>
              <w:jc w:val="left"/>
              <w:rPr>
                <w:sz w:val="18"/>
                <w:szCs w:val="18"/>
                <w:lang w:val="en-US"/>
              </w:rPr>
            </w:pPr>
          </w:p>
        </w:tc>
      </w:tr>
      <w:tr w:rsidR="007C0F5C" w:rsidRPr="00BC7B56" w:rsidTr="00D17D05">
        <w:trPr>
          <w:trHeight w:val="250"/>
        </w:trPr>
        <w:tc>
          <w:tcPr>
            <w:tcW w:w="1362" w:type="pct"/>
            <w:shd w:val="clear" w:color="auto" w:fill="auto"/>
            <w:noWrap/>
            <w:hideMark/>
          </w:tcPr>
          <w:p w:rsidR="007C0F5C" w:rsidRPr="00BC7B56" w:rsidRDefault="007C0F5C" w:rsidP="007C0F5C">
            <w:pPr>
              <w:keepNext/>
              <w:jc w:val="left"/>
              <w:rPr>
                <w:sz w:val="18"/>
                <w:szCs w:val="18"/>
              </w:rPr>
            </w:pPr>
            <w:r>
              <w:rPr>
                <w:sz w:val="18"/>
                <w:szCs w:val="18"/>
              </w:rPr>
              <w:t>Ecopur (38)</w:t>
            </w:r>
          </w:p>
        </w:tc>
        <w:tc>
          <w:tcPr>
            <w:tcW w:w="455" w:type="pct"/>
            <w:tcBorders>
              <w:top w:val="nil"/>
              <w:left w:val="nil"/>
              <w:bottom w:val="single" w:sz="4" w:space="0" w:color="auto"/>
              <w:right w:val="single" w:sz="4" w:space="0" w:color="auto"/>
            </w:tcBorders>
            <w:shd w:val="clear" w:color="auto" w:fill="auto"/>
            <w:noWrap/>
            <w:hideMark/>
          </w:tcPr>
          <w:p w:rsidR="007C0F5C" w:rsidRPr="007F5CA3" w:rsidRDefault="007C0F5C" w:rsidP="007C0F5C">
            <w:pPr>
              <w:keepNext/>
              <w:jc w:val="right"/>
              <w:rPr>
                <w:sz w:val="18"/>
                <w:szCs w:val="18"/>
              </w:rPr>
            </w:pPr>
            <w:r>
              <w:rPr>
                <w:sz w:val="18"/>
                <w:szCs w:val="18"/>
              </w:rPr>
              <w:t>46,59</w:t>
            </w:r>
          </w:p>
        </w:tc>
        <w:tc>
          <w:tcPr>
            <w:tcW w:w="531" w:type="pct"/>
            <w:tcBorders>
              <w:top w:val="nil"/>
              <w:left w:val="nil"/>
              <w:bottom w:val="single" w:sz="4" w:space="0" w:color="auto"/>
              <w:right w:val="single" w:sz="4" w:space="0" w:color="auto"/>
            </w:tcBorders>
            <w:shd w:val="clear" w:color="auto" w:fill="auto"/>
            <w:noWrap/>
            <w:hideMark/>
          </w:tcPr>
          <w:p w:rsidR="007C0F5C" w:rsidRPr="007F5CA3" w:rsidRDefault="007C0F5C" w:rsidP="007C0F5C">
            <w:pPr>
              <w:keepNext/>
              <w:jc w:val="right"/>
              <w:rPr>
                <w:sz w:val="18"/>
                <w:szCs w:val="18"/>
              </w:rPr>
            </w:pPr>
            <w:r>
              <w:rPr>
                <w:sz w:val="18"/>
                <w:szCs w:val="18"/>
              </w:rPr>
              <w:t>5,13</w:t>
            </w:r>
          </w:p>
        </w:tc>
        <w:tc>
          <w:tcPr>
            <w:tcW w:w="595" w:type="pct"/>
            <w:shd w:val="clear" w:color="auto" w:fill="auto"/>
            <w:noWrap/>
            <w:hideMark/>
          </w:tcPr>
          <w:p w:rsidR="007C0F5C" w:rsidRPr="0014283E" w:rsidRDefault="007C0F5C" w:rsidP="007C0F5C">
            <w:pPr>
              <w:keepNext/>
              <w:jc w:val="right"/>
              <w:rPr>
                <w:sz w:val="18"/>
                <w:szCs w:val="18"/>
              </w:rPr>
            </w:pPr>
            <w:r>
              <w:rPr>
                <w:sz w:val="18"/>
                <w:szCs w:val="18"/>
              </w:rPr>
              <w:t>510</w:t>
            </w:r>
            <w:r w:rsidR="00D17D05">
              <w:rPr>
                <w:sz w:val="18"/>
                <w:szCs w:val="18"/>
              </w:rPr>
              <w:t> </w:t>
            </w:r>
            <w:r>
              <w:rPr>
                <w:sz w:val="18"/>
                <w:szCs w:val="18"/>
              </w:rPr>
              <w:t>763</w:t>
            </w:r>
          </w:p>
        </w:tc>
        <w:tc>
          <w:tcPr>
            <w:tcW w:w="2057" w:type="pct"/>
            <w:vMerge/>
            <w:shd w:val="clear" w:color="auto" w:fill="auto"/>
            <w:noWrap/>
          </w:tcPr>
          <w:p w:rsidR="007C0F5C" w:rsidRPr="008D2A24" w:rsidRDefault="007C0F5C" w:rsidP="007C0F5C">
            <w:pPr>
              <w:keepNext/>
              <w:jc w:val="left"/>
              <w:rPr>
                <w:sz w:val="18"/>
                <w:szCs w:val="18"/>
                <w:lang w:val="en-US"/>
              </w:rPr>
            </w:pPr>
          </w:p>
        </w:tc>
      </w:tr>
      <w:tr w:rsidR="007C0F5C" w:rsidRPr="00BC7B56" w:rsidTr="00D17D05">
        <w:trPr>
          <w:trHeight w:val="250"/>
        </w:trPr>
        <w:tc>
          <w:tcPr>
            <w:tcW w:w="1362" w:type="pct"/>
            <w:shd w:val="clear" w:color="auto" w:fill="auto"/>
            <w:noWrap/>
            <w:hideMark/>
          </w:tcPr>
          <w:p w:rsidR="007C0F5C" w:rsidRPr="00BC7B56" w:rsidRDefault="007C0F5C" w:rsidP="007C0F5C">
            <w:pPr>
              <w:jc w:val="left"/>
              <w:rPr>
                <w:sz w:val="18"/>
                <w:szCs w:val="18"/>
              </w:rPr>
            </w:pPr>
            <w:r>
              <w:rPr>
                <w:sz w:val="18"/>
                <w:szCs w:val="18"/>
              </w:rPr>
              <w:t>Huntsman (28)*</w:t>
            </w:r>
          </w:p>
        </w:tc>
        <w:tc>
          <w:tcPr>
            <w:tcW w:w="455" w:type="pct"/>
            <w:tcBorders>
              <w:top w:val="nil"/>
              <w:left w:val="nil"/>
              <w:bottom w:val="single" w:sz="4" w:space="0" w:color="auto"/>
              <w:right w:val="single" w:sz="4" w:space="0" w:color="auto"/>
            </w:tcBorders>
            <w:shd w:val="clear" w:color="auto" w:fill="auto"/>
            <w:noWrap/>
            <w:hideMark/>
          </w:tcPr>
          <w:p w:rsidR="007C0F5C" w:rsidRPr="007F5CA3" w:rsidRDefault="007C0F5C" w:rsidP="007C0F5C">
            <w:pPr>
              <w:jc w:val="right"/>
              <w:rPr>
                <w:sz w:val="18"/>
                <w:szCs w:val="18"/>
              </w:rPr>
            </w:pPr>
            <w:r>
              <w:rPr>
                <w:sz w:val="18"/>
                <w:szCs w:val="18"/>
              </w:rPr>
              <w:t>92,55</w:t>
            </w:r>
          </w:p>
        </w:tc>
        <w:tc>
          <w:tcPr>
            <w:tcW w:w="531" w:type="pct"/>
            <w:tcBorders>
              <w:top w:val="nil"/>
              <w:left w:val="nil"/>
              <w:bottom w:val="single" w:sz="4" w:space="0" w:color="auto"/>
              <w:right w:val="single" w:sz="4" w:space="0" w:color="auto"/>
            </w:tcBorders>
            <w:shd w:val="clear" w:color="auto" w:fill="auto"/>
            <w:noWrap/>
            <w:hideMark/>
          </w:tcPr>
          <w:p w:rsidR="007C0F5C" w:rsidRPr="007F5CA3" w:rsidRDefault="007C0F5C" w:rsidP="007C0F5C">
            <w:pPr>
              <w:jc w:val="right"/>
              <w:rPr>
                <w:sz w:val="18"/>
                <w:szCs w:val="18"/>
              </w:rPr>
            </w:pPr>
            <w:r>
              <w:rPr>
                <w:sz w:val="18"/>
                <w:szCs w:val="18"/>
              </w:rPr>
              <w:t>10,18</w:t>
            </w:r>
          </w:p>
        </w:tc>
        <w:tc>
          <w:tcPr>
            <w:tcW w:w="595" w:type="pct"/>
            <w:shd w:val="clear" w:color="auto" w:fill="auto"/>
            <w:noWrap/>
            <w:hideMark/>
          </w:tcPr>
          <w:p w:rsidR="007C0F5C" w:rsidRPr="0014283E" w:rsidRDefault="007C0F5C" w:rsidP="007C0F5C">
            <w:pPr>
              <w:jc w:val="right"/>
              <w:rPr>
                <w:sz w:val="18"/>
                <w:szCs w:val="18"/>
              </w:rPr>
            </w:pPr>
            <w:r>
              <w:rPr>
                <w:sz w:val="18"/>
                <w:szCs w:val="18"/>
              </w:rPr>
              <w:t>962</w:t>
            </w:r>
            <w:r w:rsidR="00D17D05">
              <w:rPr>
                <w:sz w:val="18"/>
                <w:szCs w:val="18"/>
              </w:rPr>
              <w:t> </w:t>
            </w:r>
            <w:r>
              <w:rPr>
                <w:sz w:val="18"/>
                <w:szCs w:val="18"/>
              </w:rPr>
              <w:t>540</w:t>
            </w:r>
          </w:p>
        </w:tc>
        <w:tc>
          <w:tcPr>
            <w:tcW w:w="2057" w:type="pct"/>
            <w:vMerge/>
            <w:shd w:val="clear" w:color="auto" w:fill="auto"/>
            <w:noWrap/>
          </w:tcPr>
          <w:p w:rsidR="007C0F5C" w:rsidRPr="008D2A24" w:rsidRDefault="007C0F5C" w:rsidP="007C0F5C">
            <w:pPr>
              <w:jc w:val="left"/>
              <w:rPr>
                <w:sz w:val="18"/>
                <w:szCs w:val="18"/>
                <w:lang w:val="en-US"/>
              </w:rPr>
            </w:pPr>
          </w:p>
        </w:tc>
      </w:tr>
      <w:tr w:rsidR="007C0F5C" w:rsidRPr="00BC7B56" w:rsidTr="00D17D05">
        <w:trPr>
          <w:trHeight w:val="250"/>
        </w:trPr>
        <w:tc>
          <w:tcPr>
            <w:tcW w:w="1362" w:type="pct"/>
            <w:shd w:val="clear" w:color="auto" w:fill="auto"/>
            <w:noWrap/>
            <w:hideMark/>
          </w:tcPr>
          <w:p w:rsidR="007C0F5C" w:rsidRPr="00BC7B56" w:rsidRDefault="007C0F5C" w:rsidP="007C0F5C">
            <w:pPr>
              <w:jc w:val="left"/>
              <w:rPr>
                <w:sz w:val="18"/>
                <w:szCs w:val="18"/>
              </w:rPr>
            </w:pPr>
            <w:r>
              <w:rPr>
                <w:sz w:val="18"/>
                <w:szCs w:val="18"/>
              </w:rPr>
              <w:t>Poliresinas San Luis (12)</w:t>
            </w:r>
          </w:p>
        </w:tc>
        <w:tc>
          <w:tcPr>
            <w:tcW w:w="455" w:type="pct"/>
            <w:tcBorders>
              <w:top w:val="nil"/>
              <w:left w:val="nil"/>
              <w:bottom w:val="single" w:sz="4" w:space="0" w:color="auto"/>
              <w:right w:val="single" w:sz="4" w:space="0" w:color="auto"/>
            </w:tcBorders>
            <w:shd w:val="clear" w:color="auto" w:fill="auto"/>
            <w:noWrap/>
            <w:hideMark/>
          </w:tcPr>
          <w:p w:rsidR="007C0F5C" w:rsidRPr="007F5CA3" w:rsidRDefault="007C0F5C" w:rsidP="007C0F5C">
            <w:pPr>
              <w:jc w:val="right"/>
              <w:rPr>
                <w:sz w:val="18"/>
                <w:szCs w:val="18"/>
              </w:rPr>
            </w:pPr>
            <w:r>
              <w:rPr>
                <w:sz w:val="18"/>
                <w:szCs w:val="18"/>
              </w:rPr>
              <w:t>22,03</w:t>
            </w:r>
          </w:p>
        </w:tc>
        <w:tc>
          <w:tcPr>
            <w:tcW w:w="531" w:type="pct"/>
            <w:tcBorders>
              <w:top w:val="nil"/>
              <w:left w:val="nil"/>
              <w:bottom w:val="single" w:sz="4" w:space="0" w:color="auto"/>
              <w:right w:val="single" w:sz="4" w:space="0" w:color="auto"/>
            </w:tcBorders>
            <w:shd w:val="clear" w:color="auto" w:fill="auto"/>
            <w:noWrap/>
            <w:hideMark/>
          </w:tcPr>
          <w:p w:rsidR="007C0F5C" w:rsidRPr="007F5CA3" w:rsidRDefault="007C0F5C" w:rsidP="007C0F5C">
            <w:pPr>
              <w:jc w:val="right"/>
              <w:rPr>
                <w:sz w:val="18"/>
                <w:szCs w:val="18"/>
              </w:rPr>
            </w:pPr>
            <w:r>
              <w:rPr>
                <w:sz w:val="18"/>
                <w:szCs w:val="18"/>
              </w:rPr>
              <w:t>2,42</w:t>
            </w:r>
          </w:p>
        </w:tc>
        <w:tc>
          <w:tcPr>
            <w:tcW w:w="595" w:type="pct"/>
            <w:shd w:val="clear" w:color="auto" w:fill="auto"/>
            <w:noWrap/>
            <w:hideMark/>
          </w:tcPr>
          <w:p w:rsidR="007C0F5C" w:rsidRPr="0014283E" w:rsidRDefault="007C0F5C" w:rsidP="007C0F5C">
            <w:pPr>
              <w:jc w:val="right"/>
              <w:rPr>
                <w:sz w:val="18"/>
                <w:szCs w:val="18"/>
              </w:rPr>
            </w:pPr>
            <w:r>
              <w:rPr>
                <w:sz w:val="18"/>
                <w:szCs w:val="18"/>
              </w:rPr>
              <w:t>241</w:t>
            </w:r>
            <w:r w:rsidR="00D17D05">
              <w:rPr>
                <w:sz w:val="18"/>
                <w:szCs w:val="18"/>
              </w:rPr>
              <w:t> </w:t>
            </w:r>
            <w:r>
              <w:rPr>
                <w:sz w:val="18"/>
                <w:szCs w:val="18"/>
              </w:rPr>
              <w:t>438</w:t>
            </w:r>
          </w:p>
        </w:tc>
        <w:tc>
          <w:tcPr>
            <w:tcW w:w="2057" w:type="pct"/>
            <w:vMerge/>
            <w:shd w:val="clear" w:color="auto" w:fill="auto"/>
            <w:noWrap/>
          </w:tcPr>
          <w:p w:rsidR="007C0F5C" w:rsidRPr="008D2A24" w:rsidRDefault="007C0F5C" w:rsidP="007C0F5C">
            <w:pPr>
              <w:jc w:val="left"/>
              <w:rPr>
                <w:sz w:val="18"/>
                <w:szCs w:val="18"/>
                <w:lang w:val="en-US"/>
              </w:rPr>
            </w:pPr>
          </w:p>
        </w:tc>
      </w:tr>
      <w:tr w:rsidR="007C0F5C" w:rsidRPr="00BC7B56" w:rsidTr="00D17D05">
        <w:trPr>
          <w:trHeight w:val="250"/>
        </w:trPr>
        <w:tc>
          <w:tcPr>
            <w:tcW w:w="1362" w:type="pct"/>
            <w:shd w:val="clear" w:color="auto" w:fill="auto"/>
            <w:noWrap/>
            <w:hideMark/>
          </w:tcPr>
          <w:p w:rsidR="007C0F5C" w:rsidRPr="00BC7B56" w:rsidRDefault="007C0F5C" w:rsidP="007C0F5C">
            <w:pPr>
              <w:jc w:val="left"/>
              <w:rPr>
                <w:sz w:val="18"/>
                <w:szCs w:val="18"/>
              </w:rPr>
            </w:pPr>
            <w:r>
              <w:rPr>
                <w:sz w:val="18"/>
                <w:szCs w:val="18"/>
              </w:rPr>
              <w:t>Química del Caucho (17)</w:t>
            </w:r>
          </w:p>
        </w:tc>
        <w:tc>
          <w:tcPr>
            <w:tcW w:w="455" w:type="pct"/>
            <w:tcBorders>
              <w:top w:val="nil"/>
              <w:left w:val="nil"/>
              <w:right w:val="single" w:sz="4" w:space="0" w:color="auto"/>
            </w:tcBorders>
            <w:shd w:val="clear" w:color="auto" w:fill="auto"/>
            <w:noWrap/>
            <w:hideMark/>
          </w:tcPr>
          <w:p w:rsidR="007C0F5C" w:rsidRPr="007F5CA3" w:rsidRDefault="007C0F5C" w:rsidP="007C0F5C">
            <w:pPr>
              <w:jc w:val="right"/>
              <w:rPr>
                <w:sz w:val="18"/>
                <w:szCs w:val="18"/>
              </w:rPr>
            </w:pPr>
            <w:r>
              <w:rPr>
                <w:sz w:val="18"/>
                <w:szCs w:val="18"/>
              </w:rPr>
              <w:t>56,50</w:t>
            </w:r>
          </w:p>
        </w:tc>
        <w:tc>
          <w:tcPr>
            <w:tcW w:w="531" w:type="pct"/>
            <w:tcBorders>
              <w:top w:val="nil"/>
              <w:left w:val="nil"/>
              <w:right w:val="single" w:sz="4" w:space="0" w:color="auto"/>
            </w:tcBorders>
            <w:shd w:val="clear" w:color="auto" w:fill="auto"/>
            <w:noWrap/>
            <w:hideMark/>
          </w:tcPr>
          <w:p w:rsidR="007C0F5C" w:rsidRPr="007F5CA3" w:rsidRDefault="007C0F5C" w:rsidP="007C0F5C">
            <w:pPr>
              <w:jc w:val="right"/>
              <w:rPr>
                <w:sz w:val="18"/>
                <w:szCs w:val="18"/>
              </w:rPr>
            </w:pPr>
            <w:r>
              <w:rPr>
                <w:sz w:val="18"/>
                <w:szCs w:val="18"/>
              </w:rPr>
              <w:t>6,21</w:t>
            </w:r>
          </w:p>
        </w:tc>
        <w:tc>
          <w:tcPr>
            <w:tcW w:w="595" w:type="pct"/>
            <w:shd w:val="clear" w:color="auto" w:fill="auto"/>
            <w:noWrap/>
            <w:hideMark/>
          </w:tcPr>
          <w:p w:rsidR="007C0F5C" w:rsidRPr="0014283E" w:rsidRDefault="007C0F5C" w:rsidP="007C0F5C">
            <w:pPr>
              <w:jc w:val="right"/>
              <w:rPr>
                <w:sz w:val="18"/>
                <w:szCs w:val="18"/>
              </w:rPr>
            </w:pPr>
            <w:r>
              <w:rPr>
                <w:sz w:val="18"/>
                <w:szCs w:val="18"/>
              </w:rPr>
              <w:t>588</w:t>
            </w:r>
            <w:r w:rsidR="00D17D05">
              <w:rPr>
                <w:sz w:val="18"/>
                <w:szCs w:val="18"/>
              </w:rPr>
              <w:t> </w:t>
            </w:r>
            <w:r>
              <w:rPr>
                <w:sz w:val="18"/>
                <w:szCs w:val="18"/>
              </w:rPr>
              <w:t>344</w:t>
            </w:r>
          </w:p>
        </w:tc>
        <w:tc>
          <w:tcPr>
            <w:tcW w:w="2057" w:type="pct"/>
            <w:vMerge/>
            <w:shd w:val="clear" w:color="auto" w:fill="auto"/>
            <w:noWrap/>
          </w:tcPr>
          <w:p w:rsidR="007C0F5C" w:rsidRPr="008D2A24" w:rsidRDefault="007C0F5C" w:rsidP="007C0F5C">
            <w:pPr>
              <w:jc w:val="left"/>
              <w:rPr>
                <w:sz w:val="18"/>
                <w:szCs w:val="18"/>
                <w:lang w:val="es-CO"/>
              </w:rPr>
            </w:pPr>
          </w:p>
        </w:tc>
      </w:tr>
      <w:tr w:rsidR="007C0F5C" w:rsidRPr="00BC7B56" w:rsidTr="00D17D05">
        <w:trPr>
          <w:trHeight w:val="250"/>
        </w:trPr>
        <w:tc>
          <w:tcPr>
            <w:tcW w:w="1362" w:type="pct"/>
            <w:shd w:val="clear" w:color="auto" w:fill="auto"/>
            <w:noWrap/>
          </w:tcPr>
          <w:p w:rsidR="007C0F5C" w:rsidRPr="00C10676" w:rsidRDefault="007C0F5C" w:rsidP="007C0F5C">
            <w:pPr>
              <w:jc w:val="left"/>
              <w:rPr>
                <w:rFonts w:eastAsia="Calibri"/>
                <w:b/>
                <w:bCs/>
                <w:sz w:val="18"/>
                <w:szCs w:val="18"/>
                <w:lang w:val="es-419"/>
              </w:rPr>
            </w:pPr>
            <w:r w:rsidRPr="00C10676">
              <w:rPr>
                <w:b/>
                <w:bCs/>
                <w:sz w:val="18"/>
                <w:szCs w:val="18"/>
                <w:lang w:val="es-419"/>
              </w:rPr>
              <w:t>Subtotal para proveedores de sistemas</w:t>
            </w:r>
          </w:p>
        </w:tc>
        <w:tc>
          <w:tcPr>
            <w:tcW w:w="455" w:type="pct"/>
            <w:tcBorders>
              <w:top w:val="nil"/>
              <w:left w:val="nil"/>
              <w:bottom w:val="single" w:sz="4" w:space="0" w:color="auto"/>
              <w:right w:val="single" w:sz="4" w:space="0" w:color="auto"/>
            </w:tcBorders>
            <w:shd w:val="clear" w:color="auto" w:fill="auto"/>
            <w:noWrap/>
          </w:tcPr>
          <w:p w:rsidR="007C0F5C" w:rsidRPr="007F5CA3" w:rsidRDefault="007C0F5C" w:rsidP="007C0F5C">
            <w:pPr>
              <w:jc w:val="right"/>
              <w:rPr>
                <w:b/>
                <w:bCs/>
                <w:sz w:val="18"/>
                <w:szCs w:val="18"/>
              </w:rPr>
            </w:pPr>
            <w:r>
              <w:rPr>
                <w:b/>
                <w:bCs/>
                <w:color w:val="000000"/>
                <w:sz w:val="18"/>
                <w:szCs w:val="18"/>
              </w:rPr>
              <w:t>467,02</w:t>
            </w:r>
          </w:p>
        </w:tc>
        <w:tc>
          <w:tcPr>
            <w:tcW w:w="531" w:type="pct"/>
            <w:tcBorders>
              <w:top w:val="nil"/>
              <w:left w:val="nil"/>
              <w:bottom w:val="single" w:sz="4" w:space="0" w:color="auto"/>
              <w:right w:val="single" w:sz="4" w:space="0" w:color="auto"/>
            </w:tcBorders>
            <w:shd w:val="clear" w:color="auto" w:fill="auto"/>
            <w:noWrap/>
          </w:tcPr>
          <w:p w:rsidR="007C0F5C" w:rsidRPr="007F5CA3" w:rsidRDefault="007C0F5C" w:rsidP="007C0F5C">
            <w:pPr>
              <w:jc w:val="right"/>
              <w:rPr>
                <w:b/>
                <w:bCs/>
                <w:sz w:val="18"/>
                <w:szCs w:val="18"/>
              </w:rPr>
            </w:pPr>
            <w:r>
              <w:rPr>
                <w:b/>
                <w:bCs/>
                <w:color w:val="000000"/>
                <w:sz w:val="18"/>
                <w:szCs w:val="18"/>
              </w:rPr>
              <w:t>51,37</w:t>
            </w:r>
          </w:p>
        </w:tc>
        <w:tc>
          <w:tcPr>
            <w:tcW w:w="595" w:type="pct"/>
            <w:shd w:val="clear" w:color="auto" w:fill="auto"/>
            <w:noWrap/>
          </w:tcPr>
          <w:p w:rsidR="007C0F5C" w:rsidRPr="0014283E" w:rsidRDefault="007C0F5C" w:rsidP="007C0F5C">
            <w:pPr>
              <w:jc w:val="right"/>
              <w:rPr>
                <w:b/>
                <w:bCs/>
                <w:sz w:val="18"/>
                <w:szCs w:val="18"/>
              </w:rPr>
            </w:pPr>
            <w:r>
              <w:rPr>
                <w:b/>
                <w:bCs/>
                <w:sz w:val="18"/>
                <w:szCs w:val="18"/>
              </w:rPr>
              <w:t>4</w:t>
            </w:r>
            <w:r w:rsidR="00D17D05">
              <w:rPr>
                <w:b/>
                <w:bCs/>
                <w:sz w:val="18"/>
                <w:szCs w:val="18"/>
              </w:rPr>
              <w:t> </w:t>
            </w:r>
            <w:r>
              <w:rPr>
                <w:b/>
                <w:bCs/>
                <w:sz w:val="18"/>
                <w:szCs w:val="18"/>
              </w:rPr>
              <w:t>663</w:t>
            </w:r>
            <w:r w:rsidR="00D17D05">
              <w:rPr>
                <w:b/>
                <w:bCs/>
                <w:sz w:val="18"/>
                <w:szCs w:val="18"/>
              </w:rPr>
              <w:t> </w:t>
            </w:r>
            <w:r>
              <w:rPr>
                <w:b/>
                <w:bCs/>
                <w:sz w:val="18"/>
                <w:szCs w:val="18"/>
              </w:rPr>
              <w:t>827</w:t>
            </w:r>
          </w:p>
        </w:tc>
        <w:tc>
          <w:tcPr>
            <w:tcW w:w="2057" w:type="pct"/>
            <w:vMerge/>
            <w:shd w:val="clear" w:color="auto" w:fill="auto"/>
            <w:noWrap/>
          </w:tcPr>
          <w:p w:rsidR="007C0F5C" w:rsidRPr="008D2A24" w:rsidRDefault="007C0F5C" w:rsidP="007C0F5C">
            <w:pPr>
              <w:jc w:val="left"/>
              <w:rPr>
                <w:b/>
                <w:bCs/>
                <w:sz w:val="18"/>
                <w:szCs w:val="18"/>
                <w:lang w:val="en-US"/>
              </w:rPr>
            </w:pPr>
          </w:p>
        </w:tc>
      </w:tr>
      <w:tr w:rsidR="007C0F5C" w:rsidRPr="00BC7B56" w:rsidTr="00D17D05">
        <w:trPr>
          <w:trHeight w:val="50"/>
        </w:trPr>
        <w:tc>
          <w:tcPr>
            <w:tcW w:w="1362" w:type="pct"/>
            <w:shd w:val="clear" w:color="auto" w:fill="auto"/>
            <w:noWrap/>
          </w:tcPr>
          <w:p w:rsidR="007C0F5C" w:rsidRPr="00C10676" w:rsidRDefault="007C0F5C" w:rsidP="007C0F5C">
            <w:pPr>
              <w:jc w:val="left"/>
              <w:rPr>
                <w:rFonts w:eastAsia="Calibri"/>
                <w:b/>
                <w:bCs/>
                <w:sz w:val="18"/>
                <w:szCs w:val="18"/>
                <w:lang w:val="es-419"/>
              </w:rPr>
            </w:pPr>
            <w:r w:rsidRPr="00C10676">
              <w:rPr>
                <w:b/>
                <w:bCs/>
                <w:sz w:val="18"/>
                <w:szCs w:val="18"/>
                <w:lang w:val="es-419"/>
              </w:rPr>
              <w:t xml:space="preserve">Total para espumas de PU </w:t>
            </w:r>
          </w:p>
        </w:tc>
        <w:tc>
          <w:tcPr>
            <w:tcW w:w="455" w:type="pct"/>
            <w:tcBorders>
              <w:top w:val="nil"/>
              <w:left w:val="nil"/>
              <w:bottom w:val="single" w:sz="4" w:space="0" w:color="auto"/>
              <w:right w:val="single" w:sz="4" w:space="0" w:color="auto"/>
            </w:tcBorders>
            <w:shd w:val="clear" w:color="auto" w:fill="auto"/>
            <w:noWrap/>
          </w:tcPr>
          <w:p w:rsidR="007C0F5C" w:rsidRPr="007F5CA3" w:rsidRDefault="007C0F5C" w:rsidP="007C0F5C">
            <w:pPr>
              <w:jc w:val="right"/>
              <w:rPr>
                <w:b/>
                <w:bCs/>
                <w:sz w:val="18"/>
                <w:szCs w:val="18"/>
              </w:rPr>
            </w:pPr>
            <w:r>
              <w:rPr>
                <w:b/>
                <w:bCs/>
                <w:sz w:val="18"/>
                <w:szCs w:val="18"/>
              </w:rPr>
              <w:t>527,55</w:t>
            </w:r>
          </w:p>
        </w:tc>
        <w:tc>
          <w:tcPr>
            <w:tcW w:w="531" w:type="pct"/>
            <w:tcBorders>
              <w:top w:val="nil"/>
              <w:left w:val="nil"/>
              <w:bottom w:val="single" w:sz="4" w:space="0" w:color="auto"/>
              <w:right w:val="single" w:sz="4" w:space="0" w:color="auto"/>
            </w:tcBorders>
            <w:shd w:val="clear" w:color="auto" w:fill="auto"/>
            <w:noWrap/>
          </w:tcPr>
          <w:p w:rsidR="007C0F5C" w:rsidRPr="007F5CA3" w:rsidRDefault="007C0F5C" w:rsidP="007C0F5C">
            <w:pPr>
              <w:jc w:val="right"/>
              <w:rPr>
                <w:b/>
                <w:bCs/>
                <w:sz w:val="18"/>
                <w:szCs w:val="18"/>
              </w:rPr>
            </w:pPr>
            <w:r>
              <w:rPr>
                <w:b/>
                <w:bCs/>
                <w:sz w:val="18"/>
                <w:szCs w:val="18"/>
              </w:rPr>
              <w:t>58,03</w:t>
            </w:r>
          </w:p>
        </w:tc>
        <w:tc>
          <w:tcPr>
            <w:tcW w:w="595" w:type="pct"/>
            <w:shd w:val="clear" w:color="auto" w:fill="auto"/>
            <w:noWrap/>
          </w:tcPr>
          <w:p w:rsidR="007C0F5C" w:rsidRPr="0014283E" w:rsidRDefault="007C0F5C" w:rsidP="007C0F5C">
            <w:pPr>
              <w:jc w:val="right"/>
              <w:rPr>
                <w:b/>
                <w:bCs/>
                <w:sz w:val="18"/>
                <w:szCs w:val="18"/>
              </w:rPr>
            </w:pPr>
            <w:r>
              <w:rPr>
                <w:b/>
                <w:bCs/>
                <w:sz w:val="18"/>
                <w:szCs w:val="18"/>
              </w:rPr>
              <w:t>5</w:t>
            </w:r>
            <w:r w:rsidR="00D17D05">
              <w:rPr>
                <w:b/>
                <w:bCs/>
                <w:sz w:val="18"/>
                <w:szCs w:val="18"/>
              </w:rPr>
              <w:t> </w:t>
            </w:r>
            <w:r>
              <w:rPr>
                <w:b/>
                <w:bCs/>
                <w:sz w:val="18"/>
                <w:szCs w:val="18"/>
              </w:rPr>
              <w:t>211</w:t>
            </w:r>
            <w:r w:rsidR="00D17D05">
              <w:rPr>
                <w:b/>
                <w:bCs/>
                <w:sz w:val="18"/>
                <w:szCs w:val="18"/>
              </w:rPr>
              <w:t> </w:t>
            </w:r>
            <w:r>
              <w:rPr>
                <w:b/>
                <w:bCs/>
                <w:sz w:val="18"/>
                <w:szCs w:val="18"/>
              </w:rPr>
              <w:t>401</w:t>
            </w:r>
          </w:p>
        </w:tc>
        <w:tc>
          <w:tcPr>
            <w:tcW w:w="2057" w:type="pct"/>
            <w:shd w:val="clear" w:color="auto" w:fill="auto"/>
            <w:noWrap/>
          </w:tcPr>
          <w:p w:rsidR="007C0F5C" w:rsidRPr="008D2A24" w:rsidRDefault="007C0F5C" w:rsidP="007C0F5C">
            <w:pPr>
              <w:jc w:val="left"/>
              <w:rPr>
                <w:b/>
                <w:bCs/>
                <w:sz w:val="18"/>
                <w:szCs w:val="18"/>
                <w:lang w:val="en-US"/>
              </w:rPr>
            </w:pPr>
          </w:p>
        </w:tc>
      </w:tr>
      <w:tr w:rsidR="007C0F5C" w:rsidRPr="00BC7B56" w:rsidTr="007C0F5C">
        <w:trPr>
          <w:trHeight w:val="50"/>
        </w:trPr>
        <w:tc>
          <w:tcPr>
            <w:tcW w:w="5000" w:type="pct"/>
            <w:gridSpan w:val="5"/>
            <w:shd w:val="clear" w:color="auto" w:fill="auto"/>
            <w:noWrap/>
          </w:tcPr>
          <w:p w:rsidR="007C0F5C" w:rsidRPr="008D2A24" w:rsidRDefault="007C0F5C" w:rsidP="009E75AA">
            <w:pPr>
              <w:keepNext/>
              <w:jc w:val="left"/>
              <w:rPr>
                <w:rFonts w:eastAsia="Calibri"/>
                <w:b/>
                <w:bCs/>
                <w:sz w:val="18"/>
                <w:szCs w:val="18"/>
              </w:rPr>
            </w:pPr>
            <w:r>
              <w:rPr>
                <w:b/>
                <w:bCs/>
                <w:sz w:val="18"/>
                <w:szCs w:val="18"/>
              </w:rPr>
              <w:lastRenderedPageBreak/>
              <w:t>Espumas XPS</w:t>
            </w:r>
          </w:p>
        </w:tc>
      </w:tr>
      <w:tr w:rsidR="007C0F5C" w:rsidRPr="005972E0" w:rsidTr="00D17D05">
        <w:trPr>
          <w:trHeight w:val="50"/>
        </w:trPr>
        <w:tc>
          <w:tcPr>
            <w:tcW w:w="1362" w:type="pct"/>
            <w:shd w:val="clear" w:color="auto" w:fill="auto"/>
            <w:noWrap/>
            <w:hideMark/>
          </w:tcPr>
          <w:p w:rsidR="007C0F5C" w:rsidRPr="001D6929" w:rsidRDefault="007C0F5C" w:rsidP="009E75AA">
            <w:pPr>
              <w:keepNext/>
              <w:jc w:val="left"/>
              <w:rPr>
                <w:sz w:val="18"/>
                <w:szCs w:val="18"/>
              </w:rPr>
            </w:pPr>
            <w:r>
              <w:rPr>
                <w:sz w:val="18"/>
                <w:szCs w:val="18"/>
              </w:rPr>
              <w:t xml:space="preserve">Celpack </w:t>
            </w:r>
          </w:p>
        </w:tc>
        <w:tc>
          <w:tcPr>
            <w:tcW w:w="455" w:type="pct"/>
            <w:vMerge w:val="restart"/>
            <w:shd w:val="clear" w:color="auto" w:fill="auto"/>
            <w:noWrap/>
            <w:vAlign w:val="center"/>
            <w:hideMark/>
          </w:tcPr>
          <w:p w:rsidR="007C0F5C" w:rsidRPr="001D6929" w:rsidRDefault="007C0F5C" w:rsidP="009E75AA">
            <w:pPr>
              <w:keepNext/>
              <w:jc w:val="right"/>
              <w:rPr>
                <w:sz w:val="18"/>
                <w:szCs w:val="18"/>
              </w:rPr>
            </w:pPr>
            <w:r>
              <w:rPr>
                <w:sz w:val="18"/>
                <w:szCs w:val="18"/>
              </w:rPr>
              <w:t>57,30</w:t>
            </w:r>
          </w:p>
        </w:tc>
        <w:tc>
          <w:tcPr>
            <w:tcW w:w="531" w:type="pct"/>
            <w:vMerge w:val="restart"/>
            <w:shd w:val="clear" w:color="auto" w:fill="auto"/>
            <w:noWrap/>
            <w:vAlign w:val="center"/>
            <w:hideMark/>
          </w:tcPr>
          <w:p w:rsidR="007C0F5C" w:rsidRPr="001D6929" w:rsidRDefault="007C0F5C" w:rsidP="009E75AA">
            <w:pPr>
              <w:keepNext/>
              <w:jc w:val="right"/>
              <w:rPr>
                <w:sz w:val="18"/>
                <w:szCs w:val="18"/>
              </w:rPr>
            </w:pPr>
            <w:r>
              <w:rPr>
                <w:sz w:val="18"/>
                <w:szCs w:val="18"/>
              </w:rPr>
              <w:t>3,42</w:t>
            </w:r>
          </w:p>
        </w:tc>
        <w:tc>
          <w:tcPr>
            <w:tcW w:w="595" w:type="pct"/>
            <w:vMerge w:val="restart"/>
            <w:shd w:val="clear" w:color="auto" w:fill="auto"/>
            <w:noWrap/>
            <w:vAlign w:val="center"/>
          </w:tcPr>
          <w:p w:rsidR="007C0F5C" w:rsidRPr="00BC7B56" w:rsidRDefault="007C0F5C" w:rsidP="009E75AA">
            <w:pPr>
              <w:keepNext/>
              <w:jc w:val="right"/>
              <w:rPr>
                <w:sz w:val="18"/>
                <w:szCs w:val="18"/>
              </w:rPr>
            </w:pPr>
            <w:r>
              <w:rPr>
                <w:sz w:val="18"/>
                <w:szCs w:val="18"/>
              </w:rPr>
              <w:t>348</w:t>
            </w:r>
            <w:r w:rsidR="00D17D05">
              <w:rPr>
                <w:sz w:val="18"/>
                <w:szCs w:val="18"/>
              </w:rPr>
              <w:t> </w:t>
            </w:r>
            <w:r>
              <w:rPr>
                <w:sz w:val="18"/>
                <w:szCs w:val="18"/>
              </w:rPr>
              <w:t>767</w:t>
            </w:r>
          </w:p>
        </w:tc>
        <w:tc>
          <w:tcPr>
            <w:tcW w:w="2057" w:type="pct"/>
            <w:shd w:val="clear" w:color="auto" w:fill="auto"/>
            <w:noWrap/>
          </w:tcPr>
          <w:p w:rsidR="007C0F5C" w:rsidRPr="00C10676" w:rsidRDefault="007C0F5C" w:rsidP="009E75AA">
            <w:pPr>
              <w:keepNext/>
              <w:jc w:val="left"/>
              <w:rPr>
                <w:sz w:val="18"/>
                <w:szCs w:val="18"/>
                <w:lang w:val="es-419"/>
              </w:rPr>
            </w:pPr>
            <w:r w:rsidRPr="00C10676">
              <w:rPr>
                <w:sz w:val="18"/>
                <w:szCs w:val="18"/>
                <w:lang w:val="es-419"/>
              </w:rPr>
              <w:t>Celpack enfrenta dificultades de económicas que han demorado el proyecto. Ha expresado interés en evaluar el butano en lugar de CO</w:t>
            </w:r>
            <w:r w:rsidRPr="00C10676">
              <w:rPr>
                <w:sz w:val="18"/>
                <w:szCs w:val="18"/>
                <w:vertAlign w:val="subscript"/>
                <w:lang w:val="es-419"/>
              </w:rPr>
              <w:t>2</w:t>
            </w:r>
          </w:p>
        </w:tc>
      </w:tr>
      <w:tr w:rsidR="007C0F5C" w:rsidRPr="005972E0" w:rsidTr="00D17D05">
        <w:trPr>
          <w:trHeight w:val="107"/>
        </w:trPr>
        <w:tc>
          <w:tcPr>
            <w:tcW w:w="1362" w:type="pct"/>
            <w:shd w:val="clear" w:color="auto" w:fill="auto"/>
            <w:noWrap/>
            <w:hideMark/>
          </w:tcPr>
          <w:p w:rsidR="007C0F5C" w:rsidRPr="001D6929" w:rsidRDefault="007C0F5C" w:rsidP="009E75AA">
            <w:pPr>
              <w:keepNext/>
              <w:jc w:val="left"/>
              <w:rPr>
                <w:sz w:val="18"/>
                <w:szCs w:val="18"/>
              </w:rPr>
            </w:pPr>
            <w:r>
              <w:rPr>
                <w:sz w:val="18"/>
                <w:szCs w:val="18"/>
              </w:rPr>
              <w:t>Perfiles Revestidos</w:t>
            </w:r>
          </w:p>
        </w:tc>
        <w:tc>
          <w:tcPr>
            <w:tcW w:w="455" w:type="pct"/>
            <w:vMerge/>
            <w:shd w:val="clear" w:color="auto" w:fill="auto"/>
            <w:noWrap/>
            <w:hideMark/>
          </w:tcPr>
          <w:p w:rsidR="007C0F5C" w:rsidRPr="001D6929" w:rsidRDefault="007C0F5C" w:rsidP="009E75AA">
            <w:pPr>
              <w:keepNext/>
              <w:jc w:val="right"/>
              <w:rPr>
                <w:sz w:val="18"/>
                <w:szCs w:val="18"/>
                <w:lang w:val="en-US"/>
              </w:rPr>
            </w:pPr>
          </w:p>
        </w:tc>
        <w:tc>
          <w:tcPr>
            <w:tcW w:w="531" w:type="pct"/>
            <w:vMerge/>
            <w:shd w:val="clear" w:color="auto" w:fill="auto"/>
            <w:noWrap/>
            <w:hideMark/>
          </w:tcPr>
          <w:p w:rsidR="007C0F5C" w:rsidRPr="001D6929" w:rsidRDefault="007C0F5C" w:rsidP="009E75AA">
            <w:pPr>
              <w:keepNext/>
              <w:jc w:val="right"/>
              <w:rPr>
                <w:sz w:val="18"/>
                <w:szCs w:val="18"/>
                <w:lang w:val="en-US"/>
              </w:rPr>
            </w:pPr>
          </w:p>
        </w:tc>
        <w:tc>
          <w:tcPr>
            <w:tcW w:w="595" w:type="pct"/>
            <w:vMerge/>
            <w:shd w:val="clear" w:color="auto" w:fill="auto"/>
            <w:noWrap/>
          </w:tcPr>
          <w:p w:rsidR="007C0F5C" w:rsidRPr="00BC7B56" w:rsidRDefault="007C0F5C" w:rsidP="009E75AA">
            <w:pPr>
              <w:keepNext/>
              <w:jc w:val="right"/>
              <w:rPr>
                <w:sz w:val="18"/>
                <w:szCs w:val="18"/>
                <w:lang w:val="en-US"/>
              </w:rPr>
            </w:pPr>
          </w:p>
        </w:tc>
        <w:tc>
          <w:tcPr>
            <w:tcW w:w="2057" w:type="pct"/>
            <w:shd w:val="clear" w:color="auto" w:fill="auto"/>
            <w:noWrap/>
          </w:tcPr>
          <w:p w:rsidR="007C0F5C" w:rsidRPr="00C10676" w:rsidRDefault="007C0F5C" w:rsidP="009E75AA">
            <w:pPr>
              <w:keepNext/>
              <w:jc w:val="left"/>
              <w:rPr>
                <w:sz w:val="18"/>
                <w:szCs w:val="18"/>
                <w:lang w:val="es-419"/>
              </w:rPr>
            </w:pPr>
            <w:r w:rsidRPr="00C10676">
              <w:rPr>
                <w:sz w:val="18"/>
                <w:szCs w:val="18"/>
                <w:lang w:val="es-419"/>
              </w:rPr>
              <w:t>El equipo se utilizará con el CO</w:t>
            </w:r>
            <w:r w:rsidRPr="00C10676">
              <w:rPr>
                <w:sz w:val="18"/>
                <w:szCs w:val="18"/>
                <w:vertAlign w:val="subscript"/>
                <w:lang w:val="es-419"/>
              </w:rPr>
              <w:t>2</w:t>
            </w:r>
            <w:r w:rsidRPr="00C10676">
              <w:rPr>
                <w:sz w:val="18"/>
                <w:szCs w:val="18"/>
                <w:lang w:val="es-419"/>
              </w:rPr>
              <w:t xml:space="preserve"> adquirido y se encuentra en proceso de entrega</w:t>
            </w:r>
          </w:p>
        </w:tc>
      </w:tr>
      <w:tr w:rsidR="007C0F5C" w:rsidRPr="00BC7B56" w:rsidTr="00D17D05">
        <w:trPr>
          <w:trHeight w:val="50"/>
        </w:trPr>
        <w:tc>
          <w:tcPr>
            <w:tcW w:w="1362" w:type="pct"/>
            <w:shd w:val="clear" w:color="auto" w:fill="auto"/>
            <w:noWrap/>
            <w:hideMark/>
          </w:tcPr>
          <w:p w:rsidR="007C0F5C" w:rsidRPr="00C10676" w:rsidRDefault="007C0F5C" w:rsidP="007C0F5C">
            <w:pPr>
              <w:jc w:val="left"/>
              <w:rPr>
                <w:b/>
                <w:bCs/>
                <w:sz w:val="18"/>
                <w:szCs w:val="18"/>
                <w:lang w:val="es-419"/>
              </w:rPr>
            </w:pPr>
            <w:r w:rsidRPr="00C10676">
              <w:rPr>
                <w:b/>
                <w:bCs/>
                <w:sz w:val="18"/>
                <w:szCs w:val="18"/>
                <w:lang w:val="es-419"/>
              </w:rPr>
              <w:t xml:space="preserve">Total para espumas de XPS </w:t>
            </w:r>
          </w:p>
        </w:tc>
        <w:tc>
          <w:tcPr>
            <w:tcW w:w="455" w:type="pct"/>
            <w:shd w:val="clear" w:color="auto" w:fill="auto"/>
            <w:noWrap/>
            <w:hideMark/>
          </w:tcPr>
          <w:p w:rsidR="007C0F5C" w:rsidRPr="001D6929" w:rsidRDefault="007C0F5C" w:rsidP="007C0F5C">
            <w:pPr>
              <w:jc w:val="right"/>
              <w:rPr>
                <w:b/>
                <w:bCs/>
                <w:sz w:val="18"/>
                <w:szCs w:val="18"/>
              </w:rPr>
            </w:pPr>
            <w:r>
              <w:rPr>
                <w:b/>
                <w:bCs/>
                <w:sz w:val="18"/>
                <w:szCs w:val="18"/>
              </w:rPr>
              <w:t>57,30</w:t>
            </w:r>
          </w:p>
        </w:tc>
        <w:tc>
          <w:tcPr>
            <w:tcW w:w="531" w:type="pct"/>
            <w:shd w:val="clear" w:color="auto" w:fill="auto"/>
            <w:noWrap/>
            <w:hideMark/>
          </w:tcPr>
          <w:p w:rsidR="007C0F5C" w:rsidRPr="001D6929" w:rsidRDefault="007C0F5C" w:rsidP="007C0F5C">
            <w:pPr>
              <w:jc w:val="right"/>
              <w:rPr>
                <w:b/>
                <w:bCs/>
                <w:sz w:val="18"/>
                <w:szCs w:val="18"/>
              </w:rPr>
            </w:pPr>
            <w:r>
              <w:rPr>
                <w:b/>
                <w:bCs/>
                <w:sz w:val="18"/>
                <w:szCs w:val="18"/>
              </w:rPr>
              <w:t>3,42</w:t>
            </w:r>
          </w:p>
        </w:tc>
        <w:tc>
          <w:tcPr>
            <w:tcW w:w="595" w:type="pct"/>
            <w:shd w:val="clear" w:color="auto" w:fill="auto"/>
            <w:noWrap/>
            <w:hideMark/>
          </w:tcPr>
          <w:p w:rsidR="007C0F5C" w:rsidRPr="00BC7B56" w:rsidRDefault="007C0F5C" w:rsidP="007C0F5C">
            <w:pPr>
              <w:jc w:val="right"/>
              <w:rPr>
                <w:b/>
                <w:bCs/>
                <w:sz w:val="18"/>
                <w:szCs w:val="18"/>
              </w:rPr>
            </w:pPr>
            <w:r>
              <w:rPr>
                <w:b/>
                <w:bCs/>
                <w:sz w:val="18"/>
                <w:szCs w:val="18"/>
              </w:rPr>
              <w:t>348</w:t>
            </w:r>
            <w:r w:rsidR="00D17D05">
              <w:rPr>
                <w:b/>
                <w:bCs/>
                <w:sz w:val="18"/>
                <w:szCs w:val="18"/>
              </w:rPr>
              <w:t> </w:t>
            </w:r>
            <w:r>
              <w:rPr>
                <w:b/>
                <w:bCs/>
                <w:sz w:val="18"/>
                <w:szCs w:val="18"/>
              </w:rPr>
              <w:t>767</w:t>
            </w:r>
          </w:p>
        </w:tc>
        <w:tc>
          <w:tcPr>
            <w:tcW w:w="2057" w:type="pct"/>
            <w:shd w:val="clear" w:color="auto" w:fill="auto"/>
            <w:noWrap/>
          </w:tcPr>
          <w:p w:rsidR="007C0F5C" w:rsidRPr="008D2A24" w:rsidRDefault="007C0F5C" w:rsidP="007C0F5C">
            <w:pPr>
              <w:jc w:val="left"/>
              <w:rPr>
                <w:b/>
                <w:bCs/>
                <w:sz w:val="18"/>
                <w:szCs w:val="18"/>
                <w:lang w:val="en-US"/>
              </w:rPr>
            </w:pPr>
          </w:p>
        </w:tc>
      </w:tr>
    </w:tbl>
    <w:p w:rsidR="007C0F5C" w:rsidRDefault="007C0F5C" w:rsidP="007C0F5C">
      <w:pPr>
        <w:rPr>
          <w:sz w:val="18"/>
          <w:szCs w:val="18"/>
        </w:rPr>
      </w:pPr>
      <w:r w:rsidRPr="00C10676">
        <w:rPr>
          <w:sz w:val="18"/>
          <w:szCs w:val="18"/>
          <w:lang w:val="es-419"/>
        </w:rPr>
        <w:t xml:space="preserve">* Proveedor de sistemas no admisible debido a la propiedad de países que no operan al amparo del artículo 5. </w:t>
      </w:r>
      <w:r>
        <w:rPr>
          <w:sz w:val="18"/>
          <w:szCs w:val="18"/>
        </w:rPr>
        <w:t>Se proporciona financiación únicamente a las empresas transformadoras.</w:t>
      </w:r>
    </w:p>
    <w:p w:rsidR="007C0F5C" w:rsidRPr="00E41D97" w:rsidRDefault="007C0F5C" w:rsidP="007C0F5C">
      <w:pPr>
        <w:rPr>
          <w:sz w:val="18"/>
          <w:szCs w:val="18"/>
          <w:lang w:val="en-CA"/>
        </w:rPr>
      </w:pPr>
    </w:p>
    <w:p w:rsidR="007C0F5C" w:rsidRPr="00C10676" w:rsidRDefault="007C0F5C" w:rsidP="007C0F5C">
      <w:pPr>
        <w:pStyle w:val="Heading1"/>
        <w:rPr>
          <w:lang w:val="es-419"/>
        </w:rPr>
      </w:pPr>
      <w:r w:rsidRPr="00C10676">
        <w:rPr>
          <w:lang w:val="es-419"/>
        </w:rPr>
        <w:t>Después de la aprobación de la etapa II, la empresa Briket (incluida inicialmente en el proyecto grupal para recibir asistencia a través de un proveedor de sistemas) decidió realizar la conversión a ciclopentano en lugar de HFO debido a la falta de disponibilidad y el alto precio de las HFO y completó la conversión de su línea de fabricación de espumas de PU a un costo de 557 000 $EUA antes de que comenzara la ejecución del proyecto grupal. Dado que Briket propuso originalmente la conversión a HFO, con una financiación asignada de 154 493 $EUA, se pagó a la empresa el costo estimado adicional de 402 507 $EUA.</w:t>
      </w:r>
    </w:p>
    <w:p w:rsidR="007C0F5C" w:rsidRPr="00C10676" w:rsidRDefault="007C0F5C" w:rsidP="007C0F5C">
      <w:pPr>
        <w:keepNext/>
        <w:keepLines/>
        <w:rPr>
          <w:i/>
          <w:lang w:val="es-419"/>
        </w:rPr>
      </w:pPr>
      <w:r w:rsidRPr="00C10676">
        <w:rPr>
          <w:i/>
          <w:lang w:val="es-419"/>
        </w:rPr>
        <w:t>Sector de servicio y mantenimiento de refrigeración</w:t>
      </w:r>
    </w:p>
    <w:p w:rsidR="007C0F5C" w:rsidRPr="00C10676" w:rsidRDefault="007C0F5C" w:rsidP="007C0F5C">
      <w:pPr>
        <w:keepNext/>
        <w:keepLines/>
        <w:rPr>
          <w:lang w:val="es-419"/>
        </w:rPr>
      </w:pPr>
    </w:p>
    <w:p w:rsidR="007C0F5C" w:rsidRPr="00C10676" w:rsidRDefault="007C0F5C" w:rsidP="007C0F5C">
      <w:pPr>
        <w:pStyle w:val="Heading1"/>
        <w:rPr>
          <w:lang w:val="es-419"/>
        </w:rPr>
      </w:pPr>
      <w:r w:rsidRPr="00C10676">
        <w:rPr>
          <w:lang w:val="es-419"/>
        </w:rPr>
        <w:t xml:space="preserve">En 2017 y 2018, 704 técnicos de refrigeración en total, de nueve ciudades, recibieron capacitación en buenas prácticas de servicio y mantenimiento de equipos de aire acondicionado a base de refrigerantes de bajo potencial de calentamiento atmosférico (PCA). </w:t>
      </w:r>
    </w:p>
    <w:p w:rsidR="007C0F5C" w:rsidRPr="00C10676" w:rsidRDefault="007C0F5C" w:rsidP="007C0F5C">
      <w:pPr>
        <w:pStyle w:val="Heading1"/>
        <w:rPr>
          <w:u w:val="single"/>
          <w:lang w:val="es-419"/>
        </w:rPr>
      </w:pPr>
      <w:r w:rsidRPr="00C10676">
        <w:rPr>
          <w:lang w:val="es-419"/>
        </w:rPr>
        <w:t>El desarrollo de un nuevo programa de certificación de técnicos ha progresado: se ha seleccionado a la Universidad Tecnológica Nacional (UTN) cómo órgano de certificación; se han adquirido herramientas y equipos para actualizar los centros de capacitación (p. ej., 20 juegos de mini unidades de capacitación en banco, unidades de recuperación, unidades portátiles de carga de hidrocarburos, colectores, equipos de soldadura fuerte y otras herramientas) que se prevé que llegarán a mediados de enero de 2020; y se ha llevado a cabo la contratación y certificación de 18 instructores de diferentes regiones del país. Los instructores recibieron su certificación en Italia por medio del programa de aprendizaje “REAL Alternatives 4 LIFE”</w:t>
      </w:r>
      <w:r w:rsidRPr="001347B2">
        <w:rPr>
          <w:rStyle w:val="FootnoteReference"/>
          <w:lang w:val="en-US" w:eastAsia="zh-CN"/>
        </w:rPr>
        <w:footnoteReference w:id="2"/>
      </w:r>
      <w:r w:rsidRPr="00C10676">
        <w:rPr>
          <w:lang w:val="es-419"/>
        </w:rPr>
        <w:t xml:space="preserve"> para el manejo seguro de refrigerantes inflamables. El sistema nacional de certificación para la gestión segura de sustancias inflamables que administrará la UTN sería el primer sistema oficial de certificación de técnicos de la Argentina.</w:t>
      </w:r>
    </w:p>
    <w:p w:rsidR="007C0F5C" w:rsidRPr="00C10676" w:rsidRDefault="007C0F5C" w:rsidP="007C0F5C">
      <w:pPr>
        <w:pStyle w:val="Heading1"/>
        <w:rPr>
          <w:lang w:val="es-419"/>
        </w:rPr>
      </w:pPr>
      <w:r w:rsidRPr="00C10676">
        <w:rPr>
          <w:lang w:val="es-419"/>
        </w:rPr>
        <w:t>Los instructores repetirán los cursos a nivel nacional y la Oficina Programa Ozono (OPROZ) auditará la calidad de los cursos y subsidiará el 50% del arancel del curso para cada técnico. A fin de promover la certificación, los primeros 1 000 técnicos certificados recibirán un juego de herramientas para trabajar con refrigerantes inflamables cuando completen satisfactoriamente el curso de capacitación y obtengan la certificación. La ONUDI ha preparado la lista de equipos y herramientas que se incluirán en los juegos para la licitación.</w:t>
      </w:r>
    </w:p>
    <w:p w:rsidR="007C0F5C" w:rsidRPr="00C10676" w:rsidRDefault="007C0F5C" w:rsidP="007C0F5C">
      <w:pPr>
        <w:pStyle w:val="Heading1"/>
        <w:rPr>
          <w:i/>
          <w:lang w:val="es-419"/>
        </w:rPr>
      </w:pPr>
      <w:r w:rsidRPr="00C10676">
        <w:rPr>
          <w:lang w:val="es-419"/>
        </w:rPr>
        <w:t xml:space="preserve">El proyecto de asistencia técnica para reducir las fugas de refrigerantes en supermercados se inició con un taller destinado a identificar los posibles participantes. Posteriormente, de las 53 propuestas recibidas, se seleccionaron 29 supermercados con tasas anuales de fuga de más del 30% y diferentes calidades de prácticas de mantenimiento. El proyecto se ha diseñado con tres etapas: Fase I (terminada), incluyó la elaboración de un plan de acción para reducir las pérdidas de refrigerante y disminuir el consumo de energía, sobre la base de un examen del sistema de monitoreo de fugas instalado en cada supermercado durante un período de 12 meses; Fase II (en curso), que comprende visitas de seguimiento </w:t>
      </w:r>
      <w:r w:rsidRPr="00C10676">
        <w:rPr>
          <w:lang w:val="es-419"/>
        </w:rPr>
        <w:lastRenderedPageBreak/>
        <w:t xml:space="preserve">trimestrales a los supermercados (septiembre de 2019, diciembre de 2019 y marzo de 2020); y Fase III (julio de 2020), que incluirá una visita final para verificar el sistema de monitoreo, sus resultados y los informes finales que contienen las lecciones aprendidas; la reducción del uso de refrigerante en comparación con la base de referencia; ahorros de energía en comparación con la base de referencia; ahorros financieros; y beneficios ambientales resultantes. </w:t>
      </w:r>
      <w:r w:rsidRPr="00C10676">
        <w:rPr>
          <w:color w:val="000000"/>
          <w:lang w:val="es-419"/>
        </w:rPr>
        <w:t xml:space="preserve">Los resultados del proyecto se compartirán con otros supermercados, empresas de servicio y mantenimiento de refrigeración comercial y técnicos independientes en un seminario organizado por la OPROZ. </w:t>
      </w:r>
    </w:p>
    <w:p w:rsidR="007C0F5C" w:rsidRPr="00C10676" w:rsidRDefault="007C0F5C" w:rsidP="007C0F5C">
      <w:pPr>
        <w:pStyle w:val="Heading1"/>
        <w:numPr>
          <w:ilvl w:val="0"/>
          <w:numId w:val="0"/>
        </w:numPr>
        <w:rPr>
          <w:i/>
          <w:lang w:val="es-419"/>
        </w:rPr>
      </w:pPr>
      <w:r w:rsidRPr="00C10676">
        <w:rPr>
          <w:i/>
          <w:lang w:val="es-419"/>
        </w:rPr>
        <w:t>Dependencia de ejecución y supervisión del proyecto (DGP)</w:t>
      </w:r>
    </w:p>
    <w:p w:rsidR="007C0F5C" w:rsidRPr="001347B2" w:rsidRDefault="007C0F5C" w:rsidP="007C0F5C">
      <w:pPr>
        <w:pStyle w:val="Heading1"/>
      </w:pPr>
      <w:r w:rsidRPr="00C10676">
        <w:rPr>
          <w:lang w:val="es-419"/>
        </w:rPr>
        <w:t xml:space="preserve">La DGP tiene dos componentes: uno para el sector de servicio y mantenimiento y otro para el sector de espumas. En el componente para el sector de servicio y mantenimiento de los 20 000 $EUA asignados en el primer tramo, se han gastado 12 800 $EUA en consultores nacionales y 4 600 $EUA en viajes locales. En el componente del sector de espumas, de los 66 000 $EUA asignados en el primer tramo, se han gastado 49 000 $EUA en consultores nacionales, 5 800 $EUA en consultores internacionales y 6 400 $EUA en viajes; se realizaron múltiples reuniones con los proveedores de sistemas y visitas a las empresas beneficiarias y se desarrolló el mecanismo para la conversión de los proveedores de sistemas y sus empresas transformadoras. </w:t>
      </w:r>
      <w:r>
        <w:t>Los fondos restantes se desembolsarán en 2020.</w:t>
      </w:r>
    </w:p>
    <w:p w:rsidR="007C0F5C" w:rsidRPr="00C10676" w:rsidRDefault="007C0F5C" w:rsidP="007C0F5C">
      <w:pPr>
        <w:pStyle w:val="Heading1"/>
        <w:rPr>
          <w:lang w:val="es-419"/>
        </w:rPr>
      </w:pPr>
      <w:r w:rsidRPr="00C10676">
        <w:rPr>
          <w:lang w:val="es-419"/>
        </w:rPr>
        <w:t>Además, se completó la supervisión de la producción de HCFC-22 en FIASA para los años 2017 y 2018, para la cual se aprobaron 7 500 $EUA. En total, se han desembolsado 4 494 $EUA, y el saldo restante se desembolsará en 2020.</w:t>
      </w:r>
    </w:p>
    <w:p w:rsidR="007C0F5C" w:rsidRPr="00FE3307" w:rsidRDefault="007C0F5C" w:rsidP="007C0F5C">
      <w:pPr>
        <w:keepNext/>
        <w:keepLines/>
        <w:rPr>
          <w:u w:val="single"/>
        </w:rPr>
      </w:pPr>
      <w:r>
        <w:rPr>
          <w:u w:val="single"/>
        </w:rPr>
        <w:t>Nivel de desembolso de fondos</w:t>
      </w:r>
    </w:p>
    <w:p w:rsidR="007C0F5C" w:rsidRPr="00FE3307" w:rsidRDefault="007C0F5C" w:rsidP="007C0F5C">
      <w:pPr>
        <w:keepNext/>
        <w:keepLines/>
        <w:rPr>
          <w:lang w:val="en-CA"/>
        </w:rPr>
      </w:pPr>
    </w:p>
    <w:p w:rsidR="007C0F5C" w:rsidRPr="00FE3307" w:rsidRDefault="007C0F5C" w:rsidP="007C0F5C">
      <w:pPr>
        <w:pStyle w:val="Heading1"/>
        <w:keepNext/>
        <w:keepLines/>
      </w:pPr>
      <w:r w:rsidRPr="00C10676">
        <w:rPr>
          <w:lang w:val="es-419"/>
        </w:rPr>
        <w:t xml:space="preserve">A octubre de 2019, de la suma de 1 803 271 $EUA aprobados hasta ahora (1 553 271 $EUA para la ONUDI y 250 000 $EUA para el Gobierno de Italia), se habían desembolsado 574 133 $EUA (31,8%) (423 445 $EUA para la ONUDI y 150 688 $EUA para el Gobierno de Italia). </w:t>
      </w:r>
      <w:r>
        <w:t>El saldo de 1 229 780 $EUA se desembolsará en 2020-2022.</w:t>
      </w:r>
    </w:p>
    <w:p w:rsidR="007C0F5C" w:rsidRPr="00C10676" w:rsidRDefault="007C0F5C" w:rsidP="007C0F5C">
      <w:pPr>
        <w:rPr>
          <w:u w:val="single"/>
          <w:lang w:val="es-419"/>
        </w:rPr>
      </w:pPr>
      <w:r w:rsidRPr="00C10676">
        <w:rPr>
          <w:u w:val="single"/>
          <w:lang w:val="es-419"/>
        </w:rPr>
        <w:t>Plan de ejecución para el segundo tramo del PGEH</w:t>
      </w:r>
    </w:p>
    <w:p w:rsidR="007C0F5C" w:rsidRPr="00C10676" w:rsidRDefault="007C0F5C" w:rsidP="007C0F5C">
      <w:pPr>
        <w:rPr>
          <w:lang w:val="es-419"/>
        </w:rPr>
      </w:pPr>
    </w:p>
    <w:p w:rsidR="007C0F5C" w:rsidRPr="00C10676" w:rsidRDefault="007C0F5C" w:rsidP="007C0F5C">
      <w:pPr>
        <w:pStyle w:val="Heading1"/>
        <w:rPr>
          <w:lang w:val="es-419"/>
        </w:rPr>
      </w:pPr>
      <w:r w:rsidRPr="00C10676">
        <w:rPr>
          <w:lang w:val="es-419"/>
        </w:rPr>
        <w:t>Las actividades siguientes se ejecutarán entre enero de 2020 y diciembre de 2022:</w:t>
      </w:r>
    </w:p>
    <w:p w:rsidR="007C0F5C" w:rsidRPr="00C10676" w:rsidRDefault="007C0F5C" w:rsidP="007C0F5C">
      <w:pPr>
        <w:pStyle w:val="Heading2"/>
        <w:rPr>
          <w:lang w:val="es-419"/>
        </w:rPr>
      </w:pPr>
      <w:r w:rsidRPr="00C10676">
        <w:rPr>
          <w:lang w:val="es-419"/>
        </w:rPr>
        <w:t xml:space="preserve">Empresas individuales de espumas de PU y XPS: Terminación de las conversiones de Briket, Friostar y Perfiles Revestidos, y progresos adicionales en la conversión de Argenpur y Celpack (560 291 $EUA); </w:t>
      </w:r>
    </w:p>
    <w:p w:rsidR="007C0F5C" w:rsidRPr="00C10676" w:rsidRDefault="007C0F5C" w:rsidP="007C0F5C">
      <w:pPr>
        <w:pStyle w:val="Heading2"/>
        <w:rPr>
          <w:lang w:val="es-419"/>
        </w:rPr>
      </w:pPr>
      <w:r w:rsidRPr="00C10676">
        <w:rPr>
          <w:lang w:val="es-419"/>
        </w:rPr>
        <w:t>Proyecto general con proveedores de sistemas: Firma de contratos; capacitación tecnológica con los proveedores; adquisición de probadores de conductividad térmica por los proveedores de sistemas nacionales; pruebas y ensayos con las empresas transformadoras para comenzar a usar HFO; pago de costos de explotación adicionales a las empresas transformadoras después de la aprobación de las pruebas y ensayos (1 508 785 $EUA);</w:t>
      </w:r>
    </w:p>
    <w:p w:rsidR="007C0F5C" w:rsidRPr="00C10676" w:rsidRDefault="007C0F5C" w:rsidP="007C0F5C">
      <w:pPr>
        <w:pStyle w:val="Heading2"/>
        <w:rPr>
          <w:lang w:val="es-419"/>
        </w:rPr>
      </w:pPr>
      <w:r w:rsidRPr="00C10676">
        <w:rPr>
          <w:lang w:val="es-419"/>
        </w:rPr>
        <w:t>Introducción del programa de la UTN para la certificación en el uso de refrigerantes inflamables para técnicos de servicio y mantenimiento (100 000 $EUA), capacitación en buenas prácticas para otros 2 500 técnicos de refrigeración, y adquisición de 550 juegos de herramientas para los técnicos certificados (800 000 $EUA);</w:t>
      </w:r>
    </w:p>
    <w:p w:rsidR="007C0F5C" w:rsidRPr="00C10676" w:rsidRDefault="007C0F5C" w:rsidP="007C0F5C">
      <w:pPr>
        <w:pStyle w:val="Heading2"/>
        <w:rPr>
          <w:lang w:val="es-419"/>
        </w:rPr>
      </w:pPr>
      <w:r w:rsidRPr="00C10676">
        <w:rPr>
          <w:lang w:val="es-419"/>
        </w:rPr>
        <w:t>Finalización del programa de minimización de fugas en supermercados a más tardar en julio de 2020; los resultados se presentarán en un informe final y un seminario para el sector de los supermercados (fondos del tramo anterior);</w:t>
      </w:r>
    </w:p>
    <w:p w:rsidR="007C0F5C" w:rsidRPr="00C10676" w:rsidRDefault="007C0F5C" w:rsidP="007C0F5C">
      <w:pPr>
        <w:pStyle w:val="Heading2"/>
        <w:rPr>
          <w:lang w:val="es-419"/>
        </w:rPr>
      </w:pPr>
      <w:r w:rsidRPr="00C10676">
        <w:rPr>
          <w:lang w:val="es-419"/>
        </w:rPr>
        <w:lastRenderedPageBreak/>
        <w:t>Actividades adicionales en el sector de servicio y mantenimiento de refrigeración, tales como adquisición de una máquina de reciclaje para actualizar el centro de regeneración y actividades de sensibilización para promover las actividades que se estaban ejecutando en el servicio y mantenimiento en eventos relacionados con la refrigeración y el aire acondicionado (47 217 $EUA);</w:t>
      </w:r>
    </w:p>
    <w:p w:rsidR="007C0F5C" w:rsidRPr="00C10676" w:rsidRDefault="007C0F5C" w:rsidP="007C0F5C">
      <w:pPr>
        <w:pStyle w:val="Heading2"/>
        <w:rPr>
          <w:lang w:val="es-419"/>
        </w:rPr>
      </w:pPr>
      <w:r w:rsidRPr="00C10676">
        <w:rPr>
          <w:lang w:val="es-419"/>
        </w:rPr>
        <w:t xml:space="preserve">Actividades de la DGP: actualizaciones anuales del sistema de cupos de HCFC; supervisión de la producción de HCFC-22 en FIASA (17 500 $EUA); supervisión de la ejecución en curso de la conversión de empresas de espumas de PU y XPS (146 000 $EUA, incluidos 108 000 $EUA para consultores técnicos, 8 000 $EUA para un consultor internacional y 30 000 $EUA para viajes); supervisión continua de actividades en el sector de servicio y mantenimiento de refrigeración, supervisión de las prohibiciones a la importación de equipos de A/A domésticos a base de HCFC y diseño y ejecución de actividades periódicas de sensibilización del público (100 000 $EUA, incluidos 30 000 $EUA en consultores técnicos, 23 200 $EUA en consultores internacionales, 16 800 $EUA en asistencia a programas y 30 000 $EUA en viajes). </w:t>
      </w:r>
    </w:p>
    <w:p w:rsidR="007C0F5C" w:rsidRPr="00C10676" w:rsidRDefault="007C0F5C" w:rsidP="007C0F5C">
      <w:pPr>
        <w:rPr>
          <w:lang w:val="es-419"/>
        </w:rPr>
      </w:pPr>
    </w:p>
    <w:p w:rsidR="007C0F5C" w:rsidRPr="00C10676" w:rsidRDefault="007C0F5C" w:rsidP="007C0F5C">
      <w:pPr>
        <w:jc w:val="center"/>
        <w:rPr>
          <w:b/>
          <w:lang w:val="es-419"/>
        </w:rPr>
      </w:pPr>
      <w:r w:rsidRPr="00C10676">
        <w:rPr>
          <w:b/>
          <w:lang w:val="es-419"/>
        </w:rPr>
        <w:t>OBSERVACIONES Y RECOMENDACIÓN DE LA SECRETARÍA</w:t>
      </w:r>
    </w:p>
    <w:p w:rsidR="007C0F5C" w:rsidRPr="00C10676" w:rsidRDefault="007C0F5C" w:rsidP="007C0F5C">
      <w:pPr>
        <w:rPr>
          <w:lang w:val="es-419"/>
        </w:rPr>
      </w:pPr>
    </w:p>
    <w:p w:rsidR="007C0F5C" w:rsidRPr="00C10676" w:rsidRDefault="007C0F5C" w:rsidP="007C0F5C">
      <w:pPr>
        <w:rPr>
          <w:b/>
          <w:lang w:val="es-419"/>
        </w:rPr>
      </w:pPr>
      <w:r w:rsidRPr="00C10676">
        <w:rPr>
          <w:b/>
          <w:lang w:val="es-419"/>
        </w:rPr>
        <w:t>OBSERVACIONES</w:t>
      </w:r>
    </w:p>
    <w:p w:rsidR="007C0F5C" w:rsidRPr="00C10676" w:rsidRDefault="007C0F5C" w:rsidP="007C0F5C">
      <w:pPr>
        <w:rPr>
          <w:lang w:val="es-419"/>
        </w:rPr>
      </w:pPr>
    </w:p>
    <w:p w:rsidR="007C0F5C" w:rsidRPr="00C10676" w:rsidRDefault="007C0F5C" w:rsidP="007C0F5C">
      <w:pPr>
        <w:rPr>
          <w:u w:val="single"/>
          <w:lang w:val="es-419"/>
        </w:rPr>
      </w:pPr>
      <w:r w:rsidRPr="00C10676">
        <w:rPr>
          <w:u w:val="single"/>
          <w:lang w:val="es-419"/>
        </w:rPr>
        <w:t>Situación de la etapa I del PGEH y solicitud de prórroga</w:t>
      </w:r>
    </w:p>
    <w:p w:rsidR="007C0F5C" w:rsidRPr="00C10676" w:rsidRDefault="007C0F5C" w:rsidP="007C0F5C">
      <w:pPr>
        <w:rPr>
          <w:lang w:val="es-419"/>
        </w:rPr>
      </w:pPr>
    </w:p>
    <w:p w:rsidR="007C0F5C" w:rsidRPr="00C10676" w:rsidRDefault="007C0F5C" w:rsidP="007C0F5C">
      <w:pPr>
        <w:pStyle w:val="Heading1"/>
        <w:rPr>
          <w:lang w:val="es-419"/>
        </w:rPr>
      </w:pPr>
      <w:r w:rsidRPr="00C10676">
        <w:rPr>
          <w:lang w:val="es-419"/>
        </w:rPr>
        <w:t>La comunicación incluyó información actualizada sobre la ejecución de la etapa I del PGEH, en la que se indicó que se habían resuelto los problemas enfrentados durante la adquisición de equipos de enjuague de HCFC-141b para sustituir el enjuague de los circuitos de refrigeración con HCFC-141b con disolventes alternativos. Sin embargo, dado que la fecha de terminación de la etapa I era diciembre de 2018, el Gobierno de la Argentina confirmó que se requería una prórroga de la etapa I hasta diciembre de 2020 a fin de poder completar esta actividad, que incluye la entrega de los equipos en enero de 2020, la distribución de equipos, la capacitación relacionada y seis meses de pruebas de funcionamiento y rendimiento. La ONUDI también confirmó que el saldo restante de fondos de la etapa I del PGEH es de 13 000 $EUA, que se utilizarán para esta actividad.</w:t>
      </w:r>
    </w:p>
    <w:p w:rsidR="007C0F5C" w:rsidRPr="00C10676" w:rsidRDefault="007C0F5C" w:rsidP="007C0F5C">
      <w:pPr>
        <w:pStyle w:val="Heading1"/>
        <w:rPr>
          <w:lang w:val="es-419"/>
        </w:rPr>
      </w:pPr>
      <w:r w:rsidRPr="00C10676">
        <w:rPr>
          <w:lang w:val="es-419"/>
        </w:rPr>
        <w:t>La Secretaría señala que la distribución de los equipos de enjuague de HCFC-141b, sus pruebas y la capacitación relacionada son las únicas actividades pendientes de la etapa I. Dado que los equipos ya se han encargado y se recibirán a más tardar en enero de 2020, la Secretaría apoya la prórroga de la etapa I del PGEH para la Argentina hasta diciembre de 2020, en el entendido de que la ONUDI presentará informes anuales acerca de la situación de la finalización de la etapa I a la primera reunión del año hasta la terminación y que el informe de terminación de proyecto se presentará a la primera reunión de 2021.</w:t>
      </w:r>
    </w:p>
    <w:p w:rsidR="007C0F5C" w:rsidRPr="00C10676" w:rsidRDefault="007C0F5C" w:rsidP="007C0F5C">
      <w:pPr>
        <w:rPr>
          <w:u w:val="single"/>
          <w:lang w:val="es-419"/>
        </w:rPr>
      </w:pPr>
      <w:r w:rsidRPr="00C10676">
        <w:rPr>
          <w:u w:val="single"/>
          <w:lang w:val="es-419"/>
        </w:rPr>
        <w:t>Informe sobre los progresos logrados en la ejecución del primer tramo del plan de gestión de eliminación de HCFC</w:t>
      </w:r>
    </w:p>
    <w:p w:rsidR="007C0F5C" w:rsidRPr="00C10676" w:rsidRDefault="007C0F5C" w:rsidP="007C0F5C">
      <w:pPr>
        <w:rPr>
          <w:lang w:val="es-419"/>
        </w:rPr>
      </w:pPr>
    </w:p>
    <w:p w:rsidR="007C0F5C" w:rsidRPr="008A34C4" w:rsidRDefault="007C0F5C" w:rsidP="007C0F5C">
      <w:pPr>
        <w:rPr>
          <w:i/>
        </w:rPr>
      </w:pPr>
      <w:r>
        <w:rPr>
          <w:i/>
        </w:rPr>
        <w:t>Marco jurídico</w:t>
      </w:r>
    </w:p>
    <w:p w:rsidR="007C0F5C" w:rsidRPr="008A34C4" w:rsidRDefault="007C0F5C" w:rsidP="007C0F5C">
      <w:pPr>
        <w:rPr>
          <w:lang w:val="en-CA"/>
        </w:rPr>
      </w:pPr>
    </w:p>
    <w:p w:rsidR="007C0F5C" w:rsidRPr="00C10676" w:rsidRDefault="007C0F5C" w:rsidP="007C0F5C">
      <w:pPr>
        <w:pStyle w:val="Heading1"/>
        <w:rPr>
          <w:lang w:val="es-419"/>
        </w:rPr>
      </w:pPr>
      <w:r w:rsidRPr="00C10676">
        <w:rPr>
          <w:lang w:val="es-419"/>
        </w:rPr>
        <w:t>El Gobierno de la Argentina ya ha publicado los cupos de producción y de importación de HCFC para 2019 y 2020 con arreglo a los objetivos del Protocolo de Montreal. Dado que los objetivos del Acuerdo entre el Gobierno y el Comité Ejecutivo son inferiores a aquellos establecidos por el Protocolo de Montreal para algunos años (es decir, 2017, 2018, 2019), el Gobierno asigna únicamente cupos inferiores al consumo máximo permitido especificado en el Acuerdo.</w:t>
      </w:r>
    </w:p>
    <w:p w:rsidR="007C0F5C" w:rsidRPr="00C10676" w:rsidRDefault="007C0F5C" w:rsidP="009E75AA">
      <w:pPr>
        <w:keepNext/>
        <w:rPr>
          <w:i/>
          <w:lang w:val="es-419"/>
        </w:rPr>
      </w:pPr>
      <w:r w:rsidRPr="00C10676">
        <w:rPr>
          <w:i/>
          <w:lang w:val="es-419"/>
        </w:rPr>
        <w:lastRenderedPageBreak/>
        <w:t>Sector de fabricación</w:t>
      </w:r>
    </w:p>
    <w:p w:rsidR="007C0F5C" w:rsidRPr="00C10676" w:rsidRDefault="007C0F5C" w:rsidP="007C0F5C">
      <w:pPr>
        <w:rPr>
          <w:i/>
          <w:lang w:val="es-419"/>
        </w:rPr>
      </w:pPr>
    </w:p>
    <w:p w:rsidR="007C0F5C" w:rsidRPr="00C10676" w:rsidRDefault="007C0F5C" w:rsidP="007C0F5C">
      <w:pPr>
        <w:rPr>
          <w:i/>
          <w:u w:val="single"/>
          <w:lang w:val="es-419"/>
        </w:rPr>
      </w:pPr>
      <w:r w:rsidRPr="00C10676">
        <w:rPr>
          <w:i/>
          <w:u w:val="single"/>
          <w:lang w:val="es-419"/>
        </w:rPr>
        <w:t>Proyecto para proveedores de sistemas</w:t>
      </w:r>
    </w:p>
    <w:p w:rsidR="007C0F5C" w:rsidRPr="00C10676" w:rsidRDefault="007C0F5C" w:rsidP="007C0F5C">
      <w:pPr>
        <w:rPr>
          <w:highlight w:val="red"/>
          <w:lang w:val="es-419"/>
        </w:rPr>
      </w:pPr>
    </w:p>
    <w:p w:rsidR="007C0F5C" w:rsidRPr="00C10676" w:rsidRDefault="007C0F5C" w:rsidP="007C0F5C">
      <w:pPr>
        <w:pStyle w:val="Heading1"/>
        <w:rPr>
          <w:lang w:val="es-419"/>
        </w:rPr>
      </w:pPr>
      <w:r w:rsidRPr="00C10676">
        <w:rPr>
          <w:lang w:val="es-419"/>
        </w:rPr>
        <w:t xml:space="preserve">La Secretaría observó que si bien las actividades para los sectores de espumas de PU y XPS se iniciaron lentamente, debido en parte al cambio de organismo de ejecución en la 80ª reunión, algunas de las conversiones individuales ya estaban próximas a su terminación. En lo que respecta al proyecto para proveedores de sistemas, la ONUDI aclaró que a pesar de que aún no se había terminado ninguna de las conversiones, se había verificado la admisibilidad de los proveedores de sistemas, se habían realizado reuniones con los proveedores de sistemas y las empresas transformadoras para determinar los detalles de la ejecución y se había publicado la Resolución 133/2019 de la Secretaría de Industria que establece el mecanismo de ejecución e invita a las empresas transformadoras a participar en el proyecto. Además, los proveedores de sistemas ya habían estado trabajando para desarrollar formulaciones a base de HFO. Una vez que se hubieran firmado los contratos entre la ONUDI y cada uno de los proveedores de sistemas (previsto para principios de 2020), se podrían llevar a cabo las pruebas y ensayos y las empresas transformadoras podrían comenzar sus conversiones. </w:t>
      </w:r>
    </w:p>
    <w:p w:rsidR="007C0F5C" w:rsidRPr="00C10676" w:rsidRDefault="007C0F5C" w:rsidP="007C0F5C">
      <w:pPr>
        <w:pStyle w:val="Heading1"/>
        <w:rPr>
          <w:lang w:val="es-419"/>
        </w:rPr>
      </w:pPr>
      <w:r w:rsidRPr="00C10676">
        <w:rPr>
          <w:lang w:val="es-419"/>
        </w:rPr>
        <w:t>La ONUDI también confirmó que no se preveía una prórroga de la ejecución de la conversión general del sector de espumas y que el Gobierno de la Argentina reafirmaba su compromiso de expedir la prohibición de los HCFC prevista para el sector de espumas el 1 de enero de 2022.</w:t>
      </w:r>
    </w:p>
    <w:p w:rsidR="007C0F5C" w:rsidRPr="00C10676" w:rsidRDefault="007C0F5C" w:rsidP="007C0F5C">
      <w:pPr>
        <w:pStyle w:val="Heading1"/>
        <w:rPr>
          <w:lang w:val="es-419"/>
        </w:rPr>
      </w:pPr>
      <w:r w:rsidRPr="00C10676">
        <w:rPr>
          <w:lang w:val="es-419"/>
        </w:rPr>
        <w:t xml:space="preserve">En vista de la gran cantidad de empresas transformadoras usuarias de espumas de PU (139) incluidas en el proyecto y de la necesidad de verificar su admisibilidad, como se hizo en la ejecución de otros planes para el sector de espumas, la ONUDI presentará, como parte del tercer tramo, una lista actualizada de las empresas transformadoras admisibles que aún están usando HCFC-141b y recibirán asistencia del Fondo Multilateral. </w:t>
      </w:r>
    </w:p>
    <w:p w:rsidR="007C0F5C" w:rsidRPr="00CB6C5C" w:rsidRDefault="007C0F5C" w:rsidP="007C0F5C">
      <w:pPr>
        <w:widowControl w:val="0"/>
        <w:rPr>
          <w:i/>
          <w:u w:val="single"/>
        </w:rPr>
      </w:pPr>
      <w:r>
        <w:rPr>
          <w:i/>
          <w:u w:val="single"/>
        </w:rPr>
        <w:t>Disponibilidad de la tecnología alternativa</w:t>
      </w:r>
    </w:p>
    <w:p w:rsidR="007C0F5C" w:rsidRDefault="007C0F5C" w:rsidP="007C0F5C">
      <w:pPr>
        <w:widowControl w:val="0"/>
        <w:rPr>
          <w:highlight w:val="red"/>
          <w:lang w:val="en-CA"/>
        </w:rPr>
      </w:pPr>
    </w:p>
    <w:p w:rsidR="007C0F5C" w:rsidRPr="00C10676" w:rsidRDefault="007C0F5C" w:rsidP="007C0F5C">
      <w:pPr>
        <w:pStyle w:val="Heading1"/>
        <w:widowControl w:val="0"/>
        <w:rPr>
          <w:lang w:val="es-419"/>
        </w:rPr>
      </w:pPr>
      <w:r w:rsidRPr="00C10676">
        <w:rPr>
          <w:lang w:val="es-419"/>
        </w:rPr>
        <w:t>También se trató la diferencia de precio entre el HCFC-141b y las HFO (más de 10 $EUA/kg) y su repercusión en la sostenibilidad de la conversión y la posible adopción de HFC por las empresas que recibían asistencia. La ONUDI recordó que el Gobierno de la Argentina, con apoyo de los Estados Unidos de América, ha coordinado reuniones con los proveedores de la tecnología para deliberar sobre el tema; y, además, la ONUDI y representantes del Ministerio de Producción y Trabajo han mantenido varias reuniones con los representantes de los proveedores en el país para plantear la cuestión. Estas conversaciones continúan con el objetivo de aumentar la disponibilidad de las HFO en el país a un precio de mercado con el que la conversión resulte sostenible.</w:t>
      </w:r>
    </w:p>
    <w:p w:rsidR="007C0F5C" w:rsidRPr="00C10676" w:rsidRDefault="007C0F5C" w:rsidP="007C0F5C">
      <w:pPr>
        <w:pStyle w:val="Heading1"/>
        <w:keepNext/>
        <w:keepLines/>
        <w:rPr>
          <w:lang w:val="es-419"/>
        </w:rPr>
      </w:pPr>
      <w:r w:rsidRPr="00C10676">
        <w:rPr>
          <w:lang w:val="es-419"/>
        </w:rPr>
        <w:t>El Gobierno de la Argentina tiene previsto organizar sesiones de capacitación sobre técnicas para desarrollar formulaciones de HFO eficientes y eficaces en función del costo para los proveedores de sistemas; también trabajará con los proveedores de sistemas a base de HFO para llegar a un precio de mercado con el que la conversión resulte sostenible, al mismo tiempo que promoverá un sistema de cupos sólido, como el que existe para los HCFC, para impedir la adopción de HFC.</w:t>
      </w:r>
    </w:p>
    <w:p w:rsidR="007C0F5C" w:rsidRPr="002B2153" w:rsidRDefault="007C0F5C" w:rsidP="007C0F5C">
      <w:pPr>
        <w:rPr>
          <w:i/>
          <w:u w:val="single"/>
        </w:rPr>
      </w:pPr>
      <w:r>
        <w:rPr>
          <w:i/>
          <w:u w:val="single"/>
        </w:rPr>
        <w:t xml:space="preserve">Cambio de tecnología en Briket </w:t>
      </w:r>
    </w:p>
    <w:p w:rsidR="007C0F5C" w:rsidRPr="002B2153" w:rsidRDefault="007C0F5C" w:rsidP="007C0F5C">
      <w:pPr>
        <w:rPr>
          <w:highlight w:val="red"/>
          <w:lang w:val="en-CA"/>
        </w:rPr>
      </w:pPr>
    </w:p>
    <w:p w:rsidR="007C0F5C" w:rsidRPr="00C10676" w:rsidRDefault="007C0F5C" w:rsidP="007C0F5C">
      <w:pPr>
        <w:pStyle w:val="Heading1"/>
        <w:rPr>
          <w:lang w:val="es-419"/>
        </w:rPr>
      </w:pPr>
      <w:r w:rsidRPr="00C10676">
        <w:rPr>
          <w:lang w:val="es-419"/>
        </w:rPr>
        <w:t xml:space="preserve">Con anterioridad a la presentación de la solicitud del segundo tramo a la 84ª reunión, la ONUDI informó a la Secretaría que Briket, una empresa de espumas de PU, decidió cambiar la tecnología de HFO propuesta originalmente a ciclopentano y que la empresa había realizado la conversión con sus propios recursos y aceptaba cubrir todos los costos adicionales que superaran los costos aprobados originalmente. La ONUDI también preguntó si se podría entregar a la empresa el pago por la conversión con el nivel acordado (154 493 $EUA). La ONUDI proporcionó a la Secretaría por escrito : confirmación de que la conversión se había realizado de acuerdo con las políticas del Fondo y en consonancia con todas las </w:t>
      </w:r>
      <w:r w:rsidRPr="00C10676">
        <w:rPr>
          <w:lang w:val="es-419"/>
        </w:rPr>
        <w:lastRenderedPageBreak/>
        <w:t xml:space="preserve">normas de la ONUDI para la conversión de espumas de PU; información detallada sobre el equipo de base sustituido (unidad de inyección de espuma), así como confirmación de que había sido desmantelado e inutilizado al finalizar el proyecto; y confirmación de que se había realizado una auditoría de seguridad (posteriormente, en noviembre de 2019, se otorgó un certificado a la empresa). </w:t>
      </w:r>
    </w:p>
    <w:p w:rsidR="007C0F5C" w:rsidRPr="00C10676" w:rsidRDefault="007C0F5C" w:rsidP="007C0F5C">
      <w:pPr>
        <w:pStyle w:val="Heading1"/>
        <w:rPr>
          <w:lang w:val="es-419"/>
        </w:rPr>
      </w:pPr>
      <w:r w:rsidRPr="00C10676">
        <w:rPr>
          <w:lang w:val="es-419"/>
        </w:rPr>
        <w:t xml:space="preserve">La Secretaría observó que el cambio de tecnología era un cambio importante respecto del Acuerdo entre el Gobierno y el Comité Ejecutivo que debía informarse al Comité con antelación, considerando el posible impacto en el medio ambiente y los costos adicionales que acarreaba la nueva tecnología seleccionada. Observando que la tecnología seleccionada era también una tecnología de bajo PCA, que el costo más elevado había sido cubierto por la empresa, que la conversión se había realizado siguiendo todos los procedimientos de la ONUDI, que los equipos de base habían sido destruidos y que la empresa necesitaba los fondos para repagar préstamos tomados para cofinanciar la conversión, la Secretaría acordó, en forma excepcional, que la ONUDI podría entregar el pago a la empresa en lugar de esperar a la 84ª reunión. Sin embargo, la Secretaría también señaló a la ONUDI que era necesario informar con antelación los casos en que las empresas decidían realizar la conversión a una tecnología diferente de la tecnología aprobada, considerando las posibles implicaciones ambientales y de costos, a fin de que la nueva tecnología se pudiese presentar al Comité Ejecutivo para su consideración. </w:t>
      </w:r>
    </w:p>
    <w:p w:rsidR="007C0F5C" w:rsidRPr="00204038" w:rsidRDefault="007C0F5C" w:rsidP="007C0F5C">
      <w:pPr>
        <w:rPr>
          <w:i/>
          <w:u w:val="single"/>
        </w:rPr>
      </w:pPr>
      <w:r>
        <w:rPr>
          <w:i/>
          <w:u w:val="single"/>
        </w:rPr>
        <w:t xml:space="preserve">Celpack </w:t>
      </w:r>
    </w:p>
    <w:p w:rsidR="007C0F5C" w:rsidRPr="00204038" w:rsidRDefault="007C0F5C" w:rsidP="007C0F5C">
      <w:pPr>
        <w:rPr>
          <w:lang w:val="en-CA"/>
        </w:rPr>
      </w:pPr>
    </w:p>
    <w:p w:rsidR="007C0F5C" w:rsidRPr="00C10676" w:rsidRDefault="007C0F5C" w:rsidP="007C0F5C">
      <w:pPr>
        <w:pStyle w:val="Heading1"/>
        <w:rPr>
          <w:lang w:val="es-419"/>
        </w:rPr>
      </w:pPr>
      <w:r w:rsidRPr="005972E0">
        <w:rPr>
          <w:lang w:val="es-ES"/>
        </w:rPr>
        <w:t xml:space="preserve"> </w:t>
      </w:r>
      <w:r w:rsidRPr="00C10676">
        <w:rPr>
          <w:lang w:val="es-419"/>
        </w:rPr>
        <w:t xml:space="preserve">Celpack, una empresa de espumas de XPS, enfrenta dificultades económicas, que han ocasionado demoras en el inicio del proyecto. Por lo tanto, la ONUDI acordó realizar una evaluación de la viabilidad financiera de la empresa antes de iniciar la ejecución, así como no incurrir en gastos en caso de que hubiera algún indicio de una posible bancarrota. La ONUDI informará a la 85ª reunión acerca de los resultados de la evaluación a fin de determinar si la empresa aún podría realizar la conversión o si se devolverían los fondos. La ONUDI también informará si se cambiará la tecnología a isobutano. </w:t>
      </w:r>
    </w:p>
    <w:p w:rsidR="007C0F5C" w:rsidRPr="00C10676" w:rsidRDefault="007C0F5C" w:rsidP="007C0F5C">
      <w:pPr>
        <w:rPr>
          <w:i/>
          <w:lang w:val="es-419"/>
        </w:rPr>
      </w:pPr>
      <w:r w:rsidRPr="00C10676">
        <w:rPr>
          <w:i/>
          <w:lang w:val="es-419"/>
        </w:rPr>
        <w:t>Supervisión de la producción de HCFC-22 en FIASA</w:t>
      </w:r>
    </w:p>
    <w:p w:rsidR="007C0F5C" w:rsidRPr="00C10676" w:rsidRDefault="007C0F5C" w:rsidP="007C0F5C">
      <w:pPr>
        <w:rPr>
          <w:i/>
          <w:lang w:val="es-419"/>
        </w:rPr>
      </w:pPr>
    </w:p>
    <w:p w:rsidR="007C0F5C" w:rsidRPr="00C10676" w:rsidRDefault="007C0F5C" w:rsidP="007C0F5C">
      <w:pPr>
        <w:pStyle w:val="Heading1"/>
        <w:rPr>
          <w:lang w:val="es-419"/>
        </w:rPr>
      </w:pPr>
      <w:r w:rsidRPr="00C10676">
        <w:rPr>
          <w:lang w:val="es-419"/>
        </w:rPr>
        <w:t>Observando que se había considerado la viabilidad financiera de FIASA y una hipótesis de cierre de la empresa en el marco del proyecto para controlar las emisiones de HFC</w:t>
      </w:r>
      <w:r w:rsidRPr="00C10676">
        <w:rPr>
          <w:lang w:val="es-419"/>
        </w:rPr>
        <w:noBreakHyphen/>
        <w:t>23 como subproducto en las instalaciones de producción de HCFC</w:t>
      </w:r>
      <w:r w:rsidRPr="00C10676">
        <w:rPr>
          <w:lang w:val="es-419"/>
        </w:rPr>
        <w:noBreakHyphen/>
        <w:t>22 de FIASA</w:t>
      </w:r>
      <w:r w:rsidRPr="001347B2">
        <w:rPr>
          <w:rStyle w:val="FootnoteReference"/>
          <w:lang w:val="en-CA"/>
        </w:rPr>
        <w:footnoteReference w:id="3"/>
      </w:r>
      <w:r w:rsidRPr="00C10676">
        <w:rPr>
          <w:lang w:val="es-419"/>
        </w:rPr>
        <w:t>, la Secretaría observa que si la empresa decide cerrar su producción de HCFC</w:t>
      </w:r>
      <w:r w:rsidRPr="00C10676">
        <w:rPr>
          <w:lang w:val="es-419"/>
        </w:rPr>
        <w:noBreakHyphen/>
        <w:t>22, los saldos de los fondos que ya se habían aprobado para la supervisión de la producción de HCFC</w:t>
      </w:r>
      <w:r w:rsidRPr="00C10676">
        <w:rPr>
          <w:lang w:val="es-419"/>
        </w:rPr>
        <w:noBreakHyphen/>
        <w:t>22, deberían devolverse al Fondo y que debería enmendarse el Acuerdo para la etapa II a fin de quitar los fondos aprobados en principio para ese fin.</w:t>
      </w:r>
    </w:p>
    <w:p w:rsidR="007C0F5C" w:rsidRPr="00C10676" w:rsidRDefault="007C0F5C" w:rsidP="007C0F5C">
      <w:pPr>
        <w:pStyle w:val="Heading1"/>
        <w:keepNext/>
        <w:keepLines/>
        <w:numPr>
          <w:ilvl w:val="0"/>
          <w:numId w:val="0"/>
        </w:numPr>
        <w:rPr>
          <w:u w:val="single"/>
          <w:lang w:val="es-419"/>
        </w:rPr>
      </w:pPr>
      <w:r w:rsidRPr="00C10676">
        <w:rPr>
          <w:u w:val="single"/>
          <w:lang w:val="es-419"/>
        </w:rPr>
        <w:t xml:space="preserve">Sostenibilidad de la eliminación de los HCFC </w:t>
      </w:r>
    </w:p>
    <w:p w:rsidR="007C0F5C" w:rsidRPr="00C10676" w:rsidRDefault="007C0F5C" w:rsidP="007C0F5C">
      <w:pPr>
        <w:pStyle w:val="Heading1"/>
        <w:rPr>
          <w:lang w:val="es-419"/>
        </w:rPr>
      </w:pPr>
      <w:r w:rsidRPr="00C10676">
        <w:rPr>
          <w:lang w:val="es-419"/>
        </w:rPr>
        <w:t>El Gobierno de la Argentina ha promulgado reglamentos que apoyan las conversiones en los sectores de espumas y de fabricación de equipos de A/A. Tras completar la conversión del sector de fabricación de equipos de A/A de habitación durante la etapa I, el Gobierno de la Argentina promulgó una prohibición de la importación y producción de equipos de A/A de habitación que utilizan HCFC</w:t>
      </w:r>
      <w:r w:rsidRPr="00C10676">
        <w:rPr>
          <w:lang w:val="es-419"/>
        </w:rPr>
        <w:noBreakHyphen/>
        <w:t>22 (1 de enero de 2013), y se había comprometido a promulgar, a más tardar para el 1 de enero de 2022, una prohibición de la importación y el uso de HCFC</w:t>
      </w:r>
      <w:r w:rsidRPr="00C10676">
        <w:rPr>
          <w:lang w:val="es-419"/>
        </w:rPr>
        <w:noBreakHyphen/>
        <w:t>141b puro o contenido en polioles premezclados para la fabricación de espumas de PU y una prohibición de la importación de HCFC</w:t>
      </w:r>
      <w:r w:rsidRPr="00C10676">
        <w:rPr>
          <w:lang w:val="es-419"/>
        </w:rPr>
        <w:noBreakHyphen/>
        <w:t>22 y HCFC</w:t>
      </w:r>
      <w:r w:rsidRPr="00C10676">
        <w:rPr>
          <w:lang w:val="es-419"/>
        </w:rPr>
        <w:noBreakHyphen/>
        <w:t>141b para la fabricación de espumas de XPS.</w:t>
      </w:r>
    </w:p>
    <w:p w:rsidR="007C0F5C" w:rsidRPr="00FE3307" w:rsidRDefault="007C0F5C" w:rsidP="007C0F5C">
      <w:pPr>
        <w:rPr>
          <w:u w:val="single"/>
        </w:rPr>
      </w:pPr>
      <w:r>
        <w:rPr>
          <w:u w:val="single"/>
        </w:rPr>
        <w:t xml:space="preserve">Conclusión </w:t>
      </w:r>
    </w:p>
    <w:p w:rsidR="007C0F5C" w:rsidRPr="00FE3307" w:rsidRDefault="007C0F5C" w:rsidP="007C0F5C">
      <w:pPr>
        <w:rPr>
          <w:lang w:val="en-CA"/>
        </w:rPr>
      </w:pPr>
    </w:p>
    <w:p w:rsidR="007C0F5C" w:rsidRPr="00450285" w:rsidRDefault="007C0F5C" w:rsidP="007C0F5C">
      <w:pPr>
        <w:pStyle w:val="Heading1"/>
      </w:pPr>
      <w:r w:rsidRPr="00C10676">
        <w:rPr>
          <w:lang w:val="es-419"/>
        </w:rPr>
        <w:t xml:space="preserve">El Gobierno de la Argentina continuó aplicando eficazmente su sistema de concesión de licencias y cupos para la importación y exportación de HCFC, por lo que había cumplido con sus objetivos de </w:t>
      </w:r>
      <w:r w:rsidRPr="00C10676">
        <w:rPr>
          <w:lang w:val="es-419"/>
        </w:rPr>
        <w:lastRenderedPageBreak/>
        <w:t>producción y consumo de HCFC para 2017 y 2018, como lo corroboraban el informe de verificación independiente y los informes sobre la supervisión de la producción de HCFC</w:t>
      </w:r>
      <w:r w:rsidRPr="00C10676">
        <w:rPr>
          <w:lang w:val="es-419"/>
        </w:rPr>
        <w:noBreakHyphen/>
        <w:t xml:space="preserve">22. El país ya casi ha terminado la ejecución de la etapa I del PGEH y solicitó una prórroga hasta diciembre de 2020 a fin de terminar las últimas actividades en curso en el sector de servicio y mantenimiento. En la etapa II, la Argentina ha comenzado la conversión de los sectores de espumas de PU y XPS, con una empresa que había terminado la conversión y tres empresas en una etapa avanzada. Se haría un seguimiento de una empresa de espumas de XPS que enfrentaba dificultades económicas para determinar si participaría en el PGEH. La Argentina también avanzó con la ejecución de las actividades en el sector de servicio y mantenimiento de refrigeración, tales como la capacitación de técnicos y el desarrollo de un sistema de certificación de técnicos para el manejo seguro de refrigerantes inflamables. </w:t>
      </w:r>
      <w:r>
        <w:t>La ONUDI ha desembolsado el 31,8% de los fondos.</w:t>
      </w:r>
    </w:p>
    <w:p w:rsidR="007C0F5C" w:rsidRDefault="007C0F5C" w:rsidP="007C0F5C">
      <w:pPr>
        <w:rPr>
          <w:b/>
        </w:rPr>
      </w:pPr>
      <w:r>
        <w:rPr>
          <w:b/>
        </w:rPr>
        <w:t xml:space="preserve">RECOMENDACIÓN </w:t>
      </w:r>
    </w:p>
    <w:p w:rsidR="007C0F5C" w:rsidRDefault="007C0F5C" w:rsidP="007C0F5C">
      <w:pPr>
        <w:rPr>
          <w:b/>
          <w:lang w:val="en-CA"/>
        </w:rPr>
      </w:pPr>
    </w:p>
    <w:p w:rsidR="007C0F5C" w:rsidRPr="00C10676" w:rsidRDefault="007C0F5C" w:rsidP="007C0F5C">
      <w:pPr>
        <w:pStyle w:val="Heading1"/>
        <w:rPr>
          <w:lang w:val="es-419"/>
        </w:rPr>
      </w:pPr>
      <w:r w:rsidRPr="00C10676">
        <w:rPr>
          <w:lang w:val="es-419"/>
        </w:rPr>
        <w:t>El Comité Ejecutivo tal vez desee considerar:</w:t>
      </w:r>
    </w:p>
    <w:p w:rsidR="007C0F5C" w:rsidRPr="00C10676" w:rsidRDefault="007C0F5C" w:rsidP="007C0F5C">
      <w:pPr>
        <w:pStyle w:val="Heading2"/>
        <w:rPr>
          <w:lang w:val="es-419"/>
        </w:rPr>
      </w:pPr>
      <w:r w:rsidRPr="00C10676">
        <w:rPr>
          <w:lang w:val="es-419"/>
        </w:rPr>
        <w:t>Tomar nota del informe sobre la marcha de las actividades relativo a la ejecución del primer tramo de la etapa II del plan de gestión de eliminación de los HCFC para la Argentina y la solicitud de prórroga de la etapa I del PGEH hasta diciembre de 020;</w:t>
      </w:r>
    </w:p>
    <w:p w:rsidR="007C0F5C" w:rsidRPr="00C10676" w:rsidRDefault="007C0F5C" w:rsidP="007C0F5C">
      <w:pPr>
        <w:pStyle w:val="Heading2"/>
        <w:rPr>
          <w:lang w:val="es-419"/>
        </w:rPr>
      </w:pPr>
      <w:r w:rsidRPr="00C10676">
        <w:rPr>
          <w:lang w:val="es-419"/>
        </w:rPr>
        <w:t xml:space="preserve">Aprobar la prórroga de la duración de la etapa I del plan de gestión de la eliminación de los HCFC hasta diciembre de 2020, en el entendido de que no se aprobará ninguna otra prórroga; </w:t>
      </w:r>
    </w:p>
    <w:p w:rsidR="007C0F5C" w:rsidRPr="00C10676" w:rsidRDefault="007C0F5C" w:rsidP="007C0F5C">
      <w:pPr>
        <w:pStyle w:val="Heading2"/>
        <w:rPr>
          <w:lang w:val="es-419"/>
        </w:rPr>
      </w:pPr>
      <w:r w:rsidRPr="00C10676">
        <w:rPr>
          <w:lang w:val="es-419"/>
        </w:rPr>
        <w:t>Solicitar a la ONUDI y al Gobierno de la Argentina que presenten anualmente informes sobre la marcha de las actividades relativos a la ejecución del programa de trabajo relacionado con la etapa I del plan de gestión de la eliminación de los HCFC hasta la terminación del proyecto a la primera reunión del Comité Ejecutivo en 2021;</w:t>
      </w:r>
    </w:p>
    <w:p w:rsidR="007C0F5C" w:rsidRPr="00E55017" w:rsidRDefault="007C0F5C" w:rsidP="007C0F5C">
      <w:pPr>
        <w:pStyle w:val="Heading2"/>
      </w:pPr>
      <w:r>
        <w:t>Pedir a la ONUDI:</w:t>
      </w:r>
    </w:p>
    <w:p w:rsidR="007C0F5C" w:rsidRPr="00C10676" w:rsidRDefault="007C0F5C" w:rsidP="007C0F5C">
      <w:pPr>
        <w:pStyle w:val="Heading3"/>
        <w:rPr>
          <w:lang w:val="es-419"/>
        </w:rPr>
      </w:pPr>
      <w:r w:rsidRPr="00C10676">
        <w:rPr>
          <w:lang w:val="es-419"/>
        </w:rPr>
        <w:t>Que presente, con la solicitud del tercer tramo, la lista completa de empresas transformadoras usuarias de espumas que recibieron asistencia del Fondo Multilateral en la etapa II, incluidos datos de: consumo de HCFC</w:t>
      </w:r>
      <w:r w:rsidRPr="00C10676">
        <w:rPr>
          <w:lang w:val="es-419"/>
        </w:rPr>
        <w:noBreakHyphen/>
        <w:t xml:space="preserve">141b eliminado, subsector, equipos de base y tecnología adoptada; </w:t>
      </w:r>
    </w:p>
    <w:p w:rsidR="007C0F5C" w:rsidRPr="00C10676" w:rsidRDefault="007C0F5C" w:rsidP="007C0F5C">
      <w:pPr>
        <w:pStyle w:val="Heading3"/>
        <w:widowControl/>
        <w:rPr>
          <w:lang w:val="es-419"/>
        </w:rPr>
      </w:pPr>
      <w:r w:rsidRPr="00C10676">
        <w:rPr>
          <w:lang w:val="es-419"/>
        </w:rPr>
        <w:t xml:space="preserve">Que presente a la 85ª reunión información actualizada sobre la viabilidad financiera de la empresa Celpack y la decisión acerca de si la empresa recibirá asistencia del Fondo Multilateral, en el entendido de que los fondos de la conversión de Celpack se devolverán al Fondo Multilateral en el caso de que la empresa se retire del proyecto; </w:t>
      </w:r>
    </w:p>
    <w:p w:rsidR="007C0F5C" w:rsidRPr="00C10676" w:rsidRDefault="007C0F5C" w:rsidP="007C0F5C">
      <w:pPr>
        <w:pStyle w:val="Heading3"/>
        <w:widowControl/>
        <w:rPr>
          <w:lang w:val="es-419"/>
        </w:rPr>
      </w:pPr>
      <w:r w:rsidRPr="00C10676">
        <w:rPr>
          <w:lang w:val="es-419"/>
        </w:rPr>
        <w:t xml:space="preserve">Que informe a la Secretaría con antelación los casos en que las empresas decidan realizar la conversión a una tecnología diferente de la tecnología aprobada por el Comité Ejecutivo, considerando las posibles implicaciones ambientales y de costos, a fin de que la nueva tecnología se pudiese presentar al Comité Ejecutivo para su consideración; y </w:t>
      </w:r>
    </w:p>
    <w:p w:rsidR="007C0F5C" w:rsidRPr="00C10676" w:rsidRDefault="007C0F5C" w:rsidP="009E75AA">
      <w:pPr>
        <w:pStyle w:val="Heading2"/>
        <w:keepNext/>
        <w:rPr>
          <w:lang w:val="es-419"/>
        </w:rPr>
      </w:pPr>
      <w:r w:rsidRPr="00C10676">
        <w:rPr>
          <w:lang w:val="es-419"/>
        </w:rPr>
        <w:lastRenderedPageBreak/>
        <w:t>Aprobar el segundo tramo de la etapa II del PGEH para la Argentina y el correspondiente plan de ejecución de tramo para 2020-2022, por el monto de 3 280 793 $EUA, más gastos de apoyo del organismo de 229 656 $EUA para la ONUDI.</w:t>
      </w:r>
    </w:p>
    <w:p w:rsidR="007C0F5C" w:rsidRPr="00C10676" w:rsidRDefault="007C0F5C" w:rsidP="009E75AA">
      <w:pPr>
        <w:pStyle w:val="Title1"/>
        <w:keepNext/>
        <w:rPr>
          <w:lang w:val="es-419"/>
        </w:rPr>
      </w:pPr>
    </w:p>
    <w:p w:rsidR="007C0F5C" w:rsidRPr="00C10676" w:rsidRDefault="007C0F5C" w:rsidP="007C0F5C">
      <w:pPr>
        <w:pStyle w:val="Title1"/>
        <w:rPr>
          <w:lang w:val="es-419"/>
        </w:rPr>
      </w:pPr>
    </w:p>
    <w:p w:rsidR="007C0F5C" w:rsidRPr="00C10676" w:rsidRDefault="007C0F5C" w:rsidP="007C0F5C">
      <w:pPr>
        <w:pStyle w:val="Title1"/>
        <w:rPr>
          <w:lang w:val="es-419"/>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C0F5C" w:rsidRPr="005972E0" w:rsidTr="007C0F5C">
        <w:tc>
          <w:tcPr>
            <w:tcW w:w="1871" w:type="dxa"/>
          </w:tcPr>
          <w:p w:rsidR="007C0F5C" w:rsidRPr="00C10676" w:rsidRDefault="007C0F5C" w:rsidP="007C0F5C">
            <w:pPr>
              <w:spacing w:line="360" w:lineRule="auto"/>
              <w:rPr>
                <w:lang w:val="es-419"/>
              </w:rPr>
            </w:pPr>
          </w:p>
        </w:tc>
        <w:tc>
          <w:tcPr>
            <w:tcW w:w="1872" w:type="dxa"/>
          </w:tcPr>
          <w:p w:rsidR="007C0F5C" w:rsidRPr="00C10676" w:rsidRDefault="007C0F5C" w:rsidP="007C0F5C">
            <w:pPr>
              <w:spacing w:line="360" w:lineRule="auto"/>
              <w:rPr>
                <w:lang w:val="es-419"/>
              </w:rPr>
            </w:pPr>
          </w:p>
        </w:tc>
        <w:tc>
          <w:tcPr>
            <w:tcW w:w="1872" w:type="dxa"/>
            <w:tcBorders>
              <w:bottom w:val="single" w:sz="4" w:space="0" w:color="auto"/>
            </w:tcBorders>
          </w:tcPr>
          <w:p w:rsidR="007C0F5C" w:rsidRPr="00C10676" w:rsidRDefault="007C0F5C" w:rsidP="007C0F5C">
            <w:pPr>
              <w:spacing w:line="360" w:lineRule="auto"/>
              <w:rPr>
                <w:lang w:val="es-419"/>
              </w:rPr>
            </w:pPr>
          </w:p>
        </w:tc>
        <w:tc>
          <w:tcPr>
            <w:tcW w:w="1872" w:type="dxa"/>
          </w:tcPr>
          <w:p w:rsidR="007C0F5C" w:rsidRPr="00C10676" w:rsidRDefault="007C0F5C" w:rsidP="007C0F5C">
            <w:pPr>
              <w:spacing w:line="360" w:lineRule="auto"/>
              <w:rPr>
                <w:lang w:val="es-419"/>
              </w:rPr>
            </w:pPr>
          </w:p>
        </w:tc>
        <w:tc>
          <w:tcPr>
            <w:tcW w:w="1873" w:type="dxa"/>
          </w:tcPr>
          <w:p w:rsidR="007C0F5C" w:rsidRPr="00C10676" w:rsidRDefault="007C0F5C" w:rsidP="007C0F5C">
            <w:pPr>
              <w:spacing w:line="360" w:lineRule="auto"/>
              <w:rPr>
                <w:lang w:val="es-419"/>
              </w:rPr>
            </w:pPr>
          </w:p>
        </w:tc>
      </w:tr>
    </w:tbl>
    <w:p w:rsidR="007C0F5C" w:rsidRPr="00C10676" w:rsidRDefault="007C0F5C" w:rsidP="007C0F5C">
      <w:pPr>
        <w:spacing w:line="360" w:lineRule="auto"/>
        <w:rPr>
          <w:lang w:val="es-419"/>
        </w:rPr>
      </w:pPr>
    </w:p>
    <w:p w:rsidR="0087455A" w:rsidRDefault="0087455A" w:rsidP="009E75AA">
      <w:pPr>
        <w:jc w:val="center"/>
        <w:rPr>
          <w:b/>
          <w:bCs/>
          <w:lang w:val="es-ES"/>
        </w:rPr>
      </w:pPr>
    </w:p>
    <w:sectPr w:rsidR="0087455A">
      <w:headerReference w:type="even" r:id="rId11"/>
      <w:headerReference w:type="default" r:id="rId12"/>
      <w:footerReference w:type="even" r:id="rId13"/>
      <w:footerReference w:type="default" r:id="rId14"/>
      <w:headerReference w:type="first" r:id="rId15"/>
      <w:footerReference w:type="first" r:id="rId16"/>
      <w:pgSz w:w="12240" w:h="15840" w:code="1"/>
      <w:pgMar w:top="720" w:right="1440" w:bottom="864" w:left="1440" w:header="720" w:footer="475" w:gutter="0"/>
      <w:pgNumType w:start="1"/>
      <w:cols w:space="720"/>
      <w:titlePg/>
    </w:sectPr>
  </w:body>
</w:document>
</file>

<file path=word/customizations.xml><?xml version="1.0" encoding="utf-8"?>
<wne:tcg xmlns:r="http://schemas.openxmlformats.org/officeDocument/2006/relationships" xmlns:wne="http://schemas.microsoft.com/office/word/2006/wordml">
  <wne:keymaps>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6"/>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s>
  <wne:toolbars>
    <wne:acdManifest>
      <wne:acdEntry wne:acdName="acd0"/>
      <wne:acdEntry wne:acdName="acd1"/>
      <wne:acdEntry wne:acdName="acd2"/>
      <wne:acdEntry wne:acdName="acd3"/>
      <wne:acdEntry wne:acdName="acd4"/>
      <wne:acdEntry wne:acdName="acd5"/>
      <wne:acdEntry wne:acdName="acd6"/>
      <wne:acdEntry wne:acdName="acd7"/>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rgValue="AgBIAGUAYQBkAGUAcgA0ACwAUABhAHIAYQAgADQA" wne:acdName="acd6" wne:fciIndexBasedOn="0065"/>
    <wne:acd wne:argValue="AQAAAAUA" wne:acdName="acd7" wne:fciIndexBasedOn="0065"/>
  </wne:acds>
</wne:tcg>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0D7E" w:rsidRDefault="00190D7E">
      <w:r>
        <w:separator/>
      </w:r>
    </w:p>
  </w:endnote>
  <w:endnote w:type="continuationSeparator" w:id="0">
    <w:p w:rsidR="00190D7E" w:rsidRDefault="00190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75361197"/>
      <w:docPartObj>
        <w:docPartGallery w:val="Page Numbers (Bottom of Page)"/>
        <w:docPartUnique/>
      </w:docPartObj>
    </w:sdtPr>
    <w:sdtEndPr>
      <w:rPr>
        <w:noProof/>
      </w:rPr>
    </w:sdtEndPr>
    <w:sdtContent>
      <w:p w:rsidR="00C10676" w:rsidRDefault="00C10676">
        <w:pPr>
          <w:pStyle w:val="Footer"/>
          <w:jc w:val="center"/>
        </w:pPr>
        <w:r>
          <w:fldChar w:fldCharType="begin"/>
        </w:r>
        <w:r>
          <w:instrText xml:space="preserve"> PAGE   \* MERGEFORMAT </w:instrText>
        </w:r>
        <w:r>
          <w:fldChar w:fldCharType="separate"/>
        </w:r>
        <w:r w:rsidR="005972E0">
          <w:rPr>
            <w:noProof/>
          </w:rPr>
          <w:t>2</w:t>
        </w:r>
        <w:r>
          <w:rPr>
            <w:noProof/>
          </w:rPr>
          <w:fldChar w:fldCharType="end"/>
        </w:r>
      </w:p>
    </w:sdtContent>
  </w:sdt>
  <w:p w:rsidR="00C10676" w:rsidRDefault="00C10676">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08712492"/>
      <w:docPartObj>
        <w:docPartGallery w:val="Page Numbers (Bottom of Page)"/>
        <w:docPartUnique/>
      </w:docPartObj>
    </w:sdtPr>
    <w:sdtEndPr>
      <w:rPr>
        <w:noProof/>
      </w:rPr>
    </w:sdtEndPr>
    <w:sdtContent>
      <w:p w:rsidR="00C10676" w:rsidRDefault="00C10676">
        <w:pPr>
          <w:pStyle w:val="Footer"/>
          <w:jc w:val="center"/>
        </w:pPr>
        <w:r>
          <w:fldChar w:fldCharType="begin"/>
        </w:r>
        <w:r>
          <w:instrText xml:space="preserve"> PAGE   \* MERGEFORMAT </w:instrText>
        </w:r>
        <w:r>
          <w:fldChar w:fldCharType="separate"/>
        </w:r>
        <w:r w:rsidR="005972E0">
          <w:rPr>
            <w:noProof/>
          </w:rPr>
          <w:t>5</w:t>
        </w:r>
        <w:r>
          <w:rPr>
            <w:noProof/>
          </w:rPr>
          <w:fldChar w:fldCharType="end"/>
        </w:r>
      </w:p>
    </w:sdtContent>
  </w:sdt>
  <w:p w:rsidR="00C10676" w:rsidRDefault="00C10676">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rsidR="00C10676" w:rsidRPr="00C10676" w:rsidRDefault="00C10676" w:rsidP="00C10676">
        <w:pPr>
          <w:pBdr>
            <w:top w:val="single" w:sz="4" w:space="1" w:color="auto"/>
            <w:left w:val="single" w:sz="4" w:space="4" w:color="auto"/>
            <w:bottom w:val="single" w:sz="4" w:space="1" w:color="auto"/>
            <w:right w:val="single" w:sz="4" w:space="4" w:color="auto"/>
          </w:pBdr>
          <w:jc w:val="center"/>
          <w:rPr>
            <w:sz w:val="18"/>
            <w:szCs w:val="18"/>
            <w:lang w:val="es-419"/>
          </w:rPr>
        </w:pPr>
        <w:r w:rsidRPr="00C10676">
          <w:rPr>
            <w:sz w:val="18"/>
            <w:szCs w:val="18"/>
            <w:lang w:val="es-419"/>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rsidR="007C0F5C" w:rsidRDefault="005972E0" w:rsidP="00C10676">
        <w:pPr>
          <w:pStyle w:val="Footer"/>
          <w:jc w:val="center"/>
        </w:pP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0D7E" w:rsidRDefault="00190D7E">
      <w:r>
        <w:separator/>
      </w:r>
    </w:p>
  </w:footnote>
  <w:footnote w:type="continuationSeparator" w:id="0">
    <w:p w:rsidR="00190D7E" w:rsidRDefault="00190D7E">
      <w:r>
        <w:continuationSeparator/>
      </w:r>
    </w:p>
  </w:footnote>
  <w:footnote w:id="1">
    <w:p w:rsidR="007C0F5C" w:rsidRPr="00FE3307" w:rsidRDefault="007C0F5C" w:rsidP="007C0F5C">
      <w:pPr>
        <w:pStyle w:val="FootnoteText"/>
      </w:pPr>
      <w:r>
        <w:rPr>
          <w:rStyle w:val="FootnoteReference"/>
        </w:rPr>
        <w:footnoteRef/>
      </w:r>
      <w:r>
        <w:t xml:space="preserve"> Según la nota del 7 de octubre de 2019 enviada por el Ministerio de Relaciones Exteriores y Culto de la Argentina a la ONUDI.</w:t>
      </w:r>
    </w:p>
  </w:footnote>
  <w:footnote w:id="2">
    <w:p w:rsidR="007C0F5C" w:rsidRPr="00225A2C" w:rsidRDefault="007C0F5C" w:rsidP="007C0F5C">
      <w:pPr>
        <w:pStyle w:val="FootnoteText"/>
      </w:pPr>
      <w:r>
        <w:rPr>
          <w:rStyle w:val="FootnoteReference"/>
        </w:rPr>
        <w:footnoteRef/>
      </w:r>
      <w:r>
        <w:t xml:space="preserve"> </w:t>
      </w:r>
      <w:hyperlink r:id="rId1" w:history="1">
        <w:r>
          <w:rPr>
            <w:rStyle w:val="Hyperlink"/>
          </w:rPr>
          <w:t>https://www.realalternatives.eu/partners</w:t>
        </w:r>
      </w:hyperlink>
      <w:r>
        <w:t xml:space="preserve"> </w:t>
      </w:r>
    </w:p>
  </w:footnote>
  <w:footnote w:id="3">
    <w:p w:rsidR="007C0F5C" w:rsidRPr="00846B72" w:rsidRDefault="007C0F5C" w:rsidP="007C0F5C">
      <w:pPr>
        <w:pStyle w:val="FootnoteText"/>
      </w:pPr>
      <w:r>
        <w:rPr>
          <w:rStyle w:val="FootnoteReference"/>
        </w:rPr>
        <w:footnoteRef/>
      </w:r>
      <w:r>
        <w:t xml:space="preserve"> UNEP/OzL.Pro/ExCom/84/71.</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676" w:rsidRDefault="00C10676" w:rsidP="00C10676">
    <w:pPr>
      <w:jc w:val="right"/>
    </w:pPr>
    <w:fldSimple w:instr=" DOCPROPERTY &quot;Document number&quot;  \* MERGEFORMAT ">
      <w:r>
        <w:t>UNEP/OzL.Pro/ExCom/84/39</w:t>
      </w:r>
    </w:fldSimple>
  </w:p>
  <w:p w:rsidR="00C10676" w:rsidRDefault="00C10676">
    <w:pPr>
      <w:pStyle w:val="Header"/>
    </w:pPr>
  </w:p>
  <w:p w:rsidR="005972E0" w:rsidRDefault="005972E0">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676" w:rsidRDefault="00C10676" w:rsidP="00C10676">
    <w:fldSimple w:instr=" DOCPROPERTY &quot;Document number&quot;  \* MERGEFORMAT ">
      <w:r>
        <w:t>UNEP/OzL.Pro/ExCom/84/39</w:t>
      </w:r>
    </w:fldSimple>
  </w:p>
  <w:p w:rsidR="00C10676" w:rsidRDefault="00C10676" w:rsidP="00C10676">
    <w:pPr>
      <w:pStyle w:val="Header"/>
    </w:pPr>
  </w:p>
  <w:p w:rsidR="00C10676" w:rsidRPr="00C10676" w:rsidRDefault="00C10676" w:rsidP="00C10676">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0F5C" w:rsidRDefault="007C0F5C"/>
  <w:p w:rsidR="007C0F5C" w:rsidRDefault="007C0F5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66A68A16"/>
    <w:lvl w:ilvl="0">
      <w:start w:val="1"/>
      <w:numFmt w:val="decimal"/>
      <w:pStyle w:val="Heading1"/>
      <w:lvlText w:val="%1."/>
      <w:lvlJc w:val="left"/>
      <w:pPr>
        <w:tabs>
          <w:tab w:val="num" w:pos="0"/>
        </w:tabs>
        <w:ind w:left="0" w:firstLine="0"/>
      </w:pPr>
      <w:rPr>
        <w:i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A904A1F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 w:numId="22">
    <w:abstractNumId w:val="16"/>
  </w:num>
  <w:num w:numId="23">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455A"/>
    <w:rsid w:val="00054E5B"/>
    <w:rsid w:val="00106F6E"/>
    <w:rsid w:val="00114CAA"/>
    <w:rsid w:val="00190D7E"/>
    <w:rsid w:val="001C2D22"/>
    <w:rsid w:val="001F4047"/>
    <w:rsid w:val="00235D4C"/>
    <w:rsid w:val="0024162E"/>
    <w:rsid w:val="003863A4"/>
    <w:rsid w:val="003B7115"/>
    <w:rsid w:val="00455352"/>
    <w:rsid w:val="00476E28"/>
    <w:rsid w:val="005972E0"/>
    <w:rsid w:val="006A0F07"/>
    <w:rsid w:val="007C0F5C"/>
    <w:rsid w:val="00831BC5"/>
    <w:rsid w:val="0087455A"/>
    <w:rsid w:val="009E75AA"/>
    <w:rsid w:val="00AB56E5"/>
    <w:rsid w:val="00C10676"/>
    <w:rsid w:val="00C14E67"/>
    <w:rsid w:val="00D17D05"/>
    <w:rsid w:val="00DB795B"/>
    <w:rsid w:val="00E17F97"/>
    <w:rsid w:val="00F10CD9"/>
    <w:rsid w:val="00F25F7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8ED765"/>
  <w15:docId w15:val="{744BC3DF-4264-464B-9EBC-E3FCFE097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pPr>
      <w:widowControl w:val="0"/>
      <w:numPr>
        <w:ilvl w:val="1"/>
        <w:numId w:val="1"/>
      </w:numPr>
      <w:spacing w:after="240"/>
      <w:outlineLvl w:val="1"/>
    </w:pPr>
  </w:style>
  <w:style w:type="paragraph" w:styleId="Heading3">
    <w:name w:val="heading 3"/>
    <w:aliases w:val="Char"/>
    <w:basedOn w:val="Normal"/>
    <w:next w:val="Normal"/>
    <w:qFormat/>
    <w:pPr>
      <w:widowControl w:val="0"/>
      <w:numPr>
        <w:ilvl w:val="2"/>
        <w:numId w:val="1"/>
      </w:numPr>
      <w:spacing w:after="240"/>
      <w:outlineLvl w:val="2"/>
    </w:pPr>
  </w:style>
  <w:style w:type="paragraph" w:styleId="Heading4">
    <w:name w:val="heading 4"/>
    <w:aliases w:val="Heading 11"/>
    <w:basedOn w:val="Normal"/>
    <w:next w:val="Heading9"/>
    <w:semiHidden/>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3600" w:hanging="360"/>
    </w:pPr>
    <w:rPr>
      <w:sz w:val="20"/>
    </w:rPr>
  </w:style>
  <w:style w:type="character" w:customStyle="1" w:styleId="FooterChar">
    <w:name w:val="Footer Char"/>
    <w:basedOn w:val="DefaultParagraphFont"/>
    <w:link w:val="Footer"/>
    <w:uiPriority w:val="99"/>
    <w:rPr>
      <w:sz w:val="22"/>
      <w:szCs w:val="22"/>
      <w:lang w:val="en-GB"/>
    </w:rPr>
  </w:style>
  <w:style w:type="paragraph" w:styleId="ListParagraph">
    <w:name w:val="List Paragraph"/>
    <w:basedOn w:val="Normal"/>
    <w:uiPriority w:val="34"/>
    <w:qFormat/>
    <w:rsid w:val="007C0F5C"/>
    <w:pPr>
      <w:ind w:left="720"/>
      <w:contextualSpacing/>
    </w:pPr>
    <w:rPr>
      <w:lang w:val="es-ES"/>
    </w:rPr>
  </w:style>
  <w:style w:type="paragraph" w:styleId="FootnoteText">
    <w:name w:val="footnote text"/>
    <w:basedOn w:val="Normal"/>
    <w:link w:val="FootnoteTextChar"/>
    <w:uiPriority w:val="99"/>
    <w:semiHidden/>
    <w:unhideWhenUsed/>
    <w:rsid w:val="007C0F5C"/>
    <w:rPr>
      <w:sz w:val="20"/>
      <w:szCs w:val="20"/>
      <w:lang w:val="es-ES"/>
    </w:rPr>
  </w:style>
  <w:style w:type="character" w:customStyle="1" w:styleId="FootnoteTextChar">
    <w:name w:val="Footnote Text Char"/>
    <w:basedOn w:val="DefaultParagraphFont"/>
    <w:link w:val="FootnoteText"/>
    <w:uiPriority w:val="99"/>
    <w:semiHidden/>
    <w:rsid w:val="007C0F5C"/>
    <w:rPr>
      <w:lang w:val="es-ES"/>
    </w:rPr>
  </w:style>
  <w:style w:type="character" w:styleId="FootnoteReference">
    <w:name w:val="footnote reference"/>
    <w:basedOn w:val="DefaultParagraphFont"/>
    <w:uiPriority w:val="99"/>
    <w:semiHidden/>
    <w:unhideWhenUsed/>
    <w:rsid w:val="007C0F5C"/>
    <w:rPr>
      <w:vertAlign w:val="superscript"/>
    </w:rPr>
  </w:style>
  <w:style w:type="character" w:styleId="Hyperlink">
    <w:name w:val="Hyperlink"/>
    <w:basedOn w:val="DefaultParagraphFont"/>
    <w:uiPriority w:val="99"/>
    <w:unhideWhenUsed/>
    <w:rsid w:val="007C0F5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customXml" Target="../customXml/item4.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footer" Target="footer3.xml"/><Relationship Id="rId20" Type="http://schemas.openxmlformats.org/officeDocument/2006/relationships/customXml" Target="../customXml/item3.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image" Target="media/image2.png"/><Relationship Id="rId19" Type="http://schemas.openxmlformats.org/officeDocument/2006/relationships/customXml" Target="../customXml/item2.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www.realalternatives.eu/partn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F2D22381220FE4184AFB35730DED85F" ma:contentTypeVersion="1" ma:contentTypeDescription="Create a new document." ma:contentTypeScope="" ma:versionID="461298c5bf0d5321f2c277022a6fab22">
  <xsd:schema xmlns:xsd="http://www.w3.org/2001/XMLSchema" xmlns:p="http://schemas.microsoft.com/office/2006/metadata/properties" xmlns:ns2="e6e1f9e0-8f48-4721-871b-80b3d7694360" targetNamespace="http://schemas.microsoft.com/office/2006/metadata/properties" ma:root="true" ma:fieldsID="f33d5c748b406760e27072e0ba6dee89"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UNEP/OzL.Pro/ExCom/84/39</Document_x0020_Number>
  </documentManagement>
</p:properties>
</file>

<file path=customXml/itemProps1.xml><?xml version="1.0" encoding="utf-8"?>
<ds:datastoreItem xmlns:ds="http://schemas.openxmlformats.org/officeDocument/2006/customXml" ds:itemID="{2F5B29DD-72FE-421F-878C-7E0C54EC785F}"/>
</file>

<file path=customXml/itemProps2.xml><?xml version="1.0" encoding="utf-8"?>
<ds:datastoreItem xmlns:ds="http://schemas.openxmlformats.org/officeDocument/2006/customXml" ds:itemID="{A9941712-AC7A-45A1-BEC9-7B0853C836F1}"/>
</file>

<file path=customXml/itemProps3.xml><?xml version="1.0" encoding="utf-8"?>
<ds:datastoreItem xmlns:ds="http://schemas.openxmlformats.org/officeDocument/2006/customXml" ds:itemID="{729ED49F-D552-4FEE-BD2F-E06000F2B3BC}"/>
</file>

<file path=customXml/itemProps4.xml><?xml version="1.0" encoding="utf-8"?>
<ds:datastoreItem xmlns:ds="http://schemas.openxmlformats.org/officeDocument/2006/customXml" ds:itemID="{0BD8A148-8CF8-4716-AF7A-543A1F4140EC}"/>
</file>

<file path=docProps/app.xml><?xml version="1.0" encoding="utf-8"?>
<Properties xmlns="http://schemas.openxmlformats.org/officeDocument/2006/extended-properties" xmlns:vt="http://schemas.openxmlformats.org/officeDocument/2006/docPropsVTypes">
  <Template>normal</Template>
  <TotalTime>56</TotalTime>
  <Pages>11</Pages>
  <Words>4490</Words>
  <Characters>25597</Characters>
  <Application>Microsoft Office Word</Application>
  <DocSecurity>0</DocSecurity>
  <Lines>213</Lines>
  <Paragraphs>60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Propuesta de proyecto: Argentina</vt:lpstr>
      <vt:lpstr/>
    </vt:vector>
  </TitlesOfParts>
  <Company>UNMFS</Company>
  <LinksUpToDate>false</LinksUpToDate>
  <CharactersWithSpaces>30027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Argentina</dc:title>
  <dc:creator>Mulu Alem</dc:creator>
  <cp:lastModifiedBy>HBE</cp:lastModifiedBy>
  <cp:revision>5</cp:revision>
  <cp:lastPrinted>2001-05-26T16:40:00Z</cp:lastPrinted>
  <dcterms:created xsi:type="dcterms:W3CDTF">2019-11-25T10:44:00Z</dcterms:created>
  <dcterms:modified xsi:type="dcterms:W3CDTF">2019-12-06T17:23:00Z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UNEP/OzL.Pro/ExCom/84/39</vt:lpwstr>
  </property>
  <property fmtid="{D5CDD505-2E9C-101B-9397-08002B2CF9AE}" pid="3" name="Revision date">
    <vt:lpwstr>10/1/2019</vt:lpwstr>
  </property>
  <property fmtid="{D5CDD505-2E9C-101B-9397-08002B2CF9AE}" pid="4" name="ContentTypeId">
    <vt:lpwstr>0x010100CF2D22381220FE4184AFB35730DED85F</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