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93" w:type="dxa"/>
        <w:tblInd w:w="-432" w:type="dxa"/>
        <w:tblLayout w:type="fixed"/>
        <w:tblLook w:val="0000" w:firstRow="0" w:lastRow="0" w:firstColumn="0" w:lastColumn="0" w:noHBand="0" w:noVBand="0"/>
      </w:tblPr>
      <w:tblGrid>
        <w:gridCol w:w="1989"/>
        <w:gridCol w:w="4798"/>
        <w:gridCol w:w="3406"/>
      </w:tblGrid>
      <w:tr w:rsidR="00441083" w14:paraId="4738118C" w14:textId="77777777" w:rsidTr="00EF6167">
        <w:trPr>
          <w:trHeight w:val="735"/>
        </w:trPr>
        <w:tc>
          <w:tcPr>
            <w:tcW w:w="6787" w:type="dxa"/>
            <w:gridSpan w:val="2"/>
            <w:tcBorders>
              <w:bottom w:val="single" w:sz="18" w:space="0" w:color="auto"/>
            </w:tcBorders>
          </w:tcPr>
          <w:p w14:paraId="6E82F66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132CEB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406" w:type="dxa"/>
            <w:tcBorders>
              <w:bottom w:val="single" w:sz="18" w:space="0" w:color="auto"/>
            </w:tcBorders>
          </w:tcPr>
          <w:p w14:paraId="0531167B"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594059" w14:paraId="40B8DBC8" w14:textId="77777777" w:rsidTr="00EF6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7"/>
        </w:trPr>
        <w:tc>
          <w:tcPr>
            <w:tcW w:w="1989" w:type="dxa"/>
            <w:tcBorders>
              <w:top w:val="nil"/>
              <w:left w:val="nil"/>
              <w:bottom w:val="single" w:sz="36" w:space="0" w:color="auto"/>
              <w:right w:val="nil"/>
            </w:tcBorders>
          </w:tcPr>
          <w:p w14:paraId="4D060FC9" w14:textId="2B01E563" w:rsidR="00441083" w:rsidRDefault="00EF6167">
            <w:pPr>
              <w:spacing w:before="120"/>
            </w:pPr>
            <w:r w:rsidRPr="009B0D30">
              <w:rPr>
                <w:noProof/>
                <w:lang w:val="en-US"/>
              </w:rPr>
              <mc:AlternateContent>
                <mc:Choice Requires="wpg">
                  <w:drawing>
                    <wp:anchor distT="0" distB="0" distL="114300" distR="114300" simplePos="0" relativeHeight="251659264" behindDoc="0" locked="0" layoutInCell="1" allowOverlap="1" wp14:anchorId="02C9C72F" wp14:editId="4A373612">
                      <wp:simplePos x="0" y="0"/>
                      <wp:positionH relativeFrom="column">
                        <wp:posOffset>46990</wp:posOffset>
                      </wp:positionH>
                      <wp:positionV relativeFrom="paragraph">
                        <wp:posOffset>36195</wp:posOffset>
                      </wp:positionV>
                      <wp:extent cx="844550" cy="1663700"/>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663700"/>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xmlns:cx1="http://schemas.microsoft.com/office/drawing/2015/9/8/chartex">
                  <w:pict>
                    <v:group w14:anchorId="2968CF55" id="Group 1" o:spid="_x0000_s1026" style="position:absolute;margin-left:3.7pt;margin-top:2.85pt;width:66.5pt;height:131pt;z-index:251659264;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1cw6lwIAANEHAAAOAAAAZHJzL2Uyb0RvYy54bWzUVdtu2zAMfR+wfxD8&#10;3tqJ28QwmhTDesGArg229QMUWbaFWhdQyqV/P1J20jYtsKHAMPQhDkVJ5OHhkXR2vtUdW0vwyppZ&#10;MjrOEiaNsJUyzSy5/3V1VCTMB24q3lkjZ8mj9Mn5/POns40r5di2tqskMAxifLlxs6QNwZVp6kUr&#10;NffH1kmDk7UFzQMOoUkr4BuMrrt0nGWTdGOhcmCF9B69F/1kMo/x61qKcFfXXgbWzRLEFuIX4ndJ&#10;33R+xssGuGuVGGDwd6DQXBlMug91wQNnK1CvQmklwHpbh2NhdWrrWgkZa8BqRtlBNddgVy7W0pSb&#10;xu1pQmoPeHp3WHG7XgBTFfYuYYZrbFHMykZEzcY1Ja64BvfTLWBwNP2Iqt3WoOkf62DbSOrjnlS5&#10;DUygszg5OT1F6gVOjSaTfJoNrIsWW/Nqm2gv39w4mmTTU8KU7tKmhG4PxilR4m/gCK1XHP1ZS7gr&#10;rEAmQxD9VzE0h4eVO8J2Oh7UUnUqPEZpYuMIlFkvlFhAP3iie7yjG2cpKUNHJb1Abd7fXi6oUtpN&#10;G/rtnMq7seLBM2O/ttw08ot3KHBqHfHycnkcvsi97JS7Ul1HDSN7qBITHojpDaJ6oV5YsdLShP7k&#10;geywYGt8q5xPGJRSLyUKCb5VqCWBpz6gmhwoEwgfLz2IH4i3twPIIFpy14hp8GNv/W4iFvCEmarz&#10;KEK23Hy3FQbmq2DjkTsQ4SQntaHYppOCzJhuL8a8wFujF2NxMp2OX0oKOQYfrqXVjAysBfHGJHx9&#10;4wk5ItwtIezGEqPk3+EbTBz2DUTjw2gyP9Rk/rFliEfqv8mw1+Ch/MbjHCUX78JpnhXFP5VfvCDx&#10;3YiqHd44epiej9F+/hLPfwM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H9ZGvdAAAABwEAAA8AAABkcnMvZG93bnJldi54bWxMjsFqwkAURfeF/sPwCt3VSawaiXkR&#10;kbYrKVQLpbsx80yCmTchMybx7zuu6vJyL+eebD2aRvTUudoyQjyJQBAXVtdcInwf3l+WIJxXrFVj&#10;mRCu5GCdPz5kKtV24C/q974UAcIuVQiV920qpSsqMspNbEscupPtjPIhdqXUnRoC3DRyGkULaVTN&#10;4aFSLW0rKs77i0H4GNSweY3f+t35tL3+HuafP7uYEJ+fxs0KhKfR/4/hph/UIQ9OR3th7USDkMzC&#10;EGGegLi1syjkI8J0kSQg80ze++d/AA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BAi0AFAAG&#10;AAgAAAAhALGCZ7YKAQAAEwIAABMAAAAAAAAAAAAAAAAAAAAAAFtDb250ZW50X1R5cGVzXS54bWxQ&#10;SwECLQAUAAYACAAAACEAOP0h/9YAAACUAQAACwAAAAAAAAAAAAAAAAA7AQAAX3JlbHMvLnJlbHNQ&#10;SwECLQAUAAYACAAAACEAqtXMOpcCAADRBwAADgAAAAAAAAAAAAAAAAA6AgAAZHJzL2Uyb0RvYy54&#10;bWxQSwECLQAUAAYACAAAACEALmzwAMUAAAClAQAAGQAAAAAAAAAAAAAAAAD9BAAAZHJzL19yZWxz&#10;L2Uyb0RvYy54bWwucmVsc1BLAQItABQABgAIAAAAIQDR/WRr3QAAAAcBAAAPAAAAAAAAAAAAAAAA&#10;APkFAABkcnMvZG93bnJldi54bWxQSwECLQAKAAAAAAAAACEAfhWsvxIGAAASBgAAFAAAAAAAAAAA&#10;AAAAAAADBwAAZHJzL21lZGlhL2ltYWdlMS5wbmdQSwECLQAKAAAAAAAAACEA4IndHG0JAABtCQAA&#10;FAAAAAAAAAAAAAAAAABHDQAAZHJzL21lZGlhL2ltYWdlMi5wbmd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4797" w:type="dxa"/>
            <w:tcBorders>
              <w:top w:val="nil"/>
              <w:left w:val="nil"/>
              <w:bottom w:val="single" w:sz="36" w:space="0" w:color="auto"/>
              <w:right w:val="nil"/>
            </w:tcBorders>
          </w:tcPr>
          <w:p w14:paraId="7C986962"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E0FCCD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F33024B" w14:textId="77777777" w:rsidR="00441083" w:rsidRDefault="00E60D9C">
            <w:pPr>
              <w:rPr>
                <w:rFonts w:ascii="Univers" w:hAnsi="Univers"/>
                <w:b/>
                <w:sz w:val="32"/>
                <w:lang w:val="fr-CA"/>
              </w:rPr>
            </w:pPr>
            <w:r>
              <w:rPr>
                <w:rFonts w:ascii="Univers" w:hAnsi="Univers"/>
                <w:b/>
                <w:sz w:val="32"/>
                <w:lang w:val="fr-CA"/>
              </w:rPr>
              <w:t>Nations Unies pour</w:t>
            </w:r>
          </w:p>
          <w:p w14:paraId="22EBC027"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493767E4" w14:textId="77777777" w:rsidR="00441083" w:rsidRDefault="00E60D9C">
            <w:pPr>
              <w:spacing w:before="720"/>
              <w:ind w:left="158"/>
              <w:rPr>
                <w:lang w:val="fr-FR"/>
              </w:rPr>
            </w:pPr>
            <w:r>
              <w:rPr>
                <w:lang w:val="fr-FR"/>
              </w:rPr>
              <w:t xml:space="preserve"> </w:t>
            </w:r>
          </w:p>
        </w:tc>
        <w:tc>
          <w:tcPr>
            <w:tcW w:w="3406" w:type="dxa"/>
            <w:tcBorders>
              <w:top w:val="nil"/>
              <w:left w:val="nil"/>
              <w:bottom w:val="single" w:sz="36" w:space="0" w:color="auto"/>
              <w:right w:val="nil"/>
            </w:tcBorders>
          </w:tcPr>
          <w:p w14:paraId="6D9979DB" w14:textId="77777777" w:rsidR="00441083" w:rsidRDefault="00441083">
            <w:pPr>
              <w:rPr>
                <w:lang w:val="fr-FR"/>
              </w:rPr>
            </w:pPr>
          </w:p>
          <w:p w14:paraId="33E4B335"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67BBBA6A"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27EB5D42" w14:textId="77777777" w:rsidR="00441083" w:rsidRPr="00DD3433" w:rsidRDefault="00441083">
            <w:pPr>
              <w:rPr>
                <w:lang w:val="fr-FR"/>
              </w:rPr>
            </w:pPr>
          </w:p>
          <w:p w14:paraId="0B658446" w14:textId="766DA9B2" w:rsidR="00441083" w:rsidRPr="00F52DAE" w:rsidRDefault="00594059">
            <w:pPr>
              <w:rPr>
                <w:lang w:val="fr-CA"/>
              </w:rPr>
            </w:pPr>
            <w:r w:rsidRPr="00F52DAE">
              <w:rPr>
                <w:lang w:val="fr-CA"/>
              </w:rPr>
              <w:t>UNEP/</w:t>
            </w:r>
            <w:proofErr w:type="spellStart"/>
            <w:r w:rsidRPr="00F52DAE">
              <w:rPr>
                <w:lang w:val="fr-CA"/>
              </w:rPr>
              <w:t>OzL.Pro</w:t>
            </w:r>
            <w:proofErr w:type="spellEnd"/>
            <w:r w:rsidRPr="00F52DAE">
              <w:rPr>
                <w:lang w:val="fr-CA"/>
              </w:rPr>
              <w:t>/</w:t>
            </w:r>
            <w:proofErr w:type="spellStart"/>
            <w:r w:rsidRPr="00F52DAE">
              <w:rPr>
                <w:lang w:val="fr-CA"/>
              </w:rPr>
              <w:t>ExCom</w:t>
            </w:r>
            <w:proofErr w:type="spellEnd"/>
            <w:r w:rsidRPr="00F52DAE">
              <w:rPr>
                <w:lang w:val="fr-CA"/>
              </w:rPr>
              <w:t>/87/5</w:t>
            </w:r>
          </w:p>
          <w:p w14:paraId="509015FE" w14:textId="0820CE46" w:rsidR="002F0B57" w:rsidRPr="00594059" w:rsidRDefault="002F0B57" w:rsidP="000F6C8E">
            <w:pPr>
              <w:rPr>
                <w:lang w:val="en-CA"/>
              </w:rPr>
            </w:pPr>
            <w:r>
              <w:fldChar w:fldCharType="begin"/>
            </w:r>
            <w:r w:rsidRPr="00594059">
              <w:rPr>
                <w:lang w:val="en-CA"/>
              </w:rPr>
              <w:instrText xml:space="preserve"> DOCPROPERTY "Revision date" \@ "d MMMM YYYY"  \* MERGEFORMAT </w:instrText>
            </w:r>
            <w:r>
              <w:fldChar w:fldCharType="separate"/>
            </w:r>
            <w:r w:rsidR="00594059" w:rsidRPr="00594059">
              <w:rPr>
                <w:lang w:val="en-CA"/>
              </w:rPr>
              <w:t xml:space="preserve">23 </w:t>
            </w:r>
            <w:proofErr w:type="spellStart"/>
            <w:r w:rsidR="00594059" w:rsidRPr="00594059">
              <w:rPr>
                <w:lang w:val="en-CA"/>
              </w:rPr>
              <w:t>jui</w:t>
            </w:r>
            <w:r w:rsidR="00594059">
              <w:rPr>
                <w:lang w:val="en-CA"/>
              </w:rPr>
              <w:t>n</w:t>
            </w:r>
            <w:proofErr w:type="spellEnd"/>
            <w:r w:rsidR="00594059">
              <w:rPr>
                <w:lang w:val="en-CA"/>
              </w:rPr>
              <w:t xml:space="preserve"> </w:t>
            </w:r>
            <w:r w:rsidR="00594059" w:rsidRPr="00594059">
              <w:rPr>
                <w:lang w:val="en-CA"/>
              </w:rPr>
              <w:t>2021</w:t>
            </w:r>
            <w:r>
              <w:fldChar w:fldCharType="end"/>
            </w:r>
          </w:p>
          <w:p w14:paraId="42A8A3B0" w14:textId="77777777" w:rsidR="00441083" w:rsidRDefault="00FC5578">
            <w:pPr>
              <w:rPr>
                <w:caps/>
                <w:lang w:val="fr-FR"/>
              </w:rPr>
            </w:pPr>
            <w:r w:rsidRPr="00594059">
              <w:rPr>
                <w:caps/>
                <w:lang w:val="en-CA"/>
              </w:rPr>
              <w:br/>
            </w:r>
            <w:r w:rsidR="00E60D9C">
              <w:rPr>
                <w:caps/>
                <w:lang w:val="fr-FR"/>
              </w:rPr>
              <w:t>FRANÇAIS</w:t>
            </w:r>
          </w:p>
          <w:p w14:paraId="5A9C7EC9" w14:textId="77777777" w:rsidR="00441083" w:rsidRPr="00594059" w:rsidRDefault="00E60D9C">
            <w:pPr>
              <w:rPr>
                <w:lang w:val="fr-CA"/>
              </w:rPr>
            </w:pPr>
            <w:r w:rsidRPr="00594059">
              <w:rPr>
                <w:lang w:val="fr-CA"/>
              </w:rPr>
              <w:t xml:space="preserve">ORIGINAL: </w:t>
            </w:r>
            <w:r w:rsidR="0091161A" w:rsidRPr="00594059">
              <w:rPr>
                <w:lang w:val="fr-CA"/>
              </w:rPr>
              <w:t>ANGLAIS</w:t>
            </w:r>
          </w:p>
        </w:tc>
      </w:tr>
    </w:tbl>
    <w:p w14:paraId="0ED45DAD" w14:textId="77777777" w:rsidR="00441083" w:rsidRDefault="00441083">
      <w:pPr>
        <w:jc w:val="left"/>
        <w:rPr>
          <w:lang w:val="fr-CA"/>
        </w:rPr>
      </w:pPr>
    </w:p>
    <w:p w14:paraId="041A7D68" w14:textId="77777777" w:rsidR="00441083" w:rsidRDefault="00E60D9C" w:rsidP="002C06D4">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2C06D4">
        <w:rPr>
          <w:lang w:val="fr-CA"/>
        </w:rPr>
        <w:t>sept</w:t>
      </w:r>
      <w:r w:rsidR="004C2C87">
        <w:rPr>
          <w:lang w:val="fr-CA"/>
        </w:rPr>
        <w:t>i</w:t>
      </w:r>
      <w:r w:rsidR="00E54871">
        <w:rPr>
          <w:lang w:val="fr-CA"/>
        </w:rPr>
        <w:t>ème</w:t>
      </w:r>
      <w:r w:rsidR="00FC5578" w:rsidRPr="00FC5578">
        <w:rPr>
          <w:lang w:val="fr-CA"/>
        </w:rPr>
        <w:t xml:space="preserve"> </w:t>
      </w:r>
      <w:r>
        <w:rPr>
          <w:lang w:val="fr-CA"/>
        </w:rPr>
        <w:t>réunion</w:t>
      </w:r>
    </w:p>
    <w:p w14:paraId="34471890" w14:textId="7DE05744" w:rsidR="00441083" w:rsidRDefault="00E54871" w:rsidP="006962DE">
      <w:pPr>
        <w:jc w:val="left"/>
        <w:rPr>
          <w:lang w:val="fr-CA"/>
        </w:rPr>
      </w:pPr>
      <w:r>
        <w:rPr>
          <w:lang w:val="fr-CA"/>
        </w:rPr>
        <w:t>Montr</w:t>
      </w:r>
      <w:r w:rsidRPr="00594059">
        <w:rPr>
          <w:lang w:val="fr-CA"/>
        </w:rPr>
        <w:t>é</w:t>
      </w:r>
      <w:r>
        <w:rPr>
          <w:lang w:val="fr-CA"/>
        </w:rPr>
        <w:t>al,</w:t>
      </w:r>
      <w:r w:rsidR="00FC5578">
        <w:rPr>
          <w:lang w:val="fr-CA"/>
        </w:rPr>
        <w:t xml:space="preserve"> </w:t>
      </w:r>
      <w:r w:rsidR="002C06D4">
        <w:rPr>
          <w:lang w:val="fr-CA"/>
        </w:rPr>
        <w:t>2</w:t>
      </w:r>
      <w:r w:rsidR="00C16E3F">
        <w:rPr>
          <w:lang w:val="fr-CA"/>
        </w:rPr>
        <w:t>8</w:t>
      </w:r>
      <w:r w:rsidR="002C06D4">
        <w:rPr>
          <w:lang w:val="fr-CA"/>
        </w:rPr>
        <w:t xml:space="preserve"> juin</w:t>
      </w:r>
      <w:r w:rsidR="00AC013C">
        <w:rPr>
          <w:lang w:val="fr-CA"/>
        </w:rPr>
        <w:t xml:space="preserve"> </w:t>
      </w:r>
      <w:r w:rsidR="00E60D9C">
        <w:rPr>
          <w:lang w:val="fr-CA"/>
        </w:rPr>
        <w:t xml:space="preserve">– </w:t>
      </w:r>
      <w:r w:rsidR="002C06D4">
        <w:rPr>
          <w:lang w:val="fr-CA"/>
        </w:rPr>
        <w:t>2 juillet</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1A5B4A3A" w14:textId="77777777" w:rsidR="00F52DAE" w:rsidRPr="006962DE" w:rsidRDefault="00F52DAE" w:rsidP="006962DE">
      <w:pPr>
        <w:jc w:val="left"/>
        <w:rPr>
          <w:lang w:val="fr-CA"/>
        </w:rPr>
      </w:pPr>
    </w:p>
    <w:p w14:paraId="2686275A" w14:textId="77777777" w:rsidR="00441083" w:rsidRPr="003B4F0B" w:rsidRDefault="00441083">
      <w:pPr>
        <w:pStyle w:val="Title1"/>
        <w:rPr>
          <w:bCs/>
          <w:lang w:val="fr-FR"/>
        </w:rPr>
      </w:pPr>
    </w:p>
    <w:p w14:paraId="6778199C" w14:textId="7C9D9238" w:rsidR="00441083" w:rsidRDefault="003B4F0B" w:rsidP="006962DE">
      <w:pPr>
        <w:pStyle w:val="Heading2"/>
        <w:numPr>
          <w:ilvl w:val="0"/>
          <w:numId w:val="0"/>
        </w:numPr>
        <w:ind w:left="1440"/>
        <w:jc w:val="center"/>
        <w:rPr>
          <w:b/>
          <w:bCs/>
          <w:lang w:val="fr-CA"/>
        </w:rPr>
      </w:pPr>
      <w:r w:rsidRPr="004B0C57">
        <w:rPr>
          <w:b/>
          <w:bCs/>
          <w:lang w:val="fr-CA"/>
        </w:rPr>
        <w:t>BUDGETS DU SECRÉTARIAT DU FONDS, APPROUVÉS POUR 2020, 2021, RÉVISÉ POUR 2022 ET PROPOSÉ POUR 2023</w:t>
      </w:r>
    </w:p>
    <w:p w14:paraId="43FF6541" w14:textId="77777777" w:rsidR="00F52DAE" w:rsidRPr="00F52DAE" w:rsidRDefault="00F52DAE" w:rsidP="00F52DAE">
      <w:pPr>
        <w:rPr>
          <w:lang w:val="fr-CA"/>
        </w:rPr>
      </w:pPr>
    </w:p>
    <w:p w14:paraId="057B74AE" w14:textId="2F1D81AC" w:rsidR="00441083" w:rsidRPr="004B0C57" w:rsidRDefault="003B4F0B" w:rsidP="00086007">
      <w:pPr>
        <w:pStyle w:val="StyleHeading1Para1Heading1CharHeading1Char3CharHeadin"/>
        <w:numPr>
          <w:ilvl w:val="0"/>
          <w:numId w:val="1"/>
        </w:numPr>
        <w:tabs>
          <w:tab w:val="clear" w:pos="0"/>
          <w:tab w:val="clear" w:pos="720"/>
          <w:tab w:val="left" w:pos="567"/>
        </w:tabs>
        <w:rPr>
          <w:szCs w:val="22"/>
          <w:lang w:val="fr-CA"/>
        </w:rPr>
      </w:pPr>
      <w:r w:rsidRPr="004B0C57">
        <w:rPr>
          <w:szCs w:val="22"/>
          <w:lang w:val="fr-CA"/>
        </w:rPr>
        <w:t xml:space="preserve">Le Secrétariat présente </w:t>
      </w:r>
      <w:r w:rsidR="002740DA">
        <w:rPr>
          <w:szCs w:val="22"/>
          <w:lang w:val="fr-CA"/>
        </w:rPr>
        <w:t>l</w:t>
      </w:r>
      <w:r w:rsidRPr="004B0C57">
        <w:rPr>
          <w:szCs w:val="22"/>
          <w:lang w:val="fr-CA"/>
        </w:rPr>
        <w:t xml:space="preserve">e document sur les budgets </w:t>
      </w:r>
      <w:r w:rsidR="00F52DAE" w:rsidRPr="004B0C57">
        <w:rPr>
          <w:szCs w:val="22"/>
          <w:lang w:val="fr-CA"/>
        </w:rPr>
        <w:t>approuvés, révisé</w:t>
      </w:r>
      <w:r w:rsidR="002740DA">
        <w:rPr>
          <w:szCs w:val="22"/>
          <w:lang w:val="fr-CA"/>
        </w:rPr>
        <w:t>s</w:t>
      </w:r>
      <w:r w:rsidR="00F52DAE" w:rsidRPr="004B0C57">
        <w:rPr>
          <w:szCs w:val="22"/>
          <w:lang w:val="fr-CA"/>
        </w:rPr>
        <w:t xml:space="preserve"> et proposé</w:t>
      </w:r>
      <w:r w:rsidR="002740DA">
        <w:rPr>
          <w:szCs w:val="22"/>
          <w:lang w:val="fr-CA"/>
        </w:rPr>
        <w:t>s</w:t>
      </w:r>
      <w:r w:rsidR="00F52DAE">
        <w:rPr>
          <w:szCs w:val="22"/>
          <w:lang w:val="fr-CA"/>
        </w:rPr>
        <w:t xml:space="preserve"> </w:t>
      </w:r>
      <w:r w:rsidRPr="004B0C57">
        <w:rPr>
          <w:szCs w:val="22"/>
          <w:lang w:val="fr-CA"/>
        </w:rPr>
        <w:t>du Secrétariat du Fonds aux fins d’examen et d’approbation par le Comité exécutif</w:t>
      </w:r>
      <w:r w:rsidR="004B0C57" w:rsidRPr="004B0C57">
        <w:rPr>
          <w:szCs w:val="22"/>
          <w:lang w:val="fr-CA"/>
        </w:rPr>
        <w:t xml:space="preserve">, à la dernière réunion de </w:t>
      </w:r>
      <w:r w:rsidR="006962DE">
        <w:rPr>
          <w:szCs w:val="22"/>
          <w:lang w:val="fr-CA"/>
        </w:rPr>
        <w:t xml:space="preserve">chaque </w:t>
      </w:r>
      <w:r w:rsidR="004B0C57" w:rsidRPr="004B0C57">
        <w:rPr>
          <w:szCs w:val="22"/>
          <w:lang w:val="fr-CA"/>
        </w:rPr>
        <w:t>année. À cause de la pandémie du COVID-19, la 86</w:t>
      </w:r>
      <w:r w:rsidR="004B0C57" w:rsidRPr="004B0C57">
        <w:rPr>
          <w:szCs w:val="22"/>
          <w:vertAlign w:val="superscript"/>
          <w:lang w:val="fr-CA"/>
        </w:rPr>
        <w:t>e</w:t>
      </w:r>
      <w:r w:rsidR="004B0C57" w:rsidRPr="004B0C57">
        <w:rPr>
          <w:szCs w:val="22"/>
          <w:lang w:val="fr-CA"/>
        </w:rPr>
        <w:t xml:space="preserve"> réunion (</w:t>
      </w:r>
      <w:r w:rsidR="006962DE">
        <w:rPr>
          <w:szCs w:val="22"/>
          <w:lang w:val="fr-CA"/>
        </w:rPr>
        <w:t>soit,</w:t>
      </w:r>
      <w:r w:rsidR="004B0C57" w:rsidRPr="004B0C57">
        <w:rPr>
          <w:szCs w:val="22"/>
          <w:lang w:val="fr-CA"/>
        </w:rPr>
        <w:t xml:space="preserve"> la dernière réunion de 2020, prévue initialement pour le mois de novembre) n’a pu se tenir en présentiel; conformément à la procédure adoptée pour la tenue de la 86</w:t>
      </w:r>
      <w:r w:rsidR="004B0C57" w:rsidRPr="004B0C57">
        <w:rPr>
          <w:szCs w:val="22"/>
          <w:vertAlign w:val="superscript"/>
          <w:lang w:val="fr-CA"/>
        </w:rPr>
        <w:t>e</w:t>
      </w:r>
      <w:r w:rsidR="004B0C57" w:rsidRPr="004B0C57">
        <w:rPr>
          <w:szCs w:val="22"/>
          <w:lang w:val="fr-CA"/>
        </w:rPr>
        <w:t xml:space="preserve"> réunion</w:t>
      </w:r>
      <w:r w:rsidR="004B0C57" w:rsidRPr="004B0C57">
        <w:rPr>
          <w:rStyle w:val="FootnoteReference"/>
          <w:szCs w:val="22"/>
          <w:lang w:val="fr-CA"/>
        </w:rPr>
        <w:footnoteReference w:id="2"/>
      </w:r>
      <w:r w:rsidR="004B0C57" w:rsidRPr="004B0C57">
        <w:rPr>
          <w:szCs w:val="22"/>
          <w:lang w:val="fr-CA"/>
        </w:rPr>
        <w:t xml:space="preserve">. L’examen </w:t>
      </w:r>
      <w:r w:rsidRPr="004B0C57">
        <w:rPr>
          <w:szCs w:val="22"/>
          <w:lang w:val="fr-CA"/>
        </w:rPr>
        <w:t>du</w:t>
      </w:r>
      <w:r w:rsidR="004B0C57" w:rsidRPr="004B0C57">
        <w:rPr>
          <w:szCs w:val="22"/>
          <w:lang w:val="fr-CA"/>
        </w:rPr>
        <w:t xml:space="preserve"> point de l’ordre du jour sur les budgets du Secrétariat du Fonds, approuvés pour 2020, 2021, révisé pour 2022 et proposé pour 2023</w:t>
      </w:r>
      <w:r w:rsidR="004B0C57" w:rsidRPr="004B0C57">
        <w:rPr>
          <w:rStyle w:val="FootnoteReference"/>
          <w:szCs w:val="22"/>
          <w:lang w:val="fr-CA"/>
        </w:rPr>
        <w:footnoteReference w:id="3"/>
      </w:r>
      <w:r w:rsidR="006962DE">
        <w:rPr>
          <w:szCs w:val="22"/>
          <w:lang w:val="fr-CA"/>
        </w:rPr>
        <w:t>,</w:t>
      </w:r>
      <w:r w:rsidR="004B0C57" w:rsidRPr="004B0C57">
        <w:rPr>
          <w:szCs w:val="22"/>
          <w:lang w:val="fr-CA"/>
        </w:rPr>
        <w:t xml:space="preserve"> avait été reporté à la 87</w:t>
      </w:r>
      <w:r w:rsidR="004B0C57" w:rsidRPr="004B0C57">
        <w:rPr>
          <w:szCs w:val="22"/>
          <w:vertAlign w:val="superscript"/>
          <w:lang w:val="fr-CA"/>
        </w:rPr>
        <w:t>e</w:t>
      </w:r>
      <w:r w:rsidR="004B0C57" w:rsidRPr="004B0C57">
        <w:rPr>
          <w:szCs w:val="22"/>
          <w:lang w:val="fr-CA"/>
        </w:rPr>
        <w:t xml:space="preserve"> réunion</w:t>
      </w:r>
      <w:r w:rsidR="004B0C57" w:rsidRPr="004B0C57">
        <w:rPr>
          <w:rStyle w:val="FootnoteReference"/>
          <w:szCs w:val="22"/>
          <w:lang w:val="fr-CA"/>
        </w:rPr>
        <w:footnoteReference w:id="4"/>
      </w:r>
      <w:r w:rsidR="00086007">
        <w:rPr>
          <w:szCs w:val="22"/>
          <w:lang w:val="fr-CA"/>
        </w:rPr>
        <w:t>.</w:t>
      </w:r>
    </w:p>
    <w:p w14:paraId="6C37E61D" w14:textId="0E5E39F5" w:rsidR="00441083" w:rsidRDefault="00086007" w:rsidP="0071530A">
      <w:pPr>
        <w:pStyle w:val="Heading1"/>
        <w:tabs>
          <w:tab w:val="left" w:pos="567"/>
        </w:tabs>
        <w:rPr>
          <w:lang w:val="fr-CA"/>
        </w:rPr>
      </w:pPr>
      <w:r>
        <w:rPr>
          <w:lang w:val="fr-CA"/>
        </w:rPr>
        <w:t>À sa 84</w:t>
      </w:r>
      <w:r w:rsidRPr="00086007">
        <w:rPr>
          <w:vertAlign w:val="superscript"/>
          <w:lang w:val="fr-CA"/>
        </w:rPr>
        <w:t>e</w:t>
      </w:r>
      <w:r>
        <w:rPr>
          <w:lang w:val="fr-CA"/>
        </w:rPr>
        <w:t xml:space="preserve"> réunion, le Comité exécutif a </w:t>
      </w:r>
      <w:r>
        <w:rPr>
          <w:i/>
          <w:iCs/>
          <w:lang w:val="fr-CA"/>
        </w:rPr>
        <w:t xml:space="preserve">entre autres </w:t>
      </w:r>
      <w:r>
        <w:rPr>
          <w:lang w:val="fr-CA"/>
        </w:rPr>
        <w:t xml:space="preserve">approuvé le budget du Secrétariat du Fonds, proposé pour 2022, à partir du budget approuvé pour 2021, incluant deux réunions </w:t>
      </w:r>
      <w:r w:rsidR="0071530A">
        <w:rPr>
          <w:lang w:val="fr-CA"/>
        </w:rPr>
        <w:t xml:space="preserve">du Comité exécutif </w:t>
      </w:r>
      <w:r>
        <w:rPr>
          <w:lang w:val="fr-CA"/>
        </w:rPr>
        <w:t>à Montréal et une augmentation de 3 pour cent des</w:t>
      </w:r>
      <w:r w:rsidR="006962DE">
        <w:rPr>
          <w:lang w:val="fr-CA"/>
        </w:rPr>
        <w:t xml:space="preserve"> coûts</w:t>
      </w:r>
      <w:r>
        <w:rPr>
          <w:lang w:val="fr-CA"/>
        </w:rPr>
        <w:t xml:space="preserve"> de personnel</w:t>
      </w:r>
      <w:r w:rsidR="00F52DAE">
        <w:rPr>
          <w:lang w:val="fr-CA"/>
        </w:rPr>
        <w:t>;</w:t>
      </w:r>
      <w:r>
        <w:rPr>
          <w:lang w:val="fr-CA"/>
        </w:rPr>
        <w:t xml:space="preserve"> et il a</w:t>
      </w:r>
      <w:r w:rsidR="0071530A">
        <w:rPr>
          <w:lang w:val="fr-CA"/>
        </w:rPr>
        <w:t xml:space="preserve"> pri</w:t>
      </w:r>
      <w:r>
        <w:rPr>
          <w:lang w:val="fr-CA"/>
        </w:rPr>
        <w:t>é</w:t>
      </w:r>
      <w:r w:rsidR="0071530A">
        <w:rPr>
          <w:lang w:val="fr-CA"/>
        </w:rPr>
        <w:t xml:space="preserve"> le Secré</w:t>
      </w:r>
      <w:r>
        <w:rPr>
          <w:lang w:val="fr-CA"/>
        </w:rPr>
        <w:t>tariat de continuer</w:t>
      </w:r>
      <w:r w:rsidR="0071530A">
        <w:rPr>
          <w:lang w:val="fr-CA"/>
        </w:rPr>
        <w:t xml:space="preserve"> de</w:t>
      </w:r>
      <w:r>
        <w:rPr>
          <w:lang w:val="fr-CA"/>
        </w:rPr>
        <w:t xml:space="preserve"> suivre ses </w:t>
      </w:r>
      <w:r w:rsidR="006962DE">
        <w:rPr>
          <w:lang w:val="fr-CA"/>
        </w:rPr>
        <w:t>coûts</w:t>
      </w:r>
      <w:r>
        <w:rPr>
          <w:lang w:val="fr-CA"/>
        </w:rPr>
        <w:t xml:space="preserve"> de personnel, en vue d’évaluer le taux d’augmentation </w:t>
      </w:r>
      <w:r w:rsidR="006962DE">
        <w:rPr>
          <w:lang w:val="fr-CA"/>
        </w:rPr>
        <w:t xml:space="preserve">approprié </w:t>
      </w:r>
      <w:r w:rsidR="0071530A">
        <w:rPr>
          <w:lang w:val="fr-CA"/>
        </w:rPr>
        <w:t>pour les prochaines années, et de faire rapport à la 86</w:t>
      </w:r>
      <w:r w:rsidR="0071530A" w:rsidRPr="0071530A">
        <w:rPr>
          <w:vertAlign w:val="superscript"/>
          <w:lang w:val="fr-CA"/>
        </w:rPr>
        <w:t>e</w:t>
      </w:r>
      <w:r w:rsidR="0071530A">
        <w:rPr>
          <w:lang w:val="fr-CA"/>
        </w:rPr>
        <w:t xml:space="preserve"> réunion, </w:t>
      </w:r>
      <w:r w:rsidR="00F52DAE">
        <w:rPr>
          <w:lang w:val="fr-CA"/>
        </w:rPr>
        <w:t xml:space="preserve">en tenant </w:t>
      </w:r>
      <w:r w:rsidR="0071530A">
        <w:rPr>
          <w:lang w:val="fr-CA"/>
        </w:rPr>
        <w:t>compte des dépenses du Secrétariat présentées dans les comptes finaux de 2019 (décision 84/6(b)(ii) et (c)).</w:t>
      </w:r>
    </w:p>
    <w:p w14:paraId="05F62204" w14:textId="28847669" w:rsidR="0071530A" w:rsidRDefault="0071530A" w:rsidP="0071530A">
      <w:pPr>
        <w:pStyle w:val="Heading1"/>
        <w:rPr>
          <w:lang w:val="fr-CA"/>
        </w:rPr>
      </w:pPr>
      <w:r>
        <w:rPr>
          <w:lang w:val="fr-CA"/>
        </w:rPr>
        <w:t xml:space="preserve">Le présent document contient une analyse des </w:t>
      </w:r>
      <w:r w:rsidR="006962DE">
        <w:rPr>
          <w:lang w:val="fr-CA"/>
        </w:rPr>
        <w:t>coût</w:t>
      </w:r>
      <w:r>
        <w:rPr>
          <w:lang w:val="fr-CA"/>
        </w:rPr>
        <w:t xml:space="preserve">s de personnel pour les trois dernières années afin de déterminer le taux d’augmentation </w:t>
      </w:r>
      <w:r w:rsidR="006962DE">
        <w:rPr>
          <w:lang w:val="fr-CA"/>
        </w:rPr>
        <w:t xml:space="preserve">approprié </w:t>
      </w:r>
      <w:r>
        <w:rPr>
          <w:lang w:val="fr-CA"/>
        </w:rPr>
        <w:t xml:space="preserve">pour les prochaines années, en réponse à la décision 84/6(c), et il présente les budgets du Secrétariat du Fonds, approuvés pour 2020, 2021, révisé pour 2022 et proposé pour 2023, sur la base de cette analyse. </w:t>
      </w:r>
    </w:p>
    <w:p w14:paraId="7ED23BA3" w14:textId="2FB26643" w:rsidR="0071530A" w:rsidRDefault="0071530A" w:rsidP="00EF6167">
      <w:pPr>
        <w:pStyle w:val="Heading1"/>
        <w:keepNext/>
        <w:keepLines/>
        <w:tabs>
          <w:tab w:val="left" w:pos="567"/>
        </w:tabs>
        <w:rPr>
          <w:lang w:val="fr-CA"/>
        </w:rPr>
      </w:pPr>
      <w:r>
        <w:rPr>
          <w:lang w:val="fr-CA"/>
        </w:rPr>
        <w:lastRenderedPageBreak/>
        <w:t>Il comprend les sections suivantes :</w:t>
      </w:r>
    </w:p>
    <w:p w14:paraId="6A09DB66" w14:textId="5F0B74CC" w:rsidR="0071530A" w:rsidRDefault="0071530A" w:rsidP="00EF6167">
      <w:pPr>
        <w:pStyle w:val="ListParagraph"/>
        <w:keepNext/>
        <w:keepLines/>
        <w:numPr>
          <w:ilvl w:val="0"/>
          <w:numId w:val="23"/>
        </w:numPr>
        <w:tabs>
          <w:tab w:val="left" w:pos="1134"/>
        </w:tabs>
        <w:ind w:left="567" w:firstLine="0"/>
        <w:rPr>
          <w:lang w:val="fr-CA"/>
        </w:rPr>
      </w:pPr>
      <w:r>
        <w:rPr>
          <w:lang w:val="fr-CA"/>
        </w:rPr>
        <w:t>Analyse des frais de personnel</w:t>
      </w:r>
    </w:p>
    <w:p w14:paraId="558C9C89" w14:textId="08D7FAE2" w:rsidR="0071530A" w:rsidRDefault="0071530A" w:rsidP="00F52DAE">
      <w:pPr>
        <w:pStyle w:val="ListParagraph"/>
        <w:numPr>
          <w:ilvl w:val="0"/>
          <w:numId w:val="23"/>
        </w:numPr>
        <w:ind w:left="1134" w:hanging="567"/>
        <w:rPr>
          <w:lang w:val="fr-CA"/>
        </w:rPr>
      </w:pPr>
      <w:r>
        <w:rPr>
          <w:lang w:val="fr-CA"/>
        </w:rPr>
        <w:t>Budgets approuvés pour 2020 et 2021</w:t>
      </w:r>
    </w:p>
    <w:p w14:paraId="60C05364" w14:textId="4435514F" w:rsidR="0071530A" w:rsidRDefault="0071530A" w:rsidP="00F52DAE">
      <w:pPr>
        <w:pStyle w:val="ListParagraph"/>
        <w:numPr>
          <w:ilvl w:val="0"/>
          <w:numId w:val="23"/>
        </w:numPr>
        <w:ind w:left="1134" w:hanging="567"/>
        <w:rPr>
          <w:lang w:val="fr-CA"/>
        </w:rPr>
      </w:pPr>
      <w:r>
        <w:rPr>
          <w:lang w:val="fr-CA"/>
        </w:rPr>
        <w:t>Budget révisé pour 2022</w:t>
      </w:r>
    </w:p>
    <w:p w14:paraId="4C7D1598" w14:textId="74B1972A" w:rsidR="0071530A" w:rsidRDefault="0071530A" w:rsidP="00F52DAE">
      <w:pPr>
        <w:pStyle w:val="ListParagraph"/>
        <w:numPr>
          <w:ilvl w:val="0"/>
          <w:numId w:val="23"/>
        </w:numPr>
        <w:ind w:left="1134" w:hanging="567"/>
        <w:rPr>
          <w:lang w:val="fr-CA"/>
        </w:rPr>
      </w:pPr>
      <w:r>
        <w:rPr>
          <w:lang w:val="fr-CA"/>
        </w:rPr>
        <w:t>Budget proposé pour 2023</w:t>
      </w:r>
    </w:p>
    <w:p w14:paraId="5C012170" w14:textId="68A02867" w:rsidR="0071530A" w:rsidRDefault="0071530A" w:rsidP="00F52DAE">
      <w:pPr>
        <w:pStyle w:val="ListParagraph"/>
        <w:numPr>
          <w:ilvl w:val="0"/>
          <w:numId w:val="23"/>
        </w:numPr>
        <w:ind w:left="1134" w:hanging="567"/>
        <w:rPr>
          <w:lang w:val="fr-CA"/>
        </w:rPr>
      </w:pPr>
      <w:r>
        <w:rPr>
          <w:lang w:val="fr-CA"/>
        </w:rPr>
        <w:t>Recommandation</w:t>
      </w:r>
    </w:p>
    <w:p w14:paraId="633ADBE5" w14:textId="3B63ADA0" w:rsidR="0071530A" w:rsidRDefault="0071530A" w:rsidP="0071530A">
      <w:pPr>
        <w:rPr>
          <w:lang w:val="fr-CA"/>
        </w:rPr>
      </w:pPr>
    </w:p>
    <w:p w14:paraId="7A08A0E6" w14:textId="7888DA53" w:rsidR="0071530A" w:rsidRDefault="0071530A" w:rsidP="0071530A">
      <w:pPr>
        <w:pStyle w:val="Heading1"/>
        <w:tabs>
          <w:tab w:val="left" w:pos="567"/>
        </w:tabs>
        <w:rPr>
          <w:lang w:val="fr-CA"/>
        </w:rPr>
      </w:pPr>
      <w:r>
        <w:rPr>
          <w:lang w:val="fr-CA"/>
        </w:rPr>
        <w:t>Les budgets du Secrétariat du Fonds, approuvés pour 2020 et 2021, révisé pour 2022 et proposé pour 2023</w:t>
      </w:r>
      <w:r w:rsidR="006962DE">
        <w:rPr>
          <w:lang w:val="fr-CA"/>
        </w:rPr>
        <w:t>,</w:t>
      </w:r>
      <w:r>
        <w:rPr>
          <w:lang w:val="fr-CA"/>
        </w:rPr>
        <w:t xml:space="preserve"> </w:t>
      </w:r>
      <w:r w:rsidR="006962DE">
        <w:rPr>
          <w:lang w:val="fr-CA"/>
        </w:rPr>
        <w:t>figurent</w:t>
      </w:r>
      <w:r w:rsidR="0073217C">
        <w:rPr>
          <w:lang w:val="fr-CA"/>
        </w:rPr>
        <w:t xml:space="preserve"> à l’Annexe I au présent document.</w:t>
      </w:r>
    </w:p>
    <w:p w14:paraId="21A5BE4B" w14:textId="753BE511" w:rsidR="0073217C" w:rsidRDefault="0073217C" w:rsidP="0073217C">
      <w:pPr>
        <w:rPr>
          <w:b/>
          <w:bCs/>
          <w:lang w:val="fr-CA"/>
        </w:rPr>
      </w:pPr>
      <w:r>
        <w:rPr>
          <w:b/>
          <w:bCs/>
          <w:lang w:val="fr-CA"/>
        </w:rPr>
        <w:t xml:space="preserve">Analyse des </w:t>
      </w:r>
      <w:r w:rsidR="00F52DAE">
        <w:rPr>
          <w:b/>
          <w:bCs/>
          <w:lang w:val="fr-CA"/>
        </w:rPr>
        <w:t>coûts</w:t>
      </w:r>
      <w:r>
        <w:rPr>
          <w:b/>
          <w:bCs/>
          <w:lang w:val="fr-CA"/>
        </w:rPr>
        <w:t xml:space="preserve"> de personnel</w:t>
      </w:r>
    </w:p>
    <w:p w14:paraId="48AB4FB1" w14:textId="6F1D20C6" w:rsidR="0073217C" w:rsidRDefault="0073217C" w:rsidP="0073217C">
      <w:pPr>
        <w:rPr>
          <w:b/>
          <w:bCs/>
          <w:lang w:val="fr-CA"/>
        </w:rPr>
      </w:pPr>
    </w:p>
    <w:p w14:paraId="3F7E2521" w14:textId="13E5FCF7" w:rsidR="005919AF" w:rsidRDefault="0073217C" w:rsidP="0073217C">
      <w:pPr>
        <w:pStyle w:val="Heading1"/>
        <w:tabs>
          <w:tab w:val="left" w:pos="567"/>
        </w:tabs>
        <w:rPr>
          <w:lang w:val="fr-CA"/>
        </w:rPr>
      </w:pPr>
      <w:r>
        <w:rPr>
          <w:lang w:val="fr-CA"/>
        </w:rPr>
        <w:t xml:space="preserve">En réponse à la demande du Comité exécutif, le Secrétariat a examiné ses </w:t>
      </w:r>
      <w:r w:rsidR="006962DE">
        <w:rPr>
          <w:lang w:val="fr-CA"/>
        </w:rPr>
        <w:t>coûts</w:t>
      </w:r>
      <w:r>
        <w:rPr>
          <w:lang w:val="fr-CA"/>
        </w:rPr>
        <w:t xml:space="preserve"> de personnel à la 60</w:t>
      </w:r>
      <w:r w:rsidRPr="0073217C">
        <w:rPr>
          <w:vertAlign w:val="superscript"/>
          <w:lang w:val="fr-CA"/>
        </w:rPr>
        <w:t>e</w:t>
      </w:r>
      <w:r w:rsidR="00FD03E5" w:rsidRPr="00B130A1">
        <w:rPr>
          <w:lang w:val="fr-CA"/>
        </w:rPr>
        <w:t> </w:t>
      </w:r>
      <w:r>
        <w:rPr>
          <w:lang w:val="fr-CA"/>
        </w:rPr>
        <w:t>réunion</w:t>
      </w:r>
      <w:r w:rsidR="006962DE">
        <w:rPr>
          <w:lang w:val="fr-CA"/>
        </w:rPr>
        <w:t>,</w:t>
      </w:r>
      <w:r w:rsidR="006962DE">
        <w:rPr>
          <w:rStyle w:val="FootnoteReference"/>
          <w:lang w:val="fr-CA"/>
        </w:rPr>
        <w:footnoteReference w:id="5"/>
      </w:r>
      <w:r w:rsidR="006962DE">
        <w:rPr>
          <w:lang w:val="fr-CA"/>
        </w:rPr>
        <w:t xml:space="preserve"> au cours de laquelle l’augmentation annuelle du budget du personnel a été ajustée de </w:t>
      </w:r>
      <w:r w:rsidR="00FD03E5">
        <w:rPr>
          <w:lang w:val="fr-CA"/>
        </w:rPr>
        <w:br/>
      </w:r>
      <w:r w:rsidR="006962DE">
        <w:rPr>
          <w:lang w:val="fr-CA"/>
        </w:rPr>
        <w:t>5 à 3 pour cen</w:t>
      </w:r>
      <w:r w:rsidR="00F52DAE">
        <w:rPr>
          <w:lang w:val="fr-CA"/>
        </w:rPr>
        <w:t>t</w:t>
      </w:r>
      <w:r w:rsidR="006962DE">
        <w:rPr>
          <w:lang w:val="fr-CA"/>
        </w:rPr>
        <w:t xml:space="preserve"> (décision 60/49)</w:t>
      </w:r>
      <w:r w:rsidR="00446414">
        <w:rPr>
          <w:lang w:val="fr-CA"/>
        </w:rPr>
        <w:t>, et à la 65</w:t>
      </w:r>
      <w:r w:rsidR="00446414" w:rsidRPr="00446414">
        <w:rPr>
          <w:vertAlign w:val="superscript"/>
          <w:lang w:val="fr-CA"/>
        </w:rPr>
        <w:t>e</w:t>
      </w:r>
      <w:r w:rsidR="00446414">
        <w:rPr>
          <w:lang w:val="fr-CA"/>
        </w:rPr>
        <w:t xml:space="preserve"> réunion</w:t>
      </w:r>
      <w:r w:rsidR="00446414">
        <w:rPr>
          <w:rStyle w:val="FootnoteReference"/>
          <w:lang w:val="fr-CA"/>
        </w:rPr>
        <w:footnoteReference w:id="6"/>
      </w:r>
      <w:r w:rsidR="00446414">
        <w:rPr>
          <w:lang w:val="fr-CA"/>
        </w:rPr>
        <w:t xml:space="preserve">, au cours de laquelle l’augmentation de 3 pour cent a été maintenue, suite à la démonstration qu’une telle augmentation annuelle était suffisante pour couvrir les coûts de personnel et </w:t>
      </w:r>
      <w:r w:rsidR="005919AF">
        <w:rPr>
          <w:lang w:val="fr-CA"/>
        </w:rPr>
        <w:t>inclure une réserve pour des coûts imprévus, et qu’elle se situait à l’intérieur des normes des Nations Unies en matière de pratiques budgétaires (décision 65/52(b)).</w:t>
      </w:r>
      <w:r w:rsidR="005919AF">
        <w:rPr>
          <w:rStyle w:val="FootnoteReference"/>
          <w:lang w:val="fr-CA"/>
        </w:rPr>
        <w:footnoteReference w:id="7"/>
      </w:r>
    </w:p>
    <w:p w14:paraId="09D9BD6B" w14:textId="0B4D8AAE" w:rsidR="0071673A" w:rsidRPr="0071673A" w:rsidRDefault="005919AF" w:rsidP="0071673A">
      <w:pPr>
        <w:pStyle w:val="Heading1"/>
        <w:tabs>
          <w:tab w:val="left" w:pos="567"/>
        </w:tabs>
        <w:rPr>
          <w:lang w:val="fr-CA"/>
        </w:rPr>
      </w:pPr>
      <w:r>
        <w:rPr>
          <w:lang w:val="fr-CA"/>
        </w:rPr>
        <w:t>L’</w:t>
      </w:r>
      <w:r w:rsidR="00944ED9">
        <w:rPr>
          <w:lang w:val="fr-CA"/>
        </w:rPr>
        <w:t>analyse</w:t>
      </w:r>
      <w:r>
        <w:rPr>
          <w:lang w:val="fr-CA"/>
        </w:rPr>
        <w:t xml:space="preserve"> présenté</w:t>
      </w:r>
      <w:r w:rsidR="00944ED9">
        <w:rPr>
          <w:lang w:val="fr-CA"/>
        </w:rPr>
        <w:t>e</w:t>
      </w:r>
      <w:r>
        <w:rPr>
          <w:lang w:val="fr-CA"/>
        </w:rPr>
        <w:t xml:space="preserve"> à la 65</w:t>
      </w:r>
      <w:r w:rsidRPr="005919AF">
        <w:rPr>
          <w:vertAlign w:val="superscript"/>
          <w:lang w:val="fr-CA"/>
        </w:rPr>
        <w:t>e</w:t>
      </w:r>
      <w:r>
        <w:rPr>
          <w:lang w:val="fr-CA"/>
        </w:rPr>
        <w:t xml:space="preserve"> réunion a</w:t>
      </w:r>
      <w:r w:rsidR="0071673A">
        <w:rPr>
          <w:lang w:val="fr-CA"/>
        </w:rPr>
        <w:t>vait</w:t>
      </w:r>
      <w:r>
        <w:rPr>
          <w:lang w:val="fr-CA"/>
        </w:rPr>
        <w:t xml:space="preserve"> </w:t>
      </w:r>
      <w:r w:rsidR="00F52DAE">
        <w:rPr>
          <w:lang w:val="fr-CA"/>
        </w:rPr>
        <w:t>examiné</w:t>
      </w:r>
      <w:r>
        <w:rPr>
          <w:lang w:val="fr-CA"/>
        </w:rPr>
        <w:t xml:space="preserve"> aussi les coûts</w:t>
      </w:r>
      <w:r w:rsidR="0071673A">
        <w:rPr>
          <w:lang w:val="fr-CA"/>
        </w:rPr>
        <w:t xml:space="preserve"> réels de personnel</w:t>
      </w:r>
      <w:r>
        <w:rPr>
          <w:lang w:val="fr-CA"/>
        </w:rPr>
        <w:t xml:space="preserve"> encourus</w:t>
      </w:r>
      <w:r w:rsidR="002F20AC">
        <w:rPr>
          <w:lang w:val="fr-CA"/>
        </w:rPr>
        <w:t>,</w:t>
      </w:r>
      <w:r>
        <w:rPr>
          <w:lang w:val="fr-CA"/>
        </w:rPr>
        <w:t xml:space="preserve"> par rapport a</w:t>
      </w:r>
      <w:r w:rsidR="002F20AC">
        <w:rPr>
          <w:lang w:val="fr-CA"/>
        </w:rPr>
        <w:t>u budget approuvé</w:t>
      </w:r>
      <w:r w:rsidR="0071673A">
        <w:rPr>
          <w:lang w:val="fr-CA"/>
        </w:rPr>
        <w:t>,</w:t>
      </w:r>
      <w:r w:rsidR="002F20AC">
        <w:rPr>
          <w:lang w:val="fr-CA"/>
        </w:rPr>
        <w:t xml:space="preserve"> avec une augmentation de 3 pour cent par rapport au budget approuvé de l’année précédent</w:t>
      </w:r>
      <w:r w:rsidR="0071673A">
        <w:rPr>
          <w:lang w:val="fr-CA"/>
        </w:rPr>
        <w:t>e</w:t>
      </w:r>
      <w:r w:rsidR="002F20AC">
        <w:rPr>
          <w:lang w:val="fr-CA"/>
        </w:rPr>
        <w:t xml:space="preserve">, et </w:t>
      </w:r>
      <w:r w:rsidR="00944ED9">
        <w:rPr>
          <w:lang w:val="fr-CA"/>
        </w:rPr>
        <w:t>sur la base</w:t>
      </w:r>
      <w:r w:rsidR="002F20AC">
        <w:rPr>
          <w:lang w:val="fr-CA"/>
        </w:rPr>
        <w:t xml:space="preserve"> d’un taux d’occupation complet. </w:t>
      </w:r>
      <w:r w:rsidR="00944ED9">
        <w:rPr>
          <w:lang w:val="fr-CA"/>
        </w:rPr>
        <w:t>Avec</w:t>
      </w:r>
      <w:r w:rsidR="002F20AC">
        <w:rPr>
          <w:lang w:val="fr-CA"/>
        </w:rPr>
        <w:t xml:space="preserve"> cette approche, plusieurs postes du budget du personnel affichaient des soldes non dépensés qui vari</w:t>
      </w:r>
      <w:r w:rsidR="0071673A">
        <w:rPr>
          <w:lang w:val="fr-CA"/>
        </w:rPr>
        <w:t>ai</w:t>
      </w:r>
      <w:r w:rsidR="002F20AC">
        <w:rPr>
          <w:lang w:val="fr-CA"/>
        </w:rPr>
        <w:t xml:space="preserve">ent selon </w:t>
      </w:r>
      <w:r w:rsidR="002F20AC">
        <w:rPr>
          <w:i/>
          <w:iCs/>
          <w:lang w:val="fr-CA"/>
        </w:rPr>
        <w:t>entre autres</w:t>
      </w:r>
      <w:r w:rsidR="002F20AC">
        <w:rPr>
          <w:lang w:val="fr-CA"/>
        </w:rPr>
        <w:t xml:space="preserve"> les changements dans les droits du personnel et le statut correspondant. </w:t>
      </w:r>
      <w:r w:rsidR="0071673A">
        <w:rPr>
          <w:lang w:val="fr-CA"/>
        </w:rPr>
        <w:t>Tous les soldes non dépensés sont re</w:t>
      </w:r>
      <w:r w:rsidR="00944ED9">
        <w:rPr>
          <w:lang w:val="fr-CA"/>
        </w:rPr>
        <w:t>mis</w:t>
      </w:r>
      <w:r w:rsidR="0071673A">
        <w:rPr>
          <w:lang w:val="fr-CA"/>
        </w:rPr>
        <w:t xml:space="preserve"> immédiatement au Fonds multilatéral, à la clôture des comptes du Fonds</w:t>
      </w:r>
      <w:r w:rsidR="00944ED9">
        <w:rPr>
          <w:lang w:val="fr-CA"/>
        </w:rPr>
        <w:t xml:space="preserve"> </w:t>
      </w:r>
      <w:r w:rsidR="0071673A">
        <w:rPr>
          <w:lang w:val="fr-CA"/>
        </w:rPr>
        <w:t>à la fin de chaque année.</w:t>
      </w:r>
    </w:p>
    <w:p w14:paraId="283EA3ED" w14:textId="2E011F8B" w:rsidR="005919AF" w:rsidRDefault="0071673A" w:rsidP="0073217C">
      <w:pPr>
        <w:pStyle w:val="Heading1"/>
        <w:tabs>
          <w:tab w:val="left" w:pos="567"/>
        </w:tabs>
        <w:rPr>
          <w:lang w:val="fr-CA"/>
        </w:rPr>
      </w:pPr>
      <w:r>
        <w:rPr>
          <w:lang w:val="fr-CA"/>
        </w:rPr>
        <w:t>Le tableau 1 présente une analyse des budgets d</w:t>
      </w:r>
      <w:r w:rsidR="00773AFA">
        <w:rPr>
          <w:lang w:val="fr-CA"/>
        </w:rPr>
        <w:t>u personnel approuvés pour</w:t>
      </w:r>
      <w:r>
        <w:rPr>
          <w:lang w:val="fr-CA"/>
        </w:rPr>
        <w:t xml:space="preserve"> 2018-2020</w:t>
      </w:r>
      <w:r w:rsidR="00773AFA">
        <w:rPr>
          <w:lang w:val="fr-CA"/>
        </w:rPr>
        <w:t xml:space="preserve"> </w:t>
      </w:r>
      <w:r>
        <w:rPr>
          <w:lang w:val="fr-CA"/>
        </w:rPr>
        <w:t>et des d</w:t>
      </w:r>
      <w:r w:rsidR="002F20AC">
        <w:rPr>
          <w:lang w:val="fr-CA"/>
        </w:rPr>
        <w:t>é</w:t>
      </w:r>
      <w:r>
        <w:rPr>
          <w:lang w:val="fr-CA"/>
        </w:rPr>
        <w:t>penses réelles (telles que déclarées dans les comptes finaux du Fonds en 2018 et 2019 et dans les comptes provisoires de 2020), ainsi que les soldes non dépensés, re</w:t>
      </w:r>
      <w:r w:rsidR="00944ED9">
        <w:rPr>
          <w:lang w:val="fr-CA"/>
        </w:rPr>
        <w:t>mi</w:t>
      </w:r>
      <w:r>
        <w:rPr>
          <w:lang w:val="fr-CA"/>
        </w:rPr>
        <w:t xml:space="preserve">s au Fonds multilatéral en 2018 et 2019. </w:t>
      </w:r>
      <w:r w:rsidR="002F20AC">
        <w:rPr>
          <w:lang w:val="fr-CA"/>
        </w:rPr>
        <w:t xml:space="preserve"> </w:t>
      </w:r>
    </w:p>
    <w:p w14:paraId="4BE5533D" w14:textId="262EFB39" w:rsidR="00773AFA" w:rsidRPr="00773AFA" w:rsidRDefault="00773AFA" w:rsidP="00773AFA">
      <w:pPr>
        <w:outlineLvl w:val="0"/>
        <w:rPr>
          <w:b/>
          <w:sz w:val="21"/>
          <w:szCs w:val="21"/>
          <w:lang w:val="fr-CA"/>
        </w:rPr>
      </w:pPr>
      <w:r w:rsidRPr="00773AFA">
        <w:rPr>
          <w:b/>
          <w:sz w:val="21"/>
          <w:szCs w:val="21"/>
          <w:lang w:val="fr-CA"/>
        </w:rPr>
        <w:t>Tableau 1: Budgets du personnel approuvés pour 2018-2020, dé</w:t>
      </w:r>
      <w:r>
        <w:rPr>
          <w:b/>
          <w:sz w:val="21"/>
          <w:szCs w:val="21"/>
          <w:lang w:val="fr-CA"/>
        </w:rPr>
        <w:t>penses réelles et soldes ($US)</w:t>
      </w:r>
      <w:r w:rsidRPr="00773AFA">
        <w:rPr>
          <w:b/>
          <w:sz w:val="21"/>
          <w:szCs w:val="21"/>
          <w:lang w:val="fr-CA"/>
        </w:rPr>
        <w:t xml:space="preserve"> </w:t>
      </w:r>
    </w:p>
    <w:tbl>
      <w:tblPr>
        <w:tblStyle w:val="TableGrid"/>
        <w:tblW w:w="9355" w:type="dxa"/>
        <w:tblLook w:val="04A0" w:firstRow="1" w:lastRow="0" w:firstColumn="1" w:lastColumn="0" w:noHBand="0" w:noVBand="1"/>
      </w:tblPr>
      <w:tblGrid>
        <w:gridCol w:w="2875"/>
        <w:gridCol w:w="2160"/>
        <w:gridCol w:w="2160"/>
        <w:gridCol w:w="2160"/>
      </w:tblGrid>
      <w:tr w:rsidR="00773AFA" w:rsidRPr="00773AFA" w14:paraId="634E068E" w14:textId="77777777" w:rsidTr="00DC0EE3">
        <w:tc>
          <w:tcPr>
            <w:tcW w:w="2875" w:type="dxa"/>
          </w:tcPr>
          <w:p w14:paraId="37B734CF" w14:textId="77777777" w:rsidR="00773AFA" w:rsidRPr="00773AFA" w:rsidRDefault="00773AFA" w:rsidP="00DC0EE3">
            <w:pPr>
              <w:jc w:val="left"/>
              <w:outlineLvl w:val="0"/>
              <w:rPr>
                <w:b/>
                <w:sz w:val="21"/>
                <w:szCs w:val="21"/>
                <w:lang w:val="fr-FR"/>
              </w:rPr>
            </w:pPr>
            <w:r w:rsidRPr="00773AFA">
              <w:rPr>
                <w:b/>
                <w:sz w:val="21"/>
                <w:szCs w:val="21"/>
                <w:lang w:val="fr-FR"/>
              </w:rPr>
              <w:t>Description</w:t>
            </w:r>
          </w:p>
        </w:tc>
        <w:tc>
          <w:tcPr>
            <w:tcW w:w="2160" w:type="dxa"/>
          </w:tcPr>
          <w:p w14:paraId="0A71C763" w14:textId="77777777" w:rsidR="00773AFA" w:rsidRPr="00773AFA" w:rsidRDefault="00773AFA" w:rsidP="00DC0EE3">
            <w:pPr>
              <w:jc w:val="center"/>
              <w:outlineLvl w:val="0"/>
              <w:rPr>
                <w:b/>
                <w:sz w:val="21"/>
                <w:szCs w:val="21"/>
                <w:lang w:val="fr-FR"/>
              </w:rPr>
            </w:pPr>
            <w:r w:rsidRPr="00773AFA">
              <w:rPr>
                <w:b/>
                <w:sz w:val="21"/>
                <w:szCs w:val="21"/>
                <w:lang w:val="fr-FR"/>
              </w:rPr>
              <w:t>2018</w:t>
            </w:r>
          </w:p>
        </w:tc>
        <w:tc>
          <w:tcPr>
            <w:tcW w:w="2160" w:type="dxa"/>
          </w:tcPr>
          <w:p w14:paraId="49FAE0CE" w14:textId="77777777" w:rsidR="00773AFA" w:rsidRPr="00773AFA" w:rsidRDefault="00773AFA" w:rsidP="00DC0EE3">
            <w:pPr>
              <w:jc w:val="center"/>
              <w:outlineLvl w:val="0"/>
              <w:rPr>
                <w:b/>
                <w:sz w:val="21"/>
                <w:szCs w:val="21"/>
                <w:lang w:val="fr-FR"/>
              </w:rPr>
            </w:pPr>
            <w:r w:rsidRPr="00773AFA">
              <w:rPr>
                <w:b/>
                <w:sz w:val="21"/>
                <w:szCs w:val="21"/>
                <w:lang w:val="fr-FR"/>
              </w:rPr>
              <w:t>2019</w:t>
            </w:r>
          </w:p>
        </w:tc>
        <w:tc>
          <w:tcPr>
            <w:tcW w:w="2160" w:type="dxa"/>
          </w:tcPr>
          <w:p w14:paraId="388F0F62" w14:textId="77777777" w:rsidR="00773AFA" w:rsidRPr="00773AFA" w:rsidRDefault="00773AFA" w:rsidP="00DC0EE3">
            <w:pPr>
              <w:jc w:val="center"/>
              <w:outlineLvl w:val="0"/>
              <w:rPr>
                <w:b/>
                <w:sz w:val="21"/>
                <w:szCs w:val="21"/>
                <w:lang w:val="fr-FR"/>
              </w:rPr>
            </w:pPr>
            <w:r w:rsidRPr="00773AFA">
              <w:rPr>
                <w:b/>
                <w:sz w:val="21"/>
                <w:szCs w:val="21"/>
                <w:lang w:val="fr-FR"/>
              </w:rPr>
              <w:t>2020*</w:t>
            </w:r>
          </w:p>
        </w:tc>
      </w:tr>
      <w:tr w:rsidR="00773AFA" w:rsidRPr="00773AFA" w14:paraId="05ACEDFE" w14:textId="77777777" w:rsidTr="00DC0EE3">
        <w:tc>
          <w:tcPr>
            <w:tcW w:w="2875" w:type="dxa"/>
          </w:tcPr>
          <w:p w14:paraId="435E5B44" w14:textId="18571282" w:rsidR="00773AFA" w:rsidRPr="00773AFA" w:rsidRDefault="00773AFA" w:rsidP="00DC0EE3">
            <w:pPr>
              <w:outlineLvl w:val="0"/>
              <w:rPr>
                <w:sz w:val="21"/>
                <w:szCs w:val="21"/>
                <w:lang w:val="fr-FR"/>
              </w:rPr>
            </w:pPr>
            <w:r>
              <w:rPr>
                <w:sz w:val="21"/>
                <w:szCs w:val="21"/>
                <w:lang w:val="fr-FR"/>
              </w:rPr>
              <w:t xml:space="preserve">Budget du personnel approuvé </w:t>
            </w:r>
          </w:p>
        </w:tc>
        <w:tc>
          <w:tcPr>
            <w:tcW w:w="2160" w:type="dxa"/>
            <w:tcMar>
              <w:left w:w="115" w:type="dxa"/>
              <w:right w:w="288" w:type="dxa"/>
            </w:tcMar>
          </w:tcPr>
          <w:p w14:paraId="15E005D7" w14:textId="45F35372" w:rsidR="00773AFA" w:rsidRPr="00773AFA" w:rsidRDefault="00773AFA" w:rsidP="00DC0EE3">
            <w:pPr>
              <w:jc w:val="right"/>
              <w:outlineLvl w:val="0"/>
              <w:rPr>
                <w:sz w:val="21"/>
                <w:szCs w:val="21"/>
                <w:lang w:val="fr-FR"/>
              </w:rPr>
            </w:pPr>
            <w:r w:rsidRPr="00773AFA">
              <w:rPr>
                <w:sz w:val="21"/>
                <w:szCs w:val="21"/>
                <w:lang w:val="fr-FR"/>
              </w:rPr>
              <w:t>4</w:t>
            </w:r>
            <w:r>
              <w:rPr>
                <w:sz w:val="21"/>
                <w:szCs w:val="21"/>
                <w:lang w:val="fr-FR"/>
              </w:rPr>
              <w:t xml:space="preserve"> </w:t>
            </w:r>
            <w:r w:rsidRPr="00773AFA">
              <w:rPr>
                <w:sz w:val="21"/>
                <w:szCs w:val="21"/>
                <w:lang w:val="fr-FR"/>
              </w:rPr>
              <w:t>213</w:t>
            </w:r>
            <w:r>
              <w:rPr>
                <w:sz w:val="21"/>
                <w:szCs w:val="21"/>
                <w:lang w:val="fr-FR"/>
              </w:rPr>
              <w:t xml:space="preserve"> </w:t>
            </w:r>
            <w:r w:rsidRPr="00773AFA">
              <w:rPr>
                <w:sz w:val="21"/>
                <w:szCs w:val="21"/>
                <w:lang w:val="fr-FR"/>
              </w:rPr>
              <w:t>647</w:t>
            </w:r>
          </w:p>
        </w:tc>
        <w:tc>
          <w:tcPr>
            <w:tcW w:w="2160" w:type="dxa"/>
            <w:tcMar>
              <w:left w:w="115" w:type="dxa"/>
              <w:right w:w="288" w:type="dxa"/>
            </w:tcMar>
          </w:tcPr>
          <w:p w14:paraId="4E4CBD2E" w14:textId="6C411913" w:rsidR="00773AFA" w:rsidRPr="00773AFA" w:rsidRDefault="00773AFA" w:rsidP="00DC0EE3">
            <w:pPr>
              <w:jc w:val="right"/>
              <w:outlineLvl w:val="0"/>
              <w:rPr>
                <w:sz w:val="21"/>
                <w:szCs w:val="21"/>
                <w:lang w:val="fr-FR"/>
              </w:rPr>
            </w:pPr>
            <w:r w:rsidRPr="00773AFA">
              <w:rPr>
                <w:sz w:val="21"/>
                <w:szCs w:val="21"/>
                <w:lang w:val="fr-FR"/>
              </w:rPr>
              <w:t>4</w:t>
            </w:r>
            <w:r>
              <w:rPr>
                <w:sz w:val="21"/>
                <w:szCs w:val="21"/>
                <w:lang w:val="fr-FR"/>
              </w:rPr>
              <w:t xml:space="preserve"> </w:t>
            </w:r>
            <w:r w:rsidRPr="00773AFA">
              <w:rPr>
                <w:sz w:val="21"/>
                <w:szCs w:val="21"/>
                <w:lang w:val="fr-FR"/>
              </w:rPr>
              <w:t>340</w:t>
            </w:r>
            <w:r>
              <w:rPr>
                <w:sz w:val="21"/>
                <w:szCs w:val="21"/>
                <w:lang w:val="fr-FR"/>
              </w:rPr>
              <w:t xml:space="preserve"> </w:t>
            </w:r>
            <w:r w:rsidRPr="00773AFA">
              <w:rPr>
                <w:sz w:val="21"/>
                <w:szCs w:val="21"/>
                <w:lang w:val="fr-FR"/>
              </w:rPr>
              <w:t>055</w:t>
            </w:r>
          </w:p>
        </w:tc>
        <w:tc>
          <w:tcPr>
            <w:tcW w:w="2160" w:type="dxa"/>
            <w:tcMar>
              <w:left w:w="115" w:type="dxa"/>
              <w:right w:w="288" w:type="dxa"/>
            </w:tcMar>
          </w:tcPr>
          <w:p w14:paraId="710270C3" w14:textId="670255F5" w:rsidR="00773AFA" w:rsidRPr="00773AFA" w:rsidRDefault="00773AFA" w:rsidP="00DC0EE3">
            <w:pPr>
              <w:jc w:val="right"/>
              <w:outlineLvl w:val="0"/>
              <w:rPr>
                <w:sz w:val="21"/>
                <w:szCs w:val="21"/>
                <w:lang w:val="fr-FR"/>
              </w:rPr>
            </w:pPr>
            <w:r w:rsidRPr="00773AFA">
              <w:rPr>
                <w:sz w:val="21"/>
                <w:szCs w:val="21"/>
                <w:lang w:val="fr-FR"/>
              </w:rPr>
              <w:t>4</w:t>
            </w:r>
            <w:r>
              <w:rPr>
                <w:sz w:val="21"/>
                <w:szCs w:val="21"/>
                <w:lang w:val="fr-FR"/>
              </w:rPr>
              <w:t xml:space="preserve"> </w:t>
            </w:r>
            <w:r w:rsidRPr="00773AFA">
              <w:rPr>
                <w:sz w:val="21"/>
                <w:szCs w:val="21"/>
                <w:lang w:val="fr-FR"/>
              </w:rPr>
              <w:t>470</w:t>
            </w:r>
            <w:r>
              <w:rPr>
                <w:sz w:val="21"/>
                <w:szCs w:val="21"/>
                <w:lang w:val="fr-FR"/>
              </w:rPr>
              <w:t xml:space="preserve"> </w:t>
            </w:r>
            <w:r w:rsidRPr="00773AFA">
              <w:rPr>
                <w:sz w:val="21"/>
                <w:szCs w:val="21"/>
                <w:lang w:val="fr-FR"/>
              </w:rPr>
              <w:t>257</w:t>
            </w:r>
          </w:p>
        </w:tc>
      </w:tr>
      <w:tr w:rsidR="00773AFA" w:rsidRPr="00773AFA" w14:paraId="7B0EBF40" w14:textId="77777777" w:rsidTr="00DC0EE3">
        <w:tc>
          <w:tcPr>
            <w:tcW w:w="2875" w:type="dxa"/>
          </w:tcPr>
          <w:p w14:paraId="5632D435" w14:textId="6BF4E6BC" w:rsidR="00773AFA" w:rsidRPr="00773AFA" w:rsidRDefault="00773AFA" w:rsidP="00DC0EE3">
            <w:pPr>
              <w:outlineLvl w:val="0"/>
              <w:rPr>
                <w:sz w:val="21"/>
                <w:szCs w:val="21"/>
                <w:lang w:val="fr-FR"/>
              </w:rPr>
            </w:pPr>
            <w:r>
              <w:rPr>
                <w:sz w:val="21"/>
                <w:szCs w:val="21"/>
                <w:lang w:val="fr-FR"/>
              </w:rPr>
              <w:t>Dépenses réelles</w:t>
            </w:r>
          </w:p>
        </w:tc>
        <w:tc>
          <w:tcPr>
            <w:tcW w:w="2160" w:type="dxa"/>
            <w:tcMar>
              <w:left w:w="115" w:type="dxa"/>
              <w:right w:w="288" w:type="dxa"/>
            </w:tcMar>
          </w:tcPr>
          <w:p w14:paraId="7703D229" w14:textId="65C61622" w:rsidR="00773AFA" w:rsidRPr="00773AFA" w:rsidRDefault="00773AFA" w:rsidP="00DC0EE3">
            <w:pPr>
              <w:jc w:val="right"/>
              <w:outlineLvl w:val="0"/>
              <w:rPr>
                <w:sz w:val="21"/>
                <w:szCs w:val="21"/>
                <w:lang w:val="fr-FR"/>
              </w:rPr>
            </w:pPr>
            <w:r w:rsidRPr="00773AFA">
              <w:rPr>
                <w:sz w:val="21"/>
                <w:szCs w:val="21"/>
                <w:lang w:val="fr-FR"/>
              </w:rPr>
              <w:t>3</w:t>
            </w:r>
            <w:r>
              <w:rPr>
                <w:sz w:val="21"/>
                <w:szCs w:val="21"/>
                <w:lang w:val="fr-FR"/>
              </w:rPr>
              <w:t xml:space="preserve"> </w:t>
            </w:r>
            <w:r w:rsidRPr="00773AFA">
              <w:rPr>
                <w:sz w:val="21"/>
                <w:szCs w:val="21"/>
                <w:lang w:val="fr-FR"/>
              </w:rPr>
              <w:t>157</w:t>
            </w:r>
            <w:r>
              <w:rPr>
                <w:sz w:val="21"/>
                <w:szCs w:val="21"/>
                <w:lang w:val="fr-FR"/>
              </w:rPr>
              <w:t xml:space="preserve"> </w:t>
            </w:r>
            <w:r w:rsidRPr="00773AFA">
              <w:rPr>
                <w:sz w:val="21"/>
                <w:szCs w:val="21"/>
                <w:lang w:val="fr-FR"/>
              </w:rPr>
              <w:t>542</w:t>
            </w:r>
          </w:p>
        </w:tc>
        <w:tc>
          <w:tcPr>
            <w:tcW w:w="2160" w:type="dxa"/>
            <w:tcMar>
              <w:left w:w="115" w:type="dxa"/>
              <w:right w:w="288" w:type="dxa"/>
            </w:tcMar>
          </w:tcPr>
          <w:p w14:paraId="68A27816" w14:textId="7B5044F4" w:rsidR="00773AFA" w:rsidRPr="00773AFA" w:rsidRDefault="00773AFA" w:rsidP="00DC0EE3">
            <w:pPr>
              <w:jc w:val="right"/>
              <w:outlineLvl w:val="0"/>
              <w:rPr>
                <w:sz w:val="21"/>
                <w:szCs w:val="21"/>
                <w:lang w:val="fr-FR"/>
              </w:rPr>
            </w:pPr>
            <w:r w:rsidRPr="00773AFA">
              <w:rPr>
                <w:sz w:val="21"/>
                <w:szCs w:val="21"/>
                <w:lang w:val="fr-FR"/>
              </w:rPr>
              <w:t>3</w:t>
            </w:r>
            <w:r>
              <w:rPr>
                <w:sz w:val="21"/>
                <w:szCs w:val="21"/>
                <w:lang w:val="fr-FR"/>
              </w:rPr>
              <w:t xml:space="preserve"> </w:t>
            </w:r>
            <w:r w:rsidRPr="00773AFA">
              <w:rPr>
                <w:sz w:val="21"/>
                <w:szCs w:val="21"/>
                <w:lang w:val="fr-FR"/>
              </w:rPr>
              <w:t>037</w:t>
            </w:r>
            <w:r>
              <w:rPr>
                <w:sz w:val="21"/>
                <w:szCs w:val="21"/>
                <w:lang w:val="fr-FR"/>
              </w:rPr>
              <w:t xml:space="preserve"> </w:t>
            </w:r>
            <w:r w:rsidRPr="00773AFA">
              <w:rPr>
                <w:sz w:val="21"/>
                <w:szCs w:val="21"/>
                <w:lang w:val="fr-FR"/>
              </w:rPr>
              <w:t>312</w:t>
            </w:r>
          </w:p>
        </w:tc>
        <w:tc>
          <w:tcPr>
            <w:tcW w:w="2160" w:type="dxa"/>
            <w:tcMar>
              <w:left w:w="115" w:type="dxa"/>
              <w:right w:w="288" w:type="dxa"/>
            </w:tcMar>
          </w:tcPr>
          <w:p w14:paraId="3BE5D44F" w14:textId="60C1A7FC" w:rsidR="00773AFA" w:rsidRPr="00773AFA" w:rsidRDefault="00773AFA" w:rsidP="00DC0EE3">
            <w:pPr>
              <w:jc w:val="right"/>
              <w:outlineLvl w:val="0"/>
              <w:rPr>
                <w:sz w:val="21"/>
                <w:szCs w:val="21"/>
                <w:lang w:val="fr-FR"/>
              </w:rPr>
            </w:pPr>
            <w:r w:rsidRPr="00773AFA">
              <w:rPr>
                <w:sz w:val="21"/>
                <w:szCs w:val="21"/>
                <w:lang w:val="fr-FR"/>
              </w:rPr>
              <w:t>3</w:t>
            </w:r>
            <w:r>
              <w:rPr>
                <w:sz w:val="21"/>
                <w:szCs w:val="21"/>
                <w:lang w:val="fr-FR"/>
              </w:rPr>
              <w:t xml:space="preserve"> </w:t>
            </w:r>
            <w:r w:rsidRPr="00773AFA">
              <w:rPr>
                <w:sz w:val="21"/>
                <w:szCs w:val="21"/>
                <w:lang w:val="fr-FR"/>
              </w:rPr>
              <w:t>251</w:t>
            </w:r>
            <w:r>
              <w:rPr>
                <w:sz w:val="21"/>
                <w:szCs w:val="21"/>
                <w:lang w:val="fr-FR"/>
              </w:rPr>
              <w:t xml:space="preserve"> </w:t>
            </w:r>
            <w:r w:rsidRPr="00773AFA">
              <w:rPr>
                <w:sz w:val="21"/>
                <w:szCs w:val="21"/>
                <w:lang w:val="fr-FR"/>
              </w:rPr>
              <w:t>205</w:t>
            </w:r>
          </w:p>
        </w:tc>
      </w:tr>
      <w:tr w:rsidR="00773AFA" w:rsidRPr="00773AFA" w14:paraId="390C8A7A" w14:textId="77777777" w:rsidTr="00DC0EE3">
        <w:tc>
          <w:tcPr>
            <w:tcW w:w="2875" w:type="dxa"/>
          </w:tcPr>
          <w:p w14:paraId="7FCBF14F" w14:textId="0F4489A1" w:rsidR="00773AFA" w:rsidRPr="00773AFA" w:rsidRDefault="00773AFA" w:rsidP="00DC0EE3">
            <w:pPr>
              <w:jc w:val="left"/>
              <w:outlineLvl w:val="0"/>
              <w:rPr>
                <w:sz w:val="21"/>
                <w:szCs w:val="21"/>
                <w:lang w:val="fr-FR"/>
              </w:rPr>
            </w:pPr>
            <w:r>
              <w:rPr>
                <w:sz w:val="21"/>
                <w:szCs w:val="21"/>
                <w:lang w:val="fr-FR"/>
              </w:rPr>
              <w:t>Solde non dépensé</w:t>
            </w:r>
          </w:p>
        </w:tc>
        <w:tc>
          <w:tcPr>
            <w:tcW w:w="2160" w:type="dxa"/>
            <w:tcMar>
              <w:left w:w="115" w:type="dxa"/>
              <w:right w:w="288" w:type="dxa"/>
            </w:tcMar>
          </w:tcPr>
          <w:p w14:paraId="4DF555AA" w14:textId="2FA8872B" w:rsidR="00773AFA" w:rsidRPr="00773AFA" w:rsidRDefault="00773AFA" w:rsidP="00DC0EE3">
            <w:pPr>
              <w:jc w:val="right"/>
              <w:outlineLvl w:val="0"/>
              <w:rPr>
                <w:sz w:val="21"/>
                <w:szCs w:val="21"/>
                <w:lang w:val="fr-FR"/>
              </w:rPr>
            </w:pPr>
            <w:r w:rsidRPr="00773AFA">
              <w:rPr>
                <w:sz w:val="21"/>
                <w:szCs w:val="21"/>
                <w:lang w:val="fr-FR"/>
              </w:rPr>
              <w:t>1</w:t>
            </w:r>
            <w:r>
              <w:rPr>
                <w:sz w:val="21"/>
                <w:szCs w:val="21"/>
                <w:lang w:val="fr-FR"/>
              </w:rPr>
              <w:t xml:space="preserve"> </w:t>
            </w:r>
            <w:r w:rsidRPr="00773AFA">
              <w:rPr>
                <w:sz w:val="21"/>
                <w:szCs w:val="21"/>
                <w:lang w:val="fr-FR"/>
              </w:rPr>
              <w:t>056</w:t>
            </w:r>
            <w:r>
              <w:rPr>
                <w:sz w:val="21"/>
                <w:szCs w:val="21"/>
                <w:lang w:val="fr-FR"/>
              </w:rPr>
              <w:t xml:space="preserve"> </w:t>
            </w:r>
            <w:r w:rsidRPr="00773AFA">
              <w:rPr>
                <w:sz w:val="21"/>
                <w:szCs w:val="21"/>
                <w:lang w:val="fr-FR"/>
              </w:rPr>
              <w:t>105</w:t>
            </w:r>
          </w:p>
        </w:tc>
        <w:tc>
          <w:tcPr>
            <w:tcW w:w="2160" w:type="dxa"/>
            <w:tcMar>
              <w:left w:w="115" w:type="dxa"/>
              <w:right w:w="288" w:type="dxa"/>
            </w:tcMar>
          </w:tcPr>
          <w:p w14:paraId="57E43F3C" w14:textId="28F5B690" w:rsidR="00773AFA" w:rsidRPr="00773AFA" w:rsidRDefault="00773AFA" w:rsidP="00DC0EE3">
            <w:pPr>
              <w:jc w:val="right"/>
              <w:outlineLvl w:val="0"/>
              <w:rPr>
                <w:sz w:val="21"/>
                <w:szCs w:val="21"/>
                <w:lang w:val="fr-FR"/>
              </w:rPr>
            </w:pPr>
            <w:r w:rsidRPr="00773AFA">
              <w:rPr>
                <w:sz w:val="21"/>
                <w:szCs w:val="21"/>
                <w:lang w:val="fr-FR"/>
              </w:rPr>
              <w:t>1</w:t>
            </w:r>
            <w:r>
              <w:rPr>
                <w:sz w:val="21"/>
                <w:szCs w:val="21"/>
                <w:lang w:val="fr-FR"/>
              </w:rPr>
              <w:t xml:space="preserve"> </w:t>
            </w:r>
            <w:r w:rsidRPr="00773AFA">
              <w:rPr>
                <w:sz w:val="21"/>
                <w:szCs w:val="21"/>
                <w:lang w:val="fr-FR"/>
              </w:rPr>
              <w:t>302</w:t>
            </w:r>
            <w:r>
              <w:rPr>
                <w:sz w:val="21"/>
                <w:szCs w:val="21"/>
                <w:lang w:val="fr-FR"/>
              </w:rPr>
              <w:t xml:space="preserve"> </w:t>
            </w:r>
            <w:r w:rsidRPr="00773AFA">
              <w:rPr>
                <w:sz w:val="21"/>
                <w:szCs w:val="21"/>
                <w:lang w:val="fr-FR"/>
              </w:rPr>
              <w:t>742</w:t>
            </w:r>
          </w:p>
        </w:tc>
        <w:tc>
          <w:tcPr>
            <w:tcW w:w="2160" w:type="dxa"/>
            <w:tcMar>
              <w:left w:w="115" w:type="dxa"/>
              <w:right w:w="288" w:type="dxa"/>
            </w:tcMar>
          </w:tcPr>
          <w:p w14:paraId="6A5AD0E3" w14:textId="0DF4F829" w:rsidR="00773AFA" w:rsidRPr="00773AFA" w:rsidRDefault="00773AFA" w:rsidP="00DC0EE3">
            <w:pPr>
              <w:jc w:val="right"/>
              <w:outlineLvl w:val="0"/>
              <w:rPr>
                <w:sz w:val="21"/>
                <w:szCs w:val="21"/>
                <w:lang w:val="fr-FR"/>
              </w:rPr>
            </w:pPr>
            <w:r w:rsidRPr="00773AFA">
              <w:rPr>
                <w:sz w:val="21"/>
                <w:szCs w:val="21"/>
                <w:lang w:val="fr-FR"/>
              </w:rPr>
              <w:t>1</w:t>
            </w:r>
            <w:r>
              <w:rPr>
                <w:sz w:val="21"/>
                <w:szCs w:val="21"/>
                <w:lang w:val="fr-FR"/>
              </w:rPr>
              <w:t xml:space="preserve"> </w:t>
            </w:r>
            <w:r w:rsidRPr="00773AFA">
              <w:rPr>
                <w:sz w:val="21"/>
                <w:szCs w:val="21"/>
                <w:lang w:val="fr-FR"/>
              </w:rPr>
              <w:t>219</w:t>
            </w:r>
            <w:r>
              <w:rPr>
                <w:sz w:val="21"/>
                <w:szCs w:val="21"/>
                <w:lang w:val="fr-FR"/>
              </w:rPr>
              <w:t xml:space="preserve"> </w:t>
            </w:r>
            <w:r w:rsidRPr="00773AFA">
              <w:rPr>
                <w:sz w:val="21"/>
                <w:szCs w:val="21"/>
                <w:lang w:val="fr-FR"/>
              </w:rPr>
              <w:t>052</w:t>
            </w:r>
          </w:p>
        </w:tc>
      </w:tr>
      <w:tr w:rsidR="00773AFA" w:rsidRPr="00773AFA" w14:paraId="6C15A009" w14:textId="77777777" w:rsidTr="00DC0EE3">
        <w:tc>
          <w:tcPr>
            <w:tcW w:w="2875" w:type="dxa"/>
          </w:tcPr>
          <w:p w14:paraId="31294762" w14:textId="28434BB1" w:rsidR="00773AFA" w:rsidRPr="00773AFA" w:rsidRDefault="00773AFA" w:rsidP="00DC0EE3">
            <w:pPr>
              <w:outlineLvl w:val="0"/>
              <w:rPr>
                <w:sz w:val="21"/>
                <w:szCs w:val="21"/>
                <w:lang w:val="fr-FR"/>
              </w:rPr>
            </w:pPr>
            <w:r>
              <w:rPr>
                <w:sz w:val="21"/>
                <w:szCs w:val="21"/>
                <w:lang w:val="fr-FR"/>
              </w:rPr>
              <w:t>Solde non dépensé (%)</w:t>
            </w:r>
          </w:p>
        </w:tc>
        <w:tc>
          <w:tcPr>
            <w:tcW w:w="2160" w:type="dxa"/>
            <w:tcMar>
              <w:left w:w="115" w:type="dxa"/>
              <w:right w:w="288" w:type="dxa"/>
            </w:tcMar>
          </w:tcPr>
          <w:p w14:paraId="17A44502" w14:textId="58510344" w:rsidR="00773AFA" w:rsidRPr="00773AFA" w:rsidRDefault="00773AFA" w:rsidP="00DC0EE3">
            <w:pPr>
              <w:jc w:val="right"/>
              <w:outlineLvl w:val="0"/>
              <w:rPr>
                <w:sz w:val="21"/>
                <w:szCs w:val="21"/>
                <w:lang w:val="fr-FR"/>
              </w:rPr>
            </w:pPr>
            <w:r w:rsidRPr="00773AFA">
              <w:rPr>
                <w:sz w:val="21"/>
                <w:szCs w:val="21"/>
                <w:lang w:val="fr-FR"/>
              </w:rPr>
              <w:t>25</w:t>
            </w:r>
            <w:r>
              <w:rPr>
                <w:sz w:val="21"/>
                <w:szCs w:val="21"/>
                <w:lang w:val="fr-FR"/>
              </w:rPr>
              <w:t>,</w:t>
            </w:r>
            <w:r w:rsidRPr="00773AFA">
              <w:rPr>
                <w:sz w:val="21"/>
                <w:szCs w:val="21"/>
                <w:lang w:val="fr-FR"/>
              </w:rPr>
              <w:t>06</w:t>
            </w:r>
          </w:p>
        </w:tc>
        <w:tc>
          <w:tcPr>
            <w:tcW w:w="2160" w:type="dxa"/>
            <w:tcMar>
              <w:left w:w="115" w:type="dxa"/>
              <w:right w:w="288" w:type="dxa"/>
            </w:tcMar>
          </w:tcPr>
          <w:p w14:paraId="13F81F5E" w14:textId="338FC4BC" w:rsidR="00773AFA" w:rsidRPr="00773AFA" w:rsidRDefault="00773AFA" w:rsidP="00DC0EE3">
            <w:pPr>
              <w:jc w:val="right"/>
              <w:outlineLvl w:val="0"/>
              <w:rPr>
                <w:sz w:val="21"/>
                <w:szCs w:val="21"/>
                <w:lang w:val="fr-FR"/>
              </w:rPr>
            </w:pPr>
            <w:r w:rsidRPr="00773AFA">
              <w:rPr>
                <w:sz w:val="21"/>
                <w:szCs w:val="21"/>
                <w:lang w:val="fr-FR"/>
              </w:rPr>
              <w:t>30</w:t>
            </w:r>
            <w:r>
              <w:rPr>
                <w:sz w:val="21"/>
                <w:szCs w:val="21"/>
                <w:lang w:val="fr-FR"/>
              </w:rPr>
              <w:t>,</w:t>
            </w:r>
            <w:r w:rsidRPr="00773AFA">
              <w:rPr>
                <w:sz w:val="21"/>
                <w:szCs w:val="21"/>
                <w:lang w:val="fr-FR"/>
              </w:rPr>
              <w:t>02</w:t>
            </w:r>
          </w:p>
        </w:tc>
        <w:tc>
          <w:tcPr>
            <w:tcW w:w="2160" w:type="dxa"/>
            <w:tcMar>
              <w:left w:w="115" w:type="dxa"/>
              <w:right w:w="288" w:type="dxa"/>
            </w:tcMar>
          </w:tcPr>
          <w:p w14:paraId="30D8111F" w14:textId="7F402A56" w:rsidR="00773AFA" w:rsidRPr="00773AFA" w:rsidRDefault="00773AFA" w:rsidP="00DC0EE3">
            <w:pPr>
              <w:jc w:val="right"/>
              <w:outlineLvl w:val="0"/>
              <w:rPr>
                <w:sz w:val="21"/>
                <w:szCs w:val="21"/>
                <w:lang w:val="fr-FR"/>
              </w:rPr>
            </w:pPr>
            <w:r w:rsidRPr="00773AFA">
              <w:rPr>
                <w:sz w:val="21"/>
                <w:szCs w:val="21"/>
                <w:lang w:val="fr-FR"/>
              </w:rPr>
              <w:t>27</w:t>
            </w:r>
            <w:r>
              <w:rPr>
                <w:sz w:val="21"/>
                <w:szCs w:val="21"/>
                <w:lang w:val="fr-FR"/>
              </w:rPr>
              <w:t>,</w:t>
            </w:r>
            <w:r w:rsidRPr="00773AFA">
              <w:rPr>
                <w:sz w:val="21"/>
                <w:szCs w:val="21"/>
                <w:lang w:val="fr-FR"/>
              </w:rPr>
              <w:t>27</w:t>
            </w:r>
          </w:p>
        </w:tc>
      </w:tr>
    </w:tbl>
    <w:p w14:paraId="14A967F1" w14:textId="31BFB612" w:rsidR="00773AFA" w:rsidRPr="00773AFA" w:rsidRDefault="00773AFA" w:rsidP="00773AFA">
      <w:pPr>
        <w:pStyle w:val="Heading1"/>
        <w:numPr>
          <w:ilvl w:val="0"/>
          <w:numId w:val="0"/>
        </w:numPr>
        <w:spacing w:after="0"/>
        <w:rPr>
          <w:sz w:val="20"/>
          <w:szCs w:val="20"/>
          <w:lang w:val="fr-FR"/>
        </w:rPr>
      </w:pPr>
      <w:r w:rsidRPr="00773AFA">
        <w:rPr>
          <w:sz w:val="20"/>
          <w:szCs w:val="20"/>
          <w:lang w:val="fr-FR"/>
        </w:rPr>
        <w:t>*</w:t>
      </w:r>
      <w:r>
        <w:rPr>
          <w:sz w:val="20"/>
          <w:szCs w:val="20"/>
          <w:lang w:val="fr-FR"/>
        </w:rPr>
        <w:t>Sur la base des comptes provisoires de</w:t>
      </w:r>
      <w:r w:rsidRPr="00773AFA">
        <w:rPr>
          <w:sz w:val="20"/>
          <w:szCs w:val="20"/>
          <w:lang w:val="fr-FR"/>
        </w:rPr>
        <w:t xml:space="preserve"> 2020. </w:t>
      </w:r>
    </w:p>
    <w:p w14:paraId="590C6757" w14:textId="77777777" w:rsidR="00773AFA" w:rsidRPr="00773AFA" w:rsidRDefault="00773AFA" w:rsidP="00773AFA">
      <w:pPr>
        <w:rPr>
          <w:lang w:val="fr-CA"/>
        </w:rPr>
      </w:pPr>
    </w:p>
    <w:p w14:paraId="2280937A" w14:textId="54EE3099" w:rsidR="00A7504F" w:rsidRPr="00D93B07" w:rsidRDefault="007E3761" w:rsidP="00EF6167">
      <w:pPr>
        <w:pStyle w:val="Heading1"/>
        <w:widowControl w:val="0"/>
        <w:tabs>
          <w:tab w:val="left" w:pos="567"/>
        </w:tabs>
        <w:spacing w:after="0"/>
        <w:rPr>
          <w:lang w:val="fr-CA"/>
        </w:rPr>
      </w:pPr>
      <w:r>
        <w:rPr>
          <w:lang w:val="fr-CA"/>
        </w:rPr>
        <w:t xml:space="preserve">Les résultats de l’analyse ont </w:t>
      </w:r>
      <w:r w:rsidR="00A7504F">
        <w:rPr>
          <w:lang w:val="fr-CA"/>
        </w:rPr>
        <w:t>démontré</w:t>
      </w:r>
      <w:r>
        <w:rPr>
          <w:lang w:val="fr-CA"/>
        </w:rPr>
        <w:t xml:space="preserve"> que les soldes non dépensés étaient </w:t>
      </w:r>
      <w:r w:rsidR="00A7504F">
        <w:rPr>
          <w:lang w:val="fr-CA"/>
        </w:rPr>
        <w:t>causés par des</w:t>
      </w:r>
      <w:r>
        <w:rPr>
          <w:lang w:val="fr-CA"/>
        </w:rPr>
        <w:t xml:space="preserve"> </w:t>
      </w:r>
      <w:r w:rsidR="00A7504F">
        <w:rPr>
          <w:lang w:val="fr-CA"/>
        </w:rPr>
        <w:t>f</w:t>
      </w:r>
      <w:r>
        <w:rPr>
          <w:lang w:val="fr-CA"/>
        </w:rPr>
        <w:t>luctuations annuelles dans les lignes budgétaires</w:t>
      </w:r>
      <w:r w:rsidR="00A7504F">
        <w:rPr>
          <w:lang w:val="fr-CA"/>
        </w:rPr>
        <w:t xml:space="preserve"> du </w:t>
      </w:r>
      <w:r>
        <w:rPr>
          <w:lang w:val="fr-CA"/>
        </w:rPr>
        <w:t xml:space="preserve">personnel, </w:t>
      </w:r>
      <w:r w:rsidR="00A7504F">
        <w:rPr>
          <w:lang w:val="fr-CA"/>
        </w:rPr>
        <w:t xml:space="preserve">dues à des changements </w:t>
      </w:r>
      <w:r>
        <w:rPr>
          <w:lang w:val="fr-CA"/>
        </w:rPr>
        <w:t>d</w:t>
      </w:r>
      <w:r w:rsidR="00944ED9">
        <w:rPr>
          <w:lang w:val="fr-CA"/>
        </w:rPr>
        <w:t>ans l</w:t>
      </w:r>
      <w:r>
        <w:rPr>
          <w:lang w:val="fr-CA"/>
        </w:rPr>
        <w:t xml:space="preserve">es droits </w:t>
      </w:r>
      <w:r w:rsidR="00A7504F">
        <w:rPr>
          <w:lang w:val="fr-CA"/>
        </w:rPr>
        <w:t xml:space="preserve">et avantages connexes </w:t>
      </w:r>
      <w:r>
        <w:rPr>
          <w:lang w:val="fr-CA"/>
        </w:rPr>
        <w:t xml:space="preserve">du personnel, conformément au Statut et au Règlement du personnel des Nations Unies (incluant le nombre de personnes à charge, le droit à une indemnité pour frais d’études, le congé dans les foyers); </w:t>
      </w:r>
      <w:r w:rsidR="00944ED9">
        <w:rPr>
          <w:lang w:val="fr-CA"/>
        </w:rPr>
        <w:t>au</w:t>
      </w:r>
      <w:r>
        <w:rPr>
          <w:lang w:val="fr-CA"/>
        </w:rPr>
        <w:t xml:space="preserve"> nombre de postes vacants et </w:t>
      </w:r>
      <w:r w:rsidR="00944ED9">
        <w:rPr>
          <w:lang w:val="fr-CA"/>
        </w:rPr>
        <w:t xml:space="preserve">à </w:t>
      </w:r>
      <w:r>
        <w:rPr>
          <w:lang w:val="fr-CA"/>
        </w:rPr>
        <w:t>l’allocation de lignes budgétaires décaissées partiellement pour l’embauche de personnel temporaire; ainsi qu</w:t>
      </w:r>
      <w:r w:rsidR="00944ED9">
        <w:rPr>
          <w:lang w:val="fr-CA"/>
        </w:rPr>
        <w:t>’à</w:t>
      </w:r>
      <w:r w:rsidR="00A7504F">
        <w:rPr>
          <w:lang w:val="fr-CA"/>
        </w:rPr>
        <w:t xml:space="preserve"> </w:t>
      </w:r>
      <w:r>
        <w:rPr>
          <w:lang w:val="fr-CA"/>
        </w:rPr>
        <w:t xml:space="preserve">des gains provenant du taux de change (entre le dollar canadien et le dollar américain) surtout </w:t>
      </w:r>
      <w:r w:rsidR="00A7504F">
        <w:rPr>
          <w:lang w:val="fr-CA"/>
        </w:rPr>
        <w:t xml:space="preserve">pour le </w:t>
      </w:r>
      <w:r>
        <w:rPr>
          <w:lang w:val="fr-CA"/>
        </w:rPr>
        <w:t>personnel de</w:t>
      </w:r>
      <w:r w:rsidR="00A7504F">
        <w:rPr>
          <w:lang w:val="fr-CA"/>
        </w:rPr>
        <w:t>s services généraux</w:t>
      </w:r>
      <w:r>
        <w:rPr>
          <w:lang w:val="fr-CA"/>
        </w:rPr>
        <w:t xml:space="preserve">; et </w:t>
      </w:r>
      <w:r w:rsidR="00944ED9">
        <w:rPr>
          <w:lang w:val="fr-CA"/>
        </w:rPr>
        <w:t>à</w:t>
      </w:r>
      <w:r w:rsidR="00A7504F">
        <w:rPr>
          <w:lang w:val="fr-CA"/>
        </w:rPr>
        <w:t xml:space="preserve"> </w:t>
      </w:r>
      <w:r>
        <w:rPr>
          <w:lang w:val="fr-CA"/>
        </w:rPr>
        <w:t xml:space="preserve">une surestimation de certaines lignes budgétaires du personnel. Dans la préparation des budgets futurs, le Secrétariat </w:t>
      </w:r>
      <w:r w:rsidR="00A7504F">
        <w:rPr>
          <w:lang w:val="fr-CA"/>
        </w:rPr>
        <w:t xml:space="preserve">tiendra compte des coûts réels de personnel encourus </w:t>
      </w:r>
      <w:r w:rsidR="002740DA">
        <w:rPr>
          <w:lang w:val="fr-CA"/>
        </w:rPr>
        <w:t>dans</w:t>
      </w:r>
      <w:r w:rsidR="00A7504F">
        <w:rPr>
          <w:lang w:val="fr-CA"/>
        </w:rPr>
        <w:t xml:space="preserve"> les lignes budgétaires du personnel lorsqu’elles sont disponibles.</w:t>
      </w:r>
    </w:p>
    <w:p w14:paraId="2E739F87" w14:textId="39A6815E" w:rsidR="00A7504F" w:rsidRDefault="00A7504F" w:rsidP="00A7504F">
      <w:pPr>
        <w:rPr>
          <w:b/>
          <w:bCs/>
          <w:lang w:val="fr-CA"/>
        </w:rPr>
      </w:pPr>
      <w:r>
        <w:rPr>
          <w:b/>
          <w:bCs/>
          <w:lang w:val="fr-CA"/>
        </w:rPr>
        <w:lastRenderedPageBreak/>
        <w:t xml:space="preserve">Budget approuvé pour 2020 </w:t>
      </w:r>
    </w:p>
    <w:p w14:paraId="43BDC904" w14:textId="77777777" w:rsidR="00A7504F" w:rsidRPr="0040064F" w:rsidRDefault="00A7504F" w:rsidP="00A7504F">
      <w:pPr>
        <w:rPr>
          <w:b/>
          <w:bCs/>
          <w:sz w:val="20"/>
          <w:szCs w:val="20"/>
          <w:lang w:val="fr-CA"/>
        </w:rPr>
      </w:pPr>
    </w:p>
    <w:p w14:paraId="5EF8EB44" w14:textId="1016A7C6" w:rsidR="00A95435" w:rsidRDefault="00A95435" w:rsidP="0073217C">
      <w:pPr>
        <w:pStyle w:val="Heading1"/>
        <w:tabs>
          <w:tab w:val="left" w:pos="567"/>
        </w:tabs>
        <w:rPr>
          <w:lang w:val="fr-CA"/>
        </w:rPr>
      </w:pPr>
      <w:r>
        <w:rPr>
          <w:lang w:val="fr-CA"/>
        </w:rPr>
        <w:t>Le Trésorier a présenté les comptes finaux de 2019</w:t>
      </w:r>
      <w:r>
        <w:rPr>
          <w:rStyle w:val="FootnoteReference"/>
          <w:lang w:val="fr-CA"/>
        </w:rPr>
        <w:footnoteReference w:id="8"/>
      </w:r>
      <w:r>
        <w:rPr>
          <w:lang w:val="fr-CA"/>
        </w:rPr>
        <w:t xml:space="preserve"> à la 86</w:t>
      </w:r>
      <w:r w:rsidRPr="00A95435">
        <w:rPr>
          <w:vertAlign w:val="superscript"/>
          <w:lang w:val="fr-CA"/>
        </w:rPr>
        <w:t>e</w:t>
      </w:r>
      <w:r>
        <w:rPr>
          <w:lang w:val="fr-CA"/>
        </w:rPr>
        <w:t xml:space="preserve"> réunion. L’Appendice 1.3 (Dépenses réelles du budget du Secrétariat en 2019) du document indi</w:t>
      </w:r>
      <w:r w:rsidR="007E3761">
        <w:rPr>
          <w:lang w:val="fr-CA"/>
        </w:rPr>
        <w:t xml:space="preserve">que </w:t>
      </w:r>
      <w:r>
        <w:rPr>
          <w:lang w:val="fr-CA"/>
        </w:rPr>
        <w:t>un solde non dépensé de 1</w:t>
      </w:r>
      <w:r w:rsidR="00BC2CFF" w:rsidRPr="00B130A1">
        <w:rPr>
          <w:lang w:val="fr-CA"/>
        </w:rPr>
        <w:t> </w:t>
      </w:r>
      <w:r>
        <w:rPr>
          <w:lang w:val="fr-CA"/>
        </w:rPr>
        <w:t>806</w:t>
      </w:r>
      <w:r w:rsidR="00BC2CFF" w:rsidRPr="00B130A1">
        <w:rPr>
          <w:lang w:val="fr-CA"/>
        </w:rPr>
        <w:t> </w:t>
      </w:r>
      <w:r>
        <w:rPr>
          <w:lang w:val="fr-CA"/>
        </w:rPr>
        <w:t>471</w:t>
      </w:r>
      <w:r w:rsidR="007710F4" w:rsidRPr="00B130A1">
        <w:rPr>
          <w:lang w:val="fr-CA"/>
        </w:rPr>
        <w:t> </w:t>
      </w:r>
      <w:r>
        <w:rPr>
          <w:lang w:val="fr-CA"/>
        </w:rPr>
        <w:t>$US, incluant 24</w:t>
      </w:r>
      <w:r w:rsidR="00BC2CFF" w:rsidRPr="00B130A1">
        <w:rPr>
          <w:lang w:val="fr-CA"/>
        </w:rPr>
        <w:t> </w:t>
      </w:r>
      <w:r>
        <w:rPr>
          <w:lang w:val="fr-CA"/>
        </w:rPr>
        <w:t>209</w:t>
      </w:r>
      <w:r w:rsidR="00BC2CFF" w:rsidRPr="00B130A1">
        <w:rPr>
          <w:lang w:val="fr-CA"/>
        </w:rPr>
        <w:t> </w:t>
      </w:r>
      <w:r>
        <w:rPr>
          <w:lang w:val="fr-CA"/>
        </w:rPr>
        <w:t>$US</w:t>
      </w:r>
      <w:r>
        <w:rPr>
          <w:rStyle w:val="FootnoteReference"/>
          <w:lang w:val="fr-CA"/>
        </w:rPr>
        <w:footnoteReference w:id="9"/>
      </w:r>
      <w:r>
        <w:rPr>
          <w:lang w:val="fr-CA"/>
        </w:rPr>
        <w:t xml:space="preserve"> d’engagements en 2019 à être dépensés et enregistrés en 2020. Par conséquent, un </w:t>
      </w:r>
      <w:r w:rsidR="00944ED9">
        <w:rPr>
          <w:lang w:val="fr-CA"/>
        </w:rPr>
        <w:t>total</w:t>
      </w:r>
      <w:r>
        <w:rPr>
          <w:lang w:val="fr-CA"/>
        </w:rPr>
        <w:t xml:space="preserve"> de 1</w:t>
      </w:r>
      <w:r w:rsidR="007710F4" w:rsidRPr="00B130A1">
        <w:rPr>
          <w:lang w:val="fr-CA"/>
        </w:rPr>
        <w:t> </w:t>
      </w:r>
      <w:r>
        <w:rPr>
          <w:lang w:val="fr-CA"/>
        </w:rPr>
        <w:t>782</w:t>
      </w:r>
      <w:r w:rsidR="007710F4" w:rsidRPr="00B130A1">
        <w:rPr>
          <w:lang w:val="fr-CA"/>
        </w:rPr>
        <w:t> </w:t>
      </w:r>
      <w:r>
        <w:rPr>
          <w:lang w:val="fr-CA"/>
        </w:rPr>
        <w:t>262</w:t>
      </w:r>
      <w:r w:rsidR="007710F4" w:rsidRPr="00B130A1">
        <w:rPr>
          <w:lang w:val="fr-CA"/>
        </w:rPr>
        <w:t> </w:t>
      </w:r>
      <w:r>
        <w:rPr>
          <w:lang w:val="fr-CA"/>
        </w:rPr>
        <w:t>$US (comprenant 1</w:t>
      </w:r>
      <w:r w:rsidR="007710F4" w:rsidRPr="00B130A1">
        <w:rPr>
          <w:lang w:val="fr-CA"/>
        </w:rPr>
        <w:t> </w:t>
      </w:r>
      <w:r>
        <w:rPr>
          <w:lang w:val="fr-CA"/>
        </w:rPr>
        <w:t>735</w:t>
      </w:r>
      <w:r w:rsidR="007710F4" w:rsidRPr="00B130A1">
        <w:rPr>
          <w:lang w:val="fr-CA"/>
        </w:rPr>
        <w:t> </w:t>
      </w:r>
      <w:r>
        <w:rPr>
          <w:lang w:val="fr-CA"/>
        </w:rPr>
        <w:t>073</w:t>
      </w:r>
      <w:r w:rsidR="007710F4" w:rsidRPr="00B130A1">
        <w:rPr>
          <w:lang w:val="fr-CA"/>
        </w:rPr>
        <w:t> </w:t>
      </w:r>
      <w:r>
        <w:rPr>
          <w:lang w:val="fr-CA"/>
        </w:rPr>
        <w:t xml:space="preserve">$US provenant du budget du Secrétariat du Fonds et </w:t>
      </w:r>
      <w:r w:rsidR="007710F4">
        <w:rPr>
          <w:lang w:val="fr-CA"/>
        </w:rPr>
        <w:br/>
      </w:r>
      <w:r>
        <w:rPr>
          <w:lang w:val="fr-CA"/>
        </w:rPr>
        <w:t>47</w:t>
      </w:r>
      <w:r w:rsidR="007710F4" w:rsidRPr="00B130A1">
        <w:rPr>
          <w:lang w:val="fr-CA"/>
        </w:rPr>
        <w:t> </w:t>
      </w:r>
      <w:r w:rsidR="007710F4">
        <w:rPr>
          <w:lang w:val="fr-CA"/>
        </w:rPr>
        <w:t>1</w:t>
      </w:r>
      <w:r>
        <w:rPr>
          <w:lang w:val="fr-CA"/>
        </w:rPr>
        <w:t>89</w:t>
      </w:r>
      <w:r w:rsidR="007710F4" w:rsidRPr="00B130A1">
        <w:rPr>
          <w:lang w:val="fr-CA"/>
        </w:rPr>
        <w:t> </w:t>
      </w:r>
      <w:r>
        <w:rPr>
          <w:lang w:val="fr-CA"/>
        </w:rPr>
        <w:t>$US provenant du budget du Suivi et de l’évaluation) a été re</w:t>
      </w:r>
      <w:r w:rsidR="002740DA">
        <w:rPr>
          <w:lang w:val="fr-CA"/>
        </w:rPr>
        <w:t>mi</w:t>
      </w:r>
      <w:r>
        <w:rPr>
          <w:lang w:val="fr-CA"/>
        </w:rPr>
        <w:t>s au Fonds (décision 86/5(a)).</w:t>
      </w:r>
    </w:p>
    <w:p w14:paraId="774F0722" w14:textId="2DD1A727" w:rsidR="00A95435" w:rsidRPr="00A95435" w:rsidRDefault="00A95435" w:rsidP="00A95435">
      <w:pPr>
        <w:rPr>
          <w:b/>
          <w:bCs/>
          <w:lang w:val="fr-CA"/>
        </w:rPr>
      </w:pPr>
      <w:r>
        <w:rPr>
          <w:b/>
          <w:bCs/>
          <w:lang w:val="fr-CA"/>
        </w:rPr>
        <w:t>Budget approuvé pour 2021</w:t>
      </w:r>
    </w:p>
    <w:p w14:paraId="096D50DD" w14:textId="77777777" w:rsidR="00A95435" w:rsidRPr="0040064F" w:rsidRDefault="00A95435" w:rsidP="00A95435">
      <w:pPr>
        <w:rPr>
          <w:sz w:val="20"/>
          <w:szCs w:val="20"/>
          <w:lang w:val="fr-CA"/>
        </w:rPr>
      </w:pPr>
    </w:p>
    <w:p w14:paraId="59289542" w14:textId="5599F53F" w:rsidR="00A95435" w:rsidRDefault="00A95435" w:rsidP="0073217C">
      <w:pPr>
        <w:pStyle w:val="Heading1"/>
        <w:tabs>
          <w:tab w:val="left" w:pos="567"/>
        </w:tabs>
        <w:rPr>
          <w:lang w:val="fr-CA"/>
        </w:rPr>
      </w:pPr>
      <w:r>
        <w:rPr>
          <w:lang w:val="fr-CA"/>
        </w:rPr>
        <w:t>Le budget du Secrétariat du Fonds, approuvé pour 2021, a maintenu les coûts de personnel au même niveau</w:t>
      </w:r>
      <w:r w:rsidR="00F116EE">
        <w:rPr>
          <w:lang w:val="fr-CA"/>
        </w:rPr>
        <w:t>,</w:t>
      </w:r>
      <w:r>
        <w:rPr>
          <w:lang w:val="fr-CA"/>
        </w:rPr>
        <w:t xml:space="preserve"> en attendant que les postes vacants soient comblés.</w:t>
      </w:r>
    </w:p>
    <w:p w14:paraId="78573BAF" w14:textId="0DBD3436" w:rsidR="00A95435" w:rsidRPr="0086451F" w:rsidRDefault="0086451F" w:rsidP="00A95435">
      <w:pPr>
        <w:pStyle w:val="Heading1"/>
        <w:numPr>
          <w:ilvl w:val="0"/>
          <w:numId w:val="0"/>
        </w:numPr>
        <w:tabs>
          <w:tab w:val="left" w:pos="567"/>
        </w:tabs>
        <w:rPr>
          <w:b/>
          <w:bCs/>
          <w:lang w:val="fr-CA"/>
        </w:rPr>
      </w:pPr>
      <w:r>
        <w:rPr>
          <w:b/>
          <w:bCs/>
          <w:lang w:val="fr-CA"/>
        </w:rPr>
        <w:t>Budget révisé pour 2022</w:t>
      </w:r>
    </w:p>
    <w:p w14:paraId="4B7F4636" w14:textId="1E2BE11E" w:rsidR="0073217C" w:rsidRDefault="0086451F" w:rsidP="00B967FD">
      <w:pPr>
        <w:pStyle w:val="Heading1"/>
        <w:tabs>
          <w:tab w:val="left" w:pos="567"/>
        </w:tabs>
        <w:rPr>
          <w:lang w:val="fr-CA"/>
        </w:rPr>
      </w:pPr>
      <w:r>
        <w:rPr>
          <w:lang w:val="fr-CA"/>
        </w:rPr>
        <w:t xml:space="preserve">Après avoir </w:t>
      </w:r>
      <w:r w:rsidR="00F116EE">
        <w:rPr>
          <w:lang w:val="fr-CA"/>
        </w:rPr>
        <w:t>tenu</w:t>
      </w:r>
      <w:r>
        <w:rPr>
          <w:lang w:val="fr-CA"/>
        </w:rPr>
        <w:t xml:space="preserve"> compte </w:t>
      </w:r>
      <w:r w:rsidR="00F116EE">
        <w:rPr>
          <w:lang w:val="fr-CA"/>
        </w:rPr>
        <w:t>d</w:t>
      </w:r>
      <w:r>
        <w:rPr>
          <w:lang w:val="fr-CA"/>
        </w:rPr>
        <w:t>es résultats de l’analyse détaillée des coûts de personnel et prenant note que tous les postes au sein du Secrétariat ont été comblés (ou le seront dans un proche avenir), le Secrétariat a ajusté le budget du personnel approuvé pour 2022, de 7 949 630 $US à 6 915 766 $US (soit une réduction de 20 pour cent des coûts de personnel). Cet ajustement entraine un remboursement de 1 033 864</w:t>
      </w:r>
      <w:r w:rsidR="007710F4" w:rsidRPr="00B130A1">
        <w:rPr>
          <w:lang w:val="fr-CA"/>
        </w:rPr>
        <w:t> </w:t>
      </w:r>
      <w:r>
        <w:rPr>
          <w:lang w:val="fr-CA"/>
        </w:rPr>
        <w:t>$US au Fonds multilatéral. Le coût opérationnel a été maintenu au même niveau, avec deux réunions par an.</w:t>
      </w:r>
      <w:r>
        <w:rPr>
          <w:rStyle w:val="FootnoteReference"/>
          <w:lang w:val="fr-CA"/>
        </w:rPr>
        <w:footnoteReference w:id="10"/>
      </w:r>
    </w:p>
    <w:p w14:paraId="6C794E01" w14:textId="4ADEE8BF" w:rsidR="0086451F" w:rsidRDefault="0086451F" w:rsidP="0086451F">
      <w:pPr>
        <w:rPr>
          <w:b/>
          <w:bCs/>
          <w:lang w:val="fr-CA"/>
        </w:rPr>
      </w:pPr>
      <w:r>
        <w:rPr>
          <w:b/>
          <w:bCs/>
          <w:lang w:val="fr-CA"/>
        </w:rPr>
        <w:t>Budget pour 2023</w:t>
      </w:r>
    </w:p>
    <w:p w14:paraId="6493BE74" w14:textId="12FE4488" w:rsidR="0086451F" w:rsidRPr="0040064F" w:rsidRDefault="0086451F" w:rsidP="0086451F">
      <w:pPr>
        <w:rPr>
          <w:b/>
          <w:bCs/>
          <w:sz w:val="20"/>
          <w:szCs w:val="20"/>
          <w:lang w:val="fr-CA"/>
        </w:rPr>
      </w:pPr>
    </w:p>
    <w:p w14:paraId="3F97C775" w14:textId="3945874D" w:rsidR="0086451F" w:rsidRDefault="0086451F" w:rsidP="0086451F">
      <w:pPr>
        <w:pStyle w:val="Heading1"/>
        <w:tabs>
          <w:tab w:val="left" w:pos="567"/>
        </w:tabs>
        <w:rPr>
          <w:lang w:val="fr-CA"/>
        </w:rPr>
      </w:pPr>
      <w:r>
        <w:rPr>
          <w:lang w:val="fr-CA"/>
        </w:rPr>
        <w:t>Le budget proposé pour 2023</w:t>
      </w:r>
      <w:r w:rsidR="00B967FD">
        <w:rPr>
          <w:lang w:val="fr-CA"/>
        </w:rPr>
        <w:t xml:space="preserve"> est basé sur le budget révisé </w:t>
      </w:r>
      <w:r w:rsidR="002456A5">
        <w:rPr>
          <w:lang w:val="fr-CA"/>
        </w:rPr>
        <w:t>pour</w:t>
      </w:r>
      <w:r w:rsidR="00B967FD">
        <w:rPr>
          <w:lang w:val="fr-CA"/>
        </w:rPr>
        <w:t xml:space="preserve"> 2022. Il prévoit deux réunions du Comité exécutif à Montréal et continue d’appliquer un taux d’inflation de 3 pour cent</w:t>
      </w:r>
      <w:r w:rsidR="002456A5">
        <w:rPr>
          <w:lang w:val="fr-CA"/>
        </w:rPr>
        <w:t>,</w:t>
      </w:r>
      <w:r w:rsidR="00B967FD">
        <w:rPr>
          <w:lang w:val="fr-CA"/>
        </w:rPr>
        <w:t xml:space="preserve"> </w:t>
      </w:r>
      <w:r w:rsidR="002456A5">
        <w:rPr>
          <w:lang w:val="fr-CA"/>
        </w:rPr>
        <w:t>aux</w:t>
      </w:r>
      <w:r w:rsidR="00B967FD">
        <w:rPr>
          <w:lang w:val="fr-CA"/>
        </w:rPr>
        <w:t xml:space="preserve"> coûts de personnel seulement.</w:t>
      </w:r>
    </w:p>
    <w:p w14:paraId="5D2D13FE" w14:textId="6D72B7D5" w:rsidR="00B967FD" w:rsidRDefault="00B967FD" w:rsidP="00B967FD">
      <w:pPr>
        <w:rPr>
          <w:b/>
          <w:bCs/>
          <w:lang w:val="fr-CA"/>
        </w:rPr>
      </w:pPr>
      <w:r>
        <w:rPr>
          <w:b/>
          <w:bCs/>
          <w:lang w:val="fr-CA"/>
        </w:rPr>
        <w:t>Recommandation</w:t>
      </w:r>
    </w:p>
    <w:p w14:paraId="6503574B" w14:textId="4C38CE42" w:rsidR="00B967FD" w:rsidRPr="0040064F" w:rsidRDefault="00B967FD" w:rsidP="00B967FD">
      <w:pPr>
        <w:rPr>
          <w:b/>
          <w:bCs/>
          <w:sz w:val="20"/>
          <w:szCs w:val="20"/>
          <w:lang w:val="fr-CA"/>
        </w:rPr>
      </w:pPr>
    </w:p>
    <w:p w14:paraId="3A4D970A" w14:textId="49F72A65" w:rsidR="00B967FD" w:rsidRDefault="00B967FD" w:rsidP="00B967FD">
      <w:pPr>
        <w:pStyle w:val="Heading1"/>
        <w:tabs>
          <w:tab w:val="left" w:pos="567"/>
        </w:tabs>
        <w:rPr>
          <w:lang w:val="fr-CA"/>
        </w:rPr>
      </w:pPr>
      <w:r>
        <w:rPr>
          <w:lang w:val="fr-CA"/>
        </w:rPr>
        <w:t>Le Comité exécutif pourrait souhaiter :</w:t>
      </w:r>
    </w:p>
    <w:p w14:paraId="2A225383" w14:textId="01B9BBBD" w:rsidR="00B967FD" w:rsidRDefault="00B967FD" w:rsidP="00B967FD">
      <w:pPr>
        <w:pStyle w:val="Heading2"/>
        <w:ind w:left="1134" w:hanging="567"/>
        <w:rPr>
          <w:lang w:val="fr-CA"/>
        </w:rPr>
      </w:pPr>
      <w:r>
        <w:rPr>
          <w:lang w:val="fr-CA"/>
        </w:rPr>
        <w:t>Prendre note :</w:t>
      </w:r>
    </w:p>
    <w:p w14:paraId="082D175E" w14:textId="51B5BFBA" w:rsidR="00B967FD" w:rsidRDefault="00B967FD" w:rsidP="00B967FD">
      <w:pPr>
        <w:pStyle w:val="Heading3"/>
        <w:ind w:left="1701" w:hanging="567"/>
        <w:rPr>
          <w:lang w:val="fr-CA"/>
        </w:rPr>
      </w:pPr>
      <w:r>
        <w:rPr>
          <w:lang w:val="fr-CA"/>
        </w:rPr>
        <w:t>Du document sur les budgets du Secrétariat du Fonds, approuvés pour 2020</w:t>
      </w:r>
      <w:r w:rsidR="00F116EE">
        <w:rPr>
          <w:lang w:val="fr-CA"/>
        </w:rPr>
        <w:t xml:space="preserve">, </w:t>
      </w:r>
      <w:r>
        <w:rPr>
          <w:lang w:val="fr-CA"/>
        </w:rPr>
        <w:t>2021, révisé pour 2022, et proposé pour 2023, contenu dans UNEP/</w:t>
      </w:r>
      <w:proofErr w:type="spellStart"/>
      <w:r>
        <w:rPr>
          <w:lang w:val="fr-CA"/>
        </w:rPr>
        <w:t>OzL.Pro</w:t>
      </w:r>
      <w:proofErr w:type="spellEnd"/>
      <w:r>
        <w:rPr>
          <w:lang w:val="fr-CA"/>
        </w:rPr>
        <w:t>/</w:t>
      </w:r>
      <w:proofErr w:type="spellStart"/>
      <w:r>
        <w:rPr>
          <w:lang w:val="fr-CA"/>
        </w:rPr>
        <w:t>ExCom</w:t>
      </w:r>
      <w:proofErr w:type="spellEnd"/>
      <w:r>
        <w:rPr>
          <w:lang w:val="fr-CA"/>
        </w:rPr>
        <w:t>/87/5;</w:t>
      </w:r>
      <w:r w:rsidR="00BC2CFF">
        <w:rPr>
          <w:lang w:val="fr-CA"/>
        </w:rPr>
        <w:t xml:space="preserve"> et</w:t>
      </w:r>
    </w:p>
    <w:p w14:paraId="501D059A" w14:textId="017C4B44" w:rsidR="00B967FD" w:rsidRDefault="00B967FD" w:rsidP="00B967FD">
      <w:pPr>
        <w:pStyle w:val="Heading3"/>
        <w:ind w:left="1701" w:hanging="567"/>
        <w:rPr>
          <w:lang w:val="fr-CA"/>
        </w:rPr>
      </w:pPr>
      <w:r>
        <w:rPr>
          <w:lang w:val="fr-CA"/>
        </w:rPr>
        <w:t>Qu’un montant de 24</w:t>
      </w:r>
      <w:r w:rsidR="00FD03E5" w:rsidRPr="00B130A1">
        <w:rPr>
          <w:lang w:val="fr-CA"/>
        </w:rPr>
        <w:t> </w:t>
      </w:r>
      <w:r>
        <w:rPr>
          <w:lang w:val="fr-CA"/>
        </w:rPr>
        <w:t>209</w:t>
      </w:r>
      <w:r w:rsidR="00FD03E5" w:rsidRPr="00B130A1">
        <w:rPr>
          <w:lang w:val="fr-CA"/>
        </w:rPr>
        <w:t> </w:t>
      </w:r>
      <w:r>
        <w:rPr>
          <w:lang w:val="fr-CA"/>
        </w:rPr>
        <w:t>$US pour des dépenses non enregistrées dans les comptes finaux de 2019, a été réaffecté dans le budget de 2020;</w:t>
      </w:r>
    </w:p>
    <w:p w14:paraId="5ABA985F" w14:textId="4E425CDD" w:rsidR="00B967FD" w:rsidRDefault="00B967FD" w:rsidP="00B967FD">
      <w:pPr>
        <w:pStyle w:val="Heading2"/>
        <w:ind w:left="1134" w:hanging="567"/>
        <w:rPr>
          <w:lang w:val="fr-CA"/>
        </w:rPr>
      </w:pPr>
      <w:r>
        <w:rPr>
          <w:lang w:val="fr-CA"/>
        </w:rPr>
        <w:t>Approuver, tels que contenus à l’Annexe I au présent document :</w:t>
      </w:r>
    </w:p>
    <w:p w14:paraId="21A5E4F6" w14:textId="51031D88" w:rsidR="002456A5" w:rsidRDefault="00B967FD" w:rsidP="0040064F">
      <w:pPr>
        <w:pStyle w:val="Heading3"/>
        <w:spacing w:after="0"/>
        <w:ind w:left="1701" w:hanging="567"/>
        <w:rPr>
          <w:lang w:val="fr-CA"/>
        </w:rPr>
      </w:pPr>
      <w:r>
        <w:rPr>
          <w:lang w:val="fr-CA"/>
        </w:rPr>
        <w:t xml:space="preserve">Le budget </w:t>
      </w:r>
      <w:r w:rsidR="00F116EE">
        <w:rPr>
          <w:lang w:val="fr-CA"/>
        </w:rPr>
        <w:t xml:space="preserve">révisé </w:t>
      </w:r>
      <w:r w:rsidR="002456A5">
        <w:rPr>
          <w:lang w:val="fr-CA"/>
        </w:rPr>
        <w:t>de 6</w:t>
      </w:r>
      <w:r w:rsidR="00FD03E5" w:rsidRPr="00B130A1">
        <w:rPr>
          <w:lang w:val="fr-CA"/>
        </w:rPr>
        <w:t> </w:t>
      </w:r>
      <w:r w:rsidR="002456A5">
        <w:rPr>
          <w:lang w:val="fr-CA"/>
        </w:rPr>
        <w:t>915</w:t>
      </w:r>
      <w:r w:rsidR="00FD03E5" w:rsidRPr="00B130A1">
        <w:rPr>
          <w:lang w:val="fr-CA"/>
        </w:rPr>
        <w:t> </w:t>
      </w:r>
      <w:r w:rsidR="002456A5">
        <w:rPr>
          <w:lang w:val="fr-CA"/>
        </w:rPr>
        <w:t>766</w:t>
      </w:r>
      <w:r w:rsidR="00FD03E5" w:rsidRPr="00B130A1">
        <w:rPr>
          <w:lang w:val="fr-CA"/>
        </w:rPr>
        <w:t> </w:t>
      </w:r>
      <w:r w:rsidR="002456A5">
        <w:rPr>
          <w:lang w:val="fr-CA"/>
        </w:rPr>
        <w:t>$US</w:t>
      </w:r>
      <w:r>
        <w:rPr>
          <w:lang w:val="fr-CA"/>
        </w:rPr>
        <w:t xml:space="preserve"> pour 2022</w:t>
      </w:r>
      <w:r w:rsidR="002456A5">
        <w:rPr>
          <w:lang w:val="fr-CA"/>
        </w:rPr>
        <w:t>, suite à l’analyse des coûts de personnel effectuée en réponse à la décision 84/6(c)</w:t>
      </w:r>
      <w:r w:rsidR="002740DA">
        <w:rPr>
          <w:lang w:val="fr-CA"/>
        </w:rPr>
        <w:t xml:space="preserve"> qui</w:t>
      </w:r>
      <w:r w:rsidR="002456A5">
        <w:rPr>
          <w:lang w:val="fr-CA"/>
        </w:rPr>
        <w:t xml:space="preserve"> entrain</w:t>
      </w:r>
      <w:r w:rsidR="002740DA">
        <w:rPr>
          <w:lang w:val="fr-CA"/>
        </w:rPr>
        <w:t>e</w:t>
      </w:r>
      <w:r w:rsidR="00F116EE">
        <w:rPr>
          <w:lang w:val="fr-CA"/>
        </w:rPr>
        <w:t xml:space="preserve"> le</w:t>
      </w:r>
      <w:r w:rsidR="002456A5">
        <w:rPr>
          <w:lang w:val="fr-CA"/>
        </w:rPr>
        <w:t xml:space="preserve"> remboursement de 1</w:t>
      </w:r>
      <w:r w:rsidR="007710F4" w:rsidRPr="00B130A1">
        <w:rPr>
          <w:lang w:val="fr-CA"/>
        </w:rPr>
        <w:t> </w:t>
      </w:r>
      <w:r w:rsidR="002456A5">
        <w:rPr>
          <w:lang w:val="fr-CA"/>
        </w:rPr>
        <w:t>033</w:t>
      </w:r>
      <w:r w:rsidR="007710F4" w:rsidRPr="00B130A1">
        <w:rPr>
          <w:lang w:val="fr-CA"/>
        </w:rPr>
        <w:t> </w:t>
      </w:r>
      <w:r w:rsidR="002456A5">
        <w:rPr>
          <w:lang w:val="fr-CA"/>
        </w:rPr>
        <w:t>864</w:t>
      </w:r>
      <w:r w:rsidR="007710F4" w:rsidRPr="00B130A1">
        <w:rPr>
          <w:lang w:val="fr-CA"/>
        </w:rPr>
        <w:t> </w:t>
      </w:r>
      <w:r w:rsidR="002456A5">
        <w:rPr>
          <w:lang w:val="fr-CA"/>
        </w:rPr>
        <w:t>$US au Fonds multilatéral à la 87</w:t>
      </w:r>
      <w:r w:rsidR="002456A5" w:rsidRPr="002456A5">
        <w:rPr>
          <w:vertAlign w:val="superscript"/>
          <w:lang w:val="fr-CA"/>
        </w:rPr>
        <w:t>e</w:t>
      </w:r>
      <w:r w:rsidR="002456A5">
        <w:rPr>
          <w:lang w:val="fr-CA"/>
        </w:rPr>
        <w:t xml:space="preserve"> réunion; et</w:t>
      </w:r>
    </w:p>
    <w:p w14:paraId="7F90C896" w14:textId="77777777" w:rsidR="00EF6167" w:rsidRPr="00EF6167" w:rsidRDefault="00EF6167" w:rsidP="0040064F">
      <w:pPr>
        <w:rPr>
          <w:lang w:val="fr-CA"/>
        </w:rPr>
      </w:pPr>
    </w:p>
    <w:p w14:paraId="4A2034E7" w14:textId="6EA37A1E" w:rsidR="0086451F" w:rsidRPr="00EF6167" w:rsidRDefault="002456A5" w:rsidP="0040064F">
      <w:pPr>
        <w:pStyle w:val="Heading3"/>
        <w:spacing w:after="0"/>
        <w:ind w:left="1701" w:hanging="567"/>
        <w:rPr>
          <w:b/>
          <w:bCs/>
          <w:lang w:val="fr-CA"/>
        </w:rPr>
      </w:pPr>
      <w:r w:rsidRPr="00EF6167">
        <w:rPr>
          <w:lang w:val="fr-CA"/>
        </w:rPr>
        <w:t xml:space="preserve">Le budget </w:t>
      </w:r>
      <w:r w:rsidR="00F116EE" w:rsidRPr="00EF6167">
        <w:rPr>
          <w:lang w:val="fr-CA"/>
        </w:rPr>
        <w:t xml:space="preserve">proposé </w:t>
      </w:r>
      <w:r w:rsidRPr="00EF6167">
        <w:rPr>
          <w:lang w:val="fr-CA"/>
        </w:rPr>
        <w:t>de 7</w:t>
      </w:r>
      <w:r w:rsidR="007710F4" w:rsidRPr="00B130A1">
        <w:rPr>
          <w:lang w:val="fr-CA"/>
        </w:rPr>
        <w:t> </w:t>
      </w:r>
      <w:r w:rsidRPr="00EF6167">
        <w:rPr>
          <w:lang w:val="fr-CA"/>
        </w:rPr>
        <w:t>039</w:t>
      </w:r>
      <w:r w:rsidR="007710F4" w:rsidRPr="00B130A1">
        <w:rPr>
          <w:lang w:val="fr-CA"/>
        </w:rPr>
        <w:t> </w:t>
      </w:r>
      <w:r w:rsidRPr="00EF6167">
        <w:rPr>
          <w:lang w:val="fr-CA"/>
        </w:rPr>
        <w:t>830</w:t>
      </w:r>
      <w:r w:rsidR="007710F4" w:rsidRPr="00B130A1">
        <w:rPr>
          <w:lang w:val="fr-CA"/>
        </w:rPr>
        <w:t> </w:t>
      </w:r>
      <w:r w:rsidRPr="00EF6167">
        <w:rPr>
          <w:lang w:val="fr-CA"/>
        </w:rPr>
        <w:t>$</w:t>
      </w:r>
      <w:r w:rsidR="007710F4" w:rsidRPr="00EF6167">
        <w:rPr>
          <w:lang w:val="fr-CA"/>
        </w:rPr>
        <w:t>US</w:t>
      </w:r>
      <w:r w:rsidRPr="00EF6167">
        <w:rPr>
          <w:lang w:val="fr-CA"/>
        </w:rPr>
        <w:t xml:space="preserve"> pour 2023, </w:t>
      </w:r>
      <w:r w:rsidR="00F116EE" w:rsidRPr="00EF6167">
        <w:rPr>
          <w:lang w:val="fr-CA"/>
        </w:rPr>
        <w:t>sur la base</w:t>
      </w:r>
      <w:r w:rsidRPr="00EF6167">
        <w:rPr>
          <w:lang w:val="fr-CA"/>
        </w:rPr>
        <w:t xml:space="preserve"> du budget révisé pour 2022, incluant deux réunions du Comité exécutif à Montréal et une augmentation de </w:t>
      </w:r>
      <w:r w:rsidR="00FD03E5" w:rsidRPr="00EF6167">
        <w:rPr>
          <w:lang w:val="fr-CA"/>
        </w:rPr>
        <w:br/>
      </w:r>
      <w:r w:rsidRPr="00EF6167">
        <w:rPr>
          <w:lang w:val="fr-CA"/>
        </w:rPr>
        <w:t xml:space="preserve">3 pour cent des coûts de personnel. </w:t>
      </w:r>
      <w:r w:rsidR="00B967FD" w:rsidRPr="00EF6167">
        <w:rPr>
          <w:lang w:val="fr-CA"/>
        </w:rPr>
        <w:t xml:space="preserve"> </w:t>
      </w:r>
      <w:bookmarkStart w:id="0" w:name="_GoBack"/>
      <w:bookmarkEnd w:id="0"/>
    </w:p>
    <w:sectPr w:rsidR="0086451F" w:rsidRPr="00EF6167">
      <w:headerReference w:type="even" r:id="rId12"/>
      <w:head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DE1CB" w14:textId="77777777" w:rsidR="003A69B9" w:rsidRDefault="003A69B9">
      <w:r>
        <w:separator/>
      </w:r>
    </w:p>
  </w:endnote>
  <w:endnote w:type="continuationSeparator" w:id="0">
    <w:p w14:paraId="7158E5FA" w14:textId="77777777" w:rsidR="003A69B9" w:rsidRDefault="003A6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6E6C6" w14:textId="0A021614" w:rsidR="00895502" w:rsidRPr="009D13A3" w:rsidRDefault="00895502" w:rsidP="00895502">
    <w:pPr>
      <w:pBdr>
        <w:top w:val="single" w:sz="4" w:space="1" w:color="auto"/>
        <w:left w:val="single" w:sz="4" w:space="4" w:color="auto"/>
        <w:bottom w:val="single" w:sz="4" w:space="1" w:color="auto"/>
        <w:right w:val="single" w:sz="4" w:space="4" w:color="auto"/>
      </w:pBdr>
      <w:jc w:val="center"/>
      <w:rPr>
        <w:sz w:val="18"/>
        <w:szCs w:val="18"/>
        <w:lang w:val="fr-CA"/>
      </w:rPr>
    </w:pPr>
    <w:r w:rsidRPr="009D13A3">
      <w:rPr>
        <w:sz w:val="18"/>
        <w:szCs w:val="18"/>
        <w:lang w:val="fr-CA"/>
      </w:rPr>
      <w:t>Les documents de présession du Comité exécutif du Fonds multilatéral aux fins d’application du Protocole de</w:t>
    </w:r>
  </w:p>
  <w:p w14:paraId="7E801EC8" w14:textId="77777777" w:rsidR="00895502" w:rsidRPr="009D13A3" w:rsidRDefault="00895502" w:rsidP="00895502">
    <w:pPr>
      <w:pBdr>
        <w:top w:val="single" w:sz="4" w:space="1" w:color="auto"/>
        <w:left w:val="single" w:sz="4" w:space="4" w:color="auto"/>
        <w:bottom w:val="single" w:sz="4" w:space="1" w:color="auto"/>
        <w:right w:val="single" w:sz="4" w:space="4" w:color="auto"/>
      </w:pBdr>
      <w:jc w:val="center"/>
      <w:rPr>
        <w:sz w:val="18"/>
        <w:szCs w:val="18"/>
        <w:lang w:val="fr-CA"/>
      </w:rPr>
    </w:pPr>
    <w:r w:rsidRPr="009D13A3">
      <w:rPr>
        <w:sz w:val="18"/>
        <w:szCs w:val="18"/>
        <w:lang w:val="fr-CA"/>
      </w:rPr>
      <w:t>Montréal sont présentés sous réserve des décisions pouvant être prises par le Comité exécutif après leur publication.</w:t>
    </w:r>
  </w:p>
  <w:p w14:paraId="23B6DF90" w14:textId="717AAB14" w:rsidR="00895502" w:rsidRPr="009D13A3" w:rsidRDefault="00895502">
    <w:pPr>
      <w:pStyle w:val="Footer"/>
      <w:rPr>
        <w:lang w:val="fr-CA"/>
      </w:rPr>
    </w:pPr>
  </w:p>
  <w:p w14:paraId="4F13C642" w14:textId="77777777" w:rsidR="00441083" w:rsidRPr="009D13A3" w:rsidRDefault="00441083">
    <w:pP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B8DA6C" w14:textId="77777777" w:rsidR="003A69B9" w:rsidRDefault="003A69B9">
      <w:r>
        <w:separator/>
      </w:r>
    </w:p>
  </w:footnote>
  <w:footnote w:type="continuationSeparator" w:id="0">
    <w:p w14:paraId="45DC7E0B" w14:textId="77777777" w:rsidR="003A69B9" w:rsidRDefault="003A69B9">
      <w:r>
        <w:continuationSeparator/>
      </w:r>
    </w:p>
  </w:footnote>
  <w:footnote w:id="1">
    <w:p w14:paraId="0154A45D" w14:textId="4753EFB6" w:rsidR="003029F8"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n juin et juillet 2021 à cause du coronaviru</w:t>
      </w:r>
      <w:r w:rsidR="003029F8" w:rsidRPr="0004647F">
        <w:rPr>
          <w:lang w:val="fr-CA"/>
        </w:rPr>
        <w:t>s</w:t>
      </w:r>
      <w:r w:rsidR="003029F8">
        <w:rPr>
          <w:lang w:val="fr-CA"/>
        </w:rPr>
        <w:t xml:space="preserve"> (COVID-19)</w:t>
      </w:r>
    </w:p>
  </w:footnote>
  <w:footnote w:id="2">
    <w:p w14:paraId="0F942DD1" w14:textId="411E96EF" w:rsidR="004B0C57" w:rsidRPr="004B0C57" w:rsidRDefault="004B0C57">
      <w:pPr>
        <w:pStyle w:val="FootnoteText"/>
        <w:rPr>
          <w:lang w:val="fr-CA"/>
        </w:rPr>
      </w:pPr>
      <w:r>
        <w:rPr>
          <w:rStyle w:val="FootnoteReference"/>
        </w:rPr>
        <w:footnoteRef/>
      </w:r>
      <w:r w:rsidRPr="004B0C57">
        <w:rPr>
          <w:lang w:val="fr-CA"/>
        </w:rPr>
        <w:t xml:space="preserve"> </w:t>
      </w:r>
      <w:r>
        <w:rPr>
          <w:lang w:val="fr-CA"/>
        </w:rPr>
        <w:t xml:space="preserve">Incluant deux processus d’approbation intersessions et des réunions, en ligne et virtuelles, de groupes de contact et du Sous-groupe </w:t>
      </w:r>
      <w:r w:rsidR="002740DA">
        <w:rPr>
          <w:lang w:val="fr-CA"/>
        </w:rPr>
        <w:t>convoquées</w:t>
      </w:r>
      <w:r>
        <w:rPr>
          <w:lang w:val="fr-CA"/>
        </w:rPr>
        <w:t xml:space="preserve"> pour examiner certains points de l’ordre du jour et des documents de conférence.</w:t>
      </w:r>
    </w:p>
  </w:footnote>
  <w:footnote w:id="3">
    <w:p w14:paraId="41E2CCF2" w14:textId="3165A884" w:rsidR="004B0C57" w:rsidRPr="004B0C57" w:rsidRDefault="004B0C57">
      <w:pPr>
        <w:pStyle w:val="FootnoteText"/>
        <w:rPr>
          <w:lang w:val="fr-CA"/>
        </w:rPr>
      </w:pPr>
      <w:r>
        <w:rPr>
          <w:rStyle w:val="FootnoteReference"/>
        </w:rPr>
        <w:footnoteRef/>
      </w:r>
      <w:r w:rsidRPr="004B0C57">
        <w:rPr>
          <w:lang w:val="fr-CA"/>
        </w:rPr>
        <w:t xml:space="preserve"> </w:t>
      </w:r>
      <w:r>
        <w:rPr>
          <w:lang w:val="fr-CA"/>
        </w:rPr>
        <w:t>Point 4(d) de l’ordre du jour (UNEP/</w:t>
      </w:r>
      <w:proofErr w:type="spellStart"/>
      <w:r>
        <w:rPr>
          <w:lang w:val="fr-CA"/>
        </w:rPr>
        <w:t>OzL.Pro</w:t>
      </w:r>
      <w:proofErr w:type="spellEnd"/>
      <w:r>
        <w:rPr>
          <w:lang w:val="fr-CA"/>
        </w:rPr>
        <w:t>/</w:t>
      </w:r>
      <w:proofErr w:type="spellStart"/>
      <w:r>
        <w:rPr>
          <w:lang w:val="fr-CA"/>
        </w:rPr>
        <w:t>Excom</w:t>
      </w:r>
      <w:proofErr w:type="spellEnd"/>
      <w:r>
        <w:rPr>
          <w:lang w:val="fr-CA"/>
        </w:rPr>
        <w:t>/86/1)</w:t>
      </w:r>
    </w:p>
  </w:footnote>
  <w:footnote w:id="4">
    <w:p w14:paraId="0BDD5319" w14:textId="3D4E1B5B" w:rsidR="00895502" w:rsidRDefault="004B0C57" w:rsidP="00895502">
      <w:pPr>
        <w:pStyle w:val="FootnoteText"/>
        <w:tabs>
          <w:tab w:val="left" w:pos="5750"/>
        </w:tabs>
        <w:rPr>
          <w:lang w:val="fr-CA"/>
        </w:rPr>
      </w:pPr>
      <w:r>
        <w:rPr>
          <w:rStyle w:val="FootnoteReference"/>
        </w:rPr>
        <w:footnoteRef/>
      </w:r>
      <w:r w:rsidRPr="004B0C57">
        <w:rPr>
          <w:lang w:val="fr-CA"/>
        </w:rPr>
        <w:t xml:space="preserve"> Paragraphe 52 du document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/86/100</w:t>
      </w:r>
    </w:p>
    <w:p w14:paraId="787C4C88" w14:textId="5390F717" w:rsidR="009D13A3" w:rsidRDefault="009D13A3" w:rsidP="00895502">
      <w:pPr>
        <w:pStyle w:val="FootnoteText"/>
        <w:tabs>
          <w:tab w:val="left" w:pos="5750"/>
        </w:tabs>
        <w:rPr>
          <w:lang w:val="fr-CA"/>
        </w:rPr>
      </w:pPr>
    </w:p>
    <w:p w14:paraId="7B640697" w14:textId="77777777" w:rsidR="009D13A3" w:rsidRPr="004B0C57" w:rsidRDefault="009D13A3" w:rsidP="00895502">
      <w:pPr>
        <w:pStyle w:val="FootnoteText"/>
        <w:tabs>
          <w:tab w:val="left" w:pos="5750"/>
        </w:tabs>
        <w:rPr>
          <w:lang w:val="fr-CA"/>
        </w:rPr>
      </w:pPr>
    </w:p>
  </w:footnote>
  <w:footnote w:id="5">
    <w:p w14:paraId="5FC09E9B" w14:textId="3CA881E9" w:rsidR="006962DE" w:rsidRPr="006962DE" w:rsidRDefault="006962DE">
      <w:pPr>
        <w:pStyle w:val="FootnoteText"/>
        <w:rPr>
          <w:lang w:val="fr-CA"/>
        </w:rPr>
      </w:pPr>
      <w:r>
        <w:rPr>
          <w:rStyle w:val="FootnoteReference"/>
        </w:rPr>
        <w:footnoteRef/>
      </w:r>
      <w:r w:rsidRPr="00F52DAE">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/60/53</w:t>
      </w:r>
    </w:p>
  </w:footnote>
  <w:footnote w:id="6">
    <w:p w14:paraId="33C20AC5" w14:textId="2C7E8063" w:rsidR="00446414" w:rsidRPr="00446414" w:rsidRDefault="00446414">
      <w:pPr>
        <w:pStyle w:val="FootnoteText"/>
        <w:rPr>
          <w:lang w:val="fr-CA"/>
        </w:rPr>
      </w:pPr>
      <w:r>
        <w:rPr>
          <w:rStyle w:val="FootnoteReference"/>
        </w:rPr>
        <w:footnoteRef/>
      </w:r>
      <w:r w:rsidRPr="00F52DAE">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/65/58</w:t>
      </w:r>
    </w:p>
  </w:footnote>
  <w:footnote w:id="7">
    <w:p w14:paraId="4E48FC47" w14:textId="47C21744" w:rsidR="005919AF" w:rsidRPr="005919AF" w:rsidRDefault="005919AF">
      <w:pPr>
        <w:pStyle w:val="FootnoteText"/>
        <w:rPr>
          <w:lang w:val="fr-CA"/>
        </w:rPr>
      </w:pPr>
      <w:r>
        <w:rPr>
          <w:rStyle w:val="FootnoteReference"/>
        </w:rPr>
        <w:footnoteRef/>
      </w:r>
      <w:r w:rsidRPr="005919AF">
        <w:rPr>
          <w:lang w:val="fr-CA"/>
        </w:rPr>
        <w:t xml:space="preserve"> </w:t>
      </w:r>
      <w:r>
        <w:rPr>
          <w:lang w:val="fr-CA"/>
        </w:rPr>
        <w:t xml:space="preserve">Le budget du Secrétariat du Fonds ne </w:t>
      </w:r>
      <w:r w:rsidR="00F52DAE">
        <w:rPr>
          <w:lang w:val="fr-CA"/>
        </w:rPr>
        <w:t>prévoit pas</w:t>
      </w:r>
      <w:r>
        <w:rPr>
          <w:lang w:val="fr-CA"/>
        </w:rPr>
        <w:t xml:space="preserve"> un fonds/une réserve pour imprévus dans une ligne budgétaire séparée.</w:t>
      </w:r>
    </w:p>
  </w:footnote>
  <w:footnote w:id="8">
    <w:p w14:paraId="0C52DBEC" w14:textId="343837A4" w:rsidR="00A95435" w:rsidRPr="0040064F" w:rsidRDefault="00A95435">
      <w:pPr>
        <w:pStyle w:val="FootnoteText"/>
        <w:rPr>
          <w:sz w:val="19"/>
          <w:szCs w:val="19"/>
          <w:lang w:val="fr-CA"/>
        </w:rPr>
      </w:pPr>
      <w:r w:rsidRPr="0040064F">
        <w:rPr>
          <w:rStyle w:val="FootnoteReference"/>
          <w:sz w:val="19"/>
          <w:szCs w:val="19"/>
        </w:rPr>
        <w:footnoteRef/>
      </w:r>
      <w:r w:rsidRPr="0040064F">
        <w:rPr>
          <w:sz w:val="19"/>
          <w:szCs w:val="19"/>
          <w:lang w:val="fr-CA"/>
        </w:rPr>
        <w:t xml:space="preserve"> UNEP/</w:t>
      </w:r>
      <w:proofErr w:type="spellStart"/>
      <w:r w:rsidRPr="0040064F">
        <w:rPr>
          <w:sz w:val="19"/>
          <w:szCs w:val="19"/>
          <w:lang w:val="fr-CA"/>
        </w:rPr>
        <w:t>OzL.Pro</w:t>
      </w:r>
      <w:proofErr w:type="spellEnd"/>
      <w:r w:rsidRPr="0040064F">
        <w:rPr>
          <w:sz w:val="19"/>
          <w:szCs w:val="19"/>
          <w:lang w:val="fr-CA"/>
        </w:rPr>
        <w:t>/</w:t>
      </w:r>
      <w:proofErr w:type="spellStart"/>
      <w:r w:rsidRPr="0040064F">
        <w:rPr>
          <w:sz w:val="19"/>
          <w:szCs w:val="19"/>
          <w:lang w:val="fr-CA"/>
        </w:rPr>
        <w:t>ExCom</w:t>
      </w:r>
      <w:proofErr w:type="spellEnd"/>
      <w:r w:rsidRPr="0040064F">
        <w:rPr>
          <w:sz w:val="19"/>
          <w:szCs w:val="19"/>
          <w:lang w:val="fr-CA"/>
        </w:rPr>
        <w:t>/86/5</w:t>
      </w:r>
    </w:p>
  </w:footnote>
  <w:footnote w:id="9">
    <w:p w14:paraId="24A10C0E" w14:textId="6D078B24" w:rsidR="00A95435" w:rsidRPr="0040064F" w:rsidRDefault="00A95435">
      <w:pPr>
        <w:pStyle w:val="FootnoteText"/>
        <w:rPr>
          <w:sz w:val="19"/>
          <w:szCs w:val="19"/>
          <w:lang w:val="fr-CA"/>
        </w:rPr>
      </w:pPr>
      <w:r w:rsidRPr="0040064F">
        <w:rPr>
          <w:rStyle w:val="FootnoteReference"/>
          <w:sz w:val="19"/>
          <w:szCs w:val="19"/>
        </w:rPr>
        <w:footnoteRef/>
      </w:r>
      <w:r w:rsidRPr="0040064F">
        <w:rPr>
          <w:sz w:val="19"/>
          <w:szCs w:val="19"/>
          <w:lang w:val="fr-CA"/>
        </w:rPr>
        <w:t xml:space="preserve"> Colonne E de l’Appendice 1.3 (Annexe I du document UNEP/</w:t>
      </w:r>
      <w:proofErr w:type="spellStart"/>
      <w:r w:rsidRPr="0040064F">
        <w:rPr>
          <w:sz w:val="19"/>
          <w:szCs w:val="19"/>
          <w:lang w:val="fr-CA"/>
        </w:rPr>
        <w:t>OzL.Pro</w:t>
      </w:r>
      <w:proofErr w:type="spellEnd"/>
      <w:r w:rsidRPr="0040064F">
        <w:rPr>
          <w:sz w:val="19"/>
          <w:szCs w:val="19"/>
          <w:lang w:val="fr-CA"/>
        </w:rPr>
        <w:t>/</w:t>
      </w:r>
      <w:proofErr w:type="spellStart"/>
      <w:r w:rsidRPr="0040064F">
        <w:rPr>
          <w:sz w:val="19"/>
          <w:szCs w:val="19"/>
          <w:lang w:val="fr-CA"/>
        </w:rPr>
        <w:t>ExCom</w:t>
      </w:r>
      <w:proofErr w:type="spellEnd"/>
      <w:r w:rsidRPr="0040064F">
        <w:rPr>
          <w:sz w:val="19"/>
          <w:szCs w:val="19"/>
          <w:lang w:val="fr-CA"/>
        </w:rPr>
        <w:t>/86/5)</w:t>
      </w:r>
    </w:p>
  </w:footnote>
  <w:footnote w:id="10">
    <w:p w14:paraId="0907A6D7" w14:textId="4FD2554F" w:rsidR="0086451F" w:rsidRPr="0040064F" w:rsidRDefault="0086451F">
      <w:pPr>
        <w:pStyle w:val="FootnoteText"/>
        <w:rPr>
          <w:sz w:val="19"/>
          <w:szCs w:val="19"/>
          <w:lang w:val="fr-CA"/>
        </w:rPr>
      </w:pPr>
      <w:r w:rsidRPr="0040064F">
        <w:rPr>
          <w:rStyle w:val="FootnoteReference"/>
          <w:sz w:val="19"/>
          <w:szCs w:val="19"/>
        </w:rPr>
        <w:footnoteRef/>
      </w:r>
      <w:r w:rsidRPr="0040064F">
        <w:rPr>
          <w:sz w:val="19"/>
          <w:szCs w:val="19"/>
          <w:lang w:val="fr-CA"/>
        </w:rPr>
        <w:t xml:space="preserve"> L’impact de la pandémie du COVID-19 n’a pas été pris en compte. Les soldes non dépensés étaient liés surtout aux frais de voyage pour le personnel et les délégués et le coût des réunions du Comité exécutif en présentiel sera évalué et re</w:t>
      </w:r>
      <w:r w:rsidR="00F116EE" w:rsidRPr="0040064F">
        <w:rPr>
          <w:sz w:val="19"/>
          <w:szCs w:val="19"/>
          <w:lang w:val="fr-CA"/>
        </w:rPr>
        <w:t>mi</w:t>
      </w:r>
      <w:r w:rsidRPr="0040064F">
        <w:rPr>
          <w:sz w:val="19"/>
          <w:szCs w:val="19"/>
          <w:lang w:val="fr-CA"/>
        </w:rPr>
        <w:t>s</w:t>
      </w:r>
      <w:r w:rsidR="00F116EE" w:rsidRPr="0040064F">
        <w:rPr>
          <w:sz w:val="19"/>
          <w:szCs w:val="19"/>
          <w:lang w:val="fr-CA"/>
        </w:rPr>
        <w:t xml:space="preserve"> </w:t>
      </w:r>
      <w:r w:rsidRPr="0040064F">
        <w:rPr>
          <w:sz w:val="19"/>
          <w:szCs w:val="19"/>
          <w:lang w:val="fr-CA"/>
        </w:rPr>
        <w:t>au Fonds au moment de la clôture des comptes du Fonds.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64CC3" w14:textId="28433981" w:rsidR="00EF6167" w:rsidRDefault="00EF6167" w:rsidP="00EF6167">
    <w:r>
      <w:t>UNEP/</w:t>
    </w:r>
    <w:proofErr w:type="spellStart"/>
    <w:r>
      <w:t>OzL.Pro</w:t>
    </w:r>
    <w:proofErr w:type="spellEnd"/>
    <w:r>
      <w:t>/</w:t>
    </w:r>
    <w:proofErr w:type="spellStart"/>
    <w:r>
      <w:t>ExCom</w:t>
    </w:r>
    <w:proofErr w:type="spellEnd"/>
    <w:r>
      <w:t>/87/5</w:t>
    </w:r>
  </w:p>
  <w:p w14:paraId="38326D48" w14:textId="4482EB8B" w:rsidR="00EF6167" w:rsidRDefault="00EF6167" w:rsidP="00EF6167">
    <w:pPr>
      <w:pStyle w:val="Header"/>
      <w:tabs>
        <w:tab w:val="clear" w:pos="4320"/>
        <w:tab w:val="clear" w:pos="8640"/>
        <w:tab w:val="left" w:pos="980"/>
      </w:tabs>
    </w:pPr>
  </w:p>
  <w:p w14:paraId="6D92FC40" w14:textId="77777777" w:rsidR="00EF6167" w:rsidRDefault="00EF6167" w:rsidP="00EF6167">
    <w:pPr>
      <w:pStyle w:val="Header"/>
      <w:tabs>
        <w:tab w:val="clear" w:pos="4320"/>
        <w:tab w:val="clear" w:pos="8640"/>
        <w:tab w:val="left" w:pos="980"/>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7F68" w14:textId="0009C18D" w:rsidR="00EF6167" w:rsidRPr="00EF6167" w:rsidRDefault="00EF6167" w:rsidP="00EF6167">
    <w:pPr>
      <w:pStyle w:val="Header"/>
      <w:tabs>
        <w:tab w:val="clear" w:pos="8640"/>
        <w:tab w:val="right" w:pos="9214"/>
      </w:tabs>
    </w:pPr>
    <w:r>
      <w:tab/>
    </w:r>
    <w:r>
      <w:tab/>
    </w:r>
    <w:r w:rsidRPr="00EF6167">
      <w:t>UNEP/</w:t>
    </w:r>
    <w:proofErr w:type="spellStart"/>
    <w:r w:rsidRPr="00EF6167">
      <w:t>OzL.Pro</w:t>
    </w:r>
    <w:proofErr w:type="spellEnd"/>
    <w:r w:rsidRPr="00EF6167">
      <w:t>/</w:t>
    </w:r>
    <w:proofErr w:type="spellStart"/>
    <w:r w:rsidRPr="00EF6167">
      <w:t>ExCom</w:t>
    </w:r>
    <w:proofErr w:type="spellEnd"/>
    <w:r w:rsidRPr="00EF6167">
      <w:t>/87/5</w:t>
    </w:r>
  </w:p>
  <w:p w14:paraId="55D14551" w14:textId="77777777" w:rsidR="00EF6167" w:rsidRDefault="00EF616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12039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b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21223"/>
    <w:multiLevelType w:val="hybridMultilevel"/>
    <w:tmpl w:val="0DBA0146"/>
    <w:lvl w:ilvl="0" w:tplc="04090001">
      <w:start w:val="1"/>
      <w:numFmt w:val="bullet"/>
      <w:lvlText w:val=""/>
      <w:lvlJc w:val="left"/>
      <w:pPr>
        <w:ind w:left="873" w:hanging="360"/>
      </w:pPr>
      <w:rPr>
        <w:rFonts w:ascii="Symbol" w:hAnsi="Symbol" w:hint="default"/>
      </w:rPr>
    </w:lvl>
    <w:lvl w:ilvl="1" w:tplc="04090003">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8"/>
  </w:num>
  <w:num w:numId="20">
    <w:abstractNumId w:val="15"/>
  </w:num>
  <w:num w:numId="21">
    <w:abstractNumId w:val="11"/>
  </w:num>
  <w:num w:numId="22">
    <w:abstractNumId w:val="13"/>
  </w:num>
  <w:num w:numId="2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059"/>
    <w:rsid w:val="00065920"/>
    <w:rsid w:val="00086007"/>
    <w:rsid w:val="00097286"/>
    <w:rsid w:val="000F6C8E"/>
    <w:rsid w:val="001C3D0C"/>
    <w:rsid w:val="001D4CE7"/>
    <w:rsid w:val="002456A5"/>
    <w:rsid w:val="00265AF0"/>
    <w:rsid w:val="002740DA"/>
    <w:rsid w:val="002C06D4"/>
    <w:rsid w:val="002F0B57"/>
    <w:rsid w:val="002F20AC"/>
    <w:rsid w:val="003029F8"/>
    <w:rsid w:val="00385B54"/>
    <w:rsid w:val="003A0CA4"/>
    <w:rsid w:val="003A69B9"/>
    <w:rsid w:val="003B4F0B"/>
    <w:rsid w:val="0040064F"/>
    <w:rsid w:val="00441083"/>
    <w:rsid w:val="00444619"/>
    <w:rsid w:val="00446414"/>
    <w:rsid w:val="004B0C57"/>
    <w:rsid w:val="004B1B59"/>
    <w:rsid w:val="004C2C87"/>
    <w:rsid w:val="004E3A36"/>
    <w:rsid w:val="005919AF"/>
    <w:rsid w:val="00594059"/>
    <w:rsid w:val="005B3CAD"/>
    <w:rsid w:val="005C278F"/>
    <w:rsid w:val="00605093"/>
    <w:rsid w:val="006962DE"/>
    <w:rsid w:val="007034FA"/>
    <w:rsid w:val="0071530A"/>
    <w:rsid w:val="0071673A"/>
    <w:rsid w:val="0073217C"/>
    <w:rsid w:val="0075750B"/>
    <w:rsid w:val="007710F4"/>
    <w:rsid w:val="00773AFA"/>
    <w:rsid w:val="007D00A6"/>
    <w:rsid w:val="007E3761"/>
    <w:rsid w:val="007F27F6"/>
    <w:rsid w:val="0086451F"/>
    <w:rsid w:val="00895502"/>
    <w:rsid w:val="008E0B81"/>
    <w:rsid w:val="0091161A"/>
    <w:rsid w:val="00944ED9"/>
    <w:rsid w:val="00972E99"/>
    <w:rsid w:val="009A5180"/>
    <w:rsid w:val="009D13A3"/>
    <w:rsid w:val="00A21585"/>
    <w:rsid w:val="00A7504F"/>
    <w:rsid w:val="00A95435"/>
    <w:rsid w:val="00AC013C"/>
    <w:rsid w:val="00AE63D8"/>
    <w:rsid w:val="00B130A1"/>
    <w:rsid w:val="00B811F2"/>
    <w:rsid w:val="00B967FD"/>
    <w:rsid w:val="00BC2CFF"/>
    <w:rsid w:val="00BC3C7D"/>
    <w:rsid w:val="00C16E3F"/>
    <w:rsid w:val="00C37A29"/>
    <w:rsid w:val="00C6443E"/>
    <w:rsid w:val="00CC2B33"/>
    <w:rsid w:val="00D44A5F"/>
    <w:rsid w:val="00D7654A"/>
    <w:rsid w:val="00D93B07"/>
    <w:rsid w:val="00DB4E64"/>
    <w:rsid w:val="00DD3433"/>
    <w:rsid w:val="00E348C6"/>
    <w:rsid w:val="00E54871"/>
    <w:rsid w:val="00E60D9C"/>
    <w:rsid w:val="00EB2067"/>
    <w:rsid w:val="00EF6167"/>
    <w:rsid w:val="00F116EE"/>
    <w:rsid w:val="00F37A42"/>
    <w:rsid w:val="00F52DAE"/>
    <w:rsid w:val="00F557F5"/>
    <w:rsid w:val="00FC0D87"/>
    <w:rsid w:val="00FC5578"/>
    <w:rsid w:val="00FD03E5"/>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1D8AF7C"/>
  <w15:docId w15:val="{1ABCC865-345C-DE49-B774-6F4B227C5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7153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UNEP/OzL.Pro/ExCom/87/5</Document_x0020_Number>
  </documentManagement>
</p:properties>
</file>

<file path=customXml/itemProps1.xml><?xml version="1.0" encoding="utf-8"?>
<ds:datastoreItem xmlns:ds="http://schemas.openxmlformats.org/officeDocument/2006/customXml" ds:itemID="{03733B20-5B88-4231-B32E-2E37288E7277}"/>
</file>

<file path=customXml/itemProps2.xml><?xml version="1.0" encoding="utf-8"?>
<ds:datastoreItem xmlns:ds="http://schemas.openxmlformats.org/officeDocument/2006/customXml" ds:itemID="{79AFA843-59E0-464E-818F-00A54B242B05}"/>
</file>

<file path=customXml/itemProps3.xml><?xml version="1.0" encoding="utf-8"?>
<ds:datastoreItem xmlns:ds="http://schemas.openxmlformats.org/officeDocument/2006/customXml" ds:itemID="{183F0E50-76D1-4AB6-BEED-07B47369E7D3}"/>
</file>

<file path=customXml/itemProps4.xml><?xml version="1.0" encoding="utf-8"?>
<ds:datastoreItem xmlns:ds="http://schemas.openxmlformats.org/officeDocument/2006/customXml" ds:itemID="{3A5A4F8C-22F0-4E53-9D78-07EC2BE335D3}"/>
</file>

<file path=docProps/app.xml><?xml version="1.0" encoding="utf-8"?>
<Properties xmlns="http://schemas.openxmlformats.org/officeDocument/2006/extended-properties" xmlns:vt="http://schemas.openxmlformats.org/officeDocument/2006/docPropsVTypes">
  <Template>Normal</Template>
  <TotalTime>23</TotalTime>
  <Pages>3</Pages>
  <Words>1261</Words>
  <Characters>6307</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Budgets du Secrétariat du Fonds, approuvés pour 2020, 2021, révisé pour 2022 et proposé pour 2023</vt:lpstr>
    </vt:vector>
  </TitlesOfParts>
  <Company>UNMFS</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Budgets du Secrétariat du Fonds, approuvés pour 2020, 2021, révisé pour 2022 et proposé pour 2023</dc:title>
  <dc:creator>Microsoft Office User</dc:creator>
  <cp:lastModifiedBy>HB</cp:lastModifiedBy>
  <cp:revision>9</cp:revision>
  <cp:lastPrinted>2001-05-26T16:40:00Z</cp:lastPrinted>
  <dcterms:created xsi:type="dcterms:W3CDTF">2021-06-30T20:21:00Z</dcterms:created>
  <dcterms:modified xsi:type="dcterms:W3CDTF">2021-07-02T20:04:00Z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vt:lpwstr>
  </property>
  <property fmtid="{D5CDD505-2E9C-101B-9397-08002B2CF9AE}" pid="3" name="Revision date">
    <vt:lpwstr>6/23/2021</vt:lpwstr>
  </property>
  <property fmtid="{D5CDD505-2E9C-101B-9397-08002B2CF9AE}" pid="4" name="ContentTypeId">
    <vt:lpwstr>0x0101006D54131ACC863C4CBCCC233143506327</vt:lpwstr>
  </property>
</Properties>
</file>