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81067" w14:textId="5F44E532" w:rsidR="003C14F8" w:rsidRPr="00F255EE" w:rsidRDefault="003C14F8" w:rsidP="00F74DB1">
      <w:pPr>
        <w:tabs>
          <w:tab w:val="left" w:pos="216"/>
        </w:tabs>
        <w:rPr>
          <w:b/>
          <w:bCs/>
          <w:color w:val="000000"/>
          <w:sz w:val="24"/>
          <w:szCs w:val="24"/>
          <w:lang w:val="es-ES_tradnl"/>
        </w:rPr>
      </w:pPr>
    </w:p>
    <w:tbl>
      <w:tblPr>
        <w:tblW w:w="10142" w:type="dxa"/>
        <w:tblInd w:w="-432" w:type="dxa"/>
        <w:tblLayout w:type="fixed"/>
        <w:tblLook w:val="0000" w:firstRow="0" w:lastRow="0" w:firstColumn="0" w:lastColumn="0" w:noHBand="0" w:noVBand="0"/>
      </w:tblPr>
      <w:tblGrid>
        <w:gridCol w:w="1894"/>
        <w:gridCol w:w="4048"/>
        <w:gridCol w:w="4200"/>
      </w:tblGrid>
      <w:tr w:rsidR="003C14F8" w:rsidRPr="00F255EE" w14:paraId="15B06A2D" w14:textId="77777777" w:rsidTr="00E33DF6">
        <w:trPr>
          <w:trHeight w:val="729"/>
        </w:trPr>
        <w:tc>
          <w:tcPr>
            <w:tcW w:w="5942" w:type="dxa"/>
            <w:gridSpan w:val="2"/>
            <w:tcBorders>
              <w:bottom w:val="single" w:sz="18" w:space="0" w:color="auto"/>
            </w:tcBorders>
          </w:tcPr>
          <w:p w14:paraId="3D718FC6" w14:textId="77777777" w:rsidR="003C14F8" w:rsidRPr="00F255EE" w:rsidRDefault="003C14F8" w:rsidP="00E33DF6">
            <w:pPr>
              <w:rPr>
                <w:rFonts w:ascii="Univers" w:hAnsi="Univers"/>
                <w:b/>
                <w:sz w:val="28"/>
                <w:szCs w:val="28"/>
                <w:lang w:val="es-ES_tradnl"/>
              </w:rPr>
            </w:pPr>
            <w:r w:rsidRPr="00F255EE">
              <w:rPr>
                <w:rFonts w:ascii="Univers" w:hAnsi="Univers"/>
                <w:b/>
                <w:sz w:val="28"/>
                <w:szCs w:val="28"/>
                <w:lang w:val="es-ES_tradnl"/>
              </w:rPr>
              <w:t>NACIONES</w:t>
            </w:r>
          </w:p>
          <w:p w14:paraId="48A5722D" w14:textId="77777777" w:rsidR="003C14F8" w:rsidRPr="00F255EE" w:rsidRDefault="003C14F8" w:rsidP="00E33DF6">
            <w:pPr>
              <w:rPr>
                <w:rFonts w:ascii="Univers" w:hAnsi="Univers"/>
                <w:b/>
                <w:sz w:val="28"/>
                <w:szCs w:val="28"/>
                <w:lang w:val="es-ES_tradnl"/>
              </w:rPr>
            </w:pPr>
            <w:r w:rsidRPr="00F255EE">
              <w:rPr>
                <w:rFonts w:ascii="Univers" w:hAnsi="Univers"/>
                <w:b/>
                <w:sz w:val="28"/>
                <w:szCs w:val="28"/>
                <w:lang w:val="es-ES_tradnl"/>
              </w:rPr>
              <w:t>UNIDAS</w:t>
            </w:r>
          </w:p>
        </w:tc>
        <w:tc>
          <w:tcPr>
            <w:tcW w:w="4200" w:type="dxa"/>
            <w:tcBorders>
              <w:bottom w:val="single" w:sz="18" w:space="0" w:color="auto"/>
            </w:tcBorders>
          </w:tcPr>
          <w:p w14:paraId="0E19FA9F" w14:textId="77777777" w:rsidR="003C14F8" w:rsidRPr="00F255EE" w:rsidRDefault="003C14F8" w:rsidP="00E33DF6">
            <w:pPr>
              <w:jc w:val="right"/>
              <w:rPr>
                <w:rFonts w:asciiTheme="minorBidi" w:hAnsiTheme="minorBidi" w:cstheme="minorBidi"/>
                <w:sz w:val="52"/>
                <w:szCs w:val="52"/>
                <w:lang w:val="es-ES_tradnl"/>
              </w:rPr>
            </w:pPr>
            <w:r w:rsidRPr="00F255EE">
              <w:rPr>
                <w:rFonts w:asciiTheme="minorBidi" w:hAnsiTheme="minorBidi" w:cstheme="minorBidi"/>
                <w:b/>
                <w:sz w:val="72"/>
                <w:lang w:val="es-ES_tradnl"/>
              </w:rPr>
              <w:t>EP</w:t>
            </w:r>
          </w:p>
        </w:tc>
      </w:tr>
      <w:tr w:rsidR="003C14F8" w:rsidRPr="00F255EE" w14:paraId="38D7EA8D" w14:textId="77777777" w:rsidTr="00E33D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2"/>
        </w:trPr>
        <w:tc>
          <w:tcPr>
            <w:tcW w:w="1894" w:type="dxa"/>
            <w:tcBorders>
              <w:top w:val="nil"/>
              <w:left w:val="nil"/>
              <w:bottom w:val="single" w:sz="36" w:space="0" w:color="auto"/>
              <w:right w:val="nil"/>
            </w:tcBorders>
          </w:tcPr>
          <w:p w14:paraId="2BE5ED9B" w14:textId="77777777" w:rsidR="003C14F8" w:rsidRPr="00F255EE" w:rsidRDefault="003C14F8" w:rsidP="00E33DF6">
            <w:pPr>
              <w:spacing w:before="120"/>
              <w:rPr>
                <w:lang w:val="es-ES_tradnl"/>
              </w:rPr>
            </w:pPr>
            <w:r w:rsidRPr="00F255EE">
              <w:rPr>
                <w:noProof/>
                <w:lang w:val="es-ES_tradnl" w:eastAsia="en-CA"/>
              </w:rPr>
              <w:drawing>
                <wp:anchor distT="0" distB="0" distL="114300" distR="114300" simplePos="0" relativeHeight="251662336" behindDoc="0" locked="0" layoutInCell="1" allowOverlap="1" wp14:anchorId="1A9D1938" wp14:editId="17DD3D02">
                  <wp:simplePos x="0" y="0"/>
                  <wp:positionH relativeFrom="column">
                    <wp:posOffset>14605</wp:posOffset>
                  </wp:positionH>
                  <wp:positionV relativeFrom="paragraph">
                    <wp:posOffset>868680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255EE">
              <w:rPr>
                <w:noProof/>
                <w:lang w:val="es-ES_tradnl" w:eastAsia="en-CA"/>
              </w:rPr>
              <w:drawing>
                <wp:anchor distT="0" distB="0" distL="114300" distR="114300" simplePos="0" relativeHeight="251663360" behindDoc="1" locked="0" layoutInCell="0" allowOverlap="1" wp14:anchorId="1D7A2A07" wp14:editId="72AB2023">
                  <wp:simplePos x="0" y="0"/>
                  <wp:positionH relativeFrom="column">
                    <wp:posOffset>0</wp:posOffset>
                  </wp:positionH>
                  <wp:positionV relativeFrom="paragraph">
                    <wp:posOffset>114300</wp:posOffset>
                  </wp:positionV>
                  <wp:extent cx="822960" cy="73152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48" w:type="dxa"/>
            <w:tcBorders>
              <w:top w:val="nil"/>
              <w:left w:val="nil"/>
              <w:bottom w:val="single" w:sz="36" w:space="0" w:color="auto"/>
              <w:right w:val="nil"/>
            </w:tcBorders>
          </w:tcPr>
          <w:p w14:paraId="08C27408" w14:textId="77777777" w:rsidR="00BF7078" w:rsidRDefault="00BF7078" w:rsidP="00E33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AFC6F9E" w14:textId="34930F65" w:rsidR="003C14F8" w:rsidRPr="00F255EE" w:rsidRDefault="003C14F8" w:rsidP="00E33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255EE">
              <w:rPr>
                <w:rFonts w:ascii="Univers" w:hAnsi="Univers"/>
                <w:b/>
                <w:sz w:val="32"/>
                <w:lang w:val="es-ES_tradnl"/>
              </w:rPr>
              <w:t>Programa de las</w:t>
            </w:r>
          </w:p>
          <w:p w14:paraId="2152D5E5" w14:textId="77777777" w:rsidR="003C14F8" w:rsidRPr="00F255EE" w:rsidRDefault="003C14F8" w:rsidP="00E33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255EE">
              <w:rPr>
                <w:rFonts w:ascii="Univers" w:hAnsi="Univers"/>
                <w:b/>
                <w:sz w:val="32"/>
                <w:lang w:val="es-ES_tradnl"/>
              </w:rPr>
              <w:t>Naciones Unidas</w:t>
            </w:r>
          </w:p>
          <w:p w14:paraId="01E46F56" w14:textId="77777777" w:rsidR="003C14F8" w:rsidRPr="00F255EE" w:rsidRDefault="003C14F8" w:rsidP="00E33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F255EE">
              <w:rPr>
                <w:rFonts w:ascii="Univers" w:hAnsi="Univers"/>
                <w:b/>
                <w:sz w:val="32"/>
                <w:lang w:val="es-ES_tradnl"/>
              </w:rPr>
              <w:t>para el Medio Ambiente</w:t>
            </w:r>
          </w:p>
        </w:tc>
        <w:tc>
          <w:tcPr>
            <w:tcW w:w="4200" w:type="dxa"/>
            <w:tcBorders>
              <w:top w:val="nil"/>
              <w:left w:val="nil"/>
              <w:bottom w:val="single" w:sz="36" w:space="0" w:color="auto"/>
              <w:right w:val="nil"/>
            </w:tcBorders>
          </w:tcPr>
          <w:p w14:paraId="7900F3BA" w14:textId="77777777" w:rsidR="00BF7078" w:rsidRDefault="00BF7078" w:rsidP="00E33DF6">
            <w:pPr>
              <w:rPr>
                <w:lang w:val="es-ES_tradnl"/>
              </w:rPr>
            </w:pPr>
          </w:p>
          <w:p w14:paraId="3447FB09" w14:textId="70188DB3" w:rsidR="003C14F8" w:rsidRPr="00F255EE" w:rsidRDefault="003C14F8" w:rsidP="00E33DF6">
            <w:pPr>
              <w:rPr>
                <w:lang w:val="es-ES_tradnl"/>
              </w:rPr>
            </w:pPr>
            <w:proofErr w:type="spellStart"/>
            <w:r w:rsidRPr="00F255EE">
              <w:rPr>
                <w:lang w:val="es-ES_tradnl"/>
              </w:rPr>
              <w:t>Distr</w:t>
            </w:r>
            <w:proofErr w:type="spellEnd"/>
            <w:r w:rsidRPr="00F255EE">
              <w:rPr>
                <w:lang w:val="es-ES_tradnl"/>
              </w:rPr>
              <w:t>.</w:t>
            </w:r>
          </w:p>
          <w:p w14:paraId="4876511A" w14:textId="77777777" w:rsidR="003C14F8" w:rsidRPr="00F255EE" w:rsidRDefault="003C14F8" w:rsidP="00E33DF6">
            <w:pPr>
              <w:rPr>
                <w:lang w:val="es-ES_tradnl"/>
              </w:rPr>
            </w:pPr>
            <w:r w:rsidRPr="00F255EE">
              <w:rPr>
                <w:lang w:val="es-ES_tradnl"/>
              </w:rPr>
              <w:t>GENERAL</w:t>
            </w:r>
          </w:p>
          <w:p w14:paraId="7E121B32" w14:textId="77777777" w:rsidR="003C14F8" w:rsidRPr="00F255EE" w:rsidRDefault="003C14F8" w:rsidP="00E33DF6">
            <w:pPr>
              <w:rPr>
                <w:lang w:val="es-ES_tradnl"/>
              </w:rPr>
            </w:pPr>
          </w:p>
          <w:p w14:paraId="17AA5BAE" w14:textId="0A026303" w:rsidR="003C14F8" w:rsidRPr="00F255EE" w:rsidRDefault="003C14F8" w:rsidP="00E33DF6">
            <w:pPr>
              <w:rPr>
                <w:lang w:val="es-ES_tradnl"/>
              </w:rPr>
            </w:pPr>
            <w:r w:rsidRPr="00F255EE">
              <w:rPr>
                <w:lang w:val="es-ES_tradnl"/>
              </w:rPr>
              <w:fldChar w:fldCharType="begin"/>
            </w:r>
            <w:r w:rsidRPr="00F255EE">
              <w:rPr>
                <w:lang w:val="es-ES_tradnl"/>
              </w:rPr>
              <w:instrText xml:space="preserve"> DOCPROPERTY "Document number"  \* MERGEFORMAT </w:instrText>
            </w:r>
            <w:r w:rsidRPr="00F255EE">
              <w:rPr>
                <w:lang w:val="es-ES_tradnl"/>
              </w:rPr>
              <w:fldChar w:fldCharType="separate"/>
            </w:r>
            <w:r w:rsidR="00191F54">
              <w:rPr>
                <w:lang w:val="es-ES_tradnl"/>
              </w:rPr>
              <w:t>UNEP/</w:t>
            </w:r>
            <w:proofErr w:type="spellStart"/>
            <w:r w:rsidR="00191F54">
              <w:rPr>
                <w:lang w:val="es-ES_tradnl"/>
              </w:rPr>
              <w:t>OzL.Pro</w:t>
            </w:r>
            <w:proofErr w:type="spellEnd"/>
            <w:r w:rsidR="00191F54">
              <w:rPr>
                <w:lang w:val="es-ES_tradnl"/>
              </w:rPr>
              <w:t>/</w:t>
            </w:r>
            <w:proofErr w:type="spellStart"/>
            <w:r w:rsidR="00191F54">
              <w:rPr>
                <w:lang w:val="es-ES_tradnl"/>
              </w:rPr>
              <w:t>ExCom</w:t>
            </w:r>
            <w:proofErr w:type="spellEnd"/>
            <w:r w:rsidR="00191F54">
              <w:rPr>
                <w:lang w:val="es-ES_tradnl"/>
              </w:rPr>
              <w:t>/91/10</w:t>
            </w:r>
            <w:r w:rsidRPr="00F255EE">
              <w:rPr>
                <w:lang w:val="es-ES_tradnl"/>
              </w:rPr>
              <w:fldChar w:fldCharType="end"/>
            </w:r>
          </w:p>
          <w:p w14:paraId="7D8BE844" w14:textId="77777777" w:rsidR="003C14F8" w:rsidRPr="00F255EE" w:rsidRDefault="003C14F8" w:rsidP="00E33DF6">
            <w:pPr>
              <w:rPr>
                <w:lang w:val="es-ES_tradnl"/>
              </w:rPr>
            </w:pPr>
            <w:r w:rsidRPr="00F255EE">
              <w:rPr>
                <w:lang w:val="es-ES_tradnl"/>
              </w:rPr>
              <w:fldChar w:fldCharType="begin"/>
            </w:r>
            <w:r w:rsidRPr="00F255EE">
              <w:rPr>
                <w:lang w:val="es-ES_tradnl"/>
              </w:rPr>
              <w:instrText xml:space="preserve"> DOCPROPERTY "Revision date" \@ "d MMMM YYYY"  \* MERGEFORMAT </w:instrText>
            </w:r>
            <w:r w:rsidRPr="00F255EE">
              <w:rPr>
                <w:lang w:val="es-ES_tradnl"/>
              </w:rPr>
              <w:fldChar w:fldCharType="separate"/>
            </w:r>
            <w:r w:rsidRPr="00F255EE">
              <w:rPr>
                <w:lang w:val="es-ES_tradnl"/>
              </w:rPr>
              <w:t>10 de noviembre de 2022</w:t>
            </w:r>
            <w:r w:rsidRPr="00F255EE">
              <w:rPr>
                <w:lang w:val="es-ES_tradnl"/>
              </w:rPr>
              <w:fldChar w:fldCharType="end"/>
            </w:r>
          </w:p>
          <w:p w14:paraId="7B5A7289" w14:textId="77777777" w:rsidR="003C14F8" w:rsidRPr="00F255EE" w:rsidRDefault="003C14F8" w:rsidP="00E33DF6">
            <w:pPr>
              <w:rPr>
                <w:caps/>
                <w:lang w:val="es-ES_tradnl"/>
              </w:rPr>
            </w:pPr>
          </w:p>
          <w:p w14:paraId="57E8D918" w14:textId="77777777" w:rsidR="003C14F8" w:rsidRPr="00F255EE" w:rsidRDefault="003C14F8" w:rsidP="00E33DF6">
            <w:pPr>
              <w:rPr>
                <w:lang w:val="es-ES_tradnl"/>
              </w:rPr>
            </w:pPr>
            <w:r w:rsidRPr="00F255EE">
              <w:rPr>
                <w:lang w:val="es-ES_tradnl"/>
              </w:rPr>
              <w:t xml:space="preserve">ESPAÑOL </w:t>
            </w:r>
          </w:p>
          <w:p w14:paraId="1ADD5A25" w14:textId="77777777" w:rsidR="003C14F8" w:rsidRPr="00F255EE" w:rsidRDefault="003C14F8" w:rsidP="00E33DF6">
            <w:pPr>
              <w:rPr>
                <w:lang w:val="es-ES_tradnl"/>
              </w:rPr>
            </w:pPr>
            <w:r w:rsidRPr="00F255EE">
              <w:rPr>
                <w:lang w:val="es-ES_tradnl"/>
              </w:rPr>
              <w:t>ORIGINAL: INGLÉS</w:t>
            </w:r>
          </w:p>
        </w:tc>
      </w:tr>
    </w:tbl>
    <w:p w14:paraId="4E4DE409" w14:textId="7DED7834" w:rsidR="003C14F8" w:rsidRPr="00F255EE" w:rsidRDefault="003C14F8" w:rsidP="003C14F8">
      <w:pPr>
        <w:jc w:val="left"/>
        <w:rPr>
          <w:lang w:val="es-ES_tradnl"/>
        </w:rPr>
      </w:pPr>
      <w:r w:rsidRPr="00F255EE">
        <w:rPr>
          <w:lang w:val="es-ES_tradnl"/>
        </w:rPr>
        <w:t>COMITÉ EJECUTIVO DEL FONDO MULTILATERAL</w:t>
      </w:r>
      <w:r w:rsidRPr="00F255EE">
        <w:rPr>
          <w:lang w:val="es-ES_tradnl"/>
        </w:rPr>
        <w:br/>
        <w:t xml:space="preserve"> PARA LA APLICACIÓN DEL</w:t>
      </w:r>
      <w:r w:rsidRPr="00F255EE">
        <w:rPr>
          <w:lang w:val="es-ES_tradnl"/>
        </w:rPr>
        <w:br/>
        <w:t xml:space="preserve"> PROTOCOLO DE MONTREAL</w:t>
      </w:r>
      <w:r w:rsidRPr="00F255EE">
        <w:rPr>
          <w:lang w:val="es-ES_tradnl"/>
        </w:rPr>
        <w:br/>
        <w:t>Nonagésima primera reunión</w:t>
      </w:r>
    </w:p>
    <w:p w14:paraId="1D320BAE" w14:textId="77777777" w:rsidR="003C14F8" w:rsidRPr="00F255EE" w:rsidRDefault="003C14F8" w:rsidP="003C14F8">
      <w:pPr>
        <w:jc w:val="left"/>
        <w:rPr>
          <w:lang w:val="es-ES_tradnl"/>
        </w:rPr>
      </w:pPr>
      <w:r w:rsidRPr="00F255EE">
        <w:rPr>
          <w:lang w:val="es-ES_tradnl"/>
        </w:rPr>
        <w:t>Montreal, 5 – 9 de diciembre de 2022</w:t>
      </w:r>
    </w:p>
    <w:p w14:paraId="23F6E6F5" w14:textId="77777777" w:rsidR="003C14F8" w:rsidRPr="00F255EE" w:rsidRDefault="003C14F8" w:rsidP="003C14F8">
      <w:pPr>
        <w:jc w:val="left"/>
        <w:rPr>
          <w:lang w:val="es-ES_tradnl"/>
        </w:rPr>
      </w:pPr>
      <w:r w:rsidRPr="00F255EE">
        <w:rPr>
          <w:lang w:val="es-ES_tradnl"/>
        </w:rPr>
        <w:t>Cuestión 6 b) del orden del día provisional</w:t>
      </w:r>
      <w:r w:rsidRPr="00F255EE">
        <w:rPr>
          <w:rStyle w:val="FootnoteReference"/>
          <w:lang w:val="es-ES_tradnl"/>
        </w:rPr>
        <w:footnoteReference w:id="1"/>
      </w:r>
    </w:p>
    <w:p w14:paraId="52070930" w14:textId="77777777" w:rsidR="003C14F8" w:rsidRPr="00F255EE" w:rsidRDefault="003C14F8" w:rsidP="003C14F8">
      <w:pPr>
        <w:jc w:val="center"/>
        <w:rPr>
          <w:b/>
          <w:bCs/>
          <w:sz w:val="24"/>
          <w:szCs w:val="24"/>
          <w:lang w:val="es-ES_tradnl"/>
        </w:rPr>
      </w:pPr>
    </w:p>
    <w:p w14:paraId="04A38EDF" w14:textId="77777777" w:rsidR="00BF7078" w:rsidRDefault="00191F54" w:rsidP="003C14F8">
      <w:pPr>
        <w:jc w:val="center"/>
        <w:rPr>
          <w:b/>
          <w:bCs/>
          <w:color w:val="000000"/>
          <w:sz w:val="24"/>
          <w:szCs w:val="24"/>
          <w:lang w:val="es-ES_tradnl"/>
        </w:rPr>
      </w:pPr>
      <w:r w:rsidRPr="00F255EE">
        <w:rPr>
          <w:b/>
          <w:bCs/>
          <w:color w:val="000000"/>
          <w:sz w:val="24"/>
          <w:szCs w:val="24"/>
          <w:lang w:val="es-ES_tradnl"/>
        </w:rPr>
        <w:t xml:space="preserve">ACTUALIZACIÓN SOBRE LA SITUACIÓN DE LA SEGUNDA FASE </w:t>
      </w:r>
    </w:p>
    <w:p w14:paraId="79CE5817" w14:textId="7C16756B" w:rsidR="00BF7078" w:rsidRDefault="00191F54" w:rsidP="003C14F8">
      <w:pPr>
        <w:jc w:val="center"/>
        <w:rPr>
          <w:b/>
          <w:bCs/>
          <w:color w:val="000000"/>
          <w:sz w:val="24"/>
          <w:szCs w:val="24"/>
          <w:lang w:val="es-ES_tradnl"/>
        </w:rPr>
      </w:pPr>
      <w:r w:rsidRPr="00F255EE">
        <w:rPr>
          <w:b/>
          <w:bCs/>
          <w:color w:val="000000"/>
          <w:sz w:val="24"/>
          <w:szCs w:val="24"/>
          <w:lang w:val="es-ES_tradnl"/>
        </w:rPr>
        <w:t xml:space="preserve">DE LA EVALUACIÓN DE LAS REDES REGIONALES </w:t>
      </w:r>
    </w:p>
    <w:p w14:paraId="534B0B38" w14:textId="26E9FE52" w:rsidR="003C14F8" w:rsidRPr="00F255EE" w:rsidRDefault="00191F54" w:rsidP="003C14F8">
      <w:pPr>
        <w:jc w:val="center"/>
        <w:rPr>
          <w:b/>
          <w:bCs/>
          <w:color w:val="000000"/>
          <w:sz w:val="24"/>
          <w:szCs w:val="24"/>
          <w:lang w:val="es-ES_tradnl"/>
        </w:rPr>
      </w:pPr>
      <w:r w:rsidRPr="00F255EE">
        <w:rPr>
          <w:b/>
          <w:bCs/>
          <w:color w:val="000000"/>
          <w:sz w:val="24"/>
          <w:szCs w:val="24"/>
          <w:lang w:val="es-ES_tradnl"/>
        </w:rPr>
        <w:t>DE OFICIALES NACIONALES DEL OZONO</w:t>
      </w:r>
    </w:p>
    <w:p w14:paraId="00FA4368" w14:textId="77777777" w:rsidR="003C14F8" w:rsidRPr="00F255EE" w:rsidRDefault="003C14F8" w:rsidP="003C14F8">
      <w:pPr>
        <w:jc w:val="center"/>
        <w:rPr>
          <w:b/>
          <w:bCs/>
          <w:sz w:val="24"/>
          <w:szCs w:val="24"/>
          <w:lang w:val="es-ES_tradnl"/>
        </w:rPr>
      </w:pPr>
    </w:p>
    <w:p w14:paraId="1BF89B04" w14:textId="77777777" w:rsidR="003C14F8" w:rsidRPr="00F255EE" w:rsidRDefault="003C14F8" w:rsidP="003C14F8">
      <w:pPr>
        <w:pStyle w:val="StyleBold"/>
        <w:rPr>
          <w:szCs w:val="22"/>
          <w:lang w:val="es-ES_tradnl"/>
        </w:rPr>
      </w:pPr>
      <w:r w:rsidRPr="00F255EE">
        <w:rPr>
          <w:szCs w:val="22"/>
          <w:lang w:val="es-ES_tradnl"/>
        </w:rPr>
        <w:t>Introducción</w:t>
      </w:r>
    </w:p>
    <w:p w14:paraId="2B5F9EB4" w14:textId="64F5DAE9" w:rsidR="003C14F8" w:rsidRPr="00F255EE" w:rsidRDefault="003C14F8" w:rsidP="003C14F8">
      <w:pPr>
        <w:pStyle w:val="Heading1"/>
        <w:rPr>
          <w:lang w:val="es-ES_tradnl"/>
        </w:rPr>
      </w:pPr>
      <w:r w:rsidRPr="00F255EE">
        <w:rPr>
          <w:lang w:val="es-ES_tradnl"/>
        </w:rPr>
        <w:t>En su 86ª reunión, el Comité Ejecutivo aprobó el mandato</w:t>
      </w:r>
      <w:r w:rsidRPr="00F255EE">
        <w:rPr>
          <w:rStyle w:val="FootnoteReference"/>
          <w:lang w:val="es-ES_tradnl"/>
        </w:rPr>
        <w:footnoteReference w:id="2"/>
      </w:r>
      <w:r w:rsidRPr="00F255EE">
        <w:rPr>
          <w:lang w:val="es-ES_tradnl"/>
        </w:rPr>
        <w:t xml:space="preserve"> para la segunda fase de la evaluación de las redes regionales de oficiales nacionales del ozono (ONO) (decisión 86/10). Sin embargo, esta evaluación se incluyó en el programa de trabajo de </w:t>
      </w:r>
      <w:r w:rsidR="003F2C75" w:rsidRPr="00F255EE">
        <w:rPr>
          <w:lang w:val="es-ES_tradnl"/>
        </w:rPr>
        <w:t>supervisión</w:t>
      </w:r>
      <w:r w:rsidRPr="00F255EE">
        <w:rPr>
          <w:lang w:val="es-ES_tradnl"/>
        </w:rPr>
        <w:t xml:space="preserve"> y evaluación para el año 2022 y se aprobó en la</w:t>
      </w:r>
      <w:r w:rsidR="00191F54">
        <w:rPr>
          <w:lang w:val="es-ES_tradnl"/>
        </w:rPr>
        <w:t> </w:t>
      </w:r>
      <w:r w:rsidRPr="00F255EE">
        <w:rPr>
          <w:lang w:val="es-ES_tradnl"/>
        </w:rPr>
        <w:t>88ª</w:t>
      </w:r>
      <w:r w:rsidR="00191F54">
        <w:rPr>
          <w:lang w:val="es-ES_tradnl"/>
        </w:rPr>
        <w:t> </w:t>
      </w:r>
      <w:r w:rsidRPr="00F255EE">
        <w:rPr>
          <w:lang w:val="es-ES_tradnl"/>
        </w:rPr>
        <w:t>reunión (decisión 88/10). El Comité Ejecutivo t</w:t>
      </w:r>
      <w:r w:rsidR="003F2C75" w:rsidRPr="00F255EE">
        <w:rPr>
          <w:lang w:val="es-ES_tradnl"/>
        </w:rPr>
        <w:t>uvo en cuenta</w:t>
      </w:r>
      <w:r w:rsidRPr="00F255EE">
        <w:rPr>
          <w:lang w:val="es-ES_tradnl"/>
        </w:rPr>
        <w:t xml:space="preserve"> los desafíos e incertidumbres relacionados con la pandemia de COVID-19 y acordó recibir actualizaciones provisionales del Oficial Superior de Supervisión y Evaluación en la 90ª y 91ª reuniones</w:t>
      </w:r>
      <w:r w:rsidRPr="00F255EE">
        <w:rPr>
          <w:rStyle w:val="FootnoteReference"/>
          <w:lang w:val="es-ES_tradnl"/>
        </w:rPr>
        <w:footnoteReference w:id="3"/>
      </w:r>
      <w:r w:rsidRPr="00F255EE">
        <w:rPr>
          <w:lang w:val="es-ES_tradnl"/>
        </w:rPr>
        <w:t xml:space="preserve">. Este documento presenta </w:t>
      </w:r>
      <w:r w:rsidR="0028459B" w:rsidRPr="00F255EE">
        <w:rPr>
          <w:lang w:val="es-ES_tradnl"/>
        </w:rPr>
        <w:t xml:space="preserve">los avances logrados </w:t>
      </w:r>
      <w:r w:rsidRPr="00F255EE">
        <w:rPr>
          <w:lang w:val="es-ES_tradnl"/>
        </w:rPr>
        <w:t>desde la última actualización presentada en la 90ª reunión.</w:t>
      </w:r>
    </w:p>
    <w:p w14:paraId="0E5831DA" w14:textId="77777777" w:rsidR="003C14F8" w:rsidRPr="00F255EE" w:rsidRDefault="003C14F8" w:rsidP="003C14F8">
      <w:pPr>
        <w:spacing w:after="240"/>
        <w:outlineLvl w:val="0"/>
        <w:rPr>
          <w:b/>
          <w:bCs/>
          <w:lang w:val="es-ES_tradnl"/>
        </w:rPr>
      </w:pPr>
      <w:r w:rsidRPr="00F255EE">
        <w:rPr>
          <w:b/>
          <w:bCs/>
          <w:lang w:val="es-ES_tradnl"/>
        </w:rPr>
        <w:t>Cronología de la evaluación y visitas sobre el terreno</w:t>
      </w:r>
    </w:p>
    <w:p w14:paraId="687D3AD8" w14:textId="4A146820" w:rsidR="003C14F8" w:rsidRPr="00F255EE" w:rsidRDefault="003C14F8" w:rsidP="003C14F8">
      <w:pPr>
        <w:pStyle w:val="Heading1"/>
        <w:rPr>
          <w:lang w:val="es-ES_tradnl"/>
        </w:rPr>
      </w:pPr>
      <w:r w:rsidRPr="00F255EE">
        <w:rPr>
          <w:lang w:val="es-ES_tradnl"/>
        </w:rPr>
        <w:t>Desde julio de 2022, el Oficial Superior de Supervisión y Evaluación ha realizado una serie de visitas presenciales a diferentes regiones, asistiendo a las reuniones de las redes regionales organizadas en Bangkok, en julio; en Dub</w:t>
      </w:r>
      <w:r w:rsidR="00D36B4C" w:rsidRPr="00F255EE">
        <w:rPr>
          <w:lang w:val="es-ES_tradnl"/>
        </w:rPr>
        <w:t>á</w:t>
      </w:r>
      <w:r w:rsidRPr="00F255EE">
        <w:rPr>
          <w:lang w:val="es-ES_tradnl"/>
        </w:rPr>
        <w:t>i y Praga, en septiembre; y Nairobi, en octubre de 2022. El anexo del presente documento informa sobre el estado de</w:t>
      </w:r>
      <w:r w:rsidR="00594B17" w:rsidRPr="00F255EE">
        <w:rPr>
          <w:lang w:val="es-ES_tradnl"/>
        </w:rPr>
        <w:t xml:space="preserve"> ejecución </w:t>
      </w:r>
      <w:r w:rsidRPr="00F255EE">
        <w:rPr>
          <w:lang w:val="es-ES_tradnl"/>
        </w:rPr>
        <w:t xml:space="preserve">de la evaluación en curso y actividades </w:t>
      </w:r>
      <w:r w:rsidR="00594B17" w:rsidRPr="00F255EE">
        <w:rPr>
          <w:lang w:val="es-ES_tradnl"/>
        </w:rPr>
        <w:t>conexas</w:t>
      </w:r>
      <w:r w:rsidRPr="00F255EE">
        <w:rPr>
          <w:lang w:val="es-ES_tradnl"/>
        </w:rPr>
        <w:t>.</w:t>
      </w:r>
    </w:p>
    <w:p w14:paraId="27474CF8" w14:textId="77777777" w:rsidR="003C14F8" w:rsidRPr="00F255EE" w:rsidRDefault="003C14F8" w:rsidP="003C14F8">
      <w:pPr>
        <w:pStyle w:val="Heading1"/>
        <w:rPr>
          <w:lang w:val="es-ES_tradnl"/>
        </w:rPr>
      </w:pPr>
      <w:r w:rsidRPr="00F255EE">
        <w:rPr>
          <w:lang w:val="es-ES_tradnl"/>
        </w:rPr>
        <w:t>Para asistir a las reuniones de las Redes Regionales, el Oficial Superior de Supervisión y Evaluación contó con el invalorable apoyo y colaboración de los equipos de AcciónOzono del Programa de Asistencia al Cumplimiento (PAC), tanto de su sede en París como de las oficinas regionales que también ayudaron en la organización de reuniones bilaterales o grupales cuando fue posible.</w:t>
      </w:r>
    </w:p>
    <w:p w14:paraId="756095D1" w14:textId="77777777" w:rsidR="003C14F8" w:rsidRPr="00F255EE" w:rsidRDefault="003C14F8" w:rsidP="003C14F8">
      <w:pPr>
        <w:pStyle w:val="Heading1"/>
        <w:rPr>
          <w:lang w:val="es-ES_tradnl"/>
        </w:rPr>
      </w:pPr>
      <w:r w:rsidRPr="00F255EE">
        <w:rPr>
          <w:lang w:val="es-ES_tradnl"/>
        </w:rPr>
        <w:lastRenderedPageBreak/>
        <w:t>Una última visita sobre el terreno completará la cobertura de todas las regiones en la primavera de 2023 con la reunión conjunta de las redes de América Latina y el Caribe.</w:t>
      </w:r>
    </w:p>
    <w:p w14:paraId="156056F5" w14:textId="77777777" w:rsidR="003C14F8" w:rsidRPr="00F255EE" w:rsidRDefault="003C14F8" w:rsidP="003C14F8">
      <w:pPr>
        <w:spacing w:after="240"/>
        <w:outlineLvl w:val="0"/>
        <w:rPr>
          <w:b/>
          <w:bCs/>
          <w:lang w:val="es-ES_tradnl"/>
        </w:rPr>
      </w:pPr>
      <w:r w:rsidRPr="00F255EE">
        <w:rPr>
          <w:b/>
          <w:bCs/>
          <w:lang w:val="es-ES_tradnl"/>
        </w:rPr>
        <w:t>Recogida y análisis de datos</w:t>
      </w:r>
    </w:p>
    <w:p w14:paraId="2BF4BB5D" w14:textId="032BD392" w:rsidR="003C14F8" w:rsidRPr="00F255EE" w:rsidRDefault="003C14F8" w:rsidP="003C14F8">
      <w:pPr>
        <w:pStyle w:val="Heading1"/>
        <w:rPr>
          <w:lang w:val="es-ES_tradnl"/>
        </w:rPr>
      </w:pPr>
      <w:r w:rsidRPr="00F255EE">
        <w:rPr>
          <w:lang w:val="es-ES_tradnl"/>
        </w:rPr>
        <w:t xml:space="preserve">Tras la finalización de la matriz de evaluación y la labor de </w:t>
      </w:r>
      <w:r w:rsidR="003E6EBD" w:rsidRPr="00F255EE">
        <w:rPr>
          <w:lang w:val="es-ES_tradnl"/>
        </w:rPr>
        <w:t xml:space="preserve">cartografía </w:t>
      </w:r>
      <w:r w:rsidRPr="00F255EE">
        <w:rPr>
          <w:lang w:val="es-ES_tradnl"/>
        </w:rPr>
        <w:t xml:space="preserve">de las partes interesadas, preparados durante la primera etapa de esta evaluación </w:t>
      </w:r>
      <w:r w:rsidR="003E6EBD" w:rsidRPr="00F255EE">
        <w:rPr>
          <w:lang w:val="es-ES_tradnl"/>
        </w:rPr>
        <w:t xml:space="preserve">en el </w:t>
      </w:r>
      <w:r w:rsidRPr="00F255EE">
        <w:rPr>
          <w:lang w:val="es-ES_tradnl"/>
        </w:rPr>
        <w:t xml:space="preserve">primer semestre de 2022, se ha iniciado un proceso de recopilación de datos en profundidad. Las partes interesadas </w:t>
      </w:r>
      <w:r w:rsidR="003E6EBD" w:rsidRPr="00F255EE">
        <w:rPr>
          <w:lang w:val="es-ES_tradnl"/>
        </w:rPr>
        <w:t xml:space="preserve">pertinentes participan </w:t>
      </w:r>
      <w:r w:rsidRPr="00F255EE">
        <w:rPr>
          <w:lang w:val="es-ES_tradnl"/>
        </w:rPr>
        <w:t xml:space="preserve">por turnos, y cada encuesta se basa en los resultados recopilados del grupo anterior. En julio de 2022, se envió una primera encuesta específica al grupo de coordinadores regionales, para </w:t>
      </w:r>
      <w:r w:rsidR="003E6EBD" w:rsidRPr="00F255EE">
        <w:rPr>
          <w:lang w:val="es-ES_tradnl"/>
        </w:rPr>
        <w:t xml:space="preserve">que pudieran beneficiarse de </w:t>
      </w:r>
      <w:r w:rsidRPr="00F255EE">
        <w:rPr>
          <w:lang w:val="es-ES_tradnl"/>
        </w:rPr>
        <w:t>sus aport</w:t>
      </w:r>
      <w:r w:rsidR="003E6EBD" w:rsidRPr="00F255EE">
        <w:rPr>
          <w:lang w:val="es-ES_tradnl"/>
        </w:rPr>
        <w:t>aciones bien fundadas</w:t>
      </w:r>
      <w:r w:rsidRPr="00F255EE">
        <w:rPr>
          <w:lang w:val="es-ES_tradnl"/>
        </w:rPr>
        <w:t xml:space="preserve"> sobre el tema en cuestión.</w:t>
      </w:r>
    </w:p>
    <w:p w14:paraId="66C4A7C3" w14:textId="3AB69F10" w:rsidR="003C14F8" w:rsidRPr="00F255EE" w:rsidRDefault="003C14F8" w:rsidP="003C14F8">
      <w:pPr>
        <w:pStyle w:val="Heading1"/>
        <w:rPr>
          <w:lang w:val="es-ES_tradnl"/>
        </w:rPr>
      </w:pPr>
      <w:r w:rsidRPr="00F255EE">
        <w:rPr>
          <w:lang w:val="es-ES_tradnl"/>
        </w:rPr>
        <w:t xml:space="preserve">Sobre la base del análisis de las respuestas de los coordinadores regionales y de acuerdo con el alcance de la evaluación, el equipo preparó una encuesta </w:t>
      </w:r>
      <w:r w:rsidR="003E6EBD" w:rsidRPr="00F255EE">
        <w:rPr>
          <w:lang w:val="es-ES_tradnl"/>
        </w:rPr>
        <w:t xml:space="preserve">mundial </w:t>
      </w:r>
      <w:r w:rsidRPr="00F255EE">
        <w:rPr>
          <w:lang w:val="es-ES_tradnl"/>
        </w:rPr>
        <w:t>multilingüe en línea, dirigida a los</w:t>
      </w:r>
      <w:r w:rsidR="00191F54">
        <w:rPr>
          <w:lang w:val="es-ES_tradnl"/>
        </w:rPr>
        <w:t> </w:t>
      </w:r>
      <w:r w:rsidRPr="00F255EE">
        <w:rPr>
          <w:lang w:val="es-ES_tradnl"/>
        </w:rPr>
        <w:t>147</w:t>
      </w:r>
      <w:r w:rsidR="00191F54">
        <w:rPr>
          <w:lang w:val="es-ES_tradnl"/>
        </w:rPr>
        <w:t> </w:t>
      </w:r>
      <w:r w:rsidR="003E6EBD" w:rsidRPr="00F255EE">
        <w:rPr>
          <w:lang w:val="es-ES_tradnl"/>
        </w:rPr>
        <w:t>oficiales nacionales del ozono</w:t>
      </w:r>
      <w:r w:rsidRPr="00F255EE">
        <w:rPr>
          <w:lang w:val="es-ES_tradnl"/>
        </w:rPr>
        <w:t>. La tasa de respuesta es muy satisfactoria, cercana al 70% de la población objetivo.</w:t>
      </w:r>
    </w:p>
    <w:p w14:paraId="2164E0E6" w14:textId="77777777" w:rsidR="003C14F8" w:rsidRPr="00F255EE" w:rsidRDefault="003C14F8" w:rsidP="003C14F8">
      <w:pPr>
        <w:pStyle w:val="Heading1"/>
        <w:rPr>
          <w:lang w:val="es-ES_tradnl"/>
        </w:rPr>
      </w:pPr>
      <w:r w:rsidRPr="00F255EE">
        <w:rPr>
          <w:lang w:val="es-ES_tradnl"/>
        </w:rPr>
        <w:t>En la etapa 3 de la evaluación actual, está previsto que participen los organismos de ejecución y bilaterales, representantes de la Secretaría del Fondo Multilateral, de la Secretaría del Ozono, del equipo AcciónOzono del PAC y miembros del Comité Ejecutivo, ya sea a través de entrevistas y/o o cuestionarios para dar su opinión y completar el proceso de recogida de datos.</w:t>
      </w:r>
    </w:p>
    <w:p w14:paraId="3614911A" w14:textId="77777777" w:rsidR="003C14F8" w:rsidRPr="00F255EE" w:rsidRDefault="003C14F8" w:rsidP="003C14F8">
      <w:pPr>
        <w:spacing w:after="240"/>
        <w:outlineLvl w:val="0"/>
        <w:rPr>
          <w:b/>
          <w:bCs/>
          <w:lang w:val="es-ES_tradnl"/>
        </w:rPr>
      </w:pPr>
      <w:r w:rsidRPr="00F255EE">
        <w:rPr>
          <w:b/>
          <w:bCs/>
          <w:lang w:val="es-ES_tradnl"/>
        </w:rPr>
        <w:t>Uso de los recursos y conocimientos especializados</w:t>
      </w:r>
    </w:p>
    <w:p w14:paraId="4E0F591A" w14:textId="6ED27DB7" w:rsidR="003C14F8" w:rsidRPr="00F255EE" w:rsidRDefault="003C14F8" w:rsidP="003C14F8">
      <w:pPr>
        <w:pStyle w:val="Heading1"/>
        <w:rPr>
          <w:lang w:val="es-ES_tradnl"/>
        </w:rPr>
      </w:pPr>
      <w:r w:rsidRPr="00F255EE">
        <w:rPr>
          <w:lang w:val="es-ES_tradnl"/>
        </w:rPr>
        <w:t xml:space="preserve">El proceso de evaluación está dirigido por el Oficial Superior de Supervisión y Evaluación, con aportes de dos consultores, para diferentes etapas, y con el apoyo del recién nombrado asistente de gestión de programas para la supervisión y la evaluación. El uso del saldo no </w:t>
      </w:r>
      <w:r w:rsidR="00226530" w:rsidRPr="00F255EE">
        <w:rPr>
          <w:lang w:val="es-ES_tradnl"/>
        </w:rPr>
        <w:t xml:space="preserve">utilizado </w:t>
      </w:r>
      <w:r w:rsidRPr="00F255EE">
        <w:rPr>
          <w:lang w:val="es-ES_tradnl"/>
        </w:rPr>
        <w:t>se aborda en el proyecto de programa de trabajo de s</w:t>
      </w:r>
      <w:r w:rsidR="00226530" w:rsidRPr="00F255EE">
        <w:rPr>
          <w:lang w:val="es-ES_tradnl"/>
        </w:rPr>
        <w:t>upervisión</w:t>
      </w:r>
      <w:r w:rsidRPr="00F255EE">
        <w:rPr>
          <w:lang w:val="es-ES_tradnl"/>
        </w:rPr>
        <w:t xml:space="preserve"> y evaluación para 2023</w:t>
      </w:r>
      <w:r w:rsidRPr="00F255EE">
        <w:rPr>
          <w:rStyle w:val="FootnoteReference"/>
          <w:lang w:val="es-ES_tradnl"/>
        </w:rPr>
        <w:footnoteReference w:id="4"/>
      </w:r>
      <w:r w:rsidRPr="00F255EE">
        <w:rPr>
          <w:lang w:val="es-ES_tradnl"/>
        </w:rPr>
        <w:t>, con la propuesta de reajustar 15 000 $EUA para completar la evaluación, de 2022 a 2023. El saldo restante se devolverá al Fondo Multilateral</w:t>
      </w:r>
      <w:r w:rsidRPr="00F255EE">
        <w:rPr>
          <w:rStyle w:val="FootnoteReference"/>
          <w:lang w:val="es-ES_tradnl"/>
        </w:rPr>
        <w:footnoteReference w:id="5"/>
      </w:r>
      <w:r w:rsidRPr="00F255EE">
        <w:rPr>
          <w:lang w:val="es-ES_tradnl"/>
        </w:rPr>
        <w:t>.</w:t>
      </w:r>
    </w:p>
    <w:p w14:paraId="3DDA1F4D" w14:textId="77777777" w:rsidR="003C14F8" w:rsidRPr="00F255EE" w:rsidRDefault="003C14F8" w:rsidP="003C14F8">
      <w:pPr>
        <w:pStyle w:val="Heading1"/>
        <w:numPr>
          <w:ilvl w:val="0"/>
          <w:numId w:val="0"/>
        </w:numPr>
        <w:rPr>
          <w:b/>
          <w:bCs/>
          <w:lang w:val="es-ES_tradnl"/>
        </w:rPr>
      </w:pPr>
      <w:r w:rsidRPr="00F255EE">
        <w:rPr>
          <w:b/>
          <w:bCs/>
          <w:lang w:val="es-ES_tradnl"/>
        </w:rPr>
        <w:t>Conclusión</w:t>
      </w:r>
    </w:p>
    <w:p w14:paraId="73EF932D" w14:textId="42482166" w:rsidR="003C14F8" w:rsidRPr="00F255EE" w:rsidRDefault="003C14F8" w:rsidP="003C14F8">
      <w:pPr>
        <w:pStyle w:val="Heading1"/>
        <w:rPr>
          <w:lang w:val="es-ES_tradnl"/>
        </w:rPr>
      </w:pPr>
      <w:r w:rsidRPr="00F255EE">
        <w:rPr>
          <w:lang w:val="es-ES_tradnl"/>
        </w:rPr>
        <w:t>Tal como estaba previsto, el Oficial Superior de Supervisión y Evaluación tiene la intención de presentar el informe final de la evaluación de las redes regionales de oficiales nacionales del ozono en la 92ª</w:t>
      </w:r>
      <w:r w:rsidR="00191F54">
        <w:rPr>
          <w:lang w:val="es-ES_tradnl"/>
        </w:rPr>
        <w:t> </w:t>
      </w:r>
      <w:r w:rsidRPr="00F255EE">
        <w:rPr>
          <w:lang w:val="es-ES_tradnl"/>
        </w:rPr>
        <w:t>reunión, como se indica en el proyecto de programa de trabajo de supervisión y evaluación para el año 2023</w:t>
      </w:r>
      <w:r w:rsidRPr="00F255EE">
        <w:rPr>
          <w:rStyle w:val="FootnoteReference"/>
          <w:lang w:val="es-ES_tradnl"/>
        </w:rPr>
        <w:footnoteReference w:id="6"/>
      </w:r>
      <w:r w:rsidRPr="00F255EE">
        <w:rPr>
          <w:lang w:val="es-ES_tradnl"/>
        </w:rPr>
        <w:t>.</w:t>
      </w:r>
    </w:p>
    <w:p w14:paraId="48EE2D1E" w14:textId="77777777" w:rsidR="003C14F8" w:rsidRPr="00F255EE" w:rsidRDefault="003C14F8" w:rsidP="003C14F8">
      <w:pPr>
        <w:pStyle w:val="StyleBold"/>
        <w:rPr>
          <w:szCs w:val="22"/>
          <w:lang w:val="es-ES_tradnl"/>
        </w:rPr>
      </w:pPr>
      <w:r w:rsidRPr="00F255EE">
        <w:rPr>
          <w:szCs w:val="22"/>
          <w:lang w:val="es-ES_tradnl"/>
        </w:rPr>
        <w:t>Recomendación</w:t>
      </w:r>
    </w:p>
    <w:p w14:paraId="46711873" w14:textId="0B638B33" w:rsidR="003179E6" w:rsidRPr="00F255EE" w:rsidRDefault="003C14F8" w:rsidP="00F255EE">
      <w:pPr>
        <w:pStyle w:val="Heading1"/>
        <w:rPr>
          <w:lang w:val="es-ES_tradnl"/>
        </w:rPr>
      </w:pPr>
      <w:r w:rsidRPr="00F255EE">
        <w:rPr>
          <w:lang w:val="es-ES_tradnl"/>
        </w:rPr>
        <w:t>El Comité Ejecutivo tal vez desee tomar nota de la actualización sobre el estado de la segunda fase de la evaluación de las redes regionales de oficiales nacionales del ozono que figura en el documento UN</w:t>
      </w:r>
      <w:bookmarkStart w:id="0" w:name="_Hlk118961991"/>
      <w:r w:rsidRPr="00F255EE">
        <w:rPr>
          <w:lang w:val="es-ES_tradnl"/>
        </w:rPr>
        <w:t>EP/OzL.Pro/ExCom/91/10.</w:t>
      </w:r>
      <w:bookmarkStart w:id="1" w:name="_Hlk117851768"/>
      <w:r w:rsidR="003F2C75" w:rsidRPr="00F255EE">
        <w:rPr>
          <w:lang w:val="es-ES_tradnl"/>
        </w:rPr>
        <w:tab/>
      </w:r>
    </w:p>
    <w:bookmarkEnd w:id="1"/>
    <w:p w14:paraId="636D1294" w14:textId="312C40AD" w:rsidR="005D2EA2" w:rsidRPr="00F255EE" w:rsidRDefault="003F2C75" w:rsidP="003F2C75">
      <w:pPr>
        <w:pStyle w:val="Heading2"/>
        <w:widowControl/>
        <w:numPr>
          <w:ilvl w:val="0"/>
          <w:numId w:val="0"/>
        </w:numPr>
        <w:tabs>
          <w:tab w:val="left" w:pos="8119"/>
        </w:tabs>
        <w:spacing w:after="0"/>
        <w:ind w:left="1440"/>
        <w:rPr>
          <w:lang w:val="es-ES_tradnl"/>
        </w:rPr>
        <w:sectPr w:rsidR="005D2EA2" w:rsidRPr="00F255EE" w:rsidSect="00F74DB1">
          <w:headerReference w:type="even" r:id="rId10"/>
          <w:headerReference w:type="default" r:id="rId11"/>
          <w:footerReference w:type="even" r:id="rId12"/>
          <w:footerReference w:type="default" r:id="rId13"/>
          <w:footerReference w:type="first" r:id="rId14"/>
          <w:pgSz w:w="12240" w:h="15840" w:code="1"/>
          <w:pgMar w:top="720" w:right="1349" w:bottom="862" w:left="1440" w:header="720" w:footer="476" w:gutter="0"/>
          <w:cols w:space="720"/>
          <w:titlePg/>
        </w:sectPr>
      </w:pPr>
      <w:r w:rsidRPr="00F255EE">
        <w:rPr>
          <w:lang w:val="es-ES_tradnl"/>
        </w:rPr>
        <w:tab/>
      </w:r>
    </w:p>
    <w:tbl>
      <w:tblPr>
        <w:tblpPr w:leftFromText="180" w:rightFromText="180" w:vertAnchor="page" w:horzAnchor="margin" w:tblpXSpec="center" w:tblpY="2697"/>
        <w:tblW w:w="52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91"/>
        <w:gridCol w:w="5574"/>
        <w:gridCol w:w="5267"/>
      </w:tblGrid>
      <w:tr w:rsidR="00EC4DD3" w:rsidRPr="00BF7078" w14:paraId="63A71A3D" w14:textId="77777777" w:rsidTr="00EC4DD3">
        <w:trPr>
          <w:trHeight w:val="267"/>
        </w:trPr>
        <w:tc>
          <w:tcPr>
            <w:tcW w:w="1394" w:type="pct"/>
            <w:shd w:val="clear" w:color="auto" w:fill="FFFFFF"/>
            <w:tcMar>
              <w:top w:w="15" w:type="dxa"/>
              <w:left w:w="108" w:type="dxa"/>
              <w:bottom w:w="0" w:type="dxa"/>
              <w:right w:w="108" w:type="dxa"/>
            </w:tcMar>
            <w:hideMark/>
          </w:tcPr>
          <w:p w14:paraId="5A381DFC" w14:textId="77777777" w:rsidR="00EC4DD3" w:rsidRPr="00F255EE" w:rsidRDefault="00EC4DD3" w:rsidP="00EC4DD3">
            <w:pPr>
              <w:keepNext/>
              <w:jc w:val="center"/>
              <w:rPr>
                <w:sz w:val="20"/>
                <w:szCs w:val="20"/>
                <w:lang w:val="es-ES_tradnl" w:eastAsia="en-GB"/>
              </w:rPr>
            </w:pPr>
            <w:bookmarkStart w:id="2" w:name="_Hlk117859425"/>
            <w:bookmarkEnd w:id="0"/>
            <w:r w:rsidRPr="00F255EE">
              <w:rPr>
                <w:b/>
                <w:bCs/>
                <w:kern w:val="24"/>
                <w:sz w:val="20"/>
                <w:szCs w:val="20"/>
                <w:lang w:val="es-ES_tradnl" w:eastAsia="en-GB"/>
              </w:rPr>
              <w:lastRenderedPageBreak/>
              <w:t>Etapa y actividades</w:t>
            </w:r>
          </w:p>
        </w:tc>
        <w:tc>
          <w:tcPr>
            <w:tcW w:w="1854" w:type="pct"/>
            <w:shd w:val="clear" w:color="auto" w:fill="FFFFFF"/>
            <w:tcMar>
              <w:top w:w="15" w:type="dxa"/>
              <w:left w:w="108" w:type="dxa"/>
              <w:bottom w:w="0" w:type="dxa"/>
              <w:right w:w="108" w:type="dxa"/>
            </w:tcMar>
            <w:hideMark/>
          </w:tcPr>
          <w:p w14:paraId="35E32078" w14:textId="77777777" w:rsidR="00EC4DD3" w:rsidRPr="00F255EE" w:rsidRDefault="00EC4DD3" w:rsidP="00EC4DD3">
            <w:pPr>
              <w:keepNext/>
              <w:jc w:val="center"/>
              <w:rPr>
                <w:sz w:val="20"/>
                <w:szCs w:val="20"/>
                <w:lang w:val="es-ES_tradnl" w:eastAsia="en-GB"/>
              </w:rPr>
            </w:pPr>
            <w:r w:rsidRPr="00F255EE">
              <w:rPr>
                <w:rFonts w:eastAsia="Calibri"/>
                <w:b/>
                <w:bCs/>
                <w:kern w:val="24"/>
                <w:sz w:val="20"/>
                <w:szCs w:val="20"/>
                <w:lang w:val="es-ES_tradnl" w:eastAsia="en-GB"/>
              </w:rPr>
              <w:t>Tarea de evaluación y calendario de productos</w:t>
            </w:r>
          </w:p>
        </w:tc>
        <w:tc>
          <w:tcPr>
            <w:tcW w:w="1752" w:type="pct"/>
            <w:shd w:val="clear" w:color="auto" w:fill="FFFFFF"/>
            <w:tcMar>
              <w:top w:w="15" w:type="dxa"/>
              <w:left w:w="108" w:type="dxa"/>
              <w:bottom w:w="0" w:type="dxa"/>
              <w:right w:w="108" w:type="dxa"/>
            </w:tcMar>
            <w:hideMark/>
          </w:tcPr>
          <w:p w14:paraId="65615FDA" w14:textId="77777777" w:rsidR="00EC4DD3" w:rsidRPr="00F255EE" w:rsidRDefault="00EC4DD3" w:rsidP="00EC4DD3">
            <w:pPr>
              <w:keepNext/>
              <w:jc w:val="center"/>
              <w:rPr>
                <w:sz w:val="20"/>
                <w:szCs w:val="20"/>
                <w:lang w:val="es-ES_tradnl" w:eastAsia="en-GB"/>
              </w:rPr>
            </w:pPr>
            <w:r w:rsidRPr="00F255EE">
              <w:rPr>
                <w:b/>
                <w:bCs/>
                <w:kern w:val="24"/>
                <w:sz w:val="20"/>
                <w:szCs w:val="20"/>
                <w:lang w:val="es-ES_tradnl" w:eastAsia="en-GB"/>
              </w:rPr>
              <w:t xml:space="preserve">Estado de la ejecución / Plan </w:t>
            </w:r>
          </w:p>
        </w:tc>
      </w:tr>
      <w:tr w:rsidR="00EC4DD3" w:rsidRPr="00BF7078" w14:paraId="411483C0" w14:textId="77777777" w:rsidTr="00EC4DD3">
        <w:trPr>
          <w:trHeight w:val="360"/>
        </w:trPr>
        <w:tc>
          <w:tcPr>
            <w:tcW w:w="1394" w:type="pct"/>
            <w:shd w:val="clear" w:color="auto" w:fill="FFFFFF"/>
            <w:tcMar>
              <w:top w:w="15" w:type="dxa"/>
              <w:left w:w="108" w:type="dxa"/>
              <w:bottom w:w="0" w:type="dxa"/>
              <w:right w:w="108" w:type="dxa"/>
            </w:tcMar>
            <w:hideMark/>
          </w:tcPr>
          <w:p w14:paraId="1CA69385" w14:textId="77777777" w:rsidR="00EC4DD3" w:rsidRPr="00F255EE" w:rsidRDefault="00EC4DD3" w:rsidP="00EC4DD3">
            <w:pPr>
              <w:keepNext/>
              <w:rPr>
                <w:b/>
                <w:bCs/>
                <w:sz w:val="18"/>
                <w:szCs w:val="18"/>
                <w:lang w:val="es-ES_tradnl" w:eastAsia="en-GB"/>
              </w:rPr>
            </w:pPr>
            <w:r w:rsidRPr="00F255EE">
              <w:rPr>
                <w:b/>
                <w:bCs/>
                <w:kern w:val="24"/>
                <w:sz w:val="18"/>
                <w:szCs w:val="18"/>
                <w:lang w:val="es-ES_tradnl" w:eastAsia="en-GB"/>
              </w:rPr>
              <w:t xml:space="preserve">Primera etapa </w:t>
            </w:r>
          </w:p>
        </w:tc>
        <w:tc>
          <w:tcPr>
            <w:tcW w:w="1854" w:type="pct"/>
            <w:shd w:val="clear" w:color="auto" w:fill="FFFFFF"/>
            <w:tcMar>
              <w:top w:w="15" w:type="dxa"/>
              <w:left w:w="108" w:type="dxa"/>
              <w:bottom w:w="0" w:type="dxa"/>
              <w:right w:w="108" w:type="dxa"/>
            </w:tcMar>
            <w:hideMark/>
          </w:tcPr>
          <w:p w14:paraId="3D76045F"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 xml:space="preserve">Cartografía de las partes interesadas </w:t>
            </w:r>
          </w:p>
          <w:p w14:paraId="73928D0C"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Diseño, matriz de evaluación y fase de planificación</w:t>
            </w:r>
          </w:p>
        </w:tc>
        <w:tc>
          <w:tcPr>
            <w:tcW w:w="1752" w:type="pct"/>
            <w:shd w:val="clear" w:color="auto" w:fill="FFFFFF"/>
            <w:tcMar>
              <w:top w:w="15" w:type="dxa"/>
              <w:left w:w="108" w:type="dxa"/>
              <w:bottom w:w="0" w:type="dxa"/>
              <w:right w:w="108" w:type="dxa"/>
            </w:tcMar>
            <w:hideMark/>
          </w:tcPr>
          <w:p w14:paraId="5839EBB6"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Concluido (primer semestre de 2022, notificado a la 90ª reunión)</w:t>
            </w:r>
          </w:p>
        </w:tc>
      </w:tr>
      <w:tr w:rsidR="00EC4DD3" w:rsidRPr="00BF7078" w14:paraId="7A7A5F54" w14:textId="77777777" w:rsidTr="00EC4DD3">
        <w:trPr>
          <w:trHeight w:val="186"/>
        </w:trPr>
        <w:tc>
          <w:tcPr>
            <w:tcW w:w="1394" w:type="pct"/>
            <w:shd w:val="clear" w:color="auto" w:fill="FFFFFF"/>
            <w:tcMar>
              <w:top w:w="15" w:type="dxa"/>
              <w:left w:w="108" w:type="dxa"/>
              <w:bottom w:w="0" w:type="dxa"/>
              <w:right w:w="108" w:type="dxa"/>
            </w:tcMar>
            <w:hideMark/>
          </w:tcPr>
          <w:p w14:paraId="4B0F4666" w14:textId="77777777" w:rsidR="00EC4DD3" w:rsidRPr="00F255EE" w:rsidRDefault="00EC4DD3" w:rsidP="00EC4DD3">
            <w:pPr>
              <w:keepNext/>
              <w:rPr>
                <w:b/>
                <w:bCs/>
                <w:sz w:val="18"/>
                <w:szCs w:val="18"/>
                <w:lang w:val="es-ES_tradnl" w:eastAsia="en-GB"/>
              </w:rPr>
            </w:pPr>
            <w:r w:rsidRPr="00F255EE">
              <w:rPr>
                <w:b/>
                <w:bCs/>
                <w:kern w:val="24"/>
                <w:sz w:val="18"/>
                <w:szCs w:val="18"/>
                <w:lang w:val="es-ES_tradnl" w:eastAsia="en-GB"/>
              </w:rPr>
              <w:t xml:space="preserve">Segunda etapa </w:t>
            </w:r>
          </w:p>
        </w:tc>
        <w:tc>
          <w:tcPr>
            <w:tcW w:w="1854" w:type="pct"/>
            <w:shd w:val="clear" w:color="auto" w:fill="FFFFFF"/>
            <w:tcMar>
              <w:top w:w="15" w:type="dxa"/>
              <w:left w:w="108" w:type="dxa"/>
              <w:bottom w:w="0" w:type="dxa"/>
              <w:right w:w="108" w:type="dxa"/>
            </w:tcMar>
            <w:hideMark/>
          </w:tcPr>
          <w:p w14:paraId="240C953E"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Misiones, encuestas, recopilación y análisis de datos</w:t>
            </w:r>
          </w:p>
        </w:tc>
        <w:tc>
          <w:tcPr>
            <w:tcW w:w="1752" w:type="pct"/>
            <w:shd w:val="clear" w:color="auto" w:fill="FFFFFF"/>
            <w:tcMar>
              <w:top w:w="15" w:type="dxa"/>
              <w:left w:w="108" w:type="dxa"/>
              <w:bottom w:w="0" w:type="dxa"/>
              <w:right w:w="108" w:type="dxa"/>
            </w:tcMar>
            <w:hideMark/>
          </w:tcPr>
          <w:p w14:paraId="11C62B5E" w14:textId="77777777" w:rsidR="00EC4DD3" w:rsidRPr="00F255EE" w:rsidRDefault="00EC4DD3" w:rsidP="00EC4DD3">
            <w:pPr>
              <w:keepNext/>
              <w:rPr>
                <w:sz w:val="18"/>
                <w:szCs w:val="18"/>
                <w:lang w:val="es-ES_tradnl" w:eastAsia="en-GB"/>
              </w:rPr>
            </w:pPr>
          </w:p>
        </w:tc>
      </w:tr>
      <w:tr w:rsidR="00EC4DD3" w:rsidRPr="00BF7078" w14:paraId="69009B59" w14:textId="77777777" w:rsidTr="00EC4DD3">
        <w:trPr>
          <w:trHeight w:val="229"/>
        </w:trPr>
        <w:tc>
          <w:tcPr>
            <w:tcW w:w="1394" w:type="pct"/>
            <w:shd w:val="clear" w:color="auto" w:fill="FFFFFF"/>
            <w:tcMar>
              <w:top w:w="15" w:type="dxa"/>
              <w:left w:w="108" w:type="dxa"/>
              <w:bottom w:w="0" w:type="dxa"/>
              <w:right w:w="108" w:type="dxa"/>
            </w:tcMar>
            <w:hideMark/>
          </w:tcPr>
          <w:p w14:paraId="43A823D5" w14:textId="77777777" w:rsidR="00EC4DD3" w:rsidRPr="00F255EE" w:rsidRDefault="00EC4DD3" w:rsidP="00EC4DD3">
            <w:pPr>
              <w:keepNext/>
              <w:jc w:val="right"/>
              <w:rPr>
                <w:sz w:val="18"/>
                <w:szCs w:val="18"/>
                <w:lang w:val="es-ES_tradnl" w:eastAsia="en-GB"/>
              </w:rPr>
            </w:pPr>
            <w:r w:rsidRPr="00F255EE">
              <w:rPr>
                <w:kern w:val="24"/>
                <w:sz w:val="18"/>
                <w:szCs w:val="18"/>
                <w:lang w:val="es-ES_tradnl" w:eastAsia="en-GB"/>
              </w:rPr>
              <w:t>Encuestas (1)</w:t>
            </w:r>
          </w:p>
        </w:tc>
        <w:tc>
          <w:tcPr>
            <w:tcW w:w="1854" w:type="pct"/>
            <w:shd w:val="clear" w:color="auto" w:fill="FFFFFF"/>
            <w:tcMar>
              <w:top w:w="15" w:type="dxa"/>
              <w:left w:w="108" w:type="dxa"/>
              <w:bottom w:w="0" w:type="dxa"/>
              <w:right w:w="108" w:type="dxa"/>
            </w:tcMar>
            <w:hideMark/>
          </w:tcPr>
          <w:p w14:paraId="24738835"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Cuestionarios a los coordinadores regionales</w:t>
            </w:r>
          </w:p>
        </w:tc>
        <w:tc>
          <w:tcPr>
            <w:tcW w:w="1752" w:type="pct"/>
            <w:shd w:val="clear" w:color="auto" w:fill="FFFFFF"/>
            <w:tcMar>
              <w:top w:w="15" w:type="dxa"/>
              <w:left w:w="108" w:type="dxa"/>
              <w:bottom w:w="0" w:type="dxa"/>
              <w:right w:w="108" w:type="dxa"/>
            </w:tcMar>
            <w:hideMark/>
          </w:tcPr>
          <w:p w14:paraId="7F3D2D52"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Concluido (a todos los coordinadores regionales)</w:t>
            </w:r>
          </w:p>
        </w:tc>
      </w:tr>
      <w:tr w:rsidR="00EC4DD3" w:rsidRPr="00BF7078" w14:paraId="7F2B9110" w14:textId="77777777" w:rsidTr="00EC4DD3">
        <w:trPr>
          <w:trHeight w:val="313"/>
        </w:trPr>
        <w:tc>
          <w:tcPr>
            <w:tcW w:w="1394" w:type="pct"/>
            <w:shd w:val="clear" w:color="auto" w:fill="FFFFFF"/>
            <w:tcMar>
              <w:top w:w="15" w:type="dxa"/>
              <w:left w:w="108" w:type="dxa"/>
              <w:bottom w:w="0" w:type="dxa"/>
              <w:right w:w="108" w:type="dxa"/>
            </w:tcMar>
            <w:hideMark/>
          </w:tcPr>
          <w:p w14:paraId="57548936" w14:textId="77777777" w:rsidR="00EC4DD3" w:rsidRPr="00F255EE" w:rsidRDefault="00EC4DD3" w:rsidP="00EC4DD3">
            <w:pPr>
              <w:keepNext/>
              <w:jc w:val="right"/>
              <w:rPr>
                <w:sz w:val="18"/>
                <w:szCs w:val="18"/>
                <w:lang w:val="es-ES_tradnl" w:eastAsia="en-GB"/>
              </w:rPr>
            </w:pPr>
            <w:r w:rsidRPr="00F255EE">
              <w:rPr>
                <w:kern w:val="24"/>
                <w:sz w:val="18"/>
                <w:szCs w:val="18"/>
                <w:lang w:val="es-ES_tradnl" w:eastAsia="en-GB"/>
              </w:rPr>
              <w:t xml:space="preserve">Encuestas (2) </w:t>
            </w:r>
          </w:p>
        </w:tc>
        <w:tc>
          <w:tcPr>
            <w:tcW w:w="1854" w:type="pct"/>
            <w:shd w:val="clear" w:color="auto" w:fill="FFFFFF"/>
            <w:tcMar>
              <w:top w:w="15" w:type="dxa"/>
              <w:left w:w="108" w:type="dxa"/>
              <w:bottom w:w="0" w:type="dxa"/>
              <w:right w:w="108" w:type="dxa"/>
            </w:tcMar>
            <w:hideMark/>
          </w:tcPr>
          <w:p w14:paraId="6120BB53"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 xml:space="preserve">Encuesta a Oficiales Nacionales del Ozono y del Protocolo de Montreal </w:t>
            </w:r>
          </w:p>
        </w:tc>
        <w:tc>
          <w:tcPr>
            <w:tcW w:w="1752" w:type="pct"/>
            <w:shd w:val="clear" w:color="auto" w:fill="FFFFFF"/>
            <w:tcMar>
              <w:top w:w="15" w:type="dxa"/>
              <w:left w:w="108" w:type="dxa"/>
              <w:bottom w:w="0" w:type="dxa"/>
              <w:right w:w="108" w:type="dxa"/>
            </w:tcMar>
            <w:hideMark/>
          </w:tcPr>
          <w:p w14:paraId="3FBF4FC5"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Enviado el 8 de septiembre de 2022</w:t>
            </w:r>
          </w:p>
          <w:p w14:paraId="296412A2"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Clausurado – finales de octubre de 2022 – Recopilación de datos concluida</w:t>
            </w:r>
          </w:p>
        </w:tc>
      </w:tr>
      <w:tr w:rsidR="00EC4DD3" w:rsidRPr="00BF7078" w14:paraId="70682801" w14:textId="77777777" w:rsidTr="00EC4DD3">
        <w:trPr>
          <w:trHeight w:val="472"/>
        </w:trPr>
        <w:tc>
          <w:tcPr>
            <w:tcW w:w="1394" w:type="pct"/>
            <w:shd w:val="clear" w:color="auto" w:fill="FFFFFF"/>
            <w:tcMar>
              <w:top w:w="15" w:type="dxa"/>
              <w:left w:w="108" w:type="dxa"/>
              <w:bottom w:w="0" w:type="dxa"/>
              <w:right w:w="108" w:type="dxa"/>
            </w:tcMar>
            <w:hideMark/>
          </w:tcPr>
          <w:p w14:paraId="45690634" w14:textId="77777777" w:rsidR="00EC4DD3" w:rsidRPr="00F255EE" w:rsidRDefault="00EC4DD3" w:rsidP="00EC4DD3">
            <w:pPr>
              <w:keepNext/>
              <w:jc w:val="right"/>
              <w:rPr>
                <w:sz w:val="18"/>
                <w:szCs w:val="18"/>
                <w:lang w:val="es-ES_tradnl" w:eastAsia="en-GB"/>
              </w:rPr>
            </w:pPr>
            <w:r w:rsidRPr="00F255EE">
              <w:rPr>
                <w:kern w:val="24"/>
                <w:sz w:val="18"/>
                <w:szCs w:val="18"/>
                <w:lang w:val="es-ES_tradnl" w:eastAsia="en-GB"/>
              </w:rPr>
              <w:t xml:space="preserve">Encuestas (3) </w:t>
            </w:r>
          </w:p>
        </w:tc>
        <w:tc>
          <w:tcPr>
            <w:tcW w:w="1854" w:type="pct"/>
            <w:shd w:val="clear" w:color="auto" w:fill="FFFFFF"/>
            <w:tcMar>
              <w:top w:w="15" w:type="dxa"/>
              <w:left w:w="108" w:type="dxa"/>
              <w:bottom w:w="0" w:type="dxa"/>
              <w:right w:w="108" w:type="dxa"/>
            </w:tcMar>
            <w:hideMark/>
          </w:tcPr>
          <w:p w14:paraId="691FC83D"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Encuesta a otras partes interesadas (es decir, organismos de ejecución y bilaterales, Secretaría del Fondo Multilateral y Secretaría del Ozono, asociados para el desarrollo y observadores, miembros del Comité Ejecutivo)</w:t>
            </w:r>
          </w:p>
        </w:tc>
        <w:tc>
          <w:tcPr>
            <w:tcW w:w="1752" w:type="pct"/>
            <w:shd w:val="clear" w:color="auto" w:fill="FFFFFF"/>
            <w:tcMar>
              <w:top w:w="15" w:type="dxa"/>
              <w:left w:w="108" w:type="dxa"/>
              <w:bottom w:w="0" w:type="dxa"/>
              <w:right w:w="108" w:type="dxa"/>
            </w:tcMar>
            <w:hideMark/>
          </w:tcPr>
          <w:p w14:paraId="0351B3B7"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En curso: planificado entre el último trimestre de 2022 y el primer trimestre de 2023</w:t>
            </w:r>
          </w:p>
        </w:tc>
      </w:tr>
      <w:tr w:rsidR="00EC4DD3" w:rsidRPr="00BF7078" w14:paraId="739485FB" w14:textId="77777777" w:rsidTr="00EC4DD3">
        <w:trPr>
          <w:trHeight w:val="541"/>
        </w:trPr>
        <w:tc>
          <w:tcPr>
            <w:tcW w:w="1394" w:type="pct"/>
            <w:shd w:val="clear" w:color="auto" w:fill="FFFFFF"/>
            <w:tcMar>
              <w:top w:w="15" w:type="dxa"/>
              <w:left w:w="108" w:type="dxa"/>
              <w:bottom w:w="0" w:type="dxa"/>
              <w:right w:w="108" w:type="dxa"/>
            </w:tcMar>
            <w:hideMark/>
          </w:tcPr>
          <w:p w14:paraId="66D394DE" w14:textId="77777777" w:rsidR="00EC4DD3" w:rsidRPr="00F255EE" w:rsidRDefault="00EC4DD3" w:rsidP="00EC4DD3">
            <w:pPr>
              <w:keepNext/>
              <w:jc w:val="right"/>
              <w:rPr>
                <w:kern w:val="24"/>
                <w:sz w:val="18"/>
                <w:szCs w:val="18"/>
                <w:lang w:val="es-ES_tradnl" w:eastAsia="en-GB"/>
              </w:rPr>
            </w:pPr>
            <w:r w:rsidRPr="00F255EE">
              <w:rPr>
                <w:kern w:val="24"/>
                <w:sz w:val="18"/>
                <w:szCs w:val="18"/>
                <w:lang w:val="es-ES_tradnl" w:eastAsia="en-GB"/>
              </w:rPr>
              <w:t xml:space="preserve">Entrevistas con las partes interesadas </w:t>
            </w:r>
          </w:p>
        </w:tc>
        <w:tc>
          <w:tcPr>
            <w:tcW w:w="1854" w:type="pct"/>
            <w:shd w:val="clear" w:color="auto" w:fill="FFFFFF"/>
            <w:tcMar>
              <w:top w:w="15" w:type="dxa"/>
              <w:left w:w="108" w:type="dxa"/>
              <w:bottom w:w="0" w:type="dxa"/>
              <w:right w:w="108" w:type="dxa"/>
            </w:tcMar>
            <w:hideMark/>
          </w:tcPr>
          <w:p w14:paraId="5E02E5C8" w14:textId="77777777" w:rsidR="00EC4DD3" w:rsidRPr="00F255EE" w:rsidRDefault="00EC4DD3" w:rsidP="00EC4DD3">
            <w:pPr>
              <w:keepNext/>
              <w:rPr>
                <w:sz w:val="18"/>
                <w:szCs w:val="18"/>
                <w:lang w:val="es-ES_tradnl" w:eastAsia="en-GB"/>
              </w:rPr>
            </w:pPr>
            <w:r w:rsidRPr="00F255EE">
              <w:rPr>
                <w:sz w:val="18"/>
                <w:szCs w:val="18"/>
                <w:lang w:val="es-ES_tradnl"/>
              </w:rPr>
              <w:t xml:space="preserve">En paralelo a </w:t>
            </w:r>
            <w:r w:rsidRPr="00F255EE">
              <w:rPr>
                <w:sz w:val="18"/>
                <w:szCs w:val="18"/>
                <w:lang w:val="es-ES_tradnl" w:eastAsia="en-GB"/>
              </w:rPr>
              <w:t>las reuniones del Comité Ejecutivo y la Reunión de las Partes en 2022</w:t>
            </w:r>
          </w:p>
          <w:p w14:paraId="30362165" w14:textId="77777777" w:rsidR="00EC4DD3" w:rsidRPr="00F255EE" w:rsidRDefault="00EC4DD3" w:rsidP="00EC4DD3">
            <w:pPr>
              <w:keepNext/>
              <w:rPr>
                <w:sz w:val="18"/>
                <w:szCs w:val="18"/>
                <w:lang w:val="es-ES_tradnl" w:eastAsia="en-GB"/>
              </w:rPr>
            </w:pPr>
            <w:r w:rsidRPr="00F255EE">
              <w:rPr>
                <w:sz w:val="18"/>
                <w:szCs w:val="18"/>
                <w:lang w:val="es-ES_tradnl" w:eastAsia="en-GB"/>
              </w:rPr>
              <w:t>Durante la participación en las reuniones de Redes Regionales (concluidas las de Asia, Asia Sudoriental y el Pacífico, Asia Occidental, Europa y Asia Central, África); América Latina y el Caribe en 2023</w:t>
            </w:r>
          </w:p>
        </w:tc>
        <w:tc>
          <w:tcPr>
            <w:tcW w:w="1752" w:type="pct"/>
            <w:shd w:val="clear" w:color="auto" w:fill="FFFFFF"/>
            <w:tcMar>
              <w:top w:w="15" w:type="dxa"/>
              <w:left w:w="108" w:type="dxa"/>
              <w:bottom w:w="0" w:type="dxa"/>
              <w:right w:w="108" w:type="dxa"/>
            </w:tcMar>
            <w:hideMark/>
          </w:tcPr>
          <w:p w14:paraId="27ABDD36" w14:textId="77777777" w:rsidR="00EC4DD3" w:rsidRPr="00F255EE" w:rsidRDefault="00EC4DD3" w:rsidP="00EC4DD3">
            <w:pPr>
              <w:keepNext/>
              <w:rPr>
                <w:sz w:val="18"/>
                <w:szCs w:val="18"/>
                <w:lang w:val="es-ES_tradnl" w:eastAsia="en-GB"/>
              </w:rPr>
            </w:pPr>
            <w:r w:rsidRPr="00F255EE">
              <w:rPr>
                <w:sz w:val="18"/>
                <w:szCs w:val="18"/>
                <w:lang w:val="es-ES_tradnl" w:eastAsia="en-GB"/>
              </w:rPr>
              <w:t>Abarcó Asia, Asia Sudoriental y el Pacífico, Asia Occidental, Europa y Asia Central y África, redes anglófonas y francófonas.</w:t>
            </w:r>
          </w:p>
          <w:p w14:paraId="075218F8" w14:textId="77777777" w:rsidR="00EC4DD3" w:rsidRPr="00F255EE" w:rsidRDefault="00EC4DD3" w:rsidP="00EC4DD3">
            <w:pPr>
              <w:keepNext/>
              <w:rPr>
                <w:sz w:val="18"/>
                <w:szCs w:val="18"/>
                <w:lang w:val="es-ES_tradnl" w:eastAsia="en-GB"/>
              </w:rPr>
            </w:pPr>
            <w:r w:rsidRPr="00F255EE">
              <w:rPr>
                <w:sz w:val="18"/>
                <w:szCs w:val="18"/>
                <w:lang w:val="es-ES_tradnl" w:eastAsia="en-GB"/>
              </w:rPr>
              <w:t>Continuará entre octubre de 2022 y marzo de 2023</w:t>
            </w:r>
          </w:p>
        </w:tc>
      </w:tr>
      <w:tr w:rsidR="00EC4DD3" w:rsidRPr="00BF7078" w14:paraId="1A2B1940" w14:textId="77777777" w:rsidTr="00EC4DD3">
        <w:trPr>
          <w:trHeight w:val="2699"/>
        </w:trPr>
        <w:tc>
          <w:tcPr>
            <w:tcW w:w="1394" w:type="pct"/>
            <w:shd w:val="clear" w:color="auto" w:fill="FFFFFF"/>
            <w:tcMar>
              <w:top w:w="15" w:type="dxa"/>
              <w:left w:w="108" w:type="dxa"/>
              <w:bottom w:w="0" w:type="dxa"/>
              <w:right w:w="108" w:type="dxa"/>
            </w:tcMar>
            <w:hideMark/>
          </w:tcPr>
          <w:p w14:paraId="23E4EE9D" w14:textId="77777777" w:rsidR="00EC4DD3" w:rsidRPr="00F255EE" w:rsidRDefault="00EC4DD3" w:rsidP="00EC4DD3">
            <w:pPr>
              <w:keepNext/>
              <w:jc w:val="right"/>
              <w:rPr>
                <w:kern w:val="24"/>
                <w:sz w:val="18"/>
                <w:szCs w:val="18"/>
                <w:lang w:val="es-ES_tradnl" w:eastAsia="en-GB"/>
              </w:rPr>
            </w:pPr>
            <w:r w:rsidRPr="00F255EE">
              <w:rPr>
                <w:kern w:val="24"/>
                <w:sz w:val="18"/>
                <w:szCs w:val="18"/>
                <w:lang w:val="es-ES_tradnl" w:eastAsia="en-GB"/>
              </w:rPr>
              <w:t xml:space="preserve">Visitas sobre el terreno / Asistencia del </w:t>
            </w:r>
            <w:r w:rsidRPr="00F255EE">
              <w:rPr>
                <w:sz w:val="18"/>
                <w:szCs w:val="18"/>
                <w:lang w:val="es-ES_tradnl"/>
              </w:rPr>
              <w:t xml:space="preserve">Oficial Superior de Supervisión y Evaluación </w:t>
            </w:r>
            <w:r w:rsidRPr="00F255EE">
              <w:rPr>
                <w:kern w:val="24"/>
                <w:sz w:val="18"/>
                <w:szCs w:val="18"/>
                <w:lang w:val="es-ES_tradnl" w:eastAsia="en-GB"/>
              </w:rPr>
              <w:t xml:space="preserve">a las reuniones de las Redes Regionales  </w:t>
            </w:r>
          </w:p>
        </w:tc>
        <w:tc>
          <w:tcPr>
            <w:tcW w:w="1854" w:type="pct"/>
            <w:shd w:val="clear" w:color="auto" w:fill="FFFFFF"/>
            <w:tcMar>
              <w:top w:w="15" w:type="dxa"/>
              <w:left w:w="108" w:type="dxa"/>
              <w:bottom w:w="0" w:type="dxa"/>
              <w:right w:w="108" w:type="dxa"/>
            </w:tcMar>
            <w:hideMark/>
          </w:tcPr>
          <w:p w14:paraId="20A2BD67" w14:textId="77777777" w:rsidR="00EC4DD3" w:rsidRPr="00F255EE" w:rsidRDefault="00EC4DD3" w:rsidP="00EC4DD3">
            <w:pPr>
              <w:keepNext/>
              <w:rPr>
                <w:sz w:val="18"/>
                <w:szCs w:val="18"/>
                <w:lang w:val="es-ES_tradnl" w:eastAsia="en-GB"/>
              </w:rPr>
            </w:pPr>
            <w:r w:rsidRPr="00F255EE">
              <w:rPr>
                <w:sz w:val="18"/>
                <w:szCs w:val="18"/>
                <w:lang w:val="es-ES_tradnl" w:eastAsia="en-GB"/>
              </w:rPr>
              <w:t>Reunión de la red regional de</w:t>
            </w:r>
            <w:r w:rsidRPr="00F255EE">
              <w:rPr>
                <w:sz w:val="18"/>
                <w:szCs w:val="18"/>
                <w:lang w:val="es-ES_tradnl"/>
              </w:rPr>
              <w:t xml:space="preserve"> Asia Meridional, Asia Sudoriental </w:t>
            </w:r>
            <w:r w:rsidRPr="00F255EE">
              <w:rPr>
                <w:sz w:val="18"/>
                <w:szCs w:val="18"/>
                <w:lang w:val="es-ES_tradnl" w:eastAsia="en-GB"/>
              </w:rPr>
              <w:t>y Países de las Islas del Pacífico, en Bangkok (Tailandia) (junto con la 44º reunión del GTCA en Bangkok)</w:t>
            </w:r>
          </w:p>
          <w:p w14:paraId="1E48CD05"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w:t>
            </w:r>
          </w:p>
          <w:p w14:paraId="69EDFFEC"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Asia Occidental – Dubái (Emiratos Árabes Unidos) – 11 a 16 de septiembre</w:t>
            </w:r>
          </w:p>
          <w:p w14:paraId="6A7FE908"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w:t>
            </w:r>
          </w:p>
          <w:p w14:paraId="481BD21D"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Europa y Asia Central – Praga y Cheb (República Checa), 20-22 de septiembre de 2022</w:t>
            </w:r>
          </w:p>
          <w:p w14:paraId="6E588630"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w:t>
            </w:r>
          </w:p>
          <w:p w14:paraId="5520CF9B"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Redes Africanas – inglés y francés, 3-5 de octubre, Nairobi (Kenya)</w:t>
            </w:r>
          </w:p>
          <w:p w14:paraId="66C94400"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w:t>
            </w:r>
          </w:p>
          <w:p w14:paraId="524293E8"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LAC – redes comunes en inglés y español – Panamá</w:t>
            </w:r>
          </w:p>
        </w:tc>
        <w:tc>
          <w:tcPr>
            <w:tcW w:w="1752" w:type="pct"/>
            <w:shd w:val="clear" w:color="auto" w:fill="FFFFFF"/>
            <w:tcMar>
              <w:top w:w="15" w:type="dxa"/>
              <w:left w:w="108" w:type="dxa"/>
              <w:bottom w:w="0" w:type="dxa"/>
              <w:right w:w="108" w:type="dxa"/>
            </w:tcMar>
            <w:hideMark/>
          </w:tcPr>
          <w:p w14:paraId="5F31184D"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Concluido</w:t>
            </w:r>
          </w:p>
          <w:p w14:paraId="797E26D3" w14:textId="77777777" w:rsidR="00EC4DD3" w:rsidRPr="00F255EE" w:rsidRDefault="00EC4DD3" w:rsidP="00EC4DD3">
            <w:pPr>
              <w:keepNext/>
              <w:rPr>
                <w:kern w:val="24"/>
                <w:sz w:val="18"/>
                <w:szCs w:val="18"/>
                <w:lang w:val="es-ES_tradnl" w:eastAsia="en-GB"/>
              </w:rPr>
            </w:pPr>
          </w:p>
          <w:p w14:paraId="77A45938" w14:textId="77777777" w:rsidR="00EC4DD3" w:rsidRPr="00F255EE" w:rsidRDefault="00EC4DD3" w:rsidP="00EC4DD3">
            <w:pPr>
              <w:keepNext/>
              <w:rPr>
                <w:kern w:val="24"/>
                <w:sz w:val="18"/>
                <w:szCs w:val="18"/>
                <w:lang w:val="es-ES_tradnl" w:eastAsia="en-GB"/>
              </w:rPr>
            </w:pPr>
          </w:p>
          <w:p w14:paraId="76FFC130" w14:textId="77777777" w:rsidR="00EC4DD3" w:rsidRPr="00F255EE" w:rsidRDefault="00EC4DD3" w:rsidP="00EC4DD3">
            <w:pPr>
              <w:keepNext/>
              <w:rPr>
                <w:kern w:val="24"/>
                <w:sz w:val="18"/>
                <w:szCs w:val="18"/>
                <w:lang w:val="es-ES_tradnl" w:eastAsia="en-GB"/>
              </w:rPr>
            </w:pPr>
          </w:p>
          <w:p w14:paraId="4CA3346A"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Concluido</w:t>
            </w:r>
          </w:p>
          <w:p w14:paraId="2C1EA897" w14:textId="77777777" w:rsidR="00EC4DD3" w:rsidRPr="00F255EE" w:rsidRDefault="00EC4DD3" w:rsidP="00EC4DD3">
            <w:pPr>
              <w:keepNext/>
              <w:rPr>
                <w:kern w:val="24"/>
                <w:sz w:val="18"/>
                <w:szCs w:val="18"/>
                <w:lang w:val="es-ES_tradnl" w:eastAsia="en-GB"/>
              </w:rPr>
            </w:pPr>
          </w:p>
          <w:p w14:paraId="2F3679C8"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Concluido</w:t>
            </w:r>
          </w:p>
          <w:p w14:paraId="57EAA7B9" w14:textId="77777777" w:rsidR="00EC4DD3" w:rsidRPr="00F255EE" w:rsidRDefault="00EC4DD3" w:rsidP="00EC4DD3">
            <w:pPr>
              <w:keepNext/>
              <w:rPr>
                <w:kern w:val="24"/>
                <w:sz w:val="18"/>
                <w:szCs w:val="18"/>
                <w:lang w:val="es-ES_tradnl" w:eastAsia="en-GB"/>
              </w:rPr>
            </w:pPr>
          </w:p>
          <w:p w14:paraId="60315BA4" w14:textId="77777777" w:rsidR="00EC4DD3" w:rsidRPr="00F255EE" w:rsidRDefault="00EC4DD3" w:rsidP="00EC4DD3">
            <w:pPr>
              <w:keepNext/>
              <w:rPr>
                <w:sz w:val="18"/>
                <w:szCs w:val="18"/>
                <w:lang w:val="es-ES_tradnl" w:eastAsia="en-GB"/>
              </w:rPr>
            </w:pPr>
          </w:p>
          <w:p w14:paraId="609590F2"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Concluido</w:t>
            </w:r>
          </w:p>
          <w:p w14:paraId="64E6831B" w14:textId="77777777" w:rsidR="00EC4DD3" w:rsidRPr="00F255EE" w:rsidRDefault="00EC4DD3" w:rsidP="00EC4DD3">
            <w:pPr>
              <w:keepNext/>
              <w:rPr>
                <w:sz w:val="18"/>
                <w:szCs w:val="18"/>
                <w:lang w:val="es-ES_tradnl" w:eastAsia="en-GB"/>
              </w:rPr>
            </w:pPr>
          </w:p>
          <w:p w14:paraId="7A4091ED"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Previsto para finales de marzo de 2023</w:t>
            </w:r>
          </w:p>
        </w:tc>
      </w:tr>
      <w:tr w:rsidR="00EC4DD3" w:rsidRPr="00BF7078" w14:paraId="275D675C" w14:textId="77777777" w:rsidTr="00EC4DD3">
        <w:trPr>
          <w:trHeight w:val="381"/>
        </w:trPr>
        <w:tc>
          <w:tcPr>
            <w:tcW w:w="1394" w:type="pct"/>
            <w:shd w:val="clear" w:color="auto" w:fill="FFFFFF"/>
            <w:tcMar>
              <w:top w:w="15" w:type="dxa"/>
              <w:left w:w="108" w:type="dxa"/>
              <w:bottom w:w="0" w:type="dxa"/>
              <w:right w:w="108" w:type="dxa"/>
            </w:tcMar>
            <w:hideMark/>
          </w:tcPr>
          <w:p w14:paraId="02747250"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Encuesta y cuestionarios / Análisis de datos y resultado de las misiones</w:t>
            </w:r>
          </w:p>
        </w:tc>
        <w:tc>
          <w:tcPr>
            <w:tcW w:w="1854" w:type="pct"/>
            <w:shd w:val="clear" w:color="auto" w:fill="FFFFFF"/>
            <w:tcMar>
              <w:top w:w="15" w:type="dxa"/>
              <w:left w:w="108" w:type="dxa"/>
              <w:bottom w:w="0" w:type="dxa"/>
              <w:right w:w="108" w:type="dxa"/>
            </w:tcMar>
            <w:hideMark/>
          </w:tcPr>
          <w:p w14:paraId="4852142B"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 xml:space="preserve">Proceso de renovación – hasta el final de la evaluación </w:t>
            </w:r>
          </w:p>
          <w:p w14:paraId="0FDC9CCE" w14:textId="77777777" w:rsidR="00EC4DD3" w:rsidRPr="00F255EE" w:rsidRDefault="00EC4DD3" w:rsidP="00EC4DD3">
            <w:pPr>
              <w:keepNext/>
              <w:rPr>
                <w:sz w:val="18"/>
                <w:szCs w:val="18"/>
                <w:lang w:val="es-ES_tradnl" w:eastAsia="en-GB"/>
              </w:rPr>
            </w:pPr>
          </w:p>
        </w:tc>
        <w:tc>
          <w:tcPr>
            <w:tcW w:w="1752" w:type="pct"/>
            <w:shd w:val="clear" w:color="auto" w:fill="FFFFFF"/>
            <w:tcMar>
              <w:top w:w="15" w:type="dxa"/>
              <w:left w:w="108" w:type="dxa"/>
              <w:bottom w:w="0" w:type="dxa"/>
              <w:right w:w="108" w:type="dxa"/>
            </w:tcMar>
            <w:hideMark/>
          </w:tcPr>
          <w:p w14:paraId="1D783386"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Otoño de 2022 hasta principios de 2023</w:t>
            </w:r>
          </w:p>
        </w:tc>
      </w:tr>
      <w:tr w:rsidR="00EC4DD3" w:rsidRPr="00F255EE" w14:paraId="644AC28A" w14:textId="77777777" w:rsidTr="00EC4DD3">
        <w:trPr>
          <w:trHeight w:val="387"/>
        </w:trPr>
        <w:tc>
          <w:tcPr>
            <w:tcW w:w="1394" w:type="pct"/>
            <w:shd w:val="clear" w:color="auto" w:fill="FFFFFF"/>
            <w:tcMar>
              <w:top w:w="15" w:type="dxa"/>
              <w:left w:w="108" w:type="dxa"/>
              <w:bottom w:w="0" w:type="dxa"/>
              <w:right w:w="108" w:type="dxa"/>
            </w:tcMar>
            <w:hideMark/>
          </w:tcPr>
          <w:p w14:paraId="4552F96E" w14:textId="77777777" w:rsidR="00EC4DD3" w:rsidRPr="00F255EE" w:rsidRDefault="00EC4DD3" w:rsidP="00EC4DD3">
            <w:pPr>
              <w:keepNext/>
              <w:rPr>
                <w:b/>
                <w:bCs/>
                <w:kern w:val="24"/>
                <w:sz w:val="18"/>
                <w:szCs w:val="18"/>
                <w:lang w:val="es-ES_tradnl" w:eastAsia="en-GB"/>
              </w:rPr>
            </w:pPr>
            <w:r w:rsidRPr="00F255EE">
              <w:rPr>
                <w:b/>
                <w:bCs/>
                <w:kern w:val="24"/>
                <w:sz w:val="18"/>
                <w:szCs w:val="18"/>
                <w:lang w:val="es-ES_tradnl" w:eastAsia="en-GB"/>
              </w:rPr>
              <w:t>Tercera etapa (final) fase de redacción/observaciones/informe final</w:t>
            </w:r>
          </w:p>
        </w:tc>
        <w:tc>
          <w:tcPr>
            <w:tcW w:w="1854" w:type="pct"/>
            <w:shd w:val="clear" w:color="auto" w:fill="FFFFFF"/>
            <w:tcMar>
              <w:top w:w="15" w:type="dxa"/>
              <w:left w:w="108" w:type="dxa"/>
              <w:bottom w:w="0" w:type="dxa"/>
              <w:right w:w="108" w:type="dxa"/>
            </w:tcMar>
            <w:hideMark/>
          </w:tcPr>
          <w:p w14:paraId="1B37D5F8"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Redacción del informe/consulta y comentarios con grupos de interés/proceso de garantía de la calidad / Primer trimestre 2023</w:t>
            </w:r>
          </w:p>
        </w:tc>
        <w:tc>
          <w:tcPr>
            <w:tcW w:w="1752" w:type="pct"/>
            <w:shd w:val="clear" w:color="auto" w:fill="FFFFFF"/>
            <w:tcMar>
              <w:top w:w="15" w:type="dxa"/>
              <w:left w:w="108" w:type="dxa"/>
              <w:bottom w:w="0" w:type="dxa"/>
              <w:right w:w="108" w:type="dxa"/>
            </w:tcMar>
            <w:hideMark/>
          </w:tcPr>
          <w:p w14:paraId="481838E0"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Se realizará</w:t>
            </w:r>
          </w:p>
        </w:tc>
      </w:tr>
      <w:tr w:rsidR="00EC4DD3" w:rsidRPr="00F255EE" w14:paraId="38B8B8C4" w14:textId="77777777" w:rsidTr="00EC4DD3">
        <w:trPr>
          <w:trHeight w:val="191"/>
        </w:trPr>
        <w:tc>
          <w:tcPr>
            <w:tcW w:w="1394" w:type="pct"/>
            <w:shd w:val="clear" w:color="auto" w:fill="FFFFFF"/>
            <w:tcMar>
              <w:top w:w="15" w:type="dxa"/>
              <w:left w:w="108" w:type="dxa"/>
              <w:bottom w:w="0" w:type="dxa"/>
              <w:right w:w="108" w:type="dxa"/>
            </w:tcMar>
            <w:hideMark/>
          </w:tcPr>
          <w:p w14:paraId="231607D1"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Presentaciones al Comité Ejecutivo</w:t>
            </w:r>
          </w:p>
        </w:tc>
        <w:tc>
          <w:tcPr>
            <w:tcW w:w="1854" w:type="pct"/>
            <w:shd w:val="clear" w:color="auto" w:fill="FFFFFF"/>
            <w:tcMar>
              <w:top w:w="15" w:type="dxa"/>
              <w:left w:w="108" w:type="dxa"/>
              <w:bottom w:w="0" w:type="dxa"/>
              <w:right w:w="108" w:type="dxa"/>
            </w:tcMar>
            <w:hideMark/>
          </w:tcPr>
          <w:p w14:paraId="1F36B50B"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Informe de progreso: 91ª reunión, 5 a 9 de diciembre de 2022</w:t>
            </w:r>
          </w:p>
          <w:p w14:paraId="10CC31DA" w14:textId="77777777" w:rsidR="00EC4DD3" w:rsidRPr="00F255EE" w:rsidRDefault="00EC4DD3" w:rsidP="00EC4DD3">
            <w:pPr>
              <w:keepNext/>
              <w:rPr>
                <w:kern w:val="24"/>
                <w:sz w:val="18"/>
                <w:szCs w:val="18"/>
                <w:lang w:val="es-ES_tradnl" w:eastAsia="en-GB"/>
              </w:rPr>
            </w:pPr>
            <w:r w:rsidRPr="00F255EE">
              <w:rPr>
                <w:kern w:val="24"/>
                <w:sz w:val="18"/>
                <w:szCs w:val="18"/>
                <w:lang w:val="es-ES_tradnl" w:eastAsia="en-GB"/>
              </w:rPr>
              <w:t>Informe Final – Primera reunión del Comité Ejecutivo en 2023 (92ª)</w:t>
            </w:r>
          </w:p>
        </w:tc>
        <w:tc>
          <w:tcPr>
            <w:tcW w:w="1752" w:type="pct"/>
            <w:shd w:val="clear" w:color="auto" w:fill="FFFFFF"/>
            <w:tcMar>
              <w:top w:w="15" w:type="dxa"/>
              <w:left w:w="108" w:type="dxa"/>
              <w:bottom w:w="0" w:type="dxa"/>
              <w:right w:w="108" w:type="dxa"/>
            </w:tcMar>
            <w:hideMark/>
          </w:tcPr>
          <w:p w14:paraId="04A13D48" w14:textId="77777777" w:rsidR="00EC4DD3" w:rsidRPr="00F255EE" w:rsidRDefault="00EC4DD3" w:rsidP="00EC4DD3">
            <w:pPr>
              <w:keepNext/>
              <w:rPr>
                <w:sz w:val="18"/>
                <w:szCs w:val="18"/>
                <w:lang w:val="es-ES_tradnl" w:eastAsia="en-GB"/>
              </w:rPr>
            </w:pPr>
            <w:r w:rsidRPr="00F255EE">
              <w:rPr>
                <w:kern w:val="24"/>
                <w:sz w:val="18"/>
                <w:szCs w:val="18"/>
                <w:lang w:val="es-ES_tradnl" w:eastAsia="en-GB"/>
              </w:rPr>
              <w:t>Se realizará</w:t>
            </w:r>
          </w:p>
        </w:tc>
      </w:tr>
    </w:tbl>
    <w:bookmarkEnd w:id="2"/>
    <w:p w14:paraId="6C945566" w14:textId="2195073B" w:rsidR="00226530" w:rsidRPr="00F255EE" w:rsidRDefault="00EC4DD3" w:rsidP="00226530">
      <w:pPr>
        <w:pStyle w:val="Heading1"/>
        <w:keepNext/>
        <w:numPr>
          <w:ilvl w:val="0"/>
          <w:numId w:val="0"/>
        </w:numPr>
        <w:jc w:val="center"/>
        <w:rPr>
          <w:rFonts w:eastAsia="Calibri"/>
          <w:b/>
          <w:bCs/>
          <w:lang w:val="es-ES_tradnl"/>
        </w:rPr>
      </w:pPr>
      <w:r w:rsidRPr="00F255EE">
        <w:rPr>
          <w:rFonts w:eastAsia="Calibri"/>
          <w:b/>
          <w:bCs/>
          <w:lang w:val="es-ES_tradnl"/>
        </w:rPr>
        <w:t xml:space="preserve"> </w:t>
      </w:r>
      <w:r w:rsidR="000E046B" w:rsidRPr="00F255EE">
        <w:rPr>
          <w:rFonts w:eastAsia="Calibri"/>
          <w:b/>
          <w:bCs/>
          <w:lang w:val="es-ES_tradnl"/>
        </w:rPr>
        <w:t xml:space="preserve">Anexo </w:t>
      </w:r>
      <w:r w:rsidR="00226530" w:rsidRPr="00F255EE">
        <w:rPr>
          <w:rFonts w:eastAsia="Calibri"/>
          <w:b/>
          <w:bCs/>
          <w:lang w:val="es-ES_tradnl"/>
        </w:rPr>
        <w:br/>
      </w:r>
      <w:r w:rsidR="00226530" w:rsidRPr="00F255EE">
        <w:rPr>
          <w:rFonts w:eastAsia="Calibri"/>
          <w:b/>
          <w:bCs/>
          <w:lang w:val="es-ES_tradnl"/>
        </w:rPr>
        <w:br/>
      </w:r>
      <w:r w:rsidR="000E046B" w:rsidRPr="00F255EE">
        <w:rPr>
          <w:rFonts w:eastAsia="Calibri"/>
          <w:b/>
          <w:bCs/>
          <w:lang w:val="es-ES_tradnl"/>
        </w:rPr>
        <w:t>ESTADO DE LA EJECUCIÓN DE LA EVALUACIÓN DE LAS REDES REGIONALES</w:t>
      </w:r>
    </w:p>
    <w:p w14:paraId="30811920" w14:textId="77777777" w:rsidR="000E046B" w:rsidRPr="00F255EE" w:rsidRDefault="000E046B" w:rsidP="000E046B">
      <w:pPr>
        <w:rPr>
          <w:rFonts w:eastAsia="Calibri"/>
          <w:sz w:val="18"/>
          <w:szCs w:val="18"/>
          <w:lang w:val="es-ES_tradnl"/>
        </w:rPr>
      </w:pPr>
    </w:p>
    <w:p w14:paraId="34366850" w14:textId="77777777" w:rsidR="000E046B" w:rsidRPr="00F255EE" w:rsidRDefault="000E046B" w:rsidP="000E046B">
      <w:pPr>
        <w:rPr>
          <w:lang w:val="es-ES_tradnl"/>
        </w:rPr>
      </w:pPr>
    </w:p>
    <w:sectPr w:rsidR="000E046B" w:rsidRPr="00F255EE" w:rsidSect="00226530">
      <w:headerReference w:type="first" r:id="rId15"/>
      <w:footerReference w:type="first" r:id="rId16"/>
      <w:pgSz w:w="15840" w:h="12240" w:orient="landscape" w:code="1"/>
      <w:pgMar w:top="709" w:right="720" w:bottom="1135" w:left="864" w:header="724"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6A07D" w14:textId="77777777" w:rsidR="005333A8" w:rsidRDefault="005333A8" w:rsidP="004A504B">
      <w:r>
        <w:separator/>
      </w:r>
    </w:p>
  </w:endnote>
  <w:endnote w:type="continuationSeparator" w:id="0">
    <w:p w14:paraId="3A6F3682" w14:textId="77777777" w:rsidR="005333A8" w:rsidRDefault="005333A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519A"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2335"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3F4CE" w14:textId="77777777" w:rsidR="003F2C75" w:rsidRDefault="003F2C75" w:rsidP="003F2C7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8A34D72" w14:textId="77777777" w:rsidR="003F2C75" w:rsidRPr="003F2C75" w:rsidRDefault="003F2C75">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091618"/>
      <w:docPartObj>
        <w:docPartGallery w:val="Page Numbers (Bottom of Page)"/>
        <w:docPartUnique/>
      </w:docPartObj>
    </w:sdtPr>
    <w:sdtEndPr>
      <w:rPr>
        <w:noProof/>
      </w:rPr>
    </w:sdtEndPr>
    <w:sdtContent>
      <w:p w14:paraId="3F78B06A" w14:textId="37940CCD" w:rsidR="00B00AC8" w:rsidRDefault="00B00A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E4B61B" w14:textId="77777777" w:rsidR="00134327" w:rsidRDefault="00134327" w:rsidP="000410E2">
    <w:pPr>
      <w:rPr>
        <w:sz w:val="18"/>
        <w:szCs w:val="18"/>
      </w:rPr>
    </w:pPr>
  </w:p>
  <w:p w14:paraId="570521F3" w14:textId="77777777" w:rsidR="0042496B" w:rsidRDefault="004249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4F248" w14:textId="77777777" w:rsidR="005333A8" w:rsidRDefault="005333A8" w:rsidP="004A504B">
      <w:r>
        <w:separator/>
      </w:r>
    </w:p>
  </w:footnote>
  <w:footnote w:type="continuationSeparator" w:id="0">
    <w:p w14:paraId="18FC12B3" w14:textId="77777777" w:rsidR="005333A8" w:rsidRDefault="005333A8" w:rsidP="004A504B">
      <w:r>
        <w:continuationSeparator/>
      </w:r>
    </w:p>
  </w:footnote>
  <w:footnote w:id="1">
    <w:p w14:paraId="29FCD780" w14:textId="77777777" w:rsidR="003C14F8" w:rsidRPr="00813CD0" w:rsidRDefault="003C14F8" w:rsidP="003C14F8">
      <w:pPr>
        <w:pStyle w:val="FootnoteText"/>
        <w:rPr>
          <w:lang w:val="pt-PT"/>
        </w:rPr>
      </w:pPr>
      <w:r w:rsidRPr="00191770">
        <w:rPr>
          <w:rStyle w:val="FootnoteReference"/>
        </w:rPr>
        <w:footnoteRef/>
      </w:r>
      <w:r w:rsidRPr="00813CD0">
        <w:rPr>
          <w:lang w:val="pt-PT"/>
        </w:rPr>
        <w:t xml:space="preserve"> UNEP/OzL.Pro/ExCom/91/1</w:t>
      </w:r>
    </w:p>
  </w:footnote>
  <w:footnote w:id="2">
    <w:p w14:paraId="63E41BD8" w14:textId="77777777" w:rsidR="003C14F8" w:rsidRPr="00191770" w:rsidRDefault="003C14F8" w:rsidP="003C14F8">
      <w:pPr>
        <w:pStyle w:val="FootnoteText"/>
        <w:rPr>
          <w:color w:val="000000"/>
          <w:lang w:val="pt-PT"/>
        </w:rPr>
      </w:pPr>
      <w:r w:rsidRPr="00191770">
        <w:rPr>
          <w:rStyle w:val="FootnoteReference"/>
        </w:rPr>
        <w:footnoteRef/>
      </w:r>
      <w:r w:rsidRPr="00191770">
        <w:rPr>
          <w:lang w:val="pt-PT"/>
        </w:rPr>
        <w:t xml:space="preserve"> </w:t>
      </w:r>
      <w:r w:rsidRPr="00191770">
        <w:rPr>
          <w:color w:val="000000"/>
          <w:lang w:val="pt-PT"/>
        </w:rPr>
        <w:t>UNEP/OzL.Pro/ExCom/86/11/Corr.1</w:t>
      </w:r>
    </w:p>
  </w:footnote>
  <w:footnote w:id="3">
    <w:p w14:paraId="410D1F36" w14:textId="4495C6A4" w:rsidR="003C14F8" w:rsidRPr="00BA45F0" w:rsidRDefault="003C14F8" w:rsidP="003C14F8">
      <w:pPr>
        <w:pStyle w:val="FootnoteText"/>
        <w:rPr>
          <w:color w:val="000000"/>
          <w:lang w:val="es-ES"/>
        </w:rPr>
      </w:pPr>
      <w:r w:rsidRPr="00191770">
        <w:rPr>
          <w:rStyle w:val="FootnoteReference"/>
        </w:rPr>
        <w:footnoteRef/>
      </w:r>
      <w:r w:rsidRPr="00BA45F0">
        <w:rPr>
          <w:lang w:val="es-ES"/>
        </w:rPr>
        <w:t xml:space="preserve"> </w:t>
      </w:r>
      <w:r w:rsidR="00BA45F0" w:rsidRPr="00BA45F0">
        <w:rPr>
          <w:lang w:val="es-ES"/>
        </w:rPr>
        <w:t xml:space="preserve">Cuadro </w:t>
      </w:r>
      <w:r w:rsidRPr="00BA45F0">
        <w:rPr>
          <w:color w:val="000000"/>
          <w:lang w:val="es-ES"/>
        </w:rPr>
        <w:t xml:space="preserve">1 </w:t>
      </w:r>
      <w:r w:rsidR="00BA45F0" w:rsidRPr="00BA45F0">
        <w:rPr>
          <w:color w:val="000000"/>
          <w:lang w:val="es-ES"/>
        </w:rPr>
        <w:t>del document</w:t>
      </w:r>
      <w:r w:rsidR="00BA45F0">
        <w:rPr>
          <w:color w:val="000000"/>
          <w:lang w:val="es-ES"/>
        </w:rPr>
        <w:t>o</w:t>
      </w:r>
      <w:r w:rsidRPr="00BA45F0">
        <w:rPr>
          <w:color w:val="000000"/>
          <w:lang w:val="es-ES"/>
        </w:rPr>
        <w:t xml:space="preserve"> UNEP/OzL.Pro/ExCom/88/11/Rev.1</w:t>
      </w:r>
    </w:p>
    <w:p w14:paraId="2DEDF367" w14:textId="77777777" w:rsidR="003F2C75" w:rsidRPr="00BA45F0" w:rsidRDefault="003F2C75" w:rsidP="003C14F8">
      <w:pPr>
        <w:pStyle w:val="FootnoteText"/>
        <w:rPr>
          <w:lang w:val="es-ES"/>
        </w:rPr>
      </w:pPr>
    </w:p>
  </w:footnote>
  <w:footnote w:id="4">
    <w:p w14:paraId="2F732A1E" w14:textId="77777777" w:rsidR="003C14F8" w:rsidRPr="006026F8" w:rsidRDefault="003C14F8" w:rsidP="003C14F8">
      <w:pPr>
        <w:pStyle w:val="Heading1"/>
        <w:numPr>
          <w:ilvl w:val="0"/>
          <w:numId w:val="0"/>
        </w:numPr>
        <w:spacing w:after="0"/>
        <w:rPr>
          <w:sz w:val="20"/>
          <w:szCs w:val="20"/>
          <w:lang w:val="es-ES"/>
        </w:rPr>
      </w:pPr>
      <w:r w:rsidRPr="005839F1">
        <w:rPr>
          <w:rStyle w:val="FootnoteReference"/>
        </w:rPr>
        <w:footnoteRef/>
      </w:r>
      <w:r w:rsidRPr="006026F8">
        <w:rPr>
          <w:lang w:val="es-ES"/>
        </w:rPr>
        <w:t xml:space="preserve"> </w:t>
      </w:r>
      <w:r w:rsidRPr="006026F8">
        <w:rPr>
          <w:sz w:val="20"/>
          <w:szCs w:val="20"/>
          <w:lang w:val="es-ES"/>
        </w:rPr>
        <w:t>UNEP/OzL.Pro/ExCom/91/11</w:t>
      </w:r>
    </w:p>
  </w:footnote>
  <w:footnote w:id="5">
    <w:p w14:paraId="70239005" w14:textId="77777777" w:rsidR="003C14F8" w:rsidRPr="006026F8" w:rsidRDefault="003C14F8" w:rsidP="003C14F8">
      <w:pPr>
        <w:pStyle w:val="FootnoteText"/>
        <w:rPr>
          <w:lang w:val="es-ES"/>
        </w:rPr>
      </w:pPr>
      <w:r w:rsidRPr="005839F1">
        <w:rPr>
          <w:rStyle w:val="FootnoteReference"/>
        </w:rPr>
        <w:footnoteRef/>
      </w:r>
      <w:r w:rsidRPr="006026F8">
        <w:rPr>
          <w:lang w:val="es-ES"/>
        </w:rPr>
        <w:t xml:space="preserve"> El saldo actual no utilizado es 53 459 $EUA. Cifras financieras definitivas disponibles al cierre del ejercicio 2022. </w:t>
      </w:r>
    </w:p>
  </w:footnote>
  <w:footnote w:id="6">
    <w:p w14:paraId="1F5908D4" w14:textId="77777777" w:rsidR="003C14F8" w:rsidRPr="005839F1" w:rsidRDefault="003C14F8" w:rsidP="003C14F8">
      <w:pPr>
        <w:pStyle w:val="Heading1"/>
        <w:numPr>
          <w:ilvl w:val="0"/>
          <w:numId w:val="0"/>
        </w:numPr>
        <w:spacing w:after="0"/>
        <w:rPr>
          <w:sz w:val="20"/>
          <w:szCs w:val="20"/>
        </w:rPr>
      </w:pPr>
      <w:r w:rsidRPr="005839F1">
        <w:rPr>
          <w:rStyle w:val="FootnoteReference"/>
          <w:sz w:val="20"/>
          <w:szCs w:val="20"/>
        </w:rPr>
        <w:footnoteRef/>
      </w:r>
      <w:r w:rsidRPr="005839F1">
        <w:rPr>
          <w:sz w:val="20"/>
          <w:szCs w:val="20"/>
        </w:rPr>
        <w:t xml:space="preserve"> UNEP/OzL.Pro/ExCom/91/11</w:t>
      </w:r>
    </w:p>
    <w:p w14:paraId="35B46DFB" w14:textId="77777777" w:rsidR="003C14F8" w:rsidRPr="00840027" w:rsidRDefault="003C14F8" w:rsidP="003C14F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2456" w14:textId="1F5F7361" w:rsidR="00DC6A10" w:rsidRPr="0033525D" w:rsidRDefault="009B248C">
    <w:r>
      <w:fldChar w:fldCharType="begin"/>
    </w:r>
    <w:r>
      <w:instrText xml:space="preserve"> DOCPROPERTY "Document number"  \* MERGEFORMAT </w:instrText>
    </w:r>
    <w:r>
      <w:fldChar w:fldCharType="separate"/>
    </w:r>
    <w:r w:rsidR="00191F54">
      <w:t>UNEP/</w:t>
    </w:r>
    <w:proofErr w:type="spellStart"/>
    <w:r w:rsidR="00191F54">
      <w:t>OzL.Pro</w:t>
    </w:r>
    <w:proofErr w:type="spellEnd"/>
    <w:r w:rsidR="00191F54">
      <w:t>/ExCom/91/10</w:t>
    </w:r>
    <w:r>
      <w:fldChar w:fldCharType="end"/>
    </w:r>
  </w:p>
  <w:p w14:paraId="41C7F1C0" w14:textId="77777777" w:rsidR="00DC6A10" w:rsidRPr="0033525D" w:rsidRDefault="00DC6A10"/>
  <w:p w14:paraId="2E922BE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516B" w14:textId="69766AFD" w:rsidR="00DC6A10" w:rsidRDefault="009B248C" w:rsidP="004D2BE8">
    <w:pPr>
      <w:jc w:val="right"/>
    </w:pPr>
    <w:r>
      <w:fldChar w:fldCharType="begin"/>
    </w:r>
    <w:r>
      <w:instrText xml:space="preserve"> DOCPROPERTY "Document number"  \* MERGEFORMAT </w:instrText>
    </w:r>
    <w:r>
      <w:fldChar w:fldCharType="separate"/>
    </w:r>
    <w:r w:rsidR="00191F54">
      <w:t>UNEP/</w:t>
    </w:r>
    <w:proofErr w:type="spellStart"/>
    <w:r w:rsidR="00191F54">
      <w:t>OzL.Pro</w:t>
    </w:r>
    <w:proofErr w:type="spellEnd"/>
    <w:r w:rsidR="00191F54">
      <w:t>/ExCom/91/10</w:t>
    </w:r>
    <w:r>
      <w:fldChar w:fldCharType="end"/>
    </w:r>
    <w:r w:rsidR="00D0519F">
      <w:t>10</w:t>
    </w:r>
  </w:p>
  <w:p w14:paraId="28A440BA" w14:textId="77777777" w:rsidR="00DC6A10" w:rsidRPr="0033525D" w:rsidRDefault="00DC6A10"/>
  <w:p w14:paraId="4053E4A8"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D8D0" w14:textId="77777777" w:rsidR="00615321" w:rsidRDefault="00615321">
    <w:pPr>
      <w:pStyle w:val="Header"/>
    </w:pPr>
  </w:p>
  <w:p w14:paraId="7E0C8737" w14:textId="5B596846" w:rsidR="00615321" w:rsidRDefault="00BF7078" w:rsidP="005D2EA2">
    <w:pPr>
      <w:jc w:val="right"/>
    </w:pPr>
    <w:r>
      <w:fldChar w:fldCharType="begin"/>
    </w:r>
    <w:r>
      <w:instrText xml:space="preserve"> DOCPROPERTY "Document number"  \* MERGEFORMAT </w:instrText>
    </w:r>
    <w:r>
      <w:fldChar w:fldCharType="separate"/>
    </w:r>
    <w:r w:rsidR="00191F54">
      <w:t>UNEP/</w:t>
    </w:r>
    <w:proofErr w:type="spellStart"/>
    <w:r w:rsidR="00191F54">
      <w:t>OzL.Pro</w:t>
    </w:r>
    <w:proofErr w:type="spellEnd"/>
    <w:r w:rsidR="00191F54">
      <w:t>/ExCom/91/10</w:t>
    </w:r>
    <w:r>
      <w:fldChar w:fldCharType="end"/>
    </w:r>
  </w:p>
  <w:p w14:paraId="41AC3926" w14:textId="33C2A932" w:rsidR="00615321" w:rsidRPr="0033525D" w:rsidRDefault="00615321" w:rsidP="005D2EA2">
    <w:pPr>
      <w:jc w:val="right"/>
    </w:pPr>
    <w:r>
      <w:t>Anex</w:t>
    </w:r>
    <w:r w:rsidR="00F74DB1">
      <w: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16"/>
  </w:num>
  <w:num w:numId="20" w16cid:durableId="1076512343">
    <w:abstractNumId w:val="12"/>
  </w:num>
  <w:num w:numId="21" w16cid:durableId="46295360">
    <w:abstractNumId w:val="13"/>
  </w:num>
  <w:num w:numId="22" w16cid:durableId="602344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2193107">
    <w:abstractNumId w:val="10"/>
  </w:num>
  <w:num w:numId="24" w16cid:durableId="1083067030">
    <w:abstractNumId w:val="10"/>
  </w:num>
  <w:num w:numId="25" w16cid:durableId="19424497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5B3CA3"/>
    <w:rsid w:val="00000FED"/>
    <w:rsid w:val="0000434E"/>
    <w:rsid w:val="00004C1F"/>
    <w:rsid w:val="00006819"/>
    <w:rsid w:val="00007771"/>
    <w:rsid w:val="00024F23"/>
    <w:rsid w:val="00027178"/>
    <w:rsid w:val="00030C43"/>
    <w:rsid w:val="00031260"/>
    <w:rsid w:val="0003681A"/>
    <w:rsid w:val="000410E2"/>
    <w:rsid w:val="000554FD"/>
    <w:rsid w:val="000557CF"/>
    <w:rsid w:val="000565EB"/>
    <w:rsid w:val="00065D34"/>
    <w:rsid w:val="00072B13"/>
    <w:rsid w:val="00080ED0"/>
    <w:rsid w:val="00081CB8"/>
    <w:rsid w:val="00085B8F"/>
    <w:rsid w:val="00087AFC"/>
    <w:rsid w:val="00090481"/>
    <w:rsid w:val="00091A22"/>
    <w:rsid w:val="00097AD1"/>
    <w:rsid w:val="000D21BA"/>
    <w:rsid w:val="000E046B"/>
    <w:rsid w:val="000E07BC"/>
    <w:rsid w:val="000F1CD4"/>
    <w:rsid w:val="000F4103"/>
    <w:rsid w:val="000F70A7"/>
    <w:rsid w:val="0010436E"/>
    <w:rsid w:val="001049B8"/>
    <w:rsid w:val="00107939"/>
    <w:rsid w:val="00116FCA"/>
    <w:rsid w:val="00121BE4"/>
    <w:rsid w:val="00123EA2"/>
    <w:rsid w:val="00134327"/>
    <w:rsid w:val="00135980"/>
    <w:rsid w:val="00140D56"/>
    <w:rsid w:val="00151262"/>
    <w:rsid w:val="00154357"/>
    <w:rsid w:val="00164719"/>
    <w:rsid w:val="00165C64"/>
    <w:rsid w:val="00166FC4"/>
    <w:rsid w:val="001677AC"/>
    <w:rsid w:val="00190A61"/>
    <w:rsid w:val="00191770"/>
    <w:rsid w:val="00191A43"/>
    <w:rsid w:val="00191F54"/>
    <w:rsid w:val="001A0C8D"/>
    <w:rsid w:val="001A113A"/>
    <w:rsid w:val="001A3342"/>
    <w:rsid w:val="001A3E3D"/>
    <w:rsid w:val="001A4B26"/>
    <w:rsid w:val="001A6BD5"/>
    <w:rsid w:val="001B1E40"/>
    <w:rsid w:val="001C764E"/>
    <w:rsid w:val="001C7AF3"/>
    <w:rsid w:val="001E1052"/>
    <w:rsid w:val="001E1377"/>
    <w:rsid w:val="001E21B1"/>
    <w:rsid w:val="001E2CEB"/>
    <w:rsid w:val="001E2F93"/>
    <w:rsid w:val="001E61E5"/>
    <w:rsid w:val="001F2159"/>
    <w:rsid w:val="00203CA8"/>
    <w:rsid w:val="002045DC"/>
    <w:rsid w:val="00226530"/>
    <w:rsid w:val="00227F4F"/>
    <w:rsid w:val="0024191C"/>
    <w:rsid w:val="00253222"/>
    <w:rsid w:val="0025334C"/>
    <w:rsid w:val="00262E06"/>
    <w:rsid w:val="00272442"/>
    <w:rsid w:val="00275FC0"/>
    <w:rsid w:val="0028459B"/>
    <w:rsid w:val="00291880"/>
    <w:rsid w:val="002B0352"/>
    <w:rsid w:val="002B72E9"/>
    <w:rsid w:val="002C02FC"/>
    <w:rsid w:val="002E1D44"/>
    <w:rsid w:val="002F6E3D"/>
    <w:rsid w:val="002F706D"/>
    <w:rsid w:val="0030065C"/>
    <w:rsid w:val="00311465"/>
    <w:rsid w:val="003125CC"/>
    <w:rsid w:val="003179E6"/>
    <w:rsid w:val="00322503"/>
    <w:rsid w:val="00322CC3"/>
    <w:rsid w:val="003246ED"/>
    <w:rsid w:val="003306E1"/>
    <w:rsid w:val="003309D2"/>
    <w:rsid w:val="003320E4"/>
    <w:rsid w:val="0033525D"/>
    <w:rsid w:val="003414F3"/>
    <w:rsid w:val="00350548"/>
    <w:rsid w:val="00352838"/>
    <w:rsid w:val="0035338E"/>
    <w:rsid w:val="003552C7"/>
    <w:rsid w:val="0035613E"/>
    <w:rsid w:val="003620AD"/>
    <w:rsid w:val="003631E0"/>
    <w:rsid w:val="00363EE9"/>
    <w:rsid w:val="0037579C"/>
    <w:rsid w:val="00376128"/>
    <w:rsid w:val="0037742E"/>
    <w:rsid w:val="0038245A"/>
    <w:rsid w:val="003907A6"/>
    <w:rsid w:val="0039337A"/>
    <w:rsid w:val="00396605"/>
    <w:rsid w:val="003A3189"/>
    <w:rsid w:val="003B3973"/>
    <w:rsid w:val="003B3AB8"/>
    <w:rsid w:val="003B569D"/>
    <w:rsid w:val="003C14F8"/>
    <w:rsid w:val="003C3C0E"/>
    <w:rsid w:val="003C7D6B"/>
    <w:rsid w:val="003D44D6"/>
    <w:rsid w:val="003D4FAC"/>
    <w:rsid w:val="003D6F6F"/>
    <w:rsid w:val="003E6078"/>
    <w:rsid w:val="003E6EBD"/>
    <w:rsid w:val="003E7906"/>
    <w:rsid w:val="003F2C75"/>
    <w:rsid w:val="003F3C50"/>
    <w:rsid w:val="0040042A"/>
    <w:rsid w:val="0040529C"/>
    <w:rsid w:val="00406A6A"/>
    <w:rsid w:val="00406B22"/>
    <w:rsid w:val="00422A60"/>
    <w:rsid w:val="0042496B"/>
    <w:rsid w:val="00432279"/>
    <w:rsid w:val="004328A7"/>
    <w:rsid w:val="00434C74"/>
    <w:rsid w:val="00443066"/>
    <w:rsid w:val="00446A2A"/>
    <w:rsid w:val="00450AA6"/>
    <w:rsid w:val="00456EB4"/>
    <w:rsid w:val="00470584"/>
    <w:rsid w:val="004718F3"/>
    <w:rsid w:val="00475040"/>
    <w:rsid w:val="00487760"/>
    <w:rsid w:val="00492AC9"/>
    <w:rsid w:val="004934A2"/>
    <w:rsid w:val="00493D40"/>
    <w:rsid w:val="00496F5C"/>
    <w:rsid w:val="004A504B"/>
    <w:rsid w:val="004A6911"/>
    <w:rsid w:val="004B54E0"/>
    <w:rsid w:val="004B7384"/>
    <w:rsid w:val="004C4269"/>
    <w:rsid w:val="004D2BE8"/>
    <w:rsid w:val="004D2D5F"/>
    <w:rsid w:val="004D6236"/>
    <w:rsid w:val="004D7C74"/>
    <w:rsid w:val="004E2F62"/>
    <w:rsid w:val="004E4C07"/>
    <w:rsid w:val="004E4DBB"/>
    <w:rsid w:val="004E76D9"/>
    <w:rsid w:val="004E7F9C"/>
    <w:rsid w:val="004F3493"/>
    <w:rsid w:val="00504E49"/>
    <w:rsid w:val="00512B09"/>
    <w:rsid w:val="00513FD5"/>
    <w:rsid w:val="00525500"/>
    <w:rsid w:val="00526FC1"/>
    <w:rsid w:val="005333A8"/>
    <w:rsid w:val="0055311C"/>
    <w:rsid w:val="00555D75"/>
    <w:rsid w:val="00556D5E"/>
    <w:rsid w:val="00560DF0"/>
    <w:rsid w:val="00571CBD"/>
    <w:rsid w:val="00580342"/>
    <w:rsid w:val="005814EB"/>
    <w:rsid w:val="005830D3"/>
    <w:rsid w:val="005839F1"/>
    <w:rsid w:val="00583C68"/>
    <w:rsid w:val="005930D0"/>
    <w:rsid w:val="00594B17"/>
    <w:rsid w:val="005A68C5"/>
    <w:rsid w:val="005B3CA3"/>
    <w:rsid w:val="005B48FF"/>
    <w:rsid w:val="005C0ECA"/>
    <w:rsid w:val="005C7A40"/>
    <w:rsid w:val="005D2EA2"/>
    <w:rsid w:val="005E0B2F"/>
    <w:rsid w:val="00600A67"/>
    <w:rsid w:val="00600E51"/>
    <w:rsid w:val="00601141"/>
    <w:rsid w:val="006012A7"/>
    <w:rsid w:val="006141C1"/>
    <w:rsid w:val="00615321"/>
    <w:rsid w:val="006158D5"/>
    <w:rsid w:val="00621701"/>
    <w:rsid w:val="00625D83"/>
    <w:rsid w:val="00643292"/>
    <w:rsid w:val="0064329E"/>
    <w:rsid w:val="00645B89"/>
    <w:rsid w:val="006623E7"/>
    <w:rsid w:val="00662B80"/>
    <w:rsid w:val="00666D86"/>
    <w:rsid w:val="00674223"/>
    <w:rsid w:val="006852C7"/>
    <w:rsid w:val="00687328"/>
    <w:rsid w:val="006A202E"/>
    <w:rsid w:val="006A7948"/>
    <w:rsid w:val="006B3B24"/>
    <w:rsid w:val="006C1727"/>
    <w:rsid w:val="006C32FD"/>
    <w:rsid w:val="006C6CDF"/>
    <w:rsid w:val="006D0A1A"/>
    <w:rsid w:val="006D0FCC"/>
    <w:rsid w:val="006D1045"/>
    <w:rsid w:val="006D1C6F"/>
    <w:rsid w:val="006D4F01"/>
    <w:rsid w:val="006E0D57"/>
    <w:rsid w:val="006F6061"/>
    <w:rsid w:val="006F791C"/>
    <w:rsid w:val="006F7E21"/>
    <w:rsid w:val="007038F9"/>
    <w:rsid w:val="0070616B"/>
    <w:rsid w:val="00706FDA"/>
    <w:rsid w:val="0070778A"/>
    <w:rsid w:val="00711F9A"/>
    <w:rsid w:val="00713810"/>
    <w:rsid w:val="00713C34"/>
    <w:rsid w:val="007303A5"/>
    <w:rsid w:val="00730B3E"/>
    <w:rsid w:val="0073420B"/>
    <w:rsid w:val="007357BE"/>
    <w:rsid w:val="0074760E"/>
    <w:rsid w:val="00754ABA"/>
    <w:rsid w:val="00760837"/>
    <w:rsid w:val="00760F9F"/>
    <w:rsid w:val="007715DA"/>
    <w:rsid w:val="00772373"/>
    <w:rsid w:val="007839EF"/>
    <w:rsid w:val="00787A38"/>
    <w:rsid w:val="007A1546"/>
    <w:rsid w:val="007A228C"/>
    <w:rsid w:val="007A368E"/>
    <w:rsid w:val="007A5868"/>
    <w:rsid w:val="007B04CE"/>
    <w:rsid w:val="007B3D87"/>
    <w:rsid w:val="007B598C"/>
    <w:rsid w:val="007B6871"/>
    <w:rsid w:val="007B702B"/>
    <w:rsid w:val="007C1C13"/>
    <w:rsid w:val="007C3D33"/>
    <w:rsid w:val="007C4332"/>
    <w:rsid w:val="007D1EFF"/>
    <w:rsid w:val="007D294A"/>
    <w:rsid w:val="007D47D2"/>
    <w:rsid w:val="007D6EC0"/>
    <w:rsid w:val="007D7E1D"/>
    <w:rsid w:val="007F1DBE"/>
    <w:rsid w:val="007F616E"/>
    <w:rsid w:val="007F66B2"/>
    <w:rsid w:val="008063BA"/>
    <w:rsid w:val="00807A67"/>
    <w:rsid w:val="0081133E"/>
    <w:rsid w:val="00812736"/>
    <w:rsid w:val="00813B1D"/>
    <w:rsid w:val="00813CD0"/>
    <w:rsid w:val="00840027"/>
    <w:rsid w:val="00863230"/>
    <w:rsid w:val="0086519E"/>
    <w:rsid w:val="008658C1"/>
    <w:rsid w:val="008717D8"/>
    <w:rsid w:val="0087215C"/>
    <w:rsid w:val="0087271E"/>
    <w:rsid w:val="00873012"/>
    <w:rsid w:val="008875FE"/>
    <w:rsid w:val="00887F8E"/>
    <w:rsid w:val="00896234"/>
    <w:rsid w:val="00896265"/>
    <w:rsid w:val="00897E43"/>
    <w:rsid w:val="008A0948"/>
    <w:rsid w:val="008C4731"/>
    <w:rsid w:val="008C5738"/>
    <w:rsid w:val="008C736A"/>
    <w:rsid w:val="008C7EAD"/>
    <w:rsid w:val="008D500A"/>
    <w:rsid w:val="008D6152"/>
    <w:rsid w:val="008F0F81"/>
    <w:rsid w:val="0090295B"/>
    <w:rsid w:val="00921064"/>
    <w:rsid w:val="00923540"/>
    <w:rsid w:val="00923669"/>
    <w:rsid w:val="009243A4"/>
    <w:rsid w:val="00924B26"/>
    <w:rsid w:val="0092637C"/>
    <w:rsid w:val="0092648F"/>
    <w:rsid w:val="00926767"/>
    <w:rsid w:val="009273BE"/>
    <w:rsid w:val="00927701"/>
    <w:rsid w:val="00931D86"/>
    <w:rsid w:val="009361D5"/>
    <w:rsid w:val="00943014"/>
    <w:rsid w:val="0094377F"/>
    <w:rsid w:val="00952A41"/>
    <w:rsid w:val="009659F4"/>
    <w:rsid w:val="00970D60"/>
    <w:rsid w:val="00973E55"/>
    <w:rsid w:val="0098608C"/>
    <w:rsid w:val="00992314"/>
    <w:rsid w:val="00996B96"/>
    <w:rsid w:val="009A00AC"/>
    <w:rsid w:val="009A0D08"/>
    <w:rsid w:val="009A0F90"/>
    <w:rsid w:val="009A1FBA"/>
    <w:rsid w:val="009A643C"/>
    <w:rsid w:val="009A7ADC"/>
    <w:rsid w:val="009B1CB9"/>
    <w:rsid w:val="009B248C"/>
    <w:rsid w:val="009B3A23"/>
    <w:rsid w:val="009C19B7"/>
    <w:rsid w:val="009C401F"/>
    <w:rsid w:val="009D5752"/>
    <w:rsid w:val="009D7C51"/>
    <w:rsid w:val="009E1323"/>
    <w:rsid w:val="009E59CE"/>
    <w:rsid w:val="009F36BF"/>
    <w:rsid w:val="009F6706"/>
    <w:rsid w:val="009F7952"/>
    <w:rsid w:val="00A06DC9"/>
    <w:rsid w:val="00A111B6"/>
    <w:rsid w:val="00A14CA4"/>
    <w:rsid w:val="00A22065"/>
    <w:rsid w:val="00A333EE"/>
    <w:rsid w:val="00A36091"/>
    <w:rsid w:val="00A42A99"/>
    <w:rsid w:val="00A47530"/>
    <w:rsid w:val="00A5151A"/>
    <w:rsid w:val="00A52FA0"/>
    <w:rsid w:val="00A72D4F"/>
    <w:rsid w:val="00A76FB3"/>
    <w:rsid w:val="00A80DF0"/>
    <w:rsid w:val="00A823F6"/>
    <w:rsid w:val="00A852F9"/>
    <w:rsid w:val="00A872B4"/>
    <w:rsid w:val="00A924D8"/>
    <w:rsid w:val="00A92663"/>
    <w:rsid w:val="00AA0A89"/>
    <w:rsid w:val="00AA245A"/>
    <w:rsid w:val="00AA4C4E"/>
    <w:rsid w:val="00AA6448"/>
    <w:rsid w:val="00AB7364"/>
    <w:rsid w:val="00AC01AA"/>
    <w:rsid w:val="00AC2317"/>
    <w:rsid w:val="00AC3935"/>
    <w:rsid w:val="00AC4F72"/>
    <w:rsid w:val="00AC6A2A"/>
    <w:rsid w:val="00AD50AA"/>
    <w:rsid w:val="00AD7F9D"/>
    <w:rsid w:val="00AE4065"/>
    <w:rsid w:val="00AF741A"/>
    <w:rsid w:val="00B00AC8"/>
    <w:rsid w:val="00B04161"/>
    <w:rsid w:val="00B056F9"/>
    <w:rsid w:val="00B10BA2"/>
    <w:rsid w:val="00B11E3D"/>
    <w:rsid w:val="00B130EF"/>
    <w:rsid w:val="00B13355"/>
    <w:rsid w:val="00B16C78"/>
    <w:rsid w:val="00B17E82"/>
    <w:rsid w:val="00B27D25"/>
    <w:rsid w:val="00B35A99"/>
    <w:rsid w:val="00B444D6"/>
    <w:rsid w:val="00B55263"/>
    <w:rsid w:val="00B575BA"/>
    <w:rsid w:val="00B65B16"/>
    <w:rsid w:val="00B67711"/>
    <w:rsid w:val="00B76429"/>
    <w:rsid w:val="00B84E8E"/>
    <w:rsid w:val="00B8617C"/>
    <w:rsid w:val="00B86702"/>
    <w:rsid w:val="00B87FD8"/>
    <w:rsid w:val="00B956D4"/>
    <w:rsid w:val="00BA0D38"/>
    <w:rsid w:val="00BA260B"/>
    <w:rsid w:val="00BA45F0"/>
    <w:rsid w:val="00BA7432"/>
    <w:rsid w:val="00BA7BEF"/>
    <w:rsid w:val="00BB33FC"/>
    <w:rsid w:val="00BB55EE"/>
    <w:rsid w:val="00BC085A"/>
    <w:rsid w:val="00BC1AA0"/>
    <w:rsid w:val="00BC7EB9"/>
    <w:rsid w:val="00BD2643"/>
    <w:rsid w:val="00BD42C2"/>
    <w:rsid w:val="00BD4F1F"/>
    <w:rsid w:val="00BD5299"/>
    <w:rsid w:val="00BD6558"/>
    <w:rsid w:val="00BD6F6E"/>
    <w:rsid w:val="00BE08BF"/>
    <w:rsid w:val="00BE3BAF"/>
    <w:rsid w:val="00BE6BD5"/>
    <w:rsid w:val="00BF3214"/>
    <w:rsid w:val="00BF3BF3"/>
    <w:rsid w:val="00BF7078"/>
    <w:rsid w:val="00C07B3E"/>
    <w:rsid w:val="00C15867"/>
    <w:rsid w:val="00C2296D"/>
    <w:rsid w:val="00C23155"/>
    <w:rsid w:val="00C40C41"/>
    <w:rsid w:val="00C42115"/>
    <w:rsid w:val="00C43175"/>
    <w:rsid w:val="00C45885"/>
    <w:rsid w:val="00C50F22"/>
    <w:rsid w:val="00C53CD6"/>
    <w:rsid w:val="00C57971"/>
    <w:rsid w:val="00C57C25"/>
    <w:rsid w:val="00C63350"/>
    <w:rsid w:val="00C76BA4"/>
    <w:rsid w:val="00C83A48"/>
    <w:rsid w:val="00C85865"/>
    <w:rsid w:val="00C85E85"/>
    <w:rsid w:val="00CA2EAE"/>
    <w:rsid w:val="00CA40CF"/>
    <w:rsid w:val="00CA4AC1"/>
    <w:rsid w:val="00CA5812"/>
    <w:rsid w:val="00CB0316"/>
    <w:rsid w:val="00CB0B11"/>
    <w:rsid w:val="00CB5354"/>
    <w:rsid w:val="00CC29BA"/>
    <w:rsid w:val="00CC6A14"/>
    <w:rsid w:val="00CC6E10"/>
    <w:rsid w:val="00CC70A3"/>
    <w:rsid w:val="00CD2D6B"/>
    <w:rsid w:val="00CD3435"/>
    <w:rsid w:val="00CD53C3"/>
    <w:rsid w:val="00CD574E"/>
    <w:rsid w:val="00CE4C22"/>
    <w:rsid w:val="00CF3868"/>
    <w:rsid w:val="00CF41EC"/>
    <w:rsid w:val="00CF5D04"/>
    <w:rsid w:val="00D039B1"/>
    <w:rsid w:val="00D04DE4"/>
    <w:rsid w:val="00D0519F"/>
    <w:rsid w:val="00D0563C"/>
    <w:rsid w:val="00D063F1"/>
    <w:rsid w:val="00D128AE"/>
    <w:rsid w:val="00D13CC3"/>
    <w:rsid w:val="00D14F22"/>
    <w:rsid w:val="00D24723"/>
    <w:rsid w:val="00D36B4C"/>
    <w:rsid w:val="00D42237"/>
    <w:rsid w:val="00D43F74"/>
    <w:rsid w:val="00D4718A"/>
    <w:rsid w:val="00D50D20"/>
    <w:rsid w:val="00D50E7D"/>
    <w:rsid w:val="00D57918"/>
    <w:rsid w:val="00D620FF"/>
    <w:rsid w:val="00D731B5"/>
    <w:rsid w:val="00D73DC6"/>
    <w:rsid w:val="00D74C1A"/>
    <w:rsid w:val="00D74DAE"/>
    <w:rsid w:val="00D75205"/>
    <w:rsid w:val="00D754C1"/>
    <w:rsid w:val="00D77A35"/>
    <w:rsid w:val="00D81436"/>
    <w:rsid w:val="00D81B3E"/>
    <w:rsid w:val="00D87DAE"/>
    <w:rsid w:val="00D90C70"/>
    <w:rsid w:val="00D90E49"/>
    <w:rsid w:val="00D95EE0"/>
    <w:rsid w:val="00DA166F"/>
    <w:rsid w:val="00DA75B8"/>
    <w:rsid w:val="00DB49B9"/>
    <w:rsid w:val="00DC44D3"/>
    <w:rsid w:val="00DC6A10"/>
    <w:rsid w:val="00DC7054"/>
    <w:rsid w:val="00DD3BD8"/>
    <w:rsid w:val="00DE13F5"/>
    <w:rsid w:val="00DE1D5E"/>
    <w:rsid w:val="00DE3F39"/>
    <w:rsid w:val="00DE657E"/>
    <w:rsid w:val="00DF191E"/>
    <w:rsid w:val="00DF4704"/>
    <w:rsid w:val="00E024AA"/>
    <w:rsid w:val="00E06673"/>
    <w:rsid w:val="00E125FB"/>
    <w:rsid w:val="00E15EEB"/>
    <w:rsid w:val="00E16D12"/>
    <w:rsid w:val="00E172CB"/>
    <w:rsid w:val="00E212A4"/>
    <w:rsid w:val="00E250F1"/>
    <w:rsid w:val="00E3550D"/>
    <w:rsid w:val="00E45D96"/>
    <w:rsid w:val="00E50035"/>
    <w:rsid w:val="00E54899"/>
    <w:rsid w:val="00E614E0"/>
    <w:rsid w:val="00E620C1"/>
    <w:rsid w:val="00E72900"/>
    <w:rsid w:val="00E73F7F"/>
    <w:rsid w:val="00E8579D"/>
    <w:rsid w:val="00EA0C45"/>
    <w:rsid w:val="00EA2887"/>
    <w:rsid w:val="00EA38EC"/>
    <w:rsid w:val="00EA429F"/>
    <w:rsid w:val="00EA4F9E"/>
    <w:rsid w:val="00EA6D3B"/>
    <w:rsid w:val="00EB00AD"/>
    <w:rsid w:val="00EB03E7"/>
    <w:rsid w:val="00EB136C"/>
    <w:rsid w:val="00EB480E"/>
    <w:rsid w:val="00EB5EC6"/>
    <w:rsid w:val="00EB7FC9"/>
    <w:rsid w:val="00EC310A"/>
    <w:rsid w:val="00EC3333"/>
    <w:rsid w:val="00EC4DD3"/>
    <w:rsid w:val="00EC61BC"/>
    <w:rsid w:val="00ED7137"/>
    <w:rsid w:val="00EE28EF"/>
    <w:rsid w:val="00EF65CE"/>
    <w:rsid w:val="00EF7E7B"/>
    <w:rsid w:val="00F01259"/>
    <w:rsid w:val="00F036EB"/>
    <w:rsid w:val="00F04EEC"/>
    <w:rsid w:val="00F11A72"/>
    <w:rsid w:val="00F1248E"/>
    <w:rsid w:val="00F17E5C"/>
    <w:rsid w:val="00F21088"/>
    <w:rsid w:val="00F2351E"/>
    <w:rsid w:val="00F255EE"/>
    <w:rsid w:val="00F327E7"/>
    <w:rsid w:val="00F32A5F"/>
    <w:rsid w:val="00F35746"/>
    <w:rsid w:val="00F36371"/>
    <w:rsid w:val="00F41047"/>
    <w:rsid w:val="00F447C7"/>
    <w:rsid w:val="00F52960"/>
    <w:rsid w:val="00F554A9"/>
    <w:rsid w:val="00F716FD"/>
    <w:rsid w:val="00F721B6"/>
    <w:rsid w:val="00F74DB1"/>
    <w:rsid w:val="00F777BA"/>
    <w:rsid w:val="00F80355"/>
    <w:rsid w:val="00F82E18"/>
    <w:rsid w:val="00FA31C1"/>
    <w:rsid w:val="00FA726D"/>
    <w:rsid w:val="00FB0C81"/>
    <w:rsid w:val="00FB5A89"/>
    <w:rsid w:val="00FC2200"/>
    <w:rsid w:val="00FC2540"/>
    <w:rsid w:val="00FE26C1"/>
    <w:rsid w:val="00FE3364"/>
    <w:rsid w:val="00FE4C43"/>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F7EB"/>
  <w15:docId w15:val="{2E125C58-6E2B-495E-AA14-C40F00DA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F6061"/>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F6061"/>
    <w:rPr>
      <w:vertAlign w:val="superscript"/>
    </w:rPr>
  </w:style>
  <w:style w:type="character" w:customStyle="1" w:styleId="Style2">
    <w:name w:val="Style 2"/>
    <w:basedOn w:val="DefaultParagraphFont"/>
    <w:qFormat/>
    <w:rsid w:val="009E1323"/>
    <w:rPr>
      <w:rFonts w:ascii="Times New Roman" w:hAnsi="Times New Roman"/>
      <w:caps w:val="0"/>
      <w:smallCaps w:val="0"/>
      <w:strike w:val="0"/>
      <w:dstrike w:val="0"/>
      <w:vanish w:val="0"/>
      <w:sz w:val="22"/>
      <w:u w:val="single"/>
      <w:vertAlign w:val="baseline"/>
    </w:rPr>
  </w:style>
  <w:style w:type="paragraph" w:customStyle="1" w:styleId="StyleBold">
    <w:name w:val="Style Bold"/>
    <w:basedOn w:val="Normal"/>
    <w:link w:val="StyleBoldChar"/>
    <w:qFormat/>
    <w:rsid w:val="009E1323"/>
    <w:pPr>
      <w:spacing w:after="240"/>
    </w:pPr>
    <w:rPr>
      <w:b/>
      <w:bCs/>
      <w:szCs w:val="20"/>
    </w:rPr>
  </w:style>
  <w:style w:type="character" w:customStyle="1" w:styleId="StyleBoldChar">
    <w:name w:val="Style Bold Char"/>
    <w:basedOn w:val="DefaultParagraphFont"/>
    <w:link w:val="StyleBold"/>
    <w:rsid w:val="009E1323"/>
    <w:rPr>
      <w:b/>
      <w:bCs/>
      <w:sz w:val="22"/>
      <w:lang w:val="en-CA"/>
    </w:rPr>
  </w:style>
  <w:style w:type="paragraph" w:styleId="ListParagraph">
    <w:name w:val="List Paragraph"/>
    <w:basedOn w:val="Normal"/>
    <w:uiPriority w:val="34"/>
    <w:qFormat/>
    <w:rsid w:val="00D95EE0"/>
    <w:pPr>
      <w:ind w:left="720"/>
      <w:contextualSpacing/>
    </w:pPr>
  </w:style>
  <w:style w:type="paragraph" w:styleId="Revision">
    <w:name w:val="Revision"/>
    <w:hidden/>
    <w:uiPriority w:val="99"/>
    <w:semiHidden/>
    <w:rsid w:val="00873012"/>
    <w:rPr>
      <w:sz w:val="22"/>
      <w:szCs w:val="22"/>
      <w:lang w:val="en-CA"/>
    </w:rPr>
  </w:style>
  <w:style w:type="character" w:customStyle="1" w:styleId="HeaderChar">
    <w:name w:val="Header Char"/>
    <w:basedOn w:val="DefaultParagraphFont"/>
    <w:link w:val="Header"/>
    <w:uiPriority w:val="99"/>
    <w:rsid w:val="003E6078"/>
    <w:rPr>
      <w:sz w:val="22"/>
      <w:szCs w:val="22"/>
      <w:lang w:val="en-CA"/>
    </w:rPr>
  </w:style>
  <w:style w:type="character" w:customStyle="1" w:styleId="FooterChar">
    <w:name w:val="Footer Char"/>
    <w:basedOn w:val="DefaultParagraphFont"/>
    <w:link w:val="Footer"/>
    <w:uiPriority w:val="99"/>
    <w:rsid w:val="00B27D25"/>
    <w:rPr>
      <w:sz w:val="22"/>
      <w:szCs w:val="22"/>
      <w:lang w:val="en-CA"/>
    </w:rPr>
  </w:style>
  <w:style w:type="paragraph" w:styleId="EndnoteText">
    <w:name w:val="endnote text"/>
    <w:basedOn w:val="Normal"/>
    <w:link w:val="EndnoteTextChar"/>
    <w:uiPriority w:val="99"/>
    <w:semiHidden/>
    <w:unhideWhenUsed/>
    <w:rsid w:val="00AA245A"/>
    <w:rPr>
      <w:sz w:val="20"/>
      <w:szCs w:val="20"/>
    </w:rPr>
  </w:style>
  <w:style w:type="character" w:customStyle="1" w:styleId="EndnoteTextChar">
    <w:name w:val="Endnote Text Char"/>
    <w:basedOn w:val="DefaultParagraphFont"/>
    <w:link w:val="EndnoteText"/>
    <w:uiPriority w:val="99"/>
    <w:semiHidden/>
    <w:rsid w:val="00AA245A"/>
    <w:rPr>
      <w:lang w:val="en-CA"/>
    </w:rPr>
  </w:style>
  <w:style w:type="character" w:styleId="EndnoteReference">
    <w:name w:val="endnote reference"/>
    <w:basedOn w:val="DefaultParagraphFont"/>
    <w:uiPriority w:val="99"/>
    <w:semiHidden/>
    <w:unhideWhenUsed/>
    <w:rsid w:val="00AA24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4194">
      <w:bodyDiv w:val="1"/>
      <w:marLeft w:val="0"/>
      <w:marRight w:val="0"/>
      <w:marTop w:val="0"/>
      <w:marBottom w:val="0"/>
      <w:divBdr>
        <w:top w:val="none" w:sz="0" w:space="0" w:color="auto"/>
        <w:left w:val="none" w:sz="0" w:space="0" w:color="auto"/>
        <w:bottom w:val="none" w:sz="0" w:space="0" w:color="auto"/>
        <w:right w:val="none" w:sz="0" w:space="0" w:color="auto"/>
      </w:divBdr>
    </w:div>
    <w:div w:id="32532939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36797363445147AD6A46895D2A2FE9" ma:contentTypeVersion="5" ma:contentTypeDescription="Create a new document." ma:contentTypeScope="" ma:versionID="02eb1a1f745a1d2a39a332244223c13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81F7EFF-60FE-47A0-B9C3-2F75D870BD18}"/>
</file>

<file path=customXml/itemProps2.xml><?xml version="1.0" encoding="utf-8"?>
<ds:datastoreItem xmlns:ds="http://schemas.openxmlformats.org/officeDocument/2006/customXml" ds:itemID="{DA81E60F-B8F5-41F7-B786-3C048B7E1234}"/>
</file>

<file path=customXml/itemProps3.xml><?xml version="1.0" encoding="utf-8"?>
<ds:datastoreItem xmlns:ds="http://schemas.openxmlformats.org/officeDocument/2006/customXml" ds:itemID="{A51C3989-2EDE-4D47-91BF-7B12BD9A573A}"/>
</file>

<file path=customXml/itemProps4.xml><?xml version="1.0" encoding="utf-8"?>
<ds:datastoreItem xmlns:ds="http://schemas.openxmlformats.org/officeDocument/2006/customXml" ds:itemID="{4B7FFAD1-61E4-4D3E-98E9-BB4899223D2A}"/>
</file>

<file path=docProps/app.xml><?xml version="1.0" encoding="utf-8"?>
<Properties xmlns="http://schemas.openxmlformats.org/officeDocument/2006/extended-properties" xmlns:vt="http://schemas.openxmlformats.org/officeDocument/2006/docPropsVTypes">
  <Template>Normal</Template>
  <TotalTime>1</TotalTime>
  <Pages>3</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Actualización sobre la situación de la segunda fase de la evaluación de las redes regionales de oficiales nacionales del ozono</vt:lpstr>
    </vt:vector>
  </TitlesOfParts>
  <Company>UNMFS</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la situación de la segunda fase de la evaluación de las redes regionales de oficiales nacionales del ozono          .</dc:title>
  <dc:creator>SMEO</dc:creator>
  <cp:lastModifiedBy>HBE</cp:lastModifiedBy>
  <cp:revision>3</cp:revision>
  <cp:lastPrinted>2022-11-11T08:39:00Z</cp:lastPrinted>
  <dcterms:created xsi:type="dcterms:W3CDTF">2022-11-07T16:47:00Z</dcterms:created>
  <dcterms:modified xsi:type="dcterms:W3CDTF">2022-11-20T21:05:00Z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UNEP/OzL.Pro/ExCom/91/10</vt:lpwstr>
  </property>
  <property fmtid="{D5CDD505-2E9C-101B-9397-08002B2CF9AE}" pid="3" name="Revision date">
    <vt:lpwstr>11/10/2022</vt:lpwstr>
  </property>
  <property fmtid="{D5CDD505-2E9C-101B-9397-08002B2CF9AE}" pid="4" name="GrammarlyDocumentId">
    <vt:lpwstr>840561e11b704c61189afeb4ff6beece031e20b70abf1a82329b0030ed93fbc7</vt:lpwstr>
  </property>
  <property fmtid="{D5CDD505-2E9C-101B-9397-08002B2CF9AE}" pid="5" name="ContentTypeId">
    <vt:lpwstr>0x0101007036797363445147AD6A46895D2A2FE9</vt:lpwstr>
  </property>
</Properties>
</file>