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5D2A33A7" w14:textId="77777777" w:rsidTr="008E4CC8">
        <w:trPr>
          <w:trHeight w:val="720"/>
        </w:trPr>
        <w:tc>
          <w:tcPr>
            <w:tcW w:w="5922" w:type="dxa"/>
            <w:gridSpan w:val="2"/>
            <w:tcBorders>
              <w:bottom w:val="single" w:sz="18" w:space="0" w:color="auto"/>
            </w:tcBorders>
          </w:tcPr>
          <w:p w14:paraId="7D7BFBF6"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87E0587"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5A6DAF2"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FC3E05" w14:paraId="7BD9607C" w14:textId="77777777" w:rsidTr="00586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52" w:type="dxa"/>
            <w:tcBorders>
              <w:top w:val="nil"/>
              <w:left w:val="nil"/>
              <w:bottom w:val="single" w:sz="36" w:space="0" w:color="auto"/>
              <w:right w:val="nil"/>
            </w:tcBorders>
          </w:tcPr>
          <w:p w14:paraId="370C8148"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342186DD" wp14:editId="38F1FD67">
                  <wp:simplePos x="0" y="0"/>
                  <wp:positionH relativeFrom="column">
                    <wp:posOffset>65405</wp:posOffset>
                  </wp:positionH>
                  <wp:positionV relativeFrom="paragraph">
                    <wp:posOffset>812800</wp:posOffset>
                  </wp:positionV>
                  <wp:extent cx="747281" cy="659765"/>
                  <wp:effectExtent l="0" t="0" r="0" b="6985"/>
                  <wp:wrapNone/>
                  <wp:docPr id="2" name="Picture 2" descr="P5C3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5C3T1#y2"/>
                          <pic:cNvPicPr>
                            <a:picLocks noChangeAspect="1" noChangeArrowheads="1"/>
                          </pic:cNvPicPr>
                        </pic:nvPicPr>
                        <pic:blipFill>
                          <a:blip r:embed="rId11" cstate="print"/>
                          <a:srcRect/>
                          <a:stretch>
                            <a:fillRect/>
                          </a:stretch>
                        </pic:blipFill>
                        <pic:spPr bwMode="auto">
                          <a:xfrm>
                            <a:off x="0" y="0"/>
                            <a:ext cx="747281" cy="6597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3230A55" wp14:editId="22873B13">
                  <wp:simplePos x="0" y="0"/>
                  <wp:positionH relativeFrom="column">
                    <wp:posOffset>51361</wp:posOffset>
                  </wp:positionH>
                  <wp:positionV relativeFrom="paragraph">
                    <wp:posOffset>105311</wp:posOffset>
                  </wp:positionV>
                  <wp:extent cx="771401" cy="675640"/>
                  <wp:effectExtent l="0" t="0" r="0" b="0"/>
                  <wp:wrapNone/>
                  <wp:docPr id="3" name="Picture 3" descr="P5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5C3T1#y1"/>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5C88B6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9991655"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0FA96F7" w14:textId="77777777" w:rsidR="00103AB1" w:rsidRDefault="00103AB1" w:rsidP="00AA523A">
            <w:pPr>
              <w:rPr>
                <w:rFonts w:ascii="Univers" w:hAnsi="Univers"/>
                <w:b/>
                <w:sz w:val="32"/>
                <w:lang w:val="fr-CA"/>
              </w:rPr>
            </w:pPr>
            <w:r>
              <w:rPr>
                <w:rFonts w:ascii="Univers" w:hAnsi="Univers"/>
                <w:b/>
                <w:sz w:val="32"/>
                <w:lang w:val="fr-CA"/>
              </w:rPr>
              <w:t>Nations Unies pour</w:t>
            </w:r>
          </w:p>
          <w:p w14:paraId="587E64A2"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3E79211" w14:textId="77777777" w:rsidR="00103AB1" w:rsidRDefault="00103AB1" w:rsidP="00AA523A">
            <w:pPr>
              <w:rPr>
                <w:lang w:val="fr-FR"/>
              </w:rPr>
            </w:pPr>
          </w:p>
          <w:p w14:paraId="65DB4946" w14:textId="77777777" w:rsidR="00103AB1" w:rsidRPr="00DD3433" w:rsidRDefault="00103AB1" w:rsidP="00AA523A">
            <w:pPr>
              <w:rPr>
                <w:lang w:val="fr-FR"/>
              </w:rPr>
            </w:pPr>
            <w:r w:rsidRPr="00DD3433">
              <w:rPr>
                <w:lang w:val="fr-FR"/>
              </w:rPr>
              <w:t>Distr.</w:t>
            </w:r>
          </w:p>
          <w:p w14:paraId="2896FDFD" w14:textId="77777777" w:rsidR="00103AB1" w:rsidRPr="00DD3433" w:rsidRDefault="00103AB1" w:rsidP="00AA523A">
            <w:pPr>
              <w:rPr>
                <w:lang w:val="fr-FR"/>
              </w:rPr>
            </w:pPr>
            <w:r w:rsidRPr="00DD3433">
              <w:rPr>
                <w:lang w:val="fr-FR"/>
              </w:rPr>
              <w:t>GÉNÉRALE</w:t>
            </w:r>
          </w:p>
          <w:p w14:paraId="439A9A8B" w14:textId="77777777" w:rsidR="00103AB1" w:rsidRPr="00DD3433" w:rsidRDefault="00103AB1" w:rsidP="00AA523A">
            <w:pPr>
              <w:rPr>
                <w:lang w:val="fr-FR"/>
              </w:rPr>
            </w:pPr>
          </w:p>
          <w:p w14:paraId="1D2792DA" w14:textId="552B6F59" w:rsidR="00103AB1" w:rsidRPr="00CB0D77" w:rsidRDefault="00103AB1" w:rsidP="00AA523A">
            <w:pPr>
              <w:rPr>
                <w:lang w:val="fr-FR"/>
              </w:rPr>
            </w:pPr>
            <w:r>
              <w:fldChar w:fldCharType="begin"/>
            </w:r>
            <w:r w:rsidRPr="00CB0D77">
              <w:rPr>
                <w:lang w:val="fr-FR"/>
              </w:rPr>
              <w:instrText xml:space="preserve"> DOCPROPERTY "Document number"  \* MERGEFORMAT </w:instrText>
            </w:r>
            <w:r>
              <w:fldChar w:fldCharType="separate"/>
            </w:r>
            <w:r w:rsidR="00CB0D77">
              <w:rPr>
                <w:lang w:val="fr-FR"/>
              </w:rPr>
              <w:t>UNEP/OzL.Pro/ExCom/96/60</w:t>
            </w:r>
            <w:r>
              <w:fldChar w:fldCharType="end"/>
            </w:r>
          </w:p>
          <w:p w14:paraId="12396C32" w14:textId="5E76CEE0" w:rsidR="00103AB1" w:rsidRPr="00CB0D77" w:rsidRDefault="00FC3E05" w:rsidP="00AA523A">
            <w:pPr>
              <w:rPr>
                <w:lang w:val="fr-FR"/>
              </w:rPr>
            </w:pPr>
            <w:r w:rsidRPr="00CB0D77">
              <w:rPr>
                <w:lang w:val="fr-FR"/>
              </w:rPr>
              <w:t>6</w:t>
            </w:r>
            <w:r w:rsidR="008E4CC8" w:rsidRPr="00CB0D77">
              <w:rPr>
                <w:lang w:val="fr-FR"/>
              </w:rPr>
              <w:t xml:space="preserve"> </w:t>
            </w:r>
            <w:r w:rsidRPr="00CB0D77">
              <w:rPr>
                <w:lang w:val="fr-FR"/>
              </w:rPr>
              <w:t>ma</w:t>
            </w:r>
            <w:r w:rsidR="008E4CC8" w:rsidRPr="00CB0D77">
              <w:rPr>
                <w:lang w:val="fr-FR"/>
              </w:rPr>
              <w:t>i 2025</w:t>
            </w:r>
          </w:p>
          <w:p w14:paraId="3FF87A14" w14:textId="77777777" w:rsidR="00103AB1" w:rsidRDefault="00103AB1" w:rsidP="00AA523A">
            <w:pPr>
              <w:rPr>
                <w:caps/>
                <w:lang w:val="fr-FR"/>
              </w:rPr>
            </w:pPr>
            <w:r w:rsidRPr="00CB0D77">
              <w:rPr>
                <w:caps/>
                <w:lang w:val="fr-FR"/>
              </w:rPr>
              <w:br/>
            </w:r>
            <w:r>
              <w:rPr>
                <w:caps/>
                <w:lang w:val="fr-FR"/>
              </w:rPr>
              <w:t>FRANÇAIS</w:t>
            </w:r>
          </w:p>
          <w:p w14:paraId="3A7028C8" w14:textId="77777777" w:rsidR="00103AB1" w:rsidRPr="00E5237E" w:rsidRDefault="00103AB1" w:rsidP="00AA523A">
            <w:pPr>
              <w:rPr>
                <w:lang w:val="fr-CA"/>
              </w:rPr>
            </w:pPr>
            <w:r w:rsidRPr="00E5237E">
              <w:rPr>
                <w:lang w:val="fr-CA"/>
              </w:rPr>
              <w:t>ORIGINAL: ANGLAIS</w:t>
            </w:r>
          </w:p>
        </w:tc>
      </w:tr>
    </w:tbl>
    <w:p w14:paraId="5D578176"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010E74D9"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22A5484E" w14:textId="31A0CB0B" w:rsidR="00103AB1" w:rsidRPr="00550019" w:rsidRDefault="00103AB1" w:rsidP="00103AB1">
      <w:pPr>
        <w:jc w:val="left"/>
        <w:rPr>
          <w:lang w:val="fr-FR"/>
        </w:rPr>
      </w:pPr>
      <w:r w:rsidRPr="00550019">
        <w:rPr>
          <w:lang w:val="fr-FR"/>
        </w:rPr>
        <w:t xml:space="preserve">Point </w:t>
      </w:r>
      <w:r w:rsidR="00FC3E05">
        <w:rPr>
          <w:lang w:val="fr-FR"/>
        </w:rPr>
        <w:t>11</w:t>
      </w:r>
      <w:r w:rsidRPr="00550019">
        <w:rPr>
          <w:lang w:val="fr-FR"/>
        </w:rPr>
        <w:t xml:space="preserve"> de l'ordre du jour provisoire</w:t>
      </w:r>
      <w:r w:rsidR="004D6843">
        <w:rPr>
          <w:rFonts w:ascii="ZWAdobeF" w:hAnsi="ZWAdobeF" w:cs="ZWAdobeF"/>
          <w:sz w:val="2"/>
          <w:szCs w:val="2"/>
          <w:lang w:val="fr-FR"/>
        </w:rPr>
        <w:t>0F</w:t>
      </w:r>
      <w:r w:rsidRPr="00550019">
        <w:rPr>
          <w:rStyle w:val="FootnoteReference"/>
          <w:lang w:val="fr-FR"/>
        </w:rPr>
        <w:footnoteReference w:id="1"/>
      </w:r>
    </w:p>
    <w:p w14:paraId="39D396E7" w14:textId="77777777" w:rsidR="00C15867" w:rsidRPr="00103AB1" w:rsidRDefault="00C15867" w:rsidP="00CA59FB">
      <w:pPr>
        <w:jc w:val="left"/>
        <w:rPr>
          <w:lang w:val="fr-FR"/>
        </w:rPr>
      </w:pPr>
    </w:p>
    <w:p w14:paraId="0550F499" w14:textId="77777777" w:rsidR="009145E4" w:rsidRDefault="009145E4" w:rsidP="009145E4">
      <w:pPr>
        <w:pStyle w:val="Heading1"/>
        <w:numPr>
          <w:ilvl w:val="0"/>
          <w:numId w:val="0"/>
        </w:numPr>
        <w:rPr>
          <w:lang w:val="fr-CA"/>
        </w:rPr>
      </w:pPr>
    </w:p>
    <w:p w14:paraId="769B59D3" w14:textId="78A761AB" w:rsidR="00FC3E05" w:rsidRDefault="00FC3E05" w:rsidP="00FC3E05">
      <w:pPr>
        <w:jc w:val="center"/>
        <w:rPr>
          <w:b/>
          <w:bCs/>
          <w:lang w:val="fr-CA"/>
        </w:rPr>
      </w:pPr>
      <w:r>
        <w:rPr>
          <w:b/>
          <w:bCs/>
          <w:lang w:val="fr-CA"/>
        </w:rPr>
        <w:t>MISE À JOUR DU RAPPORT SUR LE PROBLÈME DES SOLUTIONS DE REMPLACEMENT DANS LA FABRICATION DE MOUSSE DE POLYURÉTHANE, EN METTANT L’ACCENT SUR LES PETITES ET MOYENNES ENTREPRISES, EN PARTICULIER POUR LES APPLICATIONS DE MOUSSE PULVÉRISÉE ET DE MOUSSE ISOLANTE</w:t>
      </w:r>
    </w:p>
    <w:p w14:paraId="62033E39" w14:textId="27394684" w:rsidR="00FC3E05" w:rsidRDefault="00FC3E05" w:rsidP="00FC3E05">
      <w:pPr>
        <w:jc w:val="center"/>
        <w:rPr>
          <w:b/>
          <w:bCs/>
          <w:lang w:val="fr-CA"/>
        </w:rPr>
      </w:pPr>
      <w:r>
        <w:rPr>
          <w:b/>
          <w:bCs/>
          <w:lang w:val="fr-CA"/>
        </w:rPr>
        <w:t>(DÉCISION 94/58(c))</w:t>
      </w:r>
    </w:p>
    <w:p w14:paraId="3EBC2BE1" w14:textId="77777777" w:rsidR="00FC3E05" w:rsidRDefault="00FC3E05" w:rsidP="00FC3E05">
      <w:pPr>
        <w:rPr>
          <w:b/>
          <w:bCs/>
          <w:lang w:val="fr-CA"/>
        </w:rPr>
      </w:pPr>
    </w:p>
    <w:p w14:paraId="2586AC9F" w14:textId="77777777" w:rsidR="00FC3E05" w:rsidRDefault="00FC3E05" w:rsidP="00FC3E05">
      <w:pPr>
        <w:rPr>
          <w:b/>
          <w:bCs/>
          <w:lang w:val="fr-CA"/>
        </w:rPr>
      </w:pPr>
    </w:p>
    <w:p w14:paraId="1DF82BFC" w14:textId="4B752BD1" w:rsidR="00FC3E05" w:rsidRDefault="00FC3E05" w:rsidP="00FC3E05">
      <w:pPr>
        <w:rPr>
          <w:b/>
          <w:bCs/>
          <w:lang w:val="fr-CA"/>
        </w:rPr>
      </w:pPr>
      <w:r>
        <w:rPr>
          <w:b/>
          <w:bCs/>
          <w:lang w:val="fr-CA"/>
        </w:rPr>
        <w:t>Introduction</w:t>
      </w:r>
    </w:p>
    <w:p w14:paraId="5C641DBD" w14:textId="77777777" w:rsidR="00FC3E05" w:rsidRDefault="00FC3E05" w:rsidP="00FC3E05">
      <w:pPr>
        <w:rPr>
          <w:b/>
          <w:bCs/>
          <w:lang w:val="fr-CA"/>
        </w:rPr>
      </w:pPr>
    </w:p>
    <w:p w14:paraId="2CB20066" w14:textId="26821A7D" w:rsidR="00FC3E05" w:rsidRPr="00FC3E05" w:rsidRDefault="00FC3E05" w:rsidP="00FC3E05">
      <w:pPr>
        <w:rPr>
          <w:lang w:val="fr-CA"/>
        </w:rPr>
      </w:pPr>
      <w:r>
        <w:rPr>
          <w:lang w:val="fr-CA"/>
        </w:rPr>
        <w:t>1.</w:t>
      </w:r>
      <w:r>
        <w:rPr>
          <w:lang w:val="fr-CA"/>
        </w:rPr>
        <w:tab/>
        <w:t xml:space="preserve">En réponse à une demande </w:t>
      </w:r>
      <w:r w:rsidR="00451210">
        <w:rPr>
          <w:lang w:val="fr-CA"/>
        </w:rPr>
        <w:t>faite par le</w:t>
      </w:r>
      <w:r>
        <w:rPr>
          <w:lang w:val="fr-CA"/>
        </w:rPr>
        <w:t xml:space="preserve"> Comité exécutif </w:t>
      </w:r>
      <w:r w:rsidR="00451210">
        <w:rPr>
          <w:lang w:val="fr-CA"/>
        </w:rPr>
        <w:t>à sa 93</w:t>
      </w:r>
      <w:r w:rsidR="00451210" w:rsidRPr="00451210">
        <w:rPr>
          <w:vertAlign w:val="superscript"/>
          <w:lang w:val="fr-CA"/>
        </w:rPr>
        <w:t>e</w:t>
      </w:r>
      <w:r w:rsidR="00451210">
        <w:rPr>
          <w:lang w:val="fr-CA"/>
        </w:rPr>
        <w:t xml:space="preserve"> réunion, le Secrétariat avait préparé pour la 94</w:t>
      </w:r>
      <w:r w:rsidR="00451210" w:rsidRPr="00451210">
        <w:rPr>
          <w:vertAlign w:val="superscript"/>
          <w:lang w:val="fr-CA"/>
        </w:rPr>
        <w:t>e</w:t>
      </w:r>
      <w:r w:rsidR="00451210">
        <w:rPr>
          <w:lang w:val="fr-CA"/>
        </w:rPr>
        <w:t xml:space="preserve"> réunion un "Document </w:t>
      </w:r>
      <w:r w:rsidR="008C390D">
        <w:rPr>
          <w:lang w:val="fr-CA"/>
        </w:rPr>
        <w:t xml:space="preserve">sur le problème des solutions de remplacement dans la fabrication de mousse de polyuréthane" (document UNEP/OzL.Pro/ExCom/94/58) qui </w:t>
      </w:r>
      <w:r w:rsidR="00B561C6">
        <w:rPr>
          <w:lang w:val="fr-CA"/>
        </w:rPr>
        <w:t>conten</w:t>
      </w:r>
      <w:r w:rsidR="008C390D">
        <w:rPr>
          <w:lang w:val="fr-CA"/>
        </w:rPr>
        <w:t>ait un</w:t>
      </w:r>
      <w:r w:rsidR="00487732">
        <w:rPr>
          <w:lang w:val="fr-CA"/>
        </w:rPr>
        <w:t xml:space="preserve"> récapitulatif</w:t>
      </w:r>
      <w:r w:rsidR="008C390D">
        <w:rPr>
          <w:lang w:val="fr-CA"/>
        </w:rPr>
        <w:t xml:space="preserve"> des projets d’élimination des HCFC approuvés dans le secteur de la mousse de polyuréthane (PU) ayant bénéficié de l’aide du Fonds multilatéral,</w:t>
      </w:r>
      <w:r w:rsidR="00E77C76">
        <w:rPr>
          <w:lang w:val="fr-CA"/>
        </w:rPr>
        <w:t xml:space="preserve"> </w:t>
      </w:r>
      <w:r w:rsidR="00487732">
        <w:rPr>
          <w:lang w:val="fr-CA"/>
        </w:rPr>
        <w:t xml:space="preserve">de </w:t>
      </w:r>
      <w:r w:rsidR="008C390D">
        <w:rPr>
          <w:lang w:val="fr-CA"/>
        </w:rPr>
        <w:t xml:space="preserve">l’expérience acquise durant la mise en œuvre de ces projets, </w:t>
      </w:r>
      <w:r w:rsidR="00487732">
        <w:rPr>
          <w:lang w:val="fr-CA"/>
        </w:rPr>
        <w:t>d</w:t>
      </w:r>
      <w:r w:rsidR="008C390D">
        <w:rPr>
          <w:lang w:val="fr-CA"/>
        </w:rPr>
        <w:t xml:space="preserve">es pratiques </w:t>
      </w:r>
      <w:r w:rsidR="00FC1367">
        <w:rPr>
          <w:lang w:val="fr-CA"/>
        </w:rPr>
        <w:t xml:space="preserve">exemplaires </w:t>
      </w:r>
      <w:r w:rsidR="008C390D">
        <w:rPr>
          <w:lang w:val="fr-CA"/>
        </w:rPr>
        <w:t xml:space="preserve">appliquées, de </w:t>
      </w:r>
      <w:r w:rsidR="00487732">
        <w:rPr>
          <w:lang w:val="fr-CA"/>
        </w:rPr>
        <w:t>l’</w:t>
      </w:r>
      <w:r w:rsidR="008C390D">
        <w:rPr>
          <w:lang w:val="fr-CA"/>
        </w:rPr>
        <w:t xml:space="preserve">information sur chaque </w:t>
      </w:r>
      <w:r w:rsidR="0014692C">
        <w:rPr>
          <w:lang w:val="fr-CA"/>
        </w:rPr>
        <w:t>solution de remplacement avec un faible potentiel de réchauffement de la planète (PR</w:t>
      </w:r>
      <w:r w:rsidR="00FC1367">
        <w:rPr>
          <w:lang w:val="fr-CA"/>
        </w:rPr>
        <w:t>G</w:t>
      </w:r>
      <w:r w:rsidR="0014692C">
        <w:rPr>
          <w:lang w:val="fr-CA"/>
        </w:rPr>
        <w:t>) adoptée dans le secteur de la mousse PU à travers les projets financés</w:t>
      </w:r>
      <w:r w:rsidR="00E77C76">
        <w:rPr>
          <w:lang w:val="fr-CA"/>
        </w:rPr>
        <w:t>, d</w:t>
      </w:r>
      <w:r w:rsidR="0014692C">
        <w:rPr>
          <w:lang w:val="fr-CA"/>
        </w:rPr>
        <w:t xml:space="preserve">es prix </w:t>
      </w:r>
      <w:r w:rsidR="00FC1367">
        <w:rPr>
          <w:lang w:val="fr-CA"/>
        </w:rPr>
        <w:t xml:space="preserve">ainsi que </w:t>
      </w:r>
      <w:r w:rsidR="00E77C76">
        <w:rPr>
          <w:lang w:val="fr-CA"/>
        </w:rPr>
        <w:t xml:space="preserve">de </w:t>
      </w:r>
      <w:r w:rsidR="0014692C">
        <w:rPr>
          <w:lang w:val="fr-CA"/>
        </w:rPr>
        <w:t xml:space="preserve">la disponibilité des agents de gonflage, </w:t>
      </w:r>
      <w:r w:rsidR="00E77C76">
        <w:rPr>
          <w:lang w:val="fr-CA"/>
        </w:rPr>
        <w:t>d</w:t>
      </w:r>
      <w:r w:rsidR="0014692C">
        <w:rPr>
          <w:lang w:val="fr-CA"/>
        </w:rPr>
        <w:t xml:space="preserve">es défis recensés et </w:t>
      </w:r>
      <w:r w:rsidR="00E77C76">
        <w:rPr>
          <w:lang w:val="fr-CA"/>
        </w:rPr>
        <w:t xml:space="preserve">de </w:t>
      </w:r>
      <w:r w:rsidR="0014692C">
        <w:rPr>
          <w:lang w:val="fr-CA"/>
        </w:rPr>
        <w:t>la rétroaction sur l’adoption de ces techniques</w:t>
      </w:r>
      <w:r w:rsidR="00487732">
        <w:rPr>
          <w:lang w:val="fr-CA"/>
        </w:rPr>
        <w:t>, par région</w:t>
      </w:r>
      <w:r w:rsidR="0014692C">
        <w:rPr>
          <w:lang w:val="fr-CA"/>
        </w:rPr>
        <w:t>.</w:t>
      </w:r>
    </w:p>
    <w:p w14:paraId="402905C9" w14:textId="77777777" w:rsidR="00FC3E05" w:rsidRDefault="00FC3E05" w:rsidP="00FC3E05">
      <w:pPr>
        <w:jc w:val="center"/>
        <w:rPr>
          <w:b/>
          <w:bCs/>
          <w:lang w:val="fr-CA"/>
        </w:rPr>
      </w:pPr>
    </w:p>
    <w:p w14:paraId="4941EAA4" w14:textId="683EEB39" w:rsidR="00744D88" w:rsidRDefault="0014692C" w:rsidP="00922D17">
      <w:pPr>
        <w:tabs>
          <w:tab w:val="left" w:pos="0"/>
        </w:tabs>
        <w:rPr>
          <w:lang w:val="fr-CA"/>
        </w:rPr>
      </w:pPr>
      <w:r>
        <w:rPr>
          <w:lang w:val="fr-CA"/>
        </w:rPr>
        <w:t>2.</w:t>
      </w:r>
      <w:r>
        <w:rPr>
          <w:lang w:val="fr-CA"/>
        </w:rPr>
        <w:tab/>
      </w:r>
      <w:r w:rsidR="00FC1367">
        <w:rPr>
          <w:lang w:val="fr-CA"/>
        </w:rPr>
        <w:t>Lors des</w:t>
      </w:r>
      <w:r>
        <w:rPr>
          <w:lang w:val="fr-CA"/>
        </w:rPr>
        <w:t xml:space="preserve"> discussions à la 94</w:t>
      </w:r>
      <w:r w:rsidRPr="0014692C">
        <w:rPr>
          <w:vertAlign w:val="superscript"/>
          <w:lang w:val="fr-CA"/>
        </w:rPr>
        <w:t>e</w:t>
      </w:r>
      <w:r>
        <w:rPr>
          <w:lang w:val="fr-CA"/>
        </w:rPr>
        <w:t xml:space="preserve"> réunion, un membre a </w:t>
      </w:r>
      <w:r w:rsidR="00C91E38">
        <w:rPr>
          <w:lang w:val="fr-CA"/>
        </w:rPr>
        <w:t>mentionné le manque persistant de disponibilité des HFO et leur</w:t>
      </w:r>
      <w:r w:rsidR="00487732">
        <w:rPr>
          <w:lang w:val="fr-CA"/>
        </w:rPr>
        <w:t>s</w:t>
      </w:r>
      <w:r w:rsidR="00C91E38">
        <w:rPr>
          <w:lang w:val="fr-CA"/>
        </w:rPr>
        <w:t xml:space="preserve"> prix élevé</w:t>
      </w:r>
      <w:r w:rsidR="00487732">
        <w:rPr>
          <w:lang w:val="fr-CA"/>
        </w:rPr>
        <w:t>s</w:t>
      </w:r>
      <w:r w:rsidR="00C91E38">
        <w:rPr>
          <w:lang w:val="fr-CA"/>
        </w:rPr>
        <w:t>, questionné la pérennité de la reconversion à d’autres solutions de remplacement dont plusieurs étaient jugées inappropriées par les entreprises pour certaines applications</w:t>
      </w:r>
      <w:r w:rsidR="00496638">
        <w:rPr>
          <w:lang w:val="fr-CA"/>
        </w:rPr>
        <w:t>,</w:t>
      </w:r>
      <w:r w:rsidR="00C91E38">
        <w:rPr>
          <w:lang w:val="fr-CA"/>
        </w:rPr>
        <w:t xml:space="preserve"> et insisté sur les répercussions économiques plus </w:t>
      </w:r>
      <w:r w:rsidR="00496638">
        <w:rPr>
          <w:lang w:val="fr-CA"/>
        </w:rPr>
        <w:t>vast</w:t>
      </w:r>
      <w:r w:rsidR="00C91E38">
        <w:rPr>
          <w:lang w:val="fr-CA"/>
        </w:rPr>
        <w:t>es pour les pays visés à l’article 5, le risque de non-conformité à leurs obligations dans le cadre des Accords de financement avec le Comité exécutif et le paiement subséquent de pénalités. Les difficultés persistantes auxquelles sont confronté</w:t>
      </w:r>
      <w:r w:rsidR="002D477C">
        <w:rPr>
          <w:lang w:val="fr-CA"/>
        </w:rPr>
        <w:t>e</w:t>
      </w:r>
      <w:r w:rsidR="00C91E38">
        <w:rPr>
          <w:lang w:val="fr-CA"/>
        </w:rPr>
        <w:t xml:space="preserve">s les petites et moyennes entreprises (PME) </w:t>
      </w:r>
      <w:r w:rsidR="002D477C">
        <w:rPr>
          <w:lang w:val="fr-CA"/>
        </w:rPr>
        <w:t>concernant</w:t>
      </w:r>
      <w:r w:rsidR="00C91E38">
        <w:rPr>
          <w:lang w:val="fr-CA"/>
        </w:rPr>
        <w:t xml:space="preserve"> la disponibilité des HFC ont été </w:t>
      </w:r>
      <w:r w:rsidR="00496638">
        <w:rPr>
          <w:lang w:val="fr-CA"/>
        </w:rPr>
        <w:t>souligné</w:t>
      </w:r>
      <w:r w:rsidR="00C91E38">
        <w:rPr>
          <w:lang w:val="fr-CA"/>
        </w:rPr>
        <w:t xml:space="preserve">es </w:t>
      </w:r>
      <w:r w:rsidR="00496638">
        <w:rPr>
          <w:lang w:val="fr-CA"/>
        </w:rPr>
        <w:t>tandis qu</w:t>
      </w:r>
      <w:r w:rsidR="00C91E38">
        <w:rPr>
          <w:lang w:val="fr-CA"/>
        </w:rPr>
        <w:t xml:space="preserve">e deux membres ont </w:t>
      </w:r>
      <w:r w:rsidR="00744D88">
        <w:rPr>
          <w:lang w:val="fr-CA"/>
        </w:rPr>
        <w:t>sign</w:t>
      </w:r>
      <w:r w:rsidR="00C91E38">
        <w:rPr>
          <w:lang w:val="fr-CA"/>
        </w:rPr>
        <w:t>a</w:t>
      </w:r>
      <w:r w:rsidR="00744D88">
        <w:rPr>
          <w:lang w:val="fr-CA"/>
        </w:rPr>
        <w:t>l</w:t>
      </w:r>
      <w:r w:rsidR="00C91E38">
        <w:rPr>
          <w:lang w:val="fr-CA"/>
        </w:rPr>
        <w:t xml:space="preserve">é que </w:t>
      </w:r>
      <w:r w:rsidR="00744D88">
        <w:rPr>
          <w:lang w:val="fr-CA"/>
        </w:rPr>
        <w:t>certains pays avaient réussi leur transition tandis que la mise en œuvre semblait plus difficile pour d’autres, avec des progrès variables entre et à l’intérieur des régions.</w:t>
      </w:r>
    </w:p>
    <w:p w14:paraId="4A43AF18" w14:textId="77777777" w:rsidR="00744D88" w:rsidRDefault="00744D88" w:rsidP="00922D17">
      <w:pPr>
        <w:rPr>
          <w:lang w:val="fr-CA"/>
        </w:rPr>
      </w:pPr>
    </w:p>
    <w:p w14:paraId="063E4E15" w14:textId="77777777" w:rsidR="00744D88" w:rsidRDefault="00744D88" w:rsidP="00922D17">
      <w:pPr>
        <w:rPr>
          <w:lang w:val="fr-CA"/>
        </w:rPr>
      </w:pPr>
      <w:r>
        <w:rPr>
          <w:lang w:val="fr-CA"/>
        </w:rPr>
        <w:lastRenderedPageBreak/>
        <w:t>3.</w:t>
      </w:r>
      <w:r>
        <w:rPr>
          <w:lang w:val="fr-CA"/>
        </w:rPr>
        <w:tab/>
        <w:t>À l’issue de ces discussions, le Comité exécutif avait décidé de demander au Secrétariat, entre autres :</w:t>
      </w:r>
    </w:p>
    <w:p w14:paraId="60CC6486" w14:textId="77777777" w:rsidR="00744D88" w:rsidRDefault="00744D88" w:rsidP="00922D17">
      <w:pPr>
        <w:rPr>
          <w:lang w:val="fr-CA"/>
        </w:rPr>
      </w:pPr>
    </w:p>
    <w:p w14:paraId="3A1FF323" w14:textId="35AF3690" w:rsidR="00744D88" w:rsidRDefault="002D477C" w:rsidP="00922D17">
      <w:pPr>
        <w:pStyle w:val="ListParagraph"/>
        <w:numPr>
          <w:ilvl w:val="0"/>
          <w:numId w:val="23"/>
        </w:numPr>
        <w:tabs>
          <w:tab w:val="left" w:pos="1418"/>
        </w:tabs>
        <w:ind w:left="1418" w:hanging="698"/>
        <w:rPr>
          <w:lang w:val="fr-CA"/>
        </w:rPr>
      </w:pPr>
      <w:r>
        <w:rPr>
          <w:lang w:val="fr-CA"/>
        </w:rPr>
        <w:t>D’élaborer, e</w:t>
      </w:r>
      <w:r w:rsidR="00744D88">
        <w:rPr>
          <w:lang w:val="fr-CA"/>
        </w:rPr>
        <w:t xml:space="preserve">n collaboration avec les agences d’exécution, un document pour examen par le Comité exécutif </w:t>
      </w:r>
      <w:r>
        <w:rPr>
          <w:lang w:val="fr-CA"/>
        </w:rPr>
        <w:t xml:space="preserve">à </w:t>
      </w:r>
      <w:r w:rsidR="00744D88">
        <w:rPr>
          <w:lang w:val="fr-CA"/>
        </w:rPr>
        <w:t>sa 95</w:t>
      </w:r>
      <w:r w:rsidR="00744D88" w:rsidRPr="00744D88">
        <w:rPr>
          <w:vertAlign w:val="superscript"/>
          <w:lang w:val="fr-CA"/>
        </w:rPr>
        <w:t>e</w:t>
      </w:r>
      <w:r w:rsidR="00744D88">
        <w:rPr>
          <w:lang w:val="fr-CA"/>
        </w:rPr>
        <w:t xml:space="preserve"> réunion, qui mette à jour les informations sur la disponibilité des technologies; les prix des solutions de remplacement déjà sélectionnées dans les projets non encore achevés du secteur de la mousse PU </w:t>
      </w:r>
      <w:r w:rsidR="00496638">
        <w:rPr>
          <w:lang w:val="fr-CA"/>
        </w:rPr>
        <w:t>pour</w:t>
      </w:r>
      <w:r w:rsidR="00744D88">
        <w:rPr>
          <w:lang w:val="fr-CA"/>
        </w:rPr>
        <w:t xml:space="preserve"> les PME; les programmes visant à faciliter l’accès aux solutions de remplacement à faible PRG; et les </w:t>
      </w:r>
      <w:r w:rsidR="00496638">
        <w:rPr>
          <w:lang w:val="fr-CA"/>
        </w:rPr>
        <w:t>obstacles</w:t>
      </w:r>
      <w:r w:rsidR="00744D88">
        <w:rPr>
          <w:lang w:val="fr-CA"/>
        </w:rPr>
        <w:t xml:space="preserve"> à l’accès </w:t>
      </w:r>
      <w:r w:rsidR="00496638">
        <w:rPr>
          <w:lang w:val="fr-CA"/>
        </w:rPr>
        <w:t>de</w:t>
      </w:r>
      <w:r w:rsidR="00744D88">
        <w:rPr>
          <w:lang w:val="fr-CA"/>
        </w:rPr>
        <w:t xml:space="preserve"> ces programmes p</w:t>
      </w:r>
      <w:r w:rsidR="00496638">
        <w:rPr>
          <w:lang w:val="fr-CA"/>
        </w:rPr>
        <w:t>ou</w:t>
      </w:r>
      <w:r w:rsidR="00744D88">
        <w:rPr>
          <w:lang w:val="fr-CA"/>
        </w:rPr>
        <w:t>r les organismes locaux dans les pays visés à l’article 5; et</w:t>
      </w:r>
    </w:p>
    <w:p w14:paraId="280F2443" w14:textId="77777777" w:rsidR="00744D88" w:rsidRPr="00744D88" w:rsidRDefault="00744D88" w:rsidP="00922D17">
      <w:pPr>
        <w:tabs>
          <w:tab w:val="left" w:pos="1418"/>
        </w:tabs>
        <w:rPr>
          <w:lang w:val="fr-CA"/>
        </w:rPr>
      </w:pPr>
    </w:p>
    <w:p w14:paraId="4BED3248" w14:textId="009A3A92" w:rsidR="00922D17" w:rsidRDefault="00744D88" w:rsidP="007D798E">
      <w:pPr>
        <w:pStyle w:val="ListParagraph"/>
        <w:numPr>
          <w:ilvl w:val="0"/>
          <w:numId w:val="23"/>
        </w:numPr>
        <w:tabs>
          <w:tab w:val="left" w:pos="1418"/>
        </w:tabs>
        <w:ind w:left="1418" w:hanging="698"/>
        <w:rPr>
          <w:lang w:val="fr-CA"/>
        </w:rPr>
      </w:pPr>
      <w:r>
        <w:rPr>
          <w:lang w:val="fr-CA"/>
        </w:rPr>
        <w:t>De mettre à jour son rapport contenu dans le document UNEP/OzL.Pro/ExCom</w:t>
      </w:r>
      <w:r w:rsidR="00922D17">
        <w:rPr>
          <w:lang w:val="fr-CA"/>
        </w:rPr>
        <w:t>/94/58 pour examen à la 96</w:t>
      </w:r>
      <w:r w:rsidR="00922D17" w:rsidRPr="00922D17">
        <w:rPr>
          <w:vertAlign w:val="superscript"/>
          <w:lang w:val="fr-CA"/>
        </w:rPr>
        <w:t>e</w:t>
      </w:r>
      <w:r w:rsidR="00922D17">
        <w:rPr>
          <w:lang w:val="fr-CA"/>
        </w:rPr>
        <w:t xml:space="preserve"> réunion, en mettant l’accent sur les PME dans le secteur de la fabrication de mousse PU, en particulier pour les applications de mousse pulvérisée et de mousse isolante.</w:t>
      </w:r>
      <w:r w:rsidR="004D6843">
        <w:rPr>
          <w:rFonts w:ascii="ZWAdobeF" w:hAnsi="ZWAdobeF" w:cs="ZWAdobeF"/>
          <w:sz w:val="2"/>
          <w:szCs w:val="2"/>
          <w:lang w:val="fr-CA"/>
        </w:rPr>
        <w:t>1F</w:t>
      </w:r>
      <w:r w:rsidR="00922D17">
        <w:rPr>
          <w:rStyle w:val="FootnoteReference"/>
          <w:lang w:val="fr-CA"/>
        </w:rPr>
        <w:footnoteReference w:id="2"/>
      </w:r>
    </w:p>
    <w:p w14:paraId="65AECC32" w14:textId="77777777" w:rsidR="00922D17" w:rsidRPr="00922D17" w:rsidRDefault="00922D17" w:rsidP="00922D17">
      <w:pPr>
        <w:pStyle w:val="ListParagraph"/>
        <w:rPr>
          <w:lang w:val="fr-CA"/>
        </w:rPr>
      </w:pPr>
    </w:p>
    <w:p w14:paraId="635B2B5B" w14:textId="12CCAED4" w:rsidR="00B0560F" w:rsidRDefault="00922D17" w:rsidP="00B0560F">
      <w:pPr>
        <w:rPr>
          <w:rStyle w:val="normaltextrun"/>
          <w:bCs/>
          <w:color w:val="000000"/>
          <w:shd w:val="clear" w:color="auto" w:fill="FFFFFF"/>
          <w:lang w:val="fr-CA"/>
        </w:rPr>
      </w:pPr>
      <w:r>
        <w:rPr>
          <w:lang w:val="fr-CA"/>
        </w:rPr>
        <w:t>4.</w:t>
      </w:r>
      <w:r>
        <w:rPr>
          <w:lang w:val="fr-CA"/>
        </w:rPr>
        <w:tab/>
        <w:t>À la 95</w:t>
      </w:r>
      <w:r w:rsidRPr="00922D17">
        <w:rPr>
          <w:vertAlign w:val="superscript"/>
          <w:lang w:val="fr-CA"/>
        </w:rPr>
        <w:t>e</w:t>
      </w:r>
      <w:r>
        <w:rPr>
          <w:lang w:val="fr-CA"/>
        </w:rPr>
        <w:t xml:space="preserve"> réunion, en réponse à la décision 94/58(b) et suite à des consultations avec les agences d’exécution et des représentants de trois entreprises productrices de HFO, le Secrétariat a présenté </w:t>
      </w:r>
      <w:r w:rsidR="00B0560F">
        <w:rPr>
          <w:lang w:val="fr-CA"/>
        </w:rPr>
        <w:t>des "I</w:t>
      </w:r>
      <w:r w:rsidR="00B0560F" w:rsidRPr="00B0560F">
        <w:rPr>
          <w:rStyle w:val="normaltextrun"/>
          <w:bCs/>
          <w:color w:val="000000"/>
          <w:shd w:val="clear" w:color="auto" w:fill="FFFFFF"/>
          <w:lang w:val="fr-CA"/>
        </w:rPr>
        <w:t>nformations actualisées sur les technologies de remplacement dans le secteur de la fabrication des mousses de polyuréthane dans les pays visés à l’article 5</w:t>
      </w:r>
      <w:r w:rsidR="00CD2F7B">
        <w:rPr>
          <w:rStyle w:val="normaltextrun"/>
          <w:bCs/>
          <w:color w:val="000000"/>
          <w:shd w:val="clear" w:color="auto" w:fill="FFFFFF"/>
          <w:lang w:val="fr-CA"/>
        </w:rPr>
        <w:t>"</w:t>
      </w:r>
      <w:r w:rsidR="00B0560F" w:rsidRPr="00B0560F">
        <w:rPr>
          <w:rStyle w:val="normaltextrun"/>
          <w:bCs/>
          <w:color w:val="000000"/>
          <w:shd w:val="clear" w:color="auto" w:fill="FFFFFF"/>
          <w:lang w:val="fr-CA"/>
        </w:rPr>
        <w:t xml:space="preserve"> (d</w:t>
      </w:r>
      <w:r w:rsidR="00B0560F">
        <w:rPr>
          <w:rStyle w:val="normaltextrun"/>
          <w:bCs/>
          <w:color w:val="000000"/>
          <w:shd w:val="clear" w:color="auto" w:fill="FFFFFF"/>
          <w:lang w:val="fr-CA"/>
        </w:rPr>
        <w:t>ocument UNEP/OzL.Pro/ExCom/95/85</w:t>
      </w:r>
      <w:r w:rsidR="00496638">
        <w:rPr>
          <w:rStyle w:val="normaltextrun"/>
          <w:bCs/>
          <w:color w:val="000000"/>
          <w:shd w:val="clear" w:color="auto" w:fill="FFFFFF"/>
          <w:lang w:val="fr-CA"/>
        </w:rPr>
        <w:t>)</w:t>
      </w:r>
      <w:r w:rsidR="00CD2F7B">
        <w:rPr>
          <w:rStyle w:val="normaltextrun"/>
          <w:bCs/>
          <w:color w:val="000000"/>
          <w:shd w:val="clear" w:color="auto" w:fill="FFFFFF"/>
          <w:lang w:val="fr-CA"/>
        </w:rPr>
        <w:t xml:space="preserve">,  incluant la disponibilité et les prix des technologies, les programmes pour faciliter l’accès à des solutions de remplacement à faible PRG et les obstacles auxquels se heurtent les entreprises locales pour accéder à ces programmes.  </w:t>
      </w:r>
      <w:r w:rsidR="00B561C6">
        <w:rPr>
          <w:rStyle w:val="normaltextrun"/>
          <w:bCs/>
          <w:color w:val="000000"/>
          <w:shd w:val="clear" w:color="auto" w:fill="FFFFFF"/>
          <w:lang w:val="fr-CA"/>
        </w:rPr>
        <w:t xml:space="preserve"> </w:t>
      </w:r>
      <w:r w:rsidR="00CD2F7B">
        <w:rPr>
          <w:rStyle w:val="normaltextrun"/>
          <w:bCs/>
          <w:color w:val="000000"/>
          <w:shd w:val="clear" w:color="auto" w:fill="FFFFFF"/>
          <w:lang w:val="fr-CA"/>
        </w:rPr>
        <w:t>Lors de l’examen du document, un membre a reconnu qu</w:t>
      </w:r>
      <w:r w:rsidR="00CC7501">
        <w:rPr>
          <w:rStyle w:val="normaltextrun"/>
          <w:bCs/>
          <w:color w:val="000000"/>
          <w:shd w:val="clear" w:color="auto" w:fill="FFFFFF"/>
          <w:lang w:val="fr-CA"/>
        </w:rPr>
        <w:t>’en dépit d</w:t>
      </w:r>
      <w:r w:rsidR="00CD2F7B">
        <w:rPr>
          <w:rStyle w:val="normaltextrun"/>
          <w:bCs/>
          <w:color w:val="000000"/>
          <w:shd w:val="clear" w:color="auto" w:fill="FFFFFF"/>
          <w:lang w:val="fr-CA"/>
        </w:rPr>
        <w:t>es progrès a</w:t>
      </w:r>
      <w:r w:rsidR="00CC7501">
        <w:rPr>
          <w:rStyle w:val="normaltextrun"/>
          <w:bCs/>
          <w:color w:val="000000"/>
          <w:shd w:val="clear" w:color="auto" w:fill="FFFFFF"/>
          <w:lang w:val="fr-CA"/>
        </w:rPr>
        <w:t xml:space="preserve">ccomplis </w:t>
      </w:r>
      <w:r w:rsidR="00CD2F7B">
        <w:rPr>
          <w:rStyle w:val="normaltextrun"/>
          <w:bCs/>
          <w:color w:val="000000"/>
          <w:shd w:val="clear" w:color="auto" w:fill="FFFFFF"/>
          <w:lang w:val="fr-CA"/>
        </w:rPr>
        <w:t>pour améliorer l’accès à des technologies de remplacement pour les pays visés à l’article 5, le problème n’</w:t>
      </w:r>
      <w:r w:rsidR="002D477C">
        <w:rPr>
          <w:rStyle w:val="normaltextrun"/>
          <w:bCs/>
          <w:color w:val="000000"/>
          <w:shd w:val="clear" w:color="auto" w:fill="FFFFFF"/>
          <w:lang w:val="fr-CA"/>
        </w:rPr>
        <w:t>ét</w:t>
      </w:r>
      <w:r w:rsidR="00CD2F7B">
        <w:rPr>
          <w:rStyle w:val="normaltextrun"/>
          <w:bCs/>
          <w:color w:val="000000"/>
          <w:shd w:val="clear" w:color="auto" w:fill="FFFFFF"/>
          <w:lang w:val="fr-CA"/>
        </w:rPr>
        <w:t>ait pas encore</w:t>
      </w:r>
      <w:r w:rsidR="002D477C">
        <w:rPr>
          <w:rStyle w:val="normaltextrun"/>
          <w:bCs/>
          <w:color w:val="000000"/>
          <w:shd w:val="clear" w:color="auto" w:fill="FFFFFF"/>
          <w:lang w:val="fr-CA"/>
        </w:rPr>
        <w:t xml:space="preserve"> </w:t>
      </w:r>
      <w:r w:rsidR="00CD2F7B">
        <w:rPr>
          <w:rStyle w:val="normaltextrun"/>
          <w:bCs/>
          <w:color w:val="000000"/>
          <w:shd w:val="clear" w:color="auto" w:fill="FFFFFF"/>
          <w:lang w:val="fr-CA"/>
        </w:rPr>
        <w:t xml:space="preserve">pleinement résolu. </w:t>
      </w:r>
      <w:r w:rsidR="00B561C6">
        <w:rPr>
          <w:rStyle w:val="normaltextrun"/>
          <w:bCs/>
          <w:color w:val="000000"/>
          <w:shd w:val="clear" w:color="auto" w:fill="FFFFFF"/>
          <w:lang w:val="fr-CA"/>
        </w:rPr>
        <w:t xml:space="preserve"> </w:t>
      </w:r>
      <w:r w:rsidR="00CD2F7B">
        <w:rPr>
          <w:rStyle w:val="normaltextrun"/>
          <w:bCs/>
          <w:color w:val="000000"/>
          <w:shd w:val="clear" w:color="auto" w:fill="FFFFFF"/>
          <w:lang w:val="fr-CA"/>
        </w:rPr>
        <w:t xml:space="preserve">Un autre membre a constaté avec satisfaction que </w:t>
      </w:r>
      <w:r w:rsidR="00CC7501">
        <w:rPr>
          <w:rStyle w:val="normaltextrun"/>
          <w:bCs/>
          <w:color w:val="000000"/>
          <w:shd w:val="clear" w:color="auto" w:fill="FFFFFF"/>
          <w:lang w:val="fr-CA"/>
        </w:rPr>
        <w:t>certain</w:t>
      </w:r>
      <w:r w:rsidR="00CD2F7B">
        <w:rPr>
          <w:rStyle w:val="normaltextrun"/>
          <w:bCs/>
          <w:color w:val="000000"/>
          <w:shd w:val="clear" w:color="auto" w:fill="FFFFFF"/>
          <w:lang w:val="fr-CA"/>
        </w:rPr>
        <w:t xml:space="preserve">s pays avaient opté pour des solutions de remplacement autres que les HFO tandis qu’un troisième a précisé que le document visait à </w:t>
      </w:r>
      <w:r w:rsidR="00796DAE">
        <w:rPr>
          <w:rStyle w:val="normaltextrun"/>
          <w:bCs/>
          <w:color w:val="000000"/>
          <w:shd w:val="clear" w:color="auto" w:fill="FFFFFF"/>
          <w:lang w:val="fr-CA"/>
        </w:rPr>
        <w:t>soutenir</w:t>
      </w:r>
      <w:r w:rsidR="00CD2F7B">
        <w:rPr>
          <w:rStyle w:val="normaltextrun"/>
          <w:bCs/>
          <w:color w:val="000000"/>
          <w:shd w:val="clear" w:color="auto" w:fill="FFFFFF"/>
          <w:lang w:val="fr-CA"/>
        </w:rPr>
        <w:t xml:space="preserve"> les PME </w:t>
      </w:r>
      <w:r w:rsidR="00796DAE">
        <w:rPr>
          <w:rStyle w:val="normaltextrun"/>
          <w:bCs/>
          <w:color w:val="000000"/>
          <w:shd w:val="clear" w:color="auto" w:fill="FFFFFF"/>
          <w:lang w:val="fr-CA"/>
        </w:rPr>
        <w:t>pour l’adoption de solutions de remplacement ininflammables et non-corrosives.  Un membre a insisté sur la nécessité d’obtenir des données plus détaillées afin d’aider les pays visés à l’article 5 à évaluer la pérennité de l</w:t>
      </w:r>
      <w:r w:rsidR="00496638">
        <w:rPr>
          <w:rStyle w:val="normaltextrun"/>
          <w:bCs/>
          <w:color w:val="000000"/>
          <w:shd w:val="clear" w:color="auto" w:fill="FFFFFF"/>
          <w:lang w:val="fr-CA"/>
        </w:rPr>
        <w:t xml:space="preserve">’adoption de la </w:t>
      </w:r>
      <w:r w:rsidR="00796DAE">
        <w:rPr>
          <w:rStyle w:val="normaltextrun"/>
          <w:bCs/>
          <w:color w:val="000000"/>
          <w:shd w:val="clear" w:color="auto" w:fill="FFFFFF"/>
          <w:lang w:val="fr-CA"/>
        </w:rPr>
        <w:t>technologie à base de HFO.  Un autre a reconnu les progrès réalisés</w:t>
      </w:r>
      <w:r w:rsidR="00CC7501">
        <w:rPr>
          <w:rStyle w:val="normaltextrun"/>
          <w:bCs/>
          <w:color w:val="000000"/>
          <w:shd w:val="clear" w:color="auto" w:fill="FFFFFF"/>
          <w:lang w:val="fr-CA"/>
        </w:rPr>
        <w:t>,</w:t>
      </w:r>
      <w:r w:rsidR="00796DAE">
        <w:rPr>
          <w:rStyle w:val="normaltextrun"/>
          <w:bCs/>
          <w:color w:val="000000"/>
          <w:shd w:val="clear" w:color="auto" w:fill="FFFFFF"/>
          <w:lang w:val="fr-CA"/>
        </w:rPr>
        <w:t xml:space="preserve"> </w:t>
      </w:r>
      <w:r w:rsidR="00CC7501">
        <w:rPr>
          <w:rStyle w:val="normaltextrun"/>
          <w:bCs/>
          <w:color w:val="000000"/>
          <w:shd w:val="clear" w:color="auto" w:fill="FFFFFF"/>
          <w:lang w:val="fr-CA"/>
        </w:rPr>
        <w:t>quoique</w:t>
      </w:r>
      <w:r w:rsidR="00796DAE">
        <w:rPr>
          <w:rStyle w:val="normaltextrun"/>
          <w:bCs/>
          <w:color w:val="000000"/>
          <w:shd w:val="clear" w:color="auto" w:fill="FFFFFF"/>
          <w:lang w:val="fr-CA"/>
        </w:rPr>
        <w:t xml:space="preserve"> inégaux entre les pays, et souligné les différences de prix importantes dans les solutions de remplacement</w:t>
      </w:r>
      <w:r w:rsidR="007D798E">
        <w:rPr>
          <w:rStyle w:val="normaltextrun"/>
          <w:bCs/>
          <w:color w:val="000000"/>
          <w:shd w:val="clear" w:color="auto" w:fill="FFFFFF"/>
          <w:lang w:val="fr-CA"/>
        </w:rPr>
        <w:t>, en demandant</w:t>
      </w:r>
      <w:r w:rsidR="00796DAE">
        <w:rPr>
          <w:rStyle w:val="normaltextrun"/>
          <w:bCs/>
          <w:color w:val="000000"/>
          <w:shd w:val="clear" w:color="auto" w:fill="FFFFFF"/>
          <w:lang w:val="fr-CA"/>
        </w:rPr>
        <w:t xml:space="preserve"> </w:t>
      </w:r>
      <w:r w:rsidR="00496638">
        <w:rPr>
          <w:rStyle w:val="normaltextrun"/>
          <w:bCs/>
          <w:color w:val="000000"/>
          <w:shd w:val="clear" w:color="auto" w:fill="FFFFFF"/>
          <w:lang w:val="fr-CA"/>
        </w:rPr>
        <w:t xml:space="preserve">au Secrétariat </w:t>
      </w:r>
      <w:r w:rsidR="00796DAE">
        <w:rPr>
          <w:rStyle w:val="normaltextrun"/>
          <w:bCs/>
          <w:color w:val="000000"/>
          <w:shd w:val="clear" w:color="auto" w:fill="FFFFFF"/>
          <w:lang w:val="fr-CA"/>
        </w:rPr>
        <w:t>une mise à jour à la 96</w:t>
      </w:r>
      <w:r w:rsidR="00796DAE" w:rsidRPr="00796DAE">
        <w:rPr>
          <w:rStyle w:val="normaltextrun"/>
          <w:bCs/>
          <w:color w:val="000000"/>
          <w:shd w:val="clear" w:color="auto" w:fill="FFFFFF"/>
          <w:vertAlign w:val="superscript"/>
          <w:lang w:val="fr-CA"/>
        </w:rPr>
        <w:t>e</w:t>
      </w:r>
      <w:r w:rsidR="00796DAE">
        <w:rPr>
          <w:rStyle w:val="normaltextrun"/>
          <w:bCs/>
          <w:color w:val="000000"/>
          <w:shd w:val="clear" w:color="auto" w:fill="FFFFFF"/>
          <w:lang w:val="fr-CA"/>
        </w:rPr>
        <w:t xml:space="preserve"> réunion afin de savoir si le Comité exécutif devrait prendre d’autres mesures.  Un autre membre</w:t>
      </w:r>
      <w:r w:rsidR="005039AB">
        <w:rPr>
          <w:rStyle w:val="normaltextrun"/>
          <w:bCs/>
          <w:color w:val="000000"/>
          <w:shd w:val="clear" w:color="auto" w:fill="FFFFFF"/>
          <w:lang w:val="fr-CA"/>
        </w:rPr>
        <w:t>, tout en reconnaissant</w:t>
      </w:r>
      <w:r w:rsidR="00796DAE">
        <w:rPr>
          <w:rStyle w:val="normaltextrun"/>
          <w:bCs/>
          <w:color w:val="000000"/>
          <w:shd w:val="clear" w:color="auto" w:fill="FFFFFF"/>
          <w:lang w:val="fr-CA"/>
        </w:rPr>
        <w:t xml:space="preserve"> les progrès réalisés pour garantir de meilleurs prix pour les HFO mais</w:t>
      </w:r>
      <w:r w:rsidR="005039AB">
        <w:rPr>
          <w:rStyle w:val="normaltextrun"/>
          <w:bCs/>
          <w:color w:val="000000"/>
          <w:shd w:val="clear" w:color="auto" w:fill="FFFFFF"/>
          <w:lang w:val="fr-CA"/>
        </w:rPr>
        <w:t xml:space="preserve"> </w:t>
      </w:r>
      <w:r w:rsidR="00796DAE">
        <w:rPr>
          <w:rStyle w:val="normaltextrun"/>
          <w:bCs/>
          <w:color w:val="000000"/>
          <w:shd w:val="clear" w:color="auto" w:fill="FFFFFF"/>
          <w:lang w:val="fr-CA"/>
        </w:rPr>
        <w:t>rappelant que le problème n'était toujours pas résolu</w:t>
      </w:r>
      <w:r w:rsidR="005039AB">
        <w:rPr>
          <w:rStyle w:val="normaltextrun"/>
          <w:bCs/>
          <w:color w:val="000000"/>
          <w:shd w:val="clear" w:color="auto" w:fill="FFFFFF"/>
          <w:lang w:val="fr-CA"/>
        </w:rPr>
        <w:t xml:space="preserve">, </w:t>
      </w:r>
      <w:r w:rsidR="00796DAE">
        <w:rPr>
          <w:rStyle w:val="normaltextrun"/>
          <w:bCs/>
          <w:color w:val="000000"/>
          <w:shd w:val="clear" w:color="auto" w:fill="FFFFFF"/>
          <w:lang w:val="fr-CA"/>
        </w:rPr>
        <w:t xml:space="preserve"> jugeait important que le Comité exécutif </w:t>
      </w:r>
      <w:r w:rsidR="00235BAF">
        <w:rPr>
          <w:rStyle w:val="normaltextrun"/>
          <w:bCs/>
          <w:color w:val="000000"/>
          <w:shd w:val="clear" w:color="auto" w:fill="FFFFFF"/>
          <w:lang w:val="fr-CA"/>
        </w:rPr>
        <w:t>f</w:t>
      </w:r>
      <w:r w:rsidR="005039AB">
        <w:rPr>
          <w:rStyle w:val="normaltextrun"/>
          <w:bCs/>
          <w:color w:val="000000"/>
          <w:shd w:val="clear" w:color="auto" w:fill="FFFFFF"/>
          <w:lang w:val="fr-CA"/>
        </w:rPr>
        <w:t>as</w:t>
      </w:r>
      <w:r w:rsidR="00235BAF">
        <w:rPr>
          <w:rStyle w:val="normaltextrun"/>
          <w:bCs/>
          <w:color w:val="000000"/>
          <w:shd w:val="clear" w:color="auto" w:fill="FFFFFF"/>
          <w:lang w:val="fr-CA"/>
        </w:rPr>
        <w:t>s</w:t>
      </w:r>
      <w:r w:rsidR="005039AB">
        <w:rPr>
          <w:rStyle w:val="normaltextrun"/>
          <w:bCs/>
          <w:color w:val="000000"/>
          <w:shd w:val="clear" w:color="auto" w:fill="FFFFFF"/>
          <w:lang w:val="fr-CA"/>
        </w:rPr>
        <w:t>e un suivi de</w:t>
      </w:r>
      <w:r w:rsidR="00796DAE">
        <w:rPr>
          <w:rStyle w:val="normaltextrun"/>
          <w:bCs/>
          <w:color w:val="000000"/>
          <w:shd w:val="clear" w:color="auto" w:fill="FFFFFF"/>
          <w:lang w:val="fr-CA"/>
        </w:rPr>
        <w:t xml:space="preserve"> cette question à la 96</w:t>
      </w:r>
      <w:r w:rsidR="00796DAE" w:rsidRPr="00796DAE">
        <w:rPr>
          <w:rStyle w:val="normaltextrun"/>
          <w:bCs/>
          <w:color w:val="000000"/>
          <w:shd w:val="clear" w:color="auto" w:fill="FFFFFF"/>
          <w:vertAlign w:val="superscript"/>
          <w:lang w:val="fr-CA"/>
        </w:rPr>
        <w:t>e</w:t>
      </w:r>
      <w:r w:rsidR="00796DAE">
        <w:rPr>
          <w:rStyle w:val="normaltextrun"/>
          <w:bCs/>
          <w:color w:val="000000"/>
          <w:shd w:val="clear" w:color="auto" w:fill="FFFFFF"/>
          <w:lang w:val="fr-CA"/>
        </w:rPr>
        <w:t xml:space="preserve"> réunion.</w:t>
      </w:r>
    </w:p>
    <w:p w14:paraId="4AB73AA6" w14:textId="77777777" w:rsidR="00796DAE" w:rsidRDefault="00796DAE" w:rsidP="00B0560F">
      <w:pPr>
        <w:rPr>
          <w:rStyle w:val="normaltextrun"/>
          <w:bCs/>
          <w:color w:val="000000"/>
          <w:shd w:val="clear" w:color="auto" w:fill="FFFFFF"/>
          <w:lang w:val="fr-CA"/>
        </w:rPr>
      </w:pPr>
    </w:p>
    <w:p w14:paraId="49619E79" w14:textId="1062D5B7" w:rsidR="00796DAE" w:rsidRDefault="00796DAE" w:rsidP="00B0560F">
      <w:pPr>
        <w:rPr>
          <w:rStyle w:val="normaltextrun"/>
          <w:bCs/>
          <w:color w:val="000000"/>
          <w:shd w:val="clear" w:color="auto" w:fill="FFFFFF"/>
          <w:lang w:val="fr-CA"/>
        </w:rPr>
      </w:pPr>
      <w:r>
        <w:rPr>
          <w:rStyle w:val="normaltextrun"/>
          <w:bCs/>
          <w:color w:val="000000"/>
          <w:shd w:val="clear" w:color="auto" w:fill="FFFFFF"/>
          <w:lang w:val="fr-CA"/>
        </w:rPr>
        <w:t>5.</w:t>
      </w:r>
      <w:r>
        <w:rPr>
          <w:rStyle w:val="normaltextrun"/>
          <w:bCs/>
          <w:color w:val="000000"/>
          <w:shd w:val="clear" w:color="auto" w:fill="FFFFFF"/>
          <w:lang w:val="fr-CA"/>
        </w:rPr>
        <w:tab/>
        <w:t>À l</w:t>
      </w:r>
      <w:r w:rsidR="005039AB">
        <w:rPr>
          <w:rStyle w:val="normaltextrun"/>
          <w:bCs/>
          <w:color w:val="000000"/>
          <w:shd w:val="clear" w:color="auto" w:fill="FFFFFF"/>
          <w:lang w:val="fr-CA"/>
        </w:rPr>
        <w:t xml:space="preserve">a suite </w:t>
      </w:r>
      <w:r>
        <w:rPr>
          <w:rStyle w:val="normaltextrun"/>
          <w:bCs/>
          <w:color w:val="000000"/>
          <w:shd w:val="clear" w:color="auto" w:fill="FFFFFF"/>
          <w:lang w:val="fr-CA"/>
        </w:rPr>
        <w:t>de ces discussions, le Comité exécutif a décidé, entre autres :</w:t>
      </w:r>
    </w:p>
    <w:p w14:paraId="58B61503" w14:textId="77777777" w:rsidR="00796DAE" w:rsidRDefault="00796DAE" w:rsidP="00B0560F">
      <w:pPr>
        <w:rPr>
          <w:rStyle w:val="normaltextrun"/>
          <w:bCs/>
          <w:color w:val="000000"/>
          <w:shd w:val="clear" w:color="auto" w:fill="FFFFFF"/>
          <w:lang w:val="fr-CA"/>
        </w:rPr>
      </w:pPr>
    </w:p>
    <w:p w14:paraId="056EF2E3" w14:textId="3AAD89F3" w:rsidR="007D798E" w:rsidRDefault="007D798E" w:rsidP="007D798E">
      <w:pPr>
        <w:pStyle w:val="ListParagraph"/>
        <w:numPr>
          <w:ilvl w:val="0"/>
          <w:numId w:val="24"/>
        </w:numPr>
        <w:ind w:left="1418" w:hanging="698"/>
        <w:rPr>
          <w:rStyle w:val="normaltextrun"/>
          <w:bCs/>
          <w:color w:val="000000"/>
          <w:shd w:val="clear" w:color="auto" w:fill="FFFFFF"/>
          <w:lang w:val="fr-CA"/>
        </w:rPr>
      </w:pPr>
      <w:r>
        <w:rPr>
          <w:rStyle w:val="normaltextrun"/>
          <w:bCs/>
          <w:color w:val="000000"/>
          <w:shd w:val="clear" w:color="auto" w:fill="FFFFFF"/>
          <w:lang w:val="fr-CA"/>
        </w:rPr>
        <w:t>D’examiner les informations contenues dans le document UNEP/OzL.Pro/ExCom/95/85</w:t>
      </w:r>
      <w:r w:rsidR="005039AB">
        <w:rPr>
          <w:rStyle w:val="normaltextrun"/>
          <w:bCs/>
          <w:color w:val="000000"/>
          <w:shd w:val="clear" w:color="auto" w:fill="FFFFFF"/>
          <w:lang w:val="fr-CA"/>
        </w:rPr>
        <w:t>,</w:t>
      </w:r>
      <w:r>
        <w:rPr>
          <w:rStyle w:val="normaltextrun"/>
          <w:bCs/>
          <w:color w:val="000000"/>
          <w:shd w:val="clear" w:color="auto" w:fill="FFFFFF"/>
          <w:lang w:val="fr-CA"/>
        </w:rPr>
        <w:t xml:space="preserve"> tout en discutant de la question des solutions de remplacement dans le secteur des mousses de PU; et</w:t>
      </w:r>
    </w:p>
    <w:p w14:paraId="055F733B" w14:textId="77777777" w:rsidR="007D798E" w:rsidRPr="007D798E" w:rsidRDefault="007D798E" w:rsidP="007D798E">
      <w:pPr>
        <w:rPr>
          <w:rStyle w:val="normaltextrun"/>
          <w:bCs/>
          <w:color w:val="000000"/>
          <w:shd w:val="clear" w:color="auto" w:fill="FFFFFF"/>
          <w:lang w:val="fr-CA"/>
        </w:rPr>
      </w:pPr>
    </w:p>
    <w:p w14:paraId="366C6E82" w14:textId="1122EC40" w:rsidR="007D798E" w:rsidRDefault="007D798E" w:rsidP="007D798E">
      <w:pPr>
        <w:pStyle w:val="ListParagraph"/>
        <w:numPr>
          <w:ilvl w:val="0"/>
          <w:numId w:val="24"/>
        </w:numPr>
        <w:ind w:left="1418" w:hanging="698"/>
        <w:rPr>
          <w:rStyle w:val="normaltextrun"/>
          <w:bCs/>
          <w:color w:val="000000"/>
          <w:shd w:val="clear" w:color="auto" w:fill="FFFFFF"/>
          <w:lang w:val="fr-CA"/>
        </w:rPr>
      </w:pPr>
      <w:r>
        <w:rPr>
          <w:rStyle w:val="normaltextrun"/>
          <w:bCs/>
          <w:color w:val="000000"/>
          <w:shd w:val="clear" w:color="auto" w:fill="FFFFFF"/>
          <w:lang w:val="fr-CA"/>
        </w:rPr>
        <w:t>De noter que le Secrétariat mettra à jour le rapport contenu dans le document UNEP/OzL.Pro/ExCom/</w:t>
      </w:r>
      <w:r w:rsidR="00B561C6">
        <w:rPr>
          <w:rStyle w:val="normaltextrun"/>
          <w:bCs/>
          <w:color w:val="000000"/>
          <w:shd w:val="clear" w:color="auto" w:fill="FFFFFF"/>
          <w:lang w:val="fr-CA"/>
        </w:rPr>
        <w:t>9</w:t>
      </w:r>
      <w:r>
        <w:rPr>
          <w:rStyle w:val="normaltextrun"/>
          <w:bCs/>
          <w:color w:val="000000"/>
          <w:shd w:val="clear" w:color="auto" w:fill="FFFFFF"/>
          <w:lang w:val="fr-CA"/>
        </w:rPr>
        <w:t>4/58 pour examen à la 96</w:t>
      </w:r>
      <w:r w:rsidRPr="007D798E">
        <w:rPr>
          <w:rStyle w:val="normaltextrun"/>
          <w:bCs/>
          <w:color w:val="000000"/>
          <w:shd w:val="clear" w:color="auto" w:fill="FFFFFF"/>
          <w:vertAlign w:val="superscript"/>
          <w:lang w:val="fr-CA"/>
        </w:rPr>
        <w:t>e</w:t>
      </w:r>
      <w:r>
        <w:rPr>
          <w:rStyle w:val="normaltextrun"/>
          <w:bCs/>
          <w:color w:val="000000"/>
          <w:shd w:val="clear" w:color="auto" w:fill="FFFFFF"/>
          <w:lang w:val="fr-CA"/>
        </w:rPr>
        <w:t xml:space="preserve"> réunion, conformément à la décision 94/58.</w:t>
      </w:r>
    </w:p>
    <w:p w14:paraId="5F209B6C" w14:textId="77777777" w:rsidR="007D798E" w:rsidRPr="007D798E" w:rsidRDefault="007D798E" w:rsidP="007D798E">
      <w:pPr>
        <w:pStyle w:val="ListParagraph"/>
        <w:rPr>
          <w:rStyle w:val="normaltextrun"/>
          <w:bCs/>
          <w:color w:val="000000"/>
          <w:shd w:val="clear" w:color="auto" w:fill="FFFFFF"/>
          <w:lang w:val="fr-CA"/>
        </w:rPr>
      </w:pPr>
    </w:p>
    <w:p w14:paraId="018ED226" w14:textId="37C590C9" w:rsidR="007D798E" w:rsidRPr="007D798E" w:rsidRDefault="007D798E" w:rsidP="007D798E">
      <w:pPr>
        <w:rPr>
          <w:rStyle w:val="normaltextrun"/>
          <w:bCs/>
          <w:color w:val="000000"/>
          <w:shd w:val="clear" w:color="auto" w:fill="FFFFFF"/>
          <w:lang w:val="fr-CA"/>
        </w:rPr>
      </w:pPr>
      <w:r>
        <w:rPr>
          <w:rStyle w:val="normaltextrun"/>
          <w:bCs/>
          <w:color w:val="000000"/>
          <w:shd w:val="clear" w:color="auto" w:fill="FFFFFF"/>
          <w:lang w:val="fr-CA"/>
        </w:rPr>
        <w:t>6.</w:t>
      </w:r>
      <w:r>
        <w:rPr>
          <w:rStyle w:val="normaltextrun"/>
          <w:bCs/>
          <w:color w:val="000000"/>
          <w:shd w:val="clear" w:color="auto" w:fill="FFFFFF"/>
          <w:lang w:val="fr-CA"/>
        </w:rPr>
        <w:tab/>
      </w:r>
      <w:r w:rsidR="00805444">
        <w:rPr>
          <w:rStyle w:val="normaltextrun"/>
          <w:bCs/>
          <w:color w:val="000000"/>
          <w:shd w:val="clear" w:color="auto" w:fill="FFFFFF"/>
          <w:lang w:val="fr-CA"/>
        </w:rPr>
        <w:t xml:space="preserve">Par </w:t>
      </w:r>
      <w:r>
        <w:rPr>
          <w:rStyle w:val="normaltextrun"/>
          <w:bCs/>
          <w:color w:val="000000"/>
          <w:shd w:val="clear" w:color="auto" w:fill="FFFFFF"/>
          <w:lang w:val="fr-CA"/>
        </w:rPr>
        <w:t>conséquen</w:t>
      </w:r>
      <w:r w:rsidR="00805444">
        <w:rPr>
          <w:rStyle w:val="normaltextrun"/>
          <w:bCs/>
          <w:color w:val="000000"/>
          <w:shd w:val="clear" w:color="auto" w:fill="FFFFFF"/>
          <w:lang w:val="fr-CA"/>
        </w:rPr>
        <w:t>t</w:t>
      </w:r>
      <w:r>
        <w:rPr>
          <w:rStyle w:val="normaltextrun"/>
          <w:bCs/>
          <w:color w:val="000000"/>
          <w:shd w:val="clear" w:color="auto" w:fill="FFFFFF"/>
          <w:lang w:val="fr-CA"/>
        </w:rPr>
        <w:t>, le présent document a été préparé conformément aux décisions 94/58(c) et 95/85(c), à partir des contributions écrites du PNUD, de l’ONUDI et de la Banque mondiale, présentant leurs expériences de mise en œuvre de</w:t>
      </w:r>
      <w:r w:rsidR="00235BAF">
        <w:rPr>
          <w:rStyle w:val="normaltextrun"/>
          <w:bCs/>
          <w:color w:val="000000"/>
          <w:shd w:val="clear" w:color="auto" w:fill="FFFFFF"/>
          <w:lang w:val="fr-CA"/>
        </w:rPr>
        <w:t>s</w:t>
      </w:r>
      <w:r>
        <w:rPr>
          <w:rStyle w:val="normaltextrun"/>
          <w:bCs/>
          <w:color w:val="000000"/>
          <w:shd w:val="clear" w:color="auto" w:fill="FFFFFF"/>
          <w:lang w:val="fr-CA"/>
        </w:rPr>
        <w:t xml:space="preserve"> projets dans ce secteur.</w:t>
      </w:r>
      <w:r w:rsidR="004E036A">
        <w:rPr>
          <w:rStyle w:val="normaltextrun"/>
          <w:bCs/>
          <w:color w:val="000000"/>
          <w:shd w:val="clear" w:color="auto" w:fill="FFFFFF"/>
          <w:lang w:val="fr-CA"/>
        </w:rPr>
        <w:t xml:space="preserve"> </w:t>
      </w:r>
      <w:r w:rsidR="00235BAF">
        <w:rPr>
          <w:rStyle w:val="normaltextrun"/>
          <w:bCs/>
          <w:color w:val="000000"/>
          <w:shd w:val="clear" w:color="auto" w:fill="FFFFFF"/>
          <w:lang w:val="fr-CA"/>
        </w:rPr>
        <w:t xml:space="preserve"> </w:t>
      </w:r>
      <w:r w:rsidR="004E036A">
        <w:rPr>
          <w:rStyle w:val="normaltextrun"/>
          <w:bCs/>
          <w:color w:val="000000"/>
          <w:shd w:val="clear" w:color="auto" w:fill="FFFFFF"/>
          <w:lang w:val="fr-CA"/>
        </w:rPr>
        <w:t>Il constitue une mise à jour des documents UNEP/OzL.Pro/ExCom/94/58 et UNEP/OzL.Pro/ExCom/95/85 et devrait être lu conjointement avec ces deux documents</w:t>
      </w:r>
      <w:r w:rsidR="004D6843">
        <w:rPr>
          <w:rStyle w:val="normaltextrun"/>
          <w:rFonts w:ascii="ZWAdobeF" w:hAnsi="ZWAdobeF" w:cs="ZWAdobeF"/>
          <w:bCs/>
          <w:sz w:val="2"/>
          <w:szCs w:val="2"/>
          <w:shd w:val="clear" w:color="auto" w:fill="FFFFFF"/>
          <w:lang w:val="fr-CA"/>
        </w:rPr>
        <w:t>2F</w:t>
      </w:r>
      <w:r w:rsidR="004E036A">
        <w:rPr>
          <w:rStyle w:val="FootnoteReference"/>
          <w:bCs/>
          <w:color w:val="000000"/>
          <w:shd w:val="clear" w:color="auto" w:fill="FFFFFF"/>
          <w:lang w:val="fr-CA"/>
        </w:rPr>
        <w:footnoteReference w:id="3"/>
      </w:r>
      <w:r w:rsidR="004E036A">
        <w:rPr>
          <w:rStyle w:val="normaltextrun"/>
          <w:bCs/>
          <w:color w:val="000000"/>
          <w:shd w:val="clear" w:color="auto" w:fill="FFFFFF"/>
          <w:lang w:val="fr-CA"/>
        </w:rPr>
        <w:t>.</w:t>
      </w:r>
      <w:r>
        <w:rPr>
          <w:rStyle w:val="normaltextrun"/>
          <w:bCs/>
          <w:color w:val="000000"/>
          <w:shd w:val="clear" w:color="auto" w:fill="FFFFFF"/>
          <w:lang w:val="fr-CA"/>
        </w:rPr>
        <w:t xml:space="preserve"> </w:t>
      </w:r>
    </w:p>
    <w:p w14:paraId="2BD52652" w14:textId="77777777" w:rsidR="00796DAE" w:rsidRDefault="00796DAE" w:rsidP="00B0560F">
      <w:pPr>
        <w:rPr>
          <w:bCs/>
          <w:lang w:val="fr-CA"/>
        </w:rPr>
      </w:pPr>
    </w:p>
    <w:p w14:paraId="4190E6D4" w14:textId="5F18896F" w:rsidR="00F6620D" w:rsidRDefault="00F6620D" w:rsidP="00B0560F">
      <w:pPr>
        <w:rPr>
          <w:b/>
          <w:lang w:val="fr-CA"/>
        </w:rPr>
      </w:pPr>
      <w:r>
        <w:rPr>
          <w:b/>
          <w:lang w:val="fr-CA"/>
        </w:rPr>
        <w:lastRenderedPageBreak/>
        <w:t>Mise à jour sur les projets d’élimination des HCFC et de réduction progressive des HFC dans le secteur de la fabrication de la mousse de polyuréthane, soutenus par le Fonds multilatéral</w:t>
      </w:r>
    </w:p>
    <w:p w14:paraId="553A872D" w14:textId="77777777" w:rsidR="00F6620D" w:rsidRDefault="00F6620D" w:rsidP="00B0560F">
      <w:pPr>
        <w:rPr>
          <w:b/>
          <w:lang w:val="fr-CA"/>
        </w:rPr>
      </w:pPr>
    </w:p>
    <w:p w14:paraId="35BFBED3" w14:textId="7E1446E4" w:rsidR="00F6620D" w:rsidRPr="00F6620D" w:rsidRDefault="00F6620D" w:rsidP="00B0560F">
      <w:pPr>
        <w:rPr>
          <w:bCs/>
          <w:lang w:val="fr-CA"/>
        </w:rPr>
      </w:pPr>
      <w:r>
        <w:rPr>
          <w:bCs/>
          <w:lang w:val="fr-CA"/>
        </w:rPr>
        <w:t>7.</w:t>
      </w:r>
      <w:r>
        <w:rPr>
          <w:bCs/>
          <w:lang w:val="fr-CA"/>
        </w:rPr>
        <w:tab/>
        <w:t xml:space="preserve">Les paragraphes 4 à 8 du document UNEP/OzL.Pro/ExCom/94/58 </w:t>
      </w:r>
      <w:r w:rsidR="00B561C6">
        <w:rPr>
          <w:bCs/>
          <w:lang w:val="fr-CA"/>
        </w:rPr>
        <w:t>fournissent</w:t>
      </w:r>
      <w:r>
        <w:rPr>
          <w:bCs/>
          <w:lang w:val="fr-CA"/>
        </w:rPr>
        <w:t xml:space="preserve"> des informations détaillées sur le nombre de projets approuvés pour le secteur de la mousse PU dans le cadre des plans de gestion de l’élimination des HCFC (PGEH) et des plans de réduction progressive des HFC (KIP)</w:t>
      </w:r>
      <w:r w:rsidR="005039AB">
        <w:rPr>
          <w:bCs/>
          <w:lang w:val="fr-CA"/>
        </w:rPr>
        <w:t>,</w:t>
      </w:r>
      <w:r>
        <w:rPr>
          <w:bCs/>
          <w:lang w:val="fr-CA"/>
        </w:rPr>
        <w:t xml:space="preserve"> et </w:t>
      </w:r>
      <w:r w:rsidR="00805444">
        <w:rPr>
          <w:bCs/>
          <w:lang w:val="fr-CA"/>
        </w:rPr>
        <w:t xml:space="preserve">sur </w:t>
      </w:r>
      <w:r>
        <w:rPr>
          <w:bCs/>
          <w:lang w:val="fr-CA"/>
        </w:rPr>
        <w:t xml:space="preserve">la consommation </w:t>
      </w:r>
      <w:r w:rsidR="00B561C6">
        <w:rPr>
          <w:bCs/>
          <w:lang w:val="fr-CA"/>
        </w:rPr>
        <w:t xml:space="preserve">ainsi </w:t>
      </w:r>
      <w:r w:rsidR="005039AB">
        <w:rPr>
          <w:bCs/>
          <w:lang w:val="fr-CA"/>
        </w:rPr>
        <w:t>trait</w:t>
      </w:r>
      <w:r>
        <w:rPr>
          <w:bCs/>
          <w:lang w:val="fr-CA"/>
        </w:rPr>
        <w:t>ée.  Depuis, à la 95</w:t>
      </w:r>
      <w:r w:rsidRPr="00F6620D">
        <w:rPr>
          <w:bCs/>
          <w:vertAlign w:val="superscript"/>
          <w:lang w:val="fr-CA"/>
        </w:rPr>
        <w:t>e</w:t>
      </w:r>
      <w:r>
        <w:rPr>
          <w:bCs/>
          <w:lang w:val="fr-CA"/>
        </w:rPr>
        <w:t xml:space="preserve"> réunion, le Comité exécutif a approuvé, dans le cadre du KIP pour le Nigeria, un projet d’assistance technique pour élimin</w:t>
      </w:r>
      <w:r w:rsidR="00B561C6">
        <w:rPr>
          <w:bCs/>
          <w:lang w:val="fr-CA"/>
        </w:rPr>
        <w:t>er</w:t>
      </w:r>
      <w:r>
        <w:rPr>
          <w:bCs/>
          <w:lang w:val="fr-CA"/>
        </w:rPr>
        <w:t xml:space="preserve"> 472,50 tm ou 375 165 tonnes d’équivalent CO</w:t>
      </w:r>
      <w:r>
        <w:rPr>
          <w:bCs/>
          <w:vertAlign w:val="subscript"/>
          <w:lang w:val="fr-CA"/>
        </w:rPr>
        <w:t>2</w:t>
      </w:r>
      <w:r>
        <w:rPr>
          <w:bCs/>
          <w:lang w:val="fr-CA"/>
        </w:rPr>
        <w:t xml:space="preserve"> (éq.</w:t>
      </w:r>
      <w:r w:rsidR="005039AB">
        <w:rPr>
          <w:bCs/>
          <w:lang w:val="fr-CA"/>
        </w:rPr>
        <w:t>-</w:t>
      </w:r>
      <w:r>
        <w:rPr>
          <w:bCs/>
          <w:lang w:val="fr-CA"/>
        </w:rPr>
        <w:t>CO</w:t>
      </w:r>
      <w:r>
        <w:rPr>
          <w:bCs/>
          <w:vertAlign w:val="subscript"/>
          <w:lang w:val="fr-CA"/>
        </w:rPr>
        <w:t>2</w:t>
      </w:r>
      <w:r>
        <w:rPr>
          <w:bCs/>
          <w:lang w:val="fr-CA"/>
        </w:rPr>
        <w:t xml:space="preserve">) de HFC-365mfc dans deux entreprises de mousse PU </w:t>
      </w:r>
      <w:r w:rsidR="00B561C6">
        <w:rPr>
          <w:bCs/>
          <w:lang w:val="fr-CA"/>
        </w:rPr>
        <w:t>et</w:t>
      </w:r>
      <w:r w:rsidR="0057658C">
        <w:rPr>
          <w:bCs/>
          <w:lang w:val="fr-CA"/>
        </w:rPr>
        <w:t xml:space="preserve"> </w:t>
      </w:r>
      <w:r>
        <w:rPr>
          <w:bCs/>
          <w:lang w:val="fr-CA"/>
        </w:rPr>
        <w:t>adop</w:t>
      </w:r>
      <w:r w:rsidR="00B561C6">
        <w:rPr>
          <w:bCs/>
          <w:lang w:val="fr-CA"/>
        </w:rPr>
        <w:t>ter</w:t>
      </w:r>
      <w:r>
        <w:rPr>
          <w:bCs/>
          <w:lang w:val="fr-CA"/>
        </w:rPr>
        <w:t xml:space="preserve"> </w:t>
      </w:r>
      <w:r w:rsidR="00B561C6">
        <w:rPr>
          <w:bCs/>
          <w:lang w:val="fr-CA"/>
        </w:rPr>
        <w:t xml:space="preserve">le </w:t>
      </w:r>
      <w:r>
        <w:rPr>
          <w:bCs/>
          <w:lang w:val="fr-CA"/>
        </w:rPr>
        <w:t xml:space="preserve">cyclopentane, </w:t>
      </w:r>
      <w:r w:rsidR="00B561C6">
        <w:rPr>
          <w:bCs/>
          <w:lang w:val="fr-CA"/>
        </w:rPr>
        <w:t>l</w:t>
      </w:r>
      <w:r>
        <w:rPr>
          <w:bCs/>
          <w:lang w:val="fr-CA"/>
        </w:rPr>
        <w:t>es HFO et autres solutions de remplacement à faible PRG.  À la 96</w:t>
      </w:r>
      <w:r w:rsidRPr="00F6620D">
        <w:rPr>
          <w:bCs/>
          <w:vertAlign w:val="superscript"/>
          <w:lang w:val="fr-CA"/>
        </w:rPr>
        <w:t>e</w:t>
      </w:r>
      <w:r>
        <w:rPr>
          <w:bCs/>
          <w:lang w:val="fr-CA"/>
        </w:rPr>
        <w:t xml:space="preserve"> réunion</w:t>
      </w:r>
      <w:r w:rsidR="00534CCE">
        <w:rPr>
          <w:bCs/>
          <w:lang w:val="fr-CA"/>
        </w:rPr>
        <w:t>, le Comité exécutif examine aussi des projets dans le secteur de la mousse PU, soumis dans le cadre du KIP pour l’Égypte.</w:t>
      </w:r>
    </w:p>
    <w:p w14:paraId="3E587A5E" w14:textId="3B9B3FA4" w:rsidR="00B0560F" w:rsidRPr="00B0560F" w:rsidRDefault="00B0560F" w:rsidP="00B0560F">
      <w:pPr>
        <w:tabs>
          <w:tab w:val="left" w:pos="0"/>
          <w:tab w:val="left" w:pos="709"/>
        </w:tabs>
        <w:rPr>
          <w:bCs/>
          <w:lang w:val="fr-CA"/>
        </w:rPr>
      </w:pPr>
    </w:p>
    <w:p w14:paraId="1881E2BE" w14:textId="6AF081E0" w:rsidR="0014692C" w:rsidRDefault="00534CCE" w:rsidP="00B0560F">
      <w:pPr>
        <w:tabs>
          <w:tab w:val="left" w:pos="0"/>
          <w:tab w:val="left" w:pos="709"/>
        </w:tabs>
        <w:rPr>
          <w:b/>
          <w:bCs/>
          <w:lang w:val="fr-CA"/>
        </w:rPr>
      </w:pPr>
      <w:r>
        <w:rPr>
          <w:b/>
          <w:bCs/>
          <w:lang w:val="fr-CA"/>
        </w:rPr>
        <w:t xml:space="preserve">Mise à jour sur la disponibilité et les prix des solutions de remplacement à faible potentiel de réchauffement de la planète et les défis </w:t>
      </w:r>
      <w:r w:rsidR="005039AB">
        <w:rPr>
          <w:b/>
          <w:bCs/>
          <w:lang w:val="fr-CA"/>
        </w:rPr>
        <w:t xml:space="preserve">connexes </w:t>
      </w:r>
      <w:r>
        <w:rPr>
          <w:b/>
          <w:bCs/>
          <w:lang w:val="fr-CA"/>
        </w:rPr>
        <w:t xml:space="preserve">pour les fabricants de mousse pulvérisée, incluant les petites et moyennes entreprises </w:t>
      </w:r>
    </w:p>
    <w:p w14:paraId="1B5C1631" w14:textId="77777777" w:rsidR="00534CCE" w:rsidRDefault="00534CCE" w:rsidP="00B0560F">
      <w:pPr>
        <w:tabs>
          <w:tab w:val="left" w:pos="0"/>
          <w:tab w:val="left" w:pos="709"/>
        </w:tabs>
        <w:rPr>
          <w:b/>
          <w:bCs/>
          <w:lang w:val="fr-CA"/>
        </w:rPr>
      </w:pPr>
    </w:p>
    <w:p w14:paraId="4CD4A59E" w14:textId="18E6FB3E" w:rsidR="00534CCE" w:rsidRPr="00534CCE" w:rsidRDefault="00534CCE" w:rsidP="00B0560F">
      <w:pPr>
        <w:tabs>
          <w:tab w:val="left" w:pos="0"/>
          <w:tab w:val="left" w:pos="709"/>
        </w:tabs>
        <w:rPr>
          <w:lang w:val="fr-CA"/>
        </w:rPr>
      </w:pPr>
      <w:r>
        <w:rPr>
          <w:lang w:val="fr-CA"/>
        </w:rPr>
        <w:t>8.</w:t>
      </w:r>
      <w:r>
        <w:rPr>
          <w:lang w:val="fr-CA"/>
        </w:rPr>
        <w:tab/>
        <w:t xml:space="preserve">Pour </w:t>
      </w:r>
      <w:r w:rsidR="00235BAF">
        <w:rPr>
          <w:lang w:val="fr-CA"/>
        </w:rPr>
        <w:t>la mise</w:t>
      </w:r>
      <w:r>
        <w:rPr>
          <w:lang w:val="fr-CA"/>
        </w:rPr>
        <w:t xml:space="preserve"> à jour </w:t>
      </w:r>
      <w:r w:rsidR="00235BAF">
        <w:rPr>
          <w:lang w:val="fr-CA"/>
        </w:rPr>
        <w:t>d</w:t>
      </w:r>
      <w:r>
        <w:rPr>
          <w:lang w:val="fr-CA"/>
        </w:rPr>
        <w:t xml:space="preserve">es rapports contenus dans les documents </w:t>
      </w:r>
      <w:r>
        <w:rPr>
          <w:rStyle w:val="normaltextrun"/>
          <w:bCs/>
          <w:color w:val="000000"/>
          <w:shd w:val="clear" w:color="auto" w:fill="FFFFFF"/>
          <w:lang w:val="fr-CA"/>
        </w:rPr>
        <w:t>UNEP/OzL.Pro/ExCom/94/58 et UNEP/OzL.Pro/ExCom/95/85,</w:t>
      </w:r>
      <w:r w:rsidR="005039AB">
        <w:rPr>
          <w:rStyle w:val="normaltextrun"/>
          <w:bCs/>
          <w:color w:val="000000"/>
          <w:shd w:val="clear" w:color="auto" w:fill="FFFFFF"/>
          <w:lang w:val="fr-CA"/>
        </w:rPr>
        <w:t xml:space="preserve"> </w:t>
      </w:r>
      <w:r>
        <w:rPr>
          <w:rStyle w:val="normaltextrun"/>
          <w:bCs/>
          <w:color w:val="000000"/>
          <w:shd w:val="clear" w:color="auto" w:fill="FFFFFF"/>
          <w:lang w:val="fr-CA"/>
        </w:rPr>
        <w:t xml:space="preserve">le Secrétariat a </w:t>
      </w:r>
      <w:r w:rsidR="0079095B">
        <w:rPr>
          <w:rStyle w:val="normaltextrun"/>
          <w:bCs/>
          <w:color w:val="000000"/>
          <w:shd w:val="clear" w:color="auto" w:fill="FFFFFF"/>
          <w:lang w:val="fr-CA"/>
        </w:rPr>
        <w:t>demandé</w:t>
      </w:r>
      <w:r>
        <w:rPr>
          <w:rStyle w:val="normaltextrun"/>
          <w:bCs/>
          <w:color w:val="000000"/>
          <w:shd w:val="clear" w:color="auto" w:fill="FFFFFF"/>
          <w:lang w:val="fr-CA"/>
        </w:rPr>
        <w:t xml:space="preserve"> de l’information au</w:t>
      </w:r>
      <w:r w:rsidR="0079095B">
        <w:rPr>
          <w:rStyle w:val="normaltextrun"/>
          <w:bCs/>
          <w:color w:val="000000"/>
          <w:shd w:val="clear" w:color="auto" w:fill="FFFFFF"/>
          <w:lang w:val="fr-CA"/>
        </w:rPr>
        <w:t>x</w:t>
      </w:r>
      <w:r>
        <w:rPr>
          <w:rStyle w:val="normaltextrun"/>
          <w:bCs/>
          <w:color w:val="000000"/>
          <w:shd w:val="clear" w:color="auto" w:fill="FFFFFF"/>
          <w:lang w:val="fr-CA"/>
        </w:rPr>
        <w:t xml:space="preserve"> agences d’exécution impliquées dans les projets de mousse PU.  Les agences ét</w:t>
      </w:r>
      <w:r w:rsidR="00235BAF">
        <w:rPr>
          <w:rStyle w:val="normaltextrun"/>
          <w:bCs/>
          <w:color w:val="000000"/>
          <w:shd w:val="clear" w:color="auto" w:fill="FFFFFF"/>
          <w:lang w:val="fr-CA"/>
        </w:rPr>
        <w:t>aient</w:t>
      </w:r>
      <w:r>
        <w:rPr>
          <w:rStyle w:val="normaltextrun"/>
          <w:bCs/>
          <w:color w:val="000000"/>
          <w:shd w:val="clear" w:color="auto" w:fill="FFFFFF"/>
          <w:lang w:val="fr-CA"/>
        </w:rPr>
        <w:t xml:space="preserve"> priées notamment de présenter des mises à jour sur la disponibilité actuelle et les prix des technologies à faible PRG dans les pays visés à l’article 5; les principaux défis rencontrés par les PME pour l’adoption de technologies à faible PRG</w:t>
      </w:r>
      <w:r w:rsidR="0079095B">
        <w:rPr>
          <w:rStyle w:val="normaltextrun"/>
          <w:bCs/>
          <w:color w:val="000000"/>
          <w:shd w:val="clear" w:color="auto" w:fill="FFFFFF"/>
          <w:lang w:val="fr-CA"/>
        </w:rPr>
        <w:t xml:space="preserve"> dans le secteur de la mousse PU, en particulier pour les applications de mousse pulvérisée et de mousse isolante; les mesures prises pour relever ces défis, incluant les questions techniques, la sécurité, les préoccupations environnementales et autres obstacles; et les défis encore non résolus</w:t>
      </w:r>
      <w:r w:rsidR="00235BAF">
        <w:rPr>
          <w:rStyle w:val="normaltextrun"/>
          <w:bCs/>
          <w:color w:val="000000"/>
          <w:shd w:val="clear" w:color="auto" w:fill="FFFFFF"/>
          <w:lang w:val="fr-CA"/>
        </w:rPr>
        <w:t xml:space="preserve"> et</w:t>
      </w:r>
      <w:r w:rsidR="0079095B">
        <w:rPr>
          <w:rStyle w:val="normaltextrun"/>
          <w:bCs/>
          <w:color w:val="000000"/>
          <w:shd w:val="clear" w:color="auto" w:fill="FFFFFF"/>
          <w:lang w:val="fr-CA"/>
        </w:rPr>
        <w:t xml:space="preserve"> des stratégies potentielles ou des idées pour les surmonter.  Les informations fournies par les agences d’exécution sont présentées ci-dessous.</w:t>
      </w:r>
      <w:r>
        <w:rPr>
          <w:rStyle w:val="normaltextrun"/>
          <w:bCs/>
          <w:color w:val="000000"/>
          <w:shd w:val="clear" w:color="auto" w:fill="FFFFFF"/>
          <w:lang w:val="fr-CA"/>
        </w:rPr>
        <w:t xml:space="preserve"> </w:t>
      </w:r>
    </w:p>
    <w:p w14:paraId="6C3E580C" w14:textId="77777777" w:rsidR="00FC3E05" w:rsidRDefault="00FC3E05" w:rsidP="00B0560F">
      <w:pPr>
        <w:rPr>
          <w:b/>
          <w:bCs/>
          <w:lang w:val="fr-CA"/>
        </w:rPr>
      </w:pPr>
    </w:p>
    <w:p w14:paraId="4C7F336A" w14:textId="5DFFBB14" w:rsidR="00FC3E05" w:rsidRDefault="0079095B" w:rsidP="00B0560F">
      <w:pPr>
        <w:rPr>
          <w:lang w:val="fr-CA"/>
        </w:rPr>
      </w:pPr>
      <w:r>
        <w:rPr>
          <w:lang w:val="fr-CA"/>
        </w:rPr>
        <w:t>9.</w:t>
      </w:r>
      <w:r>
        <w:rPr>
          <w:lang w:val="fr-CA"/>
        </w:rPr>
        <w:tab/>
        <w:t>Le PNUD a fourni des mises à jour sur les projets de mousse PU mis en œuvre dans huit pays :</w:t>
      </w:r>
    </w:p>
    <w:p w14:paraId="6E7370D8" w14:textId="77777777" w:rsidR="0079095B" w:rsidRDefault="0079095B" w:rsidP="00B0560F">
      <w:pPr>
        <w:rPr>
          <w:lang w:val="fr-CA"/>
        </w:rPr>
      </w:pPr>
    </w:p>
    <w:p w14:paraId="34B2BEA8" w14:textId="27B1CC04" w:rsidR="0079095B" w:rsidRDefault="0079095B" w:rsidP="0079095B">
      <w:pPr>
        <w:pStyle w:val="ListParagraph"/>
        <w:numPr>
          <w:ilvl w:val="0"/>
          <w:numId w:val="25"/>
        </w:numPr>
        <w:ind w:left="1418" w:hanging="698"/>
        <w:rPr>
          <w:lang w:val="fr-CA"/>
        </w:rPr>
      </w:pPr>
      <w:r>
        <w:rPr>
          <w:lang w:val="fr-CA"/>
        </w:rPr>
        <w:t>Au Brésil, le plan sectoriel pour la mousse PU s’est achevé avec la reconversion des grandes entreprises au cyclopentane</w:t>
      </w:r>
      <w:r w:rsidR="005039AB">
        <w:rPr>
          <w:lang w:val="fr-CA"/>
        </w:rPr>
        <w:t xml:space="preserve">, </w:t>
      </w:r>
      <w:r w:rsidR="00235BAF">
        <w:rPr>
          <w:lang w:val="fr-CA"/>
        </w:rPr>
        <w:t>par l’intermédiaire</w:t>
      </w:r>
      <w:r>
        <w:rPr>
          <w:lang w:val="fr-CA"/>
        </w:rPr>
        <w:t xml:space="preserve"> des </w:t>
      </w:r>
      <w:r w:rsidR="00336DE7">
        <w:rPr>
          <w:lang w:val="fr-CA"/>
        </w:rPr>
        <w:t>sociétés</w:t>
      </w:r>
      <w:r w:rsidR="00082221">
        <w:rPr>
          <w:lang w:val="fr-CA"/>
        </w:rPr>
        <w:t xml:space="preserve"> de formulation pour reconvertir 200 utilisateurs en aval, incluant des PME, au formate de méthyle, à des </w:t>
      </w:r>
      <w:r w:rsidR="0057658C">
        <w:rPr>
          <w:lang w:val="fr-CA"/>
        </w:rPr>
        <w:t>formulations</w:t>
      </w:r>
      <w:r w:rsidR="00082221">
        <w:rPr>
          <w:lang w:val="fr-CA"/>
        </w:rPr>
        <w:t xml:space="preserve"> </w:t>
      </w:r>
      <w:r w:rsidR="00235BAF">
        <w:rPr>
          <w:lang w:val="fr-CA"/>
        </w:rPr>
        <w:t>à base d’</w:t>
      </w:r>
      <w:r w:rsidR="00A00EE2">
        <w:rPr>
          <w:lang w:val="fr-CA"/>
        </w:rPr>
        <w:t>e</w:t>
      </w:r>
      <w:r w:rsidR="00235BAF">
        <w:rPr>
          <w:lang w:val="fr-CA"/>
        </w:rPr>
        <w:t>a</w:t>
      </w:r>
      <w:r w:rsidR="00A00EE2">
        <w:rPr>
          <w:lang w:val="fr-CA"/>
        </w:rPr>
        <w:t>u</w:t>
      </w:r>
      <w:r w:rsidR="00082221">
        <w:rPr>
          <w:lang w:val="fr-CA"/>
        </w:rPr>
        <w:t xml:space="preserve">, au méthylal et aux HFO.  Les défis signalés lors des réunions précédentes (par ex. la disponibilité de HFC à des prix concurrentiels) persistent mais </w:t>
      </w:r>
      <w:r w:rsidR="006C3B1A">
        <w:rPr>
          <w:lang w:val="fr-CA"/>
        </w:rPr>
        <w:t>l</w:t>
      </w:r>
      <w:r w:rsidR="00082221">
        <w:rPr>
          <w:lang w:val="fr-CA"/>
        </w:rPr>
        <w:t xml:space="preserve">es utilisateurs finaux ont adopté des solutions de remplacement à faible PRG. </w:t>
      </w:r>
      <w:r w:rsidR="0057658C">
        <w:rPr>
          <w:lang w:val="fr-CA"/>
        </w:rPr>
        <w:t xml:space="preserve"> </w:t>
      </w:r>
      <w:r w:rsidR="00082221">
        <w:rPr>
          <w:lang w:val="fr-CA"/>
        </w:rPr>
        <w:t xml:space="preserve">Les HFO sont disponibles actuellement, </w:t>
      </w:r>
      <w:r w:rsidR="00336DE7">
        <w:rPr>
          <w:lang w:val="fr-CA"/>
        </w:rPr>
        <w:t>à</w:t>
      </w:r>
      <w:r w:rsidR="00082221">
        <w:rPr>
          <w:lang w:val="fr-CA"/>
        </w:rPr>
        <w:t xml:space="preserve"> des prix de l’ordre de 14,00 </w:t>
      </w:r>
      <w:r w:rsidR="00805444">
        <w:rPr>
          <w:lang w:val="fr-CA"/>
        </w:rPr>
        <w:t>-</w:t>
      </w:r>
      <w:r w:rsidR="00082221">
        <w:rPr>
          <w:lang w:val="fr-CA"/>
        </w:rPr>
        <w:t xml:space="preserve"> 18,00 $US, le kilo</w:t>
      </w:r>
      <w:r w:rsidR="006C3B1A">
        <w:rPr>
          <w:lang w:val="fr-CA"/>
        </w:rPr>
        <w:t>gramme (kg)</w:t>
      </w:r>
      <w:r w:rsidR="00082221">
        <w:rPr>
          <w:lang w:val="fr-CA"/>
        </w:rPr>
        <w:t>;</w:t>
      </w:r>
    </w:p>
    <w:p w14:paraId="6279B6E6" w14:textId="77777777" w:rsidR="00082221" w:rsidRPr="00082221" w:rsidRDefault="00082221" w:rsidP="00082221">
      <w:pPr>
        <w:rPr>
          <w:lang w:val="fr-CA"/>
        </w:rPr>
      </w:pPr>
    </w:p>
    <w:p w14:paraId="63E9C770" w14:textId="51F10F20" w:rsidR="00082221" w:rsidRDefault="00082221" w:rsidP="0079095B">
      <w:pPr>
        <w:pStyle w:val="ListParagraph"/>
        <w:numPr>
          <w:ilvl w:val="0"/>
          <w:numId w:val="25"/>
        </w:numPr>
        <w:ind w:left="1418" w:hanging="698"/>
        <w:rPr>
          <w:lang w:val="fr-CA"/>
        </w:rPr>
      </w:pPr>
      <w:r>
        <w:rPr>
          <w:lang w:val="fr-CA"/>
        </w:rPr>
        <w:t>Au Chili, le projet de mousse PU, incluant des PME, est achevé.  Tel que rapporté précédemment, les grands utilisateurs (à savoir</w:t>
      </w:r>
      <w:r w:rsidR="006C3B1A">
        <w:rPr>
          <w:lang w:val="fr-CA"/>
        </w:rPr>
        <w:t>,</w:t>
      </w:r>
      <w:r>
        <w:rPr>
          <w:lang w:val="fr-CA"/>
        </w:rPr>
        <w:t xml:space="preserve"> les fabricants de </w:t>
      </w:r>
      <w:r w:rsidR="00CD336F">
        <w:rPr>
          <w:lang w:val="fr-CA"/>
        </w:rPr>
        <w:t xml:space="preserve">panneaux continus) utilisent du cyclopentane et les petits et moyens, incluant les utilisateurs de mousse pulvérisée, utilisent </w:t>
      </w:r>
      <w:r w:rsidR="000F4141">
        <w:rPr>
          <w:lang w:val="fr-CA"/>
        </w:rPr>
        <w:t xml:space="preserve">des HFO, l’eau, le formate de méthyle et des HFC. Toutes les technologies sont importées et il n’y a </w:t>
      </w:r>
      <w:r w:rsidR="00336DE7">
        <w:rPr>
          <w:lang w:val="fr-CA"/>
        </w:rPr>
        <w:t>aucun</w:t>
      </w:r>
      <w:r w:rsidR="000F4141">
        <w:rPr>
          <w:lang w:val="fr-CA"/>
        </w:rPr>
        <w:t xml:space="preserve"> problème d’approvisionnement pour les polyols entièrement formulés contenant des HFO, du formate de méthyle ou des HFC, mais il y a eu quelques retards dans les soumissions et l’expédition pour les HFO.  Les prix des polyols entièrement formulés par des </w:t>
      </w:r>
      <w:r w:rsidR="00336DE7">
        <w:rPr>
          <w:lang w:val="fr-CA"/>
        </w:rPr>
        <w:t>sociétés</w:t>
      </w:r>
      <w:r w:rsidR="000F4141">
        <w:rPr>
          <w:lang w:val="fr-CA"/>
        </w:rPr>
        <w:t xml:space="preserve"> de formulation chiliennes demeurent de 3,30 $US/kg pour les </w:t>
      </w:r>
      <w:r w:rsidR="0057658C">
        <w:rPr>
          <w:lang w:val="fr-CA"/>
        </w:rPr>
        <w:t>formulations</w:t>
      </w:r>
      <w:r w:rsidR="000F4141">
        <w:rPr>
          <w:lang w:val="fr-CA"/>
        </w:rPr>
        <w:t xml:space="preserve"> </w:t>
      </w:r>
      <w:r w:rsidR="00A00EE2">
        <w:rPr>
          <w:lang w:val="fr-CA"/>
        </w:rPr>
        <w:t>aqueu</w:t>
      </w:r>
      <w:r w:rsidR="0057658C">
        <w:rPr>
          <w:lang w:val="fr-CA"/>
        </w:rPr>
        <w:t>ses</w:t>
      </w:r>
      <w:r w:rsidR="000F4141">
        <w:rPr>
          <w:lang w:val="fr-CA"/>
        </w:rPr>
        <w:t xml:space="preserve"> et 5,50 $US pour les mélanges à base de HFO.  Les différences entre les polyols formulés avec des HFC et des HFO sont de 5 pour cent plus élevées pour les applications pulvérisées et de 10 pour cent pour les applications injectées;</w:t>
      </w:r>
    </w:p>
    <w:p w14:paraId="161DE8B9" w14:textId="77777777" w:rsidR="000F4141" w:rsidRPr="000F4141" w:rsidRDefault="000F4141" w:rsidP="000F4141">
      <w:pPr>
        <w:pStyle w:val="ListParagraph"/>
        <w:rPr>
          <w:lang w:val="fr-CA"/>
        </w:rPr>
      </w:pPr>
    </w:p>
    <w:p w14:paraId="0D0A2C66" w14:textId="046D9883" w:rsidR="00A21AAC" w:rsidRDefault="000F4141" w:rsidP="0079095B">
      <w:pPr>
        <w:pStyle w:val="ListParagraph"/>
        <w:numPr>
          <w:ilvl w:val="0"/>
          <w:numId w:val="25"/>
        </w:numPr>
        <w:ind w:left="1418" w:hanging="698"/>
        <w:rPr>
          <w:lang w:val="fr-CA"/>
        </w:rPr>
      </w:pPr>
      <w:r>
        <w:rPr>
          <w:lang w:val="fr-CA"/>
        </w:rPr>
        <w:t xml:space="preserve">En Colombie, le projet de mousse PU, incluant </w:t>
      </w:r>
      <w:r w:rsidR="00F52CBA">
        <w:rPr>
          <w:lang w:val="fr-CA"/>
        </w:rPr>
        <w:t xml:space="preserve">des PME, est achevé.  </w:t>
      </w:r>
      <w:r w:rsidR="006C3B1A">
        <w:rPr>
          <w:lang w:val="fr-CA"/>
        </w:rPr>
        <w:t>Tandis que l</w:t>
      </w:r>
      <w:r w:rsidR="00A21AAC">
        <w:rPr>
          <w:lang w:val="fr-CA"/>
        </w:rPr>
        <w:t>a disponibilité des HFO n</w:t>
      </w:r>
      <w:r w:rsidR="006C3B1A">
        <w:rPr>
          <w:lang w:val="fr-CA"/>
        </w:rPr>
        <w:t>’a</w:t>
      </w:r>
      <w:r w:rsidR="00A21AAC">
        <w:rPr>
          <w:lang w:val="fr-CA"/>
        </w:rPr>
        <w:t xml:space="preserve"> pas</w:t>
      </w:r>
      <w:r w:rsidR="00336DE7">
        <w:rPr>
          <w:lang w:val="fr-CA"/>
        </w:rPr>
        <w:t xml:space="preserve"> </w:t>
      </w:r>
      <w:r w:rsidR="006C3B1A">
        <w:rPr>
          <w:lang w:val="fr-CA"/>
        </w:rPr>
        <w:t xml:space="preserve">posé </w:t>
      </w:r>
      <w:r w:rsidR="00336DE7">
        <w:rPr>
          <w:lang w:val="fr-CA"/>
        </w:rPr>
        <w:t>de</w:t>
      </w:r>
      <w:r w:rsidR="00A21AAC">
        <w:rPr>
          <w:lang w:val="fr-CA"/>
        </w:rPr>
        <w:t xml:space="preserve"> </w:t>
      </w:r>
      <w:r w:rsidR="00F52CBA">
        <w:rPr>
          <w:lang w:val="fr-CA"/>
        </w:rPr>
        <w:t xml:space="preserve">problème, le défi des prix persiste </w:t>
      </w:r>
      <w:r w:rsidR="006C3B1A">
        <w:rPr>
          <w:lang w:val="fr-CA"/>
        </w:rPr>
        <w:t xml:space="preserve">toutefois </w:t>
      </w:r>
      <w:r w:rsidR="00F52CBA">
        <w:rPr>
          <w:lang w:val="fr-CA"/>
        </w:rPr>
        <w:t>et affecte l’a</w:t>
      </w:r>
      <w:r w:rsidR="00A21AAC">
        <w:rPr>
          <w:lang w:val="fr-CA"/>
        </w:rPr>
        <w:t xml:space="preserve">pprovisionnement en catalyseurs et autres additifs requis pour élaborer des formulations de polyol à base de HFO.  Aucune variation de prix n’a été signalée (17,00 </w:t>
      </w:r>
      <w:r w:rsidR="00B5158B">
        <w:rPr>
          <w:lang w:val="fr-CA"/>
        </w:rPr>
        <w:t>-</w:t>
      </w:r>
      <w:r w:rsidR="00A21AAC">
        <w:rPr>
          <w:lang w:val="fr-CA"/>
        </w:rPr>
        <w:t xml:space="preserve"> 19,00 $US/kg </w:t>
      </w:r>
      <w:r w:rsidR="00A21AAC">
        <w:rPr>
          <w:lang w:val="fr-CA"/>
        </w:rPr>
        <w:lastRenderedPageBreak/>
        <w:t xml:space="preserve">pour les HFO). Une </w:t>
      </w:r>
      <w:r w:rsidR="003B3A52">
        <w:rPr>
          <w:lang w:val="fr-CA"/>
        </w:rPr>
        <w:t>société</w:t>
      </w:r>
      <w:r w:rsidR="00A21AAC">
        <w:rPr>
          <w:lang w:val="fr-CA"/>
        </w:rPr>
        <w:t xml:space="preserve"> de formulation a signalé des retards d</w:t>
      </w:r>
      <w:r w:rsidR="00B5158B">
        <w:rPr>
          <w:lang w:val="fr-CA"/>
        </w:rPr>
        <w:t>ans l</w:t>
      </w:r>
      <w:r w:rsidR="00A21AAC">
        <w:rPr>
          <w:lang w:val="fr-CA"/>
        </w:rPr>
        <w:t xml:space="preserve">’approvisionnement </w:t>
      </w:r>
      <w:r w:rsidR="00B5158B">
        <w:rPr>
          <w:lang w:val="fr-CA"/>
        </w:rPr>
        <w:t>dus aux</w:t>
      </w:r>
      <w:r w:rsidR="00A21AAC">
        <w:rPr>
          <w:lang w:val="fr-CA"/>
        </w:rPr>
        <w:t xml:space="preserve"> contraintes logistiques du principal producteur de HFO;</w:t>
      </w:r>
    </w:p>
    <w:p w14:paraId="5A55F109" w14:textId="77777777" w:rsidR="00A21AAC" w:rsidRPr="00A21AAC" w:rsidRDefault="00A21AAC" w:rsidP="00A21AAC">
      <w:pPr>
        <w:pStyle w:val="ListParagraph"/>
        <w:rPr>
          <w:lang w:val="fr-CA"/>
        </w:rPr>
      </w:pPr>
    </w:p>
    <w:p w14:paraId="34D66767" w14:textId="1BCCDB87" w:rsidR="00A21AAC" w:rsidRDefault="00A21AAC" w:rsidP="0079095B">
      <w:pPr>
        <w:pStyle w:val="ListParagraph"/>
        <w:numPr>
          <w:ilvl w:val="0"/>
          <w:numId w:val="25"/>
        </w:numPr>
        <w:ind w:left="1418" w:hanging="698"/>
        <w:rPr>
          <w:lang w:val="fr-CA"/>
        </w:rPr>
      </w:pPr>
      <w:r>
        <w:rPr>
          <w:lang w:val="fr-CA"/>
        </w:rPr>
        <w:t xml:space="preserve">Au Costa Rica, le projet de mousse PU est achevé (il n’incluait pas de PME).  Le pays importe de petites quantités de </w:t>
      </w:r>
      <w:r w:rsidR="00F73853">
        <w:rPr>
          <w:lang w:val="fr-CA"/>
        </w:rPr>
        <w:t>formulations</w:t>
      </w:r>
      <w:r>
        <w:rPr>
          <w:lang w:val="fr-CA"/>
        </w:rPr>
        <w:t xml:space="preserve"> à base de HFO dont l’approvisionnement semble stable; tel que rapporté précédemment, aucun problème n’a été identifié;</w:t>
      </w:r>
    </w:p>
    <w:p w14:paraId="2049ABB8" w14:textId="77777777" w:rsidR="00A21AAC" w:rsidRPr="00A21AAC" w:rsidRDefault="00A21AAC" w:rsidP="00A21AAC">
      <w:pPr>
        <w:pStyle w:val="ListParagraph"/>
        <w:rPr>
          <w:lang w:val="fr-CA"/>
        </w:rPr>
      </w:pPr>
    </w:p>
    <w:p w14:paraId="0B89CEE4" w14:textId="7C716FE1" w:rsidR="00611769" w:rsidRDefault="00A21AAC" w:rsidP="0079095B">
      <w:pPr>
        <w:pStyle w:val="ListParagraph"/>
        <w:numPr>
          <w:ilvl w:val="0"/>
          <w:numId w:val="25"/>
        </w:numPr>
        <w:ind w:left="1418" w:hanging="698"/>
        <w:rPr>
          <w:lang w:val="fr-CA"/>
        </w:rPr>
      </w:pPr>
      <w:r>
        <w:rPr>
          <w:lang w:val="fr-CA"/>
        </w:rPr>
        <w:t xml:space="preserve">En Égypte, le projet de mousse PU, incluant des PME, est achevé.  Les grandes entreprises ont adopté le cyclopentane, disponible aisément sur le marché. Les PME utilisent des technologies différentes </w:t>
      </w:r>
      <w:r w:rsidR="00F73853">
        <w:rPr>
          <w:lang w:val="fr-CA"/>
        </w:rPr>
        <w:t>selon</w:t>
      </w:r>
      <w:r>
        <w:rPr>
          <w:lang w:val="fr-CA"/>
        </w:rPr>
        <w:t xml:space="preserve"> le fournisseur de formulations, incluant les HFC, le formate de méthyle et les HFO.  L</w:t>
      </w:r>
      <w:r w:rsidR="00805444">
        <w:rPr>
          <w:lang w:val="fr-CA"/>
        </w:rPr>
        <w:t>’unique défi pour les PME provenait initialement d</w:t>
      </w:r>
      <w:r>
        <w:rPr>
          <w:lang w:val="fr-CA"/>
        </w:rPr>
        <w:t>e</w:t>
      </w:r>
      <w:r w:rsidR="00611769">
        <w:rPr>
          <w:lang w:val="fr-CA"/>
        </w:rPr>
        <w:t>s prix plus élevés des solutions de remplacement</w:t>
      </w:r>
      <w:r w:rsidR="0057658C">
        <w:rPr>
          <w:lang w:val="fr-CA"/>
        </w:rPr>
        <w:t>,</w:t>
      </w:r>
      <w:r w:rsidR="00611769">
        <w:rPr>
          <w:lang w:val="fr-CA"/>
        </w:rPr>
        <w:t xml:space="preserve"> par rapport au HCFC-141b; toutefois, le problème </w:t>
      </w:r>
      <w:r w:rsidR="0057658C">
        <w:rPr>
          <w:lang w:val="fr-CA"/>
        </w:rPr>
        <w:t>a été</w:t>
      </w:r>
      <w:r w:rsidR="00F73853">
        <w:rPr>
          <w:lang w:val="fr-CA"/>
        </w:rPr>
        <w:t xml:space="preserve"> résolu </w:t>
      </w:r>
      <w:r w:rsidR="0057658C">
        <w:rPr>
          <w:lang w:val="fr-CA"/>
        </w:rPr>
        <w:t xml:space="preserve">par une plus grande disponibilité </w:t>
      </w:r>
      <w:r w:rsidR="00611769">
        <w:rPr>
          <w:lang w:val="fr-CA"/>
        </w:rPr>
        <w:t>de</w:t>
      </w:r>
      <w:r w:rsidR="0057658C">
        <w:rPr>
          <w:lang w:val="fr-CA"/>
        </w:rPr>
        <w:t>s</w:t>
      </w:r>
      <w:r w:rsidR="00611769">
        <w:rPr>
          <w:lang w:val="fr-CA"/>
        </w:rPr>
        <w:t xml:space="preserve"> solutions de remplacement;</w:t>
      </w:r>
    </w:p>
    <w:p w14:paraId="40D2C5EA" w14:textId="77777777" w:rsidR="00611769" w:rsidRPr="00611769" w:rsidRDefault="00611769" w:rsidP="00611769">
      <w:pPr>
        <w:pStyle w:val="ListParagraph"/>
        <w:rPr>
          <w:lang w:val="fr-CA"/>
        </w:rPr>
      </w:pPr>
    </w:p>
    <w:p w14:paraId="5268B613" w14:textId="794C0187" w:rsidR="000F4141" w:rsidRDefault="00611769" w:rsidP="0079095B">
      <w:pPr>
        <w:pStyle w:val="ListParagraph"/>
        <w:numPr>
          <w:ilvl w:val="0"/>
          <w:numId w:val="25"/>
        </w:numPr>
        <w:ind w:left="1418" w:hanging="698"/>
        <w:rPr>
          <w:lang w:val="fr-CA"/>
        </w:rPr>
      </w:pPr>
      <w:r>
        <w:rPr>
          <w:lang w:val="fr-CA"/>
        </w:rPr>
        <w:t>En Inde, le plan sectoriel pour la mousse PU, incluant des PME, s’est achevé avec la reconversion de 158 entreprises au cyclopentane, au formate de méthyle et</w:t>
      </w:r>
      <w:r w:rsidR="00594B34">
        <w:rPr>
          <w:lang w:val="fr-CA"/>
        </w:rPr>
        <w:t>,</w:t>
      </w:r>
      <w:r>
        <w:rPr>
          <w:lang w:val="fr-CA"/>
        </w:rPr>
        <w:t xml:space="preserve"> dans plusieurs cas</w:t>
      </w:r>
      <w:r w:rsidR="00F73853">
        <w:rPr>
          <w:lang w:val="fr-CA"/>
        </w:rPr>
        <w:t>, aux HFO</w:t>
      </w:r>
      <w:r>
        <w:rPr>
          <w:lang w:val="fr-CA"/>
        </w:rPr>
        <w:t xml:space="preserve">. </w:t>
      </w:r>
      <w:r w:rsidR="00F73853">
        <w:rPr>
          <w:lang w:val="fr-CA"/>
        </w:rPr>
        <w:t xml:space="preserve"> </w:t>
      </w:r>
      <w:r>
        <w:rPr>
          <w:lang w:val="fr-CA"/>
        </w:rPr>
        <w:t xml:space="preserve">Les prix restent inchangés depuis les derniers rapports, soit 24,00 $US/kg pour les HFO; 2,00 $US/kg pour le cyclopentane pur ou 3,00 $US/kg pour le pré-mélangé; et 2,00 $US/kg pour le formate de méthyle et les formulations </w:t>
      </w:r>
      <w:r w:rsidR="00594B34">
        <w:rPr>
          <w:lang w:val="fr-CA"/>
        </w:rPr>
        <w:t>à base d’eau</w:t>
      </w:r>
      <w:r>
        <w:rPr>
          <w:lang w:val="fr-CA"/>
        </w:rPr>
        <w:t xml:space="preserve">; </w:t>
      </w:r>
    </w:p>
    <w:p w14:paraId="1BD5E5D1" w14:textId="77777777" w:rsidR="00A00EE2" w:rsidRPr="00A00EE2" w:rsidRDefault="00A00EE2" w:rsidP="00A00EE2">
      <w:pPr>
        <w:pStyle w:val="ListParagraph"/>
        <w:rPr>
          <w:lang w:val="fr-CA"/>
        </w:rPr>
      </w:pPr>
    </w:p>
    <w:p w14:paraId="48F13BE6" w14:textId="196C50B9" w:rsidR="00A00EE2" w:rsidRDefault="00A00EE2" w:rsidP="00A00EE2">
      <w:pPr>
        <w:pStyle w:val="ListParagraph"/>
        <w:numPr>
          <w:ilvl w:val="0"/>
          <w:numId w:val="25"/>
        </w:numPr>
        <w:ind w:left="1418" w:hanging="698"/>
        <w:rPr>
          <w:lang w:val="fr-CA"/>
        </w:rPr>
      </w:pPr>
      <w:r>
        <w:rPr>
          <w:lang w:val="fr-CA"/>
        </w:rPr>
        <w:t>Au Mexique, les activités approuvées</w:t>
      </w:r>
      <w:r w:rsidR="00F73853">
        <w:rPr>
          <w:lang w:val="fr-CA"/>
        </w:rPr>
        <w:t>,</w:t>
      </w:r>
      <w:r w:rsidR="00F73853" w:rsidRPr="00F73853">
        <w:rPr>
          <w:lang w:val="fr-CA"/>
        </w:rPr>
        <w:t xml:space="preserve"> </w:t>
      </w:r>
      <w:r w:rsidR="00F73853">
        <w:rPr>
          <w:lang w:val="fr-CA"/>
        </w:rPr>
        <w:t>impliquant des sociétés de formulation</w:t>
      </w:r>
      <w:r>
        <w:rPr>
          <w:lang w:val="fr-CA"/>
        </w:rPr>
        <w:t xml:space="preserve"> dans le cadre du KIP pour le plan sectoriel de la mousse PU, ont débuté.  Les PME sont incluses dans le projet et des solutions de remplacement des formulations à base de HFC seront analysées; </w:t>
      </w:r>
    </w:p>
    <w:p w14:paraId="5989E9A1" w14:textId="77777777" w:rsidR="00A00EE2" w:rsidRPr="00A00EE2" w:rsidRDefault="00A00EE2" w:rsidP="00A00EE2">
      <w:pPr>
        <w:pStyle w:val="ListParagraph"/>
        <w:rPr>
          <w:lang w:val="fr-CA"/>
        </w:rPr>
      </w:pPr>
    </w:p>
    <w:p w14:paraId="2C587B96" w14:textId="3C4127A0" w:rsidR="00A00EE2" w:rsidRDefault="00A00EE2" w:rsidP="00A00EE2">
      <w:pPr>
        <w:pStyle w:val="ListParagraph"/>
        <w:numPr>
          <w:ilvl w:val="0"/>
          <w:numId w:val="25"/>
        </w:numPr>
        <w:ind w:left="1418" w:hanging="698"/>
        <w:rPr>
          <w:lang w:val="fr-CA"/>
        </w:rPr>
      </w:pPr>
      <w:r>
        <w:rPr>
          <w:lang w:val="fr-CA"/>
        </w:rPr>
        <w:t>En Uruguay, tel que mentionné à la 94</w:t>
      </w:r>
      <w:r w:rsidRPr="00A00EE2">
        <w:rPr>
          <w:vertAlign w:val="superscript"/>
          <w:lang w:val="fr-CA"/>
        </w:rPr>
        <w:t>e</w:t>
      </w:r>
      <w:r>
        <w:rPr>
          <w:lang w:val="fr-CA"/>
        </w:rPr>
        <w:t xml:space="preserve"> réunion, sur les 21 entreprises incluses dans le plan, une s’est reconvertie au cyclopentane, trois aux HFO</w:t>
      </w:r>
      <w:r w:rsidR="00F73853">
        <w:rPr>
          <w:lang w:val="fr-CA"/>
        </w:rPr>
        <w:t>,</w:t>
      </w:r>
      <w:r>
        <w:rPr>
          <w:lang w:val="fr-CA"/>
        </w:rPr>
        <w:t xml:space="preserve"> et les 17 autres n’ont pas </w:t>
      </w:r>
      <w:r w:rsidR="00594B34">
        <w:rPr>
          <w:lang w:val="fr-CA"/>
        </w:rPr>
        <w:t>termin</w:t>
      </w:r>
      <w:r>
        <w:rPr>
          <w:lang w:val="fr-CA"/>
        </w:rPr>
        <w:t>é leur reconversion à cause de l’indisponibilité de formulations à base de HFO; les soldes inutilisés ont été retournés au Fonds.</w:t>
      </w:r>
    </w:p>
    <w:p w14:paraId="120DFA38" w14:textId="77777777" w:rsidR="00A00EE2" w:rsidRPr="00A00EE2" w:rsidRDefault="00A00EE2" w:rsidP="00A00EE2">
      <w:pPr>
        <w:pStyle w:val="ListParagraph"/>
        <w:rPr>
          <w:lang w:val="fr-CA"/>
        </w:rPr>
      </w:pPr>
    </w:p>
    <w:p w14:paraId="6788084E" w14:textId="1752D433" w:rsidR="00A00EE2" w:rsidRDefault="00A00EE2" w:rsidP="00A00EE2">
      <w:pPr>
        <w:rPr>
          <w:lang w:val="fr-CA"/>
        </w:rPr>
      </w:pPr>
      <w:r>
        <w:rPr>
          <w:lang w:val="fr-CA"/>
        </w:rPr>
        <w:t>10.</w:t>
      </w:r>
      <w:r>
        <w:rPr>
          <w:lang w:val="fr-CA"/>
        </w:rPr>
        <w:tab/>
        <w:t>L’ONUDI a fourni des mises à jour sur les projets de mousse PU mis en œuvre dans cinq pays :</w:t>
      </w:r>
    </w:p>
    <w:p w14:paraId="68B39085" w14:textId="77777777" w:rsidR="00A00EE2" w:rsidRDefault="00A00EE2" w:rsidP="00A00EE2">
      <w:pPr>
        <w:rPr>
          <w:lang w:val="fr-CA"/>
        </w:rPr>
      </w:pPr>
    </w:p>
    <w:p w14:paraId="0DC45732" w14:textId="31504D22" w:rsidR="00066CE8" w:rsidRDefault="00A00EE2" w:rsidP="0044599A">
      <w:pPr>
        <w:pStyle w:val="ListParagraph"/>
        <w:numPr>
          <w:ilvl w:val="0"/>
          <w:numId w:val="26"/>
        </w:numPr>
        <w:ind w:left="1418" w:hanging="698"/>
        <w:rPr>
          <w:lang w:val="fr-CA"/>
        </w:rPr>
      </w:pPr>
      <w:r w:rsidRPr="00FE1727">
        <w:rPr>
          <w:lang w:val="fr-CA"/>
        </w:rPr>
        <w:t>En Argentine, tandis qu’un fournisseur continu</w:t>
      </w:r>
      <w:r w:rsidR="00336DE7">
        <w:rPr>
          <w:lang w:val="fr-CA"/>
        </w:rPr>
        <w:t>e</w:t>
      </w:r>
      <w:r w:rsidRPr="00FE1727">
        <w:rPr>
          <w:lang w:val="fr-CA"/>
        </w:rPr>
        <w:t xml:space="preserve"> de signaler l’impossibilité de livrer des HFO </w:t>
      </w:r>
      <w:r w:rsidR="00F73853">
        <w:rPr>
          <w:lang w:val="fr-CA"/>
        </w:rPr>
        <w:t>s</w:t>
      </w:r>
      <w:r w:rsidRPr="00FE1727">
        <w:rPr>
          <w:lang w:val="fr-CA"/>
        </w:rPr>
        <w:t>ur le marché intérieur avant 2026, deux autres ont reconfirmé leur capacité d’approvisionnement immédiat, avec la possibilité</w:t>
      </w:r>
      <w:r w:rsidR="00594B34" w:rsidRPr="00594B34">
        <w:rPr>
          <w:lang w:val="fr-CA"/>
        </w:rPr>
        <w:t xml:space="preserve"> </w:t>
      </w:r>
      <w:r w:rsidR="00594B34" w:rsidRPr="00FE1727">
        <w:rPr>
          <w:lang w:val="fr-CA"/>
        </w:rPr>
        <w:t xml:space="preserve">pour </w:t>
      </w:r>
      <w:r w:rsidR="00594B34">
        <w:rPr>
          <w:lang w:val="fr-CA"/>
        </w:rPr>
        <w:t>l</w:t>
      </w:r>
      <w:r w:rsidR="00594B34" w:rsidRPr="00FE1727">
        <w:rPr>
          <w:lang w:val="fr-CA"/>
        </w:rPr>
        <w:t>es achats futurs</w:t>
      </w:r>
      <w:r w:rsidR="00594B34">
        <w:rPr>
          <w:lang w:val="fr-CA"/>
        </w:rPr>
        <w:t xml:space="preserve">, </w:t>
      </w:r>
      <w:r w:rsidRPr="00FE1727">
        <w:rPr>
          <w:lang w:val="fr-CA"/>
        </w:rPr>
        <w:t xml:space="preserve"> de r</w:t>
      </w:r>
      <w:r w:rsidR="00594B34">
        <w:rPr>
          <w:lang w:val="fr-CA"/>
        </w:rPr>
        <w:t xml:space="preserve">éduire de 120 à 90 jours, les </w:t>
      </w:r>
      <w:r w:rsidR="00336DE7">
        <w:rPr>
          <w:lang w:val="fr-CA"/>
        </w:rPr>
        <w:t>d</w:t>
      </w:r>
      <w:r w:rsidR="00594B34">
        <w:rPr>
          <w:lang w:val="fr-CA"/>
        </w:rPr>
        <w:t>élais de livraison estimés initialement</w:t>
      </w:r>
      <w:r w:rsidR="00FE1727" w:rsidRPr="00FE1727">
        <w:rPr>
          <w:lang w:val="fr-CA"/>
        </w:rPr>
        <w:t xml:space="preserve">. </w:t>
      </w:r>
      <w:r w:rsidR="00B5158B">
        <w:rPr>
          <w:lang w:val="fr-CA"/>
        </w:rPr>
        <w:t xml:space="preserve"> </w:t>
      </w:r>
      <w:r w:rsidR="00FE1727" w:rsidRPr="00FE1727">
        <w:rPr>
          <w:lang w:val="fr-CA"/>
        </w:rPr>
        <w:t xml:space="preserve">Les </w:t>
      </w:r>
      <w:r w:rsidR="00336DE7">
        <w:rPr>
          <w:lang w:val="fr-CA"/>
        </w:rPr>
        <w:t>sociétés</w:t>
      </w:r>
      <w:r w:rsidR="00FE1727" w:rsidRPr="00FE1727">
        <w:rPr>
          <w:lang w:val="fr-CA"/>
        </w:rPr>
        <w:t xml:space="preserve"> locales de formulation ont confirmé avoir trouvé un prix abordable pour la transition; la plupart d’entre elles ont passé leur première commande d’achat de HFO</w:t>
      </w:r>
      <w:r w:rsidR="00FF7098">
        <w:rPr>
          <w:lang w:val="fr-CA"/>
        </w:rPr>
        <w:t xml:space="preserve"> </w:t>
      </w:r>
      <w:r w:rsidR="00FE1727" w:rsidRPr="00FE1727">
        <w:rPr>
          <w:lang w:val="fr-CA"/>
        </w:rPr>
        <w:t>et les premières importations seront livrées dans des contenants d’une tonne qui d</w:t>
      </w:r>
      <w:r w:rsidR="00594B34">
        <w:rPr>
          <w:lang w:val="fr-CA"/>
        </w:rPr>
        <w:t>evr</w:t>
      </w:r>
      <w:r w:rsidR="00FE1727" w:rsidRPr="00FE1727">
        <w:rPr>
          <w:lang w:val="fr-CA"/>
        </w:rPr>
        <w:t xml:space="preserve">ont être retournés pour réutilisation. Un fournisseur a indiqué qu’il ne pouvait pas garantir les quantités demandées par les </w:t>
      </w:r>
      <w:r w:rsidR="00336DE7">
        <w:rPr>
          <w:lang w:val="fr-CA"/>
        </w:rPr>
        <w:t>sociétés</w:t>
      </w:r>
      <w:r w:rsidR="00FE1727" w:rsidRPr="00FE1727">
        <w:rPr>
          <w:lang w:val="fr-CA"/>
        </w:rPr>
        <w:t xml:space="preserve"> de formulation </w:t>
      </w:r>
      <w:r w:rsidR="00336DE7">
        <w:rPr>
          <w:lang w:val="fr-CA"/>
        </w:rPr>
        <w:t>en raison de la pénurie de contenants pour l’expédition</w:t>
      </w:r>
      <w:r w:rsidR="00F73853">
        <w:rPr>
          <w:lang w:val="fr-CA"/>
        </w:rPr>
        <w:t>,</w:t>
      </w:r>
      <w:r w:rsidR="00336DE7">
        <w:rPr>
          <w:lang w:val="fr-CA"/>
        </w:rPr>
        <w:t xml:space="preserve"> </w:t>
      </w:r>
      <w:r w:rsidR="00F73853">
        <w:rPr>
          <w:lang w:val="fr-CA"/>
        </w:rPr>
        <w:t xml:space="preserve">une situation </w:t>
      </w:r>
      <w:r w:rsidR="00336DE7">
        <w:rPr>
          <w:lang w:val="fr-CA"/>
        </w:rPr>
        <w:t xml:space="preserve">qui reste à résoudre.  Tandis que certaines entreprises utilisent encore les HFC comme solution de remplacement du HCFC-141b à titre transitoire, le gouvernement a réitéré qu’il ne s’agissait pas d’une solution à long terme et fait remarquer </w:t>
      </w:r>
      <w:r w:rsidR="00144224">
        <w:rPr>
          <w:lang w:val="fr-CA"/>
        </w:rPr>
        <w:t>que le pays avait encore besoin du soutien des pays producteurs de HFO pour a</w:t>
      </w:r>
      <w:r w:rsidR="00594B34">
        <w:rPr>
          <w:lang w:val="fr-CA"/>
        </w:rPr>
        <w:t>ssu</w:t>
      </w:r>
      <w:r w:rsidR="00144224">
        <w:rPr>
          <w:lang w:val="fr-CA"/>
        </w:rPr>
        <w:t>r</w:t>
      </w:r>
      <w:r w:rsidR="00594B34">
        <w:rPr>
          <w:lang w:val="fr-CA"/>
        </w:rPr>
        <w:t>e</w:t>
      </w:r>
      <w:r w:rsidR="00144224">
        <w:rPr>
          <w:lang w:val="fr-CA"/>
        </w:rPr>
        <w:t>r l’approvisionnement local;</w:t>
      </w:r>
      <w:r w:rsidR="004D6843">
        <w:rPr>
          <w:rFonts w:ascii="ZWAdobeF" w:hAnsi="ZWAdobeF" w:cs="ZWAdobeF"/>
          <w:sz w:val="2"/>
          <w:szCs w:val="2"/>
          <w:lang w:val="fr-CA"/>
        </w:rPr>
        <w:t>3F</w:t>
      </w:r>
      <w:r w:rsidR="00144224">
        <w:rPr>
          <w:rStyle w:val="FootnoteReference"/>
          <w:lang w:val="fr-CA"/>
        </w:rPr>
        <w:footnoteReference w:id="4"/>
      </w:r>
    </w:p>
    <w:p w14:paraId="5171B655" w14:textId="77777777" w:rsidR="00B5158B" w:rsidRPr="00B5158B" w:rsidRDefault="00B5158B" w:rsidP="00B5158B">
      <w:pPr>
        <w:rPr>
          <w:lang w:val="fr-CA"/>
        </w:rPr>
      </w:pPr>
    </w:p>
    <w:p w14:paraId="7B0A5692" w14:textId="14461FDB" w:rsidR="00516E04" w:rsidRDefault="00144224" w:rsidP="0044599A">
      <w:pPr>
        <w:pStyle w:val="ListParagraph"/>
        <w:numPr>
          <w:ilvl w:val="0"/>
          <w:numId w:val="26"/>
        </w:numPr>
        <w:ind w:left="1418" w:hanging="698"/>
        <w:rPr>
          <w:lang w:val="fr-CA"/>
        </w:rPr>
      </w:pPr>
      <w:r>
        <w:rPr>
          <w:lang w:val="fr-CA"/>
        </w:rPr>
        <w:t xml:space="preserve">En Équateur, les formulations à base de cyclopentane étaient utilisées surtout pour la réfrigération commerciale et </w:t>
      </w:r>
      <w:r w:rsidR="000F5A02">
        <w:rPr>
          <w:lang w:val="fr-CA"/>
        </w:rPr>
        <w:t>la</w:t>
      </w:r>
      <w:r w:rsidR="00B5158B">
        <w:rPr>
          <w:lang w:val="fr-CA"/>
        </w:rPr>
        <w:t xml:space="preserve"> </w:t>
      </w:r>
      <w:r>
        <w:rPr>
          <w:lang w:val="fr-CA"/>
        </w:rPr>
        <w:t>fabrication de panneaux (continus et discontinus).  Quelques entreprises ont testé les formulations à base de HFO, avec des résultats prometteurs</w:t>
      </w:r>
      <w:r w:rsidR="00F73853">
        <w:rPr>
          <w:lang w:val="fr-CA"/>
        </w:rPr>
        <w:t>,</w:t>
      </w:r>
      <w:r>
        <w:rPr>
          <w:lang w:val="fr-CA"/>
        </w:rPr>
        <w:t xml:space="preserve"> et d’autres prévoient mener des essais à court terme.  Les PME se fient à des distributeurs </w:t>
      </w:r>
      <w:r w:rsidR="00F73853">
        <w:rPr>
          <w:lang w:val="fr-CA"/>
        </w:rPr>
        <w:t>liés à</w:t>
      </w:r>
      <w:r>
        <w:rPr>
          <w:lang w:val="fr-CA"/>
        </w:rPr>
        <w:t xml:space="preserve"> des sociétés de formulation étrangères. </w:t>
      </w:r>
      <w:r w:rsidR="00FF7098">
        <w:rPr>
          <w:lang w:val="fr-CA"/>
        </w:rPr>
        <w:t xml:space="preserve"> </w:t>
      </w:r>
      <w:r>
        <w:rPr>
          <w:lang w:val="fr-CA"/>
        </w:rPr>
        <w:t xml:space="preserve">Certains distributeurs </w:t>
      </w:r>
      <w:r>
        <w:rPr>
          <w:lang w:val="fr-CA"/>
        </w:rPr>
        <w:lastRenderedPageBreak/>
        <w:t xml:space="preserve">tiennent encore des inventaires de polyols pré-mélangés à base de HFC qui devraient durer jusqu’en 2026.  Le prix des polyols à base de HFC est de 4,00 $US/kg et celui des polyols à base de HFO, de </w:t>
      </w:r>
      <w:r w:rsidR="00516E04">
        <w:rPr>
          <w:lang w:val="fr-CA"/>
        </w:rPr>
        <w:t xml:space="preserve">7,00 $US/kg.  Les prix ont augmenté récemment en raison des coûts plus élevés du fret international et des ajustements nationaux des droits de douane sur les intrants chimiques importés. </w:t>
      </w:r>
      <w:r w:rsidR="00B5158B">
        <w:rPr>
          <w:lang w:val="fr-CA"/>
        </w:rPr>
        <w:t xml:space="preserve"> </w:t>
      </w:r>
      <w:r w:rsidR="00516E04">
        <w:rPr>
          <w:lang w:val="fr-CA"/>
        </w:rPr>
        <w:t xml:space="preserve">Les problèmes auxquels sont confrontés les PME incluent la disponibilité et les coûts relativement </w:t>
      </w:r>
      <w:r w:rsidR="00DA28A6">
        <w:rPr>
          <w:lang w:val="fr-CA"/>
        </w:rPr>
        <w:t xml:space="preserve">plus </w:t>
      </w:r>
      <w:r w:rsidR="00516E04">
        <w:rPr>
          <w:lang w:val="fr-CA"/>
        </w:rPr>
        <w:t>bas des formulations à base de HFC qui ont</w:t>
      </w:r>
      <w:r>
        <w:rPr>
          <w:lang w:val="fr-CA"/>
        </w:rPr>
        <w:t xml:space="preserve"> </w:t>
      </w:r>
      <w:r w:rsidR="00516E04">
        <w:rPr>
          <w:lang w:val="fr-CA"/>
        </w:rPr>
        <w:t>retardé l</w:t>
      </w:r>
      <w:r w:rsidR="000F5A02">
        <w:rPr>
          <w:lang w:val="fr-CA"/>
        </w:rPr>
        <w:t>a</w:t>
      </w:r>
      <w:r w:rsidR="00516E04">
        <w:rPr>
          <w:lang w:val="fr-CA"/>
        </w:rPr>
        <w:t xml:space="preserve"> transition vers des technologies à base de HFO, les questions de sécurit</w:t>
      </w:r>
      <w:r>
        <w:rPr>
          <w:lang w:val="fr-CA"/>
        </w:rPr>
        <w:t>é</w:t>
      </w:r>
      <w:r w:rsidR="00516E04">
        <w:rPr>
          <w:lang w:val="fr-CA"/>
        </w:rPr>
        <w:t xml:space="preserve"> et les investissements en capital </w:t>
      </w:r>
      <w:r w:rsidR="00FF7098">
        <w:rPr>
          <w:lang w:val="fr-CA"/>
        </w:rPr>
        <w:t xml:space="preserve">élevés, </w:t>
      </w:r>
      <w:r w:rsidR="00516E04">
        <w:rPr>
          <w:lang w:val="fr-CA"/>
        </w:rPr>
        <w:t xml:space="preserve">requis pour </w:t>
      </w:r>
      <w:r w:rsidR="00FF7098">
        <w:rPr>
          <w:lang w:val="fr-CA"/>
        </w:rPr>
        <w:t>l’</w:t>
      </w:r>
      <w:r w:rsidR="00516E04">
        <w:rPr>
          <w:lang w:val="fr-CA"/>
        </w:rPr>
        <w:t>adopt</w:t>
      </w:r>
      <w:r w:rsidR="00FF7098">
        <w:rPr>
          <w:lang w:val="fr-CA"/>
        </w:rPr>
        <w:t>ion</w:t>
      </w:r>
      <w:r w:rsidR="00516E04">
        <w:rPr>
          <w:lang w:val="fr-CA"/>
        </w:rPr>
        <w:t xml:space="preserve"> des hydrocarbones (HC);</w:t>
      </w:r>
    </w:p>
    <w:p w14:paraId="0767E5DE" w14:textId="47BFBF4D" w:rsidR="00516E04" w:rsidRPr="00516E04" w:rsidRDefault="00516E04" w:rsidP="00516E04">
      <w:pPr>
        <w:rPr>
          <w:lang w:val="fr-CA"/>
        </w:rPr>
      </w:pPr>
    </w:p>
    <w:p w14:paraId="0129E890" w14:textId="70ABD5AF" w:rsidR="00797851" w:rsidRDefault="00516E04" w:rsidP="006A1D6C">
      <w:pPr>
        <w:pStyle w:val="ListParagraph"/>
        <w:numPr>
          <w:ilvl w:val="0"/>
          <w:numId w:val="26"/>
        </w:numPr>
        <w:ind w:left="1418" w:hanging="698"/>
        <w:rPr>
          <w:lang w:val="fr-CA"/>
        </w:rPr>
      </w:pPr>
      <w:r w:rsidRPr="00797851">
        <w:rPr>
          <w:lang w:val="fr-CA"/>
        </w:rPr>
        <w:t>Au Maroc, la reconversion au cyclopentane n’est pas encore achevée; par conséquent, aucune mise à jour n’</w:t>
      </w:r>
      <w:r w:rsidR="00DA28A6">
        <w:rPr>
          <w:lang w:val="fr-CA"/>
        </w:rPr>
        <w:t>a été</w:t>
      </w:r>
      <w:r w:rsidRPr="00797851">
        <w:rPr>
          <w:lang w:val="fr-CA"/>
        </w:rPr>
        <w:t xml:space="preserve"> fournie sur la disponibilité, ni </w:t>
      </w:r>
      <w:r w:rsidR="00DA28A6">
        <w:rPr>
          <w:lang w:val="fr-CA"/>
        </w:rPr>
        <w:t xml:space="preserve">sur </w:t>
      </w:r>
      <w:r w:rsidRPr="00797851">
        <w:rPr>
          <w:lang w:val="fr-CA"/>
        </w:rPr>
        <w:t>le prix des substances.</w:t>
      </w:r>
      <w:r w:rsidR="000F5A02">
        <w:rPr>
          <w:lang w:val="fr-CA"/>
        </w:rPr>
        <w:t xml:space="preserve"> </w:t>
      </w:r>
      <w:r w:rsidR="00B5158B">
        <w:rPr>
          <w:lang w:val="fr-CA"/>
        </w:rPr>
        <w:t xml:space="preserve"> </w:t>
      </w:r>
      <w:r w:rsidR="000F5A02">
        <w:rPr>
          <w:lang w:val="fr-CA"/>
        </w:rPr>
        <w:t>L</w:t>
      </w:r>
      <w:r w:rsidRPr="00797851">
        <w:rPr>
          <w:lang w:val="fr-CA"/>
        </w:rPr>
        <w:t xml:space="preserve">es formulations à base de cyclopentane (et de formate de méthyle) disposent </w:t>
      </w:r>
      <w:r w:rsidR="000F5A02">
        <w:rPr>
          <w:lang w:val="fr-CA"/>
        </w:rPr>
        <w:t xml:space="preserve">généralement </w:t>
      </w:r>
      <w:r w:rsidRPr="00797851">
        <w:rPr>
          <w:lang w:val="fr-CA"/>
        </w:rPr>
        <w:t xml:space="preserve">de canaux d’approvisionnement plus </w:t>
      </w:r>
      <w:r w:rsidR="00797851" w:rsidRPr="00797851">
        <w:rPr>
          <w:lang w:val="fr-CA"/>
        </w:rPr>
        <w:t>stables et</w:t>
      </w:r>
      <w:r w:rsidRPr="00797851">
        <w:rPr>
          <w:lang w:val="fr-CA"/>
        </w:rPr>
        <w:t xml:space="preserve"> offrent le coût le plus bas (2,63</w:t>
      </w:r>
      <w:r w:rsidR="000F5A02">
        <w:rPr>
          <w:lang w:val="fr-CA"/>
        </w:rPr>
        <w:t xml:space="preserve"> -</w:t>
      </w:r>
      <w:r w:rsidRPr="00797851">
        <w:rPr>
          <w:lang w:val="fr-CA"/>
        </w:rPr>
        <w:t xml:space="preserve"> 2,66 Euros/kg</w:t>
      </w:r>
      <w:r w:rsidR="00797851" w:rsidRPr="00797851">
        <w:rPr>
          <w:lang w:val="fr-CA"/>
        </w:rPr>
        <w:t xml:space="preserve"> de mousse, comparé à 3,28 Euros/kg pour les formulations à base de HFO-1233zd(E)</w:t>
      </w:r>
      <w:r w:rsidR="00DA28A6">
        <w:rPr>
          <w:lang w:val="fr-CA"/>
        </w:rPr>
        <w:t xml:space="preserve"> </w:t>
      </w:r>
      <w:r w:rsidR="00797851" w:rsidRPr="00797851">
        <w:rPr>
          <w:lang w:val="fr-CA"/>
        </w:rPr>
        <w:t>et 3,49</w:t>
      </w:r>
      <w:r w:rsidR="00DA28A6">
        <w:rPr>
          <w:lang w:val="fr-CA"/>
        </w:rPr>
        <w:t xml:space="preserve"> </w:t>
      </w:r>
      <w:r w:rsidR="00797851" w:rsidRPr="00797851">
        <w:rPr>
          <w:lang w:val="fr-CA"/>
        </w:rPr>
        <w:t>Euros/kg pour les formulations à base de HCFC-141b).</w:t>
      </w:r>
      <w:r w:rsidR="004D6843">
        <w:rPr>
          <w:rFonts w:ascii="ZWAdobeF" w:hAnsi="ZWAdobeF" w:cs="ZWAdobeF"/>
          <w:sz w:val="2"/>
          <w:szCs w:val="2"/>
          <w:lang w:val="fr-CA"/>
        </w:rPr>
        <w:t>4F</w:t>
      </w:r>
      <w:r w:rsidR="00797851">
        <w:rPr>
          <w:rStyle w:val="FootnoteReference"/>
          <w:lang w:val="fr-CA"/>
        </w:rPr>
        <w:footnoteReference w:id="5"/>
      </w:r>
      <w:r w:rsidR="00797851">
        <w:rPr>
          <w:lang w:val="fr-CA"/>
        </w:rPr>
        <w:t xml:space="preserve"> Les formulations à base de HFO font face </w:t>
      </w:r>
      <w:r w:rsidR="000F5A02">
        <w:rPr>
          <w:lang w:val="fr-CA"/>
        </w:rPr>
        <w:t xml:space="preserve">aussi </w:t>
      </w:r>
      <w:r w:rsidR="00797851">
        <w:rPr>
          <w:lang w:val="fr-CA"/>
        </w:rPr>
        <w:t>à des risques dans la chaîne d’approvisionnement;</w:t>
      </w:r>
    </w:p>
    <w:p w14:paraId="3FCB7C88" w14:textId="77777777" w:rsidR="00797851" w:rsidRPr="00797851" w:rsidRDefault="00797851" w:rsidP="00797851">
      <w:pPr>
        <w:pStyle w:val="ListParagraph"/>
        <w:rPr>
          <w:lang w:val="fr-CA"/>
        </w:rPr>
      </w:pPr>
    </w:p>
    <w:p w14:paraId="4A2401FD" w14:textId="5668C87F" w:rsidR="008D4EE1" w:rsidRDefault="00797851" w:rsidP="006A1D6C">
      <w:pPr>
        <w:pStyle w:val="ListParagraph"/>
        <w:numPr>
          <w:ilvl w:val="0"/>
          <w:numId w:val="26"/>
        </w:numPr>
        <w:ind w:left="1418" w:hanging="698"/>
        <w:rPr>
          <w:lang w:val="fr-CA"/>
        </w:rPr>
      </w:pPr>
      <w:r>
        <w:rPr>
          <w:lang w:val="fr-CA"/>
        </w:rPr>
        <w:t xml:space="preserve">Au Pakistan, le prix du HFO-1233zd(E) </w:t>
      </w:r>
      <w:r w:rsidR="008D4EE1">
        <w:rPr>
          <w:lang w:val="fr-CA"/>
        </w:rPr>
        <w:t xml:space="preserve">en vrac est de 20,00 $US/kg, </w:t>
      </w:r>
      <w:r w:rsidR="00DA28A6">
        <w:rPr>
          <w:lang w:val="fr-CA"/>
        </w:rPr>
        <w:t>et de 30,00 $US/kg pour le</w:t>
      </w:r>
      <w:r w:rsidR="008D4EE1">
        <w:rPr>
          <w:lang w:val="fr-CA"/>
        </w:rPr>
        <w:t xml:space="preserve"> HFO-1336mzz(Z) en vrac</w:t>
      </w:r>
      <w:r w:rsidR="00DA28A6">
        <w:rPr>
          <w:lang w:val="fr-CA"/>
        </w:rPr>
        <w:t>,</w:t>
      </w:r>
      <w:r w:rsidR="008D4EE1">
        <w:rPr>
          <w:lang w:val="fr-CA"/>
        </w:rPr>
        <w:t xml:space="preserve"> </w:t>
      </w:r>
      <w:r w:rsidR="000F5A02">
        <w:rPr>
          <w:lang w:val="fr-CA"/>
        </w:rPr>
        <w:t>celui d</w:t>
      </w:r>
      <w:r w:rsidR="008D4EE1">
        <w:rPr>
          <w:lang w:val="fr-CA"/>
        </w:rPr>
        <w:t>es polyols à base de HFO</w:t>
      </w:r>
      <w:r w:rsidR="000F5A02">
        <w:rPr>
          <w:lang w:val="fr-CA"/>
        </w:rPr>
        <w:t xml:space="preserve"> est estimé à 4,75 $US/kg</w:t>
      </w:r>
      <w:r w:rsidR="008D4EE1">
        <w:rPr>
          <w:lang w:val="fr-CA"/>
        </w:rPr>
        <w:t xml:space="preserve">. </w:t>
      </w:r>
      <w:r w:rsidR="00DA28A6">
        <w:rPr>
          <w:lang w:val="fr-CA"/>
        </w:rPr>
        <w:t>Les HFO posent certains</w:t>
      </w:r>
      <w:r w:rsidR="008D4EE1">
        <w:rPr>
          <w:lang w:val="fr-CA"/>
        </w:rPr>
        <w:t xml:space="preserve"> défis</w:t>
      </w:r>
      <w:r w:rsidR="00DA28A6">
        <w:rPr>
          <w:lang w:val="fr-CA"/>
        </w:rPr>
        <w:t>, notamment</w:t>
      </w:r>
      <w:r w:rsidR="008D4EE1">
        <w:rPr>
          <w:lang w:val="fr-CA"/>
        </w:rPr>
        <w:t xml:space="preserve"> le fait que les matières premières doivent être maintenues à une température de 20-25 degrés Celsius avant d’être transférées dans la machine de moussage ou de mousse pulvérisée pour éviter des problèmes de traitement; et les formulations utilisant du HFO-1233zd(E)</w:t>
      </w:r>
      <w:r w:rsidR="000F5A02">
        <w:rPr>
          <w:lang w:val="fr-CA"/>
        </w:rPr>
        <w:t xml:space="preserve"> </w:t>
      </w:r>
      <w:r w:rsidR="008D4EE1">
        <w:rPr>
          <w:lang w:val="fr-CA"/>
        </w:rPr>
        <w:t>(ou formate de méthyle) contiennent des niveaux d’agent de gonflage moins élevés</w:t>
      </w:r>
      <w:r w:rsidR="00B5158B">
        <w:rPr>
          <w:lang w:val="fr-CA"/>
        </w:rPr>
        <w:t xml:space="preserve"> qui peuvent </w:t>
      </w:r>
      <w:r w:rsidR="008D4EE1">
        <w:rPr>
          <w:lang w:val="fr-CA"/>
        </w:rPr>
        <w:t xml:space="preserve">causer des gonflements </w:t>
      </w:r>
      <w:r w:rsidR="00DA28A6">
        <w:rPr>
          <w:lang w:val="fr-CA"/>
        </w:rPr>
        <w:t>à la</w:t>
      </w:r>
      <w:r w:rsidR="008D4EE1">
        <w:rPr>
          <w:lang w:val="fr-CA"/>
        </w:rPr>
        <w:t xml:space="preserve"> surface des produits isothermes – </w:t>
      </w:r>
      <w:r w:rsidR="00B5158B">
        <w:rPr>
          <w:lang w:val="fr-CA"/>
        </w:rPr>
        <w:t xml:space="preserve">un </w:t>
      </w:r>
      <w:r w:rsidR="008D4EE1">
        <w:rPr>
          <w:lang w:val="fr-CA"/>
        </w:rPr>
        <w:t xml:space="preserve">problème qui </w:t>
      </w:r>
      <w:r w:rsidR="00B5158B">
        <w:rPr>
          <w:lang w:val="fr-CA"/>
        </w:rPr>
        <w:t>reste à</w:t>
      </w:r>
      <w:r w:rsidR="008D4EE1">
        <w:rPr>
          <w:lang w:val="fr-CA"/>
        </w:rPr>
        <w:t xml:space="preserve"> réso</w:t>
      </w:r>
      <w:r w:rsidR="00B5158B">
        <w:rPr>
          <w:lang w:val="fr-CA"/>
        </w:rPr>
        <w:t>udre</w:t>
      </w:r>
      <w:r w:rsidR="008D4EE1">
        <w:rPr>
          <w:lang w:val="fr-CA"/>
        </w:rPr>
        <w:t>; et</w:t>
      </w:r>
    </w:p>
    <w:p w14:paraId="626D17D5" w14:textId="77777777" w:rsidR="008D4EE1" w:rsidRPr="008D4EE1" w:rsidRDefault="008D4EE1" w:rsidP="008D4EE1">
      <w:pPr>
        <w:pStyle w:val="ListParagraph"/>
        <w:rPr>
          <w:lang w:val="fr-CA"/>
        </w:rPr>
      </w:pPr>
    </w:p>
    <w:p w14:paraId="1BABF232" w14:textId="0B318D98" w:rsidR="004E7F9C" w:rsidRDefault="008D4EE1" w:rsidP="006A1D6C">
      <w:pPr>
        <w:pStyle w:val="ListParagraph"/>
        <w:numPr>
          <w:ilvl w:val="0"/>
          <w:numId w:val="26"/>
        </w:numPr>
        <w:ind w:left="1418" w:hanging="698"/>
        <w:rPr>
          <w:lang w:val="fr-CA"/>
        </w:rPr>
      </w:pPr>
      <w:r>
        <w:rPr>
          <w:lang w:val="fr-CA"/>
        </w:rPr>
        <w:t xml:space="preserve">En Tunisie, </w:t>
      </w:r>
      <w:r w:rsidR="003520F1">
        <w:rPr>
          <w:lang w:val="fr-CA"/>
        </w:rPr>
        <w:t xml:space="preserve">une entreprise de mousse PU a attendu plusieurs mois pour recevoir un échantillon de 28 kg de HFO-1233zd(E) pour </w:t>
      </w:r>
      <w:r w:rsidR="003D3389">
        <w:rPr>
          <w:lang w:val="fr-CA"/>
        </w:rPr>
        <w:t xml:space="preserve">le tester sur </w:t>
      </w:r>
      <w:r w:rsidR="003520F1">
        <w:rPr>
          <w:lang w:val="fr-CA"/>
        </w:rPr>
        <w:t xml:space="preserve">des chaines de production reconverties.  L’échantillon, obtenu par un intermédiaire, </w:t>
      </w:r>
      <w:r w:rsidR="00DA28A6">
        <w:rPr>
          <w:lang w:val="fr-CA"/>
        </w:rPr>
        <w:t xml:space="preserve">a </w:t>
      </w:r>
      <w:r w:rsidR="003520F1">
        <w:rPr>
          <w:lang w:val="fr-CA"/>
        </w:rPr>
        <w:t>coût</w:t>
      </w:r>
      <w:r w:rsidR="00DA28A6">
        <w:rPr>
          <w:lang w:val="fr-CA"/>
        </w:rPr>
        <w:t>é</w:t>
      </w:r>
      <w:r w:rsidR="003520F1">
        <w:rPr>
          <w:lang w:val="fr-CA"/>
        </w:rPr>
        <w:t xml:space="preserve"> 67,44$US/kg – un prix insoutenable, surtout pour des PME.  En revanche, l’achat direct en vrac (par ex. 9 000 litres) auprès du producteur pourrait ramener le coût à </w:t>
      </w:r>
      <w:r w:rsidR="000F5A02">
        <w:rPr>
          <w:lang w:val="fr-CA"/>
        </w:rPr>
        <w:t>près d</w:t>
      </w:r>
      <w:r w:rsidR="003520F1">
        <w:rPr>
          <w:lang w:val="fr-CA"/>
        </w:rPr>
        <w:t>e 16,00 Euros/kg.</w:t>
      </w:r>
      <w:r w:rsidR="004D6843">
        <w:rPr>
          <w:rFonts w:ascii="ZWAdobeF" w:hAnsi="ZWAdobeF" w:cs="ZWAdobeF"/>
          <w:sz w:val="2"/>
          <w:szCs w:val="2"/>
          <w:lang w:val="fr-CA"/>
        </w:rPr>
        <w:t>5F</w:t>
      </w:r>
      <w:r w:rsidR="003520F1">
        <w:rPr>
          <w:rStyle w:val="FootnoteReference"/>
          <w:lang w:val="fr-CA"/>
        </w:rPr>
        <w:footnoteReference w:id="6"/>
      </w:r>
      <w:r w:rsidR="003520F1">
        <w:rPr>
          <w:lang w:val="fr-CA"/>
        </w:rPr>
        <w:t xml:space="preserve">  L’entreprise est maintenant en contact direct avec le producteur qui devrait assurer un approvisionnement régulier à ce taux plus abordable.</w:t>
      </w:r>
    </w:p>
    <w:p w14:paraId="0FF40E56" w14:textId="77777777" w:rsidR="003520F1" w:rsidRPr="003520F1" w:rsidRDefault="003520F1" w:rsidP="003520F1">
      <w:pPr>
        <w:pStyle w:val="ListParagraph"/>
        <w:rPr>
          <w:lang w:val="fr-CA"/>
        </w:rPr>
      </w:pPr>
    </w:p>
    <w:p w14:paraId="219FF12D" w14:textId="2BFD91BD" w:rsidR="003520F1" w:rsidRDefault="003520F1" w:rsidP="003520F1">
      <w:pPr>
        <w:rPr>
          <w:lang w:val="fr-CA"/>
        </w:rPr>
      </w:pPr>
      <w:r>
        <w:rPr>
          <w:lang w:val="fr-CA"/>
        </w:rPr>
        <w:t>11.</w:t>
      </w:r>
      <w:r>
        <w:rPr>
          <w:lang w:val="fr-CA"/>
        </w:rPr>
        <w:tab/>
        <w:t>La Banque mondiale a fourni des mises à jour sur les projets de mousse PU mis en œuvre dans quatre pays :</w:t>
      </w:r>
    </w:p>
    <w:p w14:paraId="0087AEC8" w14:textId="77777777" w:rsidR="003520F1" w:rsidRDefault="003520F1" w:rsidP="003520F1">
      <w:pPr>
        <w:rPr>
          <w:lang w:val="fr-CA"/>
        </w:rPr>
      </w:pPr>
    </w:p>
    <w:p w14:paraId="389372F4" w14:textId="793F5A20" w:rsidR="003520F1" w:rsidRDefault="003520F1" w:rsidP="003520F1">
      <w:pPr>
        <w:pStyle w:val="ListParagraph"/>
        <w:numPr>
          <w:ilvl w:val="0"/>
          <w:numId w:val="27"/>
        </w:numPr>
        <w:tabs>
          <w:tab w:val="left" w:pos="1418"/>
        </w:tabs>
        <w:ind w:left="1418" w:hanging="698"/>
        <w:rPr>
          <w:lang w:val="fr-CA"/>
        </w:rPr>
      </w:pPr>
      <w:r>
        <w:rPr>
          <w:lang w:val="fr-CA"/>
        </w:rPr>
        <w:t xml:space="preserve">En Chine, </w:t>
      </w:r>
      <w:r w:rsidR="00900042">
        <w:rPr>
          <w:lang w:val="fr-CA"/>
        </w:rPr>
        <w:t xml:space="preserve">la mise en œuvre du plan sectoriel pour la mousse PU, incluant les PME, est en cours.  Les prix des solutions de remplacement sont de 12,00 </w:t>
      </w:r>
      <w:r w:rsidR="00413C3B">
        <w:rPr>
          <w:lang w:val="fr-CA"/>
        </w:rPr>
        <w:t>-</w:t>
      </w:r>
      <w:r w:rsidR="00900042">
        <w:rPr>
          <w:lang w:val="fr-CA"/>
        </w:rPr>
        <w:t xml:space="preserve"> 16,00 $US pour le HFO-1233zd(E</w:t>
      </w:r>
      <w:r w:rsidR="00DA28A6">
        <w:rPr>
          <w:lang w:val="fr-CA"/>
        </w:rPr>
        <w:t>)</w:t>
      </w:r>
      <w:r w:rsidR="00900042">
        <w:rPr>
          <w:lang w:val="fr-CA"/>
        </w:rPr>
        <w:t xml:space="preserve">, 30,00 </w:t>
      </w:r>
      <w:r w:rsidR="00413C3B">
        <w:rPr>
          <w:lang w:val="fr-CA"/>
        </w:rPr>
        <w:t>-</w:t>
      </w:r>
      <w:r w:rsidR="00900042">
        <w:rPr>
          <w:lang w:val="fr-CA"/>
        </w:rPr>
        <w:t xml:space="preserve"> 35,00 $US/kg pour le HFO-1336mzz(Z) et de 8,00 </w:t>
      </w:r>
      <w:r w:rsidR="00413C3B">
        <w:rPr>
          <w:lang w:val="fr-CA"/>
        </w:rPr>
        <w:t>-</w:t>
      </w:r>
      <w:r w:rsidR="00900042">
        <w:rPr>
          <w:lang w:val="fr-CA"/>
        </w:rPr>
        <w:t xml:space="preserve"> 10,00 $US/kg pour le HFC-245fa, étant donné que la Chine est le principal fournisseur de HFO et de HFC-245fa pour la région.  Une société locale de formulation</w:t>
      </w:r>
      <w:r w:rsidR="00DA28A6">
        <w:rPr>
          <w:lang w:val="fr-CA"/>
        </w:rPr>
        <w:t xml:space="preserve">s </w:t>
      </w:r>
      <w:r w:rsidR="00900042">
        <w:rPr>
          <w:lang w:val="fr-CA"/>
        </w:rPr>
        <w:t>a développé sa propre technologie au dioxyde de carbone (CO</w:t>
      </w:r>
      <w:r w:rsidR="00900042">
        <w:rPr>
          <w:vertAlign w:val="subscript"/>
          <w:lang w:val="fr-CA"/>
        </w:rPr>
        <w:t>2</w:t>
      </w:r>
      <w:r w:rsidR="00900042">
        <w:rPr>
          <w:lang w:val="fr-CA"/>
        </w:rPr>
        <w:t>) supercritique pour la mousse pulvérisée, en collaboration avec une université locale</w:t>
      </w:r>
      <w:r w:rsidR="009B4101">
        <w:rPr>
          <w:lang w:val="fr-CA"/>
        </w:rPr>
        <w:t>,</w:t>
      </w:r>
      <w:r w:rsidR="00900042">
        <w:rPr>
          <w:lang w:val="fr-CA"/>
        </w:rPr>
        <w:t xml:space="preserve"> </w:t>
      </w:r>
      <w:r w:rsidR="003D3389">
        <w:rPr>
          <w:lang w:val="fr-CA"/>
        </w:rPr>
        <w:t xml:space="preserve">elle </w:t>
      </w:r>
      <w:r w:rsidR="00413C3B">
        <w:rPr>
          <w:lang w:val="fr-CA"/>
        </w:rPr>
        <w:t xml:space="preserve">a </w:t>
      </w:r>
      <w:r w:rsidR="009B4101">
        <w:rPr>
          <w:lang w:val="fr-CA"/>
        </w:rPr>
        <w:t>début</w:t>
      </w:r>
      <w:r w:rsidR="00900042">
        <w:rPr>
          <w:lang w:val="fr-CA"/>
        </w:rPr>
        <w:t>é la fabrication de la formulation et de l’équipement pour l’appli</w:t>
      </w:r>
      <w:r w:rsidR="00413C3B">
        <w:rPr>
          <w:lang w:val="fr-CA"/>
        </w:rPr>
        <w:t>cation</w:t>
      </w:r>
      <w:r w:rsidR="00900042">
        <w:rPr>
          <w:lang w:val="fr-CA"/>
        </w:rPr>
        <w:t>, et communiqu</w:t>
      </w:r>
      <w:r w:rsidR="003D3389">
        <w:rPr>
          <w:lang w:val="fr-CA"/>
        </w:rPr>
        <w:t>é</w:t>
      </w:r>
      <w:r w:rsidR="00900042">
        <w:rPr>
          <w:lang w:val="fr-CA"/>
        </w:rPr>
        <w:t xml:space="preserve"> les conclusions suivantes :</w:t>
      </w:r>
    </w:p>
    <w:p w14:paraId="470C2BEB" w14:textId="77777777" w:rsidR="00900042" w:rsidRDefault="00900042" w:rsidP="00900042">
      <w:pPr>
        <w:tabs>
          <w:tab w:val="left" w:pos="1418"/>
        </w:tabs>
        <w:rPr>
          <w:lang w:val="fr-CA"/>
        </w:rPr>
      </w:pPr>
    </w:p>
    <w:p w14:paraId="731F6DCB" w14:textId="356C82AC" w:rsidR="00900042" w:rsidRDefault="00900042" w:rsidP="00900042">
      <w:pPr>
        <w:tabs>
          <w:tab w:val="left" w:pos="1418"/>
          <w:tab w:val="left" w:pos="2127"/>
        </w:tabs>
        <w:ind w:left="2118" w:hanging="700"/>
        <w:rPr>
          <w:lang w:val="fr-CA"/>
        </w:rPr>
      </w:pPr>
      <w:r>
        <w:rPr>
          <w:lang w:val="fr-CA"/>
        </w:rPr>
        <w:t>(i)</w:t>
      </w:r>
      <w:r>
        <w:rPr>
          <w:lang w:val="fr-CA"/>
        </w:rPr>
        <w:tab/>
        <w:t>Le CO</w:t>
      </w:r>
      <w:r>
        <w:rPr>
          <w:vertAlign w:val="subscript"/>
          <w:lang w:val="fr-CA"/>
        </w:rPr>
        <w:t xml:space="preserve">2 </w:t>
      </w:r>
      <w:r>
        <w:rPr>
          <w:lang w:val="fr-CA"/>
        </w:rPr>
        <w:t xml:space="preserve">supercritique peut être utilisé seul ou avec de petites quantités de HFC ou </w:t>
      </w:r>
      <w:r w:rsidR="00413C3B">
        <w:rPr>
          <w:lang w:val="fr-CA"/>
        </w:rPr>
        <w:t xml:space="preserve">de </w:t>
      </w:r>
      <w:r>
        <w:rPr>
          <w:lang w:val="fr-CA"/>
        </w:rPr>
        <w:t xml:space="preserve">HFO.  Tandis qu’il peut produire une mousse de meilleure qualité que la mousse </w:t>
      </w:r>
      <w:r w:rsidR="00D12323">
        <w:rPr>
          <w:lang w:val="fr-CA"/>
        </w:rPr>
        <w:lastRenderedPageBreak/>
        <w:t>simple gonflée à l’eau, il faudrait néanmoins ajouter des HFO et des HFC dans la formulation pour répondre à la norme chinoise pour la valeur isolante; toutefois il s’agirait d’une fraction de HFO ou HFC plus faible que dans les formulations normales sans CO</w:t>
      </w:r>
      <w:r w:rsidR="00D12323">
        <w:rPr>
          <w:vertAlign w:val="subscript"/>
          <w:lang w:val="fr-CA"/>
        </w:rPr>
        <w:t>2</w:t>
      </w:r>
      <w:r w:rsidR="00D12323">
        <w:rPr>
          <w:lang w:val="fr-CA"/>
        </w:rPr>
        <w:t xml:space="preserve"> liquide;</w:t>
      </w:r>
    </w:p>
    <w:p w14:paraId="58EF98E4" w14:textId="77777777" w:rsidR="00D12323" w:rsidRDefault="00D12323" w:rsidP="00900042">
      <w:pPr>
        <w:tabs>
          <w:tab w:val="left" w:pos="1418"/>
          <w:tab w:val="left" w:pos="2127"/>
        </w:tabs>
        <w:ind w:left="2118" w:hanging="700"/>
        <w:rPr>
          <w:lang w:val="fr-CA"/>
        </w:rPr>
      </w:pPr>
    </w:p>
    <w:p w14:paraId="5F7CCB43" w14:textId="0711ACCE" w:rsidR="00D12323" w:rsidRDefault="00D12323" w:rsidP="00900042">
      <w:pPr>
        <w:tabs>
          <w:tab w:val="left" w:pos="1418"/>
          <w:tab w:val="left" w:pos="2127"/>
        </w:tabs>
        <w:ind w:left="2118" w:hanging="700"/>
        <w:rPr>
          <w:lang w:val="fr-CA"/>
        </w:rPr>
      </w:pPr>
      <w:r>
        <w:rPr>
          <w:lang w:val="fr-CA"/>
        </w:rPr>
        <w:t>(ii)</w:t>
      </w:r>
      <w:r>
        <w:rPr>
          <w:lang w:val="fr-CA"/>
        </w:rPr>
        <w:tab/>
        <w:t>Une machine pour la mousse pulvérisée a été développée pour cette technologie</w:t>
      </w:r>
      <w:r w:rsidR="009B4101">
        <w:rPr>
          <w:lang w:val="fr-CA"/>
        </w:rPr>
        <w:t>,</w:t>
      </w:r>
      <w:r>
        <w:rPr>
          <w:lang w:val="fr-CA"/>
        </w:rPr>
        <w:t xml:space="preserve"> avec trois apports de matières premières (à savoir, MDI</w:t>
      </w:r>
      <w:r w:rsidR="004D6843">
        <w:rPr>
          <w:rFonts w:ascii="ZWAdobeF" w:hAnsi="ZWAdobeF" w:cs="ZWAdobeF"/>
          <w:sz w:val="2"/>
          <w:szCs w:val="2"/>
          <w:lang w:val="fr-CA"/>
        </w:rPr>
        <w:t>6F</w:t>
      </w:r>
      <w:r>
        <w:rPr>
          <w:rStyle w:val="FootnoteReference"/>
          <w:lang w:val="fr-CA"/>
        </w:rPr>
        <w:footnoteReference w:id="7"/>
      </w:r>
      <w:r w:rsidR="00A5451A">
        <w:rPr>
          <w:lang w:val="fr-CA"/>
        </w:rPr>
        <w:t xml:space="preserve">, formulation de polyol aqueuse ou à base de HFO ou </w:t>
      </w:r>
      <w:r w:rsidR="00413C3B">
        <w:rPr>
          <w:lang w:val="fr-CA"/>
        </w:rPr>
        <w:t xml:space="preserve">de </w:t>
      </w:r>
      <w:r w:rsidR="00A5451A">
        <w:rPr>
          <w:lang w:val="fr-CA"/>
        </w:rPr>
        <w:t>HFC, et CO</w:t>
      </w:r>
      <w:r w:rsidR="00A5451A">
        <w:rPr>
          <w:vertAlign w:val="subscript"/>
          <w:lang w:val="fr-CA"/>
        </w:rPr>
        <w:t>2</w:t>
      </w:r>
      <w:r w:rsidR="00A5451A">
        <w:rPr>
          <w:lang w:val="fr-CA"/>
        </w:rPr>
        <w:t xml:space="preserve"> liquide).  La machine transformerait le CO</w:t>
      </w:r>
      <w:r w:rsidR="00A5451A">
        <w:rPr>
          <w:vertAlign w:val="subscript"/>
          <w:lang w:val="fr-CA"/>
        </w:rPr>
        <w:t>2</w:t>
      </w:r>
      <w:r w:rsidR="00A5451A">
        <w:rPr>
          <w:lang w:val="fr-CA"/>
        </w:rPr>
        <w:t xml:space="preserve"> liquide en CO</w:t>
      </w:r>
      <w:r w:rsidR="00A5451A">
        <w:rPr>
          <w:vertAlign w:val="subscript"/>
          <w:lang w:val="fr-CA"/>
        </w:rPr>
        <w:t>2</w:t>
      </w:r>
      <w:r w:rsidR="00A5451A">
        <w:rPr>
          <w:lang w:val="fr-CA"/>
        </w:rPr>
        <w:t xml:space="preserve"> supercritique, comme intrant additionnel dans le pistolet pulvérisateur;</w:t>
      </w:r>
    </w:p>
    <w:p w14:paraId="7DB97642" w14:textId="77777777" w:rsidR="00A5451A" w:rsidRDefault="00A5451A" w:rsidP="00900042">
      <w:pPr>
        <w:tabs>
          <w:tab w:val="left" w:pos="1418"/>
          <w:tab w:val="left" w:pos="2127"/>
        </w:tabs>
        <w:ind w:left="2118" w:hanging="700"/>
        <w:rPr>
          <w:lang w:val="fr-CA"/>
        </w:rPr>
      </w:pPr>
    </w:p>
    <w:p w14:paraId="05570C1E" w14:textId="6518358F" w:rsidR="00A5451A" w:rsidRDefault="00A5451A" w:rsidP="00900042">
      <w:pPr>
        <w:tabs>
          <w:tab w:val="left" w:pos="1418"/>
          <w:tab w:val="left" w:pos="2127"/>
        </w:tabs>
        <w:ind w:left="2118" w:hanging="700"/>
        <w:rPr>
          <w:lang w:val="fr-CA"/>
        </w:rPr>
      </w:pPr>
      <w:r>
        <w:rPr>
          <w:lang w:val="fr-CA"/>
        </w:rPr>
        <w:t>(iii)</w:t>
      </w:r>
      <w:r>
        <w:rPr>
          <w:lang w:val="fr-CA"/>
        </w:rPr>
        <w:tab/>
        <w:t>Les techniciens auraient besoin d’une formation supplémentaire sur l’utilisation de la machine</w:t>
      </w:r>
      <w:r w:rsidR="009B4101">
        <w:rPr>
          <w:lang w:val="fr-CA"/>
        </w:rPr>
        <w:t>,</w:t>
      </w:r>
      <w:r>
        <w:rPr>
          <w:lang w:val="fr-CA"/>
        </w:rPr>
        <w:t xml:space="preserve"> car une application continue est </w:t>
      </w:r>
      <w:r w:rsidR="009B4101">
        <w:rPr>
          <w:lang w:val="fr-CA"/>
        </w:rPr>
        <w:t>requise</w:t>
      </w:r>
      <w:r>
        <w:rPr>
          <w:lang w:val="fr-CA"/>
        </w:rPr>
        <w:t xml:space="preserve"> pour garantir le mélange uniforme des trois intrants;</w:t>
      </w:r>
    </w:p>
    <w:p w14:paraId="5D05F66F" w14:textId="77777777" w:rsidR="00A5451A" w:rsidRDefault="00A5451A" w:rsidP="00900042">
      <w:pPr>
        <w:tabs>
          <w:tab w:val="left" w:pos="1418"/>
          <w:tab w:val="left" w:pos="2127"/>
        </w:tabs>
        <w:ind w:left="2118" w:hanging="700"/>
        <w:rPr>
          <w:lang w:val="fr-CA"/>
        </w:rPr>
      </w:pPr>
    </w:p>
    <w:p w14:paraId="541AB9C7" w14:textId="73F7A73C" w:rsidR="00A5451A" w:rsidRDefault="00A5451A" w:rsidP="00A5451A">
      <w:pPr>
        <w:tabs>
          <w:tab w:val="left" w:pos="709"/>
          <w:tab w:val="left" w:pos="1418"/>
        </w:tabs>
        <w:ind w:left="2118" w:hanging="700"/>
        <w:rPr>
          <w:lang w:val="fr-CA"/>
        </w:rPr>
      </w:pPr>
      <w:r>
        <w:rPr>
          <w:lang w:val="fr-CA"/>
        </w:rPr>
        <w:t>(iv)</w:t>
      </w:r>
      <w:r>
        <w:rPr>
          <w:lang w:val="fr-CA"/>
        </w:rPr>
        <w:tab/>
        <w:t xml:space="preserve">La société de formulation loue actuellement une </w:t>
      </w:r>
      <w:r w:rsidR="00413C3B">
        <w:rPr>
          <w:lang w:val="fr-CA"/>
        </w:rPr>
        <w:t xml:space="preserve">telle </w:t>
      </w:r>
      <w:r>
        <w:rPr>
          <w:lang w:val="fr-CA"/>
        </w:rPr>
        <w:t xml:space="preserve">unité à des entrepreneurs qui utilisent leur </w:t>
      </w:r>
      <w:r w:rsidR="009B4101">
        <w:rPr>
          <w:lang w:val="fr-CA"/>
        </w:rPr>
        <w:t xml:space="preserve">propre </w:t>
      </w:r>
      <w:r>
        <w:rPr>
          <w:lang w:val="fr-CA"/>
        </w:rPr>
        <w:t>formulation. Ces unités ne sont pas en vente à cause de</w:t>
      </w:r>
      <w:r w:rsidR="00FF7098">
        <w:rPr>
          <w:lang w:val="fr-CA"/>
        </w:rPr>
        <w:t>s</w:t>
      </w:r>
      <w:r>
        <w:rPr>
          <w:lang w:val="fr-CA"/>
        </w:rPr>
        <w:t xml:space="preserve"> préoccupations d’ingénierie inverse qui empêcherait la récupération d</w:t>
      </w:r>
      <w:r w:rsidR="00413C3B">
        <w:rPr>
          <w:lang w:val="fr-CA"/>
        </w:rPr>
        <w:t>’un</w:t>
      </w:r>
      <w:r>
        <w:rPr>
          <w:lang w:val="fr-CA"/>
        </w:rPr>
        <w:t xml:space="preserve"> investissement estimé dans la recherche et le développement;</w:t>
      </w:r>
    </w:p>
    <w:p w14:paraId="0C132206" w14:textId="77777777" w:rsidR="00A5451A" w:rsidRDefault="00A5451A" w:rsidP="00900042">
      <w:pPr>
        <w:tabs>
          <w:tab w:val="left" w:pos="1418"/>
          <w:tab w:val="left" w:pos="2127"/>
        </w:tabs>
        <w:ind w:left="2118" w:hanging="700"/>
        <w:rPr>
          <w:lang w:val="fr-CA"/>
        </w:rPr>
      </w:pPr>
    </w:p>
    <w:p w14:paraId="6E64D4C2" w14:textId="365B43DC" w:rsidR="00A5451A" w:rsidRDefault="00A5451A" w:rsidP="00A5451A">
      <w:pPr>
        <w:pStyle w:val="ListParagraph"/>
        <w:numPr>
          <w:ilvl w:val="0"/>
          <w:numId w:val="27"/>
        </w:numPr>
        <w:tabs>
          <w:tab w:val="left" w:pos="709"/>
          <w:tab w:val="left" w:pos="1418"/>
          <w:tab w:val="left" w:pos="2127"/>
        </w:tabs>
        <w:ind w:left="1418" w:hanging="698"/>
        <w:rPr>
          <w:lang w:val="fr-CA"/>
        </w:rPr>
      </w:pPr>
      <w:r>
        <w:rPr>
          <w:lang w:val="fr-CA"/>
        </w:rPr>
        <w:t xml:space="preserve">En Indonésie et au Vietnam, les projets incluant des SME </w:t>
      </w:r>
      <w:r w:rsidR="001B110F">
        <w:rPr>
          <w:lang w:val="fr-CA"/>
        </w:rPr>
        <w:t>sont achevés.  Aucun problème de disponibilité de</w:t>
      </w:r>
      <w:r w:rsidR="009B4101">
        <w:rPr>
          <w:lang w:val="fr-CA"/>
        </w:rPr>
        <w:t>s</w:t>
      </w:r>
      <w:r w:rsidR="001B110F">
        <w:rPr>
          <w:lang w:val="fr-CA"/>
        </w:rPr>
        <w:t xml:space="preserve"> technologie</w:t>
      </w:r>
      <w:r w:rsidR="009B4101">
        <w:rPr>
          <w:lang w:val="fr-CA"/>
        </w:rPr>
        <w:t>s</w:t>
      </w:r>
      <w:r w:rsidR="001B110F">
        <w:rPr>
          <w:lang w:val="fr-CA"/>
        </w:rPr>
        <w:t xml:space="preserve"> n’a été signalé; toutefois le coût des matériaux demeure le principal facteur décisionnel dans le choix de la technologie.  Les prix des HFO et du HFC-242fa en Chine peuvent servir de référence, en ajoutant de légères augmentations dues au transport, </w:t>
      </w:r>
      <w:r w:rsidR="009B4101">
        <w:rPr>
          <w:lang w:val="fr-CA"/>
        </w:rPr>
        <w:t xml:space="preserve">à </w:t>
      </w:r>
      <w:r w:rsidR="001B110F">
        <w:rPr>
          <w:lang w:val="fr-CA"/>
        </w:rPr>
        <w:t>la manipulation et autres facteurs; et</w:t>
      </w:r>
    </w:p>
    <w:p w14:paraId="507411E9" w14:textId="77777777" w:rsidR="001B110F" w:rsidRPr="001B110F" w:rsidRDefault="001B110F" w:rsidP="001B110F">
      <w:pPr>
        <w:tabs>
          <w:tab w:val="left" w:pos="709"/>
          <w:tab w:val="left" w:pos="1418"/>
          <w:tab w:val="left" w:pos="2127"/>
        </w:tabs>
        <w:rPr>
          <w:lang w:val="fr-CA"/>
        </w:rPr>
      </w:pPr>
    </w:p>
    <w:p w14:paraId="3D4954F7" w14:textId="577E2576" w:rsidR="001B110F" w:rsidRDefault="001B110F" w:rsidP="00A5451A">
      <w:pPr>
        <w:pStyle w:val="ListParagraph"/>
        <w:numPr>
          <w:ilvl w:val="0"/>
          <w:numId w:val="27"/>
        </w:numPr>
        <w:tabs>
          <w:tab w:val="left" w:pos="709"/>
          <w:tab w:val="left" w:pos="1418"/>
          <w:tab w:val="left" w:pos="2127"/>
        </w:tabs>
        <w:ind w:left="1418" w:hanging="698"/>
        <w:rPr>
          <w:lang w:val="fr-CA"/>
        </w:rPr>
      </w:pPr>
      <w:r>
        <w:rPr>
          <w:lang w:val="fr-CA"/>
        </w:rPr>
        <w:t xml:space="preserve">En Thaïlande, le projet de mousse PU, incluant des PME, est en cours. Le coût des formulations à base de HFO </w:t>
      </w:r>
      <w:r w:rsidR="00FF7098">
        <w:rPr>
          <w:lang w:val="fr-CA"/>
        </w:rPr>
        <w:t xml:space="preserve">est </w:t>
      </w:r>
      <w:r>
        <w:rPr>
          <w:lang w:val="fr-CA"/>
        </w:rPr>
        <w:t xml:space="preserve">le principal obstacle à une large adoption dans le secteur de la mousse pulvérisée.  Le prix du HFO-1233zd(E) est d’environ 18,00 $US/kg et celui du HFO-1336mzz(Z) de 35,00$US/kg environ.  Les augmentations de coûts estimées pour les deux formulations </w:t>
      </w:r>
      <w:r w:rsidR="00413C3B">
        <w:rPr>
          <w:lang w:val="fr-CA"/>
        </w:rPr>
        <w:t>à base de</w:t>
      </w:r>
      <w:r>
        <w:rPr>
          <w:lang w:val="fr-CA"/>
        </w:rPr>
        <w:t xml:space="preserve"> HFO, par rapport aux formulations à base de HCFC-141b, sont de 70,6 et 127 pour cent, respectivement.  Le poids moléculaire du HFO-1336mzz(Z) (164g/mol) qui est supérieur à celui du HFO-1</w:t>
      </w:r>
      <w:r w:rsidR="00413C3B">
        <w:rPr>
          <w:lang w:val="fr-CA"/>
        </w:rPr>
        <w:t>2</w:t>
      </w:r>
      <w:r>
        <w:rPr>
          <w:lang w:val="fr-CA"/>
        </w:rPr>
        <w:t>3</w:t>
      </w:r>
      <w:r w:rsidR="00413C3B">
        <w:rPr>
          <w:lang w:val="fr-CA"/>
        </w:rPr>
        <w:t>3</w:t>
      </w:r>
      <w:r>
        <w:rPr>
          <w:lang w:val="fr-CA"/>
        </w:rPr>
        <w:t>z</w:t>
      </w:r>
      <w:r w:rsidR="00413C3B">
        <w:rPr>
          <w:lang w:val="fr-CA"/>
        </w:rPr>
        <w:t>d</w:t>
      </w:r>
      <w:r>
        <w:rPr>
          <w:lang w:val="fr-CA"/>
        </w:rPr>
        <w:t>(</w:t>
      </w:r>
      <w:r w:rsidR="00413C3B">
        <w:rPr>
          <w:lang w:val="fr-CA"/>
        </w:rPr>
        <w:t>E</w:t>
      </w:r>
      <w:r>
        <w:rPr>
          <w:lang w:val="fr-CA"/>
        </w:rPr>
        <w:t xml:space="preserve">) (130,5g/mol) </w:t>
      </w:r>
      <w:r w:rsidR="00425739">
        <w:rPr>
          <w:lang w:val="fr-CA"/>
        </w:rPr>
        <w:t xml:space="preserve">est un facteur qui affecte le coût </w:t>
      </w:r>
      <w:r w:rsidR="003D3389">
        <w:rPr>
          <w:lang w:val="fr-CA"/>
        </w:rPr>
        <w:t>puisqu’il</w:t>
      </w:r>
      <w:r w:rsidR="00425739">
        <w:rPr>
          <w:lang w:val="fr-CA"/>
        </w:rPr>
        <w:t xml:space="preserve"> requiert un</w:t>
      </w:r>
      <w:r w:rsidR="00C05DEA">
        <w:rPr>
          <w:lang w:val="fr-CA"/>
        </w:rPr>
        <w:t>e</w:t>
      </w:r>
      <w:r w:rsidR="00425739">
        <w:rPr>
          <w:lang w:val="fr-CA"/>
        </w:rPr>
        <w:t xml:space="preserve"> </w:t>
      </w:r>
      <w:r w:rsidR="00C05DEA">
        <w:rPr>
          <w:lang w:val="fr-CA"/>
        </w:rPr>
        <w:t>quantité</w:t>
      </w:r>
      <w:r w:rsidR="00425739">
        <w:rPr>
          <w:lang w:val="fr-CA"/>
        </w:rPr>
        <w:t xml:space="preserve"> plus élevé</w:t>
      </w:r>
      <w:r w:rsidR="00C05DEA">
        <w:rPr>
          <w:lang w:val="fr-CA"/>
        </w:rPr>
        <w:t>e</w:t>
      </w:r>
      <w:r w:rsidR="00425739">
        <w:rPr>
          <w:lang w:val="fr-CA"/>
        </w:rPr>
        <w:t xml:space="preserve"> de HFO-1336mzz(Z) pour le système</w:t>
      </w:r>
      <w:r w:rsidR="009B4101">
        <w:rPr>
          <w:lang w:val="fr-CA"/>
        </w:rPr>
        <w:t>,</w:t>
      </w:r>
      <w:r w:rsidR="00425739">
        <w:rPr>
          <w:lang w:val="fr-CA"/>
        </w:rPr>
        <w:t xml:space="preserve"> avec une fraction molaire similaire.  </w:t>
      </w:r>
    </w:p>
    <w:p w14:paraId="65C41435" w14:textId="77777777" w:rsidR="00425739" w:rsidRPr="00425739" w:rsidRDefault="00425739" w:rsidP="00425739">
      <w:pPr>
        <w:pStyle w:val="ListParagraph"/>
        <w:rPr>
          <w:lang w:val="fr-CA"/>
        </w:rPr>
      </w:pPr>
    </w:p>
    <w:p w14:paraId="059FFD46" w14:textId="02BFAC90" w:rsidR="00425739" w:rsidRDefault="00425739" w:rsidP="00425739">
      <w:pPr>
        <w:pStyle w:val="ListParagraph"/>
        <w:tabs>
          <w:tab w:val="left" w:pos="709"/>
          <w:tab w:val="left" w:pos="1418"/>
          <w:tab w:val="left" w:pos="2127"/>
        </w:tabs>
        <w:ind w:left="1418" w:hanging="1418"/>
        <w:rPr>
          <w:b/>
          <w:bCs/>
          <w:lang w:val="fr-CA"/>
        </w:rPr>
      </w:pPr>
      <w:r>
        <w:rPr>
          <w:b/>
          <w:bCs/>
          <w:lang w:val="fr-CA"/>
        </w:rPr>
        <w:t>Observations</w:t>
      </w:r>
    </w:p>
    <w:p w14:paraId="0CEA9F51" w14:textId="77777777" w:rsidR="00425739" w:rsidRDefault="00425739" w:rsidP="00425739">
      <w:pPr>
        <w:pStyle w:val="ListParagraph"/>
        <w:tabs>
          <w:tab w:val="left" w:pos="709"/>
          <w:tab w:val="left" w:pos="1418"/>
          <w:tab w:val="left" w:pos="2127"/>
        </w:tabs>
        <w:ind w:left="1418" w:hanging="1418"/>
        <w:rPr>
          <w:b/>
          <w:bCs/>
          <w:lang w:val="fr-CA"/>
        </w:rPr>
      </w:pPr>
    </w:p>
    <w:p w14:paraId="218A0DF6" w14:textId="729616B5" w:rsidR="00425739" w:rsidRDefault="00425739" w:rsidP="00425739">
      <w:pPr>
        <w:pStyle w:val="ListParagraph"/>
        <w:tabs>
          <w:tab w:val="left" w:pos="0"/>
          <w:tab w:val="left" w:pos="709"/>
        </w:tabs>
        <w:ind w:left="0"/>
        <w:rPr>
          <w:lang w:val="fr-CA"/>
        </w:rPr>
      </w:pPr>
      <w:r>
        <w:rPr>
          <w:lang w:val="fr-CA"/>
        </w:rPr>
        <w:t>12.</w:t>
      </w:r>
      <w:r>
        <w:rPr>
          <w:lang w:val="fr-CA"/>
        </w:rPr>
        <w:tab/>
        <w:t>Le PNUD, l’ONUDI et la Banque mondiale ont fourni des mises à jour sur les projets de mousse terminés ou en cours d’achèvement dans 16 pays, dans le cadre de PGEH, et un dans le cadre d’un KIP.  De ces projets, 16 incluaient des PME; 11 étaient terminés; un avait été fermé; et cinq sont encore en cours.</w:t>
      </w:r>
    </w:p>
    <w:p w14:paraId="1B2F6BE1" w14:textId="77777777" w:rsidR="00425739" w:rsidRDefault="00425739" w:rsidP="00425739">
      <w:pPr>
        <w:pStyle w:val="ListParagraph"/>
        <w:tabs>
          <w:tab w:val="left" w:pos="0"/>
          <w:tab w:val="left" w:pos="709"/>
        </w:tabs>
        <w:ind w:left="0"/>
        <w:rPr>
          <w:lang w:val="fr-CA"/>
        </w:rPr>
      </w:pPr>
    </w:p>
    <w:p w14:paraId="0D4D7153" w14:textId="1D7006BF" w:rsidR="00425739" w:rsidRDefault="00425739" w:rsidP="00425739">
      <w:pPr>
        <w:pStyle w:val="ListParagraph"/>
        <w:tabs>
          <w:tab w:val="left" w:pos="0"/>
          <w:tab w:val="left" w:pos="709"/>
        </w:tabs>
        <w:ind w:left="0"/>
        <w:rPr>
          <w:lang w:val="fr-CA"/>
        </w:rPr>
      </w:pPr>
      <w:r>
        <w:rPr>
          <w:lang w:val="fr-CA"/>
        </w:rPr>
        <w:t>13.</w:t>
      </w:r>
      <w:r>
        <w:rPr>
          <w:lang w:val="fr-CA"/>
        </w:rPr>
        <w:tab/>
        <w:t>Concernant la disponibilité de</w:t>
      </w:r>
      <w:r w:rsidR="00C05DEA">
        <w:rPr>
          <w:lang w:val="fr-CA"/>
        </w:rPr>
        <w:t>s</w:t>
      </w:r>
      <w:r>
        <w:rPr>
          <w:lang w:val="fr-CA"/>
        </w:rPr>
        <w:t xml:space="preserve"> solutions de remplacement à faible PRG, les mises à jour communiquées n</w:t>
      </w:r>
      <w:r w:rsidR="009B4101">
        <w:rPr>
          <w:lang w:val="fr-CA"/>
        </w:rPr>
        <w:t>’indiquent</w:t>
      </w:r>
      <w:r>
        <w:rPr>
          <w:lang w:val="fr-CA"/>
        </w:rPr>
        <w:t xml:space="preserve"> </w:t>
      </w:r>
      <w:r w:rsidR="009B4101">
        <w:rPr>
          <w:lang w:val="fr-CA"/>
        </w:rPr>
        <w:t xml:space="preserve">pas </w:t>
      </w:r>
      <w:r>
        <w:rPr>
          <w:lang w:val="fr-CA"/>
        </w:rPr>
        <w:t>de variations majeures par rapport aux informations présentées dans les rapports précédents : les technologies à base de HC, formate de méthyle, méthylal et d’eau restent disponibles et sont utilisées par de nombreuses entreprises de mousse PU</w:t>
      </w:r>
      <w:r w:rsidR="00E851D5">
        <w:rPr>
          <w:lang w:val="fr-CA"/>
        </w:rPr>
        <w:t xml:space="preserve">, selon leur taille, leurs caractéristiques et type d’application.   Les HFO deviennent disponibles dans un nombre croissant de pays (par ex. Brésil, Colombie, Costa Rica, Chili, Indonésie, Thaïlande et Vietnam).  Toutefois, d’autres pays ont indiqué qu’en dépit de progrès substantiels dans les discussions et les arrangements logistiques avec les fournisseurs, les HFO ne peuvent encore être considérés comme disponibles à </w:t>
      </w:r>
      <w:r w:rsidR="003D3389">
        <w:rPr>
          <w:lang w:val="fr-CA"/>
        </w:rPr>
        <w:t xml:space="preserve">une </w:t>
      </w:r>
      <w:r w:rsidR="00E851D5">
        <w:rPr>
          <w:lang w:val="fr-CA"/>
        </w:rPr>
        <w:t>échelle commerciale (par ex. en Argentine et en Tunisie).</w:t>
      </w:r>
    </w:p>
    <w:p w14:paraId="1F576B2B" w14:textId="77777777" w:rsidR="00E851D5" w:rsidRDefault="00E851D5" w:rsidP="00425739">
      <w:pPr>
        <w:pStyle w:val="ListParagraph"/>
        <w:tabs>
          <w:tab w:val="left" w:pos="0"/>
          <w:tab w:val="left" w:pos="709"/>
        </w:tabs>
        <w:ind w:left="0"/>
        <w:rPr>
          <w:lang w:val="fr-CA"/>
        </w:rPr>
      </w:pPr>
    </w:p>
    <w:p w14:paraId="0D651086" w14:textId="4AB2206E" w:rsidR="00E851D5" w:rsidRDefault="00E851D5" w:rsidP="00425739">
      <w:pPr>
        <w:pStyle w:val="ListParagraph"/>
        <w:tabs>
          <w:tab w:val="left" w:pos="0"/>
          <w:tab w:val="left" w:pos="709"/>
        </w:tabs>
        <w:ind w:left="0"/>
        <w:rPr>
          <w:lang w:val="fr-CA"/>
        </w:rPr>
      </w:pPr>
      <w:r>
        <w:rPr>
          <w:lang w:val="fr-CA"/>
        </w:rPr>
        <w:t>14.</w:t>
      </w:r>
      <w:r>
        <w:rPr>
          <w:lang w:val="fr-CA"/>
        </w:rPr>
        <w:tab/>
        <w:t xml:space="preserve">Quant aux prix, tel qu’indiqué dans les rapports précédents, il existe des variations de prix importantes entre les solutions de remplacement à l’intérieur du même pays, ainsi que des différences dans les prix de solutions de remplacement identiques entre les pays. </w:t>
      </w:r>
      <w:r w:rsidR="003D3389">
        <w:rPr>
          <w:lang w:val="fr-CA"/>
        </w:rPr>
        <w:t xml:space="preserve"> D’après</w:t>
      </w:r>
      <w:r>
        <w:rPr>
          <w:lang w:val="fr-CA"/>
        </w:rPr>
        <w:t xml:space="preserve"> les informations actualisées, plusieurs pays ont con</w:t>
      </w:r>
      <w:r w:rsidR="003D3389">
        <w:rPr>
          <w:lang w:val="fr-CA"/>
        </w:rPr>
        <w:t>nu</w:t>
      </w:r>
      <w:r>
        <w:rPr>
          <w:lang w:val="fr-CA"/>
        </w:rPr>
        <w:t xml:space="preserve"> une baisse graduelle des prix du HFO-1233zd(E) (par ex. Argentine, Thaïlande), et certains ont rapporté des prix inférieurs à 20,00 $US/kg (par ex. Brésil, Chine, Colombie, Indonésie, Thaïlande et Vietnam).</w:t>
      </w:r>
    </w:p>
    <w:p w14:paraId="62EC5E30" w14:textId="77777777" w:rsidR="00E851D5" w:rsidRDefault="00E851D5" w:rsidP="00425739">
      <w:pPr>
        <w:pStyle w:val="ListParagraph"/>
        <w:tabs>
          <w:tab w:val="left" w:pos="0"/>
          <w:tab w:val="left" w:pos="709"/>
        </w:tabs>
        <w:ind w:left="0"/>
        <w:rPr>
          <w:lang w:val="fr-CA"/>
        </w:rPr>
      </w:pPr>
    </w:p>
    <w:p w14:paraId="49F84D52" w14:textId="05980646" w:rsidR="00FD05BC" w:rsidRDefault="00E851D5" w:rsidP="00425739">
      <w:pPr>
        <w:pStyle w:val="ListParagraph"/>
        <w:tabs>
          <w:tab w:val="left" w:pos="0"/>
          <w:tab w:val="left" w:pos="709"/>
        </w:tabs>
        <w:ind w:left="0"/>
        <w:rPr>
          <w:lang w:val="fr-CA"/>
        </w:rPr>
      </w:pPr>
      <w:r>
        <w:rPr>
          <w:lang w:val="fr-CA"/>
        </w:rPr>
        <w:t>15.</w:t>
      </w:r>
      <w:r>
        <w:rPr>
          <w:lang w:val="fr-CA"/>
        </w:rPr>
        <w:tab/>
        <w:t>P</w:t>
      </w:r>
      <w:r w:rsidR="00577F02">
        <w:rPr>
          <w:lang w:val="fr-CA"/>
        </w:rPr>
        <w:t xml:space="preserve">armi </w:t>
      </w:r>
      <w:r>
        <w:rPr>
          <w:lang w:val="fr-CA"/>
        </w:rPr>
        <w:t xml:space="preserve">les principaux obstacles à l’adoption par les SME de solutions de remplacement à faible PRG </w:t>
      </w:r>
      <w:r w:rsidR="00577F02">
        <w:rPr>
          <w:lang w:val="fr-CA"/>
        </w:rPr>
        <w:t>figurent encore les</w:t>
      </w:r>
      <w:r w:rsidR="00FD05BC">
        <w:rPr>
          <w:lang w:val="fr-CA"/>
        </w:rPr>
        <w:t xml:space="preserve"> investissements </w:t>
      </w:r>
      <w:r w:rsidR="003D3389">
        <w:rPr>
          <w:lang w:val="fr-CA"/>
        </w:rPr>
        <w:t xml:space="preserve">importants </w:t>
      </w:r>
      <w:r w:rsidR="00FD05BC">
        <w:rPr>
          <w:lang w:val="fr-CA"/>
        </w:rPr>
        <w:t xml:space="preserve">et </w:t>
      </w:r>
      <w:r w:rsidR="00577F02">
        <w:rPr>
          <w:lang w:val="fr-CA"/>
        </w:rPr>
        <w:t>les</w:t>
      </w:r>
      <w:r w:rsidR="00FD05BC">
        <w:rPr>
          <w:lang w:val="fr-CA"/>
        </w:rPr>
        <w:t xml:space="preserve"> enjeux de sécurité </w:t>
      </w:r>
      <w:r w:rsidR="00577F02">
        <w:rPr>
          <w:lang w:val="fr-CA"/>
        </w:rPr>
        <w:t>associ</w:t>
      </w:r>
      <w:r w:rsidR="00FD05BC">
        <w:rPr>
          <w:lang w:val="fr-CA"/>
        </w:rPr>
        <w:t xml:space="preserve">és à l’utilisation des HC, notamment dans l’application de mousse pulvérisée, </w:t>
      </w:r>
      <w:r w:rsidR="00577F02">
        <w:rPr>
          <w:lang w:val="fr-CA"/>
        </w:rPr>
        <w:t>ainsi que le</w:t>
      </w:r>
      <w:r w:rsidR="00FD05BC">
        <w:rPr>
          <w:lang w:val="fr-CA"/>
        </w:rPr>
        <w:t xml:space="preserve"> prix et</w:t>
      </w:r>
      <w:r w:rsidR="00577F02">
        <w:rPr>
          <w:lang w:val="fr-CA"/>
        </w:rPr>
        <w:t xml:space="preserve"> </w:t>
      </w:r>
      <w:r w:rsidR="00FD05BC">
        <w:rPr>
          <w:lang w:val="fr-CA"/>
        </w:rPr>
        <w:t>la disponibilité commerciale insuffisante des HFO dans plusieurs pays.</w:t>
      </w:r>
    </w:p>
    <w:p w14:paraId="04187741" w14:textId="77777777" w:rsidR="00FD05BC" w:rsidRDefault="00FD05BC" w:rsidP="00425739">
      <w:pPr>
        <w:pStyle w:val="ListParagraph"/>
        <w:tabs>
          <w:tab w:val="left" w:pos="0"/>
          <w:tab w:val="left" w:pos="709"/>
        </w:tabs>
        <w:ind w:left="0"/>
        <w:rPr>
          <w:lang w:val="fr-CA"/>
        </w:rPr>
      </w:pPr>
    </w:p>
    <w:p w14:paraId="5A995488" w14:textId="4C1F113C" w:rsidR="001448A7" w:rsidRDefault="00FD05BC" w:rsidP="00425739">
      <w:pPr>
        <w:pStyle w:val="ListParagraph"/>
        <w:tabs>
          <w:tab w:val="left" w:pos="0"/>
          <w:tab w:val="left" w:pos="709"/>
        </w:tabs>
        <w:ind w:left="0"/>
        <w:rPr>
          <w:lang w:val="fr-CA"/>
        </w:rPr>
      </w:pPr>
      <w:r>
        <w:rPr>
          <w:lang w:val="fr-CA"/>
        </w:rPr>
        <w:t>16.</w:t>
      </w:r>
      <w:r>
        <w:rPr>
          <w:lang w:val="fr-CA"/>
        </w:rPr>
        <w:tab/>
        <w:t>Quant aux technologies de mousse pulvérisée qui pourraient convenir aux PME, la Banque mondiale a signalé qu’une société de formulation en Chine a</w:t>
      </w:r>
      <w:r w:rsidR="006814C1">
        <w:rPr>
          <w:lang w:val="fr-CA"/>
        </w:rPr>
        <w:t xml:space="preserve"> </w:t>
      </w:r>
      <w:r>
        <w:rPr>
          <w:lang w:val="fr-CA"/>
        </w:rPr>
        <w:t>développé une technologie à base de CO</w:t>
      </w:r>
      <w:r>
        <w:rPr>
          <w:vertAlign w:val="subscript"/>
          <w:lang w:val="fr-CA"/>
        </w:rPr>
        <w:t>2</w:t>
      </w:r>
      <w:r>
        <w:rPr>
          <w:lang w:val="fr-CA"/>
        </w:rPr>
        <w:t xml:space="preserve"> supercritique qui r</w:t>
      </w:r>
      <w:r w:rsidR="00C05DEA">
        <w:rPr>
          <w:lang w:val="fr-CA"/>
        </w:rPr>
        <w:t>emédie</w:t>
      </w:r>
      <w:r>
        <w:rPr>
          <w:lang w:val="fr-CA"/>
        </w:rPr>
        <w:t xml:space="preserve"> aux préoccupations de sécurité </w:t>
      </w:r>
      <w:r w:rsidR="006814C1">
        <w:rPr>
          <w:lang w:val="fr-CA"/>
        </w:rPr>
        <w:t xml:space="preserve">associées aux </w:t>
      </w:r>
      <w:r>
        <w:rPr>
          <w:lang w:val="fr-CA"/>
        </w:rPr>
        <w:t xml:space="preserve">solutions de remplacement inflammables </w:t>
      </w:r>
      <w:r w:rsidR="009B4101">
        <w:rPr>
          <w:lang w:val="fr-CA"/>
        </w:rPr>
        <w:t xml:space="preserve">et </w:t>
      </w:r>
      <w:r>
        <w:rPr>
          <w:lang w:val="fr-CA"/>
        </w:rPr>
        <w:t>aux performances limitées des formulations aqueuses.  Le Secrétariat a souligné que cette technologie avait précédemment fait</w:t>
      </w:r>
      <w:r w:rsidR="006814C1">
        <w:rPr>
          <w:lang w:val="fr-CA"/>
        </w:rPr>
        <w:t xml:space="preserve"> </w:t>
      </w:r>
      <w:r>
        <w:rPr>
          <w:lang w:val="fr-CA"/>
        </w:rPr>
        <w:t>l’objet</w:t>
      </w:r>
      <w:r w:rsidR="00C05DEA">
        <w:rPr>
          <w:lang w:val="fr-CA"/>
        </w:rPr>
        <w:t>, avec succès,</w:t>
      </w:r>
      <w:r>
        <w:rPr>
          <w:lang w:val="fr-CA"/>
        </w:rPr>
        <w:t xml:space="preserve"> d’une démonstration</w:t>
      </w:r>
      <w:r w:rsidR="00577F02">
        <w:rPr>
          <w:lang w:val="fr-CA"/>
        </w:rPr>
        <w:t xml:space="preserve"> </w:t>
      </w:r>
      <w:r>
        <w:rPr>
          <w:lang w:val="fr-CA"/>
        </w:rPr>
        <w:t>dans le cadre d’un projet du Fonds multilatéral mis en œuvre par le gouvernement du Japon en Colombie.</w:t>
      </w:r>
      <w:r w:rsidR="004D6843">
        <w:rPr>
          <w:rFonts w:ascii="ZWAdobeF" w:hAnsi="ZWAdobeF" w:cs="ZWAdobeF"/>
          <w:sz w:val="2"/>
          <w:szCs w:val="2"/>
          <w:lang w:val="fr-CA"/>
        </w:rPr>
        <w:t>7F</w:t>
      </w:r>
      <w:r>
        <w:rPr>
          <w:rStyle w:val="FootnoteReference"/>
          <w:lang w:val="fr-CA"/>
        </w:rPr>
        <w:footnoteReference w:id="8"/>
      </w:r>
      <w:r>
        <w:rPr>
          <w:lang w:val="fr-CA"/>
        </w:rPr>
        <w:t xml:space="preserve"> </w:t>
      </w:r>
      <w:r w:rsidR="00551F51">
        <w:rPr>
          <w:lang w:val="fr-CA"/>
        </w:rPr>
        <w:t xml:space="preserve"> La démonstration a</w:t>
      </w:r>
      <w:r w:rsidR="00577F02">
        <w:rPr>
          <w:lang w:val="fr-CA"/>
        </w:rPr>
        <w:t>vait</w:t>
      </w:r>
      <w:r w:rsidR="00551F51">
        <w:rPr>
          <w:lang w:val="fr-CA"/>
        </w:rPr>
        <w:t xml:space="preserve"> confirmé que le CO</w:t>
      </w:r>
      <w:r w:rsidR="00551F51">
        <w:rPr>
          <w:vertAlign w:val="subscript"/>
          <w:lang w:val="fr-CA"/>
        </w:rPr>
        <w:t>2</w:t>
      </w:r>
      <w:r w:rsidR="00E851D5">
        <w:rPr>
          <w:lang w:val="fr-CA"/>
        </w:rPr>
        <w:t xml:space="preserve"> </w:t>
      </w:r>
      <w:r w:rsidR="00551F51">
        <w:rPr>
          <w:lang w:val="fr-CA"/>
        </w:rPr>
        <w:t xml:space="preserve">supercritique </w:t>
      </w:r>
      <w:r w:rsidR="00577F02">
        <w:rPr>
          <w:lang w:val="fr-CA"/>
        </w:rPr>
        <w:t>est</w:t>
      </w:r>
      <w:r w:rsidR="00551F51">
        <w:rPr>
          <w:lang w:val="fr-CA"/>
        </w:rPr>
        <w:t xml:space="preserve"> une solution de remplacement </w:t>
      </w:r>
      <w:r w:rsidR="006814C1">
        <w:rPr>
          <w:lang w:val="fr-CA"/>
        </w:rPr>
        <w:t>techniquement viable</w:t>
      </w:r>
      <w:r w:rsidR="00551F51">
        <w:rPr>
          <w:lang w:val="fr-CA"/>
        </w:rPr>
        <w:t xml:space="preserve"> pour le HCFC-141b dans les applications de mousse pulvérisée, offrant une meilleure performance que la mousse </w:t>
      </w:r>
      <w:r w:rsidR="006814C1">
        <w:rPr>
          <w:lang w:val="fr-CA"/>
        </w:rPr>
        <w:t>conventionnelle (</w:t>
      </w:r>
      <w:r w:rsidR="00551F51">
        <w:rPr>
          <w:lang w:val="fr-CA"/>
        </w:rPr>
        <w:t>aqueuse</w:t>
      </w:r>
      <w:r w:rsidR="006814C1">
        <w:rPr>
          <w:lang w:val="fr-CA"/>
        </w:rPr>
        <w:t>)</w:t>
      </w:r>
      <w:r w:rsidR="00551F51">
        <w:rPr>
          <w:lang w:val="fr-CA"/>
        </w:rPr>
        <w:t xml:space="preserve"> à base de CO</w:t>
      </w:r>
      <w:r w:rsidR="00551F51">
        <w:rPr>
          <w:vertAlign w:val="subscript"/>
          <w:lang w:val="fr-CA"/>
        </w:rPr>
        <w:t>2</w:t>
      </w:r>
      <w:r w:rsidR="00797430">
        <w:rPr>
          <w:lang w:val="fr-CA"/>
        </w:rPr>
        <w:t xml:space="preserve">. </w:t>
      </w:r>
      <w:r w:rsidR="00551F51">
        <w:rPr>
          <w:lang w:val="fr-CA"/>
        </w:rPr>
        <w:t>Toutefois, il a</w:t>
      </w:r>
      <w:r w:rsidR="00235BBF">
        <w:rPr>
          <w:lang w:val="fr-CA"/>
        </w:rPr>
        <w:t>vait</w:t>
      </w:r>
      <w:r w:rsidR="00551F51">
        <w:rPr>
          <w:lang w:val="fr-CA"/>
        </w:rPr>
        <w:t xml:space="preserve"> été constaté </w:t>
      </w:r>
      <w:r w:rsidR="00235BBF">
        <w:rPr>
          <w:lang w:val="fr-CA"/>
        </w:rPr>
        <w:t xml:space="preserve">aussi </w:t>
      </w:r>
      <w:r w:rsidR="00551F51">
        <w:rPr>
          <w:lang w:val="fr-CA"/>
        </w:rPr>
        <w:t>qu’</w:t>
      </w:r>
      <w:r w:rsidR="00235BBF">
        <w:rPr>
          <w:lang w:val="fr-CA"/>
        </w:rPr>
        <w:t>en raison de sa</w:t>
      </w:r>
      <w:r w:rsidR="00551F51">
        <w:rPr>
          <w:lang w:val="fr-CA"/>
        </w:rPr>
        <w:t xml:space="preserve"> conductivité thermique plus élevée que </w:t>
      </w:r>
      <w:r w:rsidR="00235BBF">
        <w:rPr>
          <w:lang w:val="fr-CA"/>
        </w:rPr>
        <w:t>celle du</w:t>
      </w:r>
      <w:r w:rsidR="00551F51">
        <w:rPr>
          <w:lang w:val="fr-CA"/>
        </w:rPr>
        <w:t xml:space="preserve"> HCFC-141b</w:t>
      </w:r>
      <w:r w:rsidR="00577F02">
        <w:rPr>
          <w:lang w:val="fr-CA"/>
        </w:rPr>
        <w:t>,</w:t>
      </w:r>
      <w:r w:rsidR="00551F51">
        <w:rPr>
          <w:lang w:val="fr-CA"/>
        </w:rPr>
        <w:t xml:space="preserve"> </w:t>
      </w:r>
      <w:r w:rsidR="00577F02">
        <w:rPr>
          <w:lang w:val="fr-CA"/>
        </w:rPr>
        <w:t xml:space="preserve">cette solution </w:t>
      </w:r>
      <w:r w:rsidR="00551F51">
        <w:rPr>
          <w:lang w:val="fr-CA"/>
        </w:rPr>
        <w:t xml:space="preserve">pourrait nécessiter une mousse plus épaisse et entraîner une hausse des coûts d’exploitation.  </w:t>
      </w:r>
      <w:r w:rsidR="006814C1">
        <w:rPr>
          <w:lang w:val="fr-CA"/>
        </w:rPr>
        <w:t>Les</w:t>
      </w:r>
      <w:r w:rsidR="00551F51">
        <w:rPr>
          <w:lang w:val="fr-CA"/>
        </w:rPr>
        <w:t xml:space="preserve"> coûts en capital élevés pour modifier </w:t>
      </w:r>
      <w:r w:rsidR="001448A7">
        <w:rPr>
          <w:lang w:val="fr-CA"/>
        </w:rPr>
        <w:t>l’équipement de pulvérisation et les coûts d’exploitation de polyols exclusifs</w:t>
      </w:r>
      <w:r w:rsidR="006814C1">
        <w:rPr>
          <w:lang w:val="fr-CA"/>
        </w:rPr>
        <w:t xml:space="preserve"> </w:t>
      </w:r>
      <w:r w:rsidR="00797430">
        <w:rPr>
          <w:lang w:val="fr-CA"/>
        </w:rPr>
        <w:t xml:space="preserve">représentent </w:t>
      </w:r>
      <w:r w:rsidR="006814C1">
        <w:rPr>
          <w:lang w:val="fr-CA"/>
        </w:rPr>
        <w:t>des obstacles majeurs</w:t>
      </w:r>
      <w:r w:rsidR="001448A7">
        <w:rPr>
          <w:lang w:val="fr-CA"/>
        </w:rPr>
        <w:t xml:space="preserve">.  Il </w:t>
      </w:r>
      <w:r w:rsidR="006814C1">
        <w:rPr>
          <w:lang w:val="fr-CA"/>
        </w:rPr>
        <w:t xml:space="preserve">est à </w:t>
      </w:r>
      <w:r w:rsidR="001448A7">
        <w:rPr>
          <w:lang w:val="fr-CA"/>
        </w:rPr>
        <w:t>not</w:t>
      </w:r>
      <w:r w:rsidR="006814C1">
        <w:rPr>
          <w:lang w:val="fr-CA"/>
        </w:rPr>
        <w:t>er</w:t>
      </w:r>
      <w:r w:rsidR="001448A7">
        <w:rPr>
          <w:lang w:val="fr-CA"/>
        </w:rPr>
        <w:t xml:space="preserve"> que dans le cas de la société de formulation chinoise, l’entreprise loue les machines de moussage à utiliser avec ses formulations, ce qui élimine potentiellement le fardeau des coûts en capital pour les utilisateurs de mousse.</w:t>
      </w:r>
    </w:p>
    <w:p w14:paraId="6651A58E" w14:textId="77777777" w:rsidR="001448A7" w:rsidRDefault="001448A7" w:rsidP="00425739">
      <w:pPr>
        <w:pStyle w:val="ListParagraph"/>
        <w:tabs>
          <w:tab w:val="left" w:pos="0"/>
          <w:tab w:val="left" w:pos="709"/>
        </w:tabs>
        <w:ind w:left="0"/>
        <w:rPr>
          <w:lang w:val="fr-CA"/>
        </w:rPr>
      </w:pPr>
    </w:p>
    <w:p w14:paraId="785F7B4D" w14:textId="77777777" w:rsidR="001448A7" w:rsidRDefault="001448A7" w:rsidP="00425739">
      <w:pPr>
        <w:pStyle w:val="ListParagraph"/>
        <w:tabs>
          <w:tab w:val="left" w:pos="0"/>
          <w:tab w:val="left" w:pos="709"/>
        </w:tabs>
        <w:ind w:left="0"/>
        <w:rPr>
          <w:b/>
          <w:bCs/>
          <w:lang w:val="fr-CA"/>
        </w:rPr>
      </w:pPr>
      <w:r>
        <w:rPr>
          <w:b/>
          <w:bCs/>
          <w:lang w:val="fr-CA"/>
        </w:rPr>
        <w:t>RECOMMANDATION</w:t>
      </w:r>
    </w:p>
    <w:p w14:paraId="5B54BB22" w14:textId="77777777" w:rsidR="001448A7" w:rsidRDefault="001448A7" w:rsidP="00425739">
      <w:pPr>
        <w:pStyle w:val="ListParagraph"/>
        <w:tabs>
          <w:tab w:val="left" w:pos="0"/>
          <w:tab w:val="left" w:pos="709"/>
        </w:tabs>
        <w:ind w:left="0"/>
        <w:rPr>
          <w:b/>
          <w:bCs/>
          <w:lang w:val="fr-CA"/>
        </w:rPr>
      </w:pPr>
    </w:p>
    <w:p w14:paraId="4472481D" w14:textId="77777777" w:rsidR="001448A7" w:rsidRDefault="001448A7" w:rsidP="00425739">
      <w:pPr>
        <w:pStyle w:val="ListParagraph"/>
        <w:tabs>
          <w:tab w:val="left" w:pos="0"/>
          <w:tab w:val="left" w:pos="709"/>
        </w:tabs>
        <w:ind w:left="0"/>
        <w:rPr>
          <w:lang w:val="fr-CA"/>
        </w:rPr>
      </w:pPr>
      <w:r>
        <w:rPr>
          <w:lang w:val="fr-CA"/>
        </w:rPr>
        <w:t>17.</w:t>
      </w:r>
      <w:r>
        <w:rPr>
          <w:lang w:val="fr-CA"/>
        </w:rPr>
        <w:tab/>
        <w:t>Le Comité exécutif pourrait souhaiter :</w:t>
      </w:r>
    </w:p>
    <w:p w14:paraId="51E28F78" w14:textId="77777777" w:rsidR="001448A7" w:rsidRDefault="001448A7" w:rsidP="00425739">
      <w:pPr>
        <w:pStyle w:val="ListParagraph"/>
        <w:tabs>
          <w:tab w:val="left" w:pos="0"/>
          <w:tab w:val="left" w:pos="709"/>
        </w:tabs>
        <w:ind w:left="0"/>
        <w:rPr>
          <w:lang w:val="fr-CA"/>
        </w:rPr>
      </w:pPr>
    </w:p>
    <w:p w14:paraId="3B2CD193" w14:textId="094849A2" w:rsidR="001448A7" w:rsidRDefault="001448A7" w:rsidP="001448A7">
      <w:pPr>
        <w:pStyle w:val="ListParagraph"/>
        <w:numPr>
          <w:ilvl w:val="0"/>
          <w:numId w:val="29"/>
        </w:numPr>
        <w:tabs>
          <w:tab w:val="left" w:pos="709"/>
          <w:tab w:val="left" w:pos="1418"/>
        </w:tabs>
        <w:ind w:left="1418" w:hanging="718"/>
        <w:rPr>
          <w:lang w:val="fr-CA"/>
        </w:rPr>
      </w:pPr>
      <w:r w:rsidRPr="001448A7">
        <w:rPr>
          <w:lang w:val="fr-CA"/>
        </w:rPr>
        <w:t>Prendre note du document UNEP/OzL.Pro/ExCom/96/60, incluant le rapport sur le problème des solutions de remplacement dans la fabrication de mousse de polyuréthane</w:t>
      </w:r>
      <w:r>
        <w:rPr>
          <w:lang w:val="fr-CA"/>
        </w:rPr>
        <w:t xml:space="preserve"> (PU)</w:t>
      </w:r>
      <w:r w:rsidRPr="001448A7">
        <w:rPr>
          <w:lang w:val="fr-CA"/>
        </w:rPr>
        <w:t>, en mettant l’accent sur les petites et moyennes entreprises, en particulier pour les applications de mousse pulvérisée et de mousse isolante</w:t>
      </w:r>
      <w:r w:rsidR="000B261B">
        <w:rPr>
          <w:lang w:val="fr-CA"/>
        </w:rPr>
        <w:t xml:space="preserve"> (décision 94/58</w:t>
      </w:r>
      <w:r w:rsidR="00235BBF">
        <w:rPr>
          <w:lang w:val="fr-CA"/>
        </w:rPr>
        <w:t>(</w:t>
      </w:r>
      <w:r w:rsidR="000B261B">
        <w:rPr>
          <w:lang w:val="fr-CA"/>
        </w:rPr>
        <w:t>c));</w:t>
      </w:r>
    </w:p>
    <w:p w14:paraId="502A367D" w14:textId="77777777" w:rsidR="000B261B" w:rsidRDefault="000B261B" w:rsidP="000B261B">
      <w:pPr>
        <w:tabs>
          <w:tab w:val="left" w:pos="709"/>
          <w:tab w:val="left" w:pos="1418"/>
        </w:tabs>
        <w:rPr>
          <w:lang w:val="fr-CA"/>
        </w:rPr>
      </w:pPr>
    </w:p>
    <w:p w14:paraId="461622DF" w14:textId="117B57AD" w:rsidR="00E851D5" w:rsidRPr="000B261B" w:rsidRDefault="000B261B" w:rsidP="000B261B">
      <w:pPr>
        <w:pStyle w:val="ListParagraph"/>
        <w:numPr>
          <w:ilvl w:val="0"/>
          <w:numId w:val="29"/>
        </w:numPr>
        <w:tabs>
          <w:tab w:val="left" w:pos="709"/>
          <w:tab w:val="left" w:pos="1418"/>
        </w:tabs>
        <w:ind w:left="1418" w:hanging="718"/>
        <w:rPr>
          <w:lang w:val="fr-CA"/>
        </w:rPr>
      </w:pPr>
      <w:r>
        <w:rPr>
          <w:lang w:val="fr-CA"/>
        </w:rPr>
        <w:t xml:space="preserve">Examiner les informations contenues dans le document mentionné à l’alinéa ci-dessus, lors des discussions sur les solutions de remplacement dans le secteur de </w:t>
      </w:r>
      <w:r w:rsidR="001448A7" w:rsidRPr="000B261B">
        <w:rPr>
          <w:lang w:val="fr-CA"/>
        </w:rPr>
        <w:t>la fabrication de la mousse PU</w:t>
      </w:r>
      <w:r>
        <w:rPr>
          <w:lang w:val="fr-CA"/>
        </w:rPr>
        <w:t>.</w:t>
      </w:r>
      <w:r w:rsidR="00551F51" w:rsidRPr="000B261B">
        <w:rPr>
          <w:lang w:val="fr-CA"/>
        </w:rPr>
        <w:t xml:space="preserve"> </w:t>
      </w:r>
    </w:p>
    <w:p w14:paraId="7A40B1B3" w14:textId="14F49E39" w:rsidR="00FC3E05" w:rsidRPr="00FC3E05" w:rsidRDefault="00FC3E05" w:rsidP="00922D17">
      <w:pPr>
        <w:pStyle w:val="Title1"/>
        <w:ind w:left="720"/>
        <w:jc w:val="both"/>
        <w:rPr>
          <w:b w:val="0"/>
          <w:bCs/>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CB0D77" w:rsidRPr="00586EB5" w14:paraId="36814821" w14:textId="77777777" w:rsidTr="008A44E0">
        <w:trPr>
          <w:trHeight w:val="201"/>
        </w:trPr>
        <w:tc>
          <w:tcPr>
            <w:tcW w:w="999" w:type="pct"/>
          </w:tcPr>
          <w:p w14:paraId="70B244D8" w14:textId="77777777" w:rsidR="00CB0D77" w:rsidRPr="00586EB5" w:rsidRDefault="00CB0D77" w:rsidP="008A44E0">
            <w:pPr>
              <w:pStyle w:val="Heading1"/>
              <w:numPr>
                <w:ilvl w:val="0"/>
                <w:numId w:val="0"/>
              </w:numPr>
              <w:spacing w:after="0"/>
              <w:jc w:val="center"/>
              <w:rPr>
                <w:vertAlign w:val="superscript"/>
                <w:lang w:val="fr-CA"/>
              </w:rPr>
            </w:pPr>
          </w:p>
        </w:tc>
        <w:tc>
          <w:tcPr>
            <w:tcW w:w="1000" w:type="pct"/>
          </w:tcPr>
          <w:p w14:paraId="0207FF6B" w14:textId="77777777" w:rsidR="00CB0D77" w:rsidRPr="00586EB5" w:rsidRDefault="00CB0D77" w:rsidP="008A44E0">
            <w:pPr>
              <w:jc w:val="center"/>
              <w:rPr>
                <w:vertAlign w:val="superscript"/>
                <w:lang w:val="fr-CA"/>
              </w:rPr>
            </w:pPr>
          </w:p>
        </w:tc>
        <w:tc>
          <w:tcPr>
            <w:tcW w:w="1000" w:type="pct"/>
            <w:tcBorders>
              <w:bottom w:val="single" w:sz="4" w:space="0" w:color="auto"/>
            </w:tcBorders>
          </w:tcPr>
          <w:p w14:paraId="07DE638C" w14:textId="77777777" w:rsidR="00CB0D77" w:rsidRPr="00586EB5" w:rsidRDefault="00CB0D77" w:rsidP="008A44E0">
            <w:pPr>
              <w:jc w:val="center"/>
              <w:rPr>
                <w:sz w:val="18"/>
                <w:szCs w:val="18"/>
                <w:vertAlign w:val="superscript"/>
                <w:lang w:val="fr-CA"/>
              </w:rPr>
            </w:pPr>
          </w:p>
        </w:tc>
        <w:tc>
          <w:tcPr>
            <w:tcW w:w="1000" w:type="pct"/>
          </w:tcPr>
          <w:p w14:paraId="799DA3C3" w14:textId="77777777" w:rsidR="00CB0D77" w:rsidRPr="00586EB5" w:rsidRDefault="00CB0D77" w:rsidP="008A44E0">
            <w:pPr>
              <w:jc w:val="center"/>
              <w:rPr>
                <w:vertAlign w:val="superscript"/>
                <w:lang w:val="fr-CA"/>
              </w:rPr>
            </w:pPr>
          </w:p>
        </w:tc>
        <w:tc>
          <w:tcPr>
            <w:tcW w:w="1001" w:type="pct"/>
          </w:tcPr>
          <w:p w14:paraId="2FA05FA0" w14:textId="77777777" w:rsidR="00CB0D77" w:rsidRPr="00586EB5" w:rsidRDefault="00CB0D77" w:rsidP="008A44E0">
            <w:pPr>
              <w:jc w:val="center"/>
              <w:rPr>
                <w:vertAlign w:val="superscript"/>
                <w:lang w:val="fr-CA"/>
              </w:rPr>
            </w:pPr>
          </w:p>
        </w:tc>
      </w:tr>
    </w:tbl>
    <w:p w14:paraId="2E771DF7" w14:textId="77777777" w:rsidR="008C5738" w:rsidRPr="00103AB1" w:rsidRDefault="008C5738" w:rsidP="00922D17">
      <w:pPr>
        <w:pStyle w:val="StyleHeader4Para4Left0Firstline0"/>
        <w:numPr>
          <w:ilvl w:val="0"/>
          <w:numId w:val="0"/>
        </w:numPr>
        <w:rPr>
          <w:b/>
          <w:sz w:val="22"/>
          <w:lang w:val="fr-CA"/>
        </w:rPr>
      </w:pPr>
    </w:p>
    <w:p w14:paraId="0BC9F5CE" w14:textId="4B3EE63E" w:rsidR="004E7F9C" w:rsidRPr="00CB0D77" w:rsidRDefault="004E7F9C" w:rsidP="00CB0D77">
      <w:pPr>
        <w:pStyle w:val="StyleHeader4Para4Left0Firstline0"/>
        <w:numPr>
          <w:ilvl w:val="0"/>
          <w:numId w:val="0"/>
        </w:numPr>
        <w:tabs>
          <w:tab w:val="clear" w:pos="2880"/>
          <w:tab w:val="clear" w:pos="5760"/>
        </w:tabs>
        <w:rPr>
          <w:b/>
          <w:sz w:val="22"/>
          <w:lang w:val="fr-CA"/>
        </w:rPr>
      </w:pPr>
    </w:p>
    <w:sectPr w:rsidR="004E7F9C" w:rsidRPr="00CB0D77" w:rsidSect="00CB0D7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F9C8E" w14:textId="77777777" w:rsidR="009B13BB" w:rsidRDefault="009B13BB" w:rsidP="004A504B">
      <w:r>
        <w:separator/>
      </w:r>
    </w:p>
  </w:endnote>
  <w:endnote w:type="continuationSeparator" w:id="0">
    <w:p w14:paraId="365EF344" w14:textId="77777777" w:rsidR="009B13BB" w:rsidRDefault="009B13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2F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506957"/>
      <w:docPartObj>
        <w:docPartGallery w:val="Page Numbers (Bottom of Page)"/>
        <w:docPartUnique/>
      </w:docPartObj>
    </w:sdtPr>
    <w:sdtEndPr>
      <w:rPr>
        <w:noProof/>
      </w:rPr>
    </w:sdtEndPr>
    <w:sdtContent>
      <w:p w14:paraId="02A0B239" w14:textId="77AB0EB3" w:rsidR="00CB0D77" w:rsidRDefault="00CB0D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65B9F" w14:textId="627ABB1E" w:rsidR="00DC6A10" w:rsidRPr="008A4946" w:rsidRDefault="00DC6A10" w:rsidP="008A4946">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F3FD"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E791791"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5689C34E"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B25F1" w14:textId="77777777" w:rsidR="009B13BB" w:rsidRDefault="009B13BB" w:rsidP="004A504B">
      <w:r>
        <w:separator/>
      </w:r>
    </w:p>
  </w:footnote>
  <w:footnote w:type="continuationSeparator" w:id="0">
    <w:p w14:paraId="6045C48E" w14:textId="77777777" w:rsidR="009B13BB" w:rsidRDefault="009B13BB" w:rsidP="004A504B">
      <w:r>
        <w:continuationSeparator/>
      </w:r>
    </w:p>
  </w:footnote>
  <w:footnote w:id="1">
    <w:p w14:paraId="49E9319F" w14:textId="77777777" w:rsidR="00103AB1" w:rsidRDefault="00103AB1" w:rsidP="00103AB1">
      <w:pPr>
        <w:pStyle w:val="FootnoteText"/>
        <w:rPr>
          <w:lang w:val="fr-CH"/>
        </w:rPr>
      </w:pPr>
      <w:r w:rsidRPr="001A24C6">
        <w:rPr>
          <w:rStyle w:val="FootnoteReference"/>
        </w:rPr>
        <w:footnoteRef/>
      </w:r>
      <w:r w:rsidRPr="00564224">
        <w:rPr>
          <w:lang w:val="fr-CH"/>
        </w:rPr>
        <w:t xml:space="preserve"> UNEP/OzL.Pro/ExCom/9</w:t>
      </w:r>
      <w:r w:rsidR="008E4CC8">
        <w:rPr>
          <w:lang w:val="fr-CH"/>
        </w:rPr>
        <w:t>6</w:t>
      </w:r>
      <w:r w:rsidRPr="00564224">
        <w:rPr>
          <w:lang w:val="fr-CH"/>
        </w:rPr>
        <w:t>/1</w:t>
      </w:r>
    </w:p>
    <w:p w14:paraId="122179A1" w14:textId="77777777" w:rsidR="00103AB1" w:rsidRPr="00564224" w:rsidRDefault="00103AB1" w:rsidP="00103AB1">
      <w:pPr>
        <w:pStyle w:val="FootnoteText"/>
        <w:rPr>
          <w:lang w:val="fr-CH"/>
        </w:rPr>
      </w:pPr>
    </w:p>
  </w:footnote>
  <w:footnote w:id="2">
    <w:p w14:paraId="48C74B0A" w14:textId="452E0DC9" w:rsidR="00922D17" w:rsidRPr="00922D17" w:rsidRDefault="00922D17">
      <w:pPr>
        <w:pStyle w:val="FootnoteText"/>
        <w:rPr>
          <w:lang w:val="fr-CA"/>
        </w:rPr>
      </w:pPr>
      <w:r>
        <w:rPr>
          <w:rStyle w:val="FootnoteReference"/>
        </w:rPr>
        <w:footnoteRef/>
      </w:r>
      <w:r w:rsidRPr="00F6620D">
        <w:rPr>
          <w:lang w:val="fr-CA"/>
        </w:rPr>
        <w:t xml:space="preserve"> </w:t>
      </w:r>
      <w:r>
        <w:rPr>
          <w:lang w:val="fr-CA"/>
        </w:rPr>
        <w:t>Décision 94/58 (b) et (c)</w:t>
      </w:r>
    </w:p>
  </w:footnote>
  <w:footnote w:id="3">
    <w:p w14:paraId="5E1D380B" w14:textId="6C7114C0" w:rsidR="004E036A" w:rsidRPr="004E036A" w:rsidRDefault="004E036A">
      <w:pPr>
        <w:pStyle w:val="FootnoteText"/>
        <w:rPr>
          <w:lang w:val="fr-CA"/>
        </w:rPr>
      </w:pPr>
      <w:r>
        <w:rPr>
          <w:rStyle w:val="FootnoteReference"/>
        </w:rPr>
        <w:footnoteRef/>
      </w:r>
      <w:r w:rsidRPr="004E036A">
        <w:rPr>
          <w:lang w:val="fr-CA"/>
        </w:rPr>
        <w:t xml:space="preserve"> </w:t>
      </w:r>
      <w:r>
        <w:rPr>
          <w:lang w:val="fr-CA"/>
        </w:rPr>
        <w:t>Inclus comme documents de contexte au point 11 de l’ordre du jour.</w:t>
      </w:r>
    </w:p>
  </w:footnote>
  <w:footnote w:id="4">
    <w:p w14:paraId="330A0488" w14:textId="61F46F13" w:rsidR="00144224" w:rsidRPr="00144224" w:rsidRDefault="00144224">
      <w:pPr>
        <w:pStyle w:val="FootnoteText"/>
        <w:rPr>
          <w:lang w:val="fr-CA"/>
        </w:rPr>
      </w:pPr>
      <w:r>
        <w:rPr>
          <w:rStyle w:val="FootnoteReference"/>
        </w:rPr>
        <w:footnoteRef/>
      </w:r>
      <w:r w:rsidRPr="00144224">
        <w:rPr>
          <w:lang w:val="fr-CA"/>
        </w:rPr>
        <w:t xml:space="preserve"> </w:t>
      </w:r>
      <w:r>
        <w:rPr>
          <w:lang w:val="fr-CA"/>
        </w:rPr>
        <w:t xml:space="preserve">Situation discutée également dans le document UNEP/OzL.Pro/ExCom/96/11 sur les projets </w:t>
      </w:r>
      <w:r w:rsidR="00F73853">
        <w:rPr>
          <w:lang w:val="fr-CA"/>
        </w:rPr>
        <w:t>comportant</w:t>
      </w:r>
      <w:r>
        <w:rPr>
          <w:lang w:val="fr-CA"/>
        </w:rPr>
        <w:t xml:space="preserve"> des exigences spécifiques de </w:t>
      </w:r>
      <w:r w:rsidR="000F5A02">
        <w:rPr>
          <w:lang w:val="fr-CA"/>
        </w:rPr>
        <w:t xml:space="preserve">remise de </w:t>
      </w:r>
      <w:r>
        <w:rPr>
          <w:lang w:val="fr-CA"/>
        </w:rPr>
        <w:t>rapports.</w:t>
      </w:r>
    </w:p>
  </w:footnote>
  <w:footnote w:id="5">
    <w:p w14:paraId="7B33A125" w14:textId="6BFBFE6E" w:rsidR="00797851" w:rsidRPr="00797851" w:rsidRDefault="00797851">
      <w:pPr>
        <w:pStyle w:val="FootnoteText"/>
        <w:rPr>
          <w:lang w:val="fr-CA"/>
        </w:rPr>
      </w:pPr>
      <w:r>
        <w:rPr>
          <w:rStyle w:val="FootnoteReference"/>
        </w:rPr>
        <w:footnoteRef/>
      </w:r>
      <w:r w:rsidRPr="00797851">
        <w:rPr>
          <w:lang w:val="fr-CA"/>
        </w:rPr>
        <w:t xml:space="preserve"> </w:t>
      </w:r>
      <w:r>
        <w:rPr>
          <w:lang w:val="fr-CA"/>
        </w:rPr>
        <w:t xml:space="preserve">Basé sur un taux de change de l’Euro au dollar américain de 1 :1,13 (le 5 mai 2025), ces prix correspondent à 2,98 </w:t>
      </w:r>
      <w:r w:rsidR="000F5A02">
        <w:rPr>
          <w:lang w:val="fr-CA"/>
        </w:rPr>
        <w:t>-</w:t>
      </w:r>
      <w:r>
        <w:rPr>
          <w:lang w:val="fr-CA"/>
        </w:rPr>
        <w:t xml:space="preserve"> 3,01 $US/kg pour la mousse à base de cyclopentane, comparés à 3,71 $US/kg pour des formulations à base de HFO-1233zd(E) et 3,95 $US/kg pour des formulations à base de HCFC-141b.</w:t>
      </w:r>
    </w:p>
  </w:footnote>
  <w:footnote w:id="6">
    <w:p w14:paraId="27C2853A" w14:textId="4F24F15B" w:rsidR="003520F1" w:rsidRPr="003520F1" w:rsidRDefault="003520F1">
      <w:pPr>
        <w:pStyle w:val="FootnoteText"/>
        <w:rPr>
          <w:lang w:val="fr-CA"/>
        </w:rPr>
      </w:pPr>
      <w:r>
        <w:rPr>
          <w:rStyle w:val="FootnoteReference"/>
        </w:rPr>
        <w:footnoteRef/>
      </w:r>
      <w:r w:rsidRPr="003520F1">
        <w:rPr>
          <w:lang w:val="fr-CA"/>
        </w:rPr>
        <w:t xml:space="preserve"> </w:t>
      </w:r>
      <w:r>
        <w:rPr>
          <w:lang w:val="fr-CA"/>
        </w:rPr>
        <w:t xml:space="preserve">Ce qui correspond à 76,31 $US/kg et 18,11 $US/kg, respectivement.  </w:t>
      </w:r>
    </w:p>
  </w:footnote>
  <w:footnote w:id="7">
    <w:p w14:paraId="0057B14E" w14:textId="67AC3C75" w:rsidR="00D12323" w:rsidRPr="00D12323" w:rsidRDefault="00D12323">
      <w:pPr>
        <w:pStyle w:val="FootnoteText"/>
        <w:rPr>
          <w:lang w:val="fr-CA"/>
        </w:rPr>
      </w:pPr>
      <w:r>
        <w:rPr>
          <w:rStyle w:val="FootnoteReference"/>
        </w:rPr>
        <w:footnoteRef/>
      </w:r>
      <w:r w:rsidRPr="00551F51">
        <w:rPr>
          <w:lang w:val="fr-CA"/>
        </w:rPr>
        <w:t xml:space="preserve"> </w:t>
      </w:r>
      <w:r>
        <w:rPr>
          <w:lang w:val="fr-CA"/>
        </w:rPr>
        <w:t>Diisocyanate de diphénylméthane (MDI)</w:t>
      </w:r>
    </w:p>
  </w:footnote>
  <w:footnote w:id="8">
    <w:p w14:paraId="136355D1" w14:textId="5411A137" w:rsidR="00FD05BC" w:rsidRPr="00FD05BC" w:rsidRDefault="00FD05BC">
      <w:pPr>
        <w:pStyle w:val="FootnoteText"/>
        <w:rPr>
          <w:lang w:val="fr-CA"/>
        </w:rPr>
      </w:pPr>
      <w:r>
        <w:rPr>
          <w:rStyle w:val="FootnoteReference"/>
        </w:rPr>
        <w:footnoteRef/>
      </w:r>
      <w:r w:rsidRPr="00FD05BC">
        <w:rPr>
          <w:lang w:val="fr-CA"/>
        </w:rPr>
        <w:t xml:space="preserve"> </w:t>
      </w:r>
      <w:r>
        <w:rPr>
          <w:lang w:val="fr-CA"/>
        </w:rPr>
        <w:t>Rapport final disponible dans le document UNEP/OzL.Pro/ExCom/71/6/Add.1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F6A2" w14:textId="619D46DA" w:rsidR="00DC6A10" w:rsidRPr="0033525D" w:rsidRDefault="00D11735">
    <w:fldSimple w:instr=" DOCPROPERTY &quot;Document number&quot;  \* MERGEFORMAT ">
      <w:r w:rsidR="004D6843">
        <w:t>UNEP/OzL.Pro/ExCom/96/60</w:t>
      </w:r>
    </w:fldSimple>
  </w:p>
  <w:p w14:paraId="46F6777F" w14:textId="77777777" w:rsidR="00DC6A10" w:rsidRPr="0033525D" w:rsidRDefault="00DC6A10"/>
  <w:p w14:paraId="78532A6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E9AB" w14:textId="3848A8E4" w:rsidR="00DC6A10" w:rsidRDefault="00FC3E05">
    <w:pPr>
      <w:jc w:val="right"/>
    </w:pPr>
    <w:fldSimple w:instr=" DOCPROPERTY &quot;Document number&quot;  \* MERGEFORMAT ">
      <w:r w:rsidR="004D6843">
        <w:t>UNEP/OzL.Pro/ExCom/96/60</w:t>
      </w:r>
    </w:fldSimple>
  </w:p>
  <w:p w14:paraId="69D48DBD" w14:textId="77777777" w:rsidR="00DC6A10" w:rsidRDefault="00DC6A10">
    <w:pPr>
      <w:pStyle w:val="Header"/>
    </w:pPr>
  </w:p>
  <w:p w14:paraId="07F48278" w14:textId="77777777" w:rsidR="00F6620D" w:rsidRPr="0033525D" w:rsidRDefault="00F66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A4A4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02CC6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A61C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33461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58234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07203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DC6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75039A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2A65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00C6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317B4A"/>
    <w:multiLevelType w:val="hybridMultilevel"/>
    <w:tmpl w:val="FA0C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2300E6"/>
    <w:multiLevelType w:val="hybridMultilevel"/>
    <w:tmpl w:val="1A5C821E"/>
    <w:lvl w:ilvl="0" w:tplc="6CBA94A6">
      <w:start w:val="1"/>
      <w:numFmt w:val="lowerLetter"/>
      <w:lvlText w:val="(%1)"/>
      <w:lvlJc w:val="left"/>
      <w:pPr>
        <w:ind w:left="1060" w:hanging="360"/>
      </w:pPr>
      <w:rPr>
        <w:rFonts w:hint="default"/>
      </w:rPr>
    </w:lvl>
    <w:lvl w:ilvl="1" w:tplc="04090019">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21AE4202"/>
    <w:multiLevelType w:val="hybridMultilevel"/>
    <w:tmpl w:val="C734A578"/>
    <w:lvl w:ilvl="0" w:tplc="EBF49E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C023BFE"/>
    <w:multiLevelType w:val="hybridMultilevel"/>
    <w:tmpl w:val="0C72BCC8"/>
    <w:lvl w:ilvl="0" w:tplc="61C674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3AC336B"/>
    <w:multiLevelType w:val="hybridMultilevel"/>
    <w:tmpl w:val="C61A4BC0"/>
    <w:lvl w:ilvl="0" w:tplc="7CE0FD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E8017DD"/>
    <w:multiLevelType w:val="hybridMultilevel"/>
    <w:tmpl w:val="9A4CBF42"/>
    <w:lvl w:ilvl="0" w:tplc="7884CA5A">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1" w15:restartNumberingAfterBreak="0">
    <w:nsid w:val="6288595A"/>
    <w:multiLevelType w:val="hybridMultilevel"/>
    <w:tmpl w:val="4EF44864"/>
    <w:lvl w:ilvl="0" w:tplc="5B705F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89B6003"/>
    <w:multiLevelType w:val="hybridMultilevel"/>
    <w:tmpl w:val="8416A820"/>
    <w:lvl w:ilvl="0" w:tplc="42D8EE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AAF608A"/>
    <w:multiLevelType w:val="hybridMultilevel"/>
    <w:tmpl w:val="14263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4"/>
  </w:num>
  <w:num w:numId="20" w16cid:durableId="444007775">
    <w:abstractNumId w:val="15"/>
  </w:num>
  <w:num w:numId="21" w16cid:durableId="1657146084">
    <w:abstractNumId w:val="11"/>
  </w:num>
  <w:num w:numId="22" w16cid:durableId="1080559759">
    <w:abstractNumId w:val="23"/>
  </w:num>
  <w:num w:numId="23" w16cid:durableId="1830825490">
    <w:abstractNumId w:val="21"/>
  </w:num>
  <w:num w:numId="24" w16cid:durableId="331028341">
    <w:abstractNumId w:val="22"/>
  </w:num>
  <w:num w:numId="25" w16cid:durableId="1934119196">
    <w:abstractNumId w:val="13"/>
  </w:num>
  <w:num w:numId="26" w16cid:durableId="499472217">
    <w:abstractNumId w:val="16"/>
  </w:num>
  <w:num w:numId="27" w16cid:durableId="1734085607">
    <w:abstractNumId w:val="19"/>
  </w:num>
  <w:num w:numId="28" w16cid:durableId="2025668139">
    <w:abstractNumId w:val="20"/>
  </w:num>
  <w:num w:numId="29" w16cid:durableId="698117595">
    <w:abstractNumId w:val="12"/>
  </w:num>
  <w:num w:numId="30" w16cid:durableId="2142307290">
    <w:abstractNumId w:val="8"/>
  </w:num>
  <w:num w:numId="31" w16cid:durableId="1367365929">
    <w:abstractNumId w:val="3"/>
  </w:num>
  <w:num w:numId="32" w16cid:durableId="552616761">
    <w:abstractNumId w:val="2"/>
  </w:num>
  <w:num w:numId="33" w16cid:durableId="577444714">
    <w:abstractNumId w:val="1"/>
  </w:num>
  <w:num w:numId="34" w16cid:durableId="1830366695">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C3E05"/>
    <w:rsid w:val="00000FED"/>
    <w:rsid w:val="0000434E"/>
    <w:rsid w:val="00014A04"/>
    <w:rsid w:val="000211A9"/>
    <w:rsid w:val="00021238"/>
    <w:rsid w:val="00022071"/>
    <w:rsid w:val="000220DD"/>
    <w:rsid w:val="00024F01"/>
    <w:rsid w:val="00031260"/>
    <w:rsid w:val="00035532"/>
    <w:rsid w:val="0003681A"/>
    <w:rsid w:val="000372B7"/>
    <w:rsid w:val="00050F6E"/>
    <w:rsid w:val="00061EC2"/>
    <w:rsid w:val="00066CE8"/>
    <w:rsid w:val="00080ED0"/>
    <w:rsid w:val="00082221"/>
    <w:rsid w:val="00085B8F"/>
    <w:rsid w:val="00090481"/>
    <w:rsid w:val="000A3826"/>
    <w:rsid w:val="000A4BFB"/>
    <w:rsid w:val="000A6C26"/>
    <w:rsid w:val="000A797D"/>
    <w:rsid w:val="000B261B"/>
    <w:rsid w:val="000B36C8"/>
    <w:rsid w:val="000D52A4"/>
    <w:rsid w:val="000E07BC"/>
    <w:rsid w:val="000E2E21"/>
    <w:rsid w:val="000F1CD4"/>
    <w:rsid w:val="000F4103"/>
    <w:rsid w:val="000F4141"/>
    <w:rsid w:val="000F5A02"/>
    <w:rsid w:val="000F70A7"/>
    <w:rsid w:val="00103AB1"/>
    <w:rsid w:val="00113CCA"/>
    <w:rsid w:val="00122F25"/>
    <w:rsid w:val="001265C8"/>
    <w:rsid w:val="00135980"/>
    <w:rsid w:val="0013786F"/>
    <w:rsid w:val="00144224"/>
    <w:rsid w:val="001448A7"/>
    <w:rsid w:val="0014692C"/>
    <w:rsid w:val="00160101"/>
    <w:rsid w:val="00164719"/>
    <w:rsid w:val="00166FC4"/>
    <w:rsid w:val="001677AC"/>
    <w:rsid w:val="001804EA"/>
    <w:rsid w:val="00190A61"/>
    <w:rsid w:val="00197179"/>
    <w:rsid w:val="001A2215"/>
    <w:rsid w:val="001A3342"/>
    <w:rsid w:val="001A3E3D"/>
    <w:rsid w:val="001A7049"/>
    <w:rsid w:val="001B110F"/>
    <w:rsid w:val="001B1E40"/>
    <w:rsid w:val="001C764E"/>
    <w:rsid w:val="001E1052"/>
    <w:rsid w:val="001E21B1"/>
    <w:rsid w:val="001E2F93"/>
    <w:rsid w:val="001E4554"/>
    <w:rsid w:val="001E61E5"/>
    <w:rsid w:val="001F2159"/>
    <w:rsid w:val="001F3CF2"/>
    <w:rsid w:val="001F53FD"/>
    <w:rsid w:val="00210B8B"/>
    <w:rsid w:val="00214863"/>
    <w:rsid w:val="002156B4"/>
    <w:rsid w:val="00224FCD"/>
    <w:rsid w:val="00235BAF"/>
    <w:rsid w:val="00235BBF"/>
    <w:rsid w:val="002412A6"/>
    <w:rsid w:val="00253222"/>
    <w:rsid w:val="00261C13"/>
    <w:rsid w:val="00262847"/>
    <w:rsid w:val="00281BB2"/>
    <w:rsid w:val="002A03C3"/>
    <w:rsid w:val="002B254E"/>
    <w:rsid w:val="002B4CE8"/>
    <w:rsid w:val="002B72E9"/>
    <w:rsid w:val="002C7998"/>
    <w:rsid w:val="002D477C"/>
    <w:rsid w:val="002F1E53"/>
    <w:rsid w:val="002F2CAA"/>
    <w:rsid w:val="0030052C"/>
    <w:rsid w:val="00325678"/>
    <w:rsid w:val="003306E1"/>
    <w:rsid w:val="003320E4"/>
    <w:rsid w:val="0033525D"/>
    <w:rsid w:val="00336DE7"/>
    <w:rsid w:val="003414F3"/>
    <w:rsid w:val="003520F1"/>
    <w:rsid w:val="0035613E"/>
    <w:rsid w:val="00363EE9"/>
    <w:rsid w:val="00376128"/>
    <w:rsid w:val="0037742E"/>
    <w:rsid w:val="00377D56"/>
    <w:rsid w:val="0038245A"/>
    <w:rsid w:val="003840E6"/>
    <w:rsid w:val="00385CFC"/>
    <w:rsid w:val="0039337A"/>
    <w:rsid w:val="003A0CD2"/>
    <w:rsid w:val="003A3189"/>
    <w:rsid w:val="003A3CA7"/>
    <w:rsid w:val="003B33BD"/>
    <w:rsid w:val="003B3A52"/>
    <w:rsid w:val="003B569D"/>
    <w:rsid w:val="003C3C0E"/>
    <w:rsid w:val="003D3389"/>
    <w:rsid w:val="003D42A6"/>
    <w:rsid w:val="003D4F21"/>
    <w:rsid w:val="003D4FAC"/>
    <w:rsid w:val="003E137B"/>
    <w:rsid w:val="003E1885"/>
    <w:rsid w:val="003E7906"/>
    <w:rsid w:val="003F000F"/>
    <w:rsid w:val="003F3C50"/>
    <w:rsid w:val="003F43EF"/>
    <w:rsid w:val="00406202"/>
    <w:rsid w:val="00406A6A"/>
    <w:rsid w:val="00406B22"/>
    <w:rsid w:val="00407147"/>
    <w:rsid w:val="004078FA"/>
    <w:rsid w:val="00413C3B"/>
    <w:rsid w:val="00425739"/>
    <w:rsid w:val="00431E08"/>
    <w:rsid w:val="004328A7"/>
    <w:rsid w:val="00434C74"/>
    <w:rsid w:val="00451210"/>
    <w:rsid w:val="00456EB4"/>
    <w:rsid w:val="00457827"/>
    <w:rsid w:val="004718F3"/>
    <w:rsid w:val="00475040"/>
    <w:rsid w:val="00487732"/>
    <w:rsid w:val="00490C06"/>
    <w:rsid w:val="00493D40"/>
    <w:rsid w:val="00493EE3"/>
    <w:rsid w:val="00496638"/>
    <w:rsid w:val="004967B6"/>
    <w:rsid w:val="004A504B"/>
    <w:rsid w:val="004A6911"/>
    <w:rsid w:val="004B3652"/>
    <w:rsid w:val="004B54E0"/>
    <w:rsid w:val="004B7384"/>
    <w:rsid w:val="004C4269"/>
    <w:rsid w:val="004D6236"/>
    <w:rsid w:val="004D6843"/>
    <w:rsid w:val="004D7F90"/>
    <w:rsid w:val="004E036A"/>
    <w:rsid w:val="004E4DBB"/>
    <w:rsid w:val="004E4E41"/>
    <w:rsid w:val="004E73DB"/>
    <w:rsid w:val="004E7F9C"/>
    <w:rsid w:val="004F3493"/>
    <w:rsid w:val="004F5143"/>
    <w:rsid w:val="005039AB"/>
    <w:rsid w:val="00512B09"/>
    <w:rsid w:val="00514BBF"/>
    <w:rsid w:val="00516E04"/>
    <w:rsid w:val="005220ED"/>
    <w:rsid w:val="00533796"/>
    <w:rsid w:val="00534CCE"/>
    <w:rsid w:val="00537343"/>
    <w:rsid w:val="005516F3"/>
    <w:rsid w:val="00551F51"/>
    <w:rsid w:val="00555D75"/>
    <w:rsid w:val="00560DF0"/>
    <w:rsid w:val="0056413B"/>
    <w:rsid w:val="0056759C"/>
    <w:rsid w:val="00567785"/>
    <w:rsid w:val="0057658C"/>
    <w:rsid w:val="00577F02"/>
    <w:rsid w:val="00586EB5"/>
    <w:rsid w:val="00594B34"/>
    <w:rsid w:val="0059513E"/>
    <w:rsid w:val="005A6AA4"/>
    <w:rsid w:val="005A6D9F"/>
    <w:rsid w:val="005B48FF"/>
    <w:rsid w:val="005B4E6A"/>
    <w:rsid w:val="005C1E32"/>
    <w:rsid w:val="005C670D"/>
    <w:rsid w:val="005D363F"/>
    <w:rsid w:val="005E1DA6"/>
    <w:rsid w:val="00604C15"/>
    <w:rsid w:val="00611769"/>
    <w:rsid w:val="006158D5"/>
    <w:rsid w:val="00625D83"/>
    <w:rsid w:val="00651984"/>
    <w:rsid w:val="006623E7"/>
    <w:rsid w:val="00662B80"/>
    <w:rsid w:val="0066768F"/>
    <w:rsid w:val="00670F6C"/>
    <w:rsid w:val="00676E58"/>
    <w:rsid w:val="006814C1"/>
    <w:rsid w:val="006852C7"/>
    <w:rsid w:val="006852CE"/>
    <w:rsid w:val="00692D14"/>
    <w:rsid w:val="0069692B"/>
    <w:rsid w:val="006A7A3B"/>
    <w:rsid w:val="006B65C7"/>
    <w:rsid w:val="006C1727"/>
    <w:rsid w:val="006C32FD"/>
    <w:rsid w:val="006C39CE"/>
    <w:rsid w:val="006C3B1A"/>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4D88"/>
    <w:rsid w:val="0074760E"/>
    <w:rsid w:val="007548C4"/>
    <w:rsid w:val="00754ABA"/>
    <w:rsid w:val="00782B0D"/>
    <w:rsid w:val="0079095B"/>
    <w:rsid w:val="00796DAE"/>
    <w:rsid w:val="00797430"/>
    <w:rsid w:val="0079781A"/>
    <w:rsid w:val="00797851"/>
    <w:rsid w:val="007A1546"/>
    <w:rsid w:val="007A228C"/>
    <w:rsid w:val="007A368E"/>
    <w:rsid w:val="007A5868"/>
    <w:rsid w:val="007B04CE"/>
    <w:rsid w:val="007B6871"/>
    <w:rsid w:val="007B7A2F"/>
    <w:rsid w:val="007C32EE"/>
    <w:rsid w:val="007C3D33"/>
    <w:rsid w:val="007D294A"/>
    <w:rsid w:val="007D47D2"/>
    <w:rsid w:val="007D6EC0"/>
    <w:rsid w:val="007D798E"/>
    <w:rsid w:val="007D7E1D"/>
    <w:rsid w:val="007E3A63"/>
    <w:rsid w:val="007E503C"/>
    <w:rsid w:val="0080345C"/>
    <w:rsid w:val="00805444"/>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4946"/>
    <w:rsid w:val="008C222B"/>
    <w:rsid w:val="008C390D"/>
    <w:rsid w:val="008C5738"/>
    <w:rsid w:val="008C7EAD"/>
    <w:rsid w:val="008D0CFE"/>
    <w:rsid w:val="008D4EE1"/>
    <w:rsid w:val="008D6152"/>
    <w:rsid w:val="008E4CC8"/>
    <w:rsid w:val="008E7BA9"/>
    <w:rsid w:val="008F0F81"/>
    <w:rsid w:val="008F27BF"/>
    <w:rsid w:val="008F2E64"/>
    <w:rsid w:val="008F52BB"/>
    <w:rsid w:val="00900042"/>
    <w:rsid w:val="009142EC"/>
    <w:rsid w:val="009145E4"/>
    <w:rsid w:val="009154C3"/>
    <w:rsid w:val="00915EDB"/>
    <w:rsid w:val="00922D17"/>
    <w:rsid w:val="00923540"/>
    <w:rsid w:val="00926767"/>
    <w:rsid w:val="00933383"/>
    <w:rsid w:val="009361D5"/>
    <w:rsid w:val="009428A4"/>
    <w:rsid w:val="009659F4"/>
    <w:rsid w:val="00970D60"/>
    <w:rsid w:val="00975C70"/>
    <w:rsid w:val="009874D0"/>
    <w:rsid w:val="0099390E"/>
    <w:rsid w:val="009960E5"/>
    <w:rsid w:val="009A53DD"/>
    <w:rsid w:val="009A7ADC"/>
    <w:rsid w:val="009B0D30"/>
    <w:rsid w:val="009B13BB"/>
    <w:rsid w:val="009B4101"/>
    <w:rsid w:val="009C19B7"/>
    <w:rsid w:val="009C5ABB"/>
    <w:rsid w:val="009D7C51"/>
    <w:rsid w:val="009E196C"/>
    <w:rsid w:val="009E6A0A"/>
    <w:rsid w:val="009F36BF"/>
    <w:rsid w:val="009F7A3F"/>
    <w:rsid w:val="00A00EE2"/>
    <w:rsid w:val="00A111B6"/>
    <w:rsid w:val="00A21AAC"/>
    <w:rsid w:val="00A26D27"/>
    <w:rsid w:val="00A376EE"/>
    <w:rsid w:val="00A42A99"/>
    <w:rsid w:val="00A5151A"/>
    <w:rsid w:val="00A5451A"/>
    <w:rsid w:val="00A5651A"/>
    <w:rsid w:val="00A57E0A"/>
    <w:rsid w:val="00A77919"/>
    <w:rsid w:val="00A823F6"/>
    <w:rsid w:val="00A84095"/>
    <w:rsid w:val="00A8719E"/>
    <w:rsid w:val="00A93E76"/>
    <w:rsid w:val="00AA0A89"/>
    <w:rsid w:val="00AA5368"/>
    <w:rsid w:val="00AA6429"/>
    <w:rsid w:val="00AC01AA"/>
    <w:rsid w:val="00AC3EE9"/>
    <w:rsid w:val="00AC4F72"/>
    <w:rsid w:val="00AC5041"/>
    <w:rsid w:val="00AD0C2C"/>
    <w:rsid w:val="00AE482E"/>
    <w:rsid w:val="00AF1B39"/>
    <w:rsid w:val="00AF741A"/>
    <w:rsid w:val="00B01ADB"/>
    <w:rsid w:val="00B04161"/>
    <w:rsid w:val="00B0560F"/>
    <w:rsid w:val="00B056F9"/>
    <w:rsid w:val="00B11E3D"/>
    <w:rsid w:val="00B13819"/>
    <w:rsid w:val="00B14D2C"/>
    <w:rsid w:val="00B17E82"/>
    <w:rsid w:val="00B4575A"/>
    <w:rsid w:val="00B5158B"/>
    <w:rsid w:val="00B561C6"/>
    <w:rsid w:val="00B575BA"/>
    <w:rsid w:val="00B71144"/>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5DEA"/>
    <w:rsid w:val="00C15867"/>
    <w:rsid w:val="00C22398"/>
    <w:rsid w:val="00C2296D"/>
    <w:rsid w:val="00C23155"/>
    <w:rsid w:val="00C33EE5"/>
    <w:rsid w:val="00C40C41"/>
    <w:rsid w:val="00C45885"/>
    <w:rsid w:val="00C50F22"/>
    <w:rsid w:val="00C57971"/>
    <w:rsid w:val="00C65BD7"/>
    <w:rsid w:val="00C72ACD"/>
    <w:rsid w:val="00C76BA4"/>
    <w:rsid w:val="00C83A48"/>
    <w:rsid w:val="00C85865"/>
    <w:rsid w:val="00C85E85"/>
    <w:rsid w:val="00C91E38"/>
    <w:rsid w:val="00C926C8"/>
    <w:rsid w:val="00CA2EAE"/>
    <w:rsid w:val="00CA4AC1"/>
    <w:rsid w:val="00CA59FB"/>
    <w:rsid w:val="00CB0316"/>
    <w:rsid w:val="00CB0B11"/>
    <w:rsid w:val="00CB0D77"/>
    <w:rsid w:val="00CB1DBA"/>
    <w:rsid w:val="00CB426A"/>
    <w:rsid w:val="00CB5354"/>
    <w:rsid w:val="00CC3C9E"/>
    <w:rsid w:val="00CC6A14"/>
    <w:rsid w:val="00CC70A3"/>
    <w:rsid w:val="00CC7501"/>
    <w:rsid w:val="00CD2F7B"/>
    <w:rsid w:val="00CD336F"/>
    <w:rsid w:val="00CD4442"/>
    <w:rsid w:val="00CD53C3"/>
    <w:rsid w:val="00CD574E"/>
    <w:rsid w:val="00CE4C22"/>
    <w:rsid w:val="00CE76E5"/>
    <w:rsid w:val="00CF41EC"/>
    <w:rsid w:val="00CF5D04"/>
    <w:rsid w:val="00D04DE4"/>
    <w:rsid w:val="00D063F1"/>
    <w:rsid w:val="00D11735"/>
    <w:rsid w:val="00D12323"/>
    <w:rsid w:val="00D14F22"/>
    <w:rsid w:val="00D439F3"/>
    <w:rsid w:val="00D4741C"/>
    <w:rsid w:val="00D57918"/>
    <w:rsid w:val="00D62C9C"/>
    <w:rsid w:val="00D73DC6"/>
    <w:rsid w:val="00D74C1A"/>
    <w:rsid w:val="00D754C1"/>
    <w:rsid w:val="00D77393"/>
    <w:rsid w:val="00D77A35"/>
    <w:rsid w:val="00D81B3E"/>
    <w:rsid w:val="00D90C70"/>
    <w:rsid w:val="00D90E49"/>
    <w:rsid w:val="00D96ADE"/>
    <w:rsid w:val="00DA0CE2"/>
    <w:rsid w:val="00DA2387"/>
    <w:rsid w:val="00DA28A6"/>
    <w:rsid w:val="00DA3105"/>
    <w:rsid w:val="00DC6A10"/>
    <w:rsid w:val="00DD378B"/>
    <w:rsid w:val="00DD3B37"/>
    <w:rsid w:val="00DE657E"/>
    <w:rsid w:val="00DF1274"/>
    <w:rsid w:val="00DF4704"/>
    <w:rsid w:val="00E024AA"/>
    <w:rsid w:val="00E15C77"/>
    <w:rsid w:val="00E1693E"/>
    <w:rsid w:val="00E250F1"/>
    <w:rsid w:val="00E3550D"/>
    <w:rsid w:val="00E408B7"/>
    <w:rsid w:val="00E43663"/>
    <w:rsid w:val="00E50692"/>
    <w:rsid w:val="00E52838"/>
    <w:rsid w:val="00E614E0"/>
    <w:rsid w:val="00E73F7F"/>
    <w:rsid w:val="00E753E8"/>
    <w:rsid w:val="00E77C76"/>
    <w:rsid w:val="00E851D5"/>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248F9"/>
    <w:rsid w:val="00F326BF"/>
    <w:rsid w:val="00F327E7"/>
    <w:rsid w:val="00F35746"/>
    <w:rsid w:val="00F447C7"/>
    <w:rsid w:val="00F459B4"/>
    <w:rsid w:val="00F5211B"/>
    <w:rsid w:val="00F52CBA"/>
    <w:rsid w:val="00F554A9"/>
    <w:rsid w:val="00F64721"/>
    <w:rsid w:val="00F6620D"/>
    <w:rsid w:val="00F716FD"/>
    <w:rsid w:val="00F73853"/>
    <w:rsid w:val="00F80355"/>
    <w:rsid w:val="00F87C43"/>
    <w:rsid w:val="00FA5722"/>
    <w:rsid w:val="00FB0C81"/>
    <w:rsid w:val="00FC1367"/>
    <w:rsid w:val="00FC2200"/>
    <w:rsid w:val="00FC2540"/>
    <w:rsid w:val="00FC3E05"/>
    <w:rsid w:val="00FD05BC"/>
    <w:rsid w:val="00FE1727"/>
    <w:rsid w:val="00FE1FA0"/>
    <w:rsid w:val="00FF0204"/>
    <w:rsid w:val="00FF3AED"/>
    <w:rsid w:val="00FF6F1B"/>
    <w:rsid w:val="00FF70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ADDF8"/>
  <w15:docId w15:val="{286C6D3F-80D1-1043-99F1-BC6BC38B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uiPriority w:val="34"/>
    <w:qFormat/>
    <w:rsid w:val="00FC3E05"/>
    <w:pPr>
      <w:ind w:left="720"/>
      <w:contextualSpacing/>
    </w:pPr>
  </w:style>
  <w:style w:type="character" w:customStyle="1" w:styleId="normaltextrun">
    <w:name w:val="normaltextrun"/>
    <w:basedOn w:val="DefaultParagraphFont"/>
    <w:rsid w:val="00B0560F"/>
  </w:style>
  <w:style w:type="paragraph" w:styleId="Bibliography">
    <w:name w:val="Bibliography"/>
    <w:basedOn w:val="Normal"/>
    <w:next w:val="Normal"/>
    <w:uiPriority w:val="37"/>
    <w:semiHidden/>
    <w:unhideWhenUsed/>
    <w:rsid w:val="004D6843"/>
  </w:style>
  <w:style w:type="paragraph" w:styleId="BodyText">
    <w:name w:val="Body Text"/>
    <w:basedOn w:val="Normal"/>
    <w:link w:val="BodyTextChar"/>
    <w:uiPriority w:val="99"/>
    <w:semiHidden/>
    <w:unhideWhenUsed/>
    <w:rsid w:val="004D6843"/>
    <w:pPr>
      <w:spacing w:after="120"/>
    </w:pPr>
  </w:style>
  <w:style w:type="character" w:customStyle="1" w:styleId="BodyTextChar">
    <w:name w:val="Body Text Char"/>
    <w:basedOn w:val="DefaultParagraphFont"/>
    <w:link w:val="BodyText"/>
    <w:uiPriority w:val="99"/>
    <w:semiHidden/>
    <w:rsid w:val="004D6843"/>
    <w:rPr>
      <w:sz w:val="22"/>
      <w:szCs w:val="22"/>
      <w:lang w:val="en-CA"/>
    </w:rPr>
  </w:style>
  <w:style w:type="paragraph" w:styleId="BodyText2">
    <w:name w:val="Body Text 2"/>
    <w:basedOn w:val="Normal"/>
    <w:link w:val="BodyText2Char"/>
    <w:uiPriority w:val="99"/>
    <w:semiHidden/>
    <w:unhideWhenUsed/>
    <w:rsid w:val="004D6843"/>
    <w:pPr>
      <w:spacing w:after="120" w:line="480" w:lineRule="auto"/>
    </w:pPr>
  </w:style>
  <w:style w:type="character" w:customStyle="1" w:styleId="BodyText2Char">
    <w:name w:val="Body Text 2 Char"/>
    <w:basedOn w:val="DefaultParagraphFont"/>
    <w:link w:val="BodyText2"/>
    <w:uiPriority w:val="99"/>
    <w:semiHidden/>
    <w:rsid w:val="004D6843"/>
    <w:rPr>
      <w:sz w:val="22"/>
      <w:szCs w:val="22"/>
      <w:lang w:val="en-CA"/>
    </w:rPr>
  </w:style>
  <w:style w:type="paragraph" w:styleId="BodyTextFirstIndent">
    <w:name w:val="Body Text First Indent"/>
    <w:basedOn w:val="BodyText"/>
    <w:link w:val="BodyTextFirstIndentChar"/>
    <w:uiPriority w:val="99"/>
    <w:semiHidden/>
    <w:unhideWhenUsed/>
    <w:rsid w:val="004D6843"/>
    <w:pPr>
      <w:spacing w:after="0"/>
      <w:ind w:firstLine="360"/>
    </w:pPr>
  </w:style>
  <w:style w:type="character" w:customStyle="1" w:styleId="BodyTextFirstIndentChar">
    <w:name w:val="Body Text First Indent Char"/>
    <w:basedOn w:val="BodyTextChar"/>
    <w:link w:val="BodyTextFirstIndent"/>
    <w:uiPriority w:val="99"/>
    <w:semiHidden/>
    <w:rsid w:val="004D6843"/>
    <w:rPr>
      <w:sz w:val="22"/>
      <w:szCs w:val="22"/>
      <w:lang w:val="en-CA"/>
    </w:rPr>
  </w:style>
  <w:style w:type="paragraph" w:styleId="BodyTextIndent">
    <w:name w:val="Body Text Indent"/>
    <w:basedOn w:val="Normal"/>
    <w:link w:val="BodyTextIndentChar"/>
    <w:uiPriority w:val="99"/>
    <w:semiHidden/>
    <w:unhideWhenUsed/>
    <w:rsid w:val="004D6843"/>
    <w:pPr>
      <w:spacing w:after="120"/>
      <w:ind w:left="360"/>
    </w:pPr>
  </w:style>
  <w:style w:type="character" w:customStyle="1" w:styleId="BodyTextIndentChar">
    <w:name w:val="Body Text Indent Char"/>
    <w:basedOn w:val="DefaultParagraphFont"/>
    <w:link w:val="BodyTextIndent"/>
    <w:uiPriority w:val="99"/>
    <w:semiHidden/>
    <w:rsid w:val="004D6843"/>
    <w:rPr>
      <w:sz w:val="22"/>
      <w:szCs w:val="22"/>
      <w:lang w:val="en-CA"/>
    </w:rPr>
  </w:style>
  <w:style w:type="paragraph" w:styleId="BodyTextFirstIndent2">
    <w:name w:val="Body Text First Indent 2"/>
    <w:basedOn w:val="BodyTextIndent"/>
    <w:link w:val="BodyTextFirstIndent2Char"/>
    <w:uiPriority w:val="99"/>
    <w:semiHidden/>
    <w:unhideWhenUsed/>
    <w:rsid w:val="004D6843"/>
    <w:pPr>
      <w:spacing w:after="0"/>
      <w:ind w:firstLine="360"/>
    </w:pPr>
  </w:style>
  <w:style w:type="character" w:customStyle="1" w:styleId="BodyTextFirstIndent2Char">
    <w:name w:val="Body Text First Indent 2 Char"/>
    <w:basedOn w:val="BodyTextIndentChar"/>
    <w:link w:val="BodyTextFirstIndent2"/>
    <w:uiPriority w:val="99"/>
    <w:semiHidden/>
    <w:rsid w:val="004D6843"/>
    <w:rPr>
      <w:sz w:val="22"/>
      <w:szCs w:val="22"/>
      <w:lang w:val="en-CA"/>
    </w:rPr>
  </w:style>
  <w:style w:type="paragraph" w:styleId="BodyTextIndent2">
    <w:name w:val="Body Text Indent 2"/>
    <w:basedOn w:val="Normal"/>
    <w:link w:val="BodyTextIndent2Char"/>
    <w:uiPriority w:val="99"/>
    <w:semiHidden/>
    <w:unhideWhenUsed/>
    <w:rsid w:val="004D6843"/>
    <w:pPr>
      <w:spacing w:after="120" w:line="480" w:lineRule="auto"/>
      <w:ind w:left="360"/>
    </w:pPr>
  </w:style>
  <w:style w:type="character" w:customStyle="1" w:styleId="BodyTextIndent2Char">
    <w:name w:val="Body Text Indent 2 Char"/>
    <w:basedOn w:val="DefaultParagraphFont"/>
    <w:link w:val="BodyTextIndent2"/>
    <w:uiPriority w:val="99"/>
    <w:semiHidden/>
    <w:rsid w:val="004D6843"/>
    <w:rPr>
      <w:sz w:val="22"/>
      <w:szCs w:val="22"/>
      <w:lang w:val="en-CA"/>
    </w:rPr>
  </w:style>
  <w:style w:type="paragraph" w:styleId="Caption">
    <w:name w:val="caption"/>
    <w:basedOn w:val="Normal"/>
    <w:next w:val="Normal"/>
    <w:uiPriority w:val="35"/>
    <w:semiHidden/>
    <w:unhideWhenUsed/>
    <w:qFormat/>
    <w:rsid w:val="004D6843"/>
    <w:pPr>
      <w:spacing w:after="200"/>
    </w:pPr>
    <w:rPr>
      <w:i/>
      <w:iCs/>
      <w:color w:val="1F497D" w:themeColor="text2"/>
      <w:sz w:val="18"/>
      <w:szCs w:val="18"/>
    </w:rPr>
  </w:style>
  <w:style w:type="paragraph" w:styleId="Closing">
    <w:name w:val="Closing"/>
    <w:basedOn w:val="Normal"/>
    <w:link w:val="ClosingChar"/>
    <w:uiPriority w:val="99"/>
    <w:semiHidden/>
    <w:unhideWhenUsed/>
    <w:rsid w:val="004D6843"/>
    <w:pPr>
      <w:ind w:left="4320"/>
    </w:pPr>
  </w:style>
  <w:style w:type="character" w:customStyle="1" w:styleId="ClosingChar">
    <w:name w:val="Closing Char"/>
    <w:basedOn w:val="DefaultParagraphFont"/>
    <w:link w:val="Closing"/>
    <w:uiPriority w:val="99"/>
    <w:semiHidden/>
    <w:rsid w:val="004D6843"/>
    <w:rPr>
      <w:sz w:val="22"/>
      <w:szCs w:val="22"/>
      <w:lang w:val="en-CA"/>
    </w:rPr>
  </w:style>
  <w:style w:type="paragraph" w:styleId="DocumentMap">
    <w:name w:val="Document Map"/>
    <w:basedOn w:val="Normal"/>
    <w:link w:val="DocumentMapChar"/>
    <w:uiPriority w:val="99"/>
    <w:semiHidden/>
    <w:unhideWhenUsed/>
    <w:rsid w:val="004D684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D6843"/>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4D6843"/>
  </w:style>
  <w:style w:type="character" w:customStyle="1" w:styleId="E-mailSignatureChar">
    <w:name w:val="E-mail Signature Char"/>
    <w:basedOn w:val="DefaultParagraphFont"/>
    <w:link w:val="E-mailSignature"/>
    <w:uiPriority w:val="99"/>
    <w:semiHidden/>
    <w:rsid w:val="004D6843"/>
    <w:rPr>
      <w:sz w:val="22"/>
      <w:szCs w:val="22"/>
      <w:lang w:val="en-CA"/>
    </w:rPr>
  </w:style>
  <w:style w:type="paragraph" w:styleId="EndnoteText">
    <w:name w:val="endnote text"/>
    <w:basedOn w:val="Normal"/>
    <w:link w:val="EndnoteTextChar"/>
    <w:uiPriority w:val="99"/>
    <w:semiHidden/>
    <w:unhideWhenUsed/>
    <w:rsid w:val="004D6843"/>
    <w:rPr>
      <w:sz w:val="20"/>
      <w:szCs w:val="20"/>
    </w:rPr>
  </w:style>
  <w:style w:type="character" w:customStyle="1" w:styleId="EndnoteTextChar">
    <w:name w:val="Endnote Text Char"/>
    <w:basedOn w:val="DefaultParagraphFont"/>
    <w:link w:val="EndnoteText"/>
    <w:uiPriority w:val="99"/>
    <w:semiHidden/>
    <w:rsid w:val="004D6843"/>
    <w:rPr>
      <w:lang w:val="en-CA"/>
    </w:rPr>
  </w:style>
  <w:style w:type="paragraph" w:styleId="EnvelopeAddress">
    <w:name w:val="envelope address"/>
    <w:basedOn w:val="Normal"/>
    <w:uiPriority w:val="99"/>
    <w:semiHidden/>
    <w:unhideWhenUsed/>
    <w:rsid w:val="004D684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D6843"/>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4D6843"/>
    <w:rPr>
      <w:i/>
      <w:iCs/>
    </w:rPr>
  </w:style>
  <w:style w:type="character" w:customStyle="1" w:styleId="HTMLAddressChar">
    <w:name w:val="HTML Address Char"/>
    <w:basedOn w:val="DefaultParagraphFont"/>
    <w:link w:val="HTMLAddress"/>
    <w:uiPriority w:val="99"/>
    <w:semiHidden/>
    <w:rsid w:val="004D6843"/>
    <w:rPr>
      <w:i/>
      <w:iCs/>
      <w:sz w:val="22"/>
      <w:szCs w:val="22"/>
      <w:lang w:val="en-CA"/>
    </w:rPr>
  </w:style>
  <w:style w:type="paragraph" w:styleId="HTMLPreformatted">
    <w:name w:val="HTML Preformatted"/>
    <w:basedOn w:val="Normal"/>
    <w:link w:val="HTMLPreformattedChar"/>
    <w:uiPriority w:val="99"/>
    <w:semiHidden/>
    <w:unhideWhenUsed/>
    <w:rsid w:val="004D684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D6843"/>
    <w:rPr>
      <w:rFonts w:ascii="Consolas" w:hAnsi="Consolas"/>
      <w:lang w:val="en-CA"/>
    </w:rPr>
  </w:style>
  <w:style w:type="paragraph" w:styleId="Index1">
    <w:name w:val="index 1"/>
    <w:basedOn w:val="Normal"/>
    <w:next w:val="Normal"/>
    <w:autoRedefine/>
    <w:uiPriority w:val="99"/>
    <w:semiHidden/>
    <w:unhideWhenUsed/>
    <w:rsid w:val="004D6843"/>
    <w:pPr>
      <w:ind w:left="220" w:hanging="220"/>
    </w:pPr>
  </w:style>
  <w:style w:type="paragraph" w:styleId="Index2">
    <w:name w:val="index 2"/>
    <w:basedOn w:val="Normal"/>
    <w:next w:val="Normal"/>
    <w:autoRedefine/>
    <w:uiPriority w:val="99"/>
    <w:semiHidden/>
    <w:unhideWhenUsed/>
    <w:rsid w:val="004D6843"/>
    <w:pPr>
      <w:ind w:left="440" w:hanging="220"/>
    </w:pPr>
  </w:style>
  <w:style w:type="paragraph" w:styleId="Index3">
    <w:name w:val="index 3"/>
    <w:basedOn w:val="Normal"/>
    <w:next w:val="Normal"/>
    <w:autoRedefine/>
    <w:uiPriority w:val="99"/>
    <w:semiHidden/>
    <w:unhideWhenUsed/>
    <w:rsid w:val="004D6843"/>
    <w:pPr>
      <w:ind w:left="660" w:hanging="220"/>
    </w:pPr>
  </w:style>
  <w:style w:type="paragraph" w:styleId="Index4">
    <w:name w:val="index 4"/>
    <w:basedOn w:val="Normal"/>
    <w:next w:val="Normal"/>
    <w:autoRedefine/>
    <w:uiPriority w:val="99"/>
    <w:semiHidden/>
    <w:unhideWhenUsed/>
    <w:rsid w:val="004D6843"/>
    <w:pPr>
      <w:ind w:left="880" w:hanging="220"/>
    </w:pPr>
  </w:style>
  <w:style w:type="paragraph" w:styleId="Index5">
    <w:name w:val="index 5"/>
    <w:basedOn w:val="Normal"/>
    <w:next w:val="Normal"/>
    <w:autoRedefine/>
    <w:uiPriority w:val="99"/>
    <w:semiHidden/>
    <w:unhideWhenUsed/>
    <w:rsid w:val="004D6843"/>
    <w:pPr>
      <w:ind w:left="1100" w:hanging="220"/>
    </w:pPr>
  </w:style>
  <w:style w:type="paragraph" w:styleId="Index6">
    <w:name w:val="index 6"/>
    <w:basedOn w:val="Normal"/>
    <w:next w:val="Normal"/>
    <w:autoRedefine/>
    <w:uiPriority w:val="99"/>
    <w:semiHidden/>
    <w:unhideWhenUsed/>
    <w:rsid w:val="004D6843"/>
    <w:pPr>
      <w:ind w:left="1320" w:hanging="220"/>
    </w:pPr>
  </w:style>
  <w:style w:type="paragraph" w:styleId="Index7">
    <w:name w:val="index 7"/>
    <w:basedOn w:val="Normal"/>
    <w:next w:val="Normal"/>
    <w:autoRedefine/>
    <w:uiPriority w:val="99"/>
    <w:semiHidden/>
    <w:unhideWhenUsed/>
    <w:rsid w:val="004D6843"/>
    <w:pPr>
      <w:ind w:left="1540" w:hanging="220"/>
    </w:pPr>
  </w:style>
  <w:style w:type="paragraph" w:styleId="Index8">
    <w:name w:val="index 8"/>
    <w:basedOn w:val="Normal"/>
    <w:next w:val="Normal"/>
    <w:autoRedefine/>
    <w:uiPriority w:val="99"/>
    <w:semiHidden/>
    <w:unhideWhenUsed/>
    <w:rsid w:val="004D6843"/>
    <w:pPr>
      <w:ind w:left="1760" w:hanging="220"/>
    </w:pPr>
  </w:style>
  <w:style w:type="paragraph" w:styleId="Index9">
    <w:name w:val="index 9"/>
    <w:basedOn w:val="Normal"/>
    <w:next w:val="Normal"/>
    <w:autoRedefine/>
    <w:uiPriority w:val="99"/>
    <w:semiHidden/>
    <w:unhideWhenUsed/>
    <w:rsid w:val="004D6843"/>
    <w:pPr>
      <w:ind w:left="1980" w:hanging="220"/>
    </w:pPr>
  </w:style>
  <w:style w:type="paragraph" w:styleId="IndexHeading">
    <w:name w:val="index heading"/>
    <w:basedOn w:val="Normal"/>
    <w:next w:val="Index1"/>
    <w:uiPriority w:val="99"/>
    <w:semiHidden/>
    <w:unhideWhenUsed/>
    <w:rsid w:val="004D684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D684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D6843"/>
    <w:rPr>
      <w:i/>
      <w:iCs/>
      <w:color w:val="4F81BD" w:themeColor="accent1"/>
      <w:sz w:val="22"/>
      <w:szCs w:val="22"/>
      <w:lang w:val="en-CA"/>
    </w:rPr>
  </w:style>
  <w:style w:type="paragraph" w:styleId="List">
    <w:name w:val="List"/>
    <w:basedOn w:val="Normal"/>
    <w:uiPriority w:val="99"/>
    <w:semiHidden/>
    <w:unhideWhenUsed/>
    <w:rsid w:val="004D6843"/>
    <w:pPr>
      <w:ind w:left="360" w:hanging="360"/>
      <w:contextualSpacing/>
    </w:pPr>
  </w:style>
  <w:style w:type="paragraph" w:styleId="List2">
    <w:name w:val="List 2"/>
    <w:basedOn w:val="Normal"/>
    <w:uiPriority w:val="99"/>
    <w:semiHidden/>
    <w:unhideWhenUsed/>
    <w:rsid w:val="004D6843"/>
    <w:pPr>
      <w:ind w:left="720" w:hanging="360"/>
      <w:contextualSpacing/>
    </w:pPr>
  </w:style>
  <w:style w:type="paragraph" w:styleId="List3">
    <w:name w:val="List 3"/>
    <w:basedOn w:val="Normal"/>
    <w:uiPriority w:val="99"/>
    <w:semiHidden/>
    <w:unhideWhenUsed/>
    <w:rsid w:val="004D6843"/>
    <w:pPr>
      <w:ind w:left="1080" w:hanging="360"/>
      <w:contextualSpacing/>
    </w:pPr>
  </w:style>
  <w:style w:type="paragraph" w:styleId="List4">
    <w:name w:val="List 4"/>
    <w:basedOn w:val="Normal"/>
    <w:uiPriority w:val="99"/>
    <w:semiHidden/>
    <w:unhideWhenUsed/>
    <w:rsid w:val="004D6843"/>
    <w:pPr>
      <w:ind w:left="1440" w:hanging="360"/>
      <w:contextualSpacing/>
    </w:pPr>
  </w:style>
  <w:style w:type="paragraph" w:styleId="List5">
    <w:name w:val="List 5"/>
    <w:basedOn w:val="Normal"/>
    <w:uiPriority w:val="99"/>
    <w:semiHidden/>
    <w:unhideWhenUsed/>
    <w:rsid w:val="004D6843"/>
    <w:pPr>
      <w:ind w:left="1800" w:hanging="360"/>
      <w:contextualSpacing/>
    </w:pPr>
  </w:style>
  <w:style w:type="paragraph" w:styleId="ListBullet">
    <w:name w:val="List Bullet"/>
    <w:basedOn w:val="Normal"/>
    <w:uiPriority w:val="99"/>
    <w:semiHidden/>
    <w:unhideWhenUsed/>
    <w:rsid w:val="004D6843"/>
    <w:pPr>
      <w:numPr>
        <w:numId w:val="6"/>
      </w:numPr>
      <w:contextualSpacing/>
    </w:pPr>
  </w:style>
  <w:style w:type="paragraph" w:styleId="ListBullet2">
    <w:name w:val="List Bullet 2"/>
    <w:basedOn w:val="Normal"/>
    <w:uiPriority w:val="99"/>
    <w:semiHidden/>
    <w:unhideWhenUsed/>
    <w:rsid w:val="004D6843"/>
    <w:pPr>
      <w:numPr>
        <w:numId w:val="7"/>
      </w:numPr>
      <w:contextualSpacing/>
    </w:pPr>
  </w:style>
  <w:style w:type="paragraph" w:styleId="ListBullet3">
    <w:name w:val="List Bullet 3"/>
    <w:basedOn w:val="Normal"/>
    <w:uiPriority w:val="99"/>
    <w:semiHidden/>
    <w:unhideWhenUsed/>
    <w:rsid w:val="004D6843"/>
    <w:pPr>
      <w:numPr>
        <w:numId w:val="8"/>
      </w:numPr>
      <w:contextualSpacing/>
    </w:pPr>
  </w:style>
  <w:style w:type="paragraph" w:styleId="ListBullet4">
    <w:name w:val="List Bullet 4"/>
    <w:basedOn w:val="Normal"/>
    <w:uiPriority w:val="99"/>
    <w:semiHidden/>
    <w:unhideWhenUsed/>
    <w:rsid w:val="004D6843"/>
    <w:pPr>
      <w:numPr>
        <w:numId w:val="9"/>
      </w:numPr>
      <w:contextualSpacing/>
    </w:pPr>
  </w:style>
  <w:style w:type="paragraph" w:styleId="ListBullet5">
    <w:name w:val="List Bullet 5"/>
    <w:basedOn w:val="Normal"/>
    <w:uiPriority w:val="99"/>
    <w:semiHidden/>
    <w:unhideWhenUsed/>
    <w:rsid w:val="004D6843"/>
    <w:pPr>
      <w:numPr>
        <w:numId w:val="10"/>
      </w:numPr>
      <w:contextualSpacing/>
    </w:pPr>
  </w:style>
  <w:style w:type="paragraph" w:styleId="ListContinue">
    <w:name w:val="List Continue"/>
    <w:basedOn w:val="Normal"/>
    <w:uiPriority w:val="99"/>
    <w:semiHidden/>
    <w:unhideWhenUsed/>
    <w:rsid w:val="004D6843"/>
    <w:pPr>
      <w:spacing w:after="120"/>
      <w:ind w:left="360"/>
      <w:contextualSpacing/>
    </w:pPr>
  </w:style>
  <w:style w:type="paragraph" w:styleId="ListContinue2">
    <w:name w:val="List Continue 2"/>
    <w:basedOn w:val="Normal"/>
    <w:uiPriority w:val="99"/>
    <w:semiHidden/>
    <w:unhideWhenUsed/>
    <w:rsid w:val="004D6843"/>
    <w:pPr>
      <w:spacing w:after="120"/>
      <w:ind w:left="720"/>
      <w:contextualSpacing/>
    </w:pPr>
  </w:style>
  <w:style w:type="paragraph" w:styleId="ListContinue3">
    <w:name w:val="List Continue 3"/>
    <w:basedOn w:val="Normal"/>
    <w:uiPriority w:val="99"/>
    <w:semiHidden/>
    <w:unhideWhenUsed/>
    <w:rsid w:val="004D6843"/>
    <w:pPr>
      <w:spacing w:after="120"/>
      <w:ind w:left="1080"/>
      <w:contextualSpacing/>
    </w:pPr>
  </w:style>
  <w:style w:type="paragraph" w:styleId="ListContinue4">
    <w:name w:val="List Continue 4"/>
    <w:basedOn w:val="Normal"/>
    <w:uiPriority w:val="99"/>
    <w:semiHidden/>
    <w:unhideWhenUsed/>
    <w:rsid w:val="004D6843"/>
    <w:pPr>
      <w:spacing w:after="120"/>
      <w:ind w:left="1440"/>
      <w:contextualSpacing/>
    </w:pPr>
  </w:style>
  <w:style w:type="paragraph" w:styleId="ListContinue5">
    <w:name w:val="List Continue 5"/>
    <w:basedOn w:val="Normal"/>
    <w:uiPriority w:val="99"/>
    <w:semiHidden/>
    <w:unhideWhenUsed/>
    <w:rsid w:val="004D6843"/>
    <w:pPr>
      <w:spacing w:after="120"/>
      <w:ind w:left="1800"/>
      <w:contextualSpacing/>
    </w:pPr>
  </w:style>
  <w:style w:type="paragraph" w:styleId="ListNumber">
    <w:name w:val="List Number"/>
    <w:basedOn w:val="Normal"/>
    <w:uiPriority w:val="99"/>
    <w:semiHidden/>
    <w:unhideWhenUsed/>
    <w:rsid w:val="004D6843"/>
    <w:pPr>
      <w:numPr>
        <w:numId w:val="30"/>
      </w:numPr>
      <w:contextualSpacing/>
    </w:pPr>
  </w:style>
  <w:style w:type="paragraph" w:styleId="ListNumber2">
    <w:name w:val="List Number 2"/>
    <w:basedOn w:val="Normal"/>
    <w:uiPriority w:val="99"/>
    <w:semiHidden/>
    <w:unhideWhenUsed/>
    <w:rsid w:val="004D6843"/>
    <w:pPr>
      <w:numPr>
        <w:numId w:val="31"/>
      </w:numPr>
      <w:contextualSpacing/>
    </w:pPr>
  </w:style>
  <w:style w:type="paragraph" w:styleId="ListNumber3">
    <w:name w:val="List Number 3"/>
    <w:basedOn w:val="Normal"/>
    <w:uiPriority w:val="99"/>
    <w:semiHidden/>
    <w:unhideWhenUsed/>
    <w:rsid w:val="004D6843"/>
    <w:pPr>
      <w:numPr>
        <w:numId w:val="32"/>
      </w:numPr>
      <w:contextualSpacing/>
    </w:pPr>
  </w:style>
  <w:style w:type="paragraph" w:styleId="ListNumber4">
    <w:name w:val="List Number 4"/>
    <w:basedOn w:val="Normal"/>
    <w:uiPriority w:val="99"/>
    <w:semiHidden/>
    <w:unhideWhenUsed/>
    <w:rsid w:val="004D6843"/>
    <w:pPr>
      <w:numPr>
        <w:numId w:val="33"/>
      </w:numPr>
      <w:contextualSpacing/>
    </w:pPr>
  </w:style>
  <w:style w:type="paragraph" w:styleId="ListNumber5">
    <w:name w:val="List Number 5"/>
    <w:basedOn w:val="Normal"/>
    <w:uiPriority w:val="99"/>
    <w:semiHidden/>
    <w:unhideWhenUsed/>
    <w:rsid w:val="004D6843"/>
    <w:pPr>
      <w:numPr>
        <w:numId w:val="34"/>
      </w:numPr>
      <w:contextualSpacing/>
    </w:pPr>
  </w:style>
  <w:style w:type="paragraph" w:styleId="MacroText">
    <w:name w:val="macro"/>
    <w:link w:val="MacroTextChar"/>
    <w:uiPriority w:val="99"/>
    <w:semiHidden/>
    <w:unhideWhenUsed/>
    <w:rsid w:val="004D68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4D6843"/>
    <w:rPr>
      <w:rFonts w:ascii="Consolas" w:hAnsi="Consolas"/>
      <w:lang w:val="en-CA"/>
    </w:rPr>
  </w:style>
  <w:style w:type="paragraph" w:styleId="MessageHeader">
    <w:name w:val="Message Header"/>
    <w:basedOn w:val="Normal"/>
    <w:link w:val="MessageHeaderChar"/>
    <w:uiPriority w:val="99"/>
    <w:semiHidden/>
    <w:unhideWhenUsed/>
    <w:rsid w:val="004D684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D6843"/>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4D6843"/>
    <w:pPr>
      <w:jc w:val="both"/>
    </w:pPr>
    <w:rPr>
      <w:sz w:val="22"/>
      <w:szCs w:val="22"/>
      <w:lang w:val="en-CA"/>
    </w:rPr>
  </w:style>
  <w:style w:type="paragraph" w:styleId="NormalWeb">
    <w:name w:val="Normal (Web)"/>
    <w:basedOn w:val="Normal"/>
    <w:uiPriority w:val="99"/>
    <w:semiHidden/>
    <w:unhideWhenUsed/>
    <w:rsid w:val="004D6843"/>
    <w:rPr>
      <w:sz w:val="24"/>
      <w:szCs w:val="24"/>
    </w:rPr>
  </w:style>
  <w:style w:type="paragraph" w:styleId="NormalIndent">
    <w:name w:val="Normal Indent"/>
    <w:basedOn w:val="Normal"/>
    <w:uiPriority w:val="99"/>
    <w:semiHidden/>
    <w:unhideWhenUsed/>
    <w:rsid w:val="004D6843"/>
    <w:pPr>
      <w:ind w:left="720"/>
    </w:pPr>
  </w:style>
  <w:style w:type="paragraph" w:styleId="NoteHeading">
    <w:name w:val="Note Heading"/>
    <w:basedOn w:val="Normal"/>
    <w:next w:val="Normal"/>
    <w:link w:val="NoteHeadingChar"/>
    <w:uiPriority w:val="99"/>
    <w:semiHidden/>
    <w:unhideWhenUsed/>
    <w:rsid w:val="004D6843"/>
  </w:style>
  <w:style w:type="character" w:customStyle="1" w:styleId="NoteHeadingChar">
    <w:name w:val="Note Heading Char"/>
    <w:basedOn w:val="DefaultParagraphFont"/>
    <w:link w:val="NoteHeading"/>
    <w:uiPriority w:val="99"/>
    <w:semiHidden/>
    <w:rsid w:val="004D6843"/>
    <w:rPr>
      <w:sz w:val="22"/>
      <w:szCs w:val="22"/>
      <w:lang w:val="en-CA"/>
    </w:rPr>
  </w:style>
  <w:style w:type="paragraph" w:styleId="Quote">
    <w:name w:val="Quote"/>
    <w:basedOn w:val="Normal"/>
    <w:next w:val="Normal"/>
    <w:link w:val="QuoteChar"/>
    <w:uiPriority w:val="29"/>
    <w:qFormat/>
    <w:rsid w:val="004D68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D6843"/>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4D6843"/>
  </w:style>
  <w:style w:type="character" w:customStyle="1" w:styleId="SalutationChar">
    <w:name w:val="Salutation Char"/>
    <w:basedOn w:val="DefaultParagraphFont"/>
    <w:link w:val="Salutation"/>
    <w:uiPriority w:val="99"/>
    <w:semiHidden/>
    <w:rsid w:val="004D6843"/>
    <w:rPr>
      <w:sz w:val="22"/>
      <w:szCs w:val="22"/>
      <w:lang w:val="en-CA"/>
    </w:rPr>
  </w:style>
  <w:style w:type="paragraph" w:styleId="Signature">
    <w:name w:val="Signature"/>
    <w:basedOn w:val="Normal"/>
    <w:link w:val="SignatureChar"/>
    <w:uiPriority w:val="99"/>
    <w:semiHidden/>
    <w:unhideWhenUsed/>
    <w:rsid w:val="004D6843"/>
    <w:pPr>
      <w:ind w:left="4320"/>
    </w:pPr>
  </w:style>
  <w:style w:type="character" w:customStyle="1" w:styleId="SignatureChar">
    <w:name w:val="Signature Char"/>
    <w:basedOn w:val="DefaultParagraphFont"/>
    <w:link w:val="Signature"/>
    <w:uiPriority w:val="99"/>
    <w:semiHidden/>
    <w:rsid w:val="004D6843"/>
    <w:rPr>
      <w:sz w:val="22"/>
      <w:szCs w:val="22"/>
      <w:lang w:val="en-CA"/>
    </w:rPr>
  </w:style>
  <w:style w:type="paragraph" w:styleId="TableofAuthorities">
    <w:name w:val="table of authorities"/>
    <w:basedOn w:val="Normal"/>
    <w:next w:val="Normal"/>
    <w:uiPriority w:val="99"/>
    <w:semiHidden/>
    <w:unhideWhenUsed/>
    <w:rsid w:val="004D6843"/>
    <w:pPr>
      <w:ind w:left="220" w:hanging="220"/>
    </w:pPr>
  </w:style>
  <w:style w:type="paragraph" w:styleId="TableofFigures">
    <w:name w:val="table of figures"/>
    <w:basedOn w:val="Normal"/>
    <w:next w:val="Normal"/>
    <w:uiPriority w:val="99"/>
    <w:semiHidden/>
    <w:unhideWhenUsed/>
    <w:rsid w:val="004D6843"/>
  </w:style>
  <w:style w:type="paragraph" w:styleId="TOAHeading">
    <w:name w:val="toa heading"/>
    <w:basedOn w:val="Normal"/>
    <w:next w:val="Normal"/>
    <w:uiPriority w:val="99"/>
    <w:semiHidden/>
    <w:unhideWhenUsed/>
    <w:rsid w:val="004D684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D6843"/>
    <w:pPr>
      <w:spacing w:after="100"/>
    </w:pPr>
  </w:style>
  <w:style w:type="paragraph" w:styleId="TOC2">
    <w:name w:val="toc 2"/>
    <w:basedOn w:val="Normal"/>
    <w:next w:val="Normal"/>
    <w:autoRedefine/>
    <w:uiPriority w:val="39"/>
    <w:semiHidden/>
    <w:unhideWhenUsed/>
    <w:rsid w:val="004D6843"/>
    <w:pPr>
      <w:spacing w:after="100"/>
      <w:ind w:left="220"/>
    </w:pPr>
  </w:style>
  <w:style w:type="paragraph" w:styleId="TOC3">
    <w:name w:val="toc 3"/>
    <w:basedOn w:val="Normal"/>
    <w:next w:val="Normal"/>
    <w:autoRedefine/>
    <w:uiPriority w:val="39"/>
    <w:semiHidden/>
    <w:unhideWhenUsed/>
    <w:rsid w:val="004D6843"/>
    <w:pPr>
      <w:spacing w:after="100"/>
      <w:ind w:left="440"/>
    </w:pPr>
  </w:style>
  <w:style w:type="paragraph" w:styleId="TOC4">
    <w:name w:val="toc 4"/>
    <w:basedOn w:val="Normal"/>
    <w:next w:val="Normal"/>
    <w:autoRedefine/>
    <w:uiPriority w:val="39"/>
    <w:semiHidden/>
    <w:unhideWhenUsed/>
    <w:rsid w:val="004D6843"/>
    <w:pPr>
      <w:spacing w:after="100"/>
      <w:ind w:left="660"/>
    </w:pPr>
  </w:style>
  <w:style w:type="paragraph" w:styleId="TOC5">
    <w:name w:val="toc 5"/>
    <w:basedOn w:val="Normal"/>
    <w:next w:val="Normal"/>
    <w:autoRedefine/>
    <w:uiPriority w:val="39"/>
    <w:semiHidden/>
    <w:unhideWhenUsed/>
    <w:rsid w:val="004D6843"/>
    <w:pPr>
      <w:spacing w:after="100"/>
      <w:ind w:left="880"/>
    </w:pPr>
  </w:style>
  <w:style w:type="paragraph" w:styleId="TOC6">
    <w:name w:val="toc 6"/>
    <w:basedOn w:val="Normal"/>
    <w:next w:val="Normal"/>
    <w:autoRedefine/>
    <w:uiPriority w:val="39"/>
    <w:semiHidden/>
    <w:unhideWhenUsed/>
    <w:rsid w:val="004D6843"/>
    <w:pPr>
      <w:spacing w:after="100"/>
      <w:ind w:left="1100"/>
    </w:pPr>
  </w:style>
  <w:style w:type="paragraph" w:styleId="TOC7">
    <w:name w:val="toc 7"/>
    <w:basedOn w:val="Normal"/>
    <w:next w:val="Normal"/>
    <w:autoRedefine/>
    <w:uiPriority w:val="39"/>
    <w:semiHidden/>
    <w:unhideWhenUsed/>
    <w:rsid w:val="004D6843"/>
    <w:pPr>
      <w:spacing w:after="100"/>
      <w:ind w:left="1320"/>
    </w:pPr>
  </w:style>
  <w:style w:type="paragraph" w:styleId="TOC8">
    <w:name w:val="toc 8"/>
    <w:basedOn w:val="Normal"/>
    <w:next w:val="Normal"/>
    <w:autoRedefine/>
    <w:uiPriority w:val="39"/>
    <w:semiHidden/>
    <w:unhideWhenUsed/>
    <w:rsid w:val="004D6843"/>
    <w:pPr>
      <w:spacing w:after="100"/>
      <w:ind w:left="1540"/>
    </w:pPr>
  </w:style>
  <w:style w:type="paragraph" w:styleId="TOC9">
    <w:name w:val="toc 9"/>
    <w:basedOn w:val="Normal"/>
    <w:next w:val="Normal"/>
    <w:autoRedefine/>
    <w:uiPriority w:val="39"/>
    <w:semiHidden/>
    <w:unhideWhenUsed/>
    <w:rsid w:val="004D6843"/>
    <w:pPr>
      <w:spacing w:after="100"/>
      <w:ind w:left="1760"/>
    </w:pPr>
  </w:style>
  <w:style w:type="paragraph" w:styleId="TOCHeading">
    <w:name w:val="TOC Heading"/>
    <w:basedOn w:val="Heading1"/>
    <w:next w:val="Normal"/>
    <w:uiPriority w:val="39"/>
    <w:semiHidden/>
    <w:unhideWhenUsed/>
    <w:qFormat/>
    <w:rsid w:val="004D6843"/>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b93c647f-d63b-431a-95c8-8e00048cff23"/>
    <ds:schemaRef ds:uri="eb6c2e4c-3f1c-4103-a37b-37c984dbe58f"/>
    <ds:schemaRef ds:uri="http://www.w3.org/XML/1998/namespace"/>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3736</Words>
  <Characters>20037</Characters>
  <Application>Microsoft Office Word</Application>
  <DocSecurity>0</DocSecurity>
  <Lines>353</Lines>
  <Paragraphs>65</Paragraphs>
  <ScaleCrop>false</ScaleCrop>
  <HeadingPairs>
    <vt:vector size="2" baseType="variant">
      <vt:variant>
        <vt:lpstr>Title</vt:lpstr>
      </vt:variant>
      <vt:variant>
        <vt:i4>1</vt:i4>
      </vt:variant>
    </vt:vector>
  </HeadingPairs>
  <TitlesOfParts>
    <vt:vector size="1" baseType="lpstr">
      <vt:lpstr>Mise à jour du rapport sur le problème des solutions de remplacement dans la fabrication de mousse de polyuréthane, en mettant l’accent sur les petites et moyennes entreprises, en particulier pour les applications de mousse pulvérisée et de mousse isolant</vt:lpstr>
    </vt:vector>
  </TitlesOfParts>
  <Company>UNMFS</Company>
  <LinksUpToDate>false</LinksUpToDate>
  <CharactersWithSpaces>23795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du rapport sur le problème des solutions de remplacement dans la fabrication de mousse de polyuréthane, en mettant l’accent sur les petites et moyennes entreprises, en particulier pour les applications de mousse pulvérisée et de mousse isolante</dc:title>
  <dc:creator>Renaud</dc:creator>
  <cp:lastModifiedBy>Angela Xue He Yan</cp:lastModifiedBy>
  <cp:revision>4</cp:revision>
  <cp:lastPrinted>2025-05-12T13:18:00Z</cp:lastPrinted>
  <dcterms:created xsi:type="dcterms:W3CDTF">2025-05-08T18:48:00Z</dcterms:created>
  <dcterms:modified xsi:type="dcterms:W3CDTF">2025-05-12T13:18:00Z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UNEP/OzL.Pro/ExCom/96/60</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