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D5A1D2B" w14:textId="77777777">
        <w:trPr>
          <w:trHeight w:val="720"/>
        </w:trPr>
        <w:tc>
          <w:tcPr>
            <w:tcW w:w="4410" w:type="dxa"/>
            <w:gridSpan w:val="2"/>
            <w:tcBorders>
              <w:bottom w:val="single" w:sz="18" w:space="0" w:color="auto"/>
            </w:tcBorders>
          </w:tcPr>
          <w:p w14:paraId="0EE055A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F42B65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7D7EE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51DD43D"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20D54ED" wp14:editId="147FDD9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0864CD5D" wp14:editId="1E2724A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463E4EE" w14:textId="77777777" w:rsidR="007E5D09" w:rsidRDefault="00E1360E">
            <w:pPr>
              <w:spacing w:before="120"/>
              <w:jc w:val="left"/>
              <w:rPr>
                <w:lang w:val="en-US"/>
              </w:rPr>
            </w:pPr>
            <w:r>
              <w:rPr>
                <w:lang w:val="en-US"/>
              </w:rPr>
              <w:t>GENERAL</w:t>
            </w:r>
          </w:p>
          <w:p w14:paraId="77523DD9" w14:textId="77777777" w:rsidR="007E5D09" w:rsidRDefault="007E5D09">
            <w:pPr>
              <w:spacing w:before="120"/>
              <w:jc w:val="left"/>
              <w:rPr>
                <w:lang w:val="en-US"/>
              </w:rPr>
            </w:pPr>
          </w:p>
          <w:p w14:paraId="291BA14C" w14:textId="79CDD624" w:rsidR="007E5D09" w:rsidRPr="00DA72FB" w:rsidRDefault="00537924">
            <w:pPr>
              <w:rPr>
                <w:lang w:val="en-US"/>
              </w:rPr>
            </w:pPr>
            <w:r>
              <w:fldChar w:fldCharType="begin"/>
            </w:r>
            <w:r w:rsidR="00DA72FB">
              <w:instrText xml:space="preserve"> DOCPROPERTY "Document number"  \* MERGEFORMAT </w:instrText>
            </w:r>
            <w:r>
              <w:fldChar w:fldCharType="separate"/>
            </w:r>
            <w:r w:rsidR="00D00B79">
              <w:t>UNEP/</w:t>
            </w:r>
            <w:proofErr w:type="spellStart"/>
            <w:r w:rsidR="00D00B79">
              <w:t>OzL.Pro</w:t>
            </w:r>
            <w:proofErr w:type="spellEnd"/>
            <w:r w:rsidR="00D00B79">
              <w:t>/ExCom/89/8/Add.1</w:t>
            </w:r>
            <w:r>
              <w:fldChar w:fldCharType="end"/>
            </w:r>
          </w:p>
          <w:p w14:paraId="2407B701" w14:textId="0E0B7939" w:rsidR="00662A73" w:rsidRPr="003F73BA" w:rsidRDefault="00537924" w:rsidP="00DA72FB">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D00B79">
              <w:rPr>
                <w:lang w:val="en-US"/>
              </w:rPr>
              <w:t>8 June</w:t>
            </w:r>
            <w:r w:rsidR="00D00B79" w:rsidRPr="00D00B79">
              <w:t xml:space="preserve"> 2022</w:t>
            </w:r>
            <w:r>
              <w:fldChar w:fldCharType="end"/>
            </w:r>
          </w:p>
          <w:p w14:paraId="57046566" w14:textId="77777777" w:rsidR="00662A73" w:rsidRDefault="00662A73">
            <w:pPr>
              <w:spacing w:before="120"/>
              <w:jc w:val="left"/>
              <w:rPr>
                <w:rtl/>
                <w:lang w:val="en-US" w:bidi="ar-AE"/>
              </w:rPr>
            </w:pPr>
          </w:p>
          <w:p w14:paraId="5EB2D132" w14:textId="77777777" w:rsidR="007E5D09" w:rsidRDefault="00E1360E">
            <w:pPr>
              <w:spacing w:before="120"/>
              <w:jc w:val="left"/>
              <w:rPr>
                <w:lang w:val="en-US"/>
              </w:rPr>
            </w:pPr>
            <w:r>
              <w:rPr>
                <w:lang w:val="en-US"/>
              </w:rPr>
              <w:t>ARABIC</w:t>
            </w:r>
          </w:p>
          <w:p w14:paraId="0D104E8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5A1189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039FFC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C16265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8CAE36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A81C40C" w14:textId="77777777" w:rsidR="007E5D09" w:rsidRDefault="007E5D09">
            <w:pPr>
              <w:rPr>
                <w:caps/>
                <w:lang w:val="en-US"/>
              </w:rPr>
            </w:pPr>
          </w:p>
          <w:p w14:paraId="5F4AE8F5" w14:textId="77777777" w:rsidR="007E5D09" w:rsidRDefault="007E5D09">
            <w:pPr>
              <w:rPr>
                <w:lang w:val="en-US"/>
              </w:rPr>
            </w:pPr>
          </w:p>
        </w:tc>
      </w:tr>
    </w:tbl>
    <w:p w14:paraId="11EE0261" w14:textId="77777777" w:rsidR="007E5D09" w:rsidRDefault="007E5D09">
      <w:pPr>
        <w:pStyle w:val="Caption"/>
        <w:spacing w:line="200" w:lineRule="exact"/>
        <w:ind w:left="187" w:right="187" w:hanging="187"/>
        <w:jc w:val="both"/>
        <w:rPr>
          <w:rFonts w:cs="Akhbar MT"/>
          <w:b/>
          <w:bCs/>
          <w:sz w:val="28"/>
          <w:szCs w:val="28"/>
          <w:rtl/>
        </w:rPr>
      </w:pPr>
    </w:p>
    <w:p w14:paraId="72DE0E8A"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BE0B307"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640E6CB" w14:textId="77777777" w:rsidR="00DA72FB" w:rsidRPr="00A755B6" w:rsidRDefault="00DA72FB" w:rsidP="00DA72FB">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02E2A5A8" w14:textId="77777777" w:rsidR="00DA72FB" w:rsidRDefault="00DA72FB" w:rsidP="00DA72FB">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4BF9E271" w14:textId="77777777" w:rsidR="00DA72FB" w:rsidRDefault="00DA72FB" w:rsidP="00DA72FB">
      <w:pPr>
        <w:pStyle w:val="0Heading0"/>
        <w:bidi/>
        <w:ind w:left="4"/>
        <w:rPr>
          <w:sz w:val="28"/>
          <w:szCs w:val="28"/>
          <w:rtl/>
        </w:rPr>
      </w:pPr>
      <w:r w:rsidRPr="00720452">
        <w:rPr>
          <w:rFonts w:hint="cs"/>
          <w:sz w:val="28"/>
          <w:szCs w:val="28"/>
          <w:rtl/>
        </w:rPr>
        <w:t>أرجئ الى</w:t>
      </w:r>
      <w:r>
        <w:rPr>
          <w:rFonts w:hint="cs"/>
          <w:sz w:val="28"/>
          <w:szCs w:val="28"/>
          <w:rtl/>
        </w:rPr>
        <w:t xml:space="preserve"> 18- 20 مايو/ أيار 2002 (الجزء الأول)</w:t>
      </w:r>
    </w:p>
    <w:p w14:paraId="4C70DCAC" w14:textId="77777777" w:rsidR="00702662" w:rsidRDefault="00DA72FB" w:rsidP="00DA72FB">
      <w:pPr>
        <w:pStyle w:val="0Heading0"/>
        <w:bidi/>
        <w:ind w:left="4"/>
        <w:rPr>
          <w:rFonts w:asciiTheme="majorBidi" w:hAnsiTheme="majorBidi" w:cstheme="majorBidi"/>
          <w:sz w:val="26"/>
          <w:szCs w:val="26"/>
          <w:rtl/>
          <w:lang w:bidi="ar-SY"/>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20CE983D" w14:textId="77777777" w:rsidR="00702662" w:rsidRDefault="00702662" w:rsidP="00702662">
      <w:pPr>
        <w:bidi/>
        <w:jc w:val="left"/>
        <w:rPr>
          <w:szCs w:val="24"/>
          <w:rtl/>
          <w:lang w:val="en-US" w:eastAsia="zh-CN" w:bidi="ar-SY"/>
        </w:rPr>
      </w:pPr>
    </w:p>
    <w:p w14:paraId="6442C5A8" w14:textId="77777777" w:rsidR="00DA72FB" w:rsidRDefault="00DA72FB" w:rsidP="00DA72FB">
      <w:pPr>
        <w:bidi/>
        <w:spacing w:after="240"/>
        <w:ind w:left="86" w:firstLine="86"/>
        <w:jc w:val="center"/>
        <w:rPr>
          <w:b/>
          <w:bCs/>
          <w:sz w:val="32"/>
          <w:szCs w:val="32"/>
          <w:rtl/>
        </w:rPr>
      </w:pPr>
      <w:r>
        <w:rPr>
          <w:rFonts w:hint="cs"/>
          <w:b/>
          <w:bCs/>
          <w:sz w:val="32"/>
          <w:szCs w:val="32"/>
          <w:rtl/>
        </w:rPr>
        <w:t>إضاف</w:t>
      </w:r>
      <w:r w:rsidR="00504415">
        <w:rPr>
          <w:rFonts w:hint="cs"/>
          <w:b/>
          <w:bCs/>
          <w:sz w:val="32"/>
          <w:szCs w:val="32"/>
          <w:rtl/>
        </w:rPr>
        <w:t>ـــ</w:t>
      </w:r>
      <w:r>
        <w:rPr>
          <w:rFonts w:hint="cs"/>
          <w:b/>
          <w:bCs/>
          <w:sz w:val="32"/>
          <w:szCs w:val="32"/>
          <w:rtl/>
        </w:rPr>
        <w:t>ة</w:t>
      </w:r>
    </w:p>
    <w:p w14:paraId="70A5A175" w14:textId="77777777" w:rsidR="00DA72FB" w:rsidRPr="008C1950" w:rsidRDefault="00DA72FB" w:rsidP="00DA72FB">
      <w:pPr>
        <w:bidi/>
        <w:ind w:left="86" w:firstLine="86"/>
        <w:jc w:val="center"/>
        <w:rPr>
          <w:b/>
          <w:bCs/>
          <w:sz w:val="32"/>
          <w:szCs w:val="32"/>
          <w:rtl/>
        </w:rPr>
      </w:pPr>
      <w:r w:rsidRPr="008C1950">
        <w:rPr>
          <w:rFonts w:hint="cs"/>
          <w:b/>
          <w:bCs/>
          <w:sz w:val="32"/>
          <w:szCs w:val="32"/>
          <w:rtl/>
        </w:rPr>
        <w:t xml:space="preserve">تحليل مستوى وطرائق تمويل التخفيض التدريجي للمواد الهيدروفلوروكربونية </w:t>
      </w:r>
    </w:p>
    <w:p w14:paraId="1D300722" w14:textId="77777777" w:rsidR="00DA72FB" w:rsidRPr="008C1950" w:rsidRDefault="00504415" w:rsidP="00DA72FB">
      <w:pPr>
        <w:bidi/>
        <w:ind w:left="86" w:firstLine="86"/>
        <w:jc w:val="center"/>
        <w:rPr>
          <w:b/>
          <w:bCs/>
          <w:sz w:val="32"/>
          <w:szCs w:val="32"/>
          <w:rtl/>
        </w:rPr>
      </w:pPr>
      <w:r>
        <w:rPr>
          <w:rFonts w:hint="cs"/>
          <w:b/>
          <w:bCs/>
          <w:sz w:val="32"/>
          <w:szCs w:val="32"/>
          <w:rtl/>
        </w:rPr>
        <w:t>في قطاع خدمة التبريد</w:t>
      </w:r>
      <w:r w:rsidR="00DA72FB">
        <w:rPr>
          <w:rFonts w:hint="cs"/>
          <w:b/>
          <w:bCs/>
          <w:sz w:val="32"/>
          <w:szCs w:val="32"/>
          <w:rtl/>
        </w:rPr>
        <w:t xml:space="preserve"> (المقرر 88/76)</w:t>
      </w:r>
    </w:p>
    <w:p w14:paraId="568E601E" w14:textId="77777777" w:rsidR="007E5D09" w:rsidRDefault="007E5D09" w:rsidP="00DA72FB">
      <w:pPr>
        <w:pStyle w:val="StyleHeader4Para4Left0Firstline0"/>
        <w:numPr>
          <w:ilvl w:val="0"/>
          <w:numId w:val="0"/>
        </w:numPr>
        <w:bidi/>
        <w:rPr>
          <w:sz w:val="26"/>
          <w:szCs w:val="26"/>
          <w:rtl/>
          <w:lang w:bidi="ar-EG"/>
        </w:rPr>
      </w:pPr>
    </w:p>
    <w:p w14:paraId="2F0A44A7" w14:textId="77777777" w:rsidR="00DA72FB" w:rsidRPr="00DA72FB" w:rsidRDefault="00DA72FB" w:rsidP="00DA72FB">
      <w:pPr>
        <w:pStyle w:val="StyleHeader4Para4Left0Firstline0"/>
        <w:widowControl/>
        <w:numPr>
          <w:ilvl w:val="0"/>
          <w:numId w:val="0"/>
        </w:numPr>
        <w:bidi/>
        <w:rPr>
          <w:b/>
          <w:bCs/>
          <w:sz w:val="26"/>
          <w:szCs w:val="26"/>
          <w:rtl/>
        </w:rPr>
      </w:pPr>
      <w:r w:rsidRPr="00DA72FB">
        <w:rPr>
          <w:rFonts w:hint="cs"/>
          <w:b/>
          <w:bCs/>
          <w:sz w:val="26"/>
          <w:szCs w:val="26"/>
          <w:rtl/>
        </w:rPr>
        <w:t>مقدمة</w:t>
      </w:r>
    </w:p>
    <w:p w14:paraId="37F887C5" w14:textId="77777777" w:rsidR="00DA72FB" w:rsidRDefault="00DA72FB" w:rsidP="00DA72FB">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lang w:bidi="ar-EG"/>
        </w:rPr>
        <w:t>تعرض هذه الإضافة تعديلات على الطريقة الثالثة للتمويل المقترح</w:t>
      </w:r>
      <w:r w:rsidR="00504415">
        <w:rPr>
          <w:rFonts w:hint="cs"/>
          <w:sz w:val="26"/>
          <w:szCs w:val="26"/>
          <w:rtl/>
          <w:lang w:bidi="ar-EG"/>
        </w:rPr>
        <w:t>ة</w:t>
      </w:r>
      <w:r>
        <w:rPr>
          <w:rFonts w:hint="cs"/>
          <w:sz w:val="26"/>
          <w:szCs w:val="26"/>
          <w:rtl/>
          <w:lang w:bidi="ar-EG"/>
        </w:rPr>
        <w:t xml:space="preserve"> في الوثيقة </w:t>
      </w:r>
      <w:r w:rsidRPr="00DA72FB">
        <w:rPr>
          <w:sz w:val="24"/>
          <w:szCs w:val="24"/>
          <w:lang w:val="en-US"/>
        </w:rPr>
        <w:t>UNEP/</w:t>
      </w:r>
      <w:proofErr w:type="spellStart"/>
      <w:r w:rsidRPr="00DA72FB">
        <w:rPr>
          <w:sz w:val="24"/>
          <w:szCs w:val="24"/>
          <w:lang w:val="en-US"/>
        </w:rPr>
        <w:t>OzL.Pro</w:t>
      </w:r>
      <w:proofErr w:type="spellEnd"/>
      <w:r w:rsidRPr="00DA72FB">
        <w:rPr>
          <w:sz w:val="24"/>
          <w:szCs w:val="24"/>
          <w:lang w:val="en-US"/>
        </w:rPr>
        <w:t>/ExCom/89/8</w:t>
      </w:r>
      <w:r>
        <w:rPr>
          <w:rFonts w:hint="cs"/>
          <w:sz w:val="26"/>
          <w:szCs w:val="26"/>
          <w:rtl/>
          <w:lang w:bidi="ar-EG"/>
        </w:rPr>
        <w:t xml:space="preserve">، </w:t>
      </w:r>
      <w:r>
        <w:rPr>
          <w:rFonts w:hint="cs"/>
          <w:sz w:val="26"/>
          <w:szCs w:val="26"/>
          <w:rtl/>
        </w:rPr>
        <w:t>وصدرت استجابة لطلب اللجنة التنفيذي</w:t>
      </w:r>
      <w:r w:rsidR="008F116F">
        <w:rPr>
          <w:rFonts w:hint="cs"/>
          <w:sz w:val="26"/>
          <w:szCs w:val="26"/>
          <w:rtl/>
        </w:rPr>
        <w:t>ة في الجزء الأول من اجتماعها التا</w:t>
      </w:r>
      <w:r>
        <w:rPr>
          <w:rFonts w:hint="cs"/>
          <w:sz w:val="26"/>
          <w:szCs w:val="26"/>
          <w:rtl/>
        </w:rPr>
        <w:t>سع والثمانين،</w:t>
      </w:r>
      <w:r w:rsidR="008F116F">
        <w:rPr>
          <w:rStyle w:val="FootnoteReference"/>
          <w:sz w:val="26"/>
          <w:szCs w:val="26"/>
          <w:rtl/>
        </w:rPr>
        <w:footnoteReference w:id="2"/>
      </w:r>
      <w:r>
        <w:rPr>
          <w:rFonts w:hint="cs"/>
          <w:sz w:val="26"/>
          <w:szCs w:val="26"/>
          <w:rtl/>
        </w:rPr>
        <w:t xml:space="preserve"> من أجل المساعدة في المناقشة الجارية بشأن مستوى وطرائق تمويل التخفيض التدريجي للهيدروكلوروفلوروكربون في قطاع خدمة التبريد.</w:t>
      </w:r>
    </w:p>
    <w:p w14:paraId="547D66E2" w14:textId="77777777" w:rsidR="008F116F" w:rsidRDefault="008F116F" w:rsidP="00DA72FB">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ووفقا لهذا الطلب، واصلت الأمانة إعداد الطريقة الثالثة المقدمة في الوثيقة </w:t>
      </w:r>
      <w:r w:rsidRPr="00DA72FB">
        <w:rPr>
          <w:sz w:val="24"/>
          <w:szCs w:val="24"/>
          <w:lang w:val="en-US"/>
        </w:rPr>
        <w:t>UNEP/</w:t>
      </w:r>
      <w:proofErr w:type="spellStart"/>
      <w:r w:rsidRPr="00DA72FB">
        <w:rPr>
          <w:sz w:val="24"/>
          <w:szCs w:val="24"/>
          <w:lang w:val="en-US"/>
        </w:rPr>
        <w:t>OzL.Pro</w:t>
      </w:r>
      <w:proofErr w:type="spellEnd"/>
      <w:r w:rsidRPr="00DA72FB">
        <w:rPr>
          <w:sz w:val="24"/>
          <w:szCs w:val="24"/>
          <w:lang w:val="en-US"/>
        </w:rPr>
        <w:t>/ExCom/89/8</w:t>
      </w:r>
      <w:r>
        <w:rPr>
          <w:rFonts w:hint="cs"/>
          <w:sz w:val="26"/>
          <w:szCs w:val="26"/>
          <w:rtl/>
        </w:rPr>
        <w:t>، مع التعديلات التالية:</w:t>
      </w:r>
    </w:p>
    <w:p w14:paraId="69E0CF87" w14:textId="77777777" w:rsidR="008F116F" w:rsidRDefault="008F116F" w:rsidP="008F116F">
      <w:pPr>
        <w:pStyle w:val="StyleHeader4Para4Left0Firstline0"/>
        <w:widowControl/>
        <w:numPr>
          <w:ilvl w:val="0"/>
          <w:numId w:val="24"/>
        </w:numPr>
        <w:tabs>
          <w:tab w:val="clear" w:pos="2880"/>
          <w:tab w:val="clear" w:pos="5760"/>
        </w:tabs>
        <w:bidi/>
        <w:ind w:left="1440" w:hanging="720"/>
        <w:rPr>
          <w:sz w:val="26"/>
          <w:szCs w:val="26"/>
        </w:rPr>
      </w:pPr>
      <w:r>
        <w:rPr>
          <w:rFonts w:hint="cs"/>
          <w:sz w:val="26"/>
          <w:szCs w:val="26"/>
          <w:rtl/>
        </w:rPr>
        <w:t xml:space="preserve">صُنفت البلدان </w:t>
      </w:r>
      <w:r w:rsidRPr="008F116F">
        <w:rPr>
          <w:sz w:val="26"/>
          <w:szCs w:val="26"/>
          <w:rtl/>
        </w:rPr>
        <w:t>التي لا ينخفض فيها حجم الاستهلاك</w:t>
      </w:r>
      <w:r>
        <w:rPr>
          <w:rFonts w:hint="cs"/>
          <w:sz w:val="26"/>
          <w:szCs w:val="26"/>
          <w:rtl/>
        </w:rPr>
        <w:t xml:space="preserve"> في أربع مجموعات على أساس استهلاكها واحتياجاتها؛</w:t>
      </w:r>
    </w:p>
    <w:p w14:paraId="70866FAB" w14:textId="77777777" w:rsidR="008F116F" w:rsidRDefault="008F116F" w:rsidP="008F116F">
      <w:pPr>
        <w:pStyle w:val="StyleHeader4Para4Left0Firstline0"/>
        <w:widowControl/>
        <w:numPr>
          <w:ilvl w:val="0"/>
          <w:numId w:val="24"/>
        </w:numPr>
        <w:tabs>
          <w:tab w:val="clear" w:pos="2880"/>
          <w:tab w:val="clear" w:pos="5760"/>
        </w:tabs>
        <w:bidi/>
        <w:ind w:left="1440" w:hanging="720"/>
        <w:rPr>
          <w:sz w:val="26"/>
          <w:szCs w:val="26"/>
        </w:rPr>
      </w:pPr>
      <w:r>
        <w:rPr>
          <w:rFonts w:hint="cs"/>
          <w:sz w:val="26"/>
          <w:szCs w:val="26"/>
          <w:rtl/>
        </w:rPr>
        <w:t xml:space="preserve">اقترحت مستويات مختلفة من التمويل لكل من مجموعات البلدان </w:t>
      </w:r>
      <w:r w:rsidRPr="008F116F">
        <w:rPr>
          <w:sz w:val="26"/>
          <w:szCs w:val="26"/>
          <w:rtl/>
        </w:rPr>
        <w:t>التي لا ينخفض فيها حجم الاستهلاك</w:t>
      </w:r>
      <w:r>
        <w:rPr>
          <w:rFonts w:hint="cs"/>
          <w:sz w:val="26"/>
          <w:szCs w:val="26"/>
          <w:rtl/>
        </w:rPr>
        <w:t>؛</w:t>
      </w:r>
    </w:p>
    <w:p w14:paraId="7076D619" w14:textId="77777777" w:rsidR="008F116F" w:rsidRDefault="008F116F" w:rsidP="008F116F">
      <w:pPr>
        <w:pStyle w:val="StyleHeader4Para4Left0Firstline0"/>
        <w:widowControl/>
        <w:numPr>
          <w:ilvl w:val="0"/>
          <w:numId w:val="24"/>
        </w:numPr>
        <w:tabs>
          <w:tab w:val="clear" w:pos="2880"/>
          <w:tab w:val="clear" w:pos="5760"/>
        </w:tabs>
        <w:bidi/>
        <w:ind w:left="1440" w:hanging="720"/>
        <w:rPr>
          <w:sz w:val="26"/>
          <w:szCs w:val="26"/>
        </w:rPr>
      </w:pPr>
      <w:r>
        <w:rPr>
          <w:rFonts w:hint="cs"/>
          <w:sz w:val="26"/>
          <w:szCs w:val="26"/>
          <w:rtl/>
        </w:rPr>
        <w:lastRenderedPageBreak/>
        <w:t>تم تحديد الحالات الخاصة؛</w:t>
      </w:r>
    </w:p>
    <w:p w14:paraId="1A007B57" w14:textId="77777777" w:rsidR="008F116F" w:rsidRPr="008F116F" w:rsidRDefault="00B128B7" w:rsidP="008F116F">
      <w:pPr>
        <w:pStyle w:val="StyleHeader4Para4Left0Firstline0"/>
        <w:widowControl/>
        <w:numPr>
          <w:ilvl w:val="0"/>
          <w:numId w:val="24"/>
        </w:numPr>
        <w:tabs>
          <w:tab w:val="clear" w:pos="2880"/>
          <w:tab w:val="clear" w:pos="5760"/>
        </w:tabs>
        <w:bidi/>
        <w:ind w:left="1440" w:hanging="720"/>
        <w:rPr>
          <w:sz w:val="26"/>
          <w:szCs w:val="26"/>
        </w:rPr>
      </w:pPr>
      <w:r>
        <w:rPr>
          <w:rFonts w:hint="cs"/>
          <w:sz w:val="26"/>
          <w:szCs w:val="26"/>
          <w:rtl/>
        </w:rPr>
        <w:t>تم احتساب المستوى العام للتمويل لقطاع الخدمة بالنسبة لجميع بلدان المادة 5 على أساس مستويات التمويل المقترحة لكل مجموعة من البلدان</w:t>
      </w:r>
      <w:r w:rsidR="008F116F">
        <w:rPr>
          <w:rFonts w:hint="cs"/>
          <w:sz w:val="26"/>
          <w:szCs w:val="26"/>
          <w:rtl/>
        </w:rPr>
        <w:t>.</w:t>
      </w:r>
    </w:p>
    <w:p w14:paraId="1F886EA2" w14:textId="77777777" w:rsidR="00B128B7" w:rsidRPr="00B128B7" w:rsidRDefault="00B128B7" w:rsidP="00B128B7">
      <w:pPr>
        <w:pStyle w:val="StyleHeader4Para4Left0Firstline0"/>
        <w:widowControl/>
        <w:numPr>
          <w:ilvl w:val="0"/>
          <w:numId w:val="0"/>
        </w:numPr>
        <w:tabs>
          <w:tab w:val="clear" w:pos="2880"/>
          <w:tab w:val="clear" w:pos="5760"/>
        </w:tabs>
        <w:bidi/>
        <w:rPr>
          <w:b/>
          <w:bCs/>
          <w:sz w:val="26"/>
          <w:szCs w:val="26"/>
        </w:rPr>
      </w:pPr>
      <w:r w:rsidRPr="00B128B7">
        <w:rPr>
          <w:rFonts w:hint="cs"/>
          <w:b/>
          <w:bCs/>
          <w:sz w:val="26"/>
          <w:szCs w:val="26"/>
          <w:rtl/>
        </w:rPr>
        <w:t xml:space="preserve">تصنيف البلدان </w:t>
      </w:r>
      <w:r w:rsidRPr="00B128B7">
        <w:rPr>
          <w:b/>
          <w:bCs/>
          <w:sz w:val="26"/>
          <w:szCs w:val="26"/>
          <w:rtl/>
        </w:rPr>
        <w:t>التي لا ينخفض فيها حجم الاستهلاك</w:t>
      </w:r>
      <w:r w:rsidRPr="00B128B7">
        <w:rPr>
          <w:rFonts w:hint="cs"/>
          <w:b/>
          <w:bCs/>
          <w:sz w:val="26"/>
          <w:szCs w:val="26"/>
          <w:rtl/>
        </w:rPr>
        <w:t xml:space="preserve"> في مجموعات ومستويات تمويل لكل مجموعة</w:t>
      </w:r>
    </w:p>
    <w:p w14:paraId="5008EEE7" w14:textId="77777777" w:rsidR="00B128B7" w:rsidRDefault="00B128B7" w:rsidP="00177ED3">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قس</w:t>
      </w:r>
      <w:r w:rsidR="00B527C3">
        <w:rPr>
          <w:rFonts w:hint="cs"/>
          <w:sz w:val="26"/>
          <w:szCs w:val="26"/>
          <w:rtl/>
        </w:rPr>
        <w:t>ّ</w:t>
      </w:r>
      <w:r>
        <w:rPr>
          <w:rFonts w:hint="cs"/>
          <w:sz w:val="26"/>
          <w:szCs w:val="26"/>
          <w:rtl/>
        </w:rPr>
        <w:t xml:space="preserve">مت الأمانة البلدان </w:t>
      </w:r>
      <w:r w:rsidRPr="008F116F">
        <w:rPr>
          <w:sz w:val="26"/>
          <w:szCs w:val="26"/>
          <w:rtl/>
        </w:rPr>
        <w:t>التي لا ينخفض فيها حجم الاستهلاك</w:t>
      </w:r>
      <w:r>
        <w:rPr>
          <w:rFonts w:hint="cs"/>
          <w:sz w:val="26"/>
          <w:szCs w:val="26"/>
          <w:rtl/>
        </w:rPr>
        <w:t xml:space="preserve"> إلى أربع مجموعات استنادا إلى مستوى استهلاكها من الهيدروكلوروفلوروكربون، وما إذا كان لديها استهلاك للهيدروكلوروفلوروكربون في قطاعات التصنيع، وسوابق تجميع البلدان </w:t>
      </w:r>
      <w:r w:rsidRPr="008F116F">
        <w:rPr>
          <w:sz w:val="26"/>
          <w:szCs w:val="26"/>
          <w:rtl/>
        </w:rPr>
        <w:t>التي لا ينخفض فيها حجم الاستهلاك</w:t>
      </w:r>
      <w:r>
        <w:rPr>
          <w:rFonts w:hint="cs"/>
          <w:sz w:val="26"/>
          <w:szCs w:val="26"/>
          <w:rtl/>
        </w:rPr>
        <w:t xml:space="preserve">. وكخطوة أولية، أشارت الأمانة إلى تصنيف البلدان </w:t>
      </w:r>
      <w:r w:rsidRPr="008F116F">
        <w:rPr>
          <w:sz w:val="26"/>
          <w:szCs w:val="26"/>
          <w:rtl/>
        </w:rPr>
        <w:t>التي لا ينخفض فيها حجم الاستهلاك</w:t>
      </w:r>
      <w:r>
        <w:rPr>
          <w:rFonts w:hint="cs"/>
          <w:sz w:val="26"/>
          <w:szCs w:val="26"/>
          <w:rtl/>
        </w:rPr>
        <w:t xml:space="preserve"> "بين أقواس" </w:t>
      </w:r>
      <w:r w:rsidR="00380F6C">
        <w:rPr>
          <w:rFonts w:hint="cs"/>
          <w:sz w:val="26"/>
          <w:szCs w:val="26"/>
          <w:rtl/>
        </w:rPr>
        <w:t xml:space="preserve">قامت بها فرقة العمل المعنية بتجديد </w:t>
      </w:r>
      <w:r w:rsidR="0016403D">
        <w:rPr>
          <w:rFonts w:hint="cs"/>
          <w:sz w:val="26"/>
          <w:szCs w:val="26"/>
          <w:rtl/>
        </w:rPr>
        <w:t>ال</w:t>
      </w:r>
      <w:r w:rsidR="00380F6C">
        <w:rPr>
          <w:rFonts w:hint="cs"/>
          <w:sz w:val="26"/>
          <w:szCs w:val="26"/>
          <w:rtl/>
        </w:rPr>
        <w:t>موارد</w:t>
      </w:r>
      <w:r w:rsidR="001E3242">
        <w:rPr>
          <w:rStyle w:val="FootnoteReference"/>
          <w:sz w:val="26"/>
          <w:szCs w:val="26"/>
          <w:rtl/>
        </w:rPr>
        <w:footnoteReference w:id="3"/>
      </w:r>
      <w:r w:rsidR="00380F6C">
        <w:rPr>
          <w:rFonts w:hint="cs"/>
          <w:sz w:val="26"/>
          <w:szCs w:val="26"/>
          <w:rtl/>
        </w:rPr>
        <w:t xml:space="preserve"> التابعة لفريق التقييم التكنولوجي والاقتصادي وطبقت بعض التعديلات. وبدلا من تجميع البلدان استنادا إلى استهلاكها العام من الهيدروكلوروفلوروكربون، قامت الأمانة بتصنيفها حسب استهلاكها للهيدروكلوروفلوروكربون لسنوات خط الأساس في قطاع خدمة التبريد. وبالإضافة إلى ذلك، واستنادا إلى مستوى استهلاك الهيدروكلوروفلوروكربون في قطاع التصنيع، عدلت الأمانة على نحو طفيف الحدود بين الفئات من </w:t>
      </w:r>
      <w:r w:rsidR="001E3242">
        <w:rPr>
          <w:rFonts w:hint="cs"/>
          <w:sz w:val="26"/>
          <w:szCs w:val="26"/>
          <w:rtl/>
        </w:rPr>
        <w:t>مستويات فريق التقييم التكنولوجي والاقتصادي، لضمان أن تلك البلدان التي لديها مستويات مقارنة من التصنيع يمكن تجميعها معا إلى حد ممكن.</w:t>
      </w:r>
      <w:r w:rsidR="001E3242">
        <w:rPr>
          <w:rStyle w:val="FootnoteReference"/>
          <w:sz w:val="26"/>
          <w:szCs w:val="26"/>
          <w:rtl/>
        </w:rPr>
        <w:footnoteReference w:id="4"/>
      </w:r>
      <w:r w:rsidR="001E3242">
        <w:rPr>
          <w:rFonts w:hint="cs"/>
          <w:sz w:val="26"/>
          <w:szCs w:val="26"/>
          <w:rtl/>
        </w:rPr>
        <w:t xml:space="preserve"> وترد المجموعات الناشئة في الجدول 1.</w:t>
      </w:r>
    </w:p>
    <w:p w14:paraId="01C1FAA6" w14:textId="77777777" w:rsidR="00B128B7" w:rsidRDefault="0016403D" w:rsidP="0016403D">
      <w:pPr>
        <w:pStyle w:val="StyleHeader4Para4Left0Firstline0"/>
        <w:widowControl/>
        <w:numPr>
          <w:ilvl w:val="0"/>
          <w:numId w:val="0"/>
        </w:numPr>
        <w:tabs>
          <w:tab w:val="clear" w:pos="2880"/>
          <w:tab w:val="clear" w:pos="5760"/>
        </w:tabs>
        <w:bidi/>
        <w:spacing w:after="0"/>
        <w:rPr>
          <w:sz w:val="24"/>
          <w:szCs w:val="24"/>
          <w:rtl/>
        </w:rPr>
      </w:pPr>
      <w:r>
        <w:rPr>
          <w:rFonts w:hint="cs"/>
          <w:b/>
          <w:bCs/>
          <w:sz w:val="24"/>
          <w:szCs w:val="24"/>
          <w:rtl/>
        </w:rPr>
        <w:t xml:space="preserve">الجدول 1. الفئات المقترحة للبلدان </w:t>
      </w:r>
      <w:r w:rsidRPr="0016403D">
        <w:rPr>
          <w:b/>
          <w:bCs/>
          <w:sz w:val="24"/>
          <w:szCs w:val="24"/>
          <w:rtl/>
        </w:rPr>
        <w:t>التي لا ينخفض فيها حجم الاستهلاك</w:t>
      </w:r>
      <w:r>
        <w:rPr>
          <w:rFonts w:hint="cs"/>
          <w:b/>
          <w:bCs/>
          <w:sz w:val="24"/>
          <w:szCs w:val="24"/>
          <w:rtl/>
        </w:rPr>
        <w:t xml:space="preserve"> لتخصيص التمويل للتخفيض التدريجي للهيدروفلوروكربون في قطاع خدمة التبريد للمرحل</w:t>
      </w:r>
      <w:r w:rsidR="00605315">
        <w:rPr>
          <w:rFonts w:hint="cs"/>
          <w:b/>
          <w:bCs/>
          <w:sz w:val="24"/>
          <w:szCs w:val="24"/>
          <w:rtl/>
        </w:rPr>
        <w:t>ة الأولى من خطط تنفيذ تعديل كيغالي ال</w:t>
      </w:r>
      <w:r>
        <w:rPr>
          <w:rFonts w:hint="cs"/>
          <w:b/>
          <w:bCs/>
          <w:sz w:val="24"/>
          <w:szCs w:val="24"/>
          <w:rtl/>
        </w:rPr>
        <w:t>خاصة بالهيدروفلوروكربون</w:t>
      </w:r>
    </w:p>
    <w:tbl>
      <w:tblPr>
        <w:tblStyle w:val="TableGrid"/>
        <w:bidiVisual/>
        <w:tblW w:w="5000" w:type="pct"/>
        <w:tblLook w:val="04A0" w:firstRow="1" w:lastRow="0" w:firstColumn="1" w:lastColumn="0" w:noHBand="0" w:noVBand="1"/>
      </w:tblPr>
      <w:tblGrid>
        <w:gridCol w:w="2009"/>
        <w:gridCol w:w="1036"/>
        <w:gridCol w:w="6531"/>
      </w:tblGrid>
      <w:tr w:rsidR="0016403D" w:rsidRPr="006F2DC7" w14:paraId="571347DF" w14:textId="77777777" w:rsidTr="0016403D">
        <w:trPr>
          <w:trHeight w:val="717"/>
          <w:tblHeader/>
        </w:trPr>
        <w:tc>
          <w:tcPr>
            <w:tcW w:w="1049" w:type="pct"/>
            <w:vAlign w:val="center"/>
          </w:tcPr>
          <w:p w14:paraId="09B966E8" w14:textId="77777777" w:rsidR="0016403D" w:rsidRPr="00E1601C" w:rsidRDefault="0016403D" w:rsidP="0016403D">
            <w:pPr>
              <w:pStyle w:val="Heading1"/>
              <w:numPr>
                <w:ilvl w:val="0"/>
                <w:numId w:val="0"/>
              </w:numPr>
              <w:bidi/>
              <w:spacing w:after="0"/>
              <w:jc w:val="center"/>
              <w:outlineLvl w:val="0"/>
              <w:rPr>
                <w:b/>
                <w:bCs/>
                <w:sz w:val="20"/>
                <w:lang w:val="en-US"/>
              </w:rPr>
            </w:pPr>
            <w:r>
              <w:rPr>
                <w:rFonts w:hint="cs"/>
                <w:b/>
                <w:bCs/>
                <w:sz w:val="20"/>
                <w:rtl/>
                <w:lang w:val="en-US"/>
              </w:rPr>
              <w:t>استهلاك الهيدروكلوروفلوروكربون في الخدمة بالطن المتري</w:t>
            </w:r>
          </w:p>
        </w:tc>
        <w:tc>
          <w:tcPr>
            <w:tcW w:w="541" w:type="pct"/>
            <w:vAlign w:val="center"/>
          </w:tcPr>
          <w:p w14:paraId="28AD9964" w14:textId="77777777" w:rsidR="0016403D" w:rsidRPr="0016403D" w:rsidRDefault="0016403D" w:rsidP="0016403D">
            <w:pPr>
              <w:pStyle w:val="Heading1"/>
              <w:numPr>
                <w:ilvl w:val="0"/>
                <w:numId w:val="0"/>
              </w:numPr>
              <w:bidi/>
              <w:spacing w:after="0"/>
              <w:jc w:val="center"/>
              <w:outlineLvl w:val="0"/>
              <w:rPr>
                <w:b/>
                <w:bCs/>
                <w:sz w:val="20"/>
                <w:lang w:val="en-US"/>
              </w:rPr>
            </w:pPr>
            <w:r>
              <w:rPr>
                <w:rFonts w:hint="cs"/>
                <w:b/>
                <w:bCs/>
                <w:sz w:val="20"/>
                <w:rtl/>
                <w:lang w:val="en-US"/>
              </w:rPr>
              <w:t>عدد البلدان</w:t>
            </w:r>
          </w:p>
        </w:tc>
        <w:tc>
          <w:tcPr>
            <w:tcW w:w="3410" w:type="pct"/>
            <w:vAlign w:val="center"/>
          </w:tcPr>
          <w:p w14:paraId="26E26A43" w14:textId="77777777" w:rsidR="0016403D" w:rsidRPr="00E1601C" w:rsidRDefault="0016403D" w:rsidP="0016403D">
            <w:pPr>
              <w:pStyle w:val="Heading1"/>
              <w:numPr>
                <w:ilvl w:val="0"/>
                <w:numId w:val="0"/>
              </w:numPr>
              <w:bidi/>
              <w:spacing w:after="0"/>
              <w:jc w:val="center"/>
              <w:outlineLvl w:val="0"/>
              <w:rPr>
                <w:b/>
                <w:bCs/>
                <w:sz w:val="20"/>
                <w:lang w:val="en-US"/>
              </w:rPr>
            </w:pPr>
            <w:r>
              <w:rPr>
                <w:rFonts w:hint="cs"/>
                <w:b/>
                <w:bCs/>
                <w:sz w:val="20"/>
                <w:rtl/>
                <w:lang w:val="en-US"/>
              </w:rPr>
              <w:t>البلدان</w:t>
            </w:r>
          </w:p>
        </w:tc>
      </w:tr>
      <w:tr w:rsidR="0016403D" w:rsidRPr="006F2DC7" w14:paraId="7197FB55" w14:textId="77777777" w:rsidTr="0016403D">
        <w:trPr>
          <w:trHeight w:val="1249"/>
        </w:trPr>
        <w:tc>
          <w:tcPr>
            <w:tcW w:w="1049" w:type="pct"/>
          </w:tcPr>
          <w:p w14:paraId="19B908B3" w14:textId="77777777" w:rsidR="0016403D" w:rsidRPr="0016403D" w:rsidRDefault="0016403D" w:rsidP="0016403D">
            <w:pPr>
              <w:pStyle w:val="Heading1"/>
              <w:numPr>
                <w:ilvl w:val="0"/>
                <w:numId w:val="0"/>
              </w:numPr>
              <w:bidi/>
              <w:spacing w:after="0"/>
              <w:jc w:val="left"/>
              <w:outlineLvl w:val="0"/>
              <w:rPr>
                <w:sz w:val="20"/>
                <w:rtl/>
                <w:lang w:val="en-US" w:bidi="ar-EG"/>
              </w:rPr>
            </w:pPr>
            <w:bookmarkStart w:id="0" w:name="_Hlk105439110"/>
            <w:r w:rsidRPr="0016403D">
              <w:rPr>
                <w:rFonts w:hint="cs"/>
                <w:b/>
                <w:bCs/>
                <w:sz w:val="20"/>
                <w:rtl/>
                <w:lang w:val="en-US" w:bidi="ar-EG"/>
              </w:rPr>
              <w:t>المجموعة 1</w:t>
            </w:r>
          </w:p>
          <w:p w14:paraId="6A8F6C2E" w14:textId="77777777" w:rsidR="0016403D" w:rsidRDefault="0016403D" w:rsidP="0016403D">
            <w:pPr>
              <w:bidi/>
              <w:rPr>
                <w:sz w:val="20"/>
                <w:rtl/>
                <w:lang w:val="en-US" w:bidi="ar-EG"/>
              </w:rPr>
            </w:pPr>
            <w:r w:rsidRPr="0016403D">
              <w:rPr>
                <w:rFonts w:hint="cs"/>
                <w:sz w:val="20"/>
                <w:rtl/>
                <w:lang w:val="en-US" w:bidi="ar-EG"/>
              </w:rPr>
              <w:t xml:space="preserve">360 إلى </w:t>
            </w:r>
            <w:r w:rsidRPr="0016403D">
              <w:rPr>
                <w:sz w:val="20"/>
                <w:lang w:val="en-US" w:bidi="ar-EG"/>
              </w:rPr>
              <w:t>1,800</w:t>
            </w:r>
          </w:p>
          <w:p w14:paraId="1B36008C" w14:textId="77777777" w:rsidR="0016403D" w:rsidRDefault="0016403D" w:rsidP="0016403D">
            <w:pPr>
              <w:bidi/>
              <w:rPr>
                <w:sz w:val="20"/>
                <w:rtl/>
                <w:lang w:val="en-US" w:bidi="ar-EG"/>
              </w:rPr>
            </w:pPr>
          </w:p>
          <w:p w14:paraId="01BFBA8D" w14:textId="77777777" w:rsidR="0016403D" w:rsidRPr="00E1601C" w:rsidRDefault="0016403D" w:rsidP="0016403D">
            <w:pPr>
              <w:bidi/>
              <w:rPr>
                <w:sz w:val="20"/>
                <w:lang w:val="en-US" w:bidi="ar-EG"/>
              </w:rPr>
            </w:pPr>
            <w:r>
              <w:rPr>
                <w:rFonts w:hint="cs"/>
                <w:sz w:val="20"/>
                <w:rtl/>
                <w:lang w:val="en-US" w:bidi="ar-EG"/>
              </w:rPr>
              <w:t>بدون تصنيع أو مع بعض التصنيع</w:t>
            </w:r>
          </w:p>
        </w:tc>
        <w:tc>
          <w:tcPr>
            <w:tcW w:w="541" w:type="pct"/>
          </w:tcPr>
          <w:p w14:paraId="336475D6" w14:textId="77777777" w:rsidR="0016403D" w:rsidRPr="00E1601C" w:rsidRDefault="0016403D" w:rsidP="008A4564">
            <w:pPr>
              <w:pStyle w:val="Heading1"/>
              <w:numPr>
                <w:ilvl w:val="0"/>
                <w:numId w:val="0"/>
              </w:numPr>
              <w:spacing w:after="0"/>
              <w:jc w:val="center"/>
              <w:outlineLvl w:val="0"/>
              <w:rPr>
                <w:sz w:val="20"/>
                <w:lang w:val="en-US"/>
              </w:rPr>
            </w:pPr>
            <w:r w:rsidRPr="00E1601C">
              <w:rPr>
                <w:sz w:val="20"/>
                <w:lang w:val="en-US"/>
              </w:rPr>
              <w:t>35</w:t>
            </w:r>
          </w:p>
        </w:tc>
        <w:tc>
          <w:tcPr>
            <w:tcW w:w="3410" w:type="pct"/>
          </w:tcPr>
          <w:p w14:paraId="30095894" w14:textId="77777777" w:rsidR="0016403D" w:rsidRPr="00E1601C" w:rsidRDefault="003B043B" w:rsidP="003B043B">
            <w:pPr>
              <w:pStyle w:val="Heading1"/>
              <w:numPr>
                <w:ilvl w:val="0"/>
                <w:numId w:val="0"/>
              </w:numPr>
              <w:bidi/>
              <w:spacing w:after="60"/>
              <w:outlineLvl w:val="0"/>
              <w:rPr>
                <w:sz w:val="20"/>
                <w:lang w:val="en-US" w:bidi="ar-EG"/>
              </w:rPr>
            </w:pPr>
            <w:r>
              <w:rPr>
                <w:rFonts w:hint="cs"/>
                <w:sz w:val="20"/>
                <w:rtl/>
                <w:lang w:val="en-US" w:bidi="ar-EG"/>
              </w:rPr>
              <w:t>أفغانستان، الجزائر، البحرين، بنغلاديش، بنن، بوركينا فاسو، الكاميرون، شيلي، كولومبيا، كوت ديفوار، جمهورية كوريا الشعبية الديمقراطية، جمهورية الكونغو الديمقراطية، الجمهورية الدومينيكية، إكوادور، غابون، غانا، غينيا، الأردن، كينيا، لبنان، ليبيا، مدغشقر، موريتانيا، المغرب، عمان، بنما، بيرو، قطر، السنغال، الصومال، الجمهورية العربية السورية، توغو، ترينيداد وتوباغو، تونس، أوروغواي</w:t>
            </w:r>
          </w:p>
        </w:tc>
      </w:tr>
      <w:tr w:rsidR="0016403D" w:rsidRPr="006F2DC7" w14:paraId="53115C47" w14:textId="77777777" w:rsidTr="0016403D">
        <w:tc>
          <w:tcPr>
            <w:tcW w:w="1049" w:type="pct"/>
          </w:tcPr>
          <w:p w14:paraId="6E91D659" w14:textId="77777777" w:rsidR="0016403D" w:rsidRPr="0016403D" w:rsidRDefault="0016403D" w:rsidP="0016403D">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rFonts w:hint="cs"/>
                <w:b/>
                <w:bCs/>
                <w:sz w:val="20"/>
                <w:rtl/>
                <w:lang w:val="en-US" w:bidi="ar-EG"/>
              </w:rPr>
              <w:t>2</w:t>
            </w:r>
          </w:p>
          <w:p w14:paraId="6BD918E1" w14:textId="77777777" w:rsidR="0016403D" w:rsidRDefault="0016403D" w:rsidP="0016403D">
            <w:pPr>
              <w:bidi/>
              <w:rPr>
                <w:sz w:val="20"/>
                <w:rtl/>
                <w:lang w:val="en-US" w:bidi="ar-EG"/>
              </w:rPr>
            </w:pPr>
            <w:r>
              <w:rPr>
                <w:sz w:val="20"/>
                <w:lang w:val="en-US" w:bidi="ar-EG"/>
              </w:rPr>
              <w:t>1,800</w:t>
            </w:r>
            <w:r w:rsidRPr="0016403D">
              <w:rPr>
                <w:rFonts w:hint="cs"/>
                <w:sz w:val="20"/>
                <w:rtl/>
                <w:lang w:val="en-US" w:bidi="ar-EG"/>
              </w:rPr>
              <w:t xml:space="preserve"> إلى </w:t>
            </w:r>
            <w:r>
              <w:rPr>
                <w:sz w:val="20"/>
                <w:lang w:val="en-US" w:bidi="ar-EG"/>
              </w:rPr>
              <w:t>8,000</w:t>
            </w:r>
          </w:p>
          <w:p w14:paraId="029C5605" w14:textId="77777777" w:rsidR="0016403D" w:rsidRDefault="0016403D" w:rsidP="0016403D">
            <w:pPr>
              <w:bidi/>
              <w:rPr>
                <w:sz w:val="20"/>
                <w:rtl/>
                <w:lang w:val="en-US" w:bidi="ar-EG"/>
              </w:rPr>
            </w:pPr>
          </w:p>
          <w:p w14:paraId="429CAF0B" w14:textId="77777777" w:rsidR="0016403D" w:rsidRPr="003B043B" w:rsidRDefault="0016403D" w:rsidP="003B043B">
            <w:pPr>
              <w:pStyle w:val="Heading1"/>
              <w:numPr>
                <w:ilvl w:val="0"/>
                <w:numId w:val="0"/>
              </w:numPr>
              <w:bidi/>
              <w:spacing w:after="0"/>
              <w:jc w:val="left"/>
              <w:outlineLvl w:val="0"/>
              <w:rPr>
                <w:b/>
                <w:bCs/>
                <w:sz w:val="20"/>
                <w:lang w:val="en-US" w:bidi="ar-EG"/>
              </w:rPr>
            </w:pPr>
            <w:r>
              <w:rPr>
                <w:rFonts w:hint="cs"/>
                <w:sz w:val="20"/>
                <w:rtl/>
                <w:lang w:val="en-US" w:bidi="ar-EG"/>
              </w:rPr>
              <w:t>مع التصنيع</w:t>
            </w:r>
          </w:p>
        </w:tc>
        <w:tc>
          <w:tcPr>
            <w:tcW w:w="541" w:type="pct"/>
          </w:tcPr>
          <w:p w14:paraId="0FF41FCE" w14:textId="77777777" w:rsidR="0016403D" w:rsidRPr="00E1601C" w:rsidRDefault="0016403D" w:rsidP="008A4564">
            <w:pPr>
              <w:pStyle w:val="Heading1"/>
              <w:numPr>
                <w:ilvl w:val="0"/>
                <w:numId w:val="0"/>
              </w:numPr>
              <w:spacing w:after="0"/>
              <w:jc w:val="center"/>
              <w:outlineLvl w:val="0"/>
              <w:rPr>
                <w:sz w:val="20"/>
                <w:lang w:val="en-US"/>
              </w:rPr>
            </w:pPr>
            <w:r w:rsidRPr="00E1601C">
              <w:rPr>
                <w:sz w:val="20"/>
                <w:lang w:val="en-US"/>
              </w:rPr>
              <w:t>15</w:t>
            </w:r>
          </w:p>
        </w:tc>
        <w:tc>
          <w:tcPr>
            <w:tcW w:w="3410" w:type="pct"/>
          </w:tcPr>
          <w:p w14:paraId="2374CE0C" w14:textId="77777777" w:rsidR="0016403D" w:rsidRPr="00E1601C" w:rsidRDefault="003B043B" w:rsidP="003B043B">
            <w:pPr>
              <w:pStyle w:val="Heading1"/>
              <w:numPr>
                <w:ilvl w:val="0"/>
                <w:numId w:val="0"/>
              </w:numPr>
              <w:bidi/>
              <w:spacing w:after="0"/>
              <w:outlineLvl w:val="0"/>
              <w:rPr>
                <w:sz w:val="20"/>
                <w:lang w:val="en-US" w:bidi="ar-EG"/>
              </w:rPr>
            </w:pPr>
            <w:r>
              <w:rPr>
                <w:rFonts w:hint="cs"/>
                <w:sz w:val="20"/>
                <w:rtl/>
                <w:lang w:val="en-US" w:bidi="ar-EG"/>
              </w:rPr>
              <w:t xml:space="preserve">الأرجنتين، مصر، إندونيسيا، إيران (جمهورية </w:t>
            </w:r>
            <w:r>
              <w:rPr>
                <w:sz w:val="20"/>
                <w:rtl/>
                <w:lang w:val="en-US" w:bidi="ar-EG"/>
              </w:rPr>
              <w:t>–</w:t>
            </w:r>
            <w:r>
              <w:rPr>
                <w:rFonts w:hint="cs"/>
                <w:sz w:val="20"/>
                <w:rtl/>
                <w:lang w:val="en-US" w:bidi="ar-EG"/>
              </w:rPr>
              <w:t xml:space="preserve"> الإسلامية)، العراق، الكويت، ماليزيا، نيجيريا، باكستان، الفلبين، جنوب أفريقيا، تركيا، فنزويلا (جمهورية </w:t>
            </w:r>
            <w:r>
              <w:rPr>
                <w:sz w:val="20"/>
                <w:rtl/>
                <w:lang w:val="en-US" w:bidi="ar-EG"/>
              </w:rPr>
              <w:t>–</w:t>
            </w:r>
            <w:r>
              <w:rPr>
                <w:rFonts w:hint="cs"/>
                <w:sz w:val="20"/>
                <w:rtl/>
                <w:lang w:val="en-US" w:bidi="ar-EG"/>
              </w:rPr>
              <w:t xml:space="preserve"> البوليفارية)، فييت نام، اليمن</w:t>
            </w:r>
          </w:p>
        </w:tc>
      </w:tr>
      <w:tr w:rsidR="0016403D" w:rsidRPr="006F2DC7" w14:paraId="6C1D596C" w14:textId="77777777" w:rsidTr="0016403D">
        <w:tc>
          <w:tcPr>
            <w:tcW w:w="1049" w:type="pct"/>
          </w:tcPr>
          <w:p w14:paraId="5C0DF94A" w14:textId="77777777" w:rsidR="003B043B" w:rsidRPr="0016403D" w:rsidRDefault="003B043B" w:rsidP="003B043B">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rFonts w:hint="cs"/>
                <w:b/>
                <w:bCs/>
                <w:sz w:val="20"/>
                <w:rtl/>
                <w:lang w:val="en-US" w:bidi="ar-EG"/>
              </w:rPr>
              <w:t>3</w:t>
            </w:r>
          </w:p>
          <w:p w14:paraId="1F21827F" w14:textId="77777777" w:rsidR="003B043B" w:rsidRDefault="003B043B" w:rsidP="003B043B">
            <w:pPr>
              <w:bidi/>
              <w:rPr>
                <w:sz w:val="20"/>
                <w:rtl/>
                <w:lang w:val="en-US" w:bidi="ar-EG"/>
              </w:rPr>
            </w:pPr>
            <w:r>
              <w:rPr>
                <w:sz w:val="20"/>
                <w:lang w:val="en-US" w:bidi="ar-EG"/>
              </w:rPr>
              <w:t>8,000</w:t>
            </w:r>
            <w:r w:rsidRPr="0016403D">
              <w:rPr>
                <w:rFonts w:hint="cs"/>
                <w:sz w:val="20"/>
                <w:rtl/>
                <w:lang w:val="en-US" w:bidi="ar-EG"/>
              </w:rPr>
              <w:t xml:space="preserve"> إلى </w:t>
            </w:r>
            <w:r>
              <w:rPr>
                <w:sz w:val="20"/>
                <w:lang w:val="en-US" w:bidi="ar-EG"/>
              </w:rPr>
              <w:t>25,000</w:t>
            </w:r>
          </w:p>
          <w:p w14:paraId="63980A37" w14:textId="77777777" w:rsidR="003B043B" w:rsidRDefault="003B043B" w:rsidP="003B043B">
            <w:pPr>
              <w:bidi/>
              <w:rPr>
                <w:sz w:val="20"/>
                <w:rtl/>
                <w:lang w:val="en-US" w:bidi="ar-EG"/>
              </w:rPr>
            </w:pPr>
          </w:p>
          <w:p w14:paraId="5ACCD624" w14:textId="77777777" w:rsidR="0016403D" w:rsidRPr="00605315" w:rsidRDefault="003B043B" w:rsidP="00605315">
            <w:pPr>
              <w:pStyle w:val="Heading1"/>
              <w:numPr>
                <w:ilvl w:val="0"/>
                <w:numId w:val="0"/>
              </w:numPr>
              <w:bidi/>
              <w:spacing w:after="0"/>
              <w:jc w:val="left"/>
              <w:outlineLvl w:val="0"/>
              <w:rPr>
                <w:b/>
                <w:bCs/>
                <w:sz w:val="20"/>
                <w:lang w:val="en-US" w:bidi="ar-EG"/>
              </w:rPr>
            </w:pPr>
            <w:r>
              <w:rPr>
                <w:rFonts w:hint="cs"/>
                <w:sz w:val="20"/>
                <w:rtl/>
                <w:lang w:val="en-US" w:bidi="ar-EG"/>
              </w:rPr>
              <w:t>مع التصنيع</w:t>
            </w:r>
          </w:p>
        </w:tc>
        <w:tc>
          <w:tcPr>
            <w:tcW w:w="541" w:type="pct"/>
          </w:tcPr>
          <w:p w14:paraId="7F400E12" w14:textId="77777777" w:rsidR="0016403D" w:rsidRPr="00E1601C" w:rsidRDefault="0016403D" w:rsidP="008A4564">
            <w:pPr>
              <w:pStyle w:val="Heading1"/>
              <w:numPr>
                <w:ilvl w:val="0"/>
                <w:numId w:val="0"/>
              </w:numPr>
              <w:spacing w:after="0"/>
              <w:jc w:val="center"/>
              <w:outlineLvl w:val="0"/>
              <w:rPr>
                <w:sz w:val="20"/>
                <w:lang w:val="en-US"/>
              </w:rPr>
            </w:pPr>
            <w:r w:rsidRPr="00E1601C">
              <w:rPr>
                <w:sz w:val="20"/>
                <w:lang w:val="en-US"/>
              </w:rPr>
              <w:t>5</w:t>
            </w:r>
          </w:p>
        </w:tc>
        <w:tc>
          <w:tcPr>
            <w:tcW w:w="3410" w:type="pct"/>
          </w:tcPr>
          <w:p w14:paraId="5768D76D" w14:textId="77777777" w:rsidR="0016403D" w:rsidRPr="00E1601C" w:rsidRDefault="003B043B" w:rsidP="003B043B">
            <w:pPr>
              <w:pStyle w:val="Heading1"/>
              <w:numPr>
                <w:ilvl w:val="0"/>
                <w:numId w:val="0"/>
              </w:numPr>
              <w:bidi/>
              <w:spacing w:after="0"/>
              <w:outlineLvl w:val="0"/>
              <w:rPr>
                <w:sz w:val="20"/>
                <w:lang w:val="en-US" w:bidi="ar-EG"/>
              </w:rPr>
            </w:pPr>
            <w:r>
              <w:rPr>
                <w:rFonts w:hint="cs"/>
                <w:sz w:val="20"/>
                <w:rtl/>
                <w:lang w:val="en-US" w:bidi="ar-EG"/>
              </w:rPr>
              <w:t>البرازيل، الهند، المكسيك، المملكة العربية السعودية، تايلند</w:t>
            </w:r>
          </w:p>
        </w:tc>
      </w:tr>
      <w:tr w:rsidR="0016403D" w:rsidRPr="006F2DC7" w14:paraId="22CDEF53" w14:textId="77777777" w:rsidTr="0016403D">
        <w:tc>
          <w:tcPr>
            <w:tcW w:w="1049" w:type="pct"/>
          </w:tcPr>
          <w:p w14:paraId="3CFC627F" w14:textId="77777777" w:rsidR="003B043B" w:rsidRPr="0016403D" w:rsidRDefault="003B043B" w:rsidP="003B043B">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b/>
                <w:bCs/>
                <w:sz w:val="20"/>
                <w:lang w:val="en-US" w:bidi="ar-EG"/>
              </w:rPr>
              <w:t>4</w:t>
            </w:r>
          </w:p>
          <w:p w14:paraId="395B6918" w14:textId="77777777" w:rsidR="003B043B" w:rsidRDefault="003B043B" w:rsidP="003B043B">
            <w:pPr>
              <w:bidi/>
              <w:rPr>
                <w:sz w:val="20"/>
                <w:lang w:val="en-US" w:bidi="ar-EG"/>
              </w:rPr>
            </w:pPr>
            <w:r>
              <w:rPr>
                <w:rFonts w:hint="cs"/>
                <w:sz w:val="20"/>
                <w:rtl/>
                <w:lang w:val="en-US" w:bidi="ar-EG"/>
              </w:rPr>
              <w:t xml:space="preserve">أعلى من </w:t>
            </w:r>
            <w:r>
              <w:rPr>
                <w:sz w:val="20"/>
                <w:lang w:val="en-US" w:bidi="ar-EG"/>
              </w:rPr>
              <w:t>25,000</w:t>
            </w:r>
          </w:p>
          <w:p w14:paraId="02DB9816" w14:textId="77777777" w:rsidR="003B043B" w:rsidRDefault="003B043B" w:rsidP="003B043B">
            <w:pPr>
              <w:bidi/>
              <w:rPr>
                <w:sz w:val="20"/>
                <w:rtl/>
                <w:lang w:val="en-US" w:bidi="ar-EG"/>
              </w:rPr>
            </w:pPr>
          </w:p>
          <w:p w14:paraId="3D6639B7" w14:textId="77777777" w:rsidR="0016403D" w:rsidRPr="003B043B" w:rsidRDefault="003B043B" w:rsidP="00605315">
            <w:pPr>
              <w:pStyle w:val="Heading1"/>
              <w:numPr>
                <w:ilvl w:val="0"/>
                <w:numId w:val="0"/>
              </w:numPr>
              <w:bidi/>
              <w:spacing w:after="0"/>
              <w:jc w:val="left"/>
              <w:outlineLvl w:val="0"/>
              <w:rPr>
                <w:b/>
                <w:bCs/>
                <w:sz w:val="20"/>
                <w:rtl/>
                <w:lang w:val="en-US" w:bidi="ar-EG"/>
              </w:rPr>
            </w:pPr>
            <w:r>
              <w:rPr>
                <w:rFonts w:hint="cs"/>
                <w:sz w:val="20"/>
                <w:rtl/>
                <w:lang w:val="en-US" w:bidi="ar-EG"/>
              </w:rPr>
              <w:t>مع التصنيع</w:t>
            </w:r>
          </w:p>
        </w:tc>
        <w:tc>
          <w:tcPr>
            <w:tcW w:w="541" w:type="pct"/>
          </w:tcPr>
          <w:p w14:paraId="15C10464" w14:textId="77777777" w:rsidR="0016403D" w:rsidRPr="00E1601C" w:rsidRDefault="0016403D" w:rsidP="008A4564">
            <w:pPr>
              <w:pStyle w:val="Heading1"/>
              <w:numPr>
                <w:ilvl w:val="0"/>
                <w:numId w:val="0"/>
              </w:numPr>
              <w:spacing w:after="0"/>
              <w:jc w:val="center"/>
              <w:outlineLvl w:val="0"/>
              <w:rPr>
                <w:sz w:val="20"/>
                <w:lang w:val="en-US"/>
              </w:rPr>
            </w:pPr>
            <w:r w:rsidRPr="00E1601C">
              <w:rPr>
                <w:sz w:val="20"/>
                <w:lang w:val="en-US"/>
              </w:rPr>
              <w:t>1</w:t>
            </w:r>
          </w:p>
        </w:tc>
        <w:tc>
          <w:tcPr>
            <w:tcW w:w="3410" w:type="pct"/>
          </w:tcPr>
          <w:p w14:paraId="28D231D1" w14:textId="77777777" w:rsidR="0016403D" w:rsidRPr="00E1601C" w:rsidRDefault="003B043B" w:rsidP="00605315">
            <w:pPr>
              <w:pStyle w:val="Heading1"/>
              <w:numPr>
                <w:ilvl w:val="0"/>
                <w:numId w:val="0"/>
              </w:numPr>
              <w:bidi/>
              <w:spacing w:after="0"/>
              <w:outlineLvl w:val="0"/>
              <w:rPr>
                <w:sz w:val="20"/>
                <w:lang w:val="en-US" w:bidi="ar-EG"/>
              </w:rPr>
            </w:pPr>
            <w:r>
              <w:rPr>
                <w:rFonts w:hint="cs"/>
                <w:sz w:val="20"/>
                <w:rtl/>
                <w:lang w:val="en-US" w:bidi="ar-EG"/>
              </w:rPr>
              <w:t>الصين</w:t>
            </w:r>
          </w:p>
        </w:tc>
      </w:tr>
      <w:bookmarkEnd w:id="0"/>
    </w:tbl>
    <w:p w14:paraId="5163192B" w14:textId="77777777" w:rsidR="0016403D" w:rsidRDefault="0016403D" w:rsidP="00605315">
      <w:pPr>
        <w:pStyle w:val="StyleHeader4Para4Left0Firstline0"/>
        <w:widowControl/>
        <w:numPr>
          <w:ilvl w:val="0"/>
          <w:numId w:val="0"/>
        </w:numPr>
        <w:tabs>
          <w:tab w:val="clear" w:pos="2880"/>
          <w:tab w:val="clear" w:pos="5760"/>
        </w:tabs>
        <w:bidi/>
        <w:rPr>
          <w:sz w:val="24"/>
          <w:szCs w:val="24"/>
          <w:rtl/>
          <w:lang w:bidi="ar-EG"/>
        </w:rPr>
      </w:pPr>
    </w:p>
    <w:p w14:paraId="61C9748A" w14:textId="77777777" w:rsidR="00B128B7" w:rsidRDefault="00605315" w:rsidP="00605315">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ومع تقسيم البلدان </w:t>
      </w:r>
      <w:r w:rsidRPr="008F116F">
        <w:rPr>
          <w:sz w:val="26"/>
          <w:szCs w:val="26"/>
          <w:rtl/>
        </w:rPr>
        <w:t>التي لا ينخفض فيها حجم الاستهلاك</w:t>
      </w:r>
      <w:r>
        <w:rPr>
          <w:rFonts w:hint="cs"/>
          <w:sz w:val="26"/>
          <w:szCs w:val="26"/>
          <w:rtl/>
        </w:rPr>
        <w:t xml:space="preserve"> إلى هذه المجموعات الأربع، بدلا من تطبيق مستوى واحد لجدوى التكلفة لجميع البلدان، سيكون من الممكن النظر في مستويات متباينة للتمويل التي يمكن أن تكون أكثر ملاءمة لخصائص البلدان في كل فئة.</w:t>
      </w:r>
    </w:p>
    <w:p w14:paraId="0888BDE2" w14:textId="77777777" w:rsidR="00B128B7" w:rsidRDefault="00605315" w:rsidP="00F80478">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ولتقدير مستوى التمويل للمرحلة الأولى من خطط تنفيذ تعديل كيغالي، أخذت الأمانة مستوى التمويل الموافق عليه لخطط إدارة إزالة المواد الهيدروكلوروفلوروكربونية كنقطة بداية، مع ملاحظة أن فئات التكاليف الإضافية المؤهلة للتخفيض التدريجي للهيدروفلوروكربون تتشابه مع تلك التكاليف للأنشطة التي سيتم تنفيذها بموجب خطط إدارة إزالة المواد الهيدروكلوروفلوروكربونية. وسينتج </w:t>
      </w:r>
      <w:r w:rsidR="00E03DB3">
        <w:rPr>
          <w:rFonts w:hint="cs"/>
          <w:sz w:val="26"/>
          <w:szCs w:val="26"/>
          <w:rtl/>
        </w:rPr>
        <w:t>عن الجهود الإ</w:t>
      </w:r>
      <w:r>
        <w:rPr>
          <w:rFonts w:hint="cs"/>
          <w:sz w:val="26"/>
          <w:szCs w:val="26"/>
          <w:rtl/>
        </w:rPr>
        <w:t xml:space="preserve">ضافية اللازمة للتخفيض التدريجي للهيدروفلوروكربون زيادة في هذا التمويل، بينما سينتج </w:t>
      </w:r>
      <w:r w:rsidR="00E03DB3">
        <w:rPr>
          <w:rFonts w:hint="cs"/>
          <w:sz w:val="26"/>
          <w:szCs w:val="26"/>
          <w:rtl/>
        </w:rPr>
        <w:t>خفض في التمويل نتيجة ل</w:t>
      </w:r>
      <w:r>
        <w:rPr>
          <w:rFonts w:hint="cs"/>
          <w:sz w:val="26"/>
          <w:szCs w:val="26"/>
          <w:rtl/>
        </w:rPr>
        <w:t>فرص الاستفادة بالبنية التحتية القائمة والأنشطة الجارية في القطاع على النحو التالي:</w:t>
      </w:r>
    </w:p>
    <w:p w14:paraId="00E94239" w14:textId="77777777" w:rsidR="00E03DB3" w:rsidRDefault="00E03DB3" w:rsidP="00026C9A">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 xml:space="preserve">طبق عامل لزيادة مستوى التمويل الموافق عليه لخطط إدارة إزالة المواد الهيدروكلوروفلوروكربونية ليعكس المجموعة الأوسع نطاقا من المواد والخلائط التي سيتم تسجيلها، والإبلاغ عنها ورصدها، فضلا عن استردادها وإعادة تدويرها واستصلاحها؛ والمجموعة الأوسع من التطبيقات التي تستخدم المواد الهيدروفلوروكربونية؛ والحاجة إلى تقديم بناء القدرات والمساعدة التقنية لمعالجة المسائل المتعلقة بالسلامة المرتبطة بإدخال البدائل </w:t>
      </w:r>
      <w:r w:rsidR="00026C9A">
        <w:rPr>
          <w:rFonts w:hint="cs"/>
          <w:sz w:val="26"/>
          <w:szCs w:val="26"/>
          <w:rtl/>
        </w:rPr>
        <w:t>منخفضة</w:t>
      </w:r>
      <w:r>
        <w:rPr>
          <w:rFonts w:hint="cs"/>
          <w:sz w:val="26"/>
          <w:szCs w:val="26"/>
          <w:rtl/>
        </w:rPr>
        <w:t xml:space="preserve"> إمكانية </w:t>
      </w:r>
      <w:r w:rsidR="00026C9A">
        <w:rPr>
          <w:rFonts w:hint="cs"/>
          <w:sz w:val="26"/>
          <w:szCs w:val="26"/>
          <w:rtl/>
        </w:rPr>
        <w:t>ا</w:t>
      </w:r>
      <w:r>
        <w:rPr>
          <w:rFonts w:hint="cs"/>
          <w:sz w:val="26"/>
          <w:szCs w:val="26"/>
          <w:rtl/>
        </w:rPr>
        <w:t xml:space="preserve">لاحترار العالمي، بما في ذلك جملة أمور من بينها </w:t>
      </w:r>
      <w:r w:rsidR="00F80478">
        <w:rPr>
          <w:rFonts w:hint="cs"/>
          <w:sz w:val="26"/>
          <w:szCs w:val="26"/>
          <w:rtl/>
        </w:rPr>
        <w:t>التوس</w:t>
      </w:r>
      <w:r>
        <w:rPr>
          <w:rFonts w:hint="cs"/>
          <w:sz w:val="26"/>
          <w:szCs w:val="26"/>
          <w:rtl/>
        </w:rPr>
        <w:t xml:space="preserve">ع </w:t>
      </w:r>
      <w:r w:rsidR="00F80478">
        <w:rPr>
          <w:rFonts w:hint="cs"/>
          <w:sz w:val="26"/>
          <w:szCs w:val="26"/>
          <w:rtl/>
        </w:rPr>
        <w:t xml:space="preserve">في </w:t>
      </w:r>
      <w:r>
        <w:rPr>
          <w:rFonts w:hint="cs"/>
          <w:sz w:val="26"/>
          <w:szCs w:val="26"/>
          <w:rtl/>
        </w:rPr>
        <w:t>تدريب الفنيين وبرامج الترخ</w:t>
      </w:r>
      <w:r w:rsidR="00F80478">
        <w:rPr>
          <w:rFonts w:hint="cs"/>
          <w:sz w:val="26"/>
          <w:szCs w:val="26"/>
          <w:rtl/>
        </w:rPr>
        <w:t>يص، ومزيد من تعزيز مؤسسات التدر</w:t>
      </w:r>
      <w:r>
        <w:rPr>
          <w:rFonts w:hint="cs"/>
          <w:sz w:val="26"/>
          <w:szCs w:val="26"/>
          <w:rtl/>
        </w:rPr>
        <w:t>يب، وتقديم الأدوات ذات الصلة، واعتماد معايير إضافية وتدابير تنظيمية إضافية</w:t>
      </w:r>
      <w:r w:rsidR="00605315">
        <w:rPr>
          <w:rFonts w:hint="cs"/>
          <w:sz w:val="26"/>
          <w:szCs w:val="26"/>
          <w:rtl/>
        </w:rPr>
        <w:t>؛</w:t>
      </w:r>
    </w:p>
    <w:p w14:paraId="0F9E4440" w14:textId="77777777" w:rsidR="00E03DB3" w:rsidRDefault="00E03DB3" w:rsidP="0039024F">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 xml:space="preserve">طبق أيضا عامل ليعكس الوفورات في مستوى التمويل الموافق عليه لخطط إدارة إزالة المواد الهيدروكلوروفلوروكربونية ليأخذ في الحسبان البنية التحتية القائمة والشراكات المنشأة خلال هذه الخطط وحقيقة أن الكثير من الأنشطة الأولية المرتبطة بالتخفيض التدريجي للهيدروفلوروكربون يمكن أن تستعين بالمشروعات الجارية. فعلى سبيل المثال، </w:t>
      </w:r>
      <w:r w:rsidR="00026C9A">
        <w:rPr>
          <w:rFonts w:hint="cs"/>
          <w:sz w:val="26"/>
          <w:szCs w:val="26"/>
          <w:rtl/>
          <w:lang w:bidi="ar-EG"/>
        </w:rPr>
        <w:t xml:space="preserve">قد يحتاج التدريب على مناولة البدائل </w:t>
      </w:r>
      <w:r w:rsidR="00026C9A">
        <w:rPr>
          <w:rFonts w:hint="cs"/>
          <w:sz w:val="26"/>
          <w:szCs w:val="26"/>
          <w:rtl/>
        </w:rPr>
        <w:t xml:space="preserve">منخفضة إمكانية الاحترار </w:t>
      </w:r>
      <w:r w:rsidR="0039024F">
        <w:rPr>
          <w:rFonts w:hint="cs"/>
          <w:sz w:val="26"/>
          <w:szCs w:val="26"/>
          <w:rtl/>
        </w:rPr>
        <w:t>العالمي إلى تغطية عدد أكبر من الفنيين، ولكن</w:t>
      </w:r>
      <w:r w:rsidR="0039024F">
        <w:rPr>
          <w:rFonts w:hint="cs"/>
          <w:sz w:val="26"/>
          <w:szCs w:val="26"/>
          <w:rtl/>
          <w:lang w:bidi="ar-EG"/>
        </w:rPr>
        <w:t xml:space="preserve">ها </w:t>
      </w:r>
      <w:r w:rsidR="0039024F">
        <w:rPr>
          <w:rFonts w:hint="cs"/>
          <w:sz w:val="26"/>
          <w:szCs w:val="26"/>
          <w:rtl/>
          <w:lang w:val="en-US" w:bidi="ar-EG"/>
        </w:rPr>
        <w:t xml:space="preserve">منحت بالفعل إلى </w:t>
      </w:r>
      <w:r w:rsidR="0039024F">
        <w:rPr>
          <w:rFonts w:hint="cs"/>
          <w:sz w:val="26"/>
          <w:szCs w:val="26"/>
          <w:rtl/>
          <w:lang w:bidi="ar-EG"/>
        </w:rPr>
        <w:t>حد ما</w:t>
      </w:r>
      <w:r w:rsidR="0039024F">
        <w:rPr>
          <w:rFonts w:hint="cs"/>
          <w:sz w:val="26"/>
          <w:szCs w:val="26"/>
          <w:rtl/>
        </w:rPr>
        <w:t xml:space="preserve"> في معظم خطط إدارة إزالة المواد الهيدروكلوروفلوروكربونية؛ ويمكن توسيع نطاق الاسترداد وإعادة التدوير والبنية التحتية للاستصلاح المنشأة من خلال خطط إدارة إزالة المواد الهيدروكلوروفلوروكربونية</w:t>
      </w:r>
      <w:r w:rsidR="00F80478">
        <w:rPr>
          <w:rFonts w:hint="cs"/>
          <w:sz w:val="26"/>
          <w:szCs w:val="26"/>
          <w:rtl/>
        </w:rPr>
        <w:t>؛</w:t>
      </w:r>
      <w:r w:rsidR="0039024F">
        <w:rPr>
          <w:rFonts w:hint="cs"/>
          <w:sz w:val="26"/>
          <w:szCs w:val="26"/>
          <w:rtl/>
        </w:rPr>
        <w:t xml:space="preserve"> ويمكن توسيع نطاق وتحسين نظم ترخيص الفنيين المنشأة بالفعل من خلال خطط إدارة إزالة المواد الهيدروكلوروفلوروكربونية</w:t>
      </w:r>
      <w:r>
        <w:rPr>
          <w:rFonts w:hint="cs"/>
          <w:sz w:val="26"/>
          <w:szCs w:val="26"/>
          <w:rtl/>
        </w:rPr>
        <w:t>؛</w:t>
      </w:r>
    </w:p>
    <w:p w14:paraId="45ACFFED" w14:textId="77777777" w:rsidR="00B128B7" w:rsidRDefault="0039024F" w:rsidP="00F80478">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ستتطلب البلدان التي ينخفض فيها حجم الاستهلاك و</w:t>
      </w:r>
      <w:r w:rsidR="00F80478">
        <w:rPr>
          <w:rFonts w:hint="cs"/>
          <w:sz w:val="26"/>
          <w:szCs w:val="26"/>
          <w:rtl/>
        </w:rPr>
        <w:t xml:space="preserve">المجموعة 1 من </w:t>
      </w:r>
      <w:r>
        <w:rPr>
          <w:rFonts w:hint="cs"/>
          <w:sz w:val="26"/>
          <w:szCs w:val="26"/>
          <w:rtl/>
        </w:rPr>
        <w:t xml:space="preserve">البلدان التي لا ينخفض فيها حجم الاستهلاك جهودا إضافية خلال المرحلة الأولى من خطط تنفيذ تعديل كيغالي، مع ملاحظة أنه بالنسبة للبلدان التي يكون فيها بعض التصنيع أو لا يوجد فيها تصنيع، فإن معظم التخفيضات التي سيتم تحقيقها في الهيدروفلوروكربون في المرحلة الأولى من خططها لتنفيذ تعديل كيغالي ستحتاج إلى اتخاذها في قطاع خدمة التبريد، وأن التمويل المتاح من تنفيذ المراحل النهائية من خطط إدارة إزالة المواد الهيدروكلوروفلوروكربونية </w:t>
      </w:r>
      <w:r w:rsidR="00E47C5B">
        <w:rPr>
          <w:rFonts w:hint="cs"/>
          <w:sz w:val="26"/>
          <w:szCs w:val="26"/>
          <w:rtl/>
        </w:rPr>
        <w:t xml:space="preserve">في هذه البلدان هو أصغر عما هو في البلدان التي </w:t>
      </w:r>
      <w:r w:rsidR="00F80478">
        <w:rPr>
          <w:rFonts w:hint="cs"/>
          <w:sz w:val="26"/>
          <w:szCs w:val="26"/>
          <w:rtl/>
        </w:rPr>
        <w:t>ل</w:t>
      </w:r>
      <w:r w:rsidR="00E47C5B">
        <w:rPr>
          <w:rFonts w:hint="cs"/>
          <w:sz w:val="26"/>
          <w:szCs w:val="26"/>
          <w:rtl/>
        </w:rPr>
        <w:t>ديها استهلاك عالي من الهيدروكلوروفلوروكربون.</w:t>
      </w:r>
    </w:p>
    <w:p w14:paraId="18E300AD" w14:textId="77777777" w:rsidR="00605315" w:rsidRDefault="00E47C5B" w:rsidP="00B128B7">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وسيتم تنفيذ المراحل المستقبلية من خطط تنفيذ تعديل كيغالي في وقت تكون فيه المواد الهيدروكلوروفلوروكربونية قد تم إزالتها بالفعل، ولن تكون هناك أنشطة مشتركة للتنفيذ. وستحتاج طرائق ومستويات الأموال أن يتم تنقيحها في ذلك الوقت وفقا للظروف السائدة.</w:t>
      </w:r>
    </w:p>
    <w:p w14:paraId="579DB946" w14:textId="77777777" w:rsidR="00605315" w:rsidRDefault="00E47C5B" w:rsidP="00605315">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واستنادا إلى هذا التحليل، تقترح الأمانة مستويات تمويل حسب الفئة على النحو التالي وكما هو مبين في الجدول 2:</w:t>
      </w:r>
    </w:p>
    <w:p w14:paraId="58D996C2" w14:textId="77777777" w:rsidR="00E47C5B" w:rsidRDefault="00E47C5B" w:rsidP="00633F37">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 xml:space="preserve">المجموعة 1: </w:t>
      </w:r>
      <w:r w:rsidR="00AC46D7">
        <w:rPr>
          <w:rFonts w:hint="cs"/>
          <w:sz w:val="26"/>
          <w:szCs w:val="26"/>
          <w:rtl/>
        </w:rPr>
        <w:t xml:space="preserve">البلدان التي لا ينخفض فيها حجم الاستهلاك </w:t>
      </w:r>
      <w:r w:rsidR="00633F37">
        <w:rPr>
          <w:rFonts w:hint="cs"/>
          <w:sz w:val="26"/>
          <w:szCs w:val="26"/>
          <w:rtl/>
        </w:rPr>
        <w:t>مع</w:t>
      </w:r>
      <w:r w:rsidR="00AC46D7">
        <w:rPr>
          <w:rFonts w:hint="cs"/>
          <w:sz w:val="26"/>
          <w:szCs w:val="26"/>
          <w:rtl/>
        </w:rPr>
        <w:t xml:space="preserve"> استهلاك يبلغ </w:t>
      </w:r>
      <w:r w:rsidR="00AC46D7">
        <w:rPr>
          <w:sz w:val="26"/>
          <w:szCs w:val="26"/>
          <w:lang w:val="en-US"/>
        </w:rPr>
        <w:t>360</w:t>
      </w:r>
      <w:r w:rsidR="00AC46D7">
        <w:rPr>
          <w:rFonts w:hint="cs"/>
          <w:sz w:val="26"/>
          <w:szCs w:val="26"/>
          <w:rtl/>
        </w:rPr>
        <w:t xml:space="preserve"> إلى </w:t>
      </w:r>
      <w:r w:rsidR="00AC46D7">
        <w:rPr>
          <w:sz w:val="26"/>
          <w:szCs w:val="26"/>
          <w:lang w:val="en-US"/>
        </w:rPr>
        <w:t>1,800</w:t>
      </w:r>
      <w:r w:rsidR="00AC46D7">
        <w:rPr>
          <w:rFonts w:hint="cs"/>
          <w:sz w:val="26"/>
          <w:szCs w:val="26"/>
          <w:rtl/>
        </w:rPr>
        <w:t xml:space="preserve"> طن متري، مع وجود تصنيع أو عدم تصنيع.</w:t>
      </w:r>
      <w:r w:rsidR="00A86DC8">
        <w:rPr>
          <w:rFonts w:hint="cs"/>
          <w:sz w:val="26"/>
          <w:szCs w:val="26"/>
          <w:rtl/>
        </w:rPr>
        <w:t xml:space="preserve"> من المتوقع أن يتم الجزء الكبير من تخفيضات الهيدروفلوروكربون في المرحلة الأولى</w:t>
      </w:r>
      <w:r w:rsidR="00AC46D7">
        <w:rPr>
          <w:rFonts w:hint="cs"/>
          <w:sz w:val="26"/>
          <w:szCs w:val="26"/>
          <w:rtl/>
        </w:rPr>
        <w:t xml:space="preserve"> </w:t>
      </w:r>
      <w:r w:rsidR="00A86DC8">
        <w:rPr>
          <w:rFonts w:hint="cs"/>
          <w:sz w:val="26"/>
          <w:szCs w:val="26"/>
          <w:rtl/>
        </w:rPr>
        <w:t xml:space="preserve">لخطط تنفيذ تعديل كيغالي لهذه البلدان في قطاع خدمة التبريد؛ وبالتالي، سيكون مستوى الجهود والأنشطة اللازم في القطاع قريبا من ذلك المستوى الذي ستقوم به البلدان </w:t>
      </w:r>
      <w:r w:rsidR="00633F37">
        <w:rPr>
          <w:rFonts w:hint="cs"/>
          <w:sz w:val="26"/>
          <w:szCs w:val="26"/>
          <w:rtl/>
        </w:rPr>
        <w:t xml:space="preserve">التي ينخفض فيها حجم الاستهلاك. </w:t>
      </w:r>
      <w:r w:rsidR="00A86DC8">
        <w:rPr>
          <w:rFonts w:hint="cs"/>
          <w:sz w:val="26"/>
          <w:szCs w:val="26"/>
          <w:rtl/>
        </w:rPr>
        <w:t xml:space="preserve">وتكون مستويات التمويل التي تحصل عليه البلدان في المجموعة </w:t>
      </w:r>
      <w:r w:rsidR="00633F37">
        <w:rPr>
          <w:rFonts w:hint="cs"/>
          <w:sz w:val="26"/>
          <w:szCs w:val="26"/>
          <w:rtl/>
        </w:rPr>
        <w:t>1</w:t>
      </w:r>
      <w:r w:rsidR="00A86DC8">
        <w:rPr>
          <w:rFonts w:hint="cs"/>
          <w:sz w:val="26"/>
          <w:szCs w:val="26"/>
          <w:rtl/>
        </w:rPr>
        <w:t xml:space="preserve"> لتنفيذ المراحل الأخيرة من خططها لإدارة إزالة المواد الهيدروكلوروفلوروكربونية أعلى </w:t>
      </w:r>
      <w:r w:rsidR="00633F37">
        <w:rPr>
          <w:rFonts w:hint="cs"/>
          <w:sz w:val="26"/>
          <w:szCs w:val="26"/>
          <w:rtl/>
        </w:rPr>
        <w:t>م</w:t>
      </w:r>
      <w:r w:rsidR="00A86DC8">
        <w:rPr>
          <w:rFonts w:hint="cs"/>
          <w:sz w:val="26"/>
          <w:szCs w:val="26"/>
          <w:rtl/>
        </w:rPr>
        <w:t xml:space="preserve">ن تلك المستويات في البلدان التي ينخفض فيها حجم الاستهلاك، ولكنه ليس أعلى </w:t>
      </w:r>
      <w:r w:rsidR="00633F37">
        <w:rPr>
          <w:rFonts w:hint="cs"/>
          <w:sz w:val="26"/>
          <w:szCs w:val="26"/>
          <w:rtl/>
        </w:rPr>
        <w:t>م</w:t>
      </w:r>
      <w:r w:rsidR="00A86DC8">
        <w:rPr>
          <w:rFonts w:hint="cs"/>
          <w:sz w:val="26"/>
          <w:szCs w:val="26"/>
          <w:rtl/>
        </w:rPr>
        <w:t xml:space="preserve">ن المجموعات الأخرى للبلدان التي لا ينخفض فيها حجم الاستهلاك. واستنادا إلى الاستهلاك المتبقي للهيدروكلوروفلوروكربون في قطاع الخدمة، يمكن أن يتراوح مستوى الأموال لخطط إدارة إزالة المواد الهيدروكلوروفلوروكربونية للخدمة للبلدان في هذه المجموعة حتى </w:t>
      </w:r>
      <w:r w:rsidR="00A86DC8">
        <w:rPr>
          <w:sz w:val="26"/>
          <w:szCs w:val="26"/>
          <w:lang w:val="en-US"/>
        </w:rPr>
        <w:t>187,000</w:t>
      </w:r>
      <w:r w:rsidR="00A86DC8">
        <w:rPr>
          <w:rFonts w:hint="cs"/>
          <w:sz w:val="26"/>
          <w:szCs w:val="26"/>
          <w:rtl/>
        </w:rPr>
        <w:t xml:space="preserve"> دولارا أمريكيا وحتى </w:t>
      </w:r>
      <w:r w:rsidR="00A86DC8">
        <w:rPr>
          <w:sz w:val="26"/>
          <w:szCs w:val="26"/>
          <w:lang w:val="en-US"/>
        </w:rPr>
        <w:t>6.9</w:t>
      </w:r>
      <w:r w:rsidR="00A86DC8">
        <w:rPr>
          <w:rFonts w:hint="cs"/>
          <w:sz w:val="26"/>
          <w:szCs w:val="26"/>
          <w:rtl/>
        </w:rPr>
        <w:t xml:space="preserve"> مليون دولار أمريكي مع متوسط قدره </w:t>
      </w:r>
      <w:r w:rsidR="00A86DC8">
        <w:rPr>
          <w:sz w:val="26"/>
          <w:szCs w:val="26"/>
          <w:lang w:val="en-US"/>
        </w:rPr>
        <w:t>1.9</w:t>
      </w:r>
      <w:r w:rsidR="00633F37">
        <w:rPr>
          <w:rFonts w:hint="cs"/>
          <w:sz w:val="26"/>
          <w:szCs w:val="26"/>
          <w:rtl/>
          <w:lang w:val="en-US" w:bidi="ar-EG"/>
        </w:rPr>
        <w:t xml:space="preserve"> </w:t>
      </w:r>
      <w:r w:rsidR="00A86DC8">
        <w:rPr>
          <w:rFonts w:hint="cs"/>
          <w:sz w:val="26"/>
          <w:szCs w:val="26"/>
          <w:rtl/>
          <w:lang w:val="en-US" w:bidi="ar-EG"/>
        </w:rPr>
        <w:t xml:space="preserve">مليون دولار أمريكي لكل بلد. ويبلغ مستوى التمويل المقترح للمرحلة الأولى من خطط تنفيذ تعديل كيغالي لهذه المجموعة </w:t>
      </w:r>
      <w:r w:rsidR="00A86DC8">
        <w:rPr>
          <w:sz w:val="26"/>
          <w:szCs w:val="26"/>
          <w:lang w:val="en-US" w:bidi="ar-EG"/>
        </w:rPr>
        <w:t>4.80</w:t>
      </w:r>
      <w:r w:rsidR="00A86DC8">
        <w:rPr>
          <w:rFonts w:hint="cs"/>
          <w:sz w:val="26"/>
          <w:szCs w:val="26"/>
          <w:rtl/>
          <w:lang w:val="en-US" w:bidi="ar-EG"/>
        </w:rPr>
        <w:t xml:space="preserve"> دولارات أمريكية للكيلوغرام، وهو مشابه لمستوى التمويل الموافق عليه بموجب خططها لإدارة إزالة المواد الهيدروكلوروفلوروكربونية؛</w:t>
      </w:r>
    </w:p>
    <w:p w14:paraId="2E7972A2" w14:textId="77777777" w:rsidR="00E47C5B" w:rsidRDefault="00E47C5B" w:rsidP="00115341">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 xml:space="preserve">المجموعة 2: </w:t>
      </w:r>
      <w:r w:rsidR="00A86DC8">
        <w:rPr>
          <w:rFonts w:hint="cs"/>
          <w:sz w:val="26"/>
          <w:szCs w:val="26"/>
          <w:rtl/>
        </w:rPr>
        <w:t xml:space="preserve">البلدان التي لديها استهلاك يبلغ </w:t>
      </w:r>
      <w:r w:rsidR="00A86DC8">
        <w:rPr>
          <w:sz w:val="26"/>
          <w:szCs w:val="26"/>
          <w:lang w:val="en-US"/>
        </w:rPr>
        <w:t>1,800</w:t>
      </w:r>
      <w:r w:rsidR="00A86DC8">
        <w:rPr>
          <w:rFonts w:hint="cs"/>
          <w:sz w:val="26"/>
          <w:szCs w:val="26"/>
          <w:rtl/>
          <w:lang w:val="en-US" w:bidi="ar-EG"/>
        </w:rPr>
        <w:t xml:space="preserve"> إلى </w:t>
      </w:r>
      <w:r w:rsidR="00A86DC8">
        <w:rPr>
          <w:sz w:val="26"/>
          <w:szCs w:val="26"/>
          <w:lang w:val="en-US" w:bidi="ar-EG"/>
        </w:rPr>
        <w:t>8,000</w:t>
      </w:r>
      <w:r w:rsidR="00A86DC8">
        <w:rPr>
          <w:rFonts w:hint="cs"/>
          <w:sz w:val="26"/>
          <w:szCs w:val="26"/>
          <w:rtl/>
        </w:rPr>
        <w:t xml:space="preserve"> طن متري، التي لا يوجد لديها استهلاك للهيدروكل</w:t>
      </w:r>
      <w:r w:rsidR="00633F37">
        <w:rPr>
          <w:rFonts w:hint="cs"/>
          <w:sz w:val="26"/>
          <w:szCs w:val="26"/>
          <w:rtl/>
        </w:rPr>
        <w:t>وروفلوروكربون في قطاعات التصنيع</w:t>
      </w:r>
      <w:r w:rsidR="00A86DC8">
        <w:rPr>
          <w:rFonts w:hint="cs"/>
          <w:sz w:val="26"/>
          <w:szCs w:val="26"/>
          <w:rtl/>
        </w:rPr>
        <w:t>، والتي يتوقع أن يكون لديها استهلاك للهيدروفلوروكربون في هذه القطاعات. و</w:t>
      </w:r>
      <w:r w:rsidR="007B4F21">
        <w:rPr>
          <w:rFonts w:hint="cs"/>
          <w:sz w:val="26"/>
          <w:szCs w:val="26"/>
          <w:rtl/>
        </w:rPr>
        <w:t>ستتمتع هذه البلدان بفرص أك</w:t>
      </w:r>
      <w:r w:rsidR="00633F37">
        <w:rPr>
          <w:rFonts w:hint="cs"/>
          <w:sz w:val="26"/>
          <w:szCs w:val="26"/>
          <w:rtl/>
        </w:rPr>
        <w:t>ث</w:t>
      </w:r>
      <w:r w:rsidR="007B4F21">
        <w:rPr>
          <w:rFonts w:hint="cs"/>
          <w:sz w:val="26"/>
          <w:szCs w:val="26"/>
          <w:rtl/>
        </w:rPr>
        <w:t xml:space="preserve">ر عن البلدان التي ينخفض فيها حجم الاستهلاك والبلدان التي لا ينخفض فيها حجم الاستهلاك في المجموعة </w:t>
      </w:r>
      <w:r w:rsidR="00633F37">
        <w:rPr>
          <w:rFonts w:hint="cs"/>
          <w:sz w:val="26"/>
          <w:szCs w:val="26"/>
          <w:rtl/>
        </w:rPr>
        <w:t>1</w:t>
      </w:r>
      <w:r w:rsidR="007B4F21">
        <w:rPr>
          <w:rFonts w:hint="cs"/>
          <w:sz w:val="26"/>
          <w:szCs w:val="26"/>
          <w:rtl/>
        </w:rPr>
        <w:t xml:space="preserve"> لتحقيق التخفيضات خلال المرحلة الأولى من خططها لتنفيذ تعديل كيغالي مع استراتيجيات مجمعة يمكن أن تتضمن أنشطة في قطاعات التصنيع والخدمة. وجميع البلدان في هذه المجموعة </w:t>
      </w:r>
      <w:r>
        <w:rPr>
          <w:rFonts w:hint="cs"/>
          <w:sz w:val="26"/>
          <w:szCs w:val="26"/>
          <w:rtl/>
        </w:rPr>
        <w:t>(</w:t>
      </w:r>
      <w:r w:rsidR="007B4F21">
        <w:rPr>
          <w:rFonts w:hint="cs"/>
          <w:sz w:val="26"/>
          <w:szCs w:val="26"/>
          <w:rtl/>
        </w:rPr>
        <w:t>ب</w:t>
      </w:r>
      <w:r>
        <w:rPr>
          <w:rFonts w:hint="cs"/>
          <w:sz w:val="26"/>
          <w:szCs w:val="26"/>
          <w:rtl/>
        </w:rPr>
        <w:t xml:space="preserve">استثناء </w:t>
      </w:r>
      <w:r w:rsidR="007B4F21">
        <w:rPr>
          <w:rFonts w:hint="cs"/>
          <w:sz w:val="26"/>
          <w:szCs w:val="26"/>
          <w:rtl/>
        </w:rPr>
        <w:t xml:space="preserve">بلد </w:t>
      </w:r>
      <w:r>
        <w:rPr>
          <w:rFonts w:hint="cs"/>
          <w:sz w:val="26"/>
          <w:szCs w:val="26"/>
          <w:rtl/>
        </w:rPr>
        <w:t>واحد)</w:t>
      </w:r>
      <w:r>
        <w:rPr>
          <w:rStyle w:val="FootnoteReference"/>
          <w:sz w:val="26"/>
          <w:szCs w:val="26"/>
          <w:rtl/>
        </w:rPr>
        <w:footnoteReference w:id="5"/>
      </w:r>
      <w:r w:rsidR="007B4F21">
        <w:rPr>
          <w:rFonts w:hint="cs"/>
          <w:sz w:val="26"/>
          <w:szCs w:val="26"/>
          <w:rtl/>
        </w:rPr>
        <w:t xml:space="preserve"> </w:t>
      </w:r>
      <w:r w:rsidR="00633F37">
        <w:rPr>
          <w:rFonts w:hint="cs"/>
          <w:sz w:val="26"/>
          <w:szCs w:val="26"/>
          <w:rtl/>
        </w:rPr>
        <w:t>ستقد</w:t>
      </w:r>
      <w:r w:rsidR="007B4F21">
        <w:rPr>
          <w:rFonts w:hint="cs"/>
          <w:sz w:val="26"/>
          <w:szCs w:val="26"/>
          <w:rtl/>
        </w:rPr>
        <w:t>م المراحل النهائية لخططها لإدارة إزالة المواد الهيدروكلوروفلوروكربونية في السنوات القليلة القادمة، التي ستكون م</w:t>
      </w:r>
      <w:r w:rsidR="007D1468">
        <w:rPr>
          <w:rFonts w:hint="cs"/>
          <w:sz w:val="26"/>
          <w:szCs w:val="26"/>
          <w:rtl/>
        </w:rPr>
        <w:t>ح</w:t>
      </w:r>
      <w:r w:rsidR="007B4F21">
        <w:rPr>
          <w:rFonts w:hint="cs"/>
          <w:sz w:val="26"/>
          <w:szCs w:val="26"/>
          <w:rtl/>
        </w:rPr>
        <w:t>صورة في مع</w:t>
      </w:r>
      <w:r w:rsidR="00633F37">
        <w:rPr>
          <w:rFonts w:hint="cs"/>
          <w:sz w:val="26"/>
          <w:szCs w:val="26"/>
          <w:rtl/>
        </w:rPr>
        <w:t>ظم</w:t>
      </w:r>
      <w:r w:rsidR="007B4F21">
        <w:rPr>
          <w:rFonts w:hint="cs"/>
          <w:sz w:val="26"/>
          <w:szCs w:val="26"/>
          <w:rtl/>
        </w:rPr>
        <w:t xml:space="preserve">ها على قطاع خدمة التبريد. ومع مستويات التمويل التي ستحصل عليها البلدان في المجموعة </w:t>
      </w:r>
      <w:r w:rsidR="00115341">
        <w:rPr>
          <w:rFonts w:hint="cs"/>
          <w:sz w:val="26"/>
          <w:szCs w:val="26"/>
          <w:rtl/>
        </w:rPr>
        <w:t>2</w:t>
      </w:r>
      <w:r w:rsidR="007B4F21">
        <w:rPr>
          <w:rFonts w:hint="cs"/>
          <w:sz w:val="26"/>
          <w:szCs w:val="26"/>
          <w:rtl/>
        </w:rPr>
        <w:t xml:space="preserve"> لتنفيذ المراحل الأخيرة من خططها لإدارة إزالة المواد الهيدروكلوروفلوروكربونية ستكون أعلى </w:t>
      </w:r>
      <w:r w:rsidR="00633F37">
        <w:rPr>
          <w:rFonts w:hint="cs"/>
          <w:sz w:val="26"/>
          <w:szCs w:val="26"/>
          <w:rtl/>
        </w:rPr>
        <w:t>بكثير عن تلك الأموال الم</w:t>
      </w:r>
      <w:r w:rsidR="007B4F21">
        <w:rPr>
          <w:rFonts w:hint="cs"/>
          <w:sz w:val="26"/>
          <w:szCs w:val="26"/>
          <w:rtl/>
        </w:rPr>
        <w:t xml:space="preserve">تلقاة من البلدان في المجموعة 1، سيكون أمام البلدان في المجموعة 2 فرص أكثر للاستفادة من البنية التحتية والأنشطة التي نفذت بموجب خططها لإدارة إزالة المواد الهيدروكلوروفلوروكربونية. واستنادا إلى الاستهلاك المتبقي للهيدروكلوروفلوروكربون في قطاع الخدمة، يمكن أن يتراوح مستوى التمويل الذي سيتم الموافقة عليه لقطاع الخدمة بموجب خطط إدارة إزالة المواد الهيدروكلوروفلوروكربونية للبلدان في هذه المجموعة حتى </w:t>
      </w:r>
      <w:r w:rsidR="007B4F21">
        <w:rPr>
          <w:sz w:val="26"/>
          <w:szCs w:val="26"/>
          <w:lang w:val="en-US"/>
        </w:rPr>
        <w:t>3</w:t>
      </w:r>
      <w:r w:rsidR="007B4F21">
        <w:rPr>
          <w:rFonts w:hint="cs"/>
          <w:sz w:val="26"/>
          <w:szCs w:val="26"/>
          <w:rtl/>
        </w:rPr>
        <w:t xml:space="preserve"> ملايين دولار أمريكي وحتى </w:t>
      </w:r>
      <w:r w:rsidR="007B4F21">
        <w:rPr>
          <w:sz w:val="26"/>
          <w:szCs w:val="26"/>
          <w:lang w:val="en-US"/>
        </w:rPr>
        <w:t>22</w:t>
      </w:r>
      <w:r w:rsidR="007B4F21">
        <w:rPr>
          <w:rFonts w:hint="cs"/>
          <w:sz w:val="26"/>
          <w:szCs w:val="26"/>
          <w:rtl/>
        </w:rPr>
        <w:t xml:space="preserve"> مليون دولار أمريكي، مع متوسط قدره </w:t>
      </w:r>
      <w:r w:rsidR="007B4F21">
        <w:rPr>
          <w:sz w:val="26"/>
          <w:szCs w:val="26"/>
          <w:lang w:val="en-US"/>
        </w:rPr>
        <w:t>10</w:t>
      </w:r>
      <w:r w:rsidR="007B4F21">
        <w:rPr>
          <w:rFonts w:hint="cs"/>
          <w:sz w:val="26"/>
          <w:szCs w:val="26"/>
          <w:rtl/>
          <w:lang w:val="en-US"/>
        </w:rPr>
        <w:t xml:space="preserve"> ملايين دولار أمريكي لكل بلد.</w:t>
      </w:r>
      <w:r w:rsidR="007B4F21">
        <w:rPr>
          <w:rFonts w:hint="cs"/>
          <w:sz w:val="26"/>
          <w:szCs w:val="26"/>
          <w:rtl/>
          <w:lang w:bidi="ar-EG"/>
        </w:rPr>
        <w:t xml:space="preserve"> وتم احتساب مستوى التمويل للمرحلة الأولى من خطط تنفيذ تعديل كيغالي لهذه المجموعة عند </w:t>
      </w:r>
      <w:r w:rsidR="007B4F21">
        <w:rPr>
          <w:sz w:val="26"/>
          <w:szCs w:val="26"/>
          <w:lang w:val="en-US" w:bidi="ar-EG"/>
        </w:rPr>
        <w:t>4.80</w:t>
      </w:r>
      <w:r w:rsidR="007B4F21">
        <w:rPr>
          <w:rFonts w:hint="cs"/>
          <w:sz w:val="26"/>
          <w:szCs w:val="26"/>
          <w:rtl/>
          <w:lang w:val="en-US" w:bidi="ar-EG"/>
        </w:rPr>
        <w:t xml:space="preserve"> دولارات أمريكية للكيلوغرام بالنسبة لأول </w:t>
      </w:r>
      <w:r w:rsidR="007B4F21">
        <w:rPr>
          <w:sz w:val="26"/>
          <w:szCs w:val="26"/>
          <w:lang w:val="en-US" w:bidi="ar-EG"/>
        </w:rPr>
        <w:t>1,800</w:t>
      </w:r>
      <w:r w:rsidR="007B4F21">
        <w:rPr>
          <w:rFonts w:hint="cs"/>
          <w:sz w:val="26"/>
          <w:szCs w:val="26"/>
          <w:rtl/>
          <w:lang w:val="en-US" w:bidi="ar-EG"/>
        </w:rPr>
        <w:t xml:space="preserve"> طن متري، زائد </w:t>
      </w:r>
      <w:r w:rsidR="007B4F21">
        <w:rPr>
          <w:sz w:val="26"/>
          <w:szCs w:val="26"/>
          <w:lang w:val="en-US" w:bidi="ar-EG"/>
        </w:rPr>
        <w:t>4.00</w:t>
      </w:r>
      <w:r w:rsidR="007B4F21">
        <w:rPr>
          <w:rFonts w:hint="cs"/>
          <w:sz w:val="26"/>
          <w:szCs w:val="26"/>
          <w:rtl/>
          <w:lang w:val="en-US" w:bidi="ar-EG"/>
        </w:rPr>
        <w:t xml:space="preserve"> دولارات أمريكية </w:t>
      </w:r>
      <w:r w:rsidR="00115341">
        <w:rPr>
          <w:rFonts w:hint="cs"/>
          <w:sz w:val="26"/>
          <w:szCs w:val="26"/>
          <w:rtl/>
          <w:lang w:val="en-US" w:bidi="ar-EG"/>
        </w:rPr>
        <w:t xml:space="preserve">للكيلوغرام </w:t>
      </w:r>
      <w:r w:rsidR="007B4F21">
        <w:rPr>
          <w:rFonts w:hint="cs"/>
          <w:sz w:val="26"/>
          <w:szCs w:val="26"/>
          <w:rtl/>
          <w:lang w:val="en-US" w:bidi="ar-EG"/>
        </w:rPr>
        <w:t xml:space="preserve">لكل استهلاك إضافي أعلى من </w:t>
      </w:r>
      <w:r w:rsidR="007B4F21">
        <w:rPr>
          <w:sz w:val="26"/>
          <w:szCs w:val="26"/>
          <w:lang w:val="en-US" w:bidi="ar-EG"/>
        </w:rPr>
        <w:t>1,800</w:t>
      </w:r>
      <w:r w:rsidR="007B4F21">
        <w:rPr>
          <w:rFonts w:hint="cs"/>
          <w:sz w:val="26"/>
          <w:szCs w:val="26"/>
          <w:rtl/>
          <w:lang w:val="en-US" w:bidi="ar-EG"/>
        </w:rPr>
        <w:t xml:space="preserve"> طن متري؛</w:t>
      </w:r>
    </w:p>
    <w:p w14:paraId="042F88BF" w14:textId="77777777" w:rsidR="00E47C5B" w:rsidRPr="00633F37" w:rsidRDefault="00E47C5B" w:rsidP="00115341">
      <w:pPr>
        <w:pStyle w:val="StyleHeader4Para4Left0Firstline0"/>
        <w:widowControl/>
        <w:numPr>
          <w:ilvl w:val="0"/>
          <w:numId w:val="27"/>
        </w:numPr>
        <w:tabs>
          <w:tab w:val="clear" w:pos="2880"/>
          <w:tab w:val="clear" w:pos="5760"/>
        </w:tabs>
        <w:bidi/>
        <w:ind w:left="1440" w:hanging="720"/>
        <w:rPr>
          <w:sz w:val="26"/>
          <w:szCs w:val="26"/>
        </w:rPr>
      </w:pPr>
      <w:r w:rsidRPr="00633F37">
        <w:rPr>
          <w:rFonts w:hint="cs"/>
          <w:sz w:val="26"/>
          <w:szCs w:val="26"/>
          <w:rtl/>
        </w:rPr>
        <w:t xml:space="preserve">المجموعة 3: </w:t>
      </w:r>
      <w:r w:rsidR="007D1468">
        <w:rPr>
          <w:rFonts w:hint="cs"/>
          <w:sz w:val="26"/>
          <w:szCs w:val="26"/>
          <w:rtl/>
        </w:rPr>
        <w:t xml:space="preserve">البلدان التي لديها استهلاك يبلغ </w:t>
      </w:r>
      <w:r w:rsidR="007D1468">
        <w:rPr>
          <w:sz w:val="26"/>
          <w:szCs w:val="26"/>
          <w:lang w:val="en-US"/>
        </w:rPr>
        <w:t>8,000</w:t>
      </w:r>
      <w:r w:rsidR="007D1468">
        <w:rPr>
          <w:rFonts w:hint="cs"/>
          <w:sz w:val="26"/>
          <w:szCs w:val="26"/>
          <w:rtl/>
          <w:lang w:val="en-US" w:bidi="ar-EG"/>
        </w:rPr>
        <w:t xml:space="preserve"> إلى </w:t>
      </w:r>
      <w:r w:rsidR="007D1468">
        <w:rPr>
          <w:sz w:val="26"/>
          <w:szCs w:val="26"/>
          <w:lang w:val="en-US" w:bidi="ar-EG"/>
        </w:rPr>
        <w:t>25,000</w:t>
      </w:r>
      <w:r w:rsidR="007D1468">
        <w:rPr>
          <w:rFonts w:hint="cs"/>
          <w:sz w:val="26"/>
          <w:szCs w:val="26"/>
          <w:rtl/>
          <w:lang w:val="en-US" w:bidi="ar-EG"/>
        </w:rPr>
        <w:t xml:space="preserve"> طن متري والتي لديها أو كان لديها استهلاك للهيدروكلوروفلوروكربون في قطاعات التصنيع، والتي يتوقع أن يكون لديها استهلاك كبير للهيدروفلوروكربون في هذه القطاعات. ستكون لهذه البلدان فرص أكثر عن البلدان في المجموعتين 1 و2 لتحقيق التخفيضات خلال المرحلة الأولى من خططها لتنفيذ تعديل كيغالي مع استراتيجيات مجمعة يمكن أن تشمل الأنشطة في قطاعات التصنيع والخدمة. وستقدم جميع البلدان في هذه المجموعة المراحل النهائية لخططها لإدارة إزالة المواد الهيدروكلوروفلوروكربونية في السنوات القليلة القادمة، </w:t>
      </w:r>
      <w:r w:rsidR="00115341">
        <w:rPr>
          <w:rFonts w:hint="cs"/>
          <w:sz w:val="26"/>
          <w:szCs w:val="26"/>
          <w:rtl/>
        </w:rPr>
        <w:t xml:space="preserve">التي ستكون محصورة في معظمها على قطاع خدمة التبريد. ومع مستويات التمويل التي ستحصل عليها البلدان في المجموعة 3 لتنفيذ المراحل الأخيرة من خططها لإدارة إزالة المواد الهيدروكلوروفلوروكربونية ستكون أعلى بكثير عن تلك الأموال المتلقاة من البلدان في المجموعة 2، سيكون أمام البلدان في المجموعة 3 فرص أكثر للاستفادة من البنية التحتية والأنشطة التي نفذت بموجب خططها لإدارة إزالة المواد الهيدروكلوروفلوروكربونية. واستنادا إلى استهلاك الهيدروكلوروفلوروكربون في قطاع الخدمة الذي لم يتم معالجته بعد، يمكن أن يتراوح مستوى التمويل الذي سيتم الموافقة عليه لقطاع الخدمة بموجب خطط إدارة إزالة المواد الهيدروكلوروفلوروكربونية للبلدان في هذه المجموعة حتى </w:t>
      </w:r>
      <w:r w:rsidR="00115341">
        <w:rPr>
          <w:rFonts w:hint="cs"/>
          <w:sz w:val="26"/>
          <w:szCs w:val="26"/>
          <w:rtl/>
          <w:lang w:val="en-US"/>
        </w:rPr>
        <w:t>22</w:t>
      </w:r>
      <w:r w:rsidR="00115341">
        <w:rPr>
          <w:rFonts w:hint="cs"/>
          <w:sz w:val="26"/>
          <w:szCs w:val="26"/>
          <w:rtl/>
        </w:rPr>
        <w:t xml:space="preserve"> مليون دولار أمريكي وحتى </w:t>
      </w:r>
      <w:r w:rsidR="00115341">
        <w:rPr>
          <w:sz w:val="26"/>
          <w:szCs w:val="26"/>
          <w:lang w:val="en-US"/>
        </w:rPr>
        <w:t>46</w:t>
      </w:r>
      <w:r w:rsidR="00115341">
        <w:rPr>
          <w:rFonts w:hint="cs"/>
          <w:sz w:val="26"/>
          <w:szCs w:val="26"/>
          <w:rtl/>
        </w:rPr>
        <w:t xml:space="preserve"> مليون دولار أمريكي لكل بلد، مع متوسط قدره </w:t>
      </w:r>
      <w:r w:rsidR="00115341">
        <w:rPr>
          <w:sz w:val="26"/>
          <w:szCs w:val="26"/>
          <w:lang w:val="en-US"/>
        </w:rPr>
        <w:t>36</w:t>
      </w:r>
      <w:r w:rsidR="00115341">
        <w:rPr>
          <w:rFonts w:hint="cs"/>
          <w:sz w:val="26"/>
          <w:szCs w:val="26"/>
          <w:rtl/>
          <w:lang w:val="en-US"/>
        </w:rPr>
        <w:t xml:space="preserve"> مليون دولار أمريكي لكل بلد.</w:t>
      </w:r>
      <w:r w:rsidR="00115341">
        <w:rPr>
          <w:rFonts w:hint="cs"/>
          <w:sz w:val="26"/>
          <w:szCs w:val="26"/>
          <w:rtl/>
          <w:lang w:bidi="ar-EG"/>
        </w:rPr>
        <w:t xml:space="preserve"> ونظرا للعدد الكبير من الأنشطة التي سيتم تنفيذها في قطاع الخدمة في هذه البلدان بالنسبة لإزالة المواد الهيدروكلوروفلوروكربونية خلال وقت المرحلة الأولى من خطط تنفيذ تعديل كيغالي، واقتصاديات الحجم التي يمكن تحقيقها لأن التمويل يرتبط بمستويات كبيرة للاستهلاك، تم احتساب مستوى التمويل للمرحلة الأولى من خطط تنفيذ تعديل كيغالي لهذه المجموعة عند </w:t>
      </w:r>
      <w:r w:rsidR="00115341">
        <w:rPr>
          <w:sz w:val="26"/>
          <w:szCs w:val="26"/>
          <w:lang w:val="en-US" w:bidi="ar-EG"/>
        </w:rPr>
        <w:t>4.80</w:t>
      </w:r>
      <w:r w:rsidR="00115341">
        <w:rPr>
          <w:rFonts w:hint="cs"/>
          <w:sz w:val="26"/>
          <w:szCs w:val="26"/>
          <w:rtl/>
          <w:lang w:val="en-US" w:bidi="ar-EG"/>
        </w:rPr>
        <w:t xml:space="preserve"> دولارات أمريكية للكيلوغرام بالنسبة لأول </w:t>
      </w:r>
      <w:r w:rsidR="00115341">
        <w:rPr>
          <w:sz w:val="26"/>
          <w:szCs w:val="26"/>
          <w:lang w:val="en-US" w:bidi="ar-EG"/>
        </w:rPr>
        <w:t>1,800</w:t>
      </w:r>
      <w:r w:rsidR="00115341">
        <w:rPr>
          <w:rFonts w:hint="cs"/>
          <w:sz w:val="26"/>
          <w:szCs w:val="26"/>
          <w:rtl/>
          <w:lang w:val="en-US" w:bidi="ar-EG"/>
        </w:rPr>
        <w:t xml:space="preserve"> طن متري، زائد </w:t>
      </w:r>
      <w:r w:rsidR="00115341">
        <w:rPr>
          <w:sz w:val="26"/>
          <w:szCs w:val="26"/>
          <w:lang w:val="en-US" w:bidi="ar-EG"/>
        </w:rPr>
        <w:t>4.00</w:t>
      </w:r>
      <w:r w:rsidR="00115341">
        <w:rPr>
          <w:rFonts w:hint="cs"/>
          <w:sz w:val="26"/>
          <w:szCs w:val="26"/>
          <w:rtl/>
          <w:lang w:val="en-US" w:bidi="ar-EG"/>
        </w:rPr>
        <w:t xml:space="preserve"> دولارات أمريكية للكيلوغرام لكل استهلاك إضافي أعلى من </w:t>
      </w:r>
      <w:r w:rsidR="00115341">
        <w:rPr>
          <w:sz w:val="26"/>
          <w:szCs w:val="26"/>
          <w:lang w:val="en-US" w:bidi="ar-EG"/>
        </w:rPr>
        <w:t>8,000</w:t>
      </w:r>
      <w:r w:rsidR="00115341">
        <w:rPr>
          <w:rFonts w:hint="cs"/>
          <w:sz w:val="26"/>
          <w:szCs w:val="26"/>
          <w:rtl/>
          <w:lang w:val="en-US" w:bidi="ar-EG"/>
        </w:rPr>
        <w:t xml:space="preserve"> طن متري</w:t>
      </w:r>
    </w:p>
    <w:p w14:paraId="2E9DBD56" w14:textId="77777777" w:rsidR="00605315" w:rsidRDefault="00E47C5B" w:rsidP="00E47C5B">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المجموعة 4: سيتم النظر في البلدان في هذه المجموعة على أساس كل حالة على حدة.</w:t>
      </w:r>
    </w:p>
    <w:p w14:paraId="74755DB0" w14:textId="77777777" w:rsidR="00605315" w:rsidRDefault="00E47C5B" w:rsidP="00F04C6A">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ويتجنب النموذج أعلاه الانخفاضات الكبيرة في التمويل التي يمكن أن تتم بين المجموعات إذا كانت مستويات التمويل مستندة إلى قيمة جدوى تكلفة فريدة لكل مجموعة. فعلى سبيل المثال، إذا كان مستوى التمويل لبلد في المجموعة 2 لديه استهلاك قدره </w:t>
      </w:r>
      <w:r>
        <w:rPr>
          <w:sz w:val="26"/>
          <w:szCs w:val="26"/>
          <w:lang w:val="en-US"/>
        </w:rPr>
        <w:t>1,810</w:t>
      </w:r>
      <w:r>
        <w:rPr>
          <w:rFonts w:hint="cs"/>
          <w:sz w:val="26"/>
          <w:szCs w:val="26"/>
          <w:rtl/>
          <w:lang w:val="en-US" w:bidi="ar-EG"/>
        </w:rPr>
        <w:t xml:space="preserve"> طن متري قد تم حسابه ببساطة عند </w:t>
      </w:r>
      <w:r>
        <w:rPr>
          <w:sz w:val="26"/>
          <w:szCs w:val="26"/>
          <w:lang w:val="en-US" w:bidi="ar-EG"/>
        </w:rPr>
        <w:t>4.00</w:t>
      </w:r>
      <w:r>
        <w:rPr>
          <w:rFonts w:hint="cs"/>
          <w:sz w:val="26"/>
          <w:szCs w:val="26"/>
          <w:rtl/>
          <w:lang w:val="en-US" w:bidi="ar-EG"/>
        </w:rPr>
        <w:t xml:space="preserve"> دولارات أمريكية للكيلوغرام،</w:t>
      </w:r>
      <w:r w:rsidR="006F1DA4">
        <w:rPr>
          <w:rFonts w:hint="cs"/>
          <w:sz w:val="26"/>
          <w:szCs w:val="26"/>
          <w:rtl/>
          <w:lang w:val="en-US" w:bidi="ar-EG"/>
        </w:rPr>
        <w:t xml:space="preserve"> </w:t>
      </w:r>
      <w:r>
        <w:rPr>
          <w:rFonts w:hint="cs"/>
          <w:sz w:val="26"/>
          <w:szCs w:val="26"/>
          <w:rtl/>
          <w:lang w:bidi="ar-EG"/>
        </w:rPr>
        <w:t xml:space="preserve">فإن البلد سيتلقى </w:t>
      </w:r>
      <w:r>
        <w:rPr>
          <w:sz w:val="26"/>
          <w:szCs w:val="26"/>
          <w:lang w:val="en-US" w:bidi="ar-EG"/>
        </w:rPr>
        <w:t>724,000</w:t>
      </w:r>
      <w:r>
        <w:rPr>
          <w:rFonts w:hint="cs"/>
          <w:sz w:val="26"/>
          <w:szCs w:val="26"/>
          <w:rtl/>
          <w:lang w:val="en-US" w:bidi="ar-EG"/>
        </w:rPr>
        <w:t xml:space="preserve"> دولارا أمريكيا، بينما سيتلقى بلد في المجموعة 1 لديه استهلاك أقل قدره </w:t>
      </w:r>
      <w:r>
        <w:rPr>
          <w:sz w:val="26"/>
          <w:szCs w:val="26"/>
          <w:lang w:val="en-US" w:bidi="ar-EG"/>
        </w:rPr>
        <w:t>1,790</w:t>
      </w:r>
      <w:r>
        <w:rPr>
          <w:rFonts w:hint="cs"/>
          <w:sz w:val="26"/>
          <w:szCs w:val="26"/>
          <w:rtl/>
          <w:lang w:val="en-US" w:bidi="ar-EG"/>
        </w:rPr>
        <w:t xml:space="preserve"> </w:t>
      </w:r>
      <w:r w:rsidR="001A4F85">
        <w:rPr>
          <w:rFonts w:hint="cs"/>
          <w:sz w:val="26"/>
          <w:szCs w:val="26"/>
          <w:rtl/>
          <w:lang w:val="en-US" w:bidi="ar-EG"/>
        </w:rPr>
        <w:t xml:space="preserve">طن متري قيمة أعلى قدرها </w:t>
      </w:r>
      <w:r w:rsidR="001A4F85">
        <w:rPr>
          <w:sz w:val="26"/>
          <w:szCs w:val="26"/>
          <w:lang w:val="en-US" w:bidi="ar-EG"/>
        </w:rPr>
        <w:t>859,200</w:t>
      </w:r>
      <w:r w:rsidR="001A4F85">
        <w:rPr>
          <w:rFonts w:hint="cs"/>
          <w:sz w:val="26"/>
          <w:szCs w:val="26"/>
          <w:rtl/>
          <w:lang w:val="en-US" w:bidi="ar-EG"/>
        </w:rPr>
        <w:t xml:space="preserve"> دولارا أمريكيا عند </w:t>
      </w:r>
      <w:r w:rsidR="001A4F85">
        <w:rPr>
          <w:sz w:val="26"/>
          <w:szCs w:val="26"/>
          <w:lang w:val="en-US" w:bidi="ar-EG"/>
        </w:rPr>
        <w:t>4.80</w:t>
      </w:r>
      <w:r w:rsidR="001A4F85">
        <w:rPr>
          <w:rFonts w:hint="cs"/>
          <w:sz w:val="26"/>
          <w:szCs w:val="26"/>
          <w:rtl/>
          <w:lang w:val="en-US" w:bidi="ar-EG"/>
        </w:rPr>
        <w:t xml:space="preserve"> دولارا</w:t>
      </w:r>
      <w:r w:rsidR="00F04C6A">
        <w:rPr>
          <w:rFonts w:hint="cs"/>
          <w:sz w:val="26"/>
          <w:szCs w:val="26"/>
          <w:rtl/>
          <w:lang w:val="en-US" w:bidi="ar-EG"/>
        </w:rPr>
        <w:t>ت</w:t>
      </w:r>
      <w:r w:rsidR="001A4F85">
        <w:rPr>
          <w:rFonts w:hint="cs"/>
          <w:sz w:val="26"/>
          <w:szCs w:val="26"/>
          <w:rtl/>
          <w:lang w:val="en-US" w:bidi="ar-EG"/>
        </w:rPr>
        <w:t xml:space="preserve"> أمريكي</w:t>
      </w:r>
      <w:r w:rsidR="00F04C6A">
        <w:rPr>
          <w:rFonts w:hint="cs"/>
          <w:sz w:val="26"/>
          <w:szCs w:val="26"/>
          <w:rtl/>
          <w:lang w:val="en-US" w:bidi="ar-EG"/>
        </w:rPr>
        <w:t>ة</w:t>
      </w:r>
      <w:r w:rsidR="001A4F85">
        <w:rPr>
          <w:rFonts w:hint="cs"/>
          <w:sz w:val="26"/>
          <w:szCs w:val="26"/>
          <w:rtl/>
          <w:lang w:val="en-US" w:bidi="ar-EG"/>
        </w:rPr>
        <w:t xml:space="preserve"> للكيلوغرام. ويرد في الجدول 2 مستويات التمويل المقترحة لمجموعات مختلفة من البلدان التي لا ينخفض فيها حجم الاستهلاك.</w:t>
      </w:r>
    </w:p>
    <w:p w14:paraId="559813C9" w14:textId="77777777" w:rsidR="00605315" w:rsidRDefault="001A4F85" w:rsidP="001A4F85">
      <w:pPr>
        <w:pStyle w:val="StyleHeader4Para4Left0Firstline0"/>
        <w:widowControl/>
        <w:numPr>
          <w:ilvl w:val="0"/>
          <w:numId w:val="0"/>
        </w:numPr>
        <w:tabs>
          <w:tab w:val="clear" w:pos="2880"/>
          <w:tab w:val="clear" w:pos="5760"/>
        </w:tabs>
        <w:bidi/>
        <w:spacing w:after="0"/>
        <w:rPr>
          <w:sz w:val="24"/>
          <w:szCs w:val="24"/>
          <w:rtl/>
        </w:rPr>
      </w:pPr>
      <w:r>
        <w:rPr>
          <w:rFonts w:hint="cs"/>
          <w:b/>
          <w:bCs/>
          <w:sz w:val="24"/>
          <w:szCs w:val="24"/>
          <w:rtl/>
        </w:rPr>
        <w:t>الجدول 2. مستويات التمويل المقترحة للبلدان التي لا ينخفض فيها حجم الاستهلاك</w:t>
      </w:r>
    </w:p>
    <w:tbl>
      <w:tblPr>
        <w:tblStyle w:val="TableGrid"/>
        <w:bidiVisual/>
        <w:tblW w:w="5000" w:type="pct"/>
        <w:tblLook w:val="04A0" w:firstRow="1" w:lastRow="0" w:firstColumn="1" w:lastColumn="0" w:noHBand="0" w:noVBand="1"/>
      </w:tblPr>
      <w:tblGrid>
        <w:gridCol w:w="2009"/>
        <w:gridCol w:w="1036"/>
        <w:gridCol w:w="6531"/>
      </w:tblGrid>
      <w:tr w:rsidR="001A4F85" w:rsidRPr="006F2DC7" w14:paraId="76243D54" w14:textId="77777777" w:rsidTr="008A4564">
        <w:trPr>
          <w:trHeight w:val="717"/>
          <w:tblHeader/>
        </w:trPr>
        <w:tc>
          <w:tcPr>
            <w:tcW w:w="1049" w:type="pct"/>
            <w:vAlign w:val="center"/>
          </w:tcPr>
          <w:p w14:paraId="463BE0C2" w14:textId="77777777" w:rsidR="001A4F85" w:rsidRPr="00E1601C" w:rsidRDefault="001A4F85" w:rsidP="008A4564">
            <w:pPr>
              <w:pStyle w:val="Heading1"/>
              <w:numPr>
                <w:ilvl w:val="0"/>
                <w:numId w:val="0"/>
              </w:numPr>
              <w:bidi/>
              <w:spacing w:after="0"/>
              <w:jc w:val="center"/>
              <w:outlineLvl w:val="0"/>
              <w:rPr>
                <w:b/>
                <w:bCs/>
                <w:sz w:val="20"/>
                <w:lang w:val="en-US"/>
              </w:rPr>
            </w:pPr>
            <w:r>
              <w:rPr>
                <w:rFonts w:hint="cs"/>
                <w:b/>
                <w:bCs/>
                <w:sz w:val="20"/>
                <w:rtl/>
                <w:lang w:val="en-US"/>
              </w:rPr>
              <w:t>المجموعات/استهلاك الهيدروكلوروفلوروكربون في الخدمة بالطن المتري</w:t>
            </w:r>
          </w:p>
        </w:tc>
        <w:tc>
          <w:tcPr>
            <w:tcW w:w="541" w:type="pct"/>
            <w:vAlign w:val="center"/>
          </w:tcPr>
          <w:p w14:paraId="022A4B0C" w14:textId="77777777" w:rsidR="001A4F85" w:rsidRPr="0016403D" w:rsidRDefault="001A4F85" w:rsidP="008A4564">
            <w:pPr>
              <w:pStyle w:val="Heading1"/>
              <w:numPr>
                <w:ilvl w:val="0"/>
                <w:numId w:val="0"/>
              </w:numPr>
              <w:bidi/>
              <w:spacing w:after="0"/>
              <w:jc w:val="center"/>
              <w:outlineLvl w:val="0"/>
              <w:rPr>
                <w:b/>
                <w:bCs/>
                <w:sz w:val="20"/>
                <w:lang w:val="en-US"/>
              </w:rPr>
            </w:pPr>
            <w:r>
              <w:rPr>
                <w:rFonts w:hint="cs"/>
                <w:b/>
                <w:bCs/>
                <w:sz w:val="20"/>
                <w:rtl/>
                <w:lang w:val="en-US"/>
              </w:rPr>
              <w:t>عدد البلدان</w:t>
            </w:r>
          </w:p>
        </w:tc>
        <w:tc>
          <w:tcPr>
            <w:tcW w:w="3410" w:type="pct"/>
            <w:vAlign w:val="center"/>
          </w:tcPr>
          <w:p w14:paraId="2B8DB34C" w14:textId="77777777" w:rsidR="001A4F85" w:rsidRPr="00E1601C" w:rsidRDefault="001A4F85" w:rsidP="008A4564">
            <w:pPr>
              <w:pStyle w:val="Heading1"/>
              <w:numPr>
                <w:ilvl w:val="0"/>
                <w:numId w:val="0"/>
              </w:numPr>
              <w:bidi/>
              <w:spacing w:after="0"/>
              <w:jc w:val="center"/>
              <w:outlineLvl w:val="0"/>
              <w:rPr>
                <w:b/>
                <w:bCs/>
                <w:sz w:val="20"/>
                <w:lang w:val="en-US"/>
              </w:rPr>
            </w:pPr>
            <w:r>
              <w:rPr>
                <w:rFonts w:hint="cs"/>
                <w:b/>
                <w:bCs/>
                <w:sz w:val="20"/>
                <w:rtl/>
                <w:lang w:val="en-US"/>
              </w:rPr>
              <w:t>مستوى التمويل لكل بلد</w:t>
            </w:r>
          </w:p>
        </w:tc>
      </w:tr>
      <w:tr w:rsidR="001A4F85" w:rsidRPr="006F2DC7" w14:paraId="33E5DA0C" w14:textId="77777777" w:rsidTr="001A4F85">
        <w:trPr>
          <w:trHeight w:val="580"/>
        </w:trPr>
        <w:tc>
          <w:tcPr>
            <w:tcW w:w="1049" w:type="pct"/>
          </w:tcPr>
          <w:p w14:paraId="6751C4BC" w14:textId="77777777" w:rsidR="001A4F85" w:rsidRPr="0016403D" w:rsidRDefault="001A4F85" w:rsidP="008A4564">
            <w:pPr>
              <w:pStyle w:val="Heading1"/>
              <w:numPr>
                <w:ilvl w:val="0"/>
                <w:numId w:val="0"/>
              </w:numPr>
              <w:bidi/>
              <w:spacing w:after="0"/>
              <w:jc w:val="left"/>
              <w:outlineLvl w:val="0"/>
              <w:rPr>
                <w:sz w:val="20"/>
                <w:rtl/>
                <w:lang w:val="en-US" w:bidi="ar-EG"/>
              </w:rPr>
            </w:pPr>
            <w:r w:rsidRPr="0016403D">
              <w:rPr>
                <w:rFonts w:hint="cs"/>
                <w:b/>
                <w:bCs/>
                <w:sz w:val="20"/>
                <w:rtl/>
                <w:lang w:val="en-US" w:bidi="ar-EG"/>
              </w:rPr>
              <w:t>المجموعة 1</w:t>
            </w:r>
          </w:p>
          <w:p w14:paraId="46F55F00" w14:textId="77777777" w:rsidR="001A4F85" w:rsidRPr="00E1601C" w:rsidRDefault="001A4F85" w:rsidP="001A4F85">
            <w:pPr>
              <w:bidi/>
              <w:rPr>
                <w:sz w:val="20"/>
                <w:lang w:val="en-US" w:bidi="ar-EG"/>
              </w:rPr>
            </w:pPr>
            <w:r w:rsidRPr="0016403D">
              <w:rPr>
                <w:rFonts w:hint="cs"/>
                <w:sz w:val="20"/>
                <w:rtl/>
                <w:lang w:val="en-US" w:bidi="ar-EG"/>
              </w:rPr>
              <w:t xml:space="preserve">360 إلى </w:t>
            </w:r>
            <w:r w:rsidRPr="0016403D">
              <w:rPr>
                <w:sz w:val="20"/>
                <w:lang w:val="en-US" w:bidi="ar-EG"/>
              </w:rPr>
              <w:t>1,800</w:t>
            </w:r>
          </w:p>
        </w:tc>
        <w:tc>
          <w:tcPr>
            <w:tcW w:w="541" w:type="pct"/>
          </w:tcPr>
          <w:p w14:paraId="4E4A62C2" w14:textId="77777777" w:rsidR="001A4F85" w:rsidRPr="00E1601C" w:rsidRDefault="001A4F85" w:rsidP="008A4564">
            <w:pPr>
              <w:pStyle w:val="Heading1"/>
              <w:numPr>
                <w:ilvl w:val="0"/>
                <w:numId w:val="0"/>
              </w:numPr>
              <w:spacing w:after="0"/>
              <w:jc w:val="center"/>
              <w:outlineLvl w:val="0"/>
              <w:rPr>
                <w:sz w:val="20"/>
                <w:lang w:val="en-US"/>
              </w:rPr>
            </w:pPr>
            <w:r w:rsidRPr="00E1601C">
              <w:rPr>
                <w:sz w:val="20"/>
                <w:lang w:val="en-US"/>
              </w:rPr>
              <w:t>35</w:t>
            </w:r>
          </w:p>
        </w:tc>
        <w:tc>
          <w:tcPr>
            <w:tcW w:w="3410" w:type="pct"/>
          </w:tcPr>
          <w:p w14:paraId="16BB8B90" w14:textId="77777777" w:rsidR="001A4F85" w:rsidRPr="00E1601C" w:rsidRDefault="00C7545F" w:rsidP="00CE16C0">
            <w:pPr>
              <w:pStyle w:val="Heading1"/>
              <w:numPr>
                <w:ilvl w:val="0"/>
                <w:numId w:val="0"/>
              </w:numPr>
              <w:bidi/>
              <w:spacing w:after="60"/>
              <w:outlineLvl w:val="0"/>
              <w:rPr>
                <w:sz w:val="20"/>
                <w:rtl/>
                <w:lang w:val="en-US" w:bidi="ar-EG"/>
              </w:rPr>
            </w:pPr>
            <w:r>
              <w:rPr>
                <w:sz w:val="20"/>
                <w:lang w:val="en-US" w:bidi="ar-EG"/>
              </w:rPr>
              <w:t>4.80</w:t>
            </w:r>
            <w:r>
              <w:rPr>
                <w:rFonts w:hint="cs"/>
                <w:sz w:val="20"/>
                <w:rtl/>
                <w:lang w:val="en-US" w:bidi="ar-EG"/>
              </w:rPr>
              <w:t xml:space="preserve"> دولارات أمريكية للكيلوغرام. إذا كانت هذه القيمة أقل من القيمة المتفق عليها للمجموعة الأكبر من البلدان التي ينخفض فيها حجم الاستهلاك، يمكن أن يختار البلد </w:t>
            </w:r>
            <w:r w:rsidR="00CE16C0">
              <w:rPr>
                <w:rFonts w:hint="cs"/>
                <w:sz w:val="20"/>
                <w:rtl/>
                <w:lang w:val="en-US" w:bidi="ar-EG"/>
              </w:rPr>
              <w:t>تمويله</w:t>
            </w:r>
            <w:r>
              <w:rPr>
                <w:rFonts w:hint="cs"/>
                <w:sz w:val="20"/>
                <w:rtl/>
                <w:lang w:val="en-US" w:bidi="ar-EG"/>
              </w:rPr>
              <w:t xml:space="preserve"> على أنه بلد ينخفض فيها حجم الاستهلاك</w:t>
            </w:r>
            <w:r w:rsidR="001A4F85" w:rsidRPr="00CE16C0">
              <w:rPr>
                <w:rFonts w:hint="cs"/>
                <w:sz w:val="20"/>
                <w:vertAlign w:val="superscript"/>
                <w:rtl/>
                <w:lang w:val="en-US" w:bidi="ar-EG"/>
              </w:rPr>
              <w:t>*</w:t>
            </w:r>
            <w:r w:rsidR="001A4F85">
              <w:rPr>
                <w:rFonts w:hint="cs"/>
                <w:sz w:val="20"/>
                <w:rtl/>
                <w:lang w:val="en-US" w:bidi="ar-EG"/>
              </w:rPr>
              <w:t xml:space="preserve"> </w:t>
            </w:r>
          </w:p>
        </w:tc>
      </w:tr>
      <w:tr w:rsidR="001A4F85" w:rsidRPr="006F2DC7" w14:paraId="3D8E79AB" w14:textId="77777777" w:rsidTr="008A4564">
        <w:tc>
          <w:tcPr>
            <w:tcW w:w="1049" w:type="pct"/>
          </w:tcPr>
          <w:p w14:paraId="13EAC3D2" w14:textId="77777777" w:rsidR="001A4F85" w:rsidRPr="0016403D" w:rsidRDefault="001A4F85" w:rsidP="008A4564">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rFonts w:hint="cs"/>
                <w:b/>
                <w:bCs/>
                <w:sz w:val="20"/>
                <w:rtl/>
                <w:lang w:val="en-US" w:bidi="ar-EG"/>
              </w:rPr>
              <w:t>2</w:t>
            </w:r>
          </w:p>
          <w:p w14:paraId="30671161" w14:textId="77777777" w:rsidR="001A4F85" w:rsidRPr="001A4F85" w:rsidRDefault="001A4F85" w:rsidP="001A4F85">
            <w:pPr>
              <w:bidi/>
              <w:rPr>
                <w:sz w:val="20"/>
                <w:lang w:val="en-US" w:bidi="ar-EG"/>
              </w:rPr>
            </w:pPr>
            <w:r>
              <w:rPr>
                <w:sz w:val="20"/>
                <w:lang w:val="en-US" w:bidi="ar-EG"/>
              </w:rPr>
              <w:t>1,800</w:t>
            </w:r>
            <w:r w:rsidRPr="0016403D">
              <w:rPr>
                <w:rFonts w:hint="cs"/>
                <w:sz w:val="20"/>
                <w:rtl/>
                <w:lang w:val="en-US" w:bidi="ar-EG"/>
              </w:rPr>
              <w:t xml:space="preserve"> إلى </w:t>
            </w:r>
            <w:r>
              <w:rPr>
                <w:sz w:val="20"/>
                <w:lang w:val="en-US" w:bidi="ar-EG"/>
              </w:rPr>
              <w:t>8,000</w:t>
            </w:r>
          </w:p>
        </w:tc>
        <w:tc>
          <w:tcPr>
            <w:tcW w:w="541" w:type="pct"/>
          </w:tcPr>
          <w:p w14:paraId="7D1271A7" w14:textId="77777777" w:rsidR="001A4F85" w:rsidRPr="00E1601C" w:rsidRDefault="001A4F85" w:rsidP="008A4564">
            <w:pPr>
              <w:pStyle w:val="Heading1"/>
              <w:numPr>
                <w:ilvl w:val="0"/>
                <w:numId w:val="0"/>
              </w:numPr>
              <w:spacing w:after="0"/>
              <w:jc w:val="center"/>
              <w:outlineLvl w:val="0"/>
              <w:rPr>
                <w:sz w:val="20"/>
                <w:lang w:val="en-US"/>
              </w:rPr>
            </w:pPr>
            <w:r w:rsidRPr="00E1601C">
              <w:rPr>
                <w:sz w:val="20"/>
                <w:lang w:val="en-US"/>
              </w:rPr>
              <w:t>15</w:t>
            </w:r>
          </w:p>
        </w:tc>
        <w:tc>
          <w:tcPr>
            <w:tcW w:w="3410" w:type="pct"/>
          </w:tcPr>
          <w:p w14:paraId="479F1572" w14:textId="77777777" w:rsidR="001A4F85" w:rsidRDefault="00C7545F" w:rsidP="00CE16C0">
            <w:pPr>
              <w:pStyle w:val="Heading1"/>
              <w:numPr>
                <w:ilvl w:val="0"/>
                <w:numId w:val="0"/>
              </w:numPr>
              <w:bidi/>
              <w:spacing w:after="0"/>
              <w:outlineLvl w:val="0"/>
              <w:rPr>
                <w:sz w:val="20"/>
                <w:rtl/>
                <w:lang w:val="en-US" w:bidi="ar-EG"/>
              </w:rPr>
            </w:pPr>
            <w:r>
              <w:rPr>
                <w:sz w:val="20"/>
                <w:lang w:val="en-US" w:bidi="ar-EG"/>
              </w:rPr>
              <w:t>4.80</w:t>
            </w:r>
            <w:r>
              <w:rPr>
                <w:rFonts w:hint="cs"/>
                <w:sz w:val="20"/>
                <w:rtl/>
                <w:lang w:val="en-US" w:bidi="ar-EG"/>
              </w:rPr>
              <w:t xml:space="preserve"> دولارات أمريكية للكيلوغرام</w:t>
            </w:r>
            <w:r w:rsidR="00CE16C0">
              <w:rPr>
                <w:rFonts w:hint="cs"/>
                <w:sz w:val="20"/>
                <w:rtl/>
                <w:lang w:val="en-US" w:bidi="ar-EG"/>
              </w:rPr>
              <w:t xml:space="preserve"> لأ</w:t>
            </w:r>
            <w:r>
              <w:rPr>
                <w:rFonts w:hint="cs"/>
                <w:sz w:val="20"/>
                <w:rtl/>
                <w:lang w:val="en-US" w:bidi="ar-EG"/>
              </w:rPr>
              <w:t xml:space="preserve">ول </w:t>
            </w:r>
            <w:r>
              <w:rPr>
                <w:sz w:val="20"/>
                <w:lang w:val="en-US" w:bidi="ar-EG"/>
              </w:rPr>
              <w:t>1,800</w:t>
            </w:r>
            <w:r>
              <w:rPr>
                <w:rFonts w:hint="cs"/>
                <w:sz w:val="20"/>
                <w:rtl/>
                <w:lang w:val="en-US" w:bidi="ar-EG"/>
              </w:rPr>
              <w:t xml:space="preserve"> طن متري</w:t>
            </w:r>
          </w:p>
          <w:p w14:paraId="3D0680F8" w14:textId="77777777" w:rsidR="00C7545F" w:rsidRPr="00C7545F" w:rsidRDefault="00C7545F" w:rsidP="00C7545F">
            <w:pPr>
              <w:bidi/>
              <w:rPr>
                <w:rtl/>
                <w:lang w:val="en-US" w:bidi="ar-EG"/>
              </w:rPr>
            </w:pPr>
            <w:r>
              <w:rPr>
                <w:sz w:val="20"/>
                <w:lang w:val="en-US" w:bidi="ar-EG"/>
              </w:rPr>
              <w:t>4.00</w:t>
            </w:r>
            <w:r>
              <w:rPr>
                <w:rFonts w:hint="cs"/>
                <w:sz w:val="20"/>
                <w:rtl/>
                <w:lang w:val="en-US" w:bidi="ar-EG"/>
              </w:rPr>
              <w:t xml:space="preserve"> دولارات أمريكية للكيلوغرام لكل طن متري أكثر من </w:t>
            </w:r>
            <w:r>
              <w:rPr>
                <w:sz w:val="20"/>
                <w:lang w:val="en-US" w:bidi="ar-EG"/>
              </w:rPr>
              <w:t>1,800</w:t>
            </w:r>
          </w:p>
        </w:tc>
      </w:tr>
      <w:tr w:rsidR="001A4F85" w:rsidRPr="006F2DC7" w14:paraId="77C086BF" w14:textId="77777777" w:rsidTr="008A4564">
        <w:tc>
          <w:tcPr>
            <w:tcW w:w="1049" w:type="pct"/>
          </w:tcPr>
          <w:p w14:paraId="1DDE6B37" w14:textId="77777777" w:rsidR="001A4F85" w:rsidRPr="0016403D" w:rsidRDefault="001A4F85" w:rsidP="008A4564">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rFonts w:hint="cs"/>
                <w:b/>
                <w:bCs/>
                <w:sz w:val="20"/>
                <w:rtl/>
                <w:lang w:val="en-US" w:bidi="ar-EG"/>
              </w:rPr>
              <w:t>3</w:t>
            </w:r>
          </w:p>
          <w:p w14:paraId="78C3EB81" w14:textId="77777777" w:rsidR="001A4F85" w:rsidRPr="001A4F85" w:rsidRDefault="001A4F85" w:rsidP="001A4F85">
            <w:pPr>
              <w:bidi/>
              <w:rPr>
                <w:sz w:val="20"/>
                <w:lang w:val="en-US" w:bidi="ar-EG"/>
              </w:rPr>
            </w:pPr>
            <w:r>
              <w:rPr>
                <w:sz w:val="20"/>
                <w:lang w:val="en-US" w:bidi="ar-EG"/>
              </w:rPr>
              <w:t>8,000</w:t>
            </w:r>
            <w:r w:rsidRPr="0016403D">
              <w:rPr>
                <w:rFonts w:hint="cs"/>
                <w:sz w:val="20"/>
                <w:rtl/>
                <w:lang w:val="en-US" w:bidi="ar-EG"/>
              </w:rPr>
              <w:t xml:space="preserve"> إلى </w:t>
            </w:r>
            <w:r>
              <w:rPr>
                <w:sz w:val="20"/>
                <w:lang w:val="en-US" w:bidi="ar-EG"/>
              </w:rPr>
              <w:t>25,000</w:t>
            </w:r>
          </w:p>
        </w:tc>
        <w:tc>
          <w:tcPr>
            <w:tcW w:w="541" w:type="pct"/>
          </w:tcPr>
          <w:p w14:paraId="0F2E9B7E" w14:textId="77777777" w:rsidR="001A4F85" w:rsidRPr="00E1601C" w:rsidRDefault="001A4F85" w:rsidP="008A4564">
            <w:pPr>
              <w:pStyle w:val="Heading1"/>
              <w:numPr>
                <w:ilvl w:val="0"/>
                <w:numId w:val="0"/>
              </w:numPr>
              <w:spacing w:after="0"/>
              <w:jc w:val="center"/>
              <w:outlineLvl w:val="0"/>
              <w:rPr>
                <w:sz w:val="20"/>
                <w:lang w:val="en-US"/>
              </w:rPr>
            </w:pPr>
            <w:r w:rsidRPr="00E1601C">
              <w:rPr>
                <w:sz w:val="20"/>
                <w:lang w:val="en-US"/>
              </w:rPr>
              <w:t>5</w:t>
            </w:r>
          </w:p>
        </w:tc>
        <w:tc>
          <w:tcPr>
            <w:tcW w:w="3410" w:type="pct"/>
          </w:tcPr>
          <w:p w14:paraId="0A0FEC58" w14:textId="77777777" w:rsidR="001A4F85" w:rsidRDefault="00C7545F" w:rsidP="008A4564">
            <w:pPr>
              <w:pStyle w:val="Heading1"/>
              <w:numPr>
                <w:ilvl w:val="0"/>
                <w:numId w:val="0"/>
              </w:numPr>
              <w:bidi/>
              <w:spacing w:after="0"/>
              <w:outlineLvl w:val="0"/>
              <w:rPr>
                <w:sz w:val="20"/>
                <w:rtl/>
                <w:lang w:val="en-US" w:bidi="ar-EG"/>
              </w:rPr>
            </w:pPr>
            <w:r>
              <w:rPr>
                <w:sz w:val="20"/>
                <w:lang w:val="en-US" w:bidi="ar-EG"/>
              </w:rPr>
              <w:t>4.80</w:t>
            </w:r>
            <w:r>
              <w:rPr>
                <w:rFonts w:hint="cs"/>
                <w:sz w:val="20"/>
                <w:rtl/>
                <w:lang w:val="en-US" w:bidi="ar-EG"/>
              </w:rPr>
              <w:t xml:space="preserve"> دولارات أمريكية للكيلوغرام لأول </w:t>
            </w:r>
            <w:r>
              <w:rPr>
                <w:sz w:val="20"/>
                <w:lang w:val="en-US" w:bidi="ar-EG"/>
              </w:rPr>
              <w:t>1,800</w:t>
            </w:r>
            <w:r>
              <w:rPr>
                <w:rFonts w:hint="cs"/>
                <w:sz w:val="20"/>
                <w:rtl/>
                <w:lang w:val="en-US" w:bidi="ar-EG"/>
              </w:rPr>
              <w:t xml:space="preserve"> طن متري</w:t>
            </w:r>
          </w:p>
          <w:p w14:paraId="1FEAAEF5" w14:textId="77777777" w:rsidR="00C7545F" w:rsidRPr="00C7545F" w:rsidRDefault="00C7545F" w:rsidP="00C7545F">
            <w:pPr>
              <w:bidi/>
              <w:rPr>
                <w:sz w:val="20"/>
                <w:rtl/>
                <w:lang w:val="en-US" w:bidi="ar-EG"/>
              </w:rPr>
            </w:pPr>
            <w:r>
              <w:rPr>
                <w:sz w:val="20"/>
                <w:lang w:val="en-US" w:bidi="ar-EG"/>
              </w:rPr>
              <w:t>4.00</w:t>
            </w:r>
            <w:r>
              <w:rPr>
                <w:rFonts w:hint="cs"/>
                <w:sz w:val="20"/>
                <w:rtl/>
                <w:lang w:val="en-US" w:bidi="ar-EG"/>
              </w:rPr>
              <w:t xml:space="preserve"> دولارات أمريكية للكيلوغرام لكل طن متري أكثر من </w:t>
            </w:r>
            <w:r>
              <w:rPr>
                <w:sz w:val="20"/>
                <w:lang w:val="en-US" w:bidi="ar-EG"/>
              </w:rPr>
              <w:t>1,800</w:t>
            </w:r>
            <w:r>
              <w:rPr>
                <w:rFonts w:hint="cs"/>
                <w:sz w:val="20"/>
                <w:rtl/>
                <w:lang w:val="en-US" w:bidi="ar-EG"/>
              </w:rPr>
              <w:t xml:space="preserve"> وأقل من </w:t>
            </w:r>
            <w:r>
              <w:rPr>
                <w:sz w:val="20"/>
                <w:lang w:val="en-US" w:bidi="ar-EG"/>
              </w:rPr>
              <w:t>8,000</w:t>
            </w:r>
            <w:r>
              <w:rPr>
                <w:rFonts w:hint="cs"/>
                <w:sz w:val="20"/>
                <w:rtl/>
                <w:lang w:val="en-US" w:bidi="ar-EG"/>
              </w:rPr>
              <w:t xml:space="preserve"> طن متري</w:t>
            </w:r>
          </w:p>
          <w:p w14:paraId="0946AF52" w14:textId="77777777" w:rsidR="00C7545F" w:rsidRPr="00C7545F" w:rsidRDefault="00C7545F" w:rsidP="00CE16C0">
            <w:pPr>
              <w:bidi/>
              <w:rPr>
                <w:rtl/>
                <w:lang w:val="en-US" w:bidi="ar-EG"/>
              </w:rPr>
            </w:pPr>
            <w:r>
              <w:rPr>
                <w:sz w:val="20"/>
                <w:lang w:val="en-US" w:bidi="ar-EG"/>
              </w:rPr>
              <w:t>3.20</w:t>
            </w:r>
            <w:r>
              <w:rPr>
                <w:rFonts w:hint="cs"/>
                <w:sz w:val="20"/>
                <w:rtl/>
                <w:lang w:val="en-US" w:bidi="ar-EG"/>
              </w:rPr>
              <w:t xml:space="preserve"> دولارات أمريكية للكيلوغرام</w:t>
            </w:r>
            <w:r>
              <w:rPr>
                <w:rFonts w:hint="cs"/>
                <w:rtl/>
                <w:lang w:val="en-US" w:bidi="ar-EG"/>
              </w:rPr>
              <w:t xml:space="preserve"> لكل طن متري أكثر من </w:t>
            </w:r>
            <w:r w:rsidR="00CE16C0">
              <w:rPr>
                <w:lang w:val="en-US" w:bidi="ar-EG"/>
              </w:rPr>
              <w:t xml:space="preserve"> </w:t>
            </w:r>
            <w:r w:rsidR="00CE16C0" w:rsidRPr="00CE16C0">
              <w:rPr>
                <w:sz w:val="20"/>
                <w:lang w:val="en-US" w:bidi="ar-EG"/>
              </w:rPr>
              <w:t>8,000</w:t>
            </w:r>
            <w:r>
              <w:rPr>
                <w:rFonts w:hint="cs"/>
                <w:rtl/>
                <w:lang w:val="en-US" w:bidi="ar-EG"/>
              </w:rPr>
              <w:t>طن متري</w:t>
            </w:r>
          </w:p>
        </w:tc>
      </w:tr>
      <w:tr w:rsidR="001A4F85" w:rsidRPr="006F2DC7" w14:paraId="0F5C930C" w14:textId="77777777" w:rsidTr="008A4564">
        <w:tc>
          <w:tcPr>
            <w:tcW w:w="1049" w:type="pct"/>
          </w:tcPr>
          <w:p w14:paraId="2FFE42CD" w14:textId="77777777" w:rsidR="001A4F85" w:rsidRPr="0016403D" w:rsidRDefault="001A4F85" w:rsidP="008A4564">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b/>
                <w:bCs/>
                <w:sz w:val="20"/>
                <w:lang w:val="en-US" w:bidi="ar-EG"/>
              </w:rPr>
              <w:t>4</w:t>
            </w:r>
          </w:p>
          <w:p w14:paraId="48557E3A" w14:textId="77777777" w:rsidR="001A4F85" w:rsidRPr="001A4F85" w:rsidRDefault="001A4F85" w:rsidP="001A4F85">
            <w:pPr>
              <w:bidi/>
              <w:rPr>
                <w:sz w:val="20"/>
                <w:rtl/>
                <w:lang w:val="en-US" w:bidi="ar-EG"/>
              </w:rPr>
            </w:pPr>
            <w:r>
              <w:rPr>
                <w:rFonts w:hint="cs"/>
                <w:sz w:val="20"/>
                <w:rtl/>
                <w:lang w:val="en-US" w:bidi="ar-EG"/>
              </w:rPr>
              <w:t xml:space="preserve">أكثر من </w:t>
            </w:r>
            <w:r>
              <w:rPr>
                <w:sz w:val="20"/>
                <w:lang w:val="en-US" w:bidi="ar-EG"/>
              </w:rPr>
              <w:t>25,000</w:t>
            </w:r>
          </w:p>
        </w:tc>
        <w:tc>
          <w:tcPr>
            <w:tcW w:w="541" w:type="pct"/>
          </w:tcPr>
          <w:p w14:paraId="12D8430D" w14:textId="77777777" w:rsidR="001A4F85" w:rsidRPr="00E1601C" w:rsidRDefault="001A4F85" w:rsidP="008A4564">
            <w:pPr>
              <w:pStyle w:val="Heading1"/>
              <w:numPr>
                <w:ilvl w:val="0"/>
                <w:numId w:val="0"/>
              </w:numPr>
              <w:spacing w:after="0"/>
              <w:jc w:val="center"/>
              <w:outlineLvl w:val="0"/>
              <w:rPr>
                <w:sz w:val="20"/>
                <w:lang w:val="en-US"/>
              </w:rPr>
            </w:pPr>
            <w:r w:rsidRPr="00E1601C">
              <w:rPr>
                <w:sz w:val="20"/>
                <w:lang w:val="en-US"/>
              </w:rPr>
              <w:t>1</w:t>
            </w:r>
          </w:p>
        </w:tc>
        <w:tc>
          <w:tcPr>
            <w:tcW w:w="3410" w:type="pct"/>
          </w:tcPr>
          <w:p w14:paraId="0D91043F" w14:textId="77777777" w:rsidR="001A4F85" w:rsidRPr="00E1601C" w:rsidRDefault="001A4F85" w:rsidP="008A4564">
            <w:pPr>
              <w:pStyle w:val="Heading1"/>
              <w:numPr>
                <w:ilvl w:val="0"/>
                <w:numId w:val="0"/>
              </w:numPr>
              <w:bidi/>
              <w:spacing w:after="0"/>
              <w:outlineLvl w:val="0"/>
              <w:rPr>
                <w:sz w:val="20"/>
                <w:rtl/>
                <w:lang w:val="en-US" w:bidi="ar-EG"/>
              </w:rPr>
            </w:pPr>
            <w:r>
              <w:rPr>
                <w:rFonts w:hint="cs"/>
                <w:sz w:val="20"/>
                <w:rtl/>
                <w:lang w:val="en-US" w:bidi="ar-EG"/>
              </w:rPr>
              <w:t>حسب كل حالة على حدة</w:t>
            </w:r>
          </w:p>
        </w:tc>
      </w:tr>
    </w:tbl>
    <w:p w14:paraId="6D81E2A3" w14:textId="77777777" w:rsidR="001A4F85" w:rsidRPr="001A4F85" w:rsidRDefault="001A4F85" w:rsidP="001A4F85">
      <w:pPr>
        <w:pStyle w:val="StyleHeader4Para4Left0Firstline0"/>
        <w:widowControl/>
        <w:numPr>
          <w:ilvl w:val="0"/>
          <w:numId w:val="0"/>
        </w:numPr>
        <w:tabs>
          <w:tab w:val="clear" w:pos="2880"/>
          <w:tab w:val="clear" w:pos="5760"/>
        </w:tabs>
        <w:bidi/>
        <w:spacing w:after="0"/>
        <w:rPr>
          <w:rtl/>
        </w:rPr>
      </w:pPr>
      <w:r w:rsidRPr="00CE16C0">
        <w:rPr>
          <w:rFonts w:hint="cs"/>
          <w:vertAlign w:val="superscript"/>
          <w:rtl/>
        </w:rPr>
        <w:t>*</w:t>
      </w:r>
      <w:r w:rsidRPr="001A4F85">
        <w:rPr>
          <w:rFonts w:hint="cs"/>
          <w:rtl/>
        </w:rPr>
        <w:t xml:space="preserve"> تم مناقشتها في الفقرة 11.</w:t>
      </w:r>
    </w:p>
    <w:p w14:paraId="2AE078A8" w14:textId="77777777" w:rsidR="001A4F85" w:rsidRDefault="001A4F85" w:rsidP="001A4F85">
      <w:pPr>
        <w:pStyle w:val="StyleHeader4Para4Left0Firstline0"/>
        <w:widowControl/>
        <w:numPr>
          <w:ilvl w:val="0"/>
          <w:numId w:val="0"/>
        </w:numPr>
        <w:tabs>
          <w:tab w:val="clear" w:pos="2880"/>
          <w:tab w:val="clear" w:pos="5760"/>
        </w:tabs>
        <w:bidi/>
        <w:rPr>
          <w:sz w:val="24"/>
          <w:szCs w:val="24"/>
          <w:rtl/>
        </w:rPr>
      </w:pPr>
    </w:p>
    <w:p w14:paraId="00819F2D" w14:textId="77777777" w:rsidR="001A4F85" w:rsidRPr="001A4F85" w:rsidRDefault="001A4F85" w:rsidP="001A4F85">
      <w:pPr>
        <w:pStyle w:val="StyleHeader4Para4Left0Firstline0"/>
        <w:widowControl/>
        <w:numPr>
          <w:ilvl w:val="0"/>
          <w:numId w:val="0"/>
        </w:numPr>
        <w:tabs>
          <w:tab w:val="clear" w:pos="2880"/>
          <w:tab w:val="clear" w:pos="5760"/>
        </w:tabs>
        <w:bidi/>
        <w:rPr>
          <w:b/>
          <w:bCs/>
          <w:sz w:val="26"/>
          <w:szCs w:val="26"/>
        </w:rPr>
      </w:pPr>
      <w:r w:rsidRPr="001A4F85">
        <w:rPr>
          <w:rFonts w:hint="cs"/>
          <w:b/>
          <w:bCs/>
          <w:sz w:val="26"/>
          <w:szCs w:val="26"/>
          <w:rtl/>
        </w:rPr>
        <w:t>طريقة بديلة: تخصيص مستويات تمويل محددة لكل مجموعة من البلدان التي لا ينخفض فيها حجم الاستهلاك</w:t>
      </w:r>
    </w:p>
    <w:p w14:paraId="07C4222C" w14:textId="77777777" w:rsidR="001A4F85" w:rsidRDefault="00CE16C0" w:rsidP="00605315">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lang w:bidi="ar-EG"/>
        </w:rPr>
        <w:t>خلال المناقشة في فريق الاتصال التي جرت في الجزء الأول من الاجتماع التاسع والثمانين، تساءل الأعضاء عما إذا كان سيكون من الممكن، بعد تصنيف البلدان التي لا ينخفض فيها حجم الاستهلاك، تخصيص مستوى تمويل لكل مجموعة، على نحو نهج مشابه للنهج المستخدم مع البلدان التي ينخفض فيها حجم الاستهلاك. وبناء عليه، قامت الأمانة بحساب مستويات التمويل لكل من المجموعات المقترحة، على النحو المبين في الجدول 3.</w:t>
      </w:r>
    </w:p>
    <w:p w14:paraId="0A5F9488" w14:textId="77777777" w:rsidR="001A4F85" w:rsidRPr="001A4F85" w:rsidRDefault="001A4F85" w:rsidP="00115341">
      <w:pPr>
        <w:pStyle w:val="StyleHeader4Para4Left0Firstline0"/>
        <w:keepNext/>
        <w:widowControl/>
        <w:numPr>
          <w:ilvl w:val="0"/>
          <w:numId w:val="0"/>
        </w:numPr>
        <w:tabs>
          <w:tab w:val="clear" w:pos="2880"/>
          <w:tab w:val="clear" w:pos="5760"/>
        </w:tabs>
        <w:bidi/>
        <w:spacing w:after="0"/>
        <w:rPr>
          <w:b/>
          <w:bCs/>
          <w:sz w:val="24"/>
          <w:szCs w:val="24"/>
          <w:rtl/>
        </w:rPr>
      </w:pPr>
      <w:r w:rsidRPr="001A4F85">
        <w:rPr>
          <w:rFonts w:hint="cs"/>
          <w:b/>
          <w:bCs/>
          <w:sz w:val="24"/>
          <w:szCs w:val="24"/>
          <w:rtl/>
        </w:rPr>
        <w:t>الجدول 3. تخصيص مستوى تمويل فريد لكل مجموعة من البلدان التي لا ينخفض فيها حجم الاستهلاك</w:t>
      </w:r>
    </w:p>
    <w:tbl>
      <w:tblPr>
        <w:tblStyle w:val="TableGrid"/>
        <w:bidiVisual/>
        <w:tblW w:w="5000" w:type="pct"/>
        <w:tblLook w:val="04A0" w:firstRow="1" w:lastRow="0" w:firstColumn="1" w:lastColumn="0" w:noHBand="0" w:noVBand="1"/>
      </w:tblPr>
      <w:tblGrid>
        <w:gridCol w:w="4351"/>
        <w:gridCol w:w="2032"/>
        <w:gridCol w:w="3193"/>
      </w:tblGrid>
      <w:tr w:rsidR="001A4F85" w:rsidRPr="006F2DC7" w14:paraId="6E00D3C4" w14:textId="77777777" w:rsidTr="00447F3C">
        <w:trPr>
          <w:trHeight w:val="204"/>
          <w:tblHeader/>
        </w:trPr>
        <w:tc>
          <w:tcPr>
            <w:tcW w:w="2272" w:type="pct"/>
          </w:tcPr>
          <w:p w14:paraId="0FD1DA45" w14:textId="77777777" w:rsidR="001A4F85" w:rsidRPr="00A375D8" w:rsidRDefault="001A4F85" w:rsidP="00115341">
            <w:pPr>
              <w:pStyle w:val="Heading1"/>
              <w:keepNext/>
              <w:numPr>
                <w:ilvl w:val="0"/>
                <w:numId w:val="0"/>
              </w:numPr>
              <w:bidi/>
              <w:spacing w:after="0"/>
              <w:outlineLvl w:val="0"/>
              <w:rPr>
                <w:b/>
                <w:bCs/>
                <w:sz w:val="20"/>
                <w:lang w:val="en-US" w:bidi="ar-EG"/>
              </w:rPr>
            </w:pPr>
            <w:r>
              <w:rPr>
                <w:rFonts w:hint="cs"/>
                <w:b/>
                <w:bCs/>
                <w:sz w:val="20"/>
                <w:rtl/>
                <w:lang w:val="en-US" w:bidi="ar-EG"/>
              </w:rPr>
              <w:t>المجموعات / استهلاك الهيدروكلوروفلوروكربون في الخدمة (طن متري)</w:t>
            </w:r>
          </w:p>
        </w:tc>
        <w:tc>
          <w:tcPr>
            <w:tcW w:w="1061" w:type="pct"/>
            <w:shd w:val="clear" w:color="auto" w:fill="auto"/>
            <w:vAlign w:val="center"/>
          </w:tcPr>
          <w:p w14:paraId="00AF5563" w14:textId="77777777" w:rsidR="001A4F85" w:rsidRPr="00A375D8" w:rsidRDefault="001A4F85" w:rsidP="00115341">
            <w:pPr>
              <w:pStyle w:val="Heading1"/>
              <w:keepNext/>
              <w:numPr>
                <w:ilvl w:val="0"/>
                <w:numId w:val="0"/>
              </w:numPr>
              <w:bidi/>
              <w:spacing w:after="0"/>
              <w:jc w:val="center"/>
              <w:outlineLvl w:val="0"/>
              <w:rPr>
                <w:b/>
                <w:bCs/>
                <w:sz w:val="20"/>
                <w:lang w:val="en-US"/>
              </w:rPr>
            </w:pPr>
            <w:r>
              <w:rPr>
                <w:rFonts w:hint="cs"/>
                <w:b/>
                <w:bCs/>
                <w:sz w:val="20"/>
                <w:rtl/>
                <w:lang w:val="en-US"/>
              </w:rPr>
              <w:t>عدد البلدان</w:t>
            </w:r>
          </w:p>
        </w:tc>
        <w:tc>
          <w:tcPr>
            <w:tcW w:w="1667" w:type="pct"/>
            <w:shd w:val="clear" w:color="auto" w:fill="auto"/>
            <w:vAlign w:val="center"/>
          </w:tcPr>
          <w:p w14:paraId="616B574B" w14:textId="77777777" w:rsidR="001A4F85" w:rsidRPr="00A375D8" w:rsidRDefault="001A4F85" w:rsidP="00115341">
            <w:pPr>
              <w:pStyle w:val="Heading1"/>
              <w:keepNext/>
              <w:numPr>
                <w:ilvl w:val="0"/>
                <w:numId w:val="0"/>
              </w:numPr>
              <w:bidi/>
              <w:spacing w:after="0"/>
              <w:jc w:val="center"/>
              <w:outlineLvl w:val="0"/>
              <w:rPr>
                <w:b/>
                <w:bCs/>
                <w:sz w:val="20"/>
                <w:lang w:val="en-US"/>
              </w:rPr>
            </w:pPr>
            <w:r>
              <w:rPr>
                <w:rFonts w:hint="cs"/>
                <w:b/>
                <w:bCs/>
                <w:sz w:val="20"/>
                <w:rtl/>
                <w:lang w:val="en-US"/>
              </w:rPr>
              <w:t>مستوى التمويل حسب البلد</w:t>
            </w:r>
          </w:p>
        </w:tc>
      </w:tr>
      <w:tr w:rsidR="001A4F85" w:rsidRPr="006F2DC7" w14:paraId="603F3609" w14:textId="77777777" w:rsidTr="001A4F85">
        <w:tc>
          <w:tcPr>
            <w:tcW w:w="2272" w:type="pct"/>
          </w:tcPr>
          <w:p w14:paraId="30C8E909" w14:textId="77777777" w:rsidR="001A4F85" w:rsidRPr="00E1601C" w:rsidRDefault="001A4F85" w:rsidP="00115341">
            <w:pPr>
              <w:pStyle w:val="Heading1"/>
              <w:keepNext/>
              <w:numPr>
                <w:ilvl w:val="0"/>
                <w:numId w:val="0"/>
              </w:numPr>
              <w:bidi/>
              <w:spacing w:after="0"/>
              <w:jc w:val="left"/>
              <w:outlineLvl w:val="0"/>
              <w:rPr>
                <w:sz w:val="20"/>
                <w:lang w:val="en-US" w:bidi="ar-EG"/>
              </w:rPr>
            </w:pPr>
            <w:r w:rsidRPr="0016403D">
              <w:rPr>
                <w:rFonts w:hint="cs"/>
                <w:b/>
                <w:bCs/>
                <w:sz w:val="20"/>
                <w:rtl/>
                <w:lang w:val="en-US" w:bidi="ar-EG"/>
              </w:rPr>
              <w:t>المجموعة 1</w:t>
            </w:r>
            <w:r>
              <w:rPr>
                <w:rFonts w:hint="cs"/>
                <w:sz w:val="20"/>
                <w:rtl/>
                <w:lang w:val="en-US" w:bidi="ar-EG"/>
              </w:rPr>
              <w:t xml:space="preserve">: </w:t>
            </w:r>
            <w:r w:rsidRPr="0016403D">
              <w:rPr>
                <w:rFonts w:hint="cs"/>
                <w:sz w:val="20"/>
                <w:rtl/>
                <w:lang w:val="en-US" w:bidi="ar-EG"/>
              </w:rPr>
              <w:t xml:space="preserve">360 إلى </w:t>
            </w:r>
            <w:r w:rsidRPr="0016403D">
              <w:rPr>
                <w:sz w:val="20"/>
                <w:lang w:val="en-US" w:bidi="ar-EG"/>
              </w:rPr>
              <w:t>1,800</w:t>
            </w:r>
          </w:p>
        </w:tc>
        <w:tc>
          <w:tcPr>
            <w:tcW w:w="1061" w:type="pct"/>
            <w:shd w:val="clear" w:color="auto" w:fill="auto"/>
          </w:tcPr>
          <w:p w14:paraId="26A0C83A" w14:textId="77777777" w:rsidR="001A4F85" w:rsidRPr="00A375D8" w:rsidRDefault="001A4F85" w:rsidP="00115341">
            <w:pPr>
              <w:pStyle w:val="Heading1"/>
              <w:keepNext/>
              <w:numPr>
                <w:ilvl w:val="0"/>
                <w:numId w:val="0"/>
              </w:numPr>
              <w:spacing w:after="0"/>
              <w:jc w:val="center"/>
              <w:outlineLvl w:val="0"/>
              <w:rPr>
                <w:sz w:val="20"/>
                <w:lang w:val="en-US"/>
              </w:rPr>
            </w:pPr>
            <w:r w:rsidRPr="00A375D8">
              <w:rPr>
                <w:sz w:val="20"/>
                <w:lang w:val="en-US"/>
              </w:rPr>
              <w:t>35</w:t>
            </w:r>
          </w:p>
        </w:tc>
        <w:tc>
          <w:tcPr>
            <w:tcW w:w="1667" w:type="pct"/>
            <w:shd w:val="clear" w:color="auto" w:fill="auto"/>
          </w:tcPr>
          <w:p w14:paraId="012E1744" w14:textId="77777777" w:rsidR="001A4F85" w:rsidRPr="00A375D8" w:rsidRDefault="001A4F85" w:rsidP="00115341">
            <w:pPr>
              <w:pStyle w:val="Heading1"/>
              <w:keepNext/>
              <w:numPr>
                <w:ilvl w:val="0"/>
                <w:numId w:val="0"/>
              </w:numPr>
              <w:spacing w:after="0"/>
              <w:jc w:val="right"/>
              <w:outlineLvl w:val="0"/>
              <w:rPr>
                <w:sz w:val="20"/>
                <w:lang w:val="en-US"/>
              </w:rPr>
            </w:pPr>
            <w:r w:rsidRPr="00A375D8">
              <w:rPr>
                <w:sz w:val="20"/>
                <w:lang w:val="en-US"/>
              </w:rPr>
              <w:t>365,114</w:t>
            </w:r>
          </w:p>
        </w:tc>
      </w:tr>
      <w:tr w:rsidR="001A4F85" w:rsidRPr="006F2DC7" w14:paraId="32910B82" w14:textId="77777777" w:rsidTr="001A4F85">
        <w:tc>
          <w:tcPr>
            <w:tcW w:w="2272" w:type="pct"/>
          </w:tcPr>
          <w:p w14:paraId="7408E929" w14:textId="77777777" w:rsidR="001A4F85" w:rsidRPr="001A4F85" w:rsidRDefault="001A4F85" w:rsidP="00115341">
            <w:pPr>
              <w:pStyle w:val="Heading1"/>
              <w:keepNext/>
              <w:numPr>
                <w:ilvl w:val="0"/>
                <w:numId w:val="0"/>
              </w:numPr>
              <w:bidi/>
              <w:spacing w:after="0"/>
              <w:jc w:val="left"/>
              <w:outlineLvl w:val="0"/>
              <w:rPr>
                <w:sz w:val="20"/>
                <w:lang w:val="en-US" w:bidi="ar-EG"/>
              </w:rPr>
            </w:pPr>
            <w:r w:rsidRPr="0016403D">
              <w:rPr>
                <w:rFonts w:hint="cs"/>
                <w:b/>
                <w:bCs/>
                <w:sz w:val="20"/>
                <w:rtl/>
                <w:lang w:val="en-US" w:bidi="ar-EG"/>
              </w:rPr>
              <w:t xml:space="preserve">المجموعة </w:t>
            </w:r>
            <w:r>
              <w:rPr>
                <w:rFonts w:hint="cs"/>
                <w:b/>
                <w:bCs/>
                <w:sz w:val="20"/>
                <w:rtl/>
                <w:lang w:val="en-US" w:bidi="ar-EG"/>
              </w:rPr>
              <w:t>2</w:t>
            </w:r>
            <w:r>
              <w:rPr>
                <w:rFonts w:hint="cs"/>
                <w:sz w:val="20"/>
                <w:rtl/>
                <w:lang w:val="en-US" w:bidi="ar-EG"/>
              </w:rPr>
              <w:t xml:space="preserve">: </w:t>
            </w:r>
            <w:r>
              <w:rPr>
                <w:sz w:val="20"/>
                <w:lang w:val="en-US" w:bidi="ar-EG"/>
              </w:rPr>
              <w:t>1,800</w:t>
            </w:r>
            <w:r w:rsidRPr="0016403D">
              <w:rPr>
                <w:rFonts w:hint="cs"/>
                <w:sz w:val="20"/>
                <w:rtl/>
                <w:lang w:val="en-US" w:bidi="ar-EG"/>
              </w:rPr>
              <w:t xml:space="preserve"> إلى </w:t>
            </w:r>
            <w:r>
              <w:rPr>
                <w:sz w:val="20"/>
                <w:lang w:val="en-US" w:bidi="ar-EG"/>
              </w:rPr>
              <w:t>8,000</w:t>
            </w:r>
          </w:p>
        </w:tc>
        <w:tc>
          <w:tcPr>
            <w:tcW w:w="1061" w:type="pct"/>
            <w:shd w:val="clear" w:color="auto" w:fill="auto"/>
          </w:tcPr>
          <w:p w14:paraId="14E5B2CC" w14:textId="77777777" w:rsidR="001A4F85" w:rsidRPr="00A375D8" w:rsidRDefault="001A4F85" w:rsidP="00115341">
            <w:pPr>
              <w:pStyle w:val="Heading1"/>
              <w:keepNext/>
              <w:numPr>
                <w:ilvl w:val="0"/>
                <w:numId w:val="0"/>
              </w:numPr>
              <w:spacing w:after="0"/>
              <w:jc w:val="center"/>
              <w:outlineLvl w:val="0"/>
              <w:rPr>
                <w:sz w:val="20"/>
                <w:lang w:val="en-US"/>
              </w:rPr>
            </w:pPr>
            <w:r w:rsidRPr="00A375D8">
              <w:rPr>
                <w:sz w:val="20"/>
                <w:lang w:val="en-US"/>
              </w:rPr>
              <w:t>15</w:t>
            </w:r>
          </w:p>
        </w:tc>
        <w:tc>
          <w:tcPr>
            <w:tcW w:w="1667" w:type="pct"/>
            <w:shd w:val="clear" w:color="auto" w:fill="auto"/>
          </w:tcPr>
          <w:p w14:paraId="4B08FAF9" w14:textId="77777777" w:rsidR="001A4F85" w:rsidRPr="00A375D8" w:rsidRDefault="001A4F85" w:rsidP="00115341">
            <w:pPr>
              <w:pStyle w:val="Heading1"/>
              <w:keepNext/>
              <w:numPr>
                <w:ilvl w:val="0"/>
                <w:numId w:val="0"/>
              </w:numPr>
              <w:spacing w:after="0"/>
              <w:jc w:val="right"/>
              <w:outlineLvl w:val="0"/>
              <w:rPr>
                <w:sz w:val="20"/>
                <w:lang w:val="en-US"/>
              </w:rPr>
            </w:pPr>
            <w:r w:rsidRPr="00A375D8">
              <w:rPr>
                <w:sz w:val="20"/>
                <w:lang w:val="en-US"/>
              </w:rPr>
              <w:t>1,636,013</w:t>
            </w:r>
          </w:p>
        </w:tc>
      </w:tr>
      <w:tr w:rsidR="001A4F85" w:rsidRPr="006F2DC7" w14:paraId="4F3FB01D" w14:textId="77777777" w:rsidTr="001A4F85">
        <w:tc>
          <w:tcPr>
            <w:tcW w:w="2272" w:type="pct"/>
          </w:tcPr>
          <w:p w14:paraId="01734708" w14:textId="77777777" w:rsidR="001A4F85" w:rsidRPr="001A4F85" w:rsidRDefault="001A4F85" w:rsidP="00115341">
            <w:pPr>
              <w:pStyle w:val="Heading1"/>
              <w:keepNext/>
              <w:numPr>
                <w:ilvl w:val="0"/>
                <w:numId w:val="0"/>
              </w:numPr>
              <w:bidi/>
              <w:spacing w:after="0"/>
              <w:jc w:val="left"/>
              <w:outlineLvl w:val="0"/>
              <w:rPr>
                <w:sz w:val="20"/>
                <w:lang w:val="en-US" w:bidi="ar-EG"/>
              </w:rPr>
            </w:pPr>
            <w:r w:rsidRPr="0016403D">
              <w:rPr>
                <w:rFonts w:hint="cs"/>
                <w:b/>
                <w:bCs/>
                <w:sz w:val="20"/>
                <w:rtl/>
                <w:lang w:val="en-US" w:bidi="ar-EG"/>
              </w:rPr>
              <w:t xml:space="preserve">المجموعة </w:t>
            </w:r>
            <w:r>
              <w:rPr>
                <w:rFonts w:hint="cs"/>
                <w:b/>
                <w:bCs/>
                <w:sz w:val="20"/>
                <w:rtl/>
                <w:lang w:val="en-US" w:bidi="ar-EG"/>
              </w:rPr>
              <w:t>3</w:t>
            </w:r>
            <w:r>
              <w:rPr>
                <w:rFonts w:hint="cs"/>
                <w:sz w:val="20"/>
                <w:rtl/>
                <w:lang w:val="en-US" w:bidi="ar-EG"/>
              </w:rPr>
              <w:t xml:space="preserve">: </w:t>
            </w:r>
            <w:r>
              <w:rPr>
                <w:sz w:val="20"/>
                <w:lang w:val="en-US" w:bidi="ar-EG"/>
              </w:rPr>
              <w:t>8,000</w:t>
            </w:r>
            <w:r w:rsidRPr="0016403D">
              <w:rPr>
                <w:rFonts w:hint="cs"/>
                <w:sz w:val="20"/>
                <w:rtl/>
                <w:lang w:val="en-US" w:bidi="ar-EG"/>
              </w:rPr>
              <w:t xml:space="preserve"> إلى </w:t>
            </w:r>
            <w:r>
              <w:rPr>
                <w:sz w:val="20"/>
                <w:lang w:val="en-US" w:bidi="ar-EG"/>
              </w:rPr>
              <w:t>25,000</w:t>
            </w:r>
          </w:p>
        </w:tc>
        <w:tc>
          <w:tcPr>
            <w:tcW w:w="1061" w:type="pct"/>
            <w:shd w:val="clear" w:color="auto" w:fill="auto"/>
          </w:tcPr>
          <w:p w14:paraId="3E78B85A" w14:textId="77777777" w:rsidR="001A4F85" w:rsidRPr="00A375D8" w:rsidRDefault="001A4F85" w:rsidP="00115341">
            <w:pPr>
              <w:pStyle w:val="Heading1"/>
              <w:keepNext/>
              <w:numPr>
                <w:ilvl w:val="0"/>
                <w:numId w:val="0"/>
              </w:numPr>
              <w:spacing w:after="0"/>
              <w:jc w:val="center"/>
              <w:outlineLvl w:val="0"/>
              <w:rPr>
                <w:sz w:val="20"/>
                <w:lang w:val="en-US"/>
              </w:rPr>
            </w:pPr>
            <w:r w:rsidRPr="00A375D8">
              <w:rPr>
                <w:sz w:val="20"/>
                <w:lang w:val="en-US"/>
              </w:rPr>
              <w:t>5</w:t>
            </w:r>
          </w:p>
        </w:tc>
        <w:tc>
          <w:tcPr>
            <w:tcW w:w="1667" w:type="pct"/>
            <w:shd w:val="clear" w:color="auto" w:fill="auto"/>
          </w:tcPr>
          <w:p w14:paraId="38452240" w14:textId="77777777" w:rsidR="001A4F85" w:rsidRPr="00A375D8" w:rsidRDefault="001A4F85" w:rsidP="00115341">
            <w:pPr>
              <w:pStyle w:val="Heading1"/>
              <w:keepNext/>
              <w:numPr>
                <w:ilvl w:val="0"/>
                <w:numId w:val="0"/>
              </w:numPr>
              <w:spacing w:after="0"/>
              <w:jc w:val="right"/>
              <w:outlineLvl w:val="0"/>
              <w:rPr>
                <w:sz w:val="20"/>
                <w:lang w:val="en-US"/>
              </w:rPr>
            </w:pPr>
            <w:r w:rsidRPr="00A375D8">
              <w:rPr>
                <w:sz w:val="20"/>
                <w:lang w:val="en-US"/>
              </w:rPr>
              <w:t>4,961,466</w:t>
            </w:r>
          </w:p>
        </w:tc>
      </w:tr>
      <w:tr w:rsidR="001A4F85" w:rsidRPr="006F2DC7" w14:paraId="425080A3" w14:textId="77777777" w:rsidTr="001A4F85">
        <w:tc>
          <w:tcPr>
            <w:tcW w:w="2272" w:type="pct"/>
          </w:tcPr>
          <w:p w14:paraId="59543195" w14:textId="77777777" w:rsidR="001A4F85" w:rsidRPr="001A4F85" w:rsidRDefault="001A4F85" w:rsidP="00115341">
            <w:pPr>
              <w:pStyle w:val="Heading1"/>
              <w:keepNext/>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b/>
                <w:bCs/>
                <w:sz w:val="20"/>
                <w:lang w:val="en-US" w:bidi="ar-EG"/>
              </w:rPr>
              <w:t>4</w:t>
            </w:r>
            <w:r>
              <w:rPr>
                <w:rFonts w:hint="cs"/>
                <w:sz w:val="20"/>
                <w:rtl/>
                <w:lang w:val="en-US" w:bidi="ar-EG"/>
              </w:rPr>
              <w:t xml:space="preserve">: أكثر من </w:t>
            </w:r>
            <w:r>
              <w:rPr>
                <w:sz w:val="20"/>
                <w:lang w:val="en-US" w:bidi="ar-EG"/>
              </w:rPr>
              <w:t>25,000</w:t>
            </w:r>
          </w:p>
        </w:tc>
        <w:tc>
          <w:tcPr>
            <w:tcW w:w="1061" w:type="pct"/>
            <w:shd w:val="clear" w:color="auto" w:fill="auto"/>
          </w:tcPr>
          <w:p w14:paraId="0DFF144C" w14:textId="77777777" w:rsidR="001A4F85" w:rsidRPr="00A375D8" w:rsidRDefault="001A4F85" w:rsidP="00115341">
            <w:pPr>
              <w:pStyle w:val="Heading1"/>
              <w:keepNext/>
              <w:numPr>
                <w:ilvl w:val="0"/>
                <w:numId w:val="0"/>
              </w:numPr>
              <w:spacing w:after="0"/>
              <w:jc w:val="center"/>
              <w:outlineLvl w:val="0"/>
              <w:rPr>
                <w:sz w:val="20"/>
                <w:lang w:val="en-US"/>
              </w:rPr>
            </w:pPr>
            <w:r w:rsidRPr="00A375D8">
              <w:rPr>
                <w:sz w:val="20"/>
                <w:lang w:val="en-US"/>
              </w:rPr>
              <w:t>1</w:t>
            </w:r>
          </w:p>
        </w:tc>
        <w:tc>
          <w:tcPr>
            <w:tcW w:w="1667" w:type="pct"/>
            <w:shd w:val="clear" w:color="auto" w:fill="auto"/>
          </w:tcPr>
          <w:p w14:paraId="0DBA620F" w14:textId="77777777" w:rsidR="001A4F85" w:rsidRPr="00A375D8" w:rsidRDefault="006F1DA4" w:rsidP="00115341">
            <w:pPr>
              <w:pStyle w:val="Heading1"/>
              <w:keepNext/>
              <w:numPr>
                <w:ilvl w:val="0"/>
                <w:numId w:val="0"/>
              </w:numPr>
              <w:spacing w:after="0"/>
              <w:jc w:val="right"/>
              <w:outlineLvl w:val="0"/>
              <w:rPr>
                <w:sz w:val="20"/>
                <w:lang w:val="en-US"/>
              </w:rPr>
            </w:pPr>
            <w:r>
              <w:rPr>
                <w:rFonts w:hint="cs"/>
                <w:sz w:val="20"/>
                <w:rtl/>
                <w:lang w:val="en-US"/>
              </w:rPr>
              <w:t>حسب كل حالة على حدة</w:t>
            </w:r>
          </w:p>
        </w:tc>
      </w:tr>
    </w:tbl>
    <w:p w14:paraId="2563C6FB" w14:textId="77777777" w:rsidR="001A4F85" w:rsidRDefault="001A4F85" w:rsidP="00115341">
      <w:pPr>
        <w:pStyle w:val="StyleHeader4Para4Left0Firstline0"/>
        <w:keepNext/>
        <w:widowControl/>
        <w:numPr>
          <w:ilvl w:val="0"/>
          <w:numId w:val="0"/>
        </w:numPr>
        <w:tabs>
          <w:tab w:val="clear" w:pos="2880"/>
          <w:tab w:val="clear" w:pos="5760"/>
        </w:tabs>
        <w:bidi/>
        <w:rPr>
          <w:sz w:val="26"/>
          <w:szCs w:val="26"/>
          <w:rtl/>
        </w:rPr>
      </w:pPr>
    </w:p>
    <w:p w14:paraId="7FD555E2" w14:textId="77777777" w:rsidR="00605315" w:rsidRDefault="000A735E" w:rsidP="00115341">
      <w:pPr>
        <w:pStyle w:val="StyleHeader4Para4Left0Firstline0"/>
        <w:keepNext/>
        <w:widowControl/>
        <w:numPr>
          <w:ilvl w:val="0"/>
          <w:numId w:val="23"/>
        </w:numPr>
        <w:tabs>
          <w:tab w:val="clear" w:pos="2880"/>
          <w:tab w:val="clear" w:pos="5760"/>
        </w:tabs>
        <w:bidi/>
        <w:ind w:left="0" w:firstLine="0"/>
        <w:rPr>
          <w:sz w:val="26"/>
          <w:szCs w:val="26"/>
        </w:rPr>
      </w:pPr>
      <w:r>
        <w:rPr>
          <w:rFonts w:hint="cs"/>
          <w:sz w:val="26"/>
          <w:szCs w:val="26"/>
          <w:rtl/>
        </w:rPr>
        <w:t>و</w:t>
      </w:r>
      <w:r w:rsidR="00CE16C0">
        <w:rPr>
          <w:rFonts w:hint="cs"/>
          <w:sz w:val="26"/>
          <w:szCs w:val="26"/>
          <w:rtl/>
        </w:rPr>
        <w:t>تم حساب مستوى التمويل لكل مجموعة في الجدول 3 على أنه متوسط التمويل لجميع البلدان في المجموعة باستخدام مستوى جدوى التكلفة المقترح (</w:t>
      </w:r>
      <w:r w:rsidR="00CE16C0">
        <w:rPr>
          <w:sz w:val="26"/>
          <w:szCs w:val="26"/>
          <w:lang w:val="en-US"/>
        </w:rPr>
        <w:t>4.80</w:t>
      </w:r>
      <w:r w:rsidR="00CE16C0">
        <w:rPr>
          <w:rFonts w:hint="cs"/>
          <w:sz w:val="26"/>
          <w:szCs w:val="26"/>
          <w:rtl/>
          <w:lang w:val="en-US"/>
        </w:rPr>
        <w:t xml:space="preserve"> دولارات أمريكية للكيلوغرام بالنسبة للمجموعة 1، و</w:t>
      </w:r>
      <w:r w:rsidR="00CE16C0">
        <w:rPr>
          <w:sz w:val="26"/>
          <w:szCs w:val="26"/>
          <w:lang w:val="en-US"/>
        </w:rPr>
        <w:t>4.80</w:t>
      </w:r>
      <w:r w:rsidR="00CE16C0">
        <w:rPr>
          <w:rFonts w:hint="cs"/>
          <w:sz w:val="26"/>
          <w:szCs w:val="26"/>
          <w:rtl/>
          <w:lang w:val="en-US" w:bidi="ar-EG"/>
        </w:rPr>
        <w:t>/</w:t>
      </w:r>
      <w:r w:rsidR="00CE16C0">
        <w:rPr>
          <w:sz w:val="26"/>
          <w:szCs w:val="26"/>
          <w:lang w:val="en-US" w:bidi="ar-EG"/>
        </w:rPr>
        <w:t>4.00</w:t>
      </w:r>
      <w:r w:rsidR="00CE16C0">
        <w:rPr>
          <w:rFonts w:hint="cs"/>
          <w:sz w:val="26"/>
          <w:szCs w:val="26"/>
          <w:rtl/>
          <w:lang w:val="en-US" w:bidi="ar-EG"/>
        </w:rPr>
        <w:t xml:space="preserve"> دولارات </w:t>
      </w:r>
      <w:r w:rsidR="00447F3C">
        <w:rPr>
          <w:rFonts w:hint="cs"/>
          <w:sz w:val="26"/>
          <w:szCs w:val="26"/>
          <w:rtl/>
          <w:lang w:val="en-US" w:bidi="ar-EG"/>
        </w:rPr>
        <w:t xml:space="preserve">أمريكية </w:t>
      </w:r>
      <w:r w:rsidR="00CE16C0">
        <w:rPr>
          <w:rFonts w:hint="cs"/>
          <w:sz w:val="26"/>
          <w:szCs w:val="26"/>
          <w:rtl/>
          <w:lang w:val="en-US" w:bidi="ar-EG"/>
        </w:rPr>
        <w:t>للكيلوغرام بالنسبة للمجموعة 2، و</w:t>
      </w:r>
      <w:r w:rsidR="00CE16C0" w:rsidRPr="00CE16C0">
        <w:rPr>
          <w:rFonts w:hint="cs"/>
          <w:sz w:val="26"/>
          <w:szCs w:val="26"/>
          <w:rtl/>
          <w:lang w:val="en-US"/>
        </w:rPr>
        <w:t xml:space="preserve"> </w:t>
      </w:r>
      <w:r w:rsidR="00CE16C0">
        <w:rPr>
          <w:sz w:val="26"/>
          <w:szCs w:val="26"/>
          <w:lang w:val="en-US"/>
        </w:rPr>
        <w:t>4.80</w:t>
      </w:r>
      <w:r w:rsidR="00CE16C0">
        <w:rPr>
          <w:rFonts w:hint="cs"/>
          <w:sz w:val="26"/>
          <w:szCs w:val="26"/>
          <w:rtl/>
          <w:lang w:val="en-US" w:bidi="ar-EG"/>
        </w:rPr>
        <w:t>/</w:t>
      </w:r>
      <w:r w:rsidR="00CE16C0">
        <w:rPr>
          <w:sz w:val="26"/>
          <w:szCs w:val="26"/>
          <w:lang w:val="en-US" w:bidi="ar-EG"/>
        </w:rPr>
        <w:t>3.20</w:t>
      </w:r>
      <w:r w:rsidR="00CE16C0">
        <w:rPr>
          <w:rFonts w:hint="cs"/>
          <w:sz w:val="26"/>
          <w:szCs w:val="26"/>
          <w:rtl/>
          <w:lang w:val="en-US" w:bidi="ar-EG"/>
        </w:rPr>
        <w:t xml:space="preserve"> دولارات </w:t>
      </w:r>
      <w:r w:rsidR="00447F3C">
        <w:rPr>
          <w:rFonts w:hint="cs"/>
          <w:sz w:val="26"/>
          <w:szCs w:val="26"/>
          <w:rtl/>
          <w:lang w:val="en-US" w:bidi="ar-EG"/>
        </w:rPr>
        <w:t xml:space="preserve">أمريكية </w:t>
      </w:r>
      <w:r w:rsidR="00CE16C0">
        <w:rPr>
          <w:rFonts w:hint="cs"/>
          <w:sz w:val="26"/>
          <w:szCs w:val="26"/>
          <w:rtl/>
          <w:lang w:val="en-US" w:bidi="ar-EG"/>
        </w:rPr>
        <w:t>للكيلوغرام بالنسبة للمجموعة 3). ويتمثل العيب في استخدام هذا الخيار في أنه، نظرا للحجم الكبير للمجموعات، فإن اقتراح مستوى تمويل لكل مجموعة لن يكون متساو على مدى البلدان في المجموعة. وبصفة خاصة، ستتلقى بلدان المادة 5 في نفس المجموعة نفس حجم التمويل بغض النظر عن حقيقة أن البلدان التي لديها خط أساس أعلى عليها أن تزيل مستوى أعلى من الاستهلاك. فعلى سبيل المثال، فإن</w:t>
      </w:r>
      <w:r w:rsidR="00CE16C0">
        <w:rPr>
          <w:rFonts w:hint="cs"/>
          <w:sz w:val="26"/>
          <w:szCs w:val="26"/>
          <w:rtl/>
          <w:lang w:bidi="ar-EG"/>
        </w:rPr>
        <w:t xml:space="preserve"> تقدير التمويل استنادا إلى مستوى جدوى التكلفة في الجدول 2، </w:t>
      </w:r>
      <w:r w:rsidR="00947CD6">
        <w:rPr>
          <w:rFonts w:hint="cs"/>
          <w:sz w:val="26"/>
          <w:szCs w:val="26"/>
          <w:rtl/>
        </w:rPr>
        <w:t xml:space="preserve">سيتلقى البلد الذي لديه أقل استهلاك في المجموعة 2، </w:t>
      </w:r>
      <w:r w:rsidR="00947CD6">
        <w:rPr>
          <w:sz w:val="26"/>
          <w:szCs w:val="26"/>
          <w:lang w:val="en-US"/>
        </w:rPr>
        <w:t>907,300</w:t>
      </w:r>
      <w:r w:rsidR="00947CD6">
        <w:rPr>
          <w:rFonts w:hint="cs"/>
          <w:sz w:val="26"/>
          <w:szCs w:val="26"/>
          <w:rtl/>
          <w:lang w:val="en-US"/>
        </w:rPr>
        <w:t xml:space="preserve"> دولارا أمريكيا وسيتلقى البلد الذي لديه أكبر استهلاك </w:t>
      </w:r>
      <w:r w:rsidR="00947CD6">
        <w:rPr>
          <w:sz w:val="26"/>
          <w:szCs w:val="26"/>
          <w:lang w:val="en-US"/>
        </w:rPr>
        <w:t>2,686,076</w:t>
      </w:r>
      <w:r w:rsidR="00947CD6">
        <w:rPr>
          <w:rFonts w:hint="cs"/>
          <w:sz w:val="26"/>
          <w:szCs w:val="26"/>
          <w:rtl/>
          <w:lang w:val="en-US" w:bidi="ar-EG"/>
        </w:rPr>
        <w:t xml:space="preserve"> دولار أمريكي. وسيقتضى ذلك أن يضمن عدد أكبر بكثير من مجموعات البلدان التي لا ينخفض فيها حجم الاستهلاك أن يتم تعديل مستوى التمويل على نحو أفضل إلى مستوى التمويل هذا (مثل المجموعات الأصغر من البلدان التي ينخفض فيها حجم الاستهلاك). ولهذا السبب، تعتبر الأمانة أن استخدام العتبات المجمعة لجدوى التكلفة المقترحة في القسم السابق (الجدول 2) ستقدم مستويات تمويل تكون مناسبة لمستوى الاستهلاك الحالي ومستوى الأنشطة المطلوبة في كل بلد.</w:t>
      </w:r>
    </w:p>
    <w:p w14:paraId="364CC2FA" w14:textId="77777777" w:rsidR="006F1DA4" w:rsidRDefault="006F1DA4" w:rsidP="006F1DA4">
      <w:pPr>
        <w:pStyle w:val="StyleHeader4Para4Left0Firstline0"/>
        <w:widowControl/>
        <w:numPr>
          <w:ilvl w:val="0"/>
          <w:numId w:val="0"/>
        </w:numPr>
        <w:tabs>
          <w:tab w:val="clear" w:pos="2880"/>
          <w:tab w:val="clear" w:pos="5760"/>
        </w:tabs>
        <w:bidi/>
        <w:rPr>
          <w:sz w:val="26"/>
          <w:szCs w:val="26"/>
          <w:rtl/>
        </w:rPr>
      </w:pPr>
      <w:r w:rsidRPr="006F1DA4">
        <w:rPr>
          <w:rFonts w:hint="cs"/>
          <w:b/>
          <w:bCs/>
          <w:sz w:val="26"/>
          <w:szCs w:val="26"/>
          <w:rtl/>
        </w:rPr>
        <w:t>الحالات الخاصة</w:t>
      </w:r>
    </w:p>
    <w:p w14:paraId="39E0BEAC" w14:textId="77777777" w:rsidR="006F1DA4" w:rsidRPr="006F1DA4" w:rsidRDefault="006F1DA4" w:rsidP="006F1DA4">
      <w:pPr>
        <w:pStyle w:val="StyleHeader4Para4Left0Firstline0"/>
        <w:widowControl/>
        <w:numPr>
          <w:ilvl w:val="0"/>
          <w:numId w:val="0"/>
        </w:numPr>
        <w:tabs>
          <w:tab w:val="clear" w:pos="2880"/>
          <w:tab w:val="clear" w:pos="5760"/>
        </w:tabs>
        <w:bidi/>
        <w:rPr>
          <w:sz w:val="26"/>
          <w:szCs w:val="26"/>
        </w:rPr>
      </w:pPr>
      <w:r w:rsidRPr="006F1DA4">
        <w:rPr>
          <w:rFonts w:hint="cs"/>
          <w:sz w:val="26"/>
          <w:szCs w:val="26"/>
          <w:u w:val="single"/>
          <w:rtl/>
        </w:rPr>
        <w:t>الحالة الخاصة للبلدان التي لا ينخفض فيها حجم الاستهلاك ولديها مستويات استهلاك تقترب من 360 طن متري</w:t>
      </w:r>
    </w:p>
    <w:p w14:paraId="7DFF9BC1" w14:textId="77777777" w:rsidR="006F1DA4" w:rsidRDefault="00A5324D" w:rsidP="00447F3C">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عند تطبيق القيم المقترحة أعلاه على كل مجموعة من البلدان التي لا ينخفض فيها حجم الاستهلاك، لاحظت الأمانة أنه بالنسبة للبلدان الأربع عشر</w:t>
      </w:r>
      <w:r w:rsidR="000A735E">
        <w:rPr>
          <w:rStyle w:val="FootnoteReference"/>
          <w:sz w:val="26"/>
          <w:szCs w:val="26"/>
          <w:rtl/>
        </w:rPr>
        <w:footnoteReference w:id="6"/>
      </w:r>
      <w:r>
        <w:rPr>
          <w:rFonts w:hint="cs"/>
          <w:sz w:val="26"/>
          <w:szCs w:val="26"/>
          <w:rtl/>
        </w:rPr>
        <w:t xml:space="preserve"> في المجموعة 1، </w:t>
      </w:r>
      <w:r w:rsidR="00A064BD">
        <w:rPr>
          <w:rFonts w:hint="cs"/>
          <w:sz w:val="26"/>
          <w:szCs w:val="26"/>
          <w:rtl/>
        </w:rPr>
        <w:t>التي لديها مستويات استهلاك للهيدروكلوروفلوروكربون تقترب كثيرا من مستويات البلدان التي ينخفض فيها حجم استهلاك (</w:t>
      </w:r>
      <w:r w:rsidR="00A064BD">
        <w:rPr>
          <w:sz w:val="26"/>
          <w:szCs w:val="26"/>
          <w:lang w:val="en-US"/>
        </w:rPr>
        <w:t>360</w:t>
      </w:r>
      <w:r w:rsidR="00A064BD">
        <w:rPr>
          <w:rFonts w:hint="cs"/>
          <w:sz w:val="26"/>
          <w:szCs w:val="26"/>
          <w:rtl/>
          <w:lang w:val="en-US" w:bidi="ar-EG"/>
        </w:rPr>
        <w:t xml:space="preserve"> طن متري إلى </w:t>
      </w:r>
      <w:r w:rsidR="00A064BD">
        <w:rPr>
          <w:sz w:val="26"/>
          <w:szCs w:val="26"/>
          <w:lang w:val="en-US" w:bidi="ar-EG"/>
        </w:rPr>
        <w:t>1,800</w:t>
      </w:r>
      <w:r w:rsidR="00A064BD">
        <w:rPr>
          <w:rFonts w:hint="cs"/>
          <w:sz w:val="26"/>
          <w:szCs w:val="26"/>
          <w:rtl/>
          <w:lang w:val="en-US" w:bidi="ar-EG"/>
        </w:rPr>
        <w:t xml:space="preserve"> طن متري)، فإن استخدام </w:t>
      </w:r>
      <w:r w:rsidR="00A064BD">
        <w:rPr>
          <w:sz w:val="26"/>
          <w:szCs w:val="26"/>
          <w:lang w:val="en-US" w:bidi="ar-EG"/>
        </w:rPr>
        <w:t>4.80</w:t>
      </w:r>
      <w:r w:rsidR="00A064BD">
        <w:rPr>
          <w:rFonts w:hint="cs"/>
          <w:sz w:val="26"/>
          <w:szCs w:val="26"/>
          <w:rtl/>
          <w:lang w:val="en-US" w:bidi="ar-EG"/>
        </w:rPr>
        <w:t xml:space="preserve"> دولارات أمريكية للكيلوغرام سيمثل مستويات تمويل أقل </w:t>
      </w:r>
      <w:r w:rsidR="00A064BD">
        <w:rPr>
          <w:rFonts w:hint="cs"/>
          <w:sz w:val="26"/>
          <w:szCs w:val="26"/>
          <w:rtl/>
        </w:rPr>
        <w:t xml:space="preserve">من </w:t>
      </w:r>
      <w:r w:rsidR="00A064BD">
        <w:rPr>
          <w:sz w:val="26"/>
          <w:szCs w:val="26"/>
          <w:lang w:val="en-US"/>
        </w:rPr>
        <w:t>27</w:t>
      </w:r>
      <w:r w:rsidR="00447F3C">
        <w:rPr>
          <w:sz w:val="26"/>
          <w:szCs w:val="26"/>
          <w:lang w:val="en-US"/>
        </w:rPr>
        <w:t>0</w:t>
      </w:r>
      <w:r w:rsidR="00A064BD">
        <w:rPr>
          <w:sz w:val="26"/>
          <w:szCs w:val="26"/>
          <w:lang w:val="en-US"/>
        </w:rPr>
        <w:t>,</w:t>
      </w:r>
      <w:r w:rsidR="00447F3C">
        <w:rPr>
          <w:sz w:val="26"/>
          <w:szCs w:val="26"/>
          <w:lang w:val="en-US"/>
        </w:rPr>
        <w:t>000</w:t>
      </w:r>
      <w:r w:rsidR="00A064BD">
        <w:rPr>
          <w:rFonts w:hint="cs"/>
          <w:sz w:val="26"/>
          <w:szCs w:val="26"/>
          <w:rtl/>
          <w:lang w:val="en-US" w:bidi="ar-EG"/>
        </w:rPr>
        <w:t xml:space="preserve"> دولارا أمريكيا المقترح لأكبر البلدان التي ينخفض فيها حجم الاستهلاك. ويمكن لتلك البلدان أن تقرر ما إذا كانت ترغب في أن يتم تمويلها على أنها بلد ينخفض فيه حجم الاستهلاك أو كبلد لا ينخفض فيها حجم الاستهلاك. وكمثال لهذه الحالة هناك بنما</w:t>
      </w:r>
      <w:r w:rsidR="000A735E">
        <w:rPr>
          <w:rFonts w:hint="cs"/>
          <w:sz w:val="26"/>
          <w:szCs w:val="26"/>
          <w:rtl/>
          <w:lang w:val="en-US" w:bidi="ar-EG"/>
        </w:rPr>
        <w:t>.</w:t>
      </w:r>
      <w:r w:rsidR="00A064BD">
        <w:rPr>
          <w:rFonts w:hint="cs"/>
          <w:sz w:val="26"/>
          <w:szCs w:val="26"/>
          <w:rtl/>
          <w:lang w:val="en-US" w:bidi="ar-EG"/>
        </w:rPr>
        <w:t xml:space="preserve"> </w:t>
      </w:r>
      <w:r w:rsidR="000A735E">
        <w:rPr>
          <w:rFonts w:hint="cs"/>
          <w:sz w:val="26"/>
          <w:szCs w:val="26"/>
          <w:rtl/>
          <w:lang w:val="en-US" w:bidi="ar-EG"/>
        </w:rPr>
        <w:t>و</w:t>
      </w:r>
      <w:r w:rsidR="00A064BD">
        <w:rPr>
          <w:rFonts w:hint="cs"/>
          <w:sz w:val="26"/>
          <w:szCs w:val="26"/>
          <w:rtl/>
          <w:lang w:val="en-US" w:bidi="ar-EG"/>
        </w:rPr>
        <w:t xml:space="preserve">يبلغ استهلاك الهيدروكلوروفلوروكربون في قطاع الخدمة في بنما </w:t>
      </w:r>
      <w:r w:rsidR="00A064BD">
        <w:rPr>
          <w:sz w:val="26"/>
          <w:szCs w:val="26"/>
          <w:lang w:val="en-US" w:bidi="ar-EG"/>
        </w:rPr>
        <w:t>404.3</w:t>
      </w:r>
      <w:r w:rsidR="00A064BD">
        <w:rPr>
          <w:rFonts w:hint="cs"/>
          <w:sz w:val="26"/>
          <w:szCs w:val="26"/>
          <w:rtl/>
          <w:lang w:val="en-US" w:bidi="ar-EG"/>
        </w:rPr>
        <w:t xml:space="preserve"> طن متري، وهو يضع بنما في المجموعة 1 من البلدان التي لا ينخفض فيها حجم الاستهلاك. وبناء عليه، فإن استخدام استهلاك الهيدروكلوروفلوروكربون كوكيل، سيبلغ مستوى التمويل التي تحصل عليه بنما عند </w:t>
      </w:r>
      <w:r w:rsidR="00A064BD">
        <w:rPr>
          <w:sz w:val="26"/>
          <w:szCs w:val="26"/>
          <w:lang w:val="en-US" w:bidi="ar-EG"/>
        </w:rPr>
        <w:t>4.80</w:t>
      </w:r>
      <w:r w:rsidR="00A064BD">
        <w:rPr>
          <w:rFonts w:hint="cs"/>
          <w:sz w:val="26"/>
          <w:szCs w:val="26"/>
          <w:rtl/>
          <w:lang w:val="en-US" w:bidi="ar-EG"/>
        </w:rPr>
        <w:t xml:space="preserve"> دولارات أمريكية للكيلوغرام سيكون </w:t>
      </w:r>
      <w:r w:rsidR="00A064BD">
        <w:rPr>
          <w:sz w:val="26"/>
          <w:szCs w:val="26"/>
          <w:lang w:val="en-US" w:bidi="ar-EG"/>
        </w:rPr>
        <w:t>194,074</w:t>
      </w:r>
      <w:r w:rsidR="00A064BD">
        <w:rPr>
          <w:rFonts w:hint="cs"/>
          <w:sz w:val="26"/>
          <w:szCs w:val="26"/>
          <w:rtl/>
          <w:lang w:val="en-US" w:bidi="ar-EG"/>
        </w:rPr>
        <w:t xml:space="preserve"> دولارا أمريكيا، وهو أقل من مبلغ </w:t>
      </w:r>
      <w:r w:rsidR="00A064BD">
        <w:rPr>
          <w:sz w:val="26"/>
          <w:szCs w:val="26"/>
          <w:lang w:val="en-US" w:bidi="ar-EG"/>
        </w:rPr>
        <w:t>270,000</w:t>
      </w:r>
      <w:r w:rsidR="00A064BD">
        <w:rPr>
          <w:rFonts w:hint="cs"/>
          <w:sz w:val="26"/>
          <w:szCs w:val="26"/>
          <w:rtl/>
          <w:lang w:val="en-US" w:bidi="ar-EG"/>
        </w:rPr>
        <w:t xml:space="preserve"> الذي حصلت عليه أكبر البلدان التي ينخفض فيها حجم الاستهلاك. وفي هذه الحالة، يمكن أن تختار بنما أن تتلقى </w:t>
      </w:r>
      <w:r w:rsidR="00A064BD">
        <w:rPr>
          <w:sz w:val="26"/>
          <w:szCs w:val="26"/>
          <w:lang w:val="en-US" w:bidi="ar-EG"/>
        </w:rPr>
        <w:t>270,000</w:t>
      </w:r>
      <w:r w:rsidR="00A064BD">
        <w:rPr>
          <w:rFonts w:hint="cs"/>
          <w:sz w:val="26"/>
          <w:szCs w:val="26"/>
          <w:rtl/>
          <w:lang w:val="en-US" w:bidi="ar-EG"/>
        </w:rPr>
        <w:t xml:space="preserve"> دولارا أمريكيا. غير أنه أشير إلى أن استهلاك الهيدروفلوروكربون في قطاع الخدمة في بنما في عام 2021 بلغ </w:t>
      </w:r>
      <w:r w:rsidR="00A064BD">
        <w:rPr>
          <w:sz w:val="26"/>
          <w:szCs w:val="26"/>
          <w:lang w:val="en-US" w:bidi="ar-EG"/>
        </w:rPr>
        <w:t>821.26</w:t>
      </w:r>
      <w:r w:rsidR="00A064BD">
        <w:rPr>
          <w:rFonts w:hint="cs"/>
          <w:sz w:val="26"/>
          <w:szCs w:val="26"/>
          <w:rtl/>
          <w:lang w:val="en-US" w:bidi="ar-EG"/>
        </w:rPr>
        <w:t xml:space="preserve"> طنا متريا. وبمجرد معرفة خطوط أساس الهيدروفلوروكربون، وإذا كان الاستهلاك المتوسط للهيدروفلوروكربون في قطاع الخدمة لسنوات خط الأساس في بنما عند حوالي مستوى الاستهلاك في عام 2021 (</w:t>
      </w:r>
      <w:r w:rsidR="00A064BD">
        <w:rPr>
          <w:sz w:val="26"/>
          <w:szCs w:val="26"/>
          <w:lang w:val="en-US" w:bidi="ar-EG"/>
        </w:rPr>
        <w:t>821.26</w:t>
      </w:r>
      <w:r w:rsidR="00A064BD">
        <w:rPr>
          <w:rFonts w:hint="cs"/>
          <w:sz w:val="26"/>
          <w:szCs w:val="26"/>
          <w:rtl/>
          <w:lang w:val="en-US" w:bidi="ar-EG"/>
        </w:rPr>
        <w:t xml:space="preserve"> طن متري)، يمكن أن تتلقى بنما حوالي </w:t>
      </w:r>
      <w:r w:rsidR="00A064BD">
        <w:rPr>
          <w:sz w:val="26"/>
          <w:szCs w:val="26"/>
          <w:lang w:val="en-US" w:bidi="ar-EG"/>
        </w:rPr>
        <w:t>394,000</w:t>
      </w:r>
      <w:r w:rsidR="00A064BD">
        <w:rPr>
          <w:rFonts w:hint="cs"/>
          <w:sz w:val="26"/>
          <w:szCs w:val="26"/>
          <w:rtl/>
          <w:lang w:val="en-US" w:bidi="ar-EG"/>
        </w:rPr>
        <w:t xml:space="preserve"> دولارا أمريكيا عند </w:t>
      </w:r>
      <w:r w:rsidR="00A064BD">
        <w:rPr>
          <w:sz w:val="26"/>
          <w:szCs w:val="26"/>
          <w:lang w:val="en-US" w:bidi="ar-EG"/>
        </w:rPr>
        <w:t>4.80</w:t>
      </w:r>
      <w:r w:rsidR="00A064BD">
        <w:rPr>
          <w:rFonts w:hint="cs"/>
          <w:sz w:val="26"/>
          <w:szCs w:val="26"/>
          <w:rtl/>
          <w:lang w:val="en-US" w:bidi="ar-EG"/>
        </w:rPr>
        <w:t xml:space="preserve"> دولارات أمريكية للكيلوغرام، وهو أعلى من </w:t>
      </w:r>
      <w:r w:rsidR="00A064BD">
        <w:rPr>
          <w:sz w:val="26"/>
          <w:szCs w:val="26"/>
          <w:lang w:val="en-US" w:bidi="ar-EG"/>
        </w:rPr>
        <w:t>270,000</w:t>
      </w:r>
      <w:r w:rsidR="00A064BD">
        <w:rPr>
          <w:rFonts w:hint="cs"/>
          <w:sz w:val="26"/>
          <w:szCs w:val="26"/>
          <w:rtl/>
          <w:lang w:val="en-US" w:bidi="ar-EG"/>
        </w:rPr>
        <w:t xml:space="preserve"> دولارا أمريكيا. </w:t>
      </w:r>
      <w:r w:rsidR="000A735E">
        <w:rPr>
          <w:rFonts w:hint="cs"/>
          <w:sz w:val="26"/>
          <w:szCs w:val="26"/>
          <w:rtl/>
          <w:lang w:val="en-US" w:bidi="ar-EG"/>
        </w:rPr>
        <w:t xml:space="preserve">ويمكن للبلدان الأربع عشر التي لديها استهلاك أكبر، ولكنه يقترب من </w:t>
      </w:r>
      <w:r w:rsidR="000A735E">
        <w:rPr>
          <w:sz w:val="26"/>
          <w:szCs w:val="26"/>
          <w:lang w:val="en-US" w:bidi="ar-EG"/>
        </w:rPr>
        <w:t>360</w:t>
      </w:r>
      <w:r w:rsidR="000A735E">
        <w:rPr>
          <w:rFonts w:hint="cs"/>
          <w:sz w:val="26"/>
          <w:szCs w:val="26"/>
          <w:rtl/>
          <w:lang w:val="en-US" w:bidi="ar-EG"/>
        </w:rPr>
        <w:t xml:space="preserve"> طن متري أن تختار أن يتم تمويلها كبلد</w:t>
      </w:r>
      <w:r w:rsidR="00447F3C">
        <w:rPr>
          <w:rFonts w:hint="cs"/>
          <w:sz w:val="26"/>
          <w:szCs w:val="26"/>
          <w:rtl/>
          <w:lang w:val="en-US" w:bidi="ar-EG"/>
        </w:rPr>
        <w:t>ان</w:t>
      </w:r>
      <w:r w:rsidR="000A735E">
        <w:rPr>
          <w:rFonts w:hint="cs"/>
          <w:sz w:val="26"/>
          <w:szCs w:val="26"/>
          <w:rtl/>
          <w:lang w:val="en-US" w:bidi="ar-EG"/>
        </w:rPr>
        <w:t xml:space="preserve"> يخفض فيها حجم الاستهلاك (أي عند </w:t>
      </w:r>
      <w:r w:rsidR="000A735E">
        <w:rPr>
          <w:sz w:val="26"/>
          <w:szCs w:val="26"/>
          <w:lang w:val="en-US" w:bidi="ar-EG"/>
        </w:rPr>
        <w:t>270,000</w:t>
      </w:r>
      <w:r w:rsidR="000A735E">
        <w:rPr>
          <w:rFonts w:hint="cs"/>
          <w:sz w:val="26"/>
          <w:szCs w:val="26"/>
          <w:rtl/>
          <w:lang w:val="en-US" w:bidi="ar-EG"/>
        </w:rPr>
        <w:t xml:space="preserve"> دولارا أمريكيا</w:t>
      </w:r>
      <w:r w:rsidR="000A735E">
        <w:rPr>
          <w:rFonts w:hint="cs"/>
          <w:sz w:val="26"/>
          <w:szCs w:val="26"/>
          <w:rtl/>
          <w:lang w:bidi="ar-EG"/>
        </w:rPr>
        <w:t>)، وعند معرفة خطوط أساس الهيدروفلوروكربون، عند الاقتضاء، يمكنها أن تطلب تعديلا في التمويل بناء على استهلاكها.</w:t>
      </w:r>
    </w:p>
    <w:p w14:paraId="5207420F" w14:textId="77777777" w:rsidR="006F1DA4" w:rsidRPr="006F1DA4" w:rsidRDefault="006F1DA4" w:rsidP="006F1DA4">
      <w:pPr>
        <w:pStyle w:val="StyleHeader4Para4Left0Firstline0"/>
        <w:widowControl/>
        <w:numPr>
          <w:ilvl w:val="0"/>
          <w:numId w:val="0"/>
        </w:numPr>
        <w:tabs>
          <w:tab w:val="clear" w:pos="2880"/>
          <w:tab w:val="clear" w:pos="5760"/>
        </w:tabs>
        <w:bidi/>
        <w:rPr>
          <w:sz w:val="26"/>
          <w:szCs w:val="26"/>
          <w:u w:val="single"/>
        </w:rPr>
      </w:pPr>
      <w:r w:rsidRPr="006F1DA4">
        <w:rPr>
          <w:rFonts w:hint="cs"/>
          <w:sz w:val="26"/>
          <w:szCs w:val="26"/>
          <w:u w:val="single"/>
          <w:rtl/>
        </w:rPr>
        <w:t>بلدان المادة 5 التي أزالت بالفعل المواد الهيدروكلوروفلوروكربونية أو التي لديها خطط موافق عليها لإدارة إزالة المواد الهيدروكلوروفلوروكربونية للإزالة الكاملة للهيدروكلوروفلوروكربون قبل 1 يناير/ كانون الثاني 2025 أو بحلول ذلك التاريخ</w:t>
      </w:r>
    </w:p>
    <w:p w14:paraId="7B7E1888" w14:textId="77777777" w:rsidR="006F1DA4" w:rsidRDefault="000A735E" w:rsidP="00C10F6F">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عند الاضطلاع بالعمل الإضافي المطلوب لتصنيف بلدان المادة 5، حددت الأمانة تسع بلدان لديها خطط معتمدة لإدارة إزالة المواد الهيدروكلوروفلوروكربونية لتحقيق الإزالة الكاملة للمواد الهيدروكلوروفلوروكربونية قبل 1 يناير/ كانون الثاني 2025 أو </w:t>
      </w:r>
      <w:r w:rsidR="00C10F6F">
        <w:rPr>
          <w:rFonts w:hint="cs"/>
          <w:sz w:val="26"/>
          <w:szCs w:val="26"/>
          <w:rtl/>
        </w:rPr>
        <w:t>بحلول</w:t>
      </w:r>
      <w:r>
        <w:rPr>
          <w:rFonts w:hint="cs"/>
          <w:sz w:val="26"/>
          <w:szCs w:val="26"/>
          <w:rtl/>
        </w:rPr>
        <w:t xml:space="preserve"> ذلك التاريخ. وتشمل هذه البلدان ثماني بلدان ينخفض فيها حجم الاستهلاك (بوتان، </w:t>
      </w:r>
      <w:r w:rsidR="00DF0B31">
        <w:rPr>
          <w:rFonts w:hint="cs"/>
          <w:sz w:val="26"/>
          <w:szCs w:val="26"/>
          <w:rtl/>
        </w:rPr>
        <w:t>قيرغي</w:t>
      </w:r>
      <w:r>
        <w:rPr>
          <w:rFonts w:hint="cs"/>
          <w:sz w:val="26"/>
          <w:szCs w:val="26"/>
          <w:rtl/>
        </w:rPr>
        <w:t>زستان، ملديف، الجبل الأسود، ناميبيا، بابوا غينيا الجديدة، سانت فينسينت وجزر غرينادين، سيشيل) وبلد لا ينخفض فيه حجم الاستهلاك (تركيا).</w:t>
      </w:r>
    </w:p>
    <w:p w14:paraId="2F800681" w14:textId="77777777" w:rsidR="006F1DA4" w:rsidRDefault="00DF0B31" w:rsidP="00DF0B31">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وفي الوقت الحاضر، تنتمي هذه البلدان إلى مجموعات مختلفة من البلدان التي ينخفض فيها حجم الاستهلاك والبلدان التي لا ينخفض فيها حجم الاستهلاك (مثلا، تنتمي تركيا إلى المجموعة 2 من البلدان التي لا ينخفض فيها حجم الاستهلاك). ومع الإشارة إلى أن أحد العوامل التي أخذت في الاعتبار لتقدير مستوى التمويل للمرحلة الأولى من خطط تنفيذ تعديل كيغالي في قطاع خدمة التبريد هو انتهاز فرصة ميزة البنية التحتية القائمة والأنشطة الجارية ضمن خطط إدارة إزالة المواد الهيدروكلوروفلوروكربونية، وأن هذه البلدان قد تكون قد أنشأت بالفعل بعض البنية التحتية ولكن لن يكون لديها الفرص للاستفادة من الأنشطة الجارية في قطاع الخدمة بموجب خططها لإدارة إزالة المواد الهيدروكلوروفلوروكربونية إذ أن هذه الأنشطة ستكون قد انتهت أو تقترب من الانتهاء بحلول وقت بدء تنفيذ خططها لتنفيذ تعديل كيغالي، ترى الأمانة أن مستويا أعلى من التمويل سيكون ملائما وينبغي تحديده على أساس كل حالة على حدة</w:t>
      </w:r>
      <w:r w:rsidR="006F1DA4">
        <w:rPr>
          <w:rFonts w:hint="cs"/>
          <w:sz w:val="26"/>
          <w:szCs w:val="26"/>
          <w:rtl/>
        </w:rPr>
        <w:t>.</w:t>
      </w:r>
    </w:p>
    <w:p w14:paraId="5D864852" w14:textId="77777777" w:rsidR="006F1DA4" w:rsidRPr="006F1DA4" w:rsidRDefault="006F1DA4" w:rsidP="006F1DA4">
      <w:pPr>
        <w:pStyle w:val="StyleHeader4Para4Left0Firstline0"/>
        <w:widowControl/>
        <w:numPr>
          <w:ilvl w:val="0"/>
          <w:numId w:val="0"/>
        </w:numPr>
        <w:tabs>
          <w:tab w:val="clear" w:pos="2880"/>
          <w:tab w:val="clear" w:pos="5760"/>
        </w:tabs>
        <w:bidi/>
        <w:rPr>
          <w:b/>
          <w:bCs/>
          <w:sz w:val="26"/>
          <w:szCs w:val="26"/>
        </w:rPr>
      </w:pPr>
      <w:r w:rsidRPr="006F1DA4">
        <w:rPr>
          <w:rFonts w:hint="cs"/>
          <w:b/>
          <w:bCs/>
          <w:sz w:val="26"/>
          <w:szCs w:val="26"/>
          <w:rtl/>
        </w:rPr>
        <w:t>حساب مستوى التمويل الشامل لقطاع الخدمة بالنسبة لجميع البلدان</w:t>
      </w:r>
    </w:p>
    <w:p w14:paraId="03915A3E" w14:textId="77777777" w:rsidR="006F1DA4" w:rsidRDefault="00AC46D7" w:rsidP="006F1DA4">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إستنادا إلى التعديلات المدخلة على الطريقة الثالثة، قامت الأمانة بحساب التمويل الشامل لقطاع خدمة التبريد لمعالجة المرحلة الأولى من خطط تنفيذ تعديل كيغالي في بلدان المادة 5.</w:t>
      </w:r>
    </w:p>
    <w:p w14:paraId="7A3FB7F0" w14:textId="77777777" w:rsidR="006F1DA4" w:rsidRDefault="00AC46D7" w:rsidP="006F1DA4">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وتقديرات التمويل المذكورة في الجدول 4 </w:t>
      </w:r>
      <w:r w:rsidR="00C10F6F">
        <w:rPr>
          <w:rFonts w:hint="cs"/>
          <w:sz w:val="26"/>
          <w:szCs w:val="26"/>
          <w:rtl/>
        </w:rPr>
        <w:t xml:space="preserve">أدناه </w:t>
      </w:r>
      <w:r>
        <w:rPr>
          <w:rFonts w:hint="cs"/>
          <w:sz w:val="26"/>
          <w:szCs w:val="26"/>
          <w:rtl/>
        </w:rPr>
        <w:t>هي إرشادية فقط، نظرا لعدم معرفة استهلاك الهيدروفلوروكربون في سنوات خط الأساس. وقدمت الإفتراضات التالية:</w:t>
      </w:r>
    </w:p>
    <w:p w14:paraId="798073F6" w14:textId="77777777" w:rsidR="006F1DA4" w:rsidRDefault="006316B4" w:rsidP="006F1DA4">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احتسبت الأموال استنادا إلى استهلاك الهيدروكلوروفلوروكربون في قطاع خدمة التبريد خلال سنوات الأساس للهيدروكلوروفلوروكربون. وستتغير هذه القيم بمجرد معرفة استهلاك الهيدروفلوروكربون في سنوات أساس الهيدروفلوروكربون</w:t>
      </w:r>
      <w:r w:rsidR="006F1DA4">
        <w:rPr>
          <w:rFonts w:hint="cs"/>
          <w:sz w:val="26"/>
          <w:szCs w:val="26"/>
          <w:rtl/>
        </w:rPr>
        <w:t>؛</w:t>
      </w:r>
    </w:p>
    <w:p w14:paraId="4FED9549" w14:textId="77777777" w:rsidR="006F1DA4" w:rsidRDefault="00504415" w:rsidP="00504415">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 xml:space="preserve">احتسب مستوى التمويل للبلدان التي لا ينخفض فيها حجم الاستهلاك على أساس إفتراض أن البلدان </w:t>
      </w:r>
      <w:r w:rsidR="00C10F6F">
        <w:rPr>
          <w:rFonts w:hint="cs"/>
          <w:sz w:val="26"/>
          <w:szCs w:val="26"/>
          <w:rtl/>
        </w:rPr>
        <w:t>ستخفض</w:t>
      </w:r>
      <w:r>
        <w:rPr>
          <w:rFonts w:hint="cs"/>
          <w:sz w:val="26"/>
          <w:szCs w:val="26"/>
          <w:rtl/>
        </w:rPr>
        <w:t xml:space="preserve"> استهلاكها من الهيدروفلوروكربون في قطاع الخدمة بنسبة 10 في المائة. ونظرا لعدم معرفة القطاعات التي ستحقق تخفيضات في الهيدروفلوروكربون في المرحلة الأولى من خطط تنفيذ تعديل كيغالي، </w:t>
      </w:r>
      <w:r w:rsidR="00C10F6F">
        <w:rPr>
          <w:rFonts w:hint="cs"/>
          <w:sz w:val="26"/>
          <w:szCs w:val="26"/>
          <w:rtl/>
        </w:rPr>
        <w:t>ف</w:t>
      </w:r>
      <w:r>
        <w:rPr>
          <w:rFonts w:hint="cs"/>
          <w:sz w:val="26"/>
          <w:szCs w:val="26"/>
          <w:rtl/>
        </w:rPr>
        <w:t>قد تتغير هذه القيم</w:t>
      </w:r>
      <w:r w:rsidR="006F1DA4">
        <w:rPr>
          <w:rFonts w:hint="cs"/>
          <w:sz w:val="26"/>
          <w:szCs w:val="26"/>
          <w:rtl/>
        </w:rPr>
        <w:t>؛</w:t>
      </w:r>
    </w:p>
    <w:p w14:paraId="6884E12B" w14:textId="77777777" w:rsidR="006F1DA4" w:rsidRDefault="00504415" w:rsidP="00C10F6F">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لغرض هذا الحساب، لا يصنف الحدول 4 بلدان المادة 5 التسع المشار إليها في الفقرتين 12 و13 من الوثيقة الحالية في فئة منفصلة ليتم النظر فيها على أساس كل حالة على حد</w:t>
      </w:r>
      <w:r w:rsidR="00C10F6F">
        <w:rPr>
          <w:rFonts w:hint="cs"/>
          <w:sz w:val="26"/>
          <w:szCs w:val="26"/>
          <w:rtl/>
        </w:rPr>
        <w:t>ة</w:t>
      </w:r>
      <w:r>
        <w:rPr>
          <w:rFonts w:hint="cs"/>
          <w:sz w:val="26"/>
          <w:szCs w:val="26"/>
          <w:rtl/>
        </w:rPr>
        <w:t>. وبدلا من ذلك، تدرج هذه البلدان في المجموعات القائمة استنادا إلى مستويات استهلاكها من الهيدروكلوروفلوروكربون</w:t>
      </w:r>
      <w:r w:rsidR="006F1DA4">
        <w:rPr>
          <w:rFonts w:hint="cs"/>
          <w:sz w:val="26"/>
          <w:szCs w:val="26"/>
          <w:rtl/>
        </w:rPr>
        <w:t>؛</w:t>
      </w:r>
    </w:p>
    <w:p w14:paraId="4CBF0BAE" w14:textId="77777777" w:rsidR="00605315" w:rsidRDefault="006316B4" w:rsidP="006F1DA4">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لم تدرج في المجموع القيمة للمجموعة 4 (التي سيتم النظر فيها على أساس كل حالة على حدة)</w:t>
      </w:r>
      <w:r w:rsidR="006F1DA4">
        <w:rPr>
          <w:rFonts w:hint="cs"/>
          <w:sz w:val="26"/>
          <w:szCs w:val="26"/>
          <w:rtl/>
        </w:rPr>
        <w:t>.</w:t>
      </w:r>
    </w:p>
    <w:p w14:paraId="583002FA" w14:textId="77777777" w:rsidR="00DA72FB" w:rsidRDefault="006F1DA4" w:rsidP="00115341">
      <w:pPr>
        <w:pStyle w:val="StyleHeader4Para4Left0Firstline0"/>
        <w:keepNext/>
        <w:widowControl/>
        <w:numPr>
          <w:ilvl w:val="0"/>
          <w:numId w:val="0"/>
        </w:numPr>
        <w:tabs>
          <w:tab w:val="clear" w:pos="2880"/>
          <w:tab w:val="clear" w:pos="5760"/>
        </w:tabs>
        <w:bidi/>
        <w:spacing w:after="0"/>
        <w:rPr>
          <w:sz w:val="24"/>
          <w:szCs w:val="24"/>
          <w:rtl/>
        </w:rPr>
      </w:pPr>
      <w:r w:rsidRPr="006F1DA4">
        <w:rPr>
          <w:rFonts w:hint="cs"/>
          <w:b/>
          <w:bCs/>
          <w:sz w:val="24"/>
          <w:szCs w:val="24"/>
          <w:rtl/>
        </w:rPr>
        <w:t>الجدول 4. مستوى التمويل الشامل</w:t>
      </w:r>
      <w:r>
        <w:rPr>
          <w:rFonts w:hint="cs"/>
          <w:b/>
          <w:bCs/>
          <w:sz w:val="24"/>
          <w:szCs w:val="24"/>
          <w:rtl/>
        </w:rPr>
        <w:t xml:space="preserve"> المخصص لقطاع الخدمة بالنسبة لجميع </w:t>
      </w:r>
      <w:r w:rsidRPr="006F1DA4">
        <w:rPr>
          <w:rFonts w:hint="cs"/>
          <w:b/>
          <w:bCs/>
          <w:sz w:val="24"/>
          <w:szCs w:val="24"/>
          <w:rtl/>
        </w:rPr>
        <w:t>بلدان المادة 5</w:t>
      </w:r>
    </w:p>
    <w:tbl>
      <w:tblPr>
        <w:bidiVisual/>
        <w:tblW w:w="5000" w:type="pct"/>
        <w:jc w:val="center"/>
        <w:tblLook w:val="04A0" w:firstRow="1" w:lastRow="0" w:firstColumn="1" w:lastColumn="0" w:noHBand="0" w:noVBand="1"/>
      </w:tblPr>
      <w:tblGrid>
        <w:gridCol w:w="2182"/>
        <w:gridCol w:w="1531"/>
        <w:gridCol w:w="1833"/>
        <w:gridCol w:w="2031"/>
        <w:gridCol w:w="1999"/>
      </w:tblGrid>
      <w:tr w:rsidR="006F1DA4" w:rsidRPr="00EF4BE1" w14:paraId="56C02740" w14:textId="77777777" w:rsidTr="00504415">
        <w:trPr>
          <w:trHeight w:val="780"/>
          <w:tblHeader/>
          <w:jc w:val="center"/>
        </w:trPr>
        <w:tc>
          <w:tcPr>
            <w:tcW w:w="1143"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44EF18D2" w14:textId="77777777" w:rsidR="006F1DA4" w:rsidRPr="008A4564" w:rsidRDefault="006F1DA4" w:rsidP="008A4564">
            <w:pPr>
              <w:bidi/>
              <w:jc w:val="center"/>
              <w:rPr>
                <w:b/>
                <w:bCs/>
                <w:color w:val="000000"/>
                <w:sz w:val="20"/>
                <w:lang w:val="en-US" w:eastAsia="en-CA" w:bidi="ar-EG"/>
              </w:rPr>
            </w:pPr>
            <w:r>
              <w:rPr>
                <w:rFonts w:hint="cs"/>
                <w:b/>
                <w:bCs/>
                <w:color w:val="000000"/>
                <w:sz w:val="20"/>
                <w:rtl/>
                <w:lang w:val="en-US" w:eastAsia="en-CA" w:bidi="ar-EG"/>
              </w:rPr>
              <w:t>خط أساس الهيدروكلوروفلوروكربون لقطاع الخدمة (طن متري)</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23980EA0" w14:textId="77777777" w:rsidR="006F1DA4" w:rsidRPr="008A4564" w:rsidRDefault="006F1DA4" w:rsidP="008A4564">
            <w:pPr>
              <w:bidi/>
              <w:jc w:val="center"/>
              <w:rPr>
                <w:b/>
                <w:bCs/>
                <w:color w:val="000000"/>
                <w:sz w:val="20"/>
                <w:lang w:val="en-US" w:eastAsia="en-CA" w:bidi="ar-EG"/>
              </w:rPr>
            </w:pPr>
            <w:r>
              <w:rPr>
                <w:rFonts w:hint="cs"/>
                <w:b/>
                <w:bCs/>
                <w:color w:val="000000"/>
                <w:sz w:val="20"/>
                <w:rtl/>
                <w:lang w:eastAsia="en-CA" w:bidi="ar-EG"/>
              </w:rPr>
              <w:t>عدد البلدان</w:t>
            </w: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1B75DDE7" w14:textId="77777777" w:rsidR="008A4564" w:rsidRDefault="006F1DA4" w:rsidP="006F1DA4">
            <w:pPr>
              <w:bidi/>
              <w:jc w:val="center"/>
              <w:rPr>
                <w:b/>
                <w:bCs/>
                <w:color w:val="000000"/>
                <w:sz w:val="20"/>
                <w:rtl/>
                <w:lang w:eastAsia="en-CA" w:bidi="ar-EG"/>
              </w:rPr>
            </w:pPr>
            <w:r>
              <w:rPr>
                <w:rFonts w:hint="cs"/>
                <w:b/>
                <w:bCs/>
                <w:color w:val="000000"/>
                <w:sz w:val="20"/>
                <w:rtl/>
                <w:lang w:eastAsia="en-CA" w:bidi="ar-EG"/>
              </w:rPr>
              <w:t xml:space="preserve">أساس التمويل </w:t>
            </w:r>
          </w:p>
          <w:p w14:paraId="13CEAF3A" w14:textId="77777777" w:rsidR="006F1DA4" w:rsidRDefault="006F1DA4" w:rsidP="008A4564">
            <w:pPr>
              <w:bidi/>
              <w:jc w:val="center"/>
              <w:rPr>
                <w:b/>
                <w:bCs/>
                <w:color w:val="000000"/>
                <w:sz w:val="20"/>
                <w:rtl/>
                <w:lang w:eastAsia="en-CA" w:bidi="ar-EG"/>
              </w:rPr>
            </w:pPr>
            <w:r>
              <w:rPr>
                <w:rFonts w:hint="cs"/>
                <w:b/>
                <w:bCs/>
                <w:color w:val="000000"/>
                <w:sz w:val="20"/>
                <w:rtl/>
                <w:lang w:eastAsia="en-CA" w:bidi="ar-EG"/>
              </w:rPr>
              <w:t>(المقرر 74/50)</w:t>
            </w:r>
          </w:p>
          <w:p w14:paraId="7B250268" w14:textId="77777777" w:rsidR="006F1DA4" w:rsidRPr="004441F3" w:rsidRDefault="008A4564" w:rsidP="008A4564">
            <w:pPr>
              <w:bidi/>
              <w:jc w:val="center"/>
              <w:rPr>
                <w:b/>
                <w:bCs/>
                <w:color w:val="000000"/>
                <w:sz w:val="20"/>
                <w:rtl/>
                <w:lang w:eastAsia="en-CA" w:bidi="ar-EG"/>
              </w:rPr>
            </w:pPr>
            <w:r>
              <w:rPr>
                <w:rFonts w:hint="cs"/>
                <w:b/>
                <w:bCs/>
                <w:color w:val="000000"/>
                <w:sz w:val="20"/>
                <w:rtl/>
                <w:lang w:eastAsia="en-CA" w:bidi="ar-EG"/>
              </w:rPr>
              <w:t>(دولار أمريكي أو دولار أمريكي لكل كيلوغرام)</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55DA54C7" w14:textId="77777777" w:rsidR="006F1DA4" w:rsidRDefault="008A4564" w:rsidP="006F1DA4">
            <w:pPr>
              <w:bidi/>
              <w:jc w:val="center"/>
              <w:rPr>
                <w:b/>
                <w:bCs/>
                <w:color w:val="000000"/>
                <w:sz w:val="20"/>
                <w:rtl/>
                <w:lang w:eastAsia="en-CA"/>
              </w:rPr>
            </w:pPr>
            <w:r>
              <w:rPr>
                <w:rFonts w:hint="cs"/>
                <w:b/>
                <w:bCs/>
                <w:color w:val="000000"/>
                <w:sz w:val="20"/>
                <w:rtl/>
                <w:lang w:eastAsia="en-CA"/>
              </w:rPr>
              <w:t>التمويل حسب البلد</w:t>
            </w:r>
          </w:p>
          <w:p w14:paraId="33F34005" w14:textId="77777777" w:rsidR="006F1DA4" w:rsidRPr="008A4564" w:rsidRDefault="008A4564" w:rsidP="008A4564">
            <w:pPr>
              <w:bidi/>
              <w:jc w:val="center"/>
              <w:rPr>
                <w:b/>
                <w:bCs/>
                <w:color w:val="000000"/>
                <w:sz w:val="20"/>
                <w:rtl/>
                <w:lang w:eastAsia="en-CA" w:bidi="ar-EG"/>
              </w:rPr>
            </w:pPr>
            <w:r>
              <w:rPr>
                <w:rFonts w:hint="cs"/>
                <w:b/>
                <w:bCs/>
                <w:color w:val="000000"/>
                <w:sz w:val="20"/>
                <w:rtl/>
                <w:lang w:eastAsia="en-CA" w:bidi="ar-EG"/>
              </w:rPr>
              <w:t>(دولار أمريكي أو دولار أمريكي لكل كيلوغرام)</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15EBBE9C" w14:textId="77777777" w:rsidR="006F1DA4" w:rsidRDefault="008A4564" w:rsidP="006F1DA4">
            <w:pPr>
              <w:bidi/>
              <w:jc w:val="center"/>
              <w:rPr>
                <w:b/>
                <w:bCs/>
                <w:color w:val="000000"/>
                <w:sz w:val="20"/>
                <w:rtl/>
                <w:lang w:eastAsia="en-CA"/>
              </w:rPr>
            </w:pPr>
            <w:r>
              <w:rPr>
                <w:rFonts w:hint="cs"/>
                <w:b/>
                <w:bCs/>
                <w:color w:val="000000"/>
                <w:sz w:val="20"/>
                <w:rtl/>
                <w:lang w:eastAsia="en-CA"/>
              </w:rPr>
              <w:t>مجموع التمويل</w:t>
            </w:r>
          </w:p>
          <w:p w14:paraId="0FFC2265" w14:textId="77777777" w:rsidR="006F1DA4" w:rsidRPr="004441F3" w:rsidRDefault="008A4564" w:rsidP="008A4564">
            <w:pPr>
              <w:bidi/>
              <w:jc w:val="center"/>
              <w:rPr>
                <w:b/>
                <w:bCs/>
                <w:color w:val="000000"/>
                <w:sz w:val="20"/>
                <w:rtl/>
                <w:lang w:eastAsia="en-CA" w:bidi="ar-EG"/>
              </w:rPr>
            </w:pPr>
            <w:r>
              <w:rPr>
                <w:rFonts w:hint="cs"/>
                <w:b/>
                <w:bCs/>
                <w:color w:val="000000"/>
                <w:sz w:val="20"/>
                <w:rtl/>
                <w:lang w:eastAsia="en-CA"/>
              </w:rPr>
              <w:t>(دولار أمريكي)</w:t>
            </w:r>
          </w:p>
        </w:tc>
      </w:tr>
      <w:tr w:rsidR="006F1DA4" w:rsidRPr="00EF4BE1" w14:paraId="5F6C5A10"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24AEA2AF" w14:textId="77777777" w:rsidR="008A4564" w:rsidRPr="004441F3" w:rsidRDefault="008A4564" w:rsidP="008A4564">
            <w:pPr>
              <w:bidi/>
              <w:jc w:val="left"/>
              <w:rPr>
                <w:color w:val="000000"/>
                <w:sz w:val="20"/>
                <w:lang w:eastAsia="en-CA"/>
              </w:rPr>
            </w:pPr>
            <w:r>
              <w:rPr>
                <w:rFonts w:hint="cs"/>
                <w:color w:val="000000"/>
                <w:sz w:val="20"/>
                <w:rtl/>
                <w:lang w:eastAsia="en-CA"/>
              </w:rPr>
              <w:t>أقل من 15</w:t>
            </w:r>
          </w:p>
        </w:tc>
        <w:tc>
          <w:tcPr>
            <w:tcW w:w="803" w:type="pct"/>
            <w:tcBorders>
              <w:top w:val="nil"/>
              <w:left w:val="nil"/>
              <w:bottom w:val="single" w:sz="4" w:space="0" w:color="auto"/>
              <w:right w:val="single" w:sz="4" w:space="0" w:color="auto"/>
            </w:tcBorders>
            <w:shd w:val="clear" w:color="auto" w:fill="auto"/>
            <w:noWrap/>
            <w:hideMark/>
          </w:tcPr>
          <w:p w14:paraId="5AA3E4A5" w14:textId="77777777" w:rsidR="006F1DA4" w:rsidRPr="004441F3" w:rsidRDefault="006F1DA4" w:rsidP="008A4564">
            <w:pPr>
              <w:jc w:val="center"/>
              <w:rPr>
                <w:color w:val="000000"/>
                <w:sz w:val="20"/>
                <w:lang w:eastAsia="en-CA"/>
              </w:rPr>
            </w:pPr>
            <w:r w:rsidRPr="004441F3">
              <w:rPr>
                <w:color w:val="000000"/>
                <w:sz w:val="20"/>
                <w:lang w:eastAsia="en-CA"/>
              </w:rPr>
              <w:t>21</w:t>
            </w:r>
          </w:p>
        </w:tc>
        <w:tc>
          <w:tcPr>
            <w:tcW w:w="960" w:type="pct"/>
            <w:tcBorders>
              <w:top w:val="nil"/>
              <w:left w:val="nil"/>
              <w:bottom w:val="single" w:sz="4" w:space="0" w:color="auto"/>
              <w:right w:val="single" w:sz="4" w:space="0" w:color="auto"/>
            </w:tcBorders>
            <w:shd w:val="clear" w:color="auto" w:fill="auto"/>
            <w:noWrap/>
            <w:hideMark/>
          </w:tcPr>
          <w:p w14:paraId="5C877C4F" w14:textId="77777777" w:rsidR="006F1DA4" w:rsidRPr="004441F3" w:rsidRDefault="006F1DA4" w:rsidP="008A4564">
            <w:pPr>
              <w:jc w:val="right"/>
              <w:rPr>
                <w:color w:val="000000"/>
                <w:sz w:val="20"/>
                <w:lang w:eastAsia="en-CA"/>
              </w:rPr>
            </w:pPr>
            <w:r w:rsidRPr="004441F3">
              <w:rPr>
                <w:color w:val="000000"/>
                <w:sz w:val="20"/>
                <w:lang w:eastAsia="en-CA"/>
              </w:rPr>
              <w:t>58,750</w:t>
            </w:r>
          </w:p>
        </w:tc>
        <w:tc>
          <w:tcPr>
            <w:tcW w:w="1047" w:type="pct"/>
            <w:tcBorders>
              <w:top w:val="nil"/>
              <w:left w:val="nil"/>
              <w:bottom w:val="single" w:sz="4" w:space="0" w:color="auto"/>
              <w:right w:val="single" w:sz="4" w:space="0" w:color="auto"/>
            </w:tcBorders>
            <w:shd w:val="clear" w:color="auto" w:fill="auto"/>
            <w:noWrap/>
            <w:hideMark/>
          </w:tcPr>
          <w:p w14:paraId="54B8D1E4" w14:textId="77777777" w:rsidR="006F1DA4" w:rsidRPr="004441F3" w:rsidRDefault="006F1DA4" w:rsidP="008A4564">
            <w:pPr>
              <w:jc w:val="right"/>
              <w:rPr>
                <w:color w:val="000000"/>
                <w:sz w:val="20"/>
                <w:lang w:eastAsia="en-CA"/>
              </w:rPr>
            </w:pPr>
            <w:r w:rsidRPr="004441F3">
              <w:rPr>
                <w:color w:val="000000"/>
                <w:sz w:val="20"/>
                <w:lang w:eastAsia="en-CA"/>
              </w:rPr>
              <w:t>88,125</w:t>
            </w:r>
          </w:p>
        </w:tc>
        <w:tc>
          <w:tcPr>
            <w:tcW w:w="1047" w:type="pct"/>
            <w:tcBorders>
              <w:top w:val="nil"/>
              <w:left w:val="nil"/>
              <w:bottom w:val="single" w:sz="4" w:space="0" w:color="auto"/>
              <w:right w:val="single" w:sz="4" w:space="0" w:color="auto"/>
            </w:tcBorders>
            <w:shd w:val="clear" w:color="auto" w:fill="auto"/>
            <w:noWrap/>
            <w:hideMark/>
          </w:tcPr>
          <w:p w14:paraId="515906F2" w14:textId="77777777" w:rsidR="006F1DA4" w:rsidRPr="004441F3" w:rsidRDefault="006F1DA4" w:rsidP="008A4564">
            <w:pPr>
              <w:jc w:val="right"/>
              <w:rPr>
                <w:color w:val="000000"/>
                <w:sz w:val="20"/>
                <w:lang w:eastAsia="en-CA"/>
              </w:rPr>
            </w:pPr>
            <w:r w:rsidRPr="004441F3">
              <w:rPr>
                <w:color w:val="000000"/>
                <w:sz w:val="20"/>
                <w:lang w:eastAsia="en-CA"/>
              </w:rPr>
              <w:t>1,850,625</w:t>
            </w:r>
          </w:p>
        </w:tc>
      </w:tr>
      <w:tr w:rsidR="006F1DA4" w:rsidRPr="00EF4BE1" w14:paraId="76B39BAB"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5AC80415" w14:textId="77777777" w:rsidR="008A4564" w:rsidRPr="004441F3" w:rsidRDefault="008A4564" w:rsidP="008A4564">
            <w:pPr>
              <w:bidi/>
              <w:jc w:val="left"/>
              <w:rPr>
                <w:color w:val="000000"/>
                <w:sz w:val="20"/>
                <w:lang w:eastAsia="en-CA"/>
              </w:rPr>
            </w:pPr>
            <w:r>
              <w:rPr>
                <w:rFonts w:hint="cs"/>
                <w:color w:val="000000"/>
                <w:sz w:val="20"/>
                <w:rtl/>
                <w:lang w:eastAsia="en-CA"/>
              </w:rPr>
              <w:t>15 حتى 40</w:t>
            </w:r>
          </w:p>
        </w:tc>
        <w:tc>
          <w:tcPr>
            <w:tcW w:w="803" w:type="pct"/>
            <w:tcBorders>
              <w:top w:val="nil"/>
              <w:left w:val="nil"/>
              <w:bottom w:val="single" w:sz="4" w:space="0" w:color="auto"/>
              <w:right w:val="single" w:sz="4" w:space="0" w:color="auto"/>
            </w:tcBorders>
            <w:shd w:val="clear" w:color="auto" w:fill="auto"/>
            <w:noWrap/>
            <w:hideMark/>
          </w:tcPr>
          <w:p w14:paraId="46518587" w14:textId="77777777" w:rsidR="006F1DA4" w:rsidRPr="004441F3" w:rsidRDefault="006F1DA4" w:rsidP="008A4564">
            <w:pPr>
              <w:jc w:val="center"/>
              <w:rPr>
                <w:color w:val="000000"/>
                <w:sz w:val="20"/>
                <w:lang w:eastAsia="en-CA"/>
              </w:rPr>
            </w:pPr>
            <w:r w:rsidRPr="004441F3">
              <w:rPr>
                <w:color w:val="000000"/>
                <w:sz w:val="20"/>
                <w:lang w:eastAsia="en-CA"/>
              </w:rPr>
              <w:t>17</w:t>
            </w:r>
          </w:p>
        </w:tc>
        <w:tc>
          <w:tcPr>
            <w:tcW w:w="960" w:type="pct"/>
            <w:tcBorders>
              <w:top w:val="nil"/>
              <w:left w:val="nil"/>
              <w:bottom w:val="single" w:sz="4" w:space="0" w:color="auto"/>
              <w:right w:val="single" w:sz="4" w:space="0" w:color="auto"/>
            </w:tcBorders>
            <w:shd w:val="clear" w:color="auto" w:fill="auto"/>
            <w:noWrap/>
            <w:hideMark/>
          </w:tcPr>
          <w:p w14:paraId="407C5519" w14:textId="77777777" w:rsidR="006F1DA4" w:rsidRPr="004441F3" w:rsidRDefault="006F1DA4" w:rsidP="008A4564">
            <w:pPr>
              <w:jc w:val="right"/>
              <w:rPr>
                <w:color w:val="000000"/>
                <w:sz w:val="20"/>
                <w:lang w:eastAsia="en-CA"/>
              </w:rPr>
            </w:pPr>
            <w:r w:rsidRPr="004441F3">
              <w:rPr>
                <w:color w:val="000000"/>
                <w:sz w:val="20"/>
                <w:lang w:eastAsia="en-CA"/>
              </w:rPr>
              <w:t>75,000</w:t>
            </w:r>
          </w:p>
        </w:tc>
        <w:tc>
          <w:tcPr>
            <w:tcW w:w="1047" w:type="pct"/>
            <w:tcBorders>
              <w:top w:val="nil"/>
              <w:left w:val="nil"/>
              <w:bottom w:val="single" w:sz="4" w:space="0" w:color="auto"/>
              <w:right w:val="single" w:sz="4" w:space="0" w:color="auto"/>
            </w:tcBorders>
            <w:shd w:val="clear" w:color="auto" w:fill="auto"/>
            <w:noWrap/>
            <w:hideMark/>
          </w:tcPr>
          <w:p w14:paraId="7CD97DBD" w14:textId="77777777" w:rsidR="006F1DA4" w:rsidRPr="004441F3" w:rsidRDefault="006F1DA4" w:rsidP="008A4564">
            <w:pPr>
              <w:jc w:val="right"/>
              <w:rPr>
                <w:color w:val="000000"/>
                <w:sz w:val="20"/>
                <w:lang w:eastAsia="en-CA"/>
              </w:rPr>
            </w:pPr>
            <w:r w:rsidRPr="004441F3">
              <w:rPr>
                <w:color w:val="000000"/>
                <w:sz w:val="20"/>
                <w:lang w:eastAsia="en-CA"/>
              </w:rPr>
              <w:t>112,500</w:t>
            </w:r>
          </w:p>
        </w:tc>
        <w:tc>
          <w:tcPr>
            <w:tcW w:w="1047" w:type="pct"/>
            <w:tcBorders>
              <w:top w:val="nil"/>
              <w:left w:val="nil"/>
              <w:bottom w:val="single" w:sz="4" w:space="0" w:color="auto"/>
              <w:right w:val="single" w:sz="4" w:space="0" w:color="auto"/>
            </w:tcBorders>
            <w:shd w:val="clear" w:color="auto" w:fill="auto"/>
            <w:noWrap/>
            <w:hideMark/>
          </w:tcPr>
          <w:p w14:paraId="3EB9BDD0" w14:textId="77777777" w:rsidR="006F1DA4" w:rsidRPr="004441F3" w:rsidRDefault="006F1DA4" w:rsidP="008A4564">
            <w:pPr>
              <w:jc w:val="right"/>
              <w:rPr>
                <w:color w:val="000000"/>
                <w:sz w:val="20"/>
                <w:lang w:eastAsia="en-CA"/>
              </w:rPr>
            </w:pPr>
            <w:r w:rsidRPr="004441F3">
              <w:rPr>
                <w:color w:val="000000"/>
                <w:sz w:val="20"/>
                <w:lang w:eastAsia="en-CA"/>
              </w:rPr>
              <w:t>1,912,500</w:t>
            </w:r>
          </w:p>
        </w:tc>
      </w:tr>
      <w:tr w:rsidR="006F1DA4" w:rsidRPr="00EF4BE1" w14:paraId="3E5219B1"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6367D76B" w14:textId="77777777" w:rsidR="008A4564" w:rsidRPr="004441F3" w:rsidRDefault="008A4564" w:rsidP="008A4564">
            <w:pPr>
              <w:bidi/>
              <w:jc w:val="left"/>
              <w:rPr>
                <w:color w:val="000000"/>
                <w:sz w:val="20"/>
                <w:lang w:eastAsia="en-CA"/>
              </w:rPr>
            </w:pPr>
            <w:r>
              <w:rPr>
                <w:rFonts w:hint="cs"/>
                <w:color w:val="000000"/>
                <w:sz w:val="20"/>
                <w:rtl/>
                <w:lang w:eastAsia="en-CA"/>
              </w:rPr>
              <w:t>40 حتى 80</w:t>
            </w:r>
          </w:p>
        </w:tc>
        <w:tc>
          <w:tcPr>
            <w:tcW w:w="803" w:type="pct"/>
            <w:tcBorders>
              <w:top w:val="nil"/>
              <w:left w:val="nil"/>
              <w:bottom w:val="single" w:sz="4" w:space="0" w:color="auto"/>
              <w:right w:val="single" w:sz="4" w:space="0" w:color="auto"/>
            </w:tcBorders>
            <w:shd w:val="clear" w:color="auto" w:fill="auto"/>
            <w:noWrap/>
            <w:hideMark/>
          </w:tcPr>
          <w:p w14:paraId="21C01E15" w14:textId="77777777" w:rsidR="006F1DA4" w:rsidRPr="004441F3" w:rsidRDefault="006F1DA4" w:rsidP="008A4564">
            <w:pPr>
              <w:jc w:val="center"/>
              <w:rPr>
                <w:color w:val="000000"/>
                <w:sz w:val="20"/>
                <w:lang w:eastAsia="en-CA"/>
              </w:rPr>
            </w:pPr>
            <w:r w:rsidRPr="004441F3">
              <w:rPr>
                <w:color w:val="000000"/>
                <w:sz w:val="20"/>
                <w:lang w:eastAsia="en-CA"/>
              </w:rPr>
              <w:t>13</w:t>
            </w:r>
          </w:p>
        </w:tc>
        <w:tc>
          <w:tcPr>
            <w:tcW w:w="960" w:type="pct"/>
            <w:tcBorders>
              <w:top w:val="nil"/>
              <w:left w:val="nil"/>
              <w:bottom w:val="single" w:sz="4" w:space="0" w:color="auto"/>
              <w:right w:val="single" w:sz="4" w:space="0" w:color="auto"/>
            </w:tcBorders>
            <w:shd w:val="clear" w:color="auto" w:fill="auto"/>
            <w:noWrap/>
            <w:hideMark/>
          </w:tcPr>
          <w:p w14:paraId="624EC8EB" w14:textId="77777777" w:rsidR="006F1DA4" w:rsidRPr="004441F3" w:rsidRDefault="006F1DA4" w:rsidP="008A4564">
            <w:pPr>
              <w:jc w:val="right"/>
              <w:rPr>
                <w:color w:val="000000"/>
                <w:sz w:val="20"/>
                <w:lang w:eastAsia="en-CA"/>
              </w:rPr>
            </w:pPr>
            <w:r w:rsidRPr="004441F3">
              <w:rPr>
                <w:color w:val="000000"/>
                <w:sz w:val="20"/>
                <w:lang w:eastAsia="en-CA"/>
              </w:rPr>
              <w:t>80,000</w:t>
            </w:r>
          </w:p>
        </w:tc>
        <w:tc>
          <w:tcPr>
            <w:tcW w:w="1047" w:type="pct"/>
            <w:tcBorders>
              <w:top w:val="nil"/>
              <w:left w:val="nil"/>
              <w:bottom w:val="single" w:sz="4" w:space="0" w:color="auto"/>
              <w:right w:val="single" w:sz="4" w:space="0" w:color="auto"/>
            </w:tcBorders>
            <w:shd w:val="clear" w:color="auto" w:fill="auto"/>
            <w:noWrap/>
            <w:hideMark/>
          </w:tcPr>
          <w:p w14:paraId="037ECF8B" w14:textId="77777777" w:rsidR="006F1DA4" w:rsidRPr="004441F3" w:rsidRDefault="006F1DA4" w:rsidP="008A4564">
            <w:pPr>
              <w:jc w:val="right"/>
              <w:rPr>
                <w:color w:val="000000"/>
                <w:sz w:val="20"/>
                <w:lang w:eastAsia="en-CA"/>
              </w:rPr>
            </w:pPr>
            <w:r w:rsidRPr="004441F3">
              <w:rPr>
                <w:color w:val="000000"/>
                <w:sz w:val="20"/>
                <w:lang w:eastAsia="en-CA"/>
              </w:rPr>
              <w:t>120,000</w:t>
            </w:r>
          </w:p>
        </w:tc>
        <w:tc>
          <w:tcPr>
            <w:tcW w:w="1047" w:type="pct"/>
            <w:tcBorders>
              <w:top w:val="nil"/>
              <w:left w:val="nil"/>
              <w:bottom w:val="single" w:sz="4" w:space="0" w:color="auto"/>
              <w:right w:val="single" w:sz="4" w:space="0" w:color="auto"/>
            </w:tcBorders>
            <w:shd w:val="clear" w:color="auto" w:fill="auto"/>
            <w:noWrap/>
            <w:hideMark/>
          </w:tcPr>
          <w:p w14:paraId="32ECB7C0" w14:textId="77777777" w:rsidR="006F1DA4" w:rsidRPr="004441F3" w:rsidRDefault="006F1DA4" w:rsidP="008A4564">
            <w:pPr>
              <w:jc w:val="right"/>
              <w:rPr>
                <w:color w:val="000000"/>
                <w:sz w:val="20"/>
                <w:lang w:eastAsia="en-CA"/>
              </w:rPr>
            </w:pPr>
            <w:r w:rsidRPr="004441F3">
              <w:rPr>
                <w:color w:val="000000"/>
                <w:sz w:val="20"/>
                <w:lang w:eastAsia="en-CA"/>
              </w:rPr>
              <w:t>1,560,000</w:t>
            </w:r>
          </w:p>
        </w:tc>
      </w:tr>
      <w:tr w:rsidR="006F1DA4" w:rsidRPr="00EF4BE1" w14:paraId="5C602A87"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6EB06614" w14:textId="77777777" w:rsidR="008A4564" w:rsidRPr="004441F3" w:rsidRDefault="008A4564" w:rsidP="008A4564">
            <w:pPr>
              <w:bidi/>
              <w:jc w:val="left"/>
              <w:rPr>
                <w:color w:val="000000"/>
                <w:sz w:val="20"/>
                <w:lang w:eastAsia="en-CA"/>
              </w:rPr>
            </w:pPr>
            <w:r>
              <w:rPr>
                <w:rFonts w:hint="cs"/>
                <w:color w:val="000000"/>
                <w:sz w:val="20"/>
                <w:rtl/>
                <w:lang w:eastAsia="en-CA"/>
              </w:rPr>
              <w:t>80 حتى 120</w:t>
            </w:r>
          </w:p>
        </w:tc>
        <w:tc>
          <w:tcPr>
            <w:tcW w:w="803" w:type="pct"/>
            <w:tcBorders>
              <w:top w:val="nil"/>
              <w:left w:val="nil"/>
              <w:bottom w:val="single" w:sz="4" w:space="0" w:color="auto"/>
              <w:right w:val="single" w:sz="4" w:space="0" w:color="auto"/>
            </w:tcBorders>
            <w:shd w:val="clear" w:color="auto" w:fill="auto"/>
            <w:noWrap/>
            <w:hideMark/>
          </w:tcPr>
          <w:p w14:paraId="0048F1C0" w14:textId="77777777" w:rsidR="006F1DA4" w:rsidRPr="004441F3" w:rsidRDefault="006F1DA4" w:rsidP="008A4564">
            <w:pPr>
              <w:jc w:val="center"/>
              <w:rPr>
                <w:color w:val="000000"/>
                <w:sz w:val="20"/>
                <w:lang w:eastAsia="en-CA"/>
              </w:rPr>
            </w:pPr>
            <w:r w:rsidRPr="004441F3">
              <w:rPr>
                <w:color w:val="000000"/>
                <w:sz w:val="20"/>
                <w:lang w:eastAsia="en-CA"/>
              </w:rPr>
              <w:t>11</w:t>
            </w:r>
          </w:p>
        </w:tc>
        <w:tc>
          <w:tcPr>
            <w:tcW w:w="960" w:type="pct"/>
            <w:tcBorders>
              <w:top w:val="nil"/>
              <w:left w:val="nil"/>
              <w:bottom w:val="single" w:sz="4" w:space="0" w:color="auto"/>
              <w:right w:val="single" w:sz="4" w:space="0" w:color="auto"/>
            </w:tcBorders>
            <w:shd w:val="clear" w:color="auto" w:fill="auto"/>
            <w:noWrap/>
            <w:hideMark/>
          </w:tcPr>
          <w:p w14:paraId="096EF632" w14:textId="77777777" w:rsidR="006F1DA4" w:rsidRPr="004441F3" w:rsidRDefault="006F1DA4" w:rsidP="008A4564">
            <w:pPr>
              <w:jc w:val="right"/>
              <w:rPr>
                <w:color w:val="000000"/>
                <w:sz w:val="20"/>
                <w:lang w:eastAsia="en-CA"/>
              </w:rPr>
            </w:pPr>
            <w:r w:rsidRPr="004441F3">
              <w:rPr>
                <w:color w:val="000000"/>
                <w:sz w:val="20"/>
                <w:lang w:eastAsia="en-CA"/>
              </w:rPr>
              <w:t>90,000</w:t>
            </w:r>
          </w:p>
        </w:tc>
        <w:tc>
          <w:tcPr>
            <w:tcW w:w="1047" w:type="pct"/>
            <w:tcBorders>
              <w:top w:val="nil"/>
              <w:left w:val="nil"/>
              <w:bottom w:val="single" w:sz="4" w:space="0" w:color="auto"/>
              <w:right w:val="single" w:sz="4" w:space="0" w:color="auto"/>
            </w:tcBorders>
            <w:shd w:val="clear" w:color="auto" w:fill="auto"/>
            <w:noWrap/>
            <w:hideMark/>
          </w:tcPr>
          <w:p w14:paraId="00E78C6C" w14:textId="77777777" w:rsidR="006F1DA4" w:rsidRPr="004441F3" w:rsidRDefault="006F1DA4" w:rsidP="008A4564">
            <w:pPr>
              <w:jc w:val="right"/>
              <w:rPr>
                <w:color w:val="000000"/>
                <w:sz w:val="20"/>
                <w:lang w:eastAsia="en-CA"/>
              </w:rPr>
            </w:pPr>
            <w:r w:rsidRPr="004441F3">
              <w:rPr>
                <w:color w:val="000000"/>
                <w:sz w:val="20"/>
                <w:lang w:eastAsia="en-CA"/>
              </w:rPr>
              <w:t>135,000</w:t>
            </w:r>
          </w:p>
        </w:tc>
        <w:tc>
          <w:tcPr>
            <w:tcW w:w="1047" w:type="pct"/>
            <w:tcBorders>
              <w:top w:val="nil"/>
              <w:left w:val="nil"/>
              <w:bottom w:val="single" w:sz="4" w:space="0" w:color="auto"/>
              <w:right w:val="single" w:sz="4" w:space="0" w:color="auto"/>
            </w:tcBorders>
            <w:shd w:val="clear" w:color="auto" w:fill="auto"/>
            <w:noWrap/>
            <w:hideMark/>
          </w:tcPr>
          <w:p w14:paraId="4E02CC30" w14:textId="77777777" w:rsidR="006F1DA4" w:rsidRPr="004441F3" w:rsidRDefault="006F1DA4" w:rsidP="008A4564">
            <w:pPr>
              <w:jc w:val="right"/>
              <w:rPr>
                <w:color w:val="000000"/>
                <w:sz w:val="20"/>
                <w:lang w:eastAsia="en-CA"/>
              </w:rPr>
            </w:pPr>
            <w:r w:rsidRPr="004441F3">
              <w:rPr>
                <w:color w:val="000000"/>
                <w:sz w:val="20"/>
                <w:lang w:eastAsia="en-CA"/>
              </w:rPr>
              <w:t>1,485,000</w:t>
            </w:r>
          </w:p>
        </w:tc>
      </w:tr>
      <w:tr w:rsidR="006F1DA4" w:rsidRPr="00EF4BE1" w14:paraId="55D821BE"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704C5A53" w14:textId="77777777" w:rsidR="008A4564" w:rsidRPr="004441F3" w:rsidRDefault="008A4564" w:rsidP="008A4564">
            <w:pPr>
              <w:bidi/>
              <w:jc w:val="left"/>
              <w:rPr>
                <w:color w:val="000000"/>
                <w:sz w:val="20"/>
                <w:lang w:eastAsia="en-CA"/>
              </w:rPr>
            </w:pPr>
            <w:r>
              <w:rPr>
                <w:rFonts w:hint="cs"/>
                <w:color w:val="000000"/>
                <w:sz w:val="20"/>
                <w:rtl/>
                <w:lang w:eastAsia="en-CA"/>
              </w:rPr>
              <w:t>120 حتى 160</w:t>
            </w:r>
          </w:p>
        </w:tc>
        <w:tc>
          <w:tcPr>
            <w:tcW w:w="803" w:type="pct"/>
            <w:tcBorders>
              <w:top w:val="nil"/>
              <w:left w:val="nil"/>
              <w:bottom w:val="single" w:sz="4" w:space="0" w:color="auto"/>
              <w:right w:val="single" w:sz="4" w:space="0" w:color="auto"/>
            </w:tcBorders>
            <w:shd w:val="clear" w:color="auto" w:fill="auto"/>
            <w:noWrap/>
            <w:hideMark/>
          </w:tcPr>
          <w:p w14:paraId="3C3227D3" w14:textId="77777777" w:rsidR="006F1DA4" w:rsidRPr="004441F3" w:rsidRDefault="006F1DA4" w:rsidP="008A4564">
            <w:pPr>
              <w:jc w:val="center"/>
              <w:rPr>
                <w:color w:val="000000"/>
                <w:sz w:val="20"/>
                <w:lang w:eastAsia="en-CA"/>
              </w:rPr>
            </w:pPr>
            <w:r w:rsidRPr="004441F3">
              <w:rPr>
                <w:color w:val="000000"/>
                <w:sz w:val="20"/>
                <w:lang w:eastAsia="en-CA"/>
              </w:rPr>
              <w:t>9</w:t>
            </w:r>
          </w:p>
        </w:tc>
        <w:tc>
          <w:tcPr>
            <w:tcW w:w="960" w:type="pct"/>
            <w:tcBorders>
              <w:top w:val="nil"/>
              <w:left w:val="nil"/>
              <w:bottom w:val="single" w:sz="4" w:space="0" w:color="auto"/>
              <w:right w:val="single" w:sz="4" w:space="0" w:color="auto"/>
            </w:tcBorders>
            <w:shd w:val="clear" w:color="auto" w:fill="auto"/>
            <w:noWrap/>
            <w:hideMark/>
          </w:tcPr>
          <w:p w14:paraId="6B2EA54A" w14:textId="77777777" w:rsidR="006F1DA4" w:rsidRPr="004441F3" w:rsidRDefault="006F1DA4" w:rsidP="008A4564">
            <w:pPr>
              <w:jc w:val="right"/>
              <w:rPr>
                <w:color w:val="000000"/>
                <w:sz w:val="20"/>
                <w:lang w:eastAsia="en-CA"/>
              </w:rPr>
            </w:pPr>
            <w:r w:rsidRPr="004441F3">
              <w:rPr>
                <w:color w:val="000000"/>
                <w:sz w:val="20"/>
                <w:lang w:eastAsia="en-CA"/>
              </w:rPr>
              <w:t>95,000</w:t>
            </w:r>
          </w:p>
        </w:tc>
        <w:tc>
          <w:tcPr>
            <w:tcW w:w="1047" w:type="pct"/>
            <w:tcBorders>
              <w:top w:val="nil"/>
              <w:left w:val="nil"/>
              <w:bottom w:val="single" w:sz="4" w:space="0" w:color="auto"/>
              <w:right w:val="single" w:sz="4" w:space="0" w:color="auto"/>
            </w:tcBorders>
            <w:shd w:val="clear" w:color="auto" w:fill="auto"/>
            <w:noWrap/>
            <w:hideMark/>
          </w:tcPr>
          <w:p w14:paraId="7787E757" w14:textId="77777777" w:rsidR="006F1DA4" w:rsidRPr="004441F3" w:rsidRDefault="006F1DA4" w:rsidP="008A4564">
            <w:pPr>
              <w:jc w:val="right"/>
              <w:rPr>
                <w:color w:val="000000"/>
                <w:sz w:val="20"/>
                <w:lang w:eastAsia="en-CA"/>
              </w:rPr>
            </w:pPr>
            <w:r w:rsidRPr="004441F3">
              <w:rPr>
                <w:color w:val="000000"/>
                <w:sz w:val="20"/>
                <w:lang w:eastAsia="en-CA"/>
              </w:rPr>
              <w:t>142,500</w:t>
            </w:r>
          </w:p>
        </w:tc>
        <w:tc>
          <w:tcPr>
            <w:tcW w:w="1047" w:type="pct"/>
            <w:tcBorders>
              <w:top w:val="nil"/>
              <w:left w:val="nil"/>
              <w:bottom w:val="single" w:sz="4" w:space="0" w:color="auto"/>
              <w:right w:val="single" w:sz="4" w:space="0" w:color="auto"/>
            </w:tcBorders>
            <w:shd w:val="clear" w:color="auto" w:fill="auto"/>
            <w:noWrap/>
            <w:hideMark/>
          </w:tcPr>
          <w:p w14:paraId="33C2DE55" w14:textId="77777777" w:rsidR="006F1DA4" w:rsidRPr="004441F3" w:rsidRDefault="006F1DA4" w:rsidP="008A4564">
            <w:pPr>
              <w:jc w:val="right"/>
              <w:rPr>
                <w:color w:val="000000"/>
                <w:sz w:val="20"/>
                <w:lang w:eastAsia="en-CA"/>
              </w:rPr>
            </w:pPr>
            <w:r w:rsidRPr="004441F3">
              <w:rPr>
                <w:color w:val="000000"/>
                <w:sz w:val="20"/>
                <w:lang w:eastAsia="en-CA"/>
              </w:rPr>
              <w:t>1,282,500</w:t>
            </w:r>
          </w:p>
        </w:tc>
      </w:tr>
      <w:tr w:rsidR="006F1DA4" w:rsidRPr="00EF4BE1" w14:paraId="55B31E7B"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5F935F12" w14:textId="77777777" w:rsidR="008A4564" w:rsidRPr="004441F3" w:rsidRDefault="008A4564" w:rsidP="008A4564">
            <w:pPr>
              <w:bidi/>
              <w:jc w:val="left"/>
              <w:rPr>
                <w:color w:val="000000"/>
                <w:sz w:val="20"/>
                <w:lang w:eastAsia="en-CA"/>
              </w:rPr>
            </w:pPr>
            <w:r>
              <w:rPr>
                <w:rFonts w:hint="cs"/>
                <w:color w:val="000000"/>
                <w:sz w:val="20"/>
                <w:rtl/>
                <w:lang w:eastAsia="en-CA"/>
              </w:rPr>
              <w:t>160 حتى 200</w:t>
            </w:r>
          </w:p>
        </w:tc>
        <w:tc>
          <w:tcPr>
            <w:tcW w:w="803" w:type="pct"/>
            <w:tcBorders>
              <w:top w:val="nil"/>
              <w:left w:val="nil"/>
              <w:bottom w:val="single" w:sz="4" w:space="0" w:color="auto"/>
              <w:right w:val="single" w:sz="4" w:space="0" w:color="auto"/>
            </w:tcBorders>
            <w:shd w:val="clear" w:color="auto" w:fill="auto"/>
            <w:noWrap/>
            <w:hideMark/>
          </w:tcPr>
          <w:p w14:paraId="33B328B4" w14:textId="77777777" w:rsidR="006F1DA4" w:rsidRPr="004441F3" w:rsidRDefault="006F1DA4" w:rsidP="008A4564">
            <w:pPr>
              <w:jc w:val="center"/>
              <w:rPr>
                <w:color w:val="000000"/>
                <w:sz w:val="20"/>
                <w:lang w:eastAsia="en-CA"/>
              </w:rPr>
            </w:pPr>
            <w:r>
              <w:rPr>
                <w:color w:val="000000"/>
                <w:sz w:val="20"/>
                <w:lang w:eastAsia="en-CA"/>
              </w:rPr>
              <w:t>3</w:t>
            </w:r>
          </w:p>
        </w:tc>
        <w:tc>
          <w:tcPr>
            <w:tcW w:w="960" w:type="pct"/>
            <w:tcBorders>
              <w:top w:val="nil"/>
              <w:left w:val="nil"/>
              <w:bottom w:val="single" w:sz="4" w:space="0" w:color="auto"/>
              <w:right w:val="single" w:sz="4" w:space="0" w:color="auto"/>
            </w:tcBorders>
            <w:shd w:val="clear" w:color="auto" w:fill="auto"/>
            <w:noWrap/>
            <w:hideMark/>
          </w:tcPr>
          <w:p w14:paraId="7B2D6232" w14:textId="77777777" w:rsidR="006F1DA4" w:rsidRPr="004441F3" w:rsidRDefault="006F1DA4" w:rsidP="008A4564">
            <w:pPr>
              <w:jc w:val="right"/>
              <w:rPr>
                <w:color w:val="000000"/>
                <w:sz w:val="20"/>
                <w:lang w:eastAsia="en-CA"/>
              </w:rPr>
            </w:pPr>
            <w:r w:rsidRPr="004441F3">
              <w:rPr>
                <w:color w:val="000000"/>
                <w:sz w:val="20"/>
                <w:lang w:eastAsia="en-CA"/>
              </w:rPr>
              <w:t>100,000</w:t>
            </w:r>
          </w:p>
        </w:tc>
        <w:tc>
          <w:tcPr>
            <w:tcW w:w="1047" w:type="pct"/>
            <w:tcBorders>
              <w:top w:val="nil"/>
              <w:left w:val="nil"/>
              <w:bottom w:val="single" w:sz="4" w:space="0" w:color="auto"/>
              <w:right w:val="single" w:sz="4" w:space="0" w:color="auto"/>
            </w:tcBorders>
            <w:shd w:val="clear" w:color="auto" w:fill="auto"/>
            <w:noWrap/>
            <w:hideMark/>
          </w:tcPr>
          <w:p w14:paraId="171D0C15" w14:textId="77777777" w:rsidR="006F1DA4" w:rsidRPr="004441F3" w:rsidRDefault="006F1DA4" w:rsidP="008A4564">
            <w:pPr>
              <w:jc w:val="right"/>
              <w:rPr>
                <w:color w:val="000000"/>
                <w:sz w:val="20"/>
                <w:lang w:eastAsia="en-CA"/>
              </w:rPr>
            </w:pPr>
            <w:r w:rsidRPr="004441F3">
              <w:rPr>
                <w:color w:val="000000"/>
                <w:sz w:val="20"/>
                <w:lang w:eastAsia="en-CA"/>
              </w:rPr>
              <w:t>150,000</w:t>
            </w:r>
          </w:p>
        </w:tc>
        <w:tc>
          <w:tcPr>
            <w:tcW w:w="1047" w:type="pct"/>
            <w:tcBorders>
              <w:top w:val="nil"/>
              <w:left w:val="nil"/>
              <w:bottom w:val="single" w:sz="4" w:space="0" w:color="auto"/>
              <w:right w:val="single" w:sz="4" w:space="0" w:color="auto"/>
            </w:tcBorders>
            <w:shd w:val="clear" w:color="auto" w:fill="auto"/>
            <w:noWrap/>
            <w:hideMark/>
          </w:tcPr>
          <w:p w14:paraId="5065351B" w14:textId="77777777" w:rsidR="006F1DA4" w:rsidRPr="004441F3" w:rsidRDefault="006F1DA4" w:rsidP="008A4564">
            <w:pPr>
              <w:jc w:val="right"/>
              <w:rPr>
                <w:color w:val="000000"/>
                <w:sz w:val="20"/>
                <w:lang w:eastAsia="en-CA"/>
              </w:rPr>
            </w:pPr>
            <w:r>
              <w:rPr>
                <w:color w:val="000000"/>
                <w:sz w:val="20"/>
                <w:lang w:eastAsia="en-CA"/>
              </w:rPr>
              <w:t>450</w:t>
            </w:r>
            <w:r w:rsidRPr="004441F3">
              <w:rPr>
                <w:color w:val="000000"/>
                <w:sz w:val="20"/>
                <w:lang w:eastAsia="en-CA"/>
              </w:rPr>
              <w:t>,000</w:t>
            </w:r>
          </w:p>
        </w:tc>
      </w:tr>
      <w:tr w:rsidR="006F1DA4" w:rsidRPr="00EF4BE1" w14:paraId="119355EC"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53A52E12" w14:textId="77777777" w:rsidR="008A4564" w:rsidRPr="004441F3" w:rsidRDefault="008A4564" w:rsidP="008A4564">
            <w:pPr>
              <w:bidi/>
              <w:jc w:val="left"/>
              <w:rPr>
                <w:color w:val="000000"/>
                <w:sz w:val="20"/>
                <w:lang w:eastAsia="en-CA"/>
              </w:rPr>
            </w:pPr>
            <w:r>
              <w:rPr>
                <w:rFonts w:hint="cs"/>
                <w:color w:val="000000"/>
                <w:sz w:val="20"/>
                <w:rtl/>
                <w:lang w:eastAsia="en-CA"/>
              </w:rPr>
              <w:t>200 حتى 320</w:t>
            </w:r>
          </w:p>
        </w:tc>
        <w:tc>
          <w:tcPr>
            <w:tcW w:w="803" w:type="pct"/>
            <w:tcBorders>
              <w:top w:val="nil"/>
              <w:left w:val="nil"/>
              <w:bottom w:val="single" w:sz="4" w:space="0" w:color="auto"/>
              <w:right w:val="single" w:sz="4" w:space="0" w:color="auto"/>
            </w:tcBorders>
            <w:shd w:val="clear" w:color="auto" w:fill="auto"/>
            <w:noWrap/>
            <w:hideMark/>
          </w:tcPr>
          <w:p w14:paraId="02E55D22" w14:textId="77777777" w:rsidR="006F1DA4" w:rsidRPr="004441F3" w:rsidRDefault="006F1DA4" w:rsidP="008A4564">
            <w:pPr>
              <w:jc w:val="center"/>
              <w:rPr>
                <w:color w:val="000000"/>
                <w:sz w:val="20"/>
                <w:lang w:eastAsia="en-CA"/>
              </w:rPr>
            </w:pPr>
            <w:r>
              <w:rPr>
                <w:color w:val="000000"/>
                <w:sz w:val="20"/>
                <w:lang w:eastAsia="en-CA"/>
              </w:rPr>
              <w:t>12</w:t>
            </w:r>
          </w:p>
        </w:tc>
        <w:tc>
          <w:tcPr>
            <w:tcW w:w="960" w:type="pct"/>
            <w:tcBorders>
              <w:top w:val="nil"/>
              <w:left w:val="nil"/>
              <w:bottom w:val="single" w:sz="4" w:space="0" w:color="auto"/>
              <w:right w:val="single" w:sz="4" w:space="0" w:color="auto"/>
            </w:tcBorders>
            <w:shd w:val="clear" w:color="auto" w:fill="auto"/>
            <w:noWrap/>
            <w:hideMark/>
          </w:tcPr>
          <w:p w14:paraId="343286BE" w14:textId="77777777" w:rsidR="006F1DA4" w:rsidRPr="004441F3" w:rsidRDefault="006F1DA4" w:rsidP="008A4564">
            <w:pPr>
              <w:jc w:val="right"/>
              <w:rPr>
                <w:color w:val="000000"/>
                <w:sz w:val="20"/>
                <w:lang w:eastAsia="en-CA"/>
              </w:rPr>
            </w:pPr>
            <w:r w:rsidRPr="004441F3">
              <w:rPr>
                <w:color w:val="000000"/>
                <w:sz w:val="20"/>
                <w:lang w:eastAsia="en-CA"/>
              </w:rPr>
              <w:t>160,000</w:t>
            </w:r>
          </w:p>
        </w:tc>
        <w:tc>
          <w:tcPr>
            <w:tcW w:w="1047" w:type="pct"/>
            <w:tcBorders>
              <w:top w:val="nil"/>
              <w:left w:val="nil"/>
              <w:bottom w:val="single" w:sz="4" w:space="0" w:color="auto"/>
              <w:right w:val="single" w:sz="4" w:space="0" w:color="auto"/>
            </w:tcBorders>
            <w:shd w:val="clear" w:color="auto" w:fill="auto"/>
            <w:noWrap/>
            <w:hideMark/>
          </w:tcPr>
          <w:p w14:paraId="1167F302" w14:textId="77777777" w:rsidR="006F1DA4" w:rsidRPr="004441F3" w:rsidRDefault="006F1DA4" w:rsidP="008A4564">
            <w:pPr>
              <w:jc w:val="right"/>
              <w:rPr>
                <w:color w:val="000000"/>
                <w:sz w:val="20"/>
                <w:lang w:eastAsia="en-CA"/>
              </w:rPr>
            </w:pPr>
            <w:r w:rsidRPr="004441F3">
              <w:rPr>
                <w:color w:val="000000"/>
                <w:sz w:val="20"/>
                <w:lang w:eastAsia="en-CA"/>
              </w:rPr>
              <w:t>240,000</w:t>
            </w:r>
          </w:p>
        </w:tc>
        <w:tc>
          <w:tcPr>
            <w:tcW w:w="1047" w:type="pct"/>
            <w:tcBorders>
              <w:top w:val="nil"/>
              <w:left w:val="nil"/>
              <w:bottom w:val="single" w:sz="4" w:space="0" w:color="auto"/>
              <w:right w:val="single" w:sz="4" w:space="0" w:color="auto"/>
            </w:tcBorders>
            <w:shd w:val="clear" w:color="auto" w:fill="auto"/>
            <w:noWrap/>
            <w:hideMark/>
          </w:tcPr>
          <w:p w14:paraId="5BE23EE2" w14:textId="77777777" w:rsidR="006F1DA4" w:rsidRPr="004441F3" w:rsidRDefault="006F1DA4" w:rsidP="008A4564">
            <w:pPr>
              <w:jc w:val="right"/>
              <w:rPr>
                <w:color w:val="000000"/>
                <w:sz w:val="20"/>
                <w:lang w:eastAsia="en-CA"/>
              </w:rPr>
            </w:pPr>
            <w:r w:rsidRPr="004441F3">
              <w:rPr>
                <w:color w:val="000000"/>
                <w:sz w:val="20"/>
                <w:lang w:eastAsia="en-CA"/>
              </w:rPr>
              <w:t>2,</w:t>
            </w:r>
            <w:r>
              <w:rPr>
                <w:color w:val="000000"/>
                <w:sz w:val="20"/>
                <w:lang w:eastAsia="en-CA"/>
              </w:rPr>
              <w:t>880</w:t>
            </w:r>
            <w:r w:rsidRPr="004441F3">
              <w:rPr>
                <w:color w:val="000000"/>
                <w:sz w:val="20"/>
                <w:lang w:eastAsia="en-CA"/>
              </w:rPr>
              <w:t>,000</w:t>
            </w:r>
          </w:p>
        </w:tc>
      </w:tr>
      <w:tr w:rsidR="006F1DA4" w:rsidRPr="00EF4BE1" w14:paraId="19AD1636"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5C53EED6" w14:textId="77777777" w:rsidR="008A4564" w:rsidRPr="004441F3" w:rsidRDefault="008A4564" w:rsidP="008A4564">
            <w:pPr>
              <w:bidi/>
              <w:jc w:val="left"/>
              <w:rPr>
                <w:color w:val="000000"/>
                <w:sz w:val="20"/>
                <w:lang w:eastAsia="en-CA"/>
              </w:rPr>
            </w:pPr>
            <w:r>
              <w:rPr>
                <w:rFonts w:hint="cs"/>
                <w:color w:val="000000"/>
                <w:sz w:val="20"/>
                <w:rtl/>
                <w:lang w:eastAsia="en-CA"/>
              </w:rPr>
              <w:t>320 حتى 360</w:t>
            </w:r>
          </w:p>
        </w:tc>
        <w:tc>
          <w:tcPr>
            <w:tcW w:w="803" w:type="pct"/>
            <w:tcBorders>
              <w:top w:val="nil"/>
              <w:left w:val="nil"/>
              <w:bottom w:val="single" w:sz="4" w:space="0" w:color="auto"/>
              <w:right w:val="single" w:sz="4" w:space="0" w:color="auto"/>
            </w:tcBorders>
            <w:shd w:val="clear" w:color="auto" w:fill="auto"/>
            <w:noWrap/>
            <w:hideMark/>
          </w:tcPr>
          <w:p w14:paraId="1AFE791C" w14:textId="77777777" w:rsidR="006F1DA4" w:rsidRPr="004441F3" w:rsidRDefault="006F1DA4" w:rsidP="008A4564">
            <w:pPr>
              <w:jc w:val="center"/>
              <w:rPr>
                <w:color w:val="000000"/>
                <w:sz w:val="20"/>
                <w:lang w:eastAsia="en-CA"/>
              </w:rPr>
            </w:pPr>
            <w:r w:rsidRPr="004441F3">
              <w:rPr>
                <w:color w:val="000000"/>
                <w:sz w:val="20"/>
                <w:lang w:eastAsia="en-CA"/>
              </w:rPr>
              <w:t>2</w:t>
            </w:r>
          </w:p>
        </w:tc>
        <w:tc>
          <w:tcPr>
            <w:tcW w:w="960" w:type="pct"/>
            <w:tcBorders>
              <w:top w:val="nil"/>
              <w:left w:val="nil"/>
              <w:bottom w:val="single" w:sz="4" w:space="0" w:color="auto"/>
              <w:right w:val="single" w:sz="4" w:space="0" w:color="auto"/>
            </w:tcBorders>
            <w:shd w:val="clear" w:color="auto" w:fill="auto"/>
            <w:noWrap/>
            <w:hideMark/>
          </w:tcPr>
          <w:p w14:paraId="2F78FA32" w14:textId="77777777" w:rsidR="006F1DA4" w:rsidRPr="004441F3" w:rsidRDefault="006F1DA4" w:rsidP="008A4564">
            <w:pPr>
              <w:jc w:val="right"/>
              <w:rPr>
                <w:color w:val="000000"/>
                <w:sz w:val="20"/>
                <w:lang w:eastAsia="en-CA"/>
              </w:rPr>
            </w:pPr>
            <w:r w:rsidRPr="004441F3">
              <w:rPr>
                <w:color w:val="000000"/>
                <w:sz w:val="20"/>
                <w:lang w:eastAsia="en-CA"/>
              </w:rPr>
              <w:t>180,000</w:t>
            </w:r>
          </w:p>
        </w:tc>
        <w:tc>
          <w:tcPr>
            <w:tcW w:w="1047" w:type="pct"/>
            <w:tcBorders>
              <w:top w:val="nil"/>
              <w:left w:val="nil"/>
              <w:bottom w:val="single" w:sz="4" w:space="0" w:color="auto"/>
              <w:right w:val="single" w:sz="4" w:space="0" w:color="auto"/>
            </w:tcBorders>
            <w:shd w:val="clear" w:color="auto" w:fill="auto"/>
            <w:noWrap/>
            <w:hideMark/>
          </w:tcPr>
          <w:p w14:paraId="4F230D88" w14:textId="77777777" w:rsidR="006F1DA4" w:rsidRPr="004441F3" w:rsidRDefault="006F1DA4" w:rsidP="008A4564">
            <w:pPr>
              <w:jc w:val="right"/>
              <w:rPr>
                <w:color w:val="000000"/>
                <w:sz w:val="20"/>
                <w:lang w:eastAsia="en-CA"/>
              </w:rPr>
            </w:pPr>
            <w:r w:rsidRPr="004441F3">
              <w:rPr>
                <w:color w:val="000000"/>
                <w:sz w:val="20"/>
                <w:lang w:eastAsia="en-CA"/>
              </w:rPr>
              <w:t>270,000</w:t>
            </w:r>
          </w:p>
        </w:tc>
        <w:tc>
          <w:tcPr>
            <w:tcW w:w="1047" w:type="pct"/>
            <w:tcBorders>
              <w:top w:val="nil"/>
              <w:left w:val="nil"/>
              <w:bottom w:val="single" w:sz="4" w:space="0" w:color="auto"/>
              <w:right w:val="single" w:sz="4" w:space="0" w:color="auto"/>
            </w:tcBorders>
            <w:shd w:val="clear" w:color="auto" w:fill="auto"/>
            <w:noWrap/>
            <w:hideMark/>
          </w:tcPr>
          <w:p w14:paraId="0ECAEB2F" w14:textId="77777777" w:rsidR="006F1DA4" w:rsidRPr="004441F3" w:rsidRDefault="006F1DA4" w:rsidP="008A4564">
            <w:pPr>
              <w:jc w:val="right"/>
              <w:rPr>
                <w:color w:val="000000"/>
                <w:sz w:val="20"/>
                <w:lang w:eastAsia="en-CA"/>
              </w:rPr>
            </w:pPr>
            <w:r w:rsidRPr="004441F3">
              <w:rPr>
                <w:color w:val="000000"/>
                <w:sz w:val="20"/>
                <w:lang w:eastAsia="en-CA"/>
              </w:rPr>
              <w:t>540,000</w:t>
            </w:r>
          </w:p>
        </w:tc>
      </w:tr>
      <w:tr w:rsidR="006F1DA4" w:rsidRPr="00EF4BE1" w14:paraId="6E0CEBE0"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2039C892" w14:textId="77777777" w:rsidR="008A4564" w:rsidRPr="008A4564" w:rsidRDefault="008A4564" w:rsidP="008A4564">
            <w:pPr>
              <w:bidi/>
              <w:jc w:val="left"/>
              <w:rPr>
                <w:color w:val="000000"/>
                <w:sz w:val="20"/>
                <w:lang w:val="en-US" w:eastAsia="en-CA"/>
              </w:rPr>
            </w:pPr>
            <w:r>
              <w:rPr>
                <w:rFonts w:hint="cs"/>
                <w:color w:val="000000"/>
                <w:sz w:val="20"/>
                <w:rtl/>
                <w:lang w:eastAsia="en-CA"/>
              </w:rPr>
              <w:t xml:space="preserve">360 حتى </w:t>
            </w:r>
            <w:r>
              <w:rPr>
                <w:color w:val="000000"/>
                <w:sz w:val="20"/>
                <w:lang w:val="en-US" w:eastAsia="en-CA"/>
              </w:rPr>
              <w:t>1,800</w:t>
            </w:r>
          </w:p>
        </w:tc>
        <w:tc>
          <w:tcPr>
            <w:tcW w:w="803" w:type="pct"/>
            <w:tcBorders>
              <w:top w:val="nil"/>
              <w:left w:val="nil"/>
              <w:bottom w:val="single" w:sz="4" w:space="0" w:color="auto"/>
              <w:right w:val="single" w:sz="4" w:space="0" w:color="auto"/>
            </w:tcBorders>
            <w:shd w:val="clear" w:color="auto" w:fill="auto"/>
            <w:noWrap/>
            <w:hideMark/>
          </w:tcPr>
          <w:p w14:paraId="63D0504B" w14:textId="77777777" w:rsidR="006F1DA4" w:rsidRPr="004441F3" w:rsidRDefault="006F1DA4" w:rsidP="008A4564">
            <w:pPr>
              <w:jc w:val="center"/>
              <w:rPr>
                <w:color w:val="000000"/>
                <w:sz w:val="20"/>
                <w:lang w:eastAsia="en-CA"/>
              </w:rPr>
            </w:pPr>
            <w:r w:rsidRPr="004441F3">
              <w:rPr>
                <w:color w:val="000000"/>
                <w:sz w:val="20"/>
                <w:lang w:eastAsia="en-CA"/>
              </w:rPr>
              <w:t>35</w:t>
            </w:r>
          </w:p>
        </w:tc>
        <w:tc>
          <w:tcPr>
            <w:tcW w:w="960" w:type="pct"/>
            <w:tcBorders>
              <w:top w:val="nil"/>
              <w:left w:val="nil"/>
              <w:bottom w:val="single" w:sz="4" w:space="0" w:color="auto"/>
              <w:right w:val="single" w:sz="4" w:space="0" w:color="auto"/>
            </w:tcBorders>
            <w:shd w:val="clear" w:color="auto" w:fill="auto"/>
            <w:noWrap/>
            <w:hideMark/>
          </w:tcPr>
          <w:p w14:paraId="49A5437C"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641AB7A6"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70043FB5" w14:textId="77777777" w:rsidR="006F1DA4" w:rsidRPr="004441F3" w:rsidRDefault="006F1DA4" w:rsidP="008A4564">
            <w:pPr>
              <w:jc w:val="right"/>
              <w:rPr>
                <w:color w:val="000000"/>
                <w:sz w:val="20"/>
                <w:lang w:eastAsia="en-CA"/>
              </w:rPr>
            </w:pPr>
            <w:r w:rsidRPr="004441F3">
              <w:rPr>
                <w:color w:val="000000"/>
                <w:sz w:val="20"/>
                <w:lang w:eastAsia="en-CA"/>
              </w:rPr>
              <w:t>12,778,979</w:t>
            </w:r>
          </w:p>
        </w:tc>
      </w:tr>
      <w:tr w:rsidR="006F1DA4" w:rsidRPr="00EF4BE1" w14:paraId="1C10CB21"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00C1EA96" w14:textId="77777777" w:rsidR="006F1DA4" w:rsidRPr="008A4564" w:rsidRDefault="008A4564" w:rsidP="008A4564">
            <w:pPr>
              <w:bidi/>
              <w:jc w:val="left"/>
              <w:rPr>
                <w:color w:val="000000"/>
                <w:sz w:val="20"/>
                <w:lang w:val="en-US" w:eastAsia="en-CA" w:bidi="ar-EG"/>
              </w:rPr>
            </w:pPr>
            <w:r>
              <w:rPr>
                <w:color w:val="000000"/>
                <w:sz w:val="20"/>
                <w:lang w:eastAsia="en-CA"/>
              </w:rPr>
              <w:t>1,800</w:t>
            </w:r>
            <w:r>
              <w:rPr>
                <w:rFonts w:hint="cs"/>
                <w:color w:val="000000"/>
                <w:sz w:val="20"/>
                <w:rtl/>
                <w:lang w:eastAsia="en-CA"/>
              </w:rPr>
              <w:t xml:space="preserve"> حتى </w:t>
            </w:r>
            <w:r>
              <w:rPr>
                <w:color w:val="000000"/>
                <w:sz w:val="20"/>
                <w:lang w:val="en-US" w:eastAsia="en-CA"/>
              </w:rPr>
              <w:t>8,000</w:t>
            </w:r>
          </w:p>
        </w:tc>
        <w:tc>
          <w:tcPr>
            <w:tcW w:w="803" w:type="pct"/>
            <w:tcBorders>
              <w:top w:val="nil"/>
              <w:left w:val="nil"/>
              <w:bottom w:val="single" w:sz="4" w:space="0" w:color="auto"/>
              <w:right w:val="single" w:sz="4" w:space="0" w:color="auto"/>
            </w:tcBorders>
            <w:shd w:val="clear" w:color="auto" w:fill="auto"/>
            <w:noWrap/>
            <w:hideMark/>
          </w:tcPr>
          <w:p w14:paraId="2A5139DC" w14:textId="77777777" w:rsidR="006F1DA4" w:rsidRPr="004441F3" w:rsidRDefault="006F1DA4" w:rsidP="008A4564">
            <w:pPr>
              <w:jc w:val="center"/>
              <w:rPr>
                <w:color w:val="000000"/>
                <w:sz w:val="20"/>
                <w:lang w:eastAsia="en-CA"/>
              </w:rPr>
            </w:pPr>
            <w:r w:rsidRPr="004441F3">
              <w:rPr>
                <w:color w:val="000000"/>
                <w:sz w:val="20"/>
                <w:lang w:eastAsia="en-CA"/>
              </w:rPr>
              <w:t>15</w:t>
            </w:r>
          </w:p>
        </w:tc>
        <w:tc>
          <w:tcPr>
            <w:tcW w:w="960" w:type="pct"/>
            <w:tcBorders>
              <w:top w:val="nil"/>
              <w:left w:val="nil"/>
              <w:bottom w:val="single" w:sz="4" w:space="0" w:color="auto"/>
              <w:right w:val="single" w:sz="4" w:space="0" w:color="auto"/>
            </w:tcBorders>
            <w:shd w:val="clear" w:color="auto" w:fill="auto"/>
            <w:noWrap/>
            <w:hideMark/>
          </w:tcPr>
          <w:p w14:paraId="09257DB3"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7E53F3A8" w14:textId="77777777" w:rsidR="006F1DA4" w:rsidRPr="004441F3" w:rsidRDefault="006F1DA4" w:rsidP="008A4564">
            <w:pPr>
              <w:jc w:val="right"/>
              <w:rPr>
                <w:color w:val="000000"/>
                <w:sz w:val="20"/>
                <w:lang w:eastAsia="en-CA"/>
              </w:rPr>
            </w:pPr>
            <w:r w:rsidRPr="004441F3">
              <w:rPr>
                <w:color w:val="000000"/>
                <w:sz w:val="20"/>
                <w:lang w:eastAsia="en-CA"/>
              </w:rPr>
              <w:t>4.80/4.00</w:t>
            </w:r>
          </w:p>
        </w:tc>
        <w:tc>
          <w:tcPr>
            <w:tcW w:w="1047" w:type="pct"/>
            <w:tcBorders>
              <w:top w:val="nil"/>
              <w:left w:val="nil"/>
              <w:bottom w:val="single" w:sz="4" w:space="0" w:color="auto"/>
              <w:right w:val="single" w:sz="4" w:space="0" w:color="auto"/>
            </w:tcBorders>
            <w:shd w:val="clear" w:color="auto" w:fill="auto"/>
            <w:noWrap/>
            <w:hideMark/>
          </w:tcPr>
          <w:p w14:paraId="75B7825B" w14:textId="77777777" w:rsidR="006F1DA4" w:rsidRPr="004441F3" w:rsidRDefault="006F1DA4" w:rsidP="008A4564">
            <w:pPr>
              <w:jc w:val="right"/>
              <w:rPr>
                <w:color w:val="000000"/>
                <w:sz w:val="20"/>
                <w:lang w:eastAsia="en-CA"/>
              </w:rPr>
            </w:pPr>
            <w:r w:rsidRPr="004441F3">
              <w:rPr>
                <w:color w:val="000000"/>
                <w:sz w:val="20"/>
                <w:lang w:eastAsia="en-CA"/>
              </w:rPr>
              <w:t>24,540,193</w:t>
            </w:r>
          </w:p>
        </w:tc>
      </w:tr>
      <w:tr w:rsidR="006F1DA4" w:rsidRPr="00EF4BE1" w14:paraId="521D1B35"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4B4D8462" w14:textId="77777777" w:rsidR="008A4564" w:rsidRPr="008A4564" w:rsidRDefault="008A4564" w:rsidP="008A4564">
            <w:pPr>
              <w:bidi/>
              <w:jc w:val="left"/>
              <w:rPr>
                <w:color w:val="000000"/>
                <w:sz w:val="20"/>
                <w:lang w:val="en-US" w:eastAsia="en-CA" w:bidi="ar-EG"/>
              </w:rPr>
            </w:pPr>
            <w:r>
              <w:rPr>
                <w:color w:val="000000"/>
                <w:sz w:val="20"/>
                <w:lang w:val="en-US" w:eastAsia="en-CA" w:bidi="ar-EG"/>
              </w:rPr>
              <w:t>8,000</w:t>
            </w:r>
            <w:r>
              <w:rPr>
                <w:rFonts w:hint="cs"/>
                <w:color w:val="000000"/>
                <w:sz w:val="20"/>
                <w:rtl/>
                <w:lang w:val="en-US" w:eastAsia="en-CA" w:bidi="ar-EG"/>
              </w:rPr>
              <w:t xml:space="preserve"> حتى </w:t>
            </w:r>
            <w:r>
              <w:rPr>
                <w:color w:val="000000"/>
                <w:sz w:val="20"/>
                <w:lang w:val="en-US" w:eastAsia="en-CA" w:bidi="ar-EG"/>
              </w:rPr>
              <w:t>25,000</w:t>
            </w:r>
          </w:p>
        </w:tc>
        <w:tc>
          <w:tcPr>
            <w:tcW w:w="803" w:type="pct"/>
            <w:tcBorders>
              <w:top w:val="nil"/>
              <w:left w:val="nil"/>
              <w:bottom w:val="single" w:sz="4" w:space="0" w:color="auto"/>
              <w:right w:val="single" w:sz="4" w:space="0" w:color="auto"/>
            </w:tcBorders>
            <w:shd w:val="clear" w:color="auto" w:fill="auto"/>
            <w:noWrap/>
            <w:hideMark/>
          </w:tcPr>
          <w:p w14:paraId="77DC83CE" w14:textId="77777777" w:rsidR="006F1DA4" w:rsidRPr="004441F3" w:rsidRDefault="006F1DA4" w:rsidP="008A4564">
            <w:pPr>
              <w:jc w:val="center"/>
              <w:rPr>
                <w:color w:val="000000"/>
                <w:sz w:val="20"/>
                <w:lang w:eastAsia="en-CA"/>
              </w:rPr>
            </w:pPr>
            <w:r w:rsidRPr="004441F3">
              <w:rPr>
                <w:color w:val="000000"/>
                <w:sz w:val="20"/>
                <w:lang w:eastAsia="en-CA"/>
              </w:rPr>
              <w:t>5</w:t>
            </w:r>
          </w:p>
        </w:tc>
        <w:tc>
          <w:tcPr>
            <w:tcW w:w="960" w:type="pct"/>
            <w:tcBorders>
              <w:top w:val="nil"/>
              <w:left w:val="nil"/>
              <w:bottom w:val="single" w:sz="4" w:space="0" w:color="auto"/>
              <w:right w:val="single" w:sz="4" w:space="0" w:color="auto"/>
            </w:tcBorders>
            <w:shd w:val="clear" w:color="auto" w:fill="auto"/>
            <w:noWrap/>
            <w:hideMark/>
          </w:tcPr>
          <w:p w14:paraId="61B97EBA"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243FA061" w14:textId="77777777" w:rsidR="006F1DA4" w:rsidRPr="004441F3" w:rsidRDefault="006F1DA4" w:rsidP="008A4564">
            <w:pPr>
              <w:jc w:val="right"/>
              <w:rPr>
                <w:color w:val="000000"/>
                <w:sz w:val="20"/>
                <w:lang w:eastAsia="en-CA"/>
              </w:rPr>
            </w:pPr>
            <w:r w:rsidRPr="004441F3">
              <w:rPr>
                <w:color w:val="000000"/>
                <w:sz w:val="20"/>
                <w:lang w:eastAsia="en-CA"/>
              </w:rPr>
              <w:t>4.80/4.00/3.20</w:t>
            </w:r>
          </w:p>
        </w:tc>
        <w:tc>
          <w:tcPr>
            <w:tcW w:w="1047" w:type="pct"/>
            <w:tcBorders>
              <w:top w:val="nil"/>
              <w:left w:val="nil"/>
              <w:bottom w:val="single" w:sz="4" w:space="0" w:color="auto"/>
              <w:right w:val="single" w:sz="4" w:space="0" w:color="auto"/>
            </w:tcBorders>
            <w:shd w:val="clear" w:color="auto" w:fill="auto"/>
            <w:noWrap/>
            <w:hideMark/>
          </w:tcPr>
          <w:p w14:paraId="37F877EA" w14:textId="77777777" w:rsidR="006F1DA4" w:rsidRPr="004441F3" w:rsidRDefault="006F1DA4" w:rsidP="008A4564">
            <w:pPr>
              <w:jc w:val="right"/>
              <w:rPr>
                <w:color w:val="000000"/>
                <w:sz w:val="20"/>
                <w:lang w:eastAsia="en-CA"/>
              </w:rPr>
            </w:pPr>
            <w:r w:rsidRPr="004441F3">
              <w:rPr>
                <w:color w:val="000000"/>
                <w:sz w:val="20"/>
                <w:lang w:eastAsia="en-CA"/>
              </w:rPr>
              <w:t>24,807,330</w:t>
            </w:r>
          </w:p>
        </w:tc>
      </w:tr>
      <w:tr w:rsidR="006F1DA4" w:rsidRPr="00EF4BE1" w14:paraId="2FA67481"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41A999DE" w14:textId="77777777" w:rsidR="008A4564" w:rsidRPr="008A4564" w:rsidRDefault="008A4564" w:rsidP="008A4564">
            <w:pPr>
              <w:bidi/>
              <w:jc w:val="left"/>
              <w:rPr>
                <w:color w:val="000000"/>
                <w:sz w:val="20"/>
                <w:lang w:val="en-US" w:eastAsia="en-CA" w:bidi="ar-EG"/>
              </w:rPr>
            </w:pPr>
            <w:r>
              <w:rPr>
                <w:rFonts w:hint="cs"/>
                <w:color w:val="000000"/>
                <w:sz w:val="20"/>
                <w:rtl/>
                <w:lang w:eastAsia="en-CA" w:bidi="ar-EG"/>
              </w:rPr>
              <w:t xml:space="preserve">أكثر من </w:t>
            </w:r>
            <w:r>
              <w:rPr>
                <w:color w:val="000000"/>
                <w:sz w:val="20"/>
                <w:lang w:val="en-US" w:eastAsia="en-CA" w:bidi="ar-EG"/>
              </w:rPr>
              <w:t>25,000</w:t>
            </w:r>
          </w:p>
        </w:tc>
        <w:tc>
          <w:tcPr>
            <w:tcW w:w="803" w:type="pct"/>
            <w:tcBorders>
              <w:top w:val="nil"/>
              <w:left w:val="nil"/>
              <w:bottom w:val="single" w:sz="4" w:space="0" w:color="auto"/>
              <w:right w:val="single" w:sz="4" w:space="0" w:color="auto"/>
            </w:tcBorders>
            <w:shd w:val="clear" w:color="auto" w:fill="auto"/>
            <w:noWrap/>
            <w:hideMark/>
          </w:tcPr>
          <w:p w14:paraId="2280BCC8" w14:textId="77777777" w:rsidR="006F1DA4" w:rsidRPr="004441F3" w:rsidRDefault="006F1DA4" w:rsidP="008A4564">
            <w:pPr>
              <w:jc w:val="center"/>
              <w:rPr>
                <w:color w:val="000000"/>
                <w:sz w:val="20"/>
                <w:lang w:eastAsia="en-CA"/>
              </w:rPr>
            </w:pPr>
            <w:r w:rsidRPr="004441F3">
              <w:rPr>
                <w:color w:val="000000"/>
                <w:sz w:val="20"/>
                <w:lang w:eastAsia="en-CA"/>
              </w:rPr>
              <w:t>1</w:t>
            </w:r>
          </w:p>
        </w:tc>
        <w:tc>
          <w:tcPr>
            <w:tcW w:w="960" w:type="pct"/>
            <w:tcBorders>
              <w:top w:val="nil"/>
              <w:left w:val="nil"/>
              <w:bottom w:val="single" w:sz="4" w:space="0" w:color="auto"/>
              <w:right w:val="single" w:sz="4" w:space="0" w:color="auto"/>
            </w:tcBorders>
            <w:shd w:val="clear" w:color="auto" w:fill="auto"/>
            <w:noWrap/>
            <w:hideMark/>
          </w:tcPr>
          <w:p w14:paraId="3FD7040C"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36C30D76" w14:textId="77777777" w:rsidR="006F1DA4" w:rsidRPr="004441F3" w:rsidRDefault="008A4564" w:rsidP="008A4564">
            <w:pPr>
              <w:jc w:val="right"/>
              <w:rPr>
                <w:color w:val="000000"/>
                <w:sz w:val="20"/>
                <w:lang w:eastAsia="en-CA"/>
              </w:rPr>
            </w:pPr>
            <w:r>
              <w:rPr>
                <w:rFonts w:hint="cs"/>
                <w:color w:val="000000"/>
                <w:sz w:val="20"/>
                <w:rtl/>
                <w:lang w:eastAsia="en-CA"/>
              </w:rPr>
              <w:t>على أساس كل حالة على حدة</w:t>
            </w:r>
          </w:p>
        </w:tc>
        <w:tc>
          <w:tcPr>
            <w:tcW w:w="1047" w:type="pct"/>
            <w:tcBorders>
              <w:top w:val="nil"/>
              <w:left w:val="nil"/>
              <w:bottom w:val="single" w:sz="4" w:space="0" w:color="auto"/>
              <w:right w:val="single" w:sz="4" w:space="0" w:color="auto"/>
            </w:tcBorders>
            <w:shd w:val="clear" w:color="auto" w:fill="auto"/>
            <w:noWrap/>
            <w:hideMark/>
          </w:tcPr>
          <w:p w14:paraId="73E83E2F" w14:textId="77777777" w:rsidR="006F1DA4" w:rsidRPr="004441F3" w:rsidRDefault="008A4564" w:rsidP="008A4564">
            <w:pPr>
              <w:jc w:val="right"/>
              <w:rPr>
                <w:color w:val="000000"/>
                <w:sz w:val="20"/>
                <w:lang w:eastAsia="en-CA"/>
              </w:rPr>
            </w:pPr>
            <w:r>
              <w:rPr>
                <w:rFonts w:hint="cs"/>
                <w:color w:val="000000"/>
                <w:sz w:val="20"/>
                <w:rtl/>
                <w:lang w:eastAsia="en-CA"/>
              </w:rPr>
              <w:t>يحدد لاحقا</w:t>
            </w:r>
          </w:p>
        </w:tc>
      </w:tr>
      <w:tr w:rsidR="006F1DA4" w:rsidRPr="00EF4BE1" w14:paraId="6049EFC6" w14:textId="77777777" w:rsidTr="00504415">
        <w:trPr>
          <w:trHeight w:val="280"/>
          <w:jc w:val="center"/>
        </w:trPr>
        <w:tc>
          <w:tcPr>
            <w:tcW w:w="1143" w:type="pct"/>
            <w:tcBorders>
              <w:top w:val="single" w:sz="4" w:space="0" w:color="auto"/>
              <w:left w:val="single" w:sz="4" w:space="0" w:color="auto"/>
              <w:bottom w:val="single" w:sz="4" w:space="0" w:color="auto"/>
              <w:right w:val="single" w:sz="4" w:space="0" w:color="auto"/>
            </w:tcBorders>
            <w:shd w:val="clear" w:color="auto" w:fill="auto"/>
            <w:noWrap/>
            <w:hideMark/>
          </w:tcPr>
          <w:p w14:paraId="1FD05434" w14:textId="77777777" w:rsidR="006F1DA4" w:rsidRPr="004441F3" w:rsidRDefault="008A4564" w:rsidP="008A4564">
            <w:pPr>
              <w:bidi/>
              <w:jc w:val="left"/>
              <w:rPr>
                <w:b/>
                <w:bCs/>
                <w:sz w:val="20"/>
                <w:lang w:eastAsia="en-CA"/>
              </w:rPr>
            </w:pPr>
            <w:r>
              <w:rPr>
                <w:rFonts w:hint="cs"/>
                <w:b/>
                <w:bCs/>
                <w:sz w:val="20"/>
                <w:rtl/>
                <w:lang w:eastAsia="en-CA"/>
              </w:rPr>
              <w:t>المجموع</w:t>
            </w:r>
          </w:p>
        </w:tc>
        <w:tc>
          <w:tcPr>
            <w:tcW w:w="803" w:type="pct"/>
            <w:tcBorders>
              <w:top w:val="single" w:sz="4" w:space="0" w:color="auto"/>
              <w:left w:val="single" w:sz="4" w:space="0" w:color="auto"/>
              <w:bottom w:val="single" w:sz="4" w:space="0" w:color="auto"/>
              <w:right w:val="single" w:sz="4" w:space="0" w:color="auto"/>
            </w:tcBorders>
            <w:shd w:val="clear" w:color="auto" w:fill="auto"/>
            <w:noWrap/>
            <w:hideMark/>
          </w:tcPr>
          <w:p w14:paraId="163B127B" w14:textId="77777777" w:rsidR="006F1DA4" w:rsidRPr="004441F3" w:rsidRDefault="006F1DA4" w:rsidP="008A4564">
            <w:pPr>
              <w:jc w:val="center"/>
              <w:rPr>
                <w:b/>
                <w:bCs/>
                <w:color w:val="000000"/>
                <w:sz w:val="20"/>
                <w:lang w:eastAsia="en-CA"/>
              </w:rPr>
            </w:pPr>
            <w:r w:rsidRPr="004441F3">
              <w:rPr>
                <w:b/>
                <w:bCs/>
                <w:color w:val="000000"/>
                <w:sz w:val="20"/>
                <w:lang w:eastAsia="en-CA"/>
              </w:rPr>
              <w:t>144</w:t>
            </w:r>
          </w:p>
        </w:tc>
        <w:tc>
          <w:tcPr>
            <w:tcW w:w="960" w:type="pct"/>
            <w:tcBorders>
              <w:top w:val="single" w:sz="4" w:space="0" w:color="auto"/>
              <w:left w:val="single" w:sz="4" w:space="0" w:color="auto"/>
              <w:bottom w:val="single" w:sz="4" w:space="0" w:color="auto"/>
              <w:right w:val="single" w:sz="4" w:space="0" w:color="auto"/>
            </w:tcBorders>
            <w:shd w:val="clear" w:color="auto" w:fill="auto"/>
            <w:noWrap/>
            <w:hideMark/>
          </w:tcPr>
          <w:p w14:paraId="7340A603" w14:textId="77777777" w:rsidR="006F1DA4" w:rsidRPr="004441F3" w:rsidRDefault="006F1DA4" w:rsidP="008A4564">
            <w:pPr>
              <w:jc w:val="right"/>
              <w:rPr>
                <w:b/>
                <w:bCs/>
                <w:color w:val="000000"/>
                <w:sz w:val="20"/>
                <w:lang w:eastAsia="en-CA"/>
              </w:rPr>
            </w:pPr>
          </w:p>
        </w:tc>
        <w:tc>
          <w:tcPr>
            <w:tcW w:w="1047" w:type="pct"/>
            <w:tcBorders>
              <w:top w:val="single" w:sz="4" w:space="0" w:color="auto"/>
              <w:left w:val="single" w:sz="4" w:space="0" w:color="auto"/>
              <w:bottom w:val="single" w:sz="4" w:space="0" w:color="auto"/>
              <w:right w:val="nil"/>
            </w:tcBorders>
            <w:shd w:val="clear" w:color="auto" w:fill="auto"/>
            <w:noWrap/>
            <w:hideMark/>
          </w:tcPr>
          <w:p w14:paraId="122DBD2D" w14:textId="77777777" w:rsidR="006F1DA4" w:rsidRPr="004441F3" w:rsidRDefault="006F1DA4" w:rsidP="008A4564">
            <w:pPr>
              <w:jc w:val="right"/>
              <w:rPr>
                <w:b/>
                <w:bCs/>
                <w:sz w:val="20"/>
                <w:lang w:eastAsia="en-CA"/>
              </w:rPr>
            </w:pPr>
          </w:p>
        </w:tc>
        <w:tc>
          <w:tcPr>
            <w:tcW w:w="1047" w:type="pct"/>
            <w:tcBorders>
              <w:top w:val="nil"/>
              <w:left w:val="single" w:sz="4" w:space="0" w:color="auto"/>
              <w:bottom w:val="single" w:sz="4" w:space="0" w:color="auto"/>
              <w:right w:val="single" w:sz="4" w:space="0" w:color="auto"/>
            </w:tcBorders>
            <w:shd w:val="clear" w:color="auto" w:fill="auto"/>
            <w:noWrap/>
            <w:hideMark/>
          </w:tcPr>
          <w:p w14:paraId="7FBF1307" w14:textId="77777777" w:rsidR="006F1DA4" w:rsidRPr="004441F3" w:rsidRDefault="006F1DA4" w:rsidP="008A4564">
            <w:pPr>
              <w:jc w:val="right"/>
              <w:rPr>
                <w:b/>
                <w:bCs/>
                <w:color w:val="000000"/>
                <w:sz w:val="20"/>
                <w:lang w:eastAsia="en-CA"/>
              </w:rPr>
            </w:pPr>
            <w:r w:rsidRPr="004441F3">
              <w:rPr>
                <w:b/>
                <w:bCs/>
                <w:color w:val="000000"/>
                <w:sz w:val="20"/>
                <w:lang w:eastAsia="en-CA"/>
              </w:rPr>
              <w:t>*7</w:t>
            </w:r>
            <w:r>
              <w:rPr>
                <w:b/>
                <w:bCs/>
                <w:color w:val="000000"/>
                <w:sz w:val="20"/>
                <w:lang w:eastAsia="en-CA"/>
              </w:rPr>
              <w:t>4</w:t>
            </w:r>
            <w:r w:rsidRPr="004441F3">
              <w:rPr>
                <w:b/>
                <w:bCs/>
                <w:color w:val="000000"/>
                <w:sz w:val="20"/>
                <w:lang w:eastAsia="en-CA"/>
              </w:rPr>
              <w:t>,</w:t>
            </w:r>
            <w:r>
              <w:rPr>
                <w:b/>
                <w:bCs/>
                <w:color w:val="000000"/>
                <w:sz w:val="20"/>
                <w:lang w:eastAsia="en-CA"/>
              </w:rPr>
              <w:t>087</w:t>
            </w:r>
            <w:r w:rsidRPr="004441F3">
              <w:rPr>
                <w:b/>
                <w:bCs/>
                <w:color w:val="000000"/>
                <w:sz w:val="20"/>
                <w:lang w:eastAsia="en-CA"/>
              </w:rPr>
              <w:t>,127</w:t>
            </w:r>
          </w:p>
        </w:tc>
      </w:tr>
    </w:tbl>
    <w:p w14:paraId="0F805F11" w14:textId="77777777" w:rsidR="006F1DA4" w:rsidRPr="008A4564" w:rsidRDefault="008A4564" w:rsidP="00C10F6F">
      <w:pPr>
        <w:pStyle w:val="StyleHeader4Para4Left0Firstline0"/>
        <w:widowControl/>
        <w:numPr>
          <w:ilvl w:val="0"/>
          <w:numId w:val="0"/>
        </w:numPr>
        <w:tabs>
          <w:tab w:val="clear" w:pos="2880"/>
          <w:tab w:val="clear" w:pos="5760"/>
        </w:tabs>
        <w:bidi/>
        <w:spacing w:after="0"/>
        <w:rPr>
          <w:rtl/>
          <w:lang w:val="en-US" w:bidi="ar-EG"/>
        </w:rPr>
      </w:pPr>
      <w:r w:rsidRPr="008A4564">
        <w:rPr>
          <w:rFonts w:hint="cs"/>
          <w:rtl/>
        </w:rPr>
        <w:t xml:space="preserve">* </w:t>
      </w:r>
      <w:r>
        <w:rPr>
          <w:rFonts w:hint="cs"/>
          <w:rtl/>
        </w:rPr>
        <w:t>لا يشمل هذا الرقم</w:t>
      </w:r>
      <w:r w:rsidR="00504415">
        <w:rPr>
          <w:rFonts w:hint="cs"/>
          <w:rtl/>
        </w:rPr>
        <w:t xml:space="preserve"> </w:t>
      </w:r>
      <w:r>
        <w:rPr>
          <w:rFonts w:hint="cs"/>
          <w:rtl/>
        </w:rPr>
        <w:t xml:space="preserve">مستويات التمويل للبلدان التي لديها حجم استهلاك أكثر من </w:t>
      </w:r>
      <w:r>
        <w:rPr>
          <w:lang w:val="en-US"/>
        </w:rPr>
        <w:t>25,000</w:t>
      </w:r>
      <w:r>
        <w:rPr>
          <w:rFonts w:hint="cs"/>
          <w:rtl/>
          <w:lang w:val="en-US" w:bidi="ar-EG"/>
        </w:rPr>
        <w:t xml:space="preserve"> طن متري، التي سيتم تحديده</w:t>
      </w:r>
      <w:r w:rsidR="00504415">
        <w:rPr>
          <w:rFonts w:hint="cs"/>
          <w:rtl/>
          <w:lang w:val="en-US" w:bidi="ar-EG"/>
        </w:rPr>
        <w:t>ا</w:t>
      </w:r>
      <w:r>
        <w:rPr>
          <w:rFonts w:hint="cs"/>
          <w:rtl/>
          <w:lang w:val="en-US" w:bidi="ar-EG"/>
        </w:rPr>
        <w:t xml:space="preserve"> على أسا</w:t>
      </w:r>
      <w:r w:rsidR="00504415">
        <w:rPr>
          <w:rFonts w:hint="cs"/>
          <w:rtl/>
          <w:lang w:val="en-US" w:bidi="ar-EG"/>
        </w:rPr>
        <w:t>س</w:t>
      </w:r>
      <w:r>
        <w:rPr>
          <w:rFonts w:hint="cs"/>
          <w:rtl/>
          <w:lang w:val="en-US" w:bidi="ar-EG"/>
        </w:rPr>
        <w:t xml:space="preserve"> كل حالة على حدة. فعلى سبيل المثال، إذا اتفق على التمويل لهذه المجموعة عند </w:t>
      </w:r>
      <w:r>
        <w:rPr>
          <w:lang w:val="en-US" w:bidi="ar-EG"/>
        </w:rPr>
        <w:t>3.</w:t>
      </w:r>
      <w:r w:rsidR="00C10F6F">
        <w:rPr>
          <w:lang w:val="en-US" w:bidi="ar-EG"/>
        </w:rPr>
        <w:t>2</w:t>
      </w:r>
      <w:r>
        <w:rPr>
          <w:lang w:val="en-US" w:bidi="ar-EG"/>
        </w:rPr>
        <w:t>0</w:t>
      </w:r>
      <w:r>
        <w:rPr>
          <w:rFonts w:hint="cs"/>
          <w:rtl/>
          <w:lang w:val="en-US" w:bidi="ar-EG"/>
        </w:rPr>
        <w:t xml:space="preserve"> دولار</w:t>
      </w:r>
      <w:r w:rsidR="00C10F6F">
        <w:rPr>
          <w:rFonts w:hint="cs"/>
          <w:rtl/>
          <w:lang w:val="en-US" w:bidi="ar-EG"/>
        </w:rPr>
        <w:t>ا</w:t>
      </w:r>
      <w:r>
        <w:rPr>
          <w:rFonts w:hint="cs"/>
          <w:rtl/>
          <w:lang w:val="en-US" w:bidi="ar-EG"/>
        </w:rPr>
        <w:t xml:space="preserve"> أمريكي</w:t>
      </w:r>
      <w:r w:rsidR="00C10F6F">
        <w:rPr>
          <w:rFonts w:hint="cs"/>
          <w:rtl/>
          <w:lang w:val="en-US" w:bidi="ar-EG"/>
        </w:rPr>
        <w:t>ا</w:t>
      </w:r>
      <w:r>
        <w:rPr>
          <w:rFonts w:hint="cs"/>
          <w:rtl/>
          <w:lang w:val="en-US" w:bidi="ar-EG"/>
        </w:rPr>
        <w:t xml:space="preserve"> للكيلوغرام، فإن القيمة الإضافية التي ينبغي إضافتها إلى </w:t>
      </w:r>
      <w:r w:rsidR="00C10F6F">
        <w:rPr>
          <w:rFonts w:hint="cs"/>
          <w:rtl/>
          <w:lang w:val="en-US" w:bidi="ar-EG"/>
        </w:rPr>
        <w:t>مجموع</w:t>
      </w:r>
      <w:r>
        <w:rPr>
          <w:rFonts w:hint="cs"/>
          <w:rtl/>
          <w:lang w:val="en-US" w:bidi="ar-EG"/>
        </w:rPr>
        <w:t xml:space="preserve"> التمويل في الجدول 4 ستبلغ </w:t>
      </w:r>
      <w:r>
        <w:rPr>
          <w:lang w:val="en-US" w:bidi="ar-EG"/>
        </w:rPr>
        <w:t>68,883,438</w:t>
      </w:r>
      <w:r>
        <w:rPr>
          <w:rFonts w:hint="cs"/>
          <w:rtl/>
          <w:lang w:val="en-US" w:bidi="ar-EG"/>
        </w:rPr>
        <w:t xml:space="preserve"> دولار أمريكي؛ وإذا اتفق على التمويل لهذه المجموعة عند </w:t>
      </w:r>
      <w:r>
        <w:rPr>
          <w:lang w:val="en-US" w:bidi="ar-EG"/>
        </w:rPr>
        <w:t>2.00</w:t>
      </w:r>
      <w:r>
        <w:rPr>
          <w:rFonts w:hint="cs"/>
          <w:rtl/>
          <w:lang w:val="en-US" w:bidi="ar-EG"/>
        </w:rPr>
        <w:t xml:space="preserve"> دولارات أمريكية للكيلوغرام، فإن القيمة الإضافية التي ينبغي إضافتها إلى </w:t>
      </w:r>
      <w:r w:rsidR="00C10F6F">
        <w:rPr>
          <w:rFonts w:hint="cs"/>
          <w:rtl/>
          <w:lang w:val="en-US" w:bidi="ar-EG"/>
        </w:rPr>
        <w:t>مجموع</w:t>
      </w:r>
      <w:r>
        <w:rPr>
          <w:rFonts w:hint="cs"/>
          <w:rtl/>
          <w:lang w:val="en-US" w:bidi="ar-EG"/>
        </w:rPr>
        <w:t xml:space="preserve"> التمويل في الجدول 4 ستبلغ </w:t>
      </w:r>
      <w:r w:rsidR="00AC46D7">
        <w:rPr>
          <w:lang w:val="en-US" w:bidi="ar-EG"/>
        </w:rPr>
        <w:t>43</w:t>
      </w:r>
      <w:r>
        <w:rPr>
          <w:lang w:val="en-US" w:bidi="ar-EG"/>
        </w:rPr>
        <w:t>,</w:t>
      </w:r>
      <w:r w:rsidR="00AC46D7">
        <w:rPr>
          <w:lang w:val="en-US" w:bidi="ar-EG"/>
        </w:rPr>
        <w:t>052,148</w:t>
      </w:r>
      <w:r>
        <w:rPr>
          <w:rFonts w:hint="cs"/>
          <w:rtl/>
          <w:lang w:val="en-US" w:bidi="ar-EG"/>
        </w:rPr>
        <w:t xml:space="preserve"> دولار أمريكي</w:t>
      </w:r>
      <w:r w:rsidR="00AC46D7">
        <w:rPr>
          <w:rFonts w:hint="cs"/>
          <w:rtl/>
          <w:lang w:val="en-US" w:bidi="ar-EG"/>
        </w:rPr>
        <w:t>.</w:t>
      </w:r>
    </w:p>
    <w:p w14:paraId="4ACBC460" w14:textId="77777777" w:rsidR="007E5D09" w:rsidRDefault="007E5D09" w:rsidP="000A735E">
      <w:pPr>
        <w:tabs>
          <w:tab w:val="left" w:pos="4095"/>
          <w:tab w:val="center" w:pos="4680"/>
        </w:tabs>
        <w:bidi/>
        <w:jc w:val="left"/>
        <w:rPr>
          <w:rtl/>
          <w:lang w:val="en-CA"/>
        </w:rPr>
      </w:pPr>
    </w:p>
    <w:p w14:paraId="14D2C387"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6DBFA58C" w14:textId="77777777">
        <w:tc>
          <w:tcPr>
            <w:tcW w:w="1915" w:type="dxa"/>
          </w:tcPr>
          <w:p w14:paraId="74A3D075" w14:textId="77777777" w:rsidR="007E5D09" w:rsidRDefault="007E5D09">
            <w:pPr>
              <w:rPr>
                <w:lang w:val="en-CA"/>
              </w:rPr>
            </w:pPr>
          </w:p>
        </w:tc>
        <w:tc>
          <w:tcPr>
            <w:tcW w:w="1915" w:type="dxa"/>
          </w:tcPr>
          <w:p w14:paraId="4B80FE1B" w14:textId="77777777" w:rsidR="007E5D09" w:rsidRDefault="007E5D09">
            <w:pPr>
              <w:rPr>
                <w:lang w:val="en-CA"/>
              </w:rPr>
            </w:pPr>
          </w:p>
        </w:tc>
        <w:tc>
          <w:tcPr>
            <w:tcW w:w="1915" w:type="dxa"/>
            <w:tcBorders>
              <w:bottom w:val="single" w:sz="4" w:space="0" w:color="auto"/>
            </w:tcBorders>
          </w:tcPr>
          <w:p w14:paraId="2EA13756" w14:textId="77777777" w:rsidR="007E5D09" w:rsidRDefault="007E5D09">
            <w:pPr>
              <w:rPr>
                <w:b/>
                <w:bCs/>
                <w:lang w:val="en-CA"/>
              </w:rPr>
            </w:pPr>
          </w:p>
        </w:tc>
        <w:tc>
          <w:tcPr>
            <w:tcW w:w="1915" w:type="dxa"/>
          </w:tcPr>
          <w:p w14:paraId="79D4BCCC" w14:textId="77777777" w:rsidR="007E5D09" w:rsidRDefault="007E5D09">
            <w:pPr>
              <w:rPr>
                <w:lang w:val="en-CA"/>
              </w:rPr>
            </w:pPr>
          </w:p>
        </w:tc>
        <w:tc>
          <w:tcPr>
            <w:tcW w:w="1916" w:type="dxa"/>
          </w:tcPr>
          <w:p w14:paraId="715BE727" w14:textId="77777777" w:rsidR="007E5D09" w:rsidRDefault="007E5D09">
            <w:pPr>
              <w:rPr>
                <w:lang w:val="en-CA"/>
              </w:rPr>
            </w:pPr>
          </w:p>
        </w:tc>
      </w:tr>
    </w:tbl>
    <w:p w14:paraId="6C3ED8BA" w14:textId="77777777" w:rsidR="007E5D09" w:rsidRDefault="007E5D09">
      <w:pPr>
        <w:rPr>
          <w:rtl/>
          <w:lang w:val="en-CA"/>
        </w:rPr>
      </w:pPr>
    </w:p>
    <w:sectPr w:rsidR="007E5D09" w:rsidSect="0050441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ED8CD" w14:textId="77777777" w:rsidR="00AB4497" w:rsidRDefault="00AB4497">
      <w:r>
        <w:separator/>
      </w:r>
    </w:p>
  </w:endnote>
  <w:endnote w:type="continuationSeparator" w:id="0">
    <w:p w14:paraId="39BB8CAB" w14:textId="77777777" w:rsidR="00AB4497" w:rsidRDefault="00AB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AC05F" w14:textId="77777777" w:rsidR="008A4564" w:rsidRDefault="00AB4497">
    <w:pPr>
      <w:jc w:val="center"/>
    </w:pPr>
    <w:r>
      <w:fldChar w:fldCharType="begin"/>
    </w:r>
    <w:r>
      <w:instrText xml:space="preserve"> PAGE </w:instrText>
    </w:r>
    <w:r>
      <w:fldChar w:fldCharType="separate"/>
    </w:r>
    <w:r w:rsidR="001153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262D" w14:textId="77777777" w:rsidR="008A4564" w:rsidRDefault="00AB4497">
    <w:pPr>
      <w:jc w:val="center"/>
    </w:pPr>
    <w:r>
      <w:fldChar w:fldCharType="begin"/>
    </w:r>
    <w:r>
      <w:instrText xml:space="preserve"> PAGE </w:instrText>
    </w:r>
    <w:r>
      <w:fldChar w:fldCharType="separate"/>
    </w:r>
    <w:r w:rsidR="001153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tl w:val="0"/>
      </w:rPr>
    </w:sdtEndPr>
    <w:sdtContent>
      <w:p w14:paraId="65FFB0B8" w14:textId="77777777" w:rsidR="00504415" w:rsidRDefault="00504415" w:rsidP="0050441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D2B7650" w14:textId="77777777" w:rsidR="00504415" w:rsidRDefault="00504415" w:rsidP="0050441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7668B05" w14:textId="77777777" w:rsidR="008A4564" w:rsidRDefault="00AB4497" w:rsidP="00504415">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473E7" w14:textId="77777777" w:rsidR="00AB4497" w:rsidRDefault="00AB4497" w:rsidP="008F116F">
      <w:pPr>
        <w:bidi/>
      </w:pPr>
      <w:r>
        <w:separator/>
      </w:r>
    </w:p>
  </w:footnote>
  <w:footnote w:type="continuationSeparator" w:id="0">
    <w:p w14:paraId="12F21C63" w14:textId="77777777" w:rsidR="00AB4497" w:rsidRDefault="00AB4497">
      <w:r>
        <w:continuationSeparator/>
      </w:r>
    </w:p>
  </w:footnote>
  <w:footnote w:id="1">
    <w:p w14:paraId="13451AC5" w14:textId="77777777" w:rsidR="008A4564" w:rsidRPr="00C0337B" w:rsidRDefault="008A4564" w:rsidP="00504415">
      <w:pPr>
        <w:pStyle w:val="FootnoteText"/>
        <w:bidi/>
        <w:rPr>
          <w:rtl/>
          <w:lang w:val="en-US" w:bidi="ar-BH"/>
        </w:rPr>
      </w:pPr>
      <w:r>
        <w:rPr>
          <w:rStyle w:val="FootnoteReference"/>
        </w:rPr>
        <w:footnoteRef/>
      </w:r>
      <w:r>
        <w:rPr>
          <w:rFonts w:hint="cs"/>
          <w:rtl/>
          <w:lang w:val="en-US" w:bidi="ar-SY"/>
        </w:rPr>
        <w:t xml:space="preserve"> </w:t>
      </w:r>
      <w:r>
        <w:rPr>
          <w:rFonts w:hint="cs"/>
          <w:rtl/>
          <w:lang w:val="en-US" w:bidi="ar-BH"/>
        </w:rPr>
        <w:t>نتيجة</w:t>
      </w:r>
      <w:r w:rsidRPr="007D141D">
        <w:rPr>
          <w:rFonts w:hint="cs"/>
          <w:rtl/>
          <w:lang w:val="en-US"/>
        </w:rPr>
        <w:t xml:space="preserve"> </w:t>
      </w:r>
      <w:r>
        <w:rPr>
          <w:rFonts w:hint="cs"/>
          <w:rtl/>
          <w:lang w:val="en-US"/>
        </w:rPr>
        <w:t>لمرض فيروس كورونا (كوفيد</w:t>
      </w:r>
      <w:r>
        <w:rPr>
          <w:rtl/>
          <w:lang w:val="en-US"/>
        </w:rPr>
        <w:noBreakHyphen/>
      </w:r>
      <w:r>
        <w:rPr>
          <w:rFonts w:hint="cs"/>
          <w:rtl/>
          <w:lang w:val="en-US"/>
        </w:rPr>
        <w:t>19)</w:t>
      </w:r>
      <w:r>
        <w:rPr>
          <w:rFonts w:hint="cs"/>
          <w:rtl/>
          <w:lang w:val="en-US" w:bidi="ar-BH"/>
        </w:rPr>
        <w:t>، عقد الجزء الأول من الاجتماع التاسع والثمانين عبر الإنترنت في حين سيعقد الجزء الثاني بصورة مباشرة.</w:t>
      </w:r>
    </w:p>
  </w:footnote>
  <w:footnote w:id="2">
    <w:p w14:paraId="5D20A905" w14:textId="77777777" w:rsidR="008A4564" w:rsidRDefault="008A4564" w:rsidP="00504415">
      <w:pPr>
        <w:pStyle w:val="FootnoteText"/>
        <w:bidi/>
        <w:spacing w:after="120"/>
        <w:rPr>
          <w:rtl/>
          <w:lang w:bidi="ar-EG"/>
        </w:rPr>
      </w:pPr>
      <w:r>
        <w:rPr>
          <w:rStyle w:val="FootnoteReference"/>
        </w:rPr>
        <w:footnoteRef/>
      </w:r>
      <w:r>
        <w:rPr>
          <w:rFonts w:hint="cs"/>
          <w:rtl/>
          <w:lang w:bidi="ar-EG"/>
        </w:rPr>
        <w:t xml:space="preserve"> </w:t>
      </w:r>
      <w:r>
        <w:rPr>
          <w:rFonts w:hint="cs"/>
          <w:rtl/>
          <w:lang w:bidi="ar-EG"/>
        </w:rPr>
        <w:t xml:space="preserve">الفقرتان 43 و44 من الوثيقة </w:t>
      </w:r>
      <w:r>
        <w:t>UNEP/</w:t>
      </w:r>
      <w:proofErr w:type="spellStart"/>
      <w:r>
        <w:t>OzL.Pro</w:t>
      </w:r>
      <w:proofErr w:type="spellEnd"/>
      <w:r>
        <w:t>/ExCom/89/15</w:t>
      </w:r>
      <w:r>
        <w:rPr>
          <w:rFonts w:hint="cs"/>
          <w:rtl/>
          <w:lang w:bidi="ar-EG"/>
        </w:rPr>
        <w:t>.</w:t>
      </w:r>
    </w:p>
  </w:footnote>
  <w:footnote w:id="3">
    <w:p w14:paraId="4900FA29" w14:textId="77777777" w:rsidR="008A4564" w:rsidRDefault="008A4564" w:rsidP="001E3242">
      <w:pPr>
        <w:pStyle w:val="FootnoteText"/>
        <w:bidi/>
        <w:rPr>
          <w:rtl/>
          <w:lang w:bidi="ar-EG"/>
        </w:rPr>
      </w:pPr>
      <w:r>
        <w:rPr>
          <w:rStyle w:val="FootnoteReference"/>
        </w:rPr>
        <w:footnoteRef/>
      </w:r>
      <w:r>
        <w:rPr>
          <w:rFonts w:hint="cs"/>
          <w:rtl/>
          <w:lang w:bidi="ar-EG"/>
        </w:rPr>
        <w:t xml:space="preserve"> تقييم متطلبات التمويل لتجديد موارد الصندوقق المتعدد الأطراف للفترة 2021-2023.</w:t>
      </w:r>
    </w:p>
  </w:footnote>
  <w:footnote w:id="4">
    <w:p w14:paraId="4589CC76" w14:textId="77777777" w:rsidR="008A4564" w:rsidRPr="001E3242" w:rsidRDefault="008A4564" w:rsidP="0016403D">
      <w:pPr>
        <w:pStyle w:val="FootnoteText"/>
        <w:bidi/>
        <w:rPr>
          <w:lang w:val="en-US" w:bidi="ar-EG"/>
        </w:rPr>
      </w:pPr>
      <w:r>
        <w:rPr>
          <w:rStyle w:val="FootnoteReference"/>
        </w:rPr>
        <w:footnoteRef/>
      </w:r>
      <w:r>
        <w:rPr>
          <w:rFonts w:hint="cs"/>
          <w:rtl/>
          <w:lang w:bidi="ar-EG"/>
        </w:rPr>
        <w:t xml:space="preserve"> تشمل المجموعة الأولى البلدان التي لديها استهلاك بين 360 و</w:t>
      </w:r>
      <w:r>
        <w:rPr>
          <w:lang w:val="en-US" w:bidi="ar-EG"/>
        </w:rPr>
        <w:t>1,800</w:t>
      </w:r>
      <w:r>
        <w:rPr>
          <w:rFonts w:hint="cs"/>
          <w:rtl/>
          <w:lang w:val="en-US" w:bidi="ar-EG"/>
        </w:rPr>
        <w:t xml:space="preserve"> طن متري (بدلا من </w:t>
      </w:r>
      <w:r>
        <w:rPr>
          <w:lang w:val="en-US" w:bidi="ar-EG"/>
        </w:rPr>
        <w:t>2,000</w:t>
      </w:r>
      <w:r>
        <w:rPr>
          <w:rFonts w:hint="cs"/>
          <w:rtl/>
          <w:lang w:val="en-US" w:bidi="ar-EG"/>
        </w:rPr>
        <w:t xml:space="preserve"> طن متري في تقرير فريق التقييم التكنولوجي والاقتصادي) وتشمل المجموعة الثانية البلدان التي لديها استهلاك بين </w:t>
      </w:r>
      <w:r>
        <w:rPr>
          <w:lang w:val="en-US" w:bidi="ar-EG"/>
        </w:rPr>
        <w:t xml:space="preserve">1,800 </w:t>
      </w:r>
      <w:r>
        <w:rPr>
          <w:rFonts w:hint="cs"/>
          <w:rtl/>
          <w:lang w:val="en-US" w:bidi="ar-EG"/>
        </w:rPr>
        <w:t xml:space="preserve"> و</w:t>
      </w:r>
      <w:r>
        <w:rPr>
          <w:lang w:val="en-US" w:bidi="ar-EG"/>
        </w:rPr>
        <w:t>8,000</w:t>
      </w:r>
      <w:r>
        <w:rPr>
          <w:rFonts w:hint="cs"/>
          <w:rtl/>
          <w:lang w:val="en-US" w:bidi="ar-EG"/>
        </w:rPr>
        <w:t xml:space="preserve"> طن متري (بدلا من</w:t>
      </w:r>
      <w:r>
        <w:rPr>
          <w:lang w:val="en-US" w:bidi="ar-EG"/>
        </w:rPr>
        <w:t xml:space="preserve">10,000 </w:t>
      </w:r>
      <w:r>
        <w:rPr>
          <w:rFonts w:hint="cs"/>
          <w:rtl/>
          <w:lang w:val="en-US" w:bidi="ar-EG"/>
        </w:rPr>
        <w:t xml:space="preserve"> طن متري في تقرير فريق التقييم التكنولوجي والاقتصادي).</w:t>
      </w:r>
    </w:p>
  </w:footnote>
  <w:footnote w:id="5">
    <w:p w14:paraId="5275B557" w14:textId="77777777" w:rsidR="008A4564" w:rsidRDefault="008A4564" w:rsidP="00E47C5B">
      <w:pPr>
        <w:pStyle w:val="FootnoteText"/>
        <w:bidi/>
        <w:rPr>
          <w:rtl/>
          <w:lang w:bidi="ar-EG"/>
        </w:rPr>
      </w:pPr>
      <w:r>
        <w:rPr>
          <w:rStyle w:val="FootnoteReference"/>
        </w:rPr>
        <w:footnoteRef/>
      </w:r>
      <w:r>
        <w:rPr>
          <w:rFonts w:hint="cs"/>
          <w:rtl/>
          <w:lang w:bidi="ar-EG"/>
        </w:rPr>
        <w:t xml:space="preserve"> ستحقق تركيا الإزالة الكاملة للهيدروكلوروفلوروكربون بحلول عام 2025 مع المرحلة الجارية.</w:t>
      </w:r>
    </w:p>
  </w:footnote>
  <w:footnote w:id="6">
    <w:p w14:paraId="08BAA8B8" w14:textId="77777777" w:rsidR="000A735E" w:rsidRDefault="000A735E" w:rsidP="000A735E">
      <w:pPr>
        <w:pStyle w:val="FootnoteText"/>
        <w:bidi/>
        <w:rPr>
          <w:rtl/>
          <w:lang w:bidi="ar-EG"/>
        </w:rPr>
      </w:pPr>
      <w:r>
        <w:rPr>
          <w:rStyle w:val="FootnoteReference"/>
        </w:rPr>
        <w:footnoteRef/>
      </w:r>
      <w:r>
        <w:rPr>
          <w:rFonts w:hint="cs"/>
          <w:rtl/>
          <w:lang w:bidi="ar-EG"/>
        </w:rPr>
        <w:t xml:space="preserve"> أفغانستان، بنن، بوركينا فاسو، إكوادور، غابون، غينيا، مدغشقر، موريتانيا، عمان، بنما، بيرو، الصومال، توغو، أوروغواي.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95EA3" w14:textId="3CBB0E56" w:rsidR="008A4564" w:rsidRDefault="00537924" w:rsidP="00504415">
    <w:pPr>
      <w:jc w:val="right"/>
    </w:pPr>
    <w:r>
      <w:fldChar w:fldCharType="begin"/>
    </w:r>
    <w:r w:rsidR="008A4564">
      <w:instrText xml:space="preserve"> DOCPROPERTY "Document number"  \* MERGEFORMAT </w:instrText>
    </w:r>
    <w:r>
      <w:fldChar w:fldCharType="separate"/>
    </w:r>
    <w:r w:rsidR="00D00B79">
      <w:t>UNEP/</w:t>
    </w:r>
    <w:proofErr w:type="spellStart"/>
    <w:r w:rsidR="00D00B79">
      <w:t>OzL.Pro</w:t>
    </w:r>
    <w:proofErr w:type="spellEnd"/>
    <w:r w:rsidR="00D00B79">
      <w:t>/ExCom/89/8/Add.1</w:t>
    </w:r>
    <w:r>
      <w:fldChar w:fldCharType="end"/>
    </w:r>
  </w:p>
  <w:p w14:paraId="2DC06C28" w14:textId="77777777" w:rsidR="008A4564" w:rsidRDefault="008A4564"/>
  <w:p w14:paraId="4A02054F" w14:textId="77777777" w:rsidR="008A4564" w:rsidRDefault="008A45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88A70" w14:textId="2BDB02B0" w:rsidR="008A4564" w:rsidRDefault="00537924" w:rsidP="00504415">
    <w:pPr>
      <w:jc w:val="left"/>
    </w:pPr>
    <w:r>
      <w:fldChar w:fldCharType="begin"/>
    </w:r>
    <w:r w:rsidR="008A4564">
      <w:instrText xml:space="preserve"> DOCPROPERTY "Document number"  \* MERGEFORMAT </w:instrText>
    </w:r>
    <w:r>
      <w:fldChar w:fldCharType="separate"/>
    </w:r>
    <w:r w:rsidR="00D00B79">
      <w:t>UNEP/</w:t>
    </w:r>
    <w:proofErr w:type="spellStart"/>
    <w:r w:rsidR="00D00B79">
      <w:t>OzL.Pro</w:t>
    </w:r>
    <w:proofErr w:type="spellEnd"/>
    <w:r w:rsidR="00D00B79">
      <w:t>/ExCom/89/8/Add.1</w:t>
    </w:r>
    <w:r>
      <w:fldChar w:fldCharType="end"/>
    </w:r>
  </w:p>
  <w:p w14:paraId="0F83E0B4" w14:textId="77777777" w:rsidR="008A4564" w:rsidRDefault="008A4564"/>
  <w:p w14:paraId="5150102A" w14:textId="77777777" w:rsidR="008A4564" w:rsidRDefault="008A45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32241B"/>
    <w:multiLevelType w:val="hybridMultilevel"/>
    <w:tmpl w:val="17847BC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506EF8"/>
    <w:multiLevelType w:val="hybridMultilevel"/>
    <w:tmpl w:val="F7343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D30CC8"/>
    <w:multiLevelType w:val="hybridMultilevel"/>
    <w:tmpl w:val="F13E5E9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AE743D"/>
    <w:multiLevelType w:val="hybridMultilevel"/>
    <w:tmpl w:val="BFDA9F4A"/>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D85FBE"/>
    <w:multiLevelType w:val="hybridMultilevel"/>
    <w:tmpl w:val="C9C6448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025353"/>
    <w:multiLevelType w:val="hybridMultilevel"/>
    <w:tmpl w:val="E14222E2"/>
    <w:lvl w:ilvl="0" w:tplc="69904AE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87168144">
    <w:abstractNumId w:val="10"/>
  </w:num>
  <w:num w:numId="2" w16cid:durableId="1505631759">
    <w:abstractNumId w:val="10"/>
  </w:num>
  <w:num w:numId="3" w16cid:durableId="126899025">
    <w:abstractNumId w:val="10"/>
  </w:num>
  <w:num w:numId="4" w16cid:durableId="1523976058">
    <w:abstractNumId w:val="10"/>
  </w:num>
  <w:num w:numId="5" w16cid:durableId="1616907424">
    <w:abstractNumId w:val="10"/>
  </w:num>
  <w:num w:numId="6" w16cid:durableId="711416340">
    <w:abstractNumId w:val="9"/>
  </w:num>
  <w:num w:numId="7" w16cid:durableId="702244703">
    <w:abstractNumId w:val="7"/>
  </w:num>
  <w:num w:numId="8" w16cid:durableId="929850842">
    <w:abstractNumId w:val="6"/>
  </w:num>
  <w:num w:numId="9" w16cid:durableId="861893821">
    <w:abstractNumId w:val="5"/>
  </w:num>
  <w:num w:numId="10" w16cid:durableId="967707438">
    <w:abstractNumId w:val="4"/>
  </w:num>
  <w:num w:numId="11" w16cid:durableId="1538617846">
    <w:abstractNumId w:val="8"/>
  </w:num>
  <w:num w:numId="12" w16cid:durableId="713968152">
    <w:abstractNumId w:val="3"/>
  </w:num>
  <w:num w:numId="13" w16cid:durableId="1590773904">
    <w:abstractNumId w:val="2"/>
  </w:num>
  <w:num w:numId="14" w16cid:durableId="31150245">
    <w:abstractNumId w:val="1"/>
  </w:num>
  <w:num w:numId="15" w16cid:durableId="1095714170">
    <w:abstractNumId w:val="0"/>
  </w:num>
  <w:num w:numId="16" w16cid:durableId="2129446">
    <w:abstractNumId w:val="14"/>
  </w:num>
  <w:num w:numId="17" w16cid:durableId="1041705313">
    <w:abstractNumId w:val="18"/>
  </w:num>
  <w:num w:numId="18" w16cid:durableId="975522739">
    <w:abstractNumId w:val="19"/>
  </w:num>
  <w:num w:numId="19" w16cid:durableId="778187875">
    <w:abstractNumId w:val="23"/>
  </w:num>
  <w:num w:numId="20" w16cid:durableId="1573004294">
    <w:abstractNumId w:val="16"/>
  </w:num>
  <w:num w:numId="21" w16cid:durableId="1723940108">
    <w:abstractNumId w:val="12"/>
  </w:num>
  <w:num w:numId="22" w16cid:durableId="612596386">
    <w:abstractNumId w:val="15"/>
  </w:num>
  <w:num w:numId="23" w16cid:durableId="1216160813">
    <w:abstractNumId w:val="13"/>
  </w:num>
  <w:num w:numId="24" w16cid:durableId="1978951946">
    <w:abstractNumId w:val="11"/>
  </w:num>
  <w:num w:numId="25" w16cid:durableId="976379707">
    <w:abstractNumId w:val="21"/>
  </w:num>
  <w:num w:numId="26" w16cid:durableId="1297223441">
    <w:abstractNumId w:val="22"/>
  </w:num>
  <w:num w:numId="27" w16cid:durableId="1479613084">
    <w:abstractNumId w:val="17"/>
  </w:num>
  <w:num w:numId="28" w16cid:durableId="1362516357">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72FB"/>
    <w:rsid w:val="00013372"/>
    <w:rsid w:val="00017133"/>
    <w:rsid w:val="00026C9A"/>
    <w:rsid w:val="0004254A"/>
    <w:rsid w:val="000861FE"/>
    <w:rsid w:val="000A735E"/>
    <w:rsid w:val="000C2FE8"/>
    <w:rsid w:val="00115341"/>
    <w:rsid w:val="0016403D"/>
    <w:rsid w:val="00177ED3"/>
    <w:rsid w:val="001A4F85"/>
    <w:rsid w:val="001B77CE"/>
    <w:rsid w:val="001D2B45"/>
    <w:rsid w:val="001E3242"/>
    <w:rsid w:val="002064A3"/>
    <w:rsid w:val="002713D5"/>
    <w:rsid w:val="002B535E"/>
    <w:rsid w:val="002D4039"/>
    <w:rsid w:val="002E6A6F"/>
    <w:rsid w:val="002E7EF7"/>
    <w:rsid w:val="002F505F"/>
    <w:rsid w:val="00312A97"/>
    <w:rsid w:val="003162E8"/>
    <w:rsid w:val="0035441C"/>
    <w:rsid w:val="00380F6C"/>
    <w:rsid w:val="0039024F"/>
    <w:rsid w:val="003B043B"/>
    <w:rsid w:val="003C2739"/>
    <w:rsid w:val="003F2852"/>
    <w:rsid w:val="00416AD7"/>
    <w:rsid w:val="00447F3C"/>
    <w:rsid w:val="004C5B74"/>
    <w:rsid w:val="00504415"/>
    <w:rsid w:val="00537924"/>
    <w:rsid w:val="005B65DF"/>
    <w:rsid w:val="005C7D4A"/>
    <w:rsid w:val="00605315"/>
    <w:rsid w:val="00624AEF"/>
    <w:rsid w:val="006316B4"/>
    <w:rsid w:val="00633F37"/>
    <w:rsid w:val="00662A73"/>
    <w:rsid w:val="006F1DA4"/>
    <w:rsid w:val="006F2A2C"/>
    <w:rsid w:val="00702662"/>
    <w:rsid w:val="00785192"/>
    <w:rsid w:val="00786775"/>
    <w:rsid w:val="00791A1A"/>
    <w:rsid w:val="007B4F21"/>
    <w:rsid w:val="007C6EF9"/>
    <w:rsid w:val="007D141D"/>
    <w:rsid w:val="007D1468"/>
    <w:rsid w:val="007D567C"/>
    <w:rsid w:val="007E39E6"/>
    <w:rsid w:val="007E5D09"/>
    <w:rsid w:val="00885865"/>
    <w:rsid w:val="008A4564"/>
    <w:rsid w:val="008E3DF3"/>
    <w:rsid w:val="008F116F"/>
    <w:rsid w:val="00947CD6"/>
    <w:rsid w:val="00957FE2"/>
    <w:rsid w:val="00983FD1"/>
    <w:rsid w:val="009C46B2"/>
    <w:rsid w:val="00A064BD"/>
    <w:rsid w:val="00A44778"/>
    <w:rsid w:val="00A5324D"/>
    <w:rsid w:val="00A755B6"/>
    <w:rsid w:val="00A86DC8"/>
    <w:rsid w:val="00AB4497"/>
    <w:rsid w:val="00AB4886"/>
    <w:rsid w:val="00AC46D7"/>
    <w:rsid w:val="00B11DB6"/>
    <w:rsid w:val="00B128B7"/>
    <w:rsid w:val="00B40E87"/>
    <w:rsid w:val="00B527C3"/>
    <w:rsid w:val="00B81E83"/>
    <w:rsid w:val="00C0337B"/>
    <w:rsid w:val="00C10F6F"/>
    <w:rsid w:val="00C27B58"/>
    <w:rsid w:val="00C55EF2"/>
    <w:rsid w:val="00C7545F"/>
    <w:rsid w:val="00CE16C0"/>
    <w:rsid w:val="00D00B79"/>
    <w:rsid w:val="00D45C4D"/>
    <w:rsid w:val="00DA72FB"/>
    <w:rsid w:val="00DF0B31"/>
    <w:rsid w:val="00E03DB3"/>
    <w:rsid w:val="00E1360E"/>
    <w:rsid w:val="00E47C5B"/>
    <w:rsid w:val="00E6666A"/>
    <w:rsid w:val="00E86EBE"/>
    <w:rsid w:val="00EC108E"/>
    <w:rsid w:val="00F04C6A"/>
    <w:rsid w:val="00F80478"/>
    <w:rsid w:val="00FF12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F5D88"/>
  <w15:docId w15:val="{1916446A-1027-44C1-A60C-C1BBD26A0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3D5"/>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2713D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2713D5"/>
    <w:pPr>
      <w:widowControl w:val="0"/>
      <w:numPr>
        <w:ilvl w:val="1"/>
        <w:numId w:val="2"/>
      </w:numPr>
      <w:spacing w:after="240"/>
      <w:outlineLvl w:val="1"/>
    </w:pPr>
  </w:style>
  <w:style w:type="paragraph" w:styleId="Heading3">
    <w:name w:val="heading 3"/>
    <w:aliases w:val="Char"/>
    <w:basedOn w:val="Normal"/>
    <w:next w:val="Normal"/>
    <w:qFormat/>
    <w:rsid w:val="002713D5"/>
    <w:pPr>
      <w:widowControl w:val="0"/>
      <w:numPr>
        <w:ilvl w:val="2"/>
        <w:numId w:val="3"/>
      </w:numPr>
      <w:spacing w:after="240"/>
      <w:outlineLvl w:val="2"/>
    </w:pPr>
  </w:style>
  <w:style w:type="paragraph" w:styleId="Heading4">
    <w:name w:val="heading 4"/>
    <w:aliases w:val="Heading 11"/>
    <w:basedOn w:val="Normal"/>
    <w:next w:val="Heading9"/>
    <w:qFormat/>
    <w:rsid w:val="002713D5"/>
    <w:pPr>
      <w:keepNext/>
      <w:numPr>
        <w:ilvl w:val="3"/>
        <w:numId w:val="4"/>
      </w:numPr>
      <w:spacing w:before="240" w:after="60"/>
      <w:outlineLvl w:val="3"/>
    </w:pPr>
  </w:style>
  <w:style w:type="paragraph" w:styleId="Heading5">
    <w:name w:val="heading 5"/>
    <w:basedOn w:val="Normal"/>
    <w:next w:val="Normal"/>
    <w:qFormat/>
    <w:rsid w:val="002713D5"/>
    <w:pPr>
      <w:keepNext/>
      <w:numPr>
        <w:numId w:val="20"/>
      </w:numPr>
      <w:spacing w:after="240"/>
      <w:ind w:left="3600" w:hanging="720"/>
      <w:outlineLvl w:val="4"/>
    </w:pPr>
  </w:style>
  <w:style w:type="paragraph" w:styleId="Heading6">
    <w:name w:val="heading 6"/>
    <w:basedOn w:val="Normal"/>
    <w:next w:val="Normal"/>
    <w:qFormat/>
    <w:rsid w:val="002713D5"/>
    <w:pPr>
      <w:numPr>
        <w:ilvl w:val="5"/>
        <w:numId w:val="1"/>
      </w:numPr>
      <w:spacing w:before="240" w:after="60"/>
      <w:outlineLvl w:val="5"/>
    </w:pPr>
    <w:rPr>
      <w:rFonts w:ascii="Arial" w:hAnsi="Arial"/>
      <w:i/>
    </w:rPr>
  </w:style>
  <w:style w:type="paragraph" w:styleId="Heading7">
    <w:name w:val="heading 7"/>
    <w:basedOn w:val="Normal"/>
    <w:next w:val="Normal"/>
    <w:qFormat/>
    <w:rsid w:val="002713D5"/>
    <w:pPr>
      <w:numPr>
        <w:ilvl w:val="6"/>
        <w:numId w:val="1"/>
      </w:numPr>
      <w:spacing w:before="240" w:after="60"/>
      <w:outlineLvl w:val="6"/>
    </w:pPr>
    <w:rPr>
      <w:rFonts w:ascii="Arial" w:hAnsi="Arial"/>
    </w:rPr>
  </w:style>
  <w:style w:type="paragraph" w:styleId="Heading8">
    <w:name w:val="heading 8"/>
    <w:basedOn w:val="Normal"/>
    <w:next w:val="Normal"/>
    <w:qFormat/>
    <w:rsid w:val="002713D5"/>
    <w:pPr>
      <w:outlineLvl w:val="7"/>
    </w:pPr>
    <w:rPr>
      <w:b/>
    </w:rPr>
  </w:style>
  <w:style w:type="paragraph" w:styleId="Heading9">
    <w:name w:val="heading 9"/>
    <w:basedOn w:val="Normal"/>
    <w:next w:val="Normal"/>
    <w:qFormat/>
    <w:rsid w:val="002713D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713D5"/>
    <w:pPr>
      <w:numPr>
        <w:numId w:val="16"/>
      </w:numPr>
    </w:pPr>
  </w:style>
  <w:style w:type="paragraph" w:styleId="Header">
    <w:name w:val="header"/>
    <w:basedOn w:val="Normal"/>
    <w:rsid w:val="002713D5"/>
    <w:pPr>
      <w:tabs>
        <w:tab w:val="center" w:pos="4320"/>
        <w:tab w:val="right" w:pos="8640"/>
      </w:tabs>
    </w:pPr>
  </w:style>
  <w:style w:type="paragraph" w:customStyle="1" w:styleId="sub-title">
    <w:name w:val="sub-title"/>
    <w:rsid w:val="002713D5"/>
    <w:pPr>
      <w:jc w:val="both"/>
      <w:outlineLvl w:val="0"/>
    </w:pPr>
    <w:rPr>
      <w:b/>
      <w:noProof/>
      <w:sz w:val="22"/>
      <w:szCs w:val="22"/>
    </w:rPr>
  </w:style>
  <w:style w:type="paragraph" w:customStyle="1" w:styleId="Title1">
    <w:name w:val="Title1"/>
    <w:rsid w:val="002713D5"/>
    <w:pPr>
      <w:jc w:val="center"/>
      <w:outlineLvl w:val="0"/>
    </w:pPr>
    <w:rPr>
      <w:b/>
      <w:caps/>
      <w:sz w:val="22"/>
      <w:szCs w:val="22"/>
      <w:lang w:val="en-GB"/>
    </w:rPr>
  </w:style>
  <w:style w:type="paragraph" w:customStyle="1" w:styleId="Decision">
    <w:name w:val="Decision"/>
    <w:basedOn w:val="Normal"/>
    <w:rsid w:val="002713D5"/>
    <w:pPr>
      <w:keepLines/>
      <w:jc w:val="right"/>
    </w:pPr>
    <w:rPr>
      <w:b/>
    </w:rPr>
  </w:style>
  <w:style w:type="paragraph" w:customStyle="1" w:styleId="0Heading0">
    <w:name w:val="0 Heading 0"/>
    <w:link w:val="0Heading0Char2"/>
    <w:uiPriority w:val="99"/>
    <w:rsid w:val="002713D5"/>
    <w:rPr>
      <w:sz w:val="22"/>
      <w:szCs w:val="22"/>
      <w:lang w:val="en-GB"/>
    </w:rPr>
  </w:style>
  <w:style w:type="paragraph" w:styleId="Footer">
    <w:name w:val="footer"/>
    <w:basedOn w:val="Normal"/>
    <w:link w:val="FooterChar"/>
    <w:uiPriority w:val="99"/>
    <w:rsid w:val="002713D5"/>
    <w:pPr>
      <w:tabs>
        <w:tab w:val="center" w:pos="4320"/>
        <w:tab w:val="right" w:pos="8640"/>
      </w:tabs>
    </w:pPr>
  </w:style>
  <w:style w:type="numbering" w:styleId="1ai">
    <w:name w:val="Outline List 1"/>
    <w:basedOn w:val="NoList"/>
    <w:semiHidden/>
    <w:rsid w:val="002713D5"/>
    <w:pPr>
      <w:numPr>
        <w:numId w:val="17"/>
      </w:numPr>
    </w:pPr>
  </w:style>
  <w:style w:type="numbering" w:styleId="ArticleSection">
    <w:name w:val="Outline List 3"/>
    <w:basedOn w:val="NoList"/>
    <w:semiHidden/>
    <w:rsid w:val="002713D5"/>
    <w:pPr>
      <w:numPr>
        <w:numId w:val="18"/>
      </w:numPr>
    </w:pPr>
  </w:style>
  <w:style w:type="paragraph" w:styleId="BlockText">
    <w:name w:val="Block Text"/>
    <w:basedOn w:val="Normal"/>
    <w:semiHidden/>
    <w:rsid w:val="002713D5"/>
    <w:pPr>
      <w:spacing w:after="120"/>
      <w:ind w:left="1440" w:right="1440"/>
    </w:pPr>
  </w:style>
  <w:style w:type="paragraph" w:styleId="BodyText3">
    <w:name w:val="Body Text 3"/>
    <w:basedOn w:val="Normal"/>
    <w:semiHidden/>
    <w:rsid w:val="002713D5"/>
    <w:pPr>
      <w:spacing w:after="120"/>
    </w:pPr>
    <w:rPr>
      <w:sz w:val="16"/>
      <w:szCs w:val="16"/>
    </w:rPr>
  </w:style>
  <w:style w:type="paragraph" w:styleId="BodyTextIndent3">
    <w:name w:val="Body Text Indent 3"/>
    <w:basedOn w:val="Normal"/>
    <w:semiHidden/>
    <w:rsid w:val="002713D5"/>
    <w:pPr>
      <w:spacing w:after="120"/>
      <w:ind w:left="360"/>
    </w:pPr>
    <w:rPr>
      <w:sz w:val="16"/>
      <w:szCs w:val="16"/>
    </w:rPr>
  </w:style>
  <w:style w:type="paragraph" w:styleId="PlainText">
    <w:name w:val="Plain Text"/>
    <w:basedOn w:val="Normal"/>
    <w:semiHidden/>
    <w:rsid w:val="002713D5"/>
    <w:rPr>
      <w:rFonts w:ascii="Courier New" w:hAnsi="Courier New" w:cs="Courier New"/>
      <w:sz w:val="20"/>
    </w:rPr>
  </w:style>
  <w:style w:type="table" w:styleId="Table3Deffects1">
    <w:name w:val="Table 3D effects 1"/>
    <w:basedOn w:val="TableNormal"/>
    <w:semiHidden/>
    <w:rsid w:val="002713D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713D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713D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713D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713D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713D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713D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713D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713D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713D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713D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713D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713D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713D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713D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713D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713D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2713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713D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713D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713D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713D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713D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713D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713D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713D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713D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713D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713D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713D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713D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713D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713D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713D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713D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713D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713D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713D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713D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713D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713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713D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713D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713D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713D5"/>
    <w:rPr>
      <w:sz w:val="22"/>
      <w:szCs w:val="22"/>
      <w:lang w:val="en-GB"/>
    </w:rPr>
  </w:style>
  <w:style w:type="paragraph" w:customStyle="1" w:styleId="Header4">
    <w:name w:val="Header4"/>
    <w:aliases w:val="Para 4"/>
    <w:basedOn w:val="Normal"/>
    <w:next w:val="Normal"/>
    <w:rsid w:val="002713D5"/>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713D5"/>
    <w:rPr>
      <w:sz w:val="16"/>
      <w:szCs w:val="16"/>
    </w:rPr>
  </w:style>
  <w:style w:type="paragraph" w:styleId="Subtitle">
    <w:name w:val="Subtitle"/>
    <w:basedOn w:val="Normal"/>
    <w:qFormat/>
    <w:rsid w:val="002713D5"/>
    <w:pPr>
      <w:spacing w:after="60"/>
      <w:jc w:val="center"/>
      <w:outlineLvl w:val="1"/>
    </w:pPr>
    <w:rPr>
      <w:rFonts w:ascii="Arial" w:hAnsi="Arial" w:cs="Arial"/>
    </w:rPr>
  </w:style>
  <w:style w:type="paragraph" w:styleId="Title">
    <w:name w:val="Title"/>
    <w:basedOn w:val="Normal"/>
    <w:qFormat/>
    <w:rsid w:val="002713D5"/>
    <w:pPr>
      <w:spacing w:before="240" w:after="60"/>
      <w:jc w:val="center"/>
      <w:outlineLvl w:val="0"/>
    </w:pPr>
    <w:rPr>
      <w:rFonts w:ascii="Arial" w:hAnsi="Arial" w:cs="Arial"/>
      <w:b/>
      <w:bCs/>
      <w:kern w:val="28"/>
    </w:rPr>
  </w:style>
  <w:style w:type="paragraph" w:styleId="Date">
    <w:name w:val="Date"/>
    <w:basedOn w:val="Normal"/>
    <w:next w:val="Normal"/>
    <w:rsid w:val="002713D5"/>
  </w:style>
  <w:style w:type="character" w:styleId="PlaceholderText">
    <w:name w:val="Placeholder Text"/>
    <w:basedOn w:val="DefaultParagraphFont"/>
    <w:uiPriority w:val="99"/>
    <w:semiHidden/>
    <w:rsid w:val="002713D5"/>
    <w:rPr>
      <w:color w:val="808080"/>
    </w:rPr>
  </w:style>
  <w:style w:type="paragraph" w:styleId="BalloonText">
    <w:name w:val="Balloon Text"/>
    <w:basedOn w:val="Normal"/>
    <w:link w:val="BalloonTextChar"/>
    <w:uiPriority w:val="99"/>
    <w:semiHidden/>
    <w:unhideWhenUsed/>
    <w:rsid w:val="002713D5"/>
    <w:rPr>
      <w:rFonts w:ascii="Tahoma" w:hAnsi="Tahoma" w:cs="Tahoma"/>
      <w:sz w:val="16"/>
      <w:szCs w:val="16"/>
    </w:rPr>
  </w:style>
  <w:style w:type="character" w:customStyle="1" w:styleId="BalloonTextChar">
    <w:name w:val="Balloon Text Char"/>
    <w:basedOn w:val="DefaultParagraphFont"/>
    <w:link w:val="BalloonText"/>
    <w:uiPriority w:val="99"/>
    <w:semiHidden/>
    <w:rsid w:val="002713D5"/>
    <w:rPr>
      <w:rFonts w:ascii="Tahoma" w:hAnsi="Tahoma" w:cs="Tahoma"/>
      <w:sz w:val="16"/>
      <w:szCs w:val="16"/>
      <w:lang w:val="en-GB"/>
    </w:rPr>
  </w:style>
  <w:style w:type="paragraph" w:styleId="CommentText">
    <w:name w:val="annotation text"/>
    <w:basedOn w:val="Normal"/>
    <w:link w:val="CommentTextChar"/>
    <w:uiPriority w:val="99"/>
    <w:semiHidden/>
    <w:unhideWhenUsed/>
    <w:rsid w:val="002713D5"/>
    <w:rPr>
      <w:sz w:val="20"/>
    </w:rPr>
  </w:style>
  <w:style w:type="character" w:customStyle="1" w:styleId="CommentTextChar">
    <w:name w:val="Comment Text Char"/>
    <w:basedOn w:val="DefaultParagraphFont"/>
    <w:link w:val="CommentText"/>
    <w:uiPriority w:val="99"/>
    <w:semiHidden/>
    <w:rsid w:val="002713D5"/>
    <w:rPr>
      <w:lang w:val="en-GB"/>
    </w:rPr>
  </w:style>
  <w:style w:type="paragraph" w:styleId="CommentSubject">
    <w:name w:val="annotation subject"/>
    <w:basedOn w:val="CommentText"/>
    <w:next w:val="CommentText"/>
    <w:link w:val="CommentSubjectChar"/>
    <w:uiPriority w:val="99"/>
    <w:semiHidden/>
    <w:unhideWhenUsed/>
    <w:rsid w:val="002713D5"/>
    <w:rPr>
      <w:b/>
      <w:bCs/>
    </w:rPr>
  </w:style>
  <w:style w:type="character" w:customStyle="1" w:styleId="CommentSubjectChar">
    <w:name w:val="Comment Subject Char"/>
    <w:basedOn w:val="CommentTextChar"/>
    <w:link w:val="CommentSubject"/>
    <w:uiPriority w:val="99"/>
    <w:semiHidden/>
    <w:rsid w:val="002713D5"/>
    <w:rPr>
      <w:b/>
      <w:bCs/>
      <w:lang w:val="en-GB"/>
    </w:rPr>
  </w:style>
  <w:style w:type="paragraph" w:customStyle="1" w:styleId="StyleHeader4Para4Left0Firstline0">
    <w:name w:val="Style Header4Para 4 + Left:  0&quot; First line:  0&quot;"/>
    <w:basedOn w:val="Header4"/>
    <w:rsid w:val="002713D5"/>
    <w:pPr>
      <w:ind w:left="0" w:firstLine="0"/>
    </w:pPr>
    <w:rPr>
      <w:sz w:val="20"/>
    </w:rPr>
  </w:style>
  <w:style w:type="paragraph" w:styleId="Caption">
    <w:name w:val="caption"/>
    <w:basedOn w:val="Normal"/>
    <w:next w:val="Normal"/>
    <w:qFormat/>
    <w:rsid w:val="002713D5"/>
    <w:pPr>
      <w:bidi/>
      <w:ind w:left="180" w:hanging="180"/>
      <w:jc w:val="lowKashida"/>
    </w:pPr>
    <w:rPr>
      <w:rFonts w:cs="Simplified Arabic"/>
      <w:szCs w:val="32"/>
      <w:lang w:val="en-US" w:eastAsia="en-CA"/>
    </w:rPr>
  </w:style>
  <w:style w:type="character" w:styleId="PageNumber">
    <w:name w:val="page number"/>
    <w:basedOn w:val="DefaultParagraphFont"/>
    <w:semiHidden/>
    <w:rsid w:val="002713D5"/>
  </w:style>
  <w:style w:type="character" w:customStyle="1" w:styleId="FooterChar">
    <w:name w:val="Footer Char"/>
    <w:basedOn w:val="DefaultParagraphFont"/>
    <w:link w:val="Footer"/>
    <w:uiPriority w:val="99"/>
    <w:rsid w:val="002713D5"/>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character" w:customStyle="1" w:styleId="0Heading0Char2">
    <w:name w:val="0 Heading 0 Char2"/>
    <w:link w:val="0Heading0"/>
    <w:uiPriority w:val="99"/>
    <w:rsid w:val="00DA72F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A72FB"/>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A1E463BCABDC47903B6A08781A4F66" ma:contentTypeVersion="5" ma:contentTypeDescription="Create a new document." ma:contentTypeScope="" ma:versionID="a12b9c2c466b2c490a51214301e7ec4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UNEP/OzL.Pro/ExCom/89/8/Add.1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2828029-ED70-4B4C-82A7-776334CA7E8A}"/>
</file>

<file path=customXml/itemProps2.xml><?xml version="1.0" encoding="utf-8"?>
<ds:datastoreItem xmlns:ds="http://schemas.openxmlformats.org/officeDocument/2006/customXml" ds:itemID="{E674D407-22E5-4337-9214-350E4CAA0D78}"/>
</file>

<file path=customXml/itemProps3.xml><?xml version="1.0" encoding="utf-8"?>
<ds:datastoreItem xmlns:ds="http://schemas.openxmlformats.org/officeDocument/2006/customXml" ds:itemID="{C52E8B07-93AF-4A83-8B4D-184B899318C2}"/>
</file>

<file path=customXml/itemProps4.xml><?xml version="1.0" encoding="utf-8"?>
<ds:datastoreItem xmlns:ds="http://schemas.openxmlformats.org/officeDocument/2006/customXml" ds:itemID="{FC50925B-7F2F-4900-9330-34F53D871FF9}"/>
</file>

<file path=docProps/app.xml><?xml version="1.0" encoding="utf-8"?>
<Properties xmlns="http://schemas.openxmlformats.org/officeDocument/2006/extended-properties" xmlns:vt="http://schemas.openxmlformats.org/officeDocument/2006/docPropsVTypes">
  <Template>A90-template</Template>
  <TotalTime>341</TotalTime>
  <Pages>8</Pages>
  <Words>3075</Words>
  <Characters>17533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تحليل مستوى وطرائق تمويل التخفيض التدريجي للمواد الهيدروفلوروكربونية في قطاع خدمة التبريد (المقرر 88/76)   </vt:lpstr>
    </vt:vector>
  </TitlesOfParts>
  <Company>UNMFS</Company>
  <LinksUpToDate>false</LinksUpToDate>
  <CharactersWithSpaces>20567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مستوى وطرائق تمويل التخفيض التدريجي للمواد الهيدروفلوروكربونية في قطاع خدمة التبريد (المقرر 88/76)   </dc:title>
  <dc:creator>UNMFS</dc:creator>
  <cp:lastModifiedBy>HBE</cp:lastModifiedBy>
  <cp:revision>14</cp:revision>
  <cp:lastPrinted>2001-05-26T16:40:00Z</cp:lastPrinted>
  <dcterms:created xsi:type="dcterms:W3CDTF">2022-06-09T02:20:00Z</dcterms:created>
  <dcterms:modified xsi:type="dcterms:W3CDTF">2022-06-10T19:29:00Z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UNEP/OzL.Pro/ExCom/89/8/Add.1</vt:lpwstr>
  </property>
  <property fmtid="{D5CDD505-2E9C-101B-9397-08002B2CF9AE}" pid="3" name="Revision date">
    <vt:lpwstr>6/8/2022</vt:lpwstr>
  </property>
  <property fmtid="{D5CDD505-2E9C-101B-9397-08002B2CF9AE}" pid="4" name="ContentTypeId">
    <vt:lpwstr>0x01010065A1E463BCABDC47903B6A08781A4F66</vt:lpwstr>
  </property>
</Properties>
</file>