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4426BD">
        <w:trPr>
          <w:trHeight w:val="720"/>
        </w:trPr>
        <w:tc>
          <w:tcPr>
            <w:tcW w:w="5490" w:type="dxa"/>
            <w:gridSpan w:val="2"/>
            <w:tcBorders>
              <w:bottom w:val="single" w:sz="18" w:space="0" w:color="auto"/>
            </w:tcBorders>
          </w:tcPr>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4426BD">
            <w:pPr>
              <w:jc w:val="right"/>
              <w:rPr>
                <w:sz w:val="52"/>
                <w:szCs w:val="52"/>
              </w:rPr>
            </w:pPr>
            <w:r w:rsidRPr="009B0D30">
              <w:rPr>
                <w:rFonts w:ascii="Univers Bold" w:hAnsi="Univers Bold"/>
                <w:b/>
                <w:sz w:val="72"/>
              </w:rPr>
              <w:t>EP</w:t>
            </w:r>
          </w:p>
        </w:tc>
      </w:tr>
      <w:tr w:rsidR="00C15867" w:rsidRPr="009B0D30"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4426BD">
            <w:pPr>
              <w:spacing w:before="720"/>
              <w:ind w:left="158"/>
            </w:pPr>
          </w:p>
        </w:tc>
        <w:tc>
          <w:tcPr>
            <w:tcW w:w="4590" w:type="dxa"/>
            <w:tcBorders>
              <w:top w:val="nil"/>
              <w:left w:val="nil"/>
              <w:bottom w:val="single" w:sz="36" w:space="0" w:color="auto"/>
              <w:right w:val="nil"/>
            </w:tcBorders>
          </w:tcPr>
          <w:p w:rsidR="00C15867" w:rsidRPr="009B0D30" w:rsidRDefault="00C15867" w:rsidP="004426BD">
            <w:r w:rsidRPr="009B0D30">
              <w:t>Distr.</w:t>
            </w:r>
          </w:p>
          <w:p w:rsidR="00923540" w:rsidRPr="009B0D30" w:rsidRDefault="00923540" w:rsidP="00923540">
            <w:r w:rsidRPr="009B0D30">
              <w:t>GENERAL</w:t>
            </w:r>
          </w:p>
          <w:p w:rsidR="00C15867" w:rsidRPr="009B0D30" w:rsidRDefault="00C15867" w:rsidP="004426BD"/>
          <w:p w:rsidR="00C15867" w:rsidRPr="009B0D30" w:rsidRDefault="00C15867" w:rsidP="004426BD"/>
          <w:p w:rsidR="00C15867" w:rsidRPr="009B0D30" w:rsidRDefault="007D0465" w:rsidP="004426BD">
            <w:r>
              <w:fldChar w:fldCharType="begin"/>
            </w:r>
            <w:r>
              <w:instrText xml:space="preserve"> DOCPROPERTY "Document number"  \* MERGEFORMAT </w:instrText>
            </w:r>
            <w:r>
              <w:fldChar w:fldCharType="separate"/>
            </w:r>
            <w:r w:rsidR="006B0396">
              <w:t>UNEP/</w:t>
            </w:r>
            <w:proofErr w:type="spellStart"/>
            <w:r w:rsidR="006B0396">
              <w:t>OzL.Pro</w:t>
            </w:r>
            <w:proofErr w:type="spellEnd"/>
            <w:r w:rsidR="006B0396">
              <w:t>/</w:t>
            </w:r>
            <w:proofErr w:type="spellStart"/>
            <w:r w:rsidR="006B0396">
              <w:t>ExCom</w:t>
            </w:r>
            <w:proofErr w:type="spellEnd"/>
            <w:r w:rsidR="006B0396">
              <w:t>/89/8</w:t>
            </w:r>
            <w:r>
              <w:fldChar w:fldCharType="end"/>
            </w:r>
          </w:p>
          <w:p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613C73">
              <w:t>14 February 2022</w:t>
            </w:r>
            <w:r w:rsidRPr="009B0D30">
              <w:fldChar w:fldCharType="end"/>
            </w:r>
          </w:p>
          <w:p w:rsidR="00C15867" w:rsidRPr="009B0D30" w:rsidRDefault="00C15867" w:rsidP="004426BD">
            <w:pPr>
              <w:rPr>
                <w:caps/>
              </w:rPr>
            </w:pPr>
          </w:p>
          <w:p w:rsidR="00C15867" w:rsidRPr="009B0D30" w:rsidRDefault="00C15867" w:rsidP="004426BD">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C15867" w:rsidRDefault="00C15867" w:rsidP="004E73DB">
      <w:pPr>
        <w:jc w:val="left"/>
      </w:pPr>
    </w:p>
    <w:p w:rsidR="006B0396" w:rsidRPr="009B0D30" w:rsidRDefault="006B0396" w:rsidP="004E73DB">
      <w:pPr>
        <w:jc w:val="left"/>
      </w:pPr>
    </w:p>
    <w:p w:rsidR="006B0396" w:rsidRPr="00B25A52" w:rsidRDefault="006B0396" w:rsidP="006B0396">
      <w:pPr>
        <w:jc w:val="center"/>
        <w:rPr>
          <w:b/>
        </w:rPr>
      </w:pPr>
      <w:r w:rsidRPr="00B25A52">
        <w:rPr>
          <w:b/>
        </w:rPr>
        <w:t xml:space="preserve">ANALYSIS OF THE LEVEL AND MODALITIES OF FUNDING FOR HFC PHASE-DOWN </w:t>
      </w:r>
    </w:p>
    <w:p w:rsidR="006B0396" w:rsidRPr="00B25A52" w:rsidRDefault="006B0396" w:rsidP="006B0396">
      <w:pPr>
        <w:jc w:val="center"/>
        <w:rPr>
          <w:b/>
        </w:rPr>
      </w:pPr>
      <w:r w:rsidRPr="00B25A52">
        <w:rPr>
          <w:b/>
        </w:rPr>
        <w:t>IN THE REFRIGERATION SERVICING SECTOR</w:t>
      </w:r>
      <w:r w:rsidRPr="00B25A52">
        <w:t xml:space="preserve"> </w:t>
      </w:r>
      <w:r w:rsidRPr="00B25A52">
        <w:rPr>
          <w:b/>
        </w:rPr>
        <w:t>(DECISION 88/76)</w:t>
      </w:r>
    </w:p>
    <w:p w:rsidR="006B0396" w:rsidRPr="00B25A52" w:rsidRDefault="006B0396" w:rsidP="006B0396">
      <w:pPr>
        <w:jc w:val="center"/>
      </w:pPr>
    </w:p>
    <w:p w:rsidR="006B0396" w:rsidRPr="00B25A52" w:rsidRDefault="006B0396" w:rsidP="006B0396">
      <w:pPr>
        <w:pStyle w:val="Heading1"/>
        <w:numPr>
          <w:ilvl w:val="0"/>
          <w:numId w:val="0"/>
        </w:numPr>
        <w:tabs>
          <w:tab w:val="center" w:pos="4680"/>
          <w:tab w:val="left" w:pos="5084"/>
        </w:tabs>
      </w:pPr>
      <w:r w:rsidRPr="00B25A52">
        <w:t>This document consists of:</w:t>
      </w:r>
    </w:p>
    <w:p w:rsidR="006B0396" w:rsidRPr="00B25A52" w:rsidRDefault="006B0396" w:rsidP="006B0396">
      <w:pPr>
        <w:pStyle w:val="ListParagraph"/>
        <w:numPr>
          <w:ilvl w:val="0"/>
          <w:numId w:val="36"/>
        </w:numPr>
      </w:pPr>
      <w:r w:rsidRPr="00B25A52">
        <w:t>A note by the Secretariat, referring to the discussions at the 88</w:t>
      </w:r>
      <w:r w:rsidRPr="00B25A52">
        <w:rPr>
          <w:vertAlign w:val="superscript"/>
        </w:rPr>
        <w:t>th</w:t>
      </w:r>
      <w:r w:rsidRPr="00B25A52">
        <w:t xml:space="preserve"> meeting </w:t>
      </w:r>
    </w:p>
    <w:p w:rsidR="006B0396" w:rsidRPr="00B25A52" w:rsidRDefault="006B0396" w:rsidP="006B0396">
      <w:pPr>
        <w:pStyle w:val="ListParagraph"/>
      </w:pPr>
    </w:p>
    <w:p w:rsidR="006B0396" w:rsidRPr="00B25A52" w:rsidRDefault="006B0396" w:rsidP="006B0396">
      <w:pPr>
        <w:pStyle w:val="ListParagraph"/>
        <w:numPr>
          <w:ilvl w:val="0"/>
          <w:numId w:val="36"/>
        </w:numPr>
      </w:pPr>
      <w:r w:rsidRPr="00B25A52">
        <w:t>Analysis of the level and modalities of funding for HFC phase-down in the refrigeration servicing sector (decision 83/65(b)), prepared by the Secretariat for discussion at the 88</w:t>
      </w:r>
      <w:r w:rsidRPr="00B25A52">
        <w:rPr>
          <w:vertAlign w:val="superscript"/>
        </w:rPr>
        <w:t>th</w:t>
      </w:r>
      <w:r w:rsidRPr="00B25A52">
        <w:t> meeting (document UNEP/</w:t>
      </w:r>
      <w:proofErr w:type="spellStart"/>
      <w:r w:rsidRPr="00B25A52">
        <w:t>OzL.Pro</w:t>
      </w:r>
      <w:proofErr w:type="spellEnd"/>
      <w:r w:rsidRPr="00B25A52">
        <w:t>/</w:t>
      </w:r>
      <w:proofErr w:type="spellStart"/>
      <w:r w:rsidRPr="00B25A52">
        <w:t>ExCom</w:t>
      </w:r>
      <w:proofErr w:type="spellEnd"/>
      <w:r w:rsidRPr="00B25A52">
        <w:t>/88/72).</w:t>
      </w:r>
    </w:p>
    <w:p w:rsidR="006B0396" w:rsidRDefault="006B0396" w:rsidP="006B0396">
      <w:pPr>
        <w:jc w:val="left"/>
      </w:pPr>
      <w:r>
        <w:br w:type="page"/>
      </w:r>
    </w:p>
    <w:p w:rsidR="006B0396" w:rsidRPr="00B25A52" w:rsidRDefault="006B0396" w:rsidP="006B0396">
      <w:pPr>
        <w:jc w:val="center"/>
        <w:rPr>
          <w:b/>
          <w:u w:val="single"/>
        </w:rPr>
      </w:pPr>
      <w:r w:rsidRPr="00B25A52">
        <w:rPr>
          <w:b/>
          <w:u w:val="single"/>
        </w:rPr>
        <w:lastRenderedPageBreak/>
        <w:t>Note by the Secretariat</w:t>
      </w:r>
    </w:p>
    <w:p w:rsidR="006B0396" w:rsidRPr="00B25A52" w:rsidRDefault="006B0396" w:rsidP="006B0396">
      <w:pPr>
        <w:ind w:left="720" w:hanging="720"/>
      </w:pPr>
    </w:p>
    <w:p w:rsidR="006B0396" w:rsidRPr="00B25A52" w:rsidRDefault="006B0396" w:rsidP="006B0396">
      <w:pPr>
        <w:pStyle w:val="Heading1"/>
      </w:pPr>
      <w:r w:rsidRPr="00B25A52">
        <w:t>In response to decisions 83/65(b) and 84/86(b)(ii), the Secretariat submitted to the 87</w:t>
      </w:r>
      <w:r w:rsidRPr="00B25A52">
        <w:rPr>
          <w:vertAlign w:val="superscript"/>
        </w:rPr>
        <w:t>th</w:t>
      </w:r>
      <w:r w:rsidRPr="00B25A52">
        <w:t> meeting document UNEP/OzL.Pro/ExCom/87/47 on the analysis of the level and modalities of funding for HFC phase</w:t>
      </w:r>
      <w:r w:rsidRPr="00B25A52">
        <w:noBreakHyphen/>
        <w:t>down in the refrigeration servicing sector in light of the information contained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w:t>
      </w:r>
      <w:r w:rsidRPr="00B25A52">
        <w:rPr>
          <w:rStyle w:val="FootnoteReference"/>
        </w:rPr>
        <w:footnoteReference w:id="2"/>
      </w:r>
    </w:p>
    <w:p w:rsidR="006B0396" w:rsidRPr="00B25A52" w:rsidRDefault="006B0396" w:rsidP="006B0396">
      <w:pPr>
        <w:pStyle w:val="Heading1"/>
      </w:pPr>
      <w:r w:rsidRPr="00B25A52">
        <w:rPr>
          <w:lang w:val="en-GB"/>
        </w:rPr>
        <w:t>As the Executive Committee did not consider the document at its 87</w:t>
      </w:r>
      <w:r w:rsidRPr="00B25A52">
        <w:rPr>
          <w:vertAlign w:val="superscript"/>
          <w:lang w:val="en-GB"/>
        </w:rPr>
        <w:t>th</w:t>
      </w:r>
      <w:r w:rsidRPr="00B25A52">
        <w:rPr>
          <w:lang w:val="en-GB"/>
        </w:rPr>
        <w:t> meeting,</w:t>
      </w:r>
      <w:r w:rsidRPr="00B25A52">
        <w:t xml:space="preserve"> the Secretariat presented to</w:t>
      </w:r>
      <w:r w:rsidRPr="00B25A52">
        <w:rPr>
          <w:lang w:val="en-GB"/>
        </w:rPr>
        <w:t xml:space="preserve"> the 88</w:t>
      </w:r>
      <w:r w:rsidRPr="00B25A52">
        <w:rPr>
          <w:vertAlign w:val="superscript"/>
          <w:lang w:val="en-GB"/>
        </w:rPr>
        <w:t>th</w:t>
      </w:r>
      <w:r w:rsidRPr="00B25A52">
        <w:rPr>
          <w:lang w:val="en-GB"/>
        </w:rPr>
        <w:t> meeting</w:t>
      </w:r>
      <w:r w:rsidRPr="00B25A52">
        <w:t xml:space="preserve"> document UNEP/OzL.Pro/ExCom/88/72, which was largely the same as document UNEP/OzL.Pro/ExCom/87/47, with new text added to invite the Executive Committee to consider its recommendation in light of the guidelines for the preparation of the Kigali HFC implementation plans (KIPs) that were approved. </w:t>
      </w:r>
    </w:p>
    <w:p w:rsidR="006B0396" w:rsidRPr="00B25A52" w:rsidRDefault="006B0396" w:rsidP="006B0396">
      <w:pPr>
        <w:pStyle w:val="Heading1"/>
      </w:pPr>
      <w:r w:rsidRPr="00B25A52">
        <w:t>The Executive Committee discussed document UNEP/OzL.Pro/ExCom/88/72 at its formal online 88</w:t>
      </w:r>
      <w:r w:rsidRPr="00B25A52">
        <w:rPr>
          <w:vertAlign w:val="superscript"/>
        </w:rPr>
        <w:t>th</w:t>
      </w:r>
      <w:r w:rsidRPr="00B25A52">
        <w:t> meeting. One member, speaking on behalf of low</w:t>
      </w:r>
      <w:r w:rsidRPr="00B25A52">
        <w:noBreakHyphen/>
        <w:t>volume</w:t>
      </w:r>
      <w:r w:rsidRPr="00B25A52">
        <w:noBreakHyphen/>
        <w:t>consuming (LVC) countries in his region, considered the funding levels proposed in the document to be rather low. Another member recalled the provisions of paragraph 10 of decision XXVIII/2</w:t>
      </w:r>
      <w:r w:rsidRPr="00B25A52">
        <w:rPr>
          <w:rStyle w:val="FootnoteReference"/>
        </w:rPr>
        <w:footnoteReference w:id="3"/>
      </w:r>
      <w:r w:rsidRPr="00B25A52">
        <w:t xml:space="preserve"> and bemoaned the delay in finalizing the cost guidelines. Recalling that funding for the preparation of the KIPs for the first batch of 35 countries had been approved at the 87</w:t>
      </w:r>
      <w:r w:rsidRPr="00B25A52">
        <w:rPr>
          <w:vertAlign w:val="superscript"/>
        </w:rPr>
        <w:t>th</w:t>
      </w:r>
      <w:r w:rsidRPr="00B25A52">
        <w:t> meeting, and that more requests were submitted to the 88</w:t>
      </w:r>
      <w:r w:rsidRPr="00B25A52">
        <w:rPr>
          <w:vertAlign w:val="superscript"/>
        </w:rPr>
        <w:t>th</w:t>
      </w:r>
      <w:r w:rsidRPr="00B25A52">
        <w:t> meeting, he said that several countries could soon be ready to submit project proposals to the Committee; he considered that finalizing the guidelines and agreeing on the starting point for aggregate reductions in HFC consumption should thus be a priority. Given that the servicing sector was important for both LVC and non-LVC countries, both groups should be provided with a clear framework before proceeding to discuss the funding modalities.</w:t>
      </w:r>
    </w:p>
    <w:p w:rsidR="006B0396" w:rsidRPr="00B25A52" w:rsidRDefault="006B0396" w:rsidP="006B0396">
      <w:pPr>
        <w:pStyle w:val="Heading1"/>
      </w:pPr>
      <w:r w:rsidRPr="00B25A52">
        <w:t>The Executive Committee agreed to establish a contact group to discuss the matter. During the discussions, members requested clarification from the Secretariat on several elements of the document, exchanged views and expressed their concerns. Issues discussed included opportunities for integrating activities to phase out HCFCs and phase down HFCs in the refrigeration servicing sector. While some members supported this approach, other members representing Article 5 countries noted that more time was needed to understand HFC phase-down, and pointed out that synchronizing activities in the sector would be difficult at present. They also considered it premature to discuss modalities and levels of funding in the absence of cost guidelines. Several members expressed general vie</w:t>
      </w:r>
      <w:bookmarkStart w:id="0" w:name="_GoBack"/>
      <w:bookmarkEnd w:id="0"/>
      <w:r w:rsidRPr="00B25A52">
        <w:t>ws on the level of funding to be provided to LVC and non</w:t>
      </w:r>
      <w:r w:rsidRPr="00B25A52">
        <w:noBreakHyphen/>
        <w:t>LVC countries as proposed in the document, but the group was unable to enter into more substantive discussions on that matter. In view of the questions raised by members and answers provided by the Secretariat, the group decided that discussions at the 89</w:t>
      </w:r>
      <w:r w:rsidRPr="00B25A52">
        <w:rPr>
          <w:vertAlign w:val="superscript"/>
        </w:rPr>
        <w:t>th</w:t>
      </w:r>
      <w:r w:rsidRPr="00B25A52">
        <w:t xml:space="preserve"> meeting would continue based on document UNEP/OzL.Pro/ExCom/88/72, without requesting the Secretariat to make adjustments to its text. </w:t>
      </w:r>
    </w:p>
    <w:p w:rsidR="006B0396" w:rsidRDefault="006B0396" w:rsidP="006B0396">
      <w:pPr>
        <w:pStyle w:val="Heading1"/>
        <w:widowControl w:val="0"/>
        <w:rPr>
          <w:bCs/>
        </w:rPr>
      </w:pPr>
      <w:r w:rsidRPr="00B25A52">
        <w:t>Accordingly,</w:t>
      </w:r>
      <w:r w:rsidRPr="00B25A52">
        <w:rPr>
          <w:bCs/>
        </w:rPr>
        <w:t xml:space="preserve"> </w:t>
      </w:r>
      <w:r w:rsidRPr="00B25A52">
        <w:t>the Executive Committee decided to pursue, at its 89</w:t>
      </w:r>
      <w:r w:rsidRPr="00B25A52">
        <w:rPr>
          <w:vertAlign w:val="superscript"/>
        </w:rPr>
        <w:t>th</w:t>
      </w:r>
      <w:r w:rsidRPr="00B25A52">
        <w:t xml:space="preserve"> meeting, discussions on </w:t>
      </w:r>
      <w:r w:rsidRPr="00B25A52">
        <w:rPr>
          <w:color w:val="000000" w:themeColor="text1"/>
        </w:rPr>
        <w:t xml:space="preserve">the level and modalities of funding for HFC phase-down in the refrigeration servicing sector on the basis of </w:t>
      </w:r>
      <w:r w:rsidRPr="00B25A52">
        <w:t xml:space="preserve">document UNEP/OzL.Pro/ExCom/88/72 </w:t>
      </w:r>
      <w:r w:rsidRPr="00B25A52">
        <w:rPr>
          <w:bCs/>
        </w:rPr>
        <w:t>(decision 88/76).</w:t>
      </w:r>
    </w:p>
    <w:p w:rsidR="006B0396" w:rsidRPr="00B25A52" w:rsidRDefault="006B0396" w:rsidP="006B0396">
      <w:pPr>
        <w:pStyle w:val="Heading1"/>
        <w:widowControl w:val="0"/>
        <w:spacing w:after="0"/>
        <w:rPr>
          <w:bCs/>
        </w:rPr>
        <w:sectPr w:rsidR="006B0396" w:rsidRPr="00B25A52" w:rsidSect="004426BD">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sectPr>
      </w:pPr>
      <w:r w:rsidRPr="00B25A52">
        <w:rPr>
          <w:bCs/>
        </w:rPr>
        <w:t>Pursuant to decision 88/76, document UNEP/OzL.Pro/ExCom/88/72 is attached to this note for further discussion.</w:t>
      </w:r>
    </w:p>
    <w:tbl>
      <w:tblPr>
        <w:tblW w:w="10080" w:type="dxa"/>
        <w:tblInd w:w="-432" w:type="dxa"/>
        <w:tblLayout w:type="fixed"/>
        <w:tblLook w:val="0000" w:firstRow="0" w:lastRow="0" w:firstColumn="0" w:lastColumn="0" w:noHBand="0" w:noVBand="0"/>
      </w:tblPr>
      <w:tblGrid>
        <w:gridCol w:w="2070"/>
        <w:gridCol w:w="3420"/>
        <w:gridCol w:w="4590"/>
      </w:tblGrid>
      <w:tr w:rsidR="006B0396" w:rsidRPr="009B0D30" w:rsidTr="004426BD">
        <w:trPr>
          <w:trHeight w:val="720"/>
        </w:trPr>
        <w:tc>
          <w:tcPr>
            <w:tcW w:w="5490" w:type="dxa"/>
            <w:gridSpan w:val="2"/>
            <w:tcBorders>
              <w:bottom w:val="single" w:sz="18" w:space="0" w:color="auto"/>
            </w:tcBorders>
          </w:tcPr>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rsidR="006B0396" w:rsidRPr="009B0D30" w:rsidRDefault="006B0396" w:rsidP="004426BD">
            <w:pPr>
              <w:jc w:val="right"/>
              <w:rPr>
                <w:sz w:val="52"/>
                <w:szCs w:val="52"/>
              </w:rPr>
            </w:pPr>
            <w:r w:rsidRPr="009B0D30">
              <w:rPr>
                <w:rFonts w:ascii="Univers Bold" w:hAnsi="Univers Bold"/>
                <w:b/>
                <w:sz w:val="72"/>
              </w:rPr>
              <w:t>EP</w:t>
            </w:r>
          </w:p>
        </w:tc>
      </w:tr>
      <w:tr w:rsidR="006B0396" w:rsidRPr="009B0D30"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B0396" w:rsidRPr="009B0D30" w:rsidRDefault="006B0396" w:rsidP="004426BD">
            <w:pPr>
              <w:spacing w:before="120"/>
            </w:pPr>
            <w:r w:rsidRPr="009B0D30">
              <w:rPr>
                <w:noProof/>
                <w:lang w:eastAsia="en-CA"/>
              </w:rPr>
              <mc:AlternateContent>
                <mc:Choice Requires="wpg">
                  <w:drawing>
                    <wp:anchor distT="0" distB="0" distL="114300" distR="114300" simplePos="0" relativeHeight="251662336" behindDoc="0" locked="0" layoutInCell="1" allowOverlap="1" wp14:anchorId="48C75E0B" wp14:editId="236FB20D">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3EDD4D9"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7"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8" o:title=""/>
                        <v:path arrowok="t"/>
                      </v:shape>
                    </v:group>
                  </w:pict>
                </mc:Fallback>
              </mc:AlternateContent>
            </w:r>
          </w:p>
        </w:tc>
        <w:tc>
          <w:tcPr>
            <w:tcW w:w="3420" w:type="dxa"/>
            <w:tcBorders>
              <w:top w:val="nil"/>
              <w:left w:val="nil"/>
              <w:bottom w:val="single" w:sz="36" w:space="0" w:color="auto"/>
              <w:right w:val="nil"/>
            </w:tcBorders>
          </w:tcPr>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6B0396" w:rsidRPr="00F86726"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9B0D30">
              <w:rPr>
                <w:rFonts w:ascii="Univers" w:hAnsi="Univers"/>
                <w:b/>
                <w:sz w:val="32"/>
              </w:rPr>
              <w:t>Environment</w:t>
            </w:r>
          </w:p>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6B0396" w:rsidRPr="009B0D30" w:rsidRDefault="006B0396" w:rsidP="004426BD">
            <w:pPr>
              <w:spacing w:before="720"/>
              <w:ind w:left="158"/>
            </w:pPr>
          </w:p>
        </w:tc>
        <w:tc>
          <w:tcPr>
            <w:tcW w:w="4590" w:type="dxa"/>
            <w:tcBorders>
              <w:top w:val="nil"/>
              <w:left w:val="nil"/>
              <w:bottom w:val="single" w:sz="36" w:space="0" w:color="auto"/>
              <w:right w:val="nil"/>
            </w:tcBorders>
          </w:tcPr>
          <w:p w:rsidR="006B0396" w:rsidRPr="009B0D30" w:rsidRDefault="006B0396" w:rsidP="004426BD">
            <w:r w:rsidRPr="009B0D30">
              <w:t>Distr.</w:t>
            </w:r>
          </w:p>
          <w:p w:rsidR="006B0396" w:rsidRPr="009B0D30" w:rsidRDefault="006B0396" w:rsidP="004426BD">
            <w:r w:rsidRPr="009B0D30">
              <w:t>GENERAL</w:t>
            </w:r>
          </w:p>
          <w:p w:rsidR="006B0396" w:rsidRPr="009B0D30" w:rsidRDefault="006B0396" w:rsidP="004426BD"/>
          <w:p w:rsidR="006B0396" w:rsidRPr="009B0D30" w:rsidRDefault="006B0396" w:rsidP="004426BD"/>
          <w:p w:rsidR="004426BD" w:rsidRDefault="004426BD" w:rsidP="004426BD">
            <w:r w:rsidRPr="004426BD">
              <w:t>UNEP/</w:t>
            </w:r>
            <w:proofErr w:type="spellStart"/>
            <w:r w:rsidRPr="004426BD">
              <w:t>OzL.Pro</w:t>
            </w:r>
            <w:proofErr w:type="spellEnd"/>
            <w:r w:rsidRPr="004426BD">
              <w:t>/</w:t>
            </w:r>
            <w:proofErr w:type="spellStart"/>
            <w:r w:rsidRPr="004426BD">
              <w:t>ExCom</w:t>
            </w:r>
            <w:proofErr w:type="spellEnd"/>
            <w:r w:rsidRPr="004426BD">
              <w:t>/88/72</w:t>
            </w:r>
          </w:p>
          <w:p w:rsidR="004426BD" w:rsidRPr="004426BD" w:rsidRDefault="004426BD" w:rsidP="004426BD">
            <w:r>
              <w:t>29 October 2021</w:t>
            </w:r>
          </w:p>
          <w:p w:rsidR="006B0396" w:rsidRPr="009B0D30" w:rsidRDefault="006B0396" w:rsidP="004426BD">
            <w:pPr>
              <w:rPr>
                <w:caps/>
              </w:rPr>
            </w:pPr>
          </w:p>
          <w:p w:rsidR="006B0396" w:rsidRPr="009B0D30" w:rsidRDefault="006B0396" w:rsidP="004426BD">
            <w:r w:rsidRPr="009B0D30">
              <w:t>ORIGINAL: ENGLISH</w:t>
            </w:r>
          </w:p>
        </w:tc>
      </w:tr>
    </w:tbl>
    <w:p w:rsidR="006B0396" w:rsidRPr="00CC6E10" w:rsidRDefault="006B0396" w:rsidP="006B0396">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rsidR="006B0396" w:rsidRPr="009B0D30" w:rsidRDefault="006B0396" w:rsidP="006B0396">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4"/>
      </w:r>
    </w:p>
    <w:p w:rsidR="006B0396" w:rsidRPr="009B0D30" w:rsidRDefault="006B0396" w:rsidP="006B0396">
      <w:pPr>
        <w:jc w:val="center"/>
      </w:pPr>
    </w:p>
    <w:p w:rsidR="006B0396" w:rsidRPr="003161AE" w:rsidRDefault="006B0396" w:rsidP="006B0396">
      <w:pPr>
        <w:jc w:val="center"/>
      </w:pPr>
    </w:p>
    <w:p w:rsidR="006B0396" w:rsidRDefault="006B0396" w:rsidP="006B0396">
      <w:pPr>
        <w:jc w:val="center"/>
        <w:rPr>
          <w:b/>
        </w:rPr>
      </w:pPr>
      <w:r>
        <w:rPr>
          <w:b/>
        </w:rPr>
        <w:t xml:space="preserve">ANALYSIS OF THE LEVEL AND MODALITIES OF FUNDING FOR HFC PHASE-DOWN </w:t>
      </w:r>
    </w:p>
    <w:p w:rsidR="006B0396" w:rsidRDefault="006B0396" w:rsidP="006B0396">
      <w:pPr>
        <w:jc w:val="center"/>
        <w:rPr>
          <w:b/>
        </w:rPr>
      </w:pPr>
      <w:r>
        <w:rPr>
          <w:b/>
        </w:rPr>
        <w:t>IN THE REFRIGERATION SERVICING SECTOR</w:t>
      </w:r>
      <w:r>
        <w:t xml:space="preserve"> </w:t>
      </w:r>
      <w:r>
        <w:rPr>
          <w:b/>
        </w:rPr>
        <w:t>(DECISIONS 83/65(b) AND 84/86(b)(ii))</w:t>
      </w:r>
    </w:p>
    <w:p w:rsidR="006B0396" w:rsidRPr="003161AE" w:rsidRDefault="006B0396" w:rsidP="006B0396">
      <w:pPr>
        <w:jc w:val="center"/>
      </w:pPr>
    </w:p>
    <w:p w:rsidR="006B0396" w:rsidRDefault="006B0396" w:rsidP="006B0396">
      <w:pPr>
        <w:spacing w:after="240"/>
        <w:outlineLvl w:val="0"/>
      </w:pPr>
      <w:r>
        <w:rPr>
          <w:b/>
        </w:rPr>
        <w:t>Background</w:t>
      </w:r>
      <w:r w:rsidRPr="00940584">
        <w:t xml:space="preserve"> </w:t>
      </w:r>
    </w:p>
    <w:p w:rsidR="006B0396" w:rsidRPr="005863C0" w:rsidRDefault="006B0396" w:rsidP="006B0396">
      <w:pPr>
        <w:pStyle w:val="Heading1"/>
        <w:numPr>
          <w:ilvl w:val="0"/>
          <w:numId w:val="22"/>
        </w:numPr>
      </w:pPr>
      <w:r>
        <w:t>Since its 78</w:t>
      </w:r>
      <w:r w:rsidRPr="00ED4F7B">
        <w:rPr>
          <w:vertAlign w:val="superscript"/>
        </w:rPr>
        <w:t>th</w:t>
      </w:r>
      <w:r>
        <w:t xml:space="preserve"> meeting, the Executive Committee has been discussing matters related to the HFC phase</w:t>
      </w:r>
      <w:r>
        <w:noBreakHyphen/>
        <w:t xml:space="preserve">down in the refrigeration servicing sector, in the context of the development of the cost guidelines for the phase-down of HFCs. </w:t>
      </w:r>
    </w:p>
    <w:p w:rsidR="006B0396" w:rsidRDefault="006B0396" w:rsidP="006B0396">
      <w:pPr>
        <w:pStyle w:val="Heading1"/>
      </w:pPr>
      <w:r>
        <w:t>At its 80</w:t>
      </w:r>
      <w:r>
        <w:rPr>
          <w:vertAlign w:val="superscript"/>
        </w:rPr>
        <w:t>th</w:t>
      </w:r>
      <w:r>
        <w:t xml:space="preserve"> meeting, the Executive Committee:</w:t>
      </w:r>
    </w:p>
    <w:p w:rsidR="006B0396" w:rsidRDefault="006B0396" w:rsidP="006B0396">
      <w:pPr>
        <w:pStyle w:val="Heading2"/>
        <w:numPr>
          <w:ilvl w:val="1"/>
          <w:numId w:val="1"/>
        </w:numPr>
      </w:pPr>
      <w:r>
        <w:t>Included in the draft cost guidelines for the phase-down of HFCs the following categories under the refrigeration servicing sector eligible for funding: public awareness activities; policy development and implementation; certification programmes and training of technicians; training of customs officers; prevention of illegal trade of HFCs; and servicing tools, refrigerant testing equipment and recycling and recovery of HFCs;</w:t>
      </w:r>
      <w:r>
        <w:rPr>
          <w:rStyle w:val="FootnoteReference"/>
        </w:rPr>
        <w:footnoteReference w:id="5"/>
      </w:r>
      <w:r>
        <w:t xml:space="preserve"> and</w:t>
      </w:r>
    </w:p>
    <w:p w:rsidR="006B0396" w:rsidRDefault="006B0396" w:rsidP="006B0396">
      <w:pPr>
        <w:pStyle w:val="Heading2"/>
        <w:numPr>
          <w:ilvl w:val="1"/>
          <w:numId w:val="22"/>
        </w:numPr>
      </w:pPr>
      <w:r>
        <w:t>Requested the Secretariat to prepare a preliminary document for the 82</w:t>
      </w:r>
      <w:r>
        <w:rPr>
          <w:vertAlign w:val="superscript"/>
        </w:rPr>
        <w:t>nd</w:t>
      </w:r>
      <w:r>
        <w:t xml:space="preserve"> meeting, in cooperation with bilateral and implementing agencies, on all aspects related to the refrigeration servicing sector that support the HFC phase-down (decision 80/76(c)).</w:t>
      </w:r>
      <w:r>
        <w:rPr>
          <w:rStyle w:val="FootnoteReference"/>
        </w:rPr>
        <w:footnoteReference w:id="6"/>
      </w:r>
    </w:p>
    <w:p w:rsidR="006B0396" w:rsidRDefault="006B0396" w:rsidP="006B0396">
      <w:pPr>
        <w:pStyle w:val="Heading1"/>
      </w:pPr>
      <w:r>
        <w:lastRenderedPageBreak/>
        <w:t>At its 81</w:t>
      </w:r>
      <w:r>
        <w:rPr>
          <w:vertAlign w:val="superscript"/>
        </w:rPr>
        <w:t>st</w:t>
      </w:r>
      <w:r>
        <w:t xml:space="preserve"> meeting, the Executive Committee decided to consider, at the 82</w:t>
      </w:r>
      <w:r>
        <w:rPr>
          <w:vertAlign w:val="superscript"/>
        </w:rPr>
        <w:t>nd</w:t>
      </w:r>
      <w:r>
        <w:t xml:space="preserve"> meeting, the matter of prioritization of technical assistance and capacity building to address safety issues associated with alternatives with low and zero global-warming potential (GWP) for all sectors (paragraph 23 of decision XXVIII/2), in light of the document being prepared by the Secretariat in response to decision 80/76 regarding aspects of refrigeration servicing sector that supported HFC phase-down (decision 81/67(c)).</w:t>
      </w:r>
    </w:p>
    <w:p w:rsidR="006B0396" w:rsidRDefault="006B0396" w:rsidP="006B0396">
      <w:pPr>
        <w:pStyle w:val="Heading1"/>
      </w:pPr>
      <w:r>
        <w:t>In response to decisions 80/76(c) and 81/67(c), the Secretariat submitted to the 82</w:t>
      </w:r>
      <w:r>
        <w:rPr>
          <w:vertAlign w:val="superscript"/>
        </w:rPr>
        <w:t>nd</w:t>
      </w:r>
      <w:r>
        <w:t> meeting document UNEP/OzL.Pro/ExCom/82/64 on all aspects related to the refrigeration servicing sector that support HFC phase-down. Following a discussion, the Executive Committee took note of the document.</w:t>
      </w:r>
    </w:p>
    <w:p w:rsidR="006B0396" w:rsidRDefault="006B0396" w:rsidP="006B0396">
      <w:pPr>
        <w:pStyle w:val="Heading1"/>
      </w:pPr>
      <w:r>
        <w:t>At its 83</w:t>
      </w:r>
      <w:r>
        <w:rPr>
          <w:vertAlign w:val="superscript"/>
        </w:rPr>
        <w:t>rd</w:t>
      </w:r>
      <w:r>
        <w:t xml:space="preserve"> meeting, the Executive Committee agreed to reconstitute the contact group on the development of the cost guidelines for the phase-down of HFCs in Article 5 countries. Following the report by the convener of the contact group, the Committee </w:t>
      </w:r>
      <w:r>
        <w:rPr>
          <w:i/>
        </w:rPr>
        <w:t xml:space="preserve">inter alia </w:t>
      </w:r>
      <w:r>
        <w:t>requested the Secretariat to prepare, for the 85</w:t>
      </w:r>
      <w:r>
        <w:rPr>
          <w:vertAlign w:val="superscript"/>
        </w:rPr>
        <w:t>th</w:t>
      </w:r>
      <w:r>
        <w:t> meeting, a document providing an analysis of the level and modalities of funding for HFC phase</w:t>
      </w:r>
      <w:r>
        <w:noBreakHyphen/>
        <w:t>down in the refrigeration servicing sector, in light of the information provided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 (HPMPs) (decision 83/65(b)).</w:t>
      </w:r>
    </w:p>
    <w:p w:rsidR="006B0396" w:rsidRDefault="006B0396" w:rsidP="006B0396">
      <w:pPr>
        <w:pStyle w:val="Heading1"/>
      </w:pPr>
      <w:r>
        <w:t>At its 84</w:t>
      </w:r>
      <w:r>
        <w:rPr>
          <w:vertAlign w:val="superscript"/>
        </w:rPr>
        <w:t>th</w:t>
      </w:r>
      <w:r>
        <w:t xml:space="preserve"> meeting, the Executive Committee considered document UNEP/OzL.Pro/ExCom/84/65 on the analysis of the implications of parallel or integrated implementation of HCFC phase-out and HFC phase</w:t>
      </w:r>
      <w:r>
        <w:noBreakHyphen/>
        <w:t xml:space="preserve">down activities. During the discussion, members expressed appreciation for the analysis, and highlighted, in particular, the potential for synergies in the HCFC phase-out and HFC phase-down in the refrigeration servicing sector, while noting opportunities in the foam, room air-conditioner, commercial refrigeration and chiller manufacturing sectors; members also expressed an interest in further discussion of ways to support a cost-effective approach to HCFC phase-out and HFC phase-down activities. Subsequently, the Committee </w:t>
      </w:r>
      <w:r>
        <w:rPr>
          <w:i/>
        </w:rPr>
        <w:t xml:space="preserve">inter alia </w:t>
      </w:r>
      <w:r>
        <w:t>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t>down in the refrigeration servicing sector requested by decision 83/65 (decision 84/86(b)(ii)).</w:t>
      </w:r>
    </w:p>
    <w:p w:rsidR="006B0396" w:rsidRDefault="006B0396" w:rsidP="006B0396">
      <w:pPr>
        <w:pStyle w:val="Heading1"/>
        <w:numPr>
          <w:ilvl w:val="0"/>
          <w:numId w:val="0"/>
        </w:numPr>
        <w:tabs>
          <w:tab w:val="left" w:pos="720"/>
        </w:tabs>
        <w:rPr>
          <w:u w:val="single"/>
        </w:rPr>
      </w:pPr>
      <w:r>
        <w:rPr>
          <w:u w:val="single"/>
        </w:rPr>
        <w:t>Inter-agency coordination meeting (IACM)</w:t>
      </w:r>
      <w:r>
        <w:rPr>
          <w:rStyle w:val="FootnoteReference"/>
        </w:rPr>
        <w:footnoteReference w:id="7"/>
      </w:r>
    </w:p>
    <w:p w:rsidR="006B0396" w:rsidRDefault="006B0396" w:rsidP="006B0396">
      <w:pPr>
        <w:pStyle w:val="Heading1"/>
        <w:numPr>
          <w:ilvl w:val="0"/>
          <w:numId w:val="22"/>
        </w:numPr>
      </w:pPr>
      <w:r>
        <w:t xml:space="preserve">In addressing the request in decision 84/86(b)(ii), the Secretariat prepared an analysis of the level and modalities of funding for HFC phase-down in the refrigeration servicing sector, that would be discussed during the IACM. Bilateral and implementing agencies were requested to provide their views on: commonalities of HCFC phase-out and HFC phase-down activities in the refrigeration servicing sector that could be considered in the calculation of funding levels for the sector; additional eligible activities that have not been funded under the HPMPs, and a methodology to determine the funding levels per Article 5 country, based on previous experience under CFC and HCFC phase-out. </w:t>
      </w:r>
    </w:p>
    <w:p w:rsidR="006B0396" w:rsidRDefault="006B0396" w:rsidP="006B0396">
      <w:pPr>
        <w:pStyle w:val="Heading1"/>
        <w:widowControl w:val="0"/>
        <w:numPr>
          <w:ilvl w:val="0"/>
          <w:numId w:val="22"/>
        </w:numPr>
      </w:pPr>
      <w:r>
        <w:t>During the discussions, UNDP indicated that the strategy for the refrigeration servicing sector, should be a unique strategy for the entire 2021-2030 period rather than several strategies that could be implemented in stages. Funding should be estimated on the basis of the overall strategy, with a greater disbursement at the beginning to allow building the infrastructure to adopt low-GWP alternatives. The critical activities to be implemented include the adoption of policies and standards, a refrigerant management plan ensuring proper coverage of training and certification of technicians, strategies for containment of refrigerants, pilot projects and training in installation of refrigeration and air</w:t>
      </w:r>
      <w:r>
        <w:noBreakHyphen/>
        <w:t xml:space="preserve">conditioning (RAC) equipment operating with low-GWP refrigerants, and sound disposal of unwanted refrigerants. Accordingly, funding for HFC phase-down should be increased, especially for low-volume consuming </w:t>
      </w:r>
      <w:r>
        <w:lastRenderedPageBreak/>
        <w:t xml:space="preserve">(LVC) countries. </w:t>
      </w:r>
    </w:p>
    <w:p w:rsidR="006B0396" w:rsidRDefault="006B0396" w:rsidP="006B0396">
      <w:pPr>
        <w:pStyle w:val="Heading1"/>
        <w:widowControl w:val="0"/>
        <w:numPr>
          <w:ilvl w:val="0"/>
          <w:numId w:val="22"/>
        </w:numPr>
      </w:pPr>
      <w:r>
        <w:t>UNIDO indicated that flammability of refrigerants would be the main issue to be considered when introducing alternative technologies to HFCs. A staged approach would be preferable than a unique 10</w:t>
      </w:r>
      <w:r>
        <w:noBreakHyphen/>
        <w:t>year strategy, as it would allow to assess the success of the plan at the end of each stage and introduce remedial actions as required. UNIDO also suggested the need to define key activities to be included in the servicing sector. For LVC countries, the level of funding should be at least three times that approved under decision 74/50, which would allow for providing specialized training with a longer duration to cover the management of flammable refrigerants.</w:t>
      </w:r>
    </w:p>
    <w:p w:rsidR="006B0396" w:rsidRPr="00E67247" w:rsidRDefault="006B0396" w:rsidP="006B0396">
      <w:pPr>
        <w:pStyle w:val="Heading1"/>
      </w:pPr>
      <w:r>
        <w:t xml:space="preserve">UNEP emphasized that LVC countries will incur in additional costs to scale up the technicians’ certification systems that are currently being established under the HPMPs. </w:t>
      </w:r>
    </w:p>
    <w:p w:rsidR="006B0396" w:rsidRDefault="006B0396" w:rsidP="006B0396">
      <w:pPr>
        <w:spacing w:after="240"/>
        <w:outlineLvl w:val="0"/>
        <w:rPr>
          <w:u w:val="single"/>
        </w:rPr>
      </w:pPr>
      <w:r>
        <w:rPr>
          <w:u w:val="single"/>
        </w:rPr>
        <w:t>Structure of the document</w:t>
      </w:r>
    </w:p>
    <w:p w:rsidR="006B0396" w:rsidRDefault="006B0396" w:rsidP="006B0396">
      <w:pPr>
        <w:pStyle w:val="Heading1"/>
        <w:numPr>
          <w:ilvl w:val="0"/>
          <w:numId w:val="22"/>
        </w:numPr>
      </w:pPr>
      <w:r>
        <w:t>In response to decisions 83/65(b) and 84/86(b)(ii), the Secretariat has prepared the present document and submitted it to the 88</w:t>
      </w:r>
      <w:r>
        <w:rPr>
          <w:vertAlign w:val="superscript"/>
        </w:rPr>
        <w:t>th</w:t>
      </w:r>
      <w:r>
        <w:t xml:space="preserve"> meeting.</w:t>
      </w:r>
      <w:r>
        <w:rPr>
          <w:rStyle w:val="FootnoteReference"/>
        </w:rPr>
        <w:footnoteReference w:id="8"/>
      </w:r>
      <w:r>
        <w:t xml:space="preserve"> </w:t>
      </w:r>
    </w:p>
    <w:p w:rsidR="006B0396" w:rsidRDefault="006B0396" w:rsidP="006B0396">
      <w:pPr>
        <w:pStyle w:val="Heading1"/>
        <w:numPr>
          <w:ilvl w:val="0"/>
          <w:numId w:val="22"/>
        </w:numPr>
      </w:pPr>
      <w:r>
        <w:t xml:space="preserve">The present document is based on document UNEP/OzL.Pro/ExCom/82/64, which </w:t>
      </w:r>
      <w:r>
        <w:rPr>
          <w:i/>
        </w:rPr>
        <w:t>inter alia</w:t>
      </w:r>
      <w:r>
        <w:t xml:space="preserve">: </w:t>
      </w:r>
    </w:p>
    <w:p w:rsidR="006B0396" w:rsidRDefault="006B0396" w:rsidP="006B0396">
      <w:pPr>
        <w:pStyle w:val="Heading2"/>
        <w:numPr>
          <w:ilvl w:val="1"/>
          <w:numId w:val="22"/>
        </w:numPr>
      </w:pPr>
      <w:r>
        <w:t>Describes the evolution of technical and financial assistance that has been provided to the refrigeration servicing sector since the inception of the Fund; presents an analysis of the characteristics of the RAC sectors; and identifies potential challenges for the phase</w:t>
      </w:r>
      <w:r>
        <w:noBreakHyphen/>
        <w:t>down of HFCs in the sector;</w:t>
      </w:r>
    </w:p>
    <w:p w:rsidR="006B0396" w:rsidRDefault="006B0396" w:rsidP="006B0396">
      <w:pPr>
        <w:pStyle w:val="Heading2"/>
        <w:numPr>
          <w:ilvl w:val="1"/>
          <w:numId w:val="22"/>
        </w:numPr>
      </w:pPr>
      <w:r>
        <w:t>Describes the capacity that has been established and strengthened in Article 5 countries in relation to: policy and regulatory frameworks including standards; training and certification of refrigeration technicians; and technical assistance including the provision of servicing tools for technicians, the establishment of recovery, recycling and reclamation schemes, the retrofitting of refrigeration systems, and the maintaining of energy efficiency;</w:t>
      </w:r>
    </w:p>
    <w:p w:rsidR="006B0396" w:rsidRDefault="006B0396" w:rsidP="006B0396">
      <w:pPr>
        <w:pStyle w:val="Heading2"/>
        <w:numPr>
          <w:ilvl w:val="1"/>
          <w:numId w:val="22"/>
        </w:numPr>
      </w:pPr>
      <w:r>
        <w:t>Presents an analysis of the information needed for the development of training and competency</w:t>
      </w:r>
      <w:r>
        <w:noBreakHyphen/>
        <w:t>based certification programmes for service technicians and customs officers; and</w:t>
      </w:r>
    </w:p>
    <w:p w:rsidR="006B0396" w:rsidRDefault="006B0396" w:rsidP="006B0396">
      <w:pPr>
        <w:pStyle w:val="Heading2"/>
        <w:numPr>
          <w:ilvl w:val="1"/>
          <w:numId w:val="22"/>
        </w:numPr>
      </w:pPr>
      <w:r>
        <w:t>Discusses how common training modules could be applied to the circumstances prevailing in Article 5 countries, and analyses how the global products that have been developed by UNEP in partnership with other international organizations, could support the activities in the refrigeration servicing sector.</w:t>
      </w:r>
    </w:p>
    <w:p w:rsidR="006B0396" w:rsidRDefault="006B0396" w:rsidP="006B0396">
      <w:pPr>
        <w:pStyle w:val="Heading1"/>
        <w:numPr>
          <w:ilvl w:val="0"/>
          <w:numId w:val="22"/>
        </w:numPr>
      </w:pPr>
      <w:r>
        <w:t>Although document UNEP/OzL.Pro/ExCom/82/64 described the activities, the modalities and funding levels that have been provided for the refrigeration servicing sector, it did not include an analysis of the level and modalities for funding the HFC phase-down in the refrigeration servicing sector, requested by decision 83/65(b). On that basis, the present document is supplementary to document UNEP/OzL.Pro/ExCom/82/64.</w:t>
      </w:r>
    </w:p>
    <w:p w:rsidR="006B0396" w:rsidRDefault="006B0396" w:rsidP="006B0396">
      <w:pPr>
        <w:pStyle w:val="Heading1"/>
      </w:pPr>
      <w:r>
        <w:t>In addition to document UNEP/OzL.Pro/ExCom/82/64, the Secretariat extracted information from the following sources:</w:t>
      </w:r>
    </w:p>
    <w:p w:rsidR="006B0396" w:rsidRDefault="006B0396" w:rsidP="006B0396">
      <w:pPr>
        <w:pStyle w:val="Heading2"/>
        <w:keepNext/>
        <w:widowControl/>
        <w:numPr>
          <w:ilvl w:val="1"/>
          <w:numId w:val="1"/>
        </w:numPr>
      </w:pPr>
      <w:r>
        <w:lastRenderedPageBreak/>
        <w:t>The document on key considerations for developing a methodology for establishing the starting point for sustained aggregate reductions for the consumption and production sectors under the Kigali Amendment (decision 81/67(e)),</w:t>
      </w:r>
      <w:r>
        <w:rPr>
          <w:rStyle w:val="FootnoteReference"/>
        </w:rPr>
        <w:footnoteReference w:id="9"/>
      </w:r>
      <w:r>
        <w:t xml:space="preserve"> in particular the discussion related to the role of the starting point in the servicing sector, considering </w:t>
      </w:r>
      <w:r>
        <w:rPr>
          <w:i/>
        </w:rPr>
        <w:t xml:space="preserve">inter alia </w:t>
      </w:r>
      <w:r>
        <w:t>that the initial years of the phase-down of HFCs will overlap with the phase-out of HCFCs, which for the majority of Article 5 countries would be mainly used in the refrigeration servicing sector;</w:t>
      </w:r>
    </w:p>
    <w:p w:rsidR="006B0396" w:rsidRDefault="006B0396" w:rsidP="006B0396">
      <w:pPr>
        <w:pStyle w:val="Heading2"/>
        <w:numPr>
          <w:ilvl w:val="1"/>
          <w:numId w:val="22"/>
        </w:numPr>
      </w:pPr>
      <w:r>
        <w:t>The document presenting an analysis of the implications of parallel or integrated implementation of HCFC phase-out and HFC phase-down activities,</w:t>
      </w:r>
      <w:r>
        <w:rPr>
          <w:rStyle w:val="FootnoteReference"/>
        </w:rPr>
        <w:footnoteReference w:id="10"/>
      </w:r>
      <w:r>
        <w:t xml:space="preserve"> as the information, analysis, and discussion contained therein supplements</w:t>
      </w:r>
      <w:r>
        <w:rPr>
          <w:rStyle w:val="FootnoteReference"/>
        </w:rPr>
        <w:footnoteReference w:id="11"/>
      </w:r>
      <w:r>
        <w:t xml:space="preserve"> the present document; </w:t>
      </w:r>
    </w:p>
    <w:p w:rsidR="006B0396" w:rsidRDefault="006B0396" w:rsidP="006B0396">
      <w:pPr>
        <w:pStyle w:val="Heading2"/>
        <w:numPr>
          <w:ilvl w:val="1"/>
          <w:numId w:val="22"/>
        </w:numPr>
      </w:pPr>
      <w:r>
        <w:t>The document on potential strategies, policy measures and commitments, as well as projects and activities that could be integrated within stage I of HFCs phase-down plans for Article 5 countries,</w:t>
      </w:r>
      <w:r>
        <w:rPr>
          <w:rStyle w:val="FootnoteReference"/>
        </w:rPr>
        <w:footnoteReference w:id="12"/>
      </w:r>
      <w:r>
        <w:t xml:space="preserve"> as it </w:t>
      </w:r>
      <w:r>
        <w:rPr>
          <w:i/>
        </w:rPr>
        <w:t xml:space="preserve">inter alia </w:t>
      </w:r>
      <w:r>
        <w:t>describes the benefits for Article 5 countries of implementing an integrated strategy in the refrigeration servicing sector that addresses the reduction of HCFCs and HFCs, including the possibility of formulating a comprehensive plan that combines ozone and climate benefits, strengthening and/or expanding the existing infrastructure as needed, and combining the funding from HCFC phase-out and HFC phase</w:t>
      </w:r>
      <w:r>
        <w:noBreakHyphen/>
        <w:t>down reducing the number of synchronized tranches resulting in lower transaction costs for reporting and verifications;</w:t>
      </w:r>
    </w:p>
    <w:p w:rsidR="006B0396" w:rsidRDefault="006B0396" w:rsidP="006B0396">
      <w:pPr>
        <w:pStyle w:val="Heading2"/>
        <w:numPr>
          <w:ilvl w:val="1"/>
          <w:numId w:val="22"/>
        </w:numPr>
      </w:pPr>
      <w:r>
        <w:t>The draft guidelines for the preparation of HFC phase-down plans for Article 5 countries,</w:t>
      </w:r>
      <w:r>
        <w:rPr>
          <w:rStyle w:val="FootnoteReference"/>
        </w:rPr>
        <w:footnoteReference w:id="13"/>
      </w:r>
      <w:r>
        <w:t xml:space="preserve"> submitted to the 86</w:t>
      </w:r>
      <w:r>
        <w:rPr>
          <w:vertAlign w:val="superscript"/>
        </w:rPr>
        <w:t>th</w:t>
      </w:r>
      <w:r>
        <w:t xml:space="preserve"> meeting in response to decision 84/54(a),</w:t>
      </w:r>
      <w:r>
        <w:rPr>
          <w:rStyle w:val="FootnoteReference"/>
        </w:rPr>
        <w:footnoteReference w:id="14"/>
      </w:r>
      <w:r>
        <w:t xml:space="preserve"> noting that the resulting phase-down plans will include an overarching strategy, an action plan and a set of activities to meet initial reduction obligations for the phase-down of HFCs including in the refrigeration servicing sector; </w:t>
      </w:r>
    </w:p>
    <w:p w:rsidR="006B0396" w:rsidRDefault="006B0396" w:rsidP="006B0396">
      <w:pPr>
        <w:pStyle w:val="Heading2"/>
        <w:widowControl/>
        <w:numPr>
          <w:ilvl w:val="1"/>
          <w:numId w:val="22"/>
        </w:numPr>
      </w:pPr>
      <w:r>
        <w:t>The document on ways to operationalize paragraph 16 of decision XXVIII/2, and paragraph 2 of decision XXX/5,</w:t>
      </w:r>
      <w:r>
        <w:rPr>
          <w:rStyle w:val="FootnoteReference"/>
        </w:rPr>
        <w:footnoteReference w:id="15"/>
      </w:r>
      <w:r>
        <w:t xml:space="preserve"> being submitted to the 88</w:t>
      </w:r>
      <w:r>
        <w:rPr>
          <w:vertAlign w:val="superscript"/>
        </w:rPr>
        <w:t>th</w:t>
      </w:r>
      <w:r>
        <w:t xml:space="preserve"> meeting in response to decision 84/88, as the document describes ways to increase the funding available under decision 74/50 for LVC countries, when needed, for: the introduction of low- and zero</w:t>
      </w:r>
      <w:r>
        <w:noBreakHyphen/>
        <w:t xml:space="preserve">GWP alternatives to HCFCs or HFCs and maintaining energy efficiency in the servicing/end-user sector, developing and enforcing policies and regulations to avoid the </w:t>
      </w:r>
      <w:r>
        <w:lastRenderedPageBreak/>
        <w:t>market penetration of energy-inefficient RAC equipment and promoting penetration of energy</w:t>
      </w:r>
      <w:r>
        <w:noBreakHyphen/>
        <w:t>efficient equipment, and taking into account the criteria, performance indicators, and funding mechanisms of servicing sector plans in HPMPs;</w:t>
      </w:r>
    </w:p>
    <w:p w:rsidR="006B0396" w:rsidRDefault="006B0396" w:rsidP="006B0396">
      <w:pPr>
        <w:pStyle w:val="Heading2"/>
        <w:widowControl/>
        <w:numPr>
          <w:ilvl w:val="1"/>
          <w:numId w:val="22"/>
        </w:numPr>
      </w:pPr>
      <w:r>
        <w:t>The document presenting a synthesis report describing best practices and ways for the Executive Committee to consider operationalizing paragraph 24 of decision XXVIII/2,</w:t>
      </w:r>
      <w:r>
        <w:rPr>
          <w:rStyle w:val="FootnoteReference"/>
        </w:rPr>
        <w:footnoteReference w:id="16"/>
      </w:r>
      <w:r>
        <w:t xml:space="preserve"> as the document describes options when funding the environmentally sound management of waste ODS and other controlled substances, which are largely a result of the servicing of RAC equipment; and</w:t>
      </w:r>
    </w:p>
    <w:p w:rsidR="006B0396" w:rsidRDefault="006B0396" w:rsidP="006B0396">
      <w:pPr>
        <w:pStyle w:val="Heading2"/>
        <w:widowControl/>
        <w:numPr>
          <w:ilvl w:val="1"/>
          <w:numId w:val="22"/>
        </w:numPr>
      </w:pPr>
      <w:r>
        <w:t>The document on information relevant to the development of the cost guidelines for the phase</w:t>
      </w:r>
      <w:r>
        <w:noBreakHyphen/>
        <w:t>down of HFCs in Article 5 countries: enabling activities,</w:t>
      </w:r>
      <w:r>
        <w:rPr>
          <w:rStyle w:val="FootnoteReference"/>
        </w:rPr>
        <w:footnoteReference w:id="17"/>
      </w:r>
      <w:r>
        <w:t xml:space="preserve"> which </w:t>
      </w:r>
      <w:r>
        <w:rPr>
          <w:i/>
        </w:rPr>
        <w:t xml:space="preserve">inter alia </w:t>
      </w:r>
      <w:r>
        <w:t>reviewed all the policies and guidelines that have been adopted by the Executive Committee related to enabling activities (listed under paragraph 20 of decision XXVIII/2) to support the phase</w:t>
      </w:r>
      <w:r>
        <w:noBreakHyphen/>
        <w:t>out of controlled substances in Article 5 countries, several of which relates to the refrigeration servicing sector.</w:t>
      </w:r>
    </w:p>
    <w:p w:rsidR="006B0396" w:rsidRDefault="006B0396" w:rsidP="006B0396">
      <w:pPr>
        <w:pStyle w:val="Heading1"/>
        <w:numPr>
          <w:ilvl w:val="0"/>
          <w:numId w:val="22"/>
        </w:numPr>
      </w:pPr>
      <w:r>
        <w:t>In preparing this document, the Secretariat also gave due consideration to the comments and observations provided by the implementing agencies during the IACM held from 25 to 27 February 2020.</w:t>
      </w:r>
    </w:p>
    <w:p w:rsidR="006B0396" w:rsidRPr="00134E73" w:rsidRDefault="006B0396" w:rsidP="006B0396">
      <w:pPr>
        <w:pStyle w:val="Heading1"/>
        <w:rPr>
          <w:b/>
        </w:rPr>
      </w:pPr>
      <w:r w:rsidRPr="00134E73">
        <w:rPr>
          <w:b/>
        </w:rPr>
        <w:t>At the 87</w:t>
      </w:r>
      <w:r w:rsidRPr="00134E73">
        <w:rPr>
          <w:b/>
          <w:vertAlign w:val="superscript"/>
        </w:rPr>
        <w:t>th</w:t>
      </w:r>
      <w:r w:rsidRPr="00134E73">
        <w:rPr>
          <w:b/>
        </w:rPr>
        <w:t xml:space="preserve"> meeting, the Executive Committee continued its consideration of the draft guidelines for the preparation of HFC phase-down plans (now known as </w:t>
      </w:r>
      <w:r>
        <w:rPr>
          <w:b/>
        </w:rPr>
        <w:t xml:space="preserve">the </w:t>
      </w:r>
      <w:r w:rsidRPr="00134E73">
        <w:rPr>
          <w:b/>
        </w:rPr>
        <w:t>Kigali HFC implementation plans (KIPs)) for Article 5 countries. Further to a discussion where consensus was reached, the Committee agreed on the guidelines (decision 87/50). As the present document has not yet been considered by the Executive Committee, the Secretariat reissued the document submitted to the 87</w:t>
      </w:r>
      <w:r w:rsidRPr="00134E73">
        <w:rPr>
          <w:b/>
          <w:vertAlign w:val="superscript"/>
        </w:rPr>
        <w:t>th</w:t>
      </w:r>
      <w:r w:rsidRPr="00134E73">
        <w:rPr>
          <w:b/>
        </w:rPr>
        <w:t> meeting (UNEP/OzL.Pro/ExCom/87/47), updating relevant figures to reflect the projects in the refrigeration servicing sector that were approved at the 87</w:t>
      </w:r>
      <w:r w:rsidRPr="00134E73">
        <w:rPr>
          <w:b/>
          <w:vertAlign w:val="superscript"/>
        </w:rPr>
        <w:t>th</w:t>
      </w:r>
      <w:r w:rsidRPr="00134E73">
        <w:rPr>
          <w:b/>
        </w:rPr>
        <w:t xml:space="preserve"> meeting (i.e., the issues discussed in the document remain unchanged). </w:t>
      </w:r>
      <w:r>
        <w:rPr>
          <w:b/>
        </w:rPr>
        <w:t>In addition, new text associated with the approval of</w:t>
      </w:r>
      <w:r w:rsidRPr="00134E73">
        <w:rPr>
          <w:b/>
        </w:rPr>
        <w:t xml:space="preserve"> guidelines for </w:t>
      </w:r>
      <w:r>
        <w:rPr>
          <w:b/>
        </w:rPr>
        <w:t xml:space="preserve">the </w:t>
      </w:r>
      <w:r w:rsidRPr="00134E73">
        <w:rPr>
          <w:b/>
        </w:rPr>
        <w:t xml:space="preserve">preparation of KIPs is presented in bold. </w:t>
      </w:r>
    </w:p>
    <w:p w:rsidR="006B0396" w:rsidRPr="00134E73" w:rsidRDefault="006B0396" w:rsidP="006B0396">
      <w:pPr>
        <w:pStyle w:val="Heading1"/>
        <w:rPr>
          <w:b/>
        </w:rPr>
      </w:pPr>
      <w:r w:rsidRPr="00134E73">
        <w:rPr>
          <w:b/>
        </w:rPr>
        <w:t>The Executive Committee may wish to consider the present document</w:t>
      </w:r>
      <w:r>
        <w:rPr>
          <w:b/>
        </w:rPr>
        <w:t>,</w:t>
      </w:r>
      <w:r w:rsidRPr="00134E73">
        <w:rPr>
          <w:b/>
        </w:rPr>
        <w:t xml:space="preserve"> including the recommendation,</w:t>
      </w:r>
      <w:r w:rsidRPr="00134E73">
        <w:rPr>
          <w:rStyle w:val="FootnoteReference"/>
          <w:b/>
        </w:rPr>
        <w:footnoteReference w:id="18"/>
      </w:r>
      <w:r w:rsidRPr="00134E73">
        <w:rPr>
          <w:b/>
        </w:rPr>
        <w:t xml:space="preserve"> in light of the guidelines for the preparation of KIPs for Article 5 countries approved at the 87</w:t>
      </w:r>
      <w:r w:rsidRPr="00134E73">
        <w:rPr>
          <w:b/>
          <w:vertAlign w:val="superscript"/>
        </w:rPr>
        <w:t>th</w:t>
      </w:r>
      <w:r w:rsidRPr="00134E73">
        <w:rPr>
          <w:b/>
        </w:rPr>
        <w:t xml:space="preserve"> meeting. </w:t>
      </w:r>
    </w:p>
    <w:p w:rsidR="006B0396" w:rsidRDefault="006B0396" w:rsidP="006B0396">
      <w:pPr>
        <w:pStyle w:val="Heading1"/>
        <w:numPr>
          <w:ilvl w:val="0"/>
          <w:numId w:val="22"/>
        </w:numPr>
      </w:pPr>
      <w:r>
        <w:t>The present document consists of the following sections:</w:t>
      </w:r>
    </w:p>
    <w:p w:rsidR="006B0396" w:rsidRDefault="006B0396" w:rsidP="006B0396">
      <w:pPr>
        <w:pStyle w:val="Heading2"/>
        <w:widowControl/>
        <w:numPr>
          <w:ilvl w:val="1"/>
          <w:numId w:val="22"/>
        </w:numPr>
      </w:pPr>
      <w:r>
        <w:t>Overview of assistance provided under the Multilateral Fund in the refrigeration servicing sector;</w:t>
      </w:r>
    </w:p>
    <w:p w:rsidR="006B0396" w:rsidRDefault="006B0396" w:rsidP="006B0396">
      <w:pPr>
        <w:pStyle w:val="Heading2"/>
        <w:numPr>
          <w:ilvl w:val="1"/>
          <w:numId w:val="22"/>
        </w:numPr>
      </w:pPr>
      <w:r>
        <w:t xml:space="preserve">Integrated HCFC and HFC compliance strategy for the refrigeration servicing sector; </w:t>
      </w:r>
    </w:p>
    <w:p w:rsidR="006B0396" w:rsidRPr="00BD71B5" w:rsidRDefault="006B0396" w:rsidP="006B0396">
      <w:pPr>
        <w:pStyle w:val="Heading2"/>
        <w:numPr>
          <w:ilvl w:val="1"/>
          <w:numId w:val="22"/>
        </w:numPr>
      </w:pPr>
      <w:r>
        <w:t xml:space="preserve">Modalities and levels of funding for the HFC phase-down in the refrigeration servicing </w:t>
      </w:r>
      <w:r w:rsidRPr="00BD71B5">
        <w:t>sector (stage I); and</w:t>
      </w:r>
    </w:p>
    <w:p w:rsidR="006B0396" w:rsidRPr="00BD71B5" w:rsidRDefault="006B0396" w:rsidP="006B0396">
      <w:pPr>
        <w:pStyle w:val="Heading2"/>
        <w:numPr>
          <w:ilvl w:val="1"/>
          <w:numId w:val="22"/>
        </w:numPr>
      </w:pPr>
      <w:r w:rsidRPr="00BD71B5">
        <w:t>Recommendation.</w:t>
      </w:r>
    </w:p>
    <w:p w:rsidR="006B0396" w:rsidRDefault="006B0396" w:rsidP="006B0396">
      <w:pPr>
        <w:pStyle w:val="Heading1"/>
        <w:keepNext/>
      </w:pPr>
      <w:r>
        <w:lastRenderedPageBreak/>
        <w:t>The present document also contains the following Annexes:</w:t>
      </w:r>
    </w:p>
    <w:p w:rsidR="006B0396" w:rsidRPr="00134E73" w:rsidRDefault="006B0396" w:rsidP="006B0396">
      <w:pPr>
        <w:pStyle w:val="Heading3"/>
        <w:keepNext/>
        <w:widowControl/>
        <w:numPr>
          <w:ilvl w:val="0"/>
          <w:numId w:val="0"/>
        </w:numPr>
        <w:ind w:left="1440" w:hanging="720"/>
      </w:pPr>
      <w:r w:rsidRPr="00BD71B5">
        <w:t>I</w:t>
      </w:r>
      <w:r>
        <w:tab/>
      </w:r>
      <w:proofErr w:type="gramStart"/>
      <w:r>
        <w:t>A</w:t>
      </w:r>
      <w:r w:rsidRPr="00134E73">
        <w:t>n</w:t>
      </w:r>
      <w:proofErr w:type="gramEnd"/>
      <w:r w:rsidRPr="00134E73">
        <w:t xml:space="preserve"> overview of potential modalities for integrating HCFC phase</w:t>
      </w:r>
      <w:r w:rsidRPr="00134E73">
        <w:noBreakHyphen/>
        <w:t>out and HFC phase</w:t>
      </w:r>
      <w:r>
        <w:noBreakHyphen/>
      </w:r>
      <w:r w:rsidRPr="00134E73">
        <w:t>down activities in the refrigeration servicing sect</w:t>
      </w:r>
      <w:r>
        <w:t>or</w:t>
      </w:r>
    </w:p>
    <w:p w:rsidR="006B0396" w:rsidRPr="00EF1860" w:rsidRDefault="006B0396" w:rsidP="006B0396">
      <w:pPr>
        <w:pStyle w:val="Heading3"/>
        <w:numPr>
          <w:ilvl w:val="0"/>
          <w:numId w:val="0"/>
        </w:numPr>
        <w:ind w:left="1440" w:hanging="720"/>
        <w:rPr>
          <w:b/>
        </w:rPr>
      </w:pPr>
      <w:r w:rsidRPr="00134E73">
        <w:rPr>
          <w:b/>
        </w:rPr>
        <w:t>II:</w:t>
      </w:r>
      <w:r w:rsidRPr="00134E73">
        <w:rPr>
          <w:b/>
        </w:rPr>
        <w:tab/>
      </w:r>
      <w:r>
        <w:rPr>
          <w:b/>
        </w:rPr>
        <w:t>G</w:t>
      </w:r>
      <w:r w:rsidRPr="00134E73">
        <w:rPr>
          <w:b/>
        </w:rPr>
        <w:t xml:space="preserve">uidelines for the preparation of </w:t>
      </w:r>
      <w:r>
        <w:rPr>
          <w:b/>
        </w:rPr>
        <w:t xml:space="preserve">the </w:t>
      </w:r>
      <w:r w:rsidRPr="00134E73">
        <w:rPr>
          <w:b/>
        </w:rPr>
        <w:t>K</w:t>
      </w:r>
      <w:r>
        <w:rPr>
          <w:b/>
        </w:rPr>
        <w:t>igali Implementation Plans</w:t>
      </w:r>
      <w:r w:rsidRPr="00134E73">
        <w:rPr>
          <w:b/>
        </w:rPr>
        <w:t xml:space="preserve"> for Article 5 countries</w:t>
      </w:r>
      <w:r w:rsidRPr="00EF1860">
        <w:rPr>
          <w:b/>
        </w:rPr>
        <w:t xml:space="preserve"> </w:t>
      </w:r>
      <w:r>
        <w:rPr>
          <w:b/>
        </w:rPr>
        <w:t>(d</w:t>
      </w:r>
      <w:r w:rsidRPr="00134E73">
        <w:rPr>
          <w:b/>
        </w:rPr>
        <w:t>ecision 87/50</w:t>
      </w:r>
      <w:r>
        <w:rPr>
          <w:b/>
        </w:rPr>
        <w:t>)</w:t>
      </w:r>
      <w:r w:rsidRPr="00134E73">
        <w:rPr>
          <w:b/>
        </w:rPr>
        <w:t xml:space="preserve"> </w:t>
      </w:r>
    </w:p>
    <w:p w:rsidR="006B0396" w:rsidRDefault="006B0396" w:rsidP="006B0396">
      <w:pPr>
        <w:pStyle w:val="Heading2"/>
        <w:numPr>
          <w:ilvl w:val="0"/>
          <w:numId w:val="0"/>
        </w:numPr>
        <w:tabs>
          <w:tab w:val="left" w:pos="720"/>
        </w:tabs>
        <w:rPr>
          <w:b/>
        </w:rPr>
      </w:pPr>
      <w:r>
        <w:rPr>
          <w:b/>
        </w:rPr>
        <w:t>Overview of assistance provided under the Multilateral Fund in the refrigeration servicing sector</w:t>
      </w:r>
    </w:p>
    <w:p w:rsidR="006B0396" w:rsidRDefault="006B0396" w:rsidP="006B0396">
      <w:pPr>
        <w:pStyle w:val="Heading1"/>
        <w:numPr>
          <w:ilvl w:val="0"/>
          <w:numId w:val="22"/>
        </w:numPr>
      </w:pPr>
      <w:r>
        <w:t xml:space="preserve">Since its inception, the Multilateral Fund has provided assistance to Article 5 countries to phase out the controlled substances used in the refrigeration servicing sector. </w:t>
      </w:r>
    </w:p>
    <w:p w:rsidR="006B0396" w:rsidRDefault="006B0396" w:rsidP="006B0396">
      <w:pPr>
        <w:rPr>
          <w:u w:val="single"/>
        </w:rPr>
      </w:pPr>
      <w:r>
        <w:rPr>
          <w:u w:val="single"/>
        </w:rPr>
        <w:t>Funding levels and modalities for CFC phase-out in the refrigeration servicing sector</w:t>
      </w:r>
    </w:p>
    <w:p w:rsidR="006B0396" w:rsidRDefault="006B0396" w:rsidP="006B0396"/>
    <w:p w:rsidR="006B0396" w:rsidRDefault="006B0396" w:rsidP="006B0396">
      <w:pPr>
        <w:pStyle w:val="Heading1"/>
        <w:numPr>
          <w:ilvl w:val="0"/>
          <w:numId w:val="22"/>
        </w:numPr>
      </w:pPr>
      <w:r>
        <w:t>The assistance was initially provided to implement stand-alone projects (e.g. drafting regulations to support the phase-out of CFCs, training to custom/enforcement officers, training of refrigeration technicians in good servicing practices; distribution of tools and equipment for technicians, refrigerant recovery and recycling schemes), without an overarching strategy and outside a management plan. The funding levels were approved on a case-by-case basis based on the project proposals submitted.</w:t>
      </w:r>
    </w:p>
    <w:p w:rsidR="006B0396" w:rsidRDefault="006B0396" w:rsidP="006B0396">
      <w:pPr>
        <w:pStyle w:val="Heading1"/>
        <w:numPr>
          <w:ilvl w:val="0"/>
          <w:numId w:val="22"/>
        </w:numPr>
      </w:pPr>
      <w:r>
        <w:t>As the CFC phase-out progressed, the stand-alone projects were subsumed into a holistic funding plan applicable to LVC countries: a refrigerant management plan (RMP). The RMP was a country</w:t>
      </w:r>
      <w:r>
        <w:noBreakHyphen/>
        <w:t>driven approach that allowed flexibility on the implementation of activities that would enable the relevant country to meet its compliance obligations under the Montreal Protocol. Subsequently, countries could submit an RMP update to achieve 50 per cent and 85 per cent reductions from the CFC consumption baseline in 2005 and 2007, respectively. Finally, to achieve the complete phase</w:t>
      </w:r>
      <w:r>
        <w:noBreakHyphen/>
        <w:t>out of CFCs, terminal phase</w:t>
      </w:r>
      <w:r>
        <w:noBreakHyphen/>
        <w:t>out management plans (TPMPs) were developed for LVC countries and national phase-out plans (NPPs) for non</w:t>
      </w:r>
      <w:r>
        <w:noBreakHyphen/>
        <w:t>LVC countries, as performance-based agreements following the country</w:t>
      </w:r>
      <w:r>
        <w:noBreakHyphen/>
        <w:t xml:space="preserve">driven approach. Funding for these plans was provided in tranches upon verification of compliance with specific consumption targets. </w:t>
      </w:r>
    </w:p>
    <w:p w:rsidR="006B0396" w:rsidRDefault="006B0396" w:rsidP="006B0396">
      <w:pPr>
        <w:pStyle w:val="Heading1"/>
        <w:widowControl w:val="0"/>
        <w:numPr>
          <w:ilvl w:val="0"/>
          <w:numId w:val="22"/>
        </w:numPr>
      </w:pPr>
      <w:r>
        <w:t>The funding levels for RMP updates, TPMPs and NPPs were pre</w:t>
      </w:r>
      <w:r>
        <w:noBreakHyphen/>
        <w:t>determined by the Executive Committee, rather than allocated on a case-by-case basis, and are summarized in Table 1.</w:t>
      </w:r>
      <w:r>
        <w:rPr>
          <w:sz w:val="18"/>
          <w:szCs w:val="18"/>
        </w:rPr>
        <w:t xml:space="preserve"> </w:t>
      </w:r>
    </w:p>
    <w:p w:rsidR="006B0396" w:rsidRDefault="006B0396" w:rsidP="006B0396">
      <w:pPr>
        <w:pStyle w:val="Heading1"/>
        <w:numPr>
          <w:ilvl w:val="0"/>
          <w:numId w:val="0"/>
        </w:numPr>
        <w:tabs>
          <w:tab w:val="left" w:pos="720"/>
        </w:tabs>
        <w:spacing w:after="0"/>
        <w:rPr>
          <w:b/>
        </w:rPr>
      </w:pPr>
      <w:r>
        <w:rPr>
          <w:b/>
        </w:rPr>
        <w:t xml:space="preserve">Table 1. Level and modalities of funds approved in the refrigeration servicing sector </w:t>
      </w:r>
    </w:p>
    <w:tbl>
      <w:tblPr>
        <w:tblStyle w:val="TableGrid"/>
        <w:tblW w:w="5050" w:type="pct"/>
        <w:tblLook w:val="04A0" w:firstRow="1" w:lastRow="0" w:firstColumn="1" w:lastColumn="0" w:noHBand="0" w:noVBand="1"/>
      </w:tblPr>
      <w:tblGrid>
        <w:gridCol w:w="1422"/>
        <w:gridCol w:w="860"/>
        <w:gridCol w:w="951"/>
        <w:gridCol w:w="1920"/>
        <w:gridCol w:w="2243"/>
        <w:gridCol w:w="2048"/>
      </w:tblGrid>
      <w:tr w:rsidR="006B0396" w:rsidTr="004426BD">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Modality</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Years used</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Target countries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Modality of funding</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Level of funding</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Commitment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Stand-alone</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1993 to 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LVC and non-LVC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 xml:space="preserve">Based on incremental cost of specific activities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Reduce a specific tonnage of CFC consumption proposed in the project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RMP</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1997 to 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Based on incremental cost of specific activities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Reduce a specific tonnage of CFC consumption proposed in the project, supported by a policy and regulatory framework, with phase</w:t>
            </w:r>
            <w:r>
              <w:rPr>
                <w:sz w:val="20"/>
                <w:szCs w:val="20"/>
              </w:rPr>
              <w:noBreakHyphen/>
              <w:t>out activities</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RMP update (decision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2001 to 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 xml:space="preserve">An increase to the funds approved for the RMP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Up to 50 per cent of the RMP approved value</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To achieve the 50 per cent (2005) and 85 per cent (2007) reduction CFC phase</w:t>
            </w:r>
            <w:r>
              <w:rPr>
                <w:sz w:val="20"/>
                <w:szCs w:val="20"/>
              </w:rPr>
              <w:noBreakHyphen/>
              <w:t>out targets</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lastRenderedPageBreak/>
              <w:t>TPMP (decision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2005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Funding based on CFC consumption baseline</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6B0396" w:rsidRDefault="006B0396" w:rsidP="004426BD">
            <w:pPr>
              <w:jc w:val="left"/>
              <w:rPr>
                <w:sz w:val="20"/>
                <w:szCs w:val="20"/>
              </w:rPr>
            </w:pPr>
            <w:r>
              <w:rPr>
                <w:sz w:val="20"/>
                <w:szCs w:val="20"/>
              </w:rPr>
              <w:t>Below 15 </w:t>
            </w:r>
            <w:proofErr w:type="spellStart"/>
            <w:r>
              <w:rPr>
                <w:sz w:val="20"/>
                <w:szCs w:val="20"/>
              </w:rPr>
              <w:t>mt</w:t>
            </w:r>
            <w:proofErr w:type="spellEnd"/>
            <w:r>
              <w:rPr>
                <w:sz w:val="20"/>
                <w:szCs w:val="20"/>
              </w:rPr>
              <w:t>: US $205,000</w:t>
            </w:r>
          </w:p>
          <w:p w:rsidR="006B0396" w:rsidRDefault="006B0396" w:rsidP="004426BD">
            <w:pPr>
              <w:jc w:val="left"/>
              <w:rPr>
                <w:sz w:val="20"/>
                <w:szCs w:val="20"/>
              </w:rPr>
            </w:pPr>
            <w:r>
              <w:rPr>
                <w:sz w:val="20"/>
                <w:szCs w:val="20"/>
              </w:rPr>
              <w:t>15 to 30 </w:t>
            </w:r>
            <w:proofErr w:type="spellStart"/>
            <w:r>
              <w:rPr>
                <w:sz w:val="20"/>
                <w:szCs w:val="20"/>
              </w:rPr>
              <w:t>mt</w:t>
            </w:r>
            <w:proofErr w:type="spellEnd"/>
            <w:r>
              <w:rPr>
                <w:sz w:val="20"/>
                <w:szCs w:val="20"/>
              </w:rPr>
              <w:t>: US $295,000</w:t>
            </w:r>
          </w:p>
          <w:p w:rsidR="006B0396" w:rsidRDefault="006B0396" w:rsidP="004426BD">
            <w:pPr>
              <w:jc w:val="left"/>
              <w:rPr>
                <w:sz w:val="20"/>
                <w:szCs w:val="20"/>
              </w:rPr>
            </w:pPr>
            <w:r>
              <w:rPr>
                <w:sz w:val="20"/>
                <w:szCs w:val="20"/>
              </w:rPr>
              <w:t>30 to 60 </w:t>
            </w:r>
            <w:proofErr w:type="spellStart"/>
            <w:r>
              <w:rPr>
                <w:sz w:val="20"/>
                <w:szCs w:val="20"/>
              </w:rPr>
              <w:t>mt</w:t>
            </w:r>
            <w:proofErr w:type="spellEnd"/>
            <w:r>
              <w:rPr>
                <w:sz w:val="20"/>
                <w:szCs w:val="20"/>
              </w:rPr>
              <w:t>: US $345,000</w:t>
            </w:r>
          </w:p>
          <w:p w:rsidR="006B0396" w:rsidRDefault="006B0396" w:rsidP="004426BD">
            <w:pPr>
              <w:jc w:val="left"/>
              <w:rPr>
                <w:sz w:val="20"/>
                <w:szCs w:val="20"/>
              </w:rPr>
            </w:pPr>
            <w:r>
              <w:rPr>
                <w:sz w:val="20"/>
                <w:szCs w:val="20"/>
              </w:rPr>
              <w:t>60 to 120 </w:t>
            </w:r>
            <w:proofErr w:type="spellStart"/>
            <w:r>
              <w:rPr>
                <w:sz w:val="20"/>
                <w:szCs w:val="20"/>
              </w:rPr>
              <w:t>mt</w:t>
            </w:r>
            <w:proofErr w:type="spellEnd"/>
            <w:r>
              <w:rPr>
                <w:sz w:val="20"/>
                <w:szCs w:val="20"/>
              </w:rPr>
              <w:t>: US $520,000</w:t>
            </w:r>
          </w:p>
          <w:p w:rsidR="006B0396" w:rsidRDefault="006B0396" w:rsidP="004426BD">
            <w:pPr>
              <w:jc w:val="left"/>
              <w:rPr>
                <w:sz w:val="20"/>
                <w:szCs w:val="20"/>
              </w:rPr>
            </w:pPr>
            <w:r>
              <w:rPr>
                <w:sz w:val="20"/>
                <w:szCs w:val="20"/>
              </w:rPr>
              <w:t>Over 120 </w:t>
            </w:r>
            <w:proofErr w:type="spellStart"/>
            <w:r>
              <w:rPr>
                <w:sz w:val="20"/>
                <w:szCs w:val="20"/>
              </w:rPr>
              <w:t>mt</w:t>
            </w:r>
            <w:proofErr w:type="spellEnd"/>
            <w:r>
              <w:rPr>
                <w:sz w:val="20"/>
                <w:szCs w:val="20"/>
              </w:rPr>
              <w:t>: US $565,000</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Performance-based; annual targets up to total CFC phase-out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NPP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2003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Fixed cost</w:t>
            </w:r>
            <w:r>
              <w:rPr>
                <w:sz w:val="20"/>
                <w:szCs w:val="20"/>
              </w:rPr>
              <w:noBreakHyphen/>
              <w:t xml:space="preserve">effectiveness threshold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US $5.00/kg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Performance-based; total CFC phase-out</w:t>
            </w:r>
          </w:p>
        </w:tc>
      </w:tr>
    </w:tbl>
    <w:p w:rsidR="006B0396" w:rsidRDefault="006B0396" w:rsidP="006B0396">
      <w:pPr>
        <w:outlineLvl w:val="0"/>
        <w:rPr>
          <w:u w:val="single"/>
        </w:rPr>
      </w:pPr>
    </w:p>
    <w:p w:rsidR="006B0396" w:rsidRDefault="006B0396" w:rsidP="006B0396">
      <w:pPr>
        <w:rPr>
          <w:u w:val="single"/>
        </w:rPr>
      </w:pPr>
      <w:r>
        <w:rPr>
          <w:u w:val="single"/>
        </w:rPr>
        <w:t>Funding levels and modalities for HCFC phase-out in the refrigeration servicing sector</w:t>
      </w:r>
    </w:p>
    <w:p w:rsidR="006B0396" w:rsidRDefault="006B0396" w:rsidP="006B0396">
      <w:pPr>
        <w:outlineLvl w:val="0"/>
        <w:rPr>
          <w:u w:val="single"/>
        </w:rPr>
      </w:pPr>
    </w:p>
    <w:p w:rsidR="006B0396" w:rsidRDefault="006B0396" w:rsidP="006B0396">
      <w:pPr>
        <w:pStyle w:val="Heading1"/>
        <w:numPr>
          <w:ilvl w:val="0"/>
          <w:numId w:val="22"/>
        </w:numPr>
      </w:pPr>
      <w:r>
        <w:t xml:space="preserve">The HCFC phase-out followed a similar approach to that used for the TPMPs and NPPs with the sole difference that the phase-out of HCFCs followed a staged approach, with each stage governed by a separate performance-based agreement and with specific cost guidelines. </w:t>
      </w:r>
    </w:p>
    <w:p w:rsidR="006B0396" w:rsidRDefault="006B0396" w:rsidP="006B0396">
      <w:pPr>
        <w:pStyle w:val="Heading1"/>
        <w:numPr>
          <w:ilvl w:val="0"/>
          <w:numId w:val="22"/>
        </w:numPr>
      </w:pPr>
      <w:r>
        <w:t>The funding levels and modalities for the phase</w:t>
      </w:r>
      <w:r>
        <w:noBreakHyphen/>
        <w:t>out of HCFCs in the refrigeration servicing sector were determined by decision 60/44 for stage I of the HPMPs, and decision 74/50 for stage II of the HPMPs. In line with these decisions:</w:t>
      </w:r>
    </w:p>
    <w:p w:rsidR="006B0396" w:rsidRDefault="006B0396" w:rsidP="006B0396">
      <w:pPr>
        <w:pStyle w:val="Heading2"/>
        <w:keepNext/>
        <w:widowControl/>
        <w:numPr>
          <w:ilvl w:val="1"/>
          <w:numId w:val="22"/>
        </w:numPr>
      </w:pPr>
      <w:r>
        <w:t>Funding levels for LVC countries (i.e., countries with HCFC consumption below 360 metric tonnes (</w:t>
      </w:r>
      <w:proofErr w:type="spellStart"/>
      <w:r>
        <w:t>mt</w:t>
      </w:r>
      <w:proofErr w:type="spellEnd"/>
      <w:r>
        <w:t>) in the refrigeration servicing sector only) were agreed based on the HCFC baseline for compliance as shown in Table 2; and</w:t>
      </w:r>
    </w:p>
    <w:p w:rsidR="006B0396" w:rsidRDefault="006B0396" w:rsidP="006B0396">
      <w:pPr>
        <w:pStyle w:val="Heading2"/>
        <w:numPr>
          <w:ilvl w:val="1"/>
          <w:numId w:val="22"/>
        </w:numPr>
      </w:pPr>
      <w:r>
        <w:t>Funding for non-LVC countries was agreed at US $4.50/metric kg for stage I and US $4.80/metric kg for stage II.</w:t>
      </w:r>
    </w:p>
    <w:p w:rsidR="006B0396" w:rsidRDefault="006B0396" w:rsidP="006B0396">
      <w:pPr>
        <w:keepNext/>
        <w:outlineLvl w:val="0"/>
      </w:pPr>
      <w:r>
        <w:rPr>
          <w:b/>
        </w:rPr>
        <w:t>Table 2. Funding for HCFC phase-out in the refrigeration servicing sector for LVC countries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6B0396" w:rsidTr="004426BD">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6B0396" w:rsidRDefault="006B0396" w:rsidP="004426BD">
            <w:pPr>
              <w:widowControl w:val="0"/>
              <w:jc w:val="center"/>
              <w:rPr>
                <w:b/>
                <w:color w:val="000000" w:themeColor="text1"/>
                <w:sz w:val="20"/>
                <w:szCs w:val="20"/>
              </w:rPr>
            </w:pPr>
            <w:r>
              <w:rPr>
                <w:b/>
                <w:color w:val="000000" w:themeColor="text1"/>
                <w:sz w:val="20"/>
                <w:szCs w:val="20"/>
              </w:rPr>
              <w:t>HCFC baseline (</w:t>
            </w:r>
            <w:proofErr w:type="spellStart"/>
            <w:r>
              <w:rPr>
                <w:b/>
                <w:color w:val="000000" w:themeColor="text1"/>
                <w:sz w:val="20"/>
                <w:szCs w:val="20"/>
              </w:rPr>
              <w:t>mt</w:t>
            </w:r>
            <w:proofErr w:type="spellEnd"/>
            <w:r>
              <w:rPr>
                <w:b/>
                <w:color w:val="000000" w:themeColor="text1"/>
                <w:sz w:val="20"/>
                <w:szCs w:val="20"/>
              </w:rPr>
              <w:t>)</w:t>
            </w:r>
          </w:p>
          <w:p w:rsidR="006B0396" w:rsidRDefault="006B0396" w:rsidP="004426BD">
            <w:pPr>
              <w:widowControl w:val="0"/>
              <w:jc w:val="center"/>
              <w:rPr>
                <w:b/>
                <w:color w:val="000000" w:themeColor="text1"/>
                <w:sz w:val="20"/>
                <w:szCs w:val="20"/>
              </w:rPr>
            </w:pPr>
            <w:r>
              <w:rPr>
                <w:b/>
                <w:color w:val="000000" w:themeColor="text1"/>
                <w:sz w:val="20"/>
                <w:szCs w:val="20"/>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Funding (US $)</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No. of countries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6B0396" w:rsidRDefault="006B0396" w:rsidP="004426BD">
            <w:pPr>
              <w:keepNext/>
              <w:jc w:val="center"/>
              <w:rPr>
                <w:b/>
                <w:color w:val="000000"/>
                <w:sz w:val="20"/>
                <w:szCs w:val="20"/>
              </w:rPr>
            </w:pPr>
            <w:r>
              <w:rPr>
                <w:b/>
                <w:color w:val="000000"/>
                <w:sz w:val="20"/>
                <w:szCs w:val="20"/>
              </w:rPr>
              <w:t>Consumption (</w:t>
            </w:r>
            <w:proofErr w:type="spellStart"/>
            <w:r>
              <w:rPr>
                <w:b/>
                <w:color w:val="000000"/>
                <w:sz w:val="20"/>
                <w:szCs w:val="20"/>
              </w:rPr>
              <w:t>mt</w:t>
            </w:r>
            <w:proofErr w:type="spellEnd"/>
            <w:r>
              <w:rPr>
                <w:b/>
                <w:color w:val="000000"/>
                <w:sz w:val="20"/>
                <w:szCs w:val="20"/>
              </w:rPr>
              <w:t>)</w:t>
            </w:r>
          </w:p>
          <w:p w:rsidR="006B0396" w:rsidRDefault="006B0396" w:rsidP="004426BD">
            <w:pPr>
              <w:keepNext/>
              <w:jc w:val="center"/>
              <w:rPr>
                <w:b/>
                <w:color w:val="000000"/>
                <w:sz w:val="20"/>
                <w:szCs w:val="20"/>
              </w:rPr>
            </w:pPr>
            <w:r>
              <w:rPr>
                <w:b/>
                <w:color w:val="000000"/>
                <w:sz w:val="20"/>
                <w:szCs w:val="20"/>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Estimated cost (US $)</w:t>
            </w:r>
          </w:p>
        </w:tc>
      </w:tr>
      <w:tr w:rsidR="006B0396" w:rsidTr="004426BD">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Up to 2020 (35% reduction)</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Up to 2025 (67.5% reduction</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Total HCFC phase-out</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c>
          <w:tcPr>
            <w:tcW w:w="1337" w:type="dxa"/>
            <w:vMerge/>
            <w:tcBorders>
              <w:top w:val="single" w:sz="4" w:space="0" w:color="auto"/>
              <w:left w:val="nil"/>
              <w:bottom w:val="single" w:sz="4" w:space="0" w:color="auto"/>
              <w:right w:val="nil"/>
            </w:tcBorders>
            <w:vAlign w:val="center"/>
            <w:hideMark/>
          </w:tcPr>
          <w:p w:rsidR="006B0396" w:rsidRDefault="006B0396" w:rsidP="004426BD">
            <w:pPr>
              <w:jc w:val="left"/>
              <w:rPr>
                <w:b/>
                <w:color w:val="000000"/>
                <w:sz w:val="20"/>
                <w:szCs w:val="20"/>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12,337,500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12,750,000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10,400,000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9,000,000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8,550,000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3,000,000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19,200,000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3,600,000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Pr="0009550D" w:rsidRDefault="006B0396" w:rsidP="004426BD">
            <w:pPr>
              <w:widowControl w:val="0"/>
              <w:rPr>
                <w:b/>
                <w:color w:val="000000" w:themeColor="text1"/>
                <w:sz w:val="20"/>
                <w:szCs w:val="20"/>
              </w:rPr>
            </w:pPr>
            <w:r w:rsidRPr="0009550D">
              <w:rPr>
                <w:b/>
                <w:color w:val="000000" w:themeColor="text1"/>
                <w:sz w:val="20"/>
                <w:szCs w:val="20"/>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sz w:val="20"/>
                <w:szCs w:val="20"/>
              </w:rPr>
            </w:pPr>
            <w:r w:rsidRPr="0009550D">
              <w:rPr>
                <w:b/>
                <w:color w:val="000000"/>
                <w:sz w:val="20"/>
                <w:szCs w:val="20"/>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sz w:val="20"/>
                <w:szCs w:val="20"/>
              </w:rPr>
            </w:pPr>
            <w:r>
              <w:rPr>
                <w:b/>
                <w:color w:val="000000"/>
                <w:sz w:val="20"/>
                <w:szCs w:val="20"/>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themeColor="text1"/>
                <w:sz w:val="20"/>
                <w:szCs w:val="20"/>
              </w:rPr>
            </w:pPr>
            <w:r w:rsidRPr="0009550D">
              <w:rPr>
                <w:b/>
                <w:color w:val="000000"/>
                <w:sz w:val="20"/>
                <w:szCs w:val="20"/>
              </w:rPr>
              <w:t>78,837,500</w:t>
            </w:r>
          </w:p>
        </w:tc>
      </w:tr>
    </w:tbl>
    <w:p w:rsidR="006B0396" w:rsidRDefault="006B0396" w:rsidP="006B0396">
      <w:pPr>
        <w:rPr>
          <w:sz w:val="19"/>
          <w:szCs w:val="19"/>
        </w:rPr>
      </w:pPr>
      <w:r>
        <w:rPr>
          <w:sz w:val="19"/>
          <w:szCs w:val="19"/>
        </w:rPr>
        <w:t>* Level of HCFC baseline consumption in the refrigeration servicing sector.</w:t>
      </w:r>
    </w:p>
    <w:p w:rsidR="006B0396" w:rsidRDefault="006B0396" w:rsidP="006B0396">
      <w:pPr>
        <w:rPr>
          <w:sz w:val="19"/>
          <w:szCs w:val="19"/>
        </w:rPr>
      </w:pPr>
      <w:r>
        <w:rPr>
          <w:sz w:val="19"/>
          <w:szCs w:val="19"/>
        </w:rPr>
        <w:t>** Estimated consumption calculated as the average consumption in each group of countries multiplied by the number of countries in that group.</w:t>
      </w:r>
    </w:p>
    <w:p w:rsidR="006B0396" w:rsidRDefault="006B0396" w:rsidP="006B0396"/>
    <w:p w:rsidR="006B0396" w:rsidRPr="00427339" w:rsidRDefault="006B0396" w:rsidP="006B0396">
      <w:pPr>
        <w:pStyle w:val="Heading1"/>
        <w:numPr>
          <w:ilvl w:val="0"/>
          <w:numId w:val="22"/>
        </w:numPr>
      </w:pPr>
      <w:r>
        <w:t xml:space="preserve">Since </w:t>
      </w:r>
      <w:r w:rsidRPr="00427339">
        <w:t>the approval of the first HPMP at the 60</w:t>
      </w:r>
      <w:r w:rsidRPr="00427339">
        <w:rPr>
          <w:vertAlign w:val="superscript"/>
        </w:rPr>
        <w:t>th</w:t>
      </w:r>
      <w:r w:rsidRPr="00427339">
        <w:t xml:space="preserve"> meeting, the Executive Committee has approved stages I, II and III of HPMPs for 145, 84 and three Article 5 countries, respectively. An additional 43 countries are preparing stages II or III that will be submitted in future meetings. Implementation of the already approved HPMPs will result in the phase</w:t>
      </w:r>
      <w:r w:rsidRPr="00427339">
        <w:noBreakHyphen/>
        <w:t xml:space="preserve">out of approximately 72 per cent of the starting point for </w:t>
      </w:r>
      <w:r w:rsidRPr="00427339">
        <w:lastRenderedPageBreak/>
        <w:t>aggregate reduction of HCFC consumption, and 86 per cent of the consumption of HCFC-141b contained in imported pre-blended polyols.</w:t>
      </w:r>
      <w:r w:rsidRPr="00427339">
        <w:rPr>
          <w:rStyle w:val="FootnoteReference"/>
        </w:rPr>
        <w:footnoteReference w:id="19"/>
      </w:r>
    </w:p>
    <w:p w:rsidR="006B0396" w:rsidRDefault="006B0396" w:rsidP="006B0396">
      <w:pPr>
        <w:pStyle w:val="Heading1"/>
        <w:widowControl w:val="0"/>
        <w:numPr>
          <w:ilvl w:val="0"/>
          <w:numId w:val="22"/>
        </w:numPr>
      </w:pPr>
      <w:r w:rsidRPr="00427339">
        <w:t>The total funding that has been approved in principle for the phase</w:t>
      </w:r>
      <w:r w:rsidRPr="00427339">
        <w:noBreakHyphen/>
        <w:t>out of HCFCs in the refrigeration servicing sector amounts to approximately US $202.2 million (including US $24.0 million for</w:t>
      </w:r>
      <w:r>
        <w:t xml:space="preserve"> one country). An additional </w:t>
      </w:r>
      <w:r w:rsidRPr="00EF1860">
        <w:t>amount of up to US $572.8 million (including up to US</w:t>
      </w:r>
      <w:r>
        <w:t> $155.7 million for one country) remains to be approved, noting that this amount might be lower after considering the funding eligibility of the remaining HCFC consumption in non-LVC countries, as funding is subject to the actual level of consumption at the time those countries submit the last stage of their HPMPs. The Secretariat notes that HCFC-22 consumption in a number of countries is decreasing faster than expected. Table 3 summarizes the funding available for phasing out HCFC in the servicing sector, based on the funding levels agreed in decision 74/50.</w:t>
      </w:r>
    </w:p>
    <w:p w:rsidR="006B0396" w:rsidRPr="00A745CF" w:rsidRDefault="006B0396" w:rsidP="006B0396">
      <w:pPr>
        <w:keepNext/>
        <w:rPr>
          <w:b/>
        </w:rPr>
      </w:pPr>
      <w:r w:rsidRPr="00A745CF">
        <w:rPr>
          <w:b/>
        </w:rPr>
        <w:t>Table 3. Funding for the phase</w:t>
      </w:r>
      <w:r w:rsidRPr="00A745CF">
        <w:rPr>
          <w:b/>
        </w:rPr>
        <w:noBreakHyphen/>
        <w:t xml:space="preserve">out of HCFCs in the refrigeration servicing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833"/>
        <w:gridCol w:w="2833"/>
      </w:tblGrid>
      <w:tr w:rsidR="006B0396" w:rsidTr="004426BD">
        <w:tc>
          <w:tcPr>
            <w:tcW w:w="624"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bCs/>
                <w:color w:val="000000"/>
                <w:sz w:val="20"/>
                <w:szCs w:val="20"/>
              </w:rPr>
            </w:pPr>
            <w:r>
              <w:rPr>
                <w:b/>
                <w:bCs/>
                <w:color w:val="000000"/>
                <w:sz w:val="20"/>
                <w:szCs w:val="20"/>
              </w:rPr>
              <w:t>Countries</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Number of countries</w:t>
            </w: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Baseline servicing sector (</w:t>
            </w:r>
            <w:proofErr w:type="spellStart"/>
            <w:r>
              <w:rPr>
                <w:b/>
                <w:bCs/>
                <w:color w:val="000000"/>
                <w:sz w:val="20"/>
                <w:szCs w:val="20"/>
              </w:rPr>
              <w:t>mt</w:t>
            </w:r>
            <w:proofErr w:type="spellEnd"/>
            <w:r>
              <w:rPr>
                <w:b/>
                <w:bCs/>
                <w:color w:val="000000"/>
                <w:sz w:val="20"/>
                <w:szCs w:val="20"/>
              </w:rPr>
              <w:t>)*</w:t>
            </w:r>
          </w:p>
        </w:tc>
        <w:tc>
          <w:tcPr>
            <w:tcW w:w="3030" w:type="pct"/>
            <w:gridSpan w:val="2"/>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Total funding (US $)</w:t>
            </w:r>
          </w:p>
        </w:tc>
      </w:tr>
      <w:tr w:rsidR="006B0396" w:rsidTr="004426BD">
        <w:tc>
          <w:tcPr>
            <w:tcW w:w="624"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bCs/>
                <w:color w:val="000000"/>
                <w:sz w:val="20"/>
                <w:szCs w:val="20"/>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p>
        </w:tc>
        <w:tc>
          <w:tcPr>
            <w:tcW w:w="1515" w:type="pct"/>
            <w:tcBorders>
              <w:top w:val="single" w:sz="4" w:space="0" w:color="auto"/>
              <w:left w:val="single" w:sz="4" w:space="0" w:color="auto"/>
              <w:bottom w:val="single" w:sz="4" w:space="0" w:color="auto"/>
              <w:right w:val="single" w:sz="4" w:space="0" w:color="auto"/>
            </w:tcBorders>
            <w:vAlign w:val="center"/>
          </w:tcPr>
          <w:p w:rsidR="006B0396" w:rsidRPr="002E7B29" w:rsidRDefault="006B0396" w:rsidP="004426BD">
            <w:pPr>
              <w:jc w:val="center"/>
              <w:rPr>
                <w:b/>
                <w:bCs/>
                <w:color w:val="000000"/>
                <w:sz w:val="20"/>
                <w:szCs w:val="20"/>
              </w:rPr>
            </w:pPr>
            <w:r w:rsidRPr="002E7B29">
              <w:rPr>
                <w:b/>
                <w:bCs/>
                <w:color w:val="000000"/>
                <w:sz w:val="20"/>
                <w:szCs w:val="20"/>
              </w:rPr>
              <w:t>Approved in principle as of the 87</w:t>
            </w:r>
            <w:r w:rsidRPr="002E7B29">
              <w:rPr>
                <w:b/>
                <w:bCs/>
                <w:color w:val="000000"/>
                <w:sz w:val="20"/>
                <w:szCs w:val="20"/>
                <w:vertAlign w:val="superscript"/>
              </w:rPr>
              <w:t>th</w:t>
            </w:r>
            <w:r w:rsidRPr="002E7B29">
              <w:rPr>
                <w:b/>
                <w:bCs/>
                <w:color w:val="000000"/>
                <w:sz w:val="20"/>
                <w:szCs w:val="20"/>
              </w:rPr>
              <w:t xml:space="preserve"> meeting**</w:t>
            </w:r>
          </w:p>
        </w:tc>
        <w:tc>
          <w:tcPr>
            <w:tcW w:w="1515" w:type="pct"/>
            <w:tcBorders>
              <w:top w:val="single" w:sz="4" w:space="0" w:color="auto"/>
              <w:left w:val="single" w:sz="4" w:space="0" w:color="auto"/>
              <w:bottom w:val="single" w:sz="4" w:space="0" w:color="auto"/>
              <w:right w:val="single" w:sz="4" w:space="0" w:color="auto"/>
            </w:tcBorders>
            <w:vAlign w:val="center"/>
            <w:hideMark/>
          </w:tcPr>
          <w:p w:rsidR="006B0396" w:rsidRPr="002E7B29" w:rsidRDefault="006B0396" w:rsidP="004426BD">
            <w:pPr>
              <w:jc w:val="center"/>
              <w:rPr>
                <w:b/>
                <w:bCs/>
                <w:color w:val="000000"/>
                <w:sz w:val="20"/>
                <w:szCs w:val="20"/>
              </w:rPr>
            </w:pPr>
            <w:r w:rsidRPr="002E7B29">
              <w:rPr>
                <w:b/>
                <w:bCs/>
                <w:color w:val="000000"/>
                <w:sz w:val="20"/>
                <w:szCs w:val="20"/>
              </w:rPr>
              <w:t>Still to be approved in principle based on decision 74/50</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jc w:val="left"/>
              <w:rPr>
                <w:color w:val="000000"/>
                <w:sz w:val="20"/>
                <w:szCs w:val="20"/>
              </w:rPr>
            </w:pPr>
            <w:r>
              <w:rPr>
                <w:color w:val="000000"/>
                <w:sz w:val="20"/>
                <w:szCs w:val="20"/>
              </w:rPr>
              <w:t>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9,427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color w:val="000000"/>
                <w:sz w:val="20"/>
                <w:szCs w:val="20"/>
              </w:rPr>
            </w:pPr>
            <w:r w:rsidRPr="002E7B29">
              <w:rPr>
                <w:color w:val="000000"/>
                <w:sz w:val="20"/>
                <w:szCs w:val="20"/>
              </w:rPr>
              <w:t xml:space="preserve"> 56,504,133</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color w:val="000000"/>
                <w:sz w:val="20"/>
                <w:szCs w:val="20"/>
              </w:rPr>
            </w:pPr>
            <w:r w:rsidRPr="002E7B29">
              <w:rPr>
                <w:color w:val="000000"/>
                <w:sz w:val="20"/>
                <w:szCs w:val="20"/>
              </w:rPr>
              <w:t>21,302,011</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rPr>
                <w:color w:val="000000"/>
                <w:sz w:val="20"/>
                <w:szCs w:val="20"/>
              </w:rPr>
            </w:pPr>
            <w:r>
              <w:rPr>
                <w:color w:val="000000"/>
                <w:sz w:val="20"/>
                <w:szCs w:val="20"/>
              </w:rPr>
              <w:t>Non-LVC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189,164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color w:val="000000"/>
                <w:sz w:val="20"/>
                <w:szCs w:val="20"/>
              </w:rPr>
            </w:pPr>
            <w:r w:rsidRPr="002E7B29">
              <w:rPr>
                <w:color w:val="000000"/>
                <w:sz w:val="20"/>
                <w:szCs w:val="20"/>
              </w:rPr>
              <w:t>*** 145,668,668</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color w:val="000000"/>
                <w:sz w:val="20"/>
                <w:szCs w:val="20"/>
              </w:rPr>
            </w:pPr>
            <w:r w:rsidRPr="002E7B29">
              <w:rPr>
                <w:color w:val="000000"/>
                <w:sz w:val="20"/>
                <w:szCs w:val="20"/>
              </w:rPr>
              <w:t>****551,450,782</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rPr>
                <w:b/>
                <w:bCs/>
                <w:color w:val="000000"/>
                <w:sz w:val="20"/>
                <w:szCs w:val="20"/>
              </w:rPr>
            </w:pPr>
            <w:r>
              <w:rPr>
                <w:b/>
                <w:bCs/>
                <w:color w:val="000000"/>
                <w:sz w:val="20"/>
                <w:szCs w:val="20"/>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bCs/>
                <w:color w:val="000000"/>
                <w:sz w:val="20"/>
                <w:szCs w:val="20"/>
              </w:rPr>
            </w:pPr>
            <w:r>
              <w:rPr>
                <w:bCs/>
                <w:color w:val="000000"/>
                <w:sz w:val="20"/>
                <w:szCs w:val="20"/>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bCs/>
                <w:color w:val="000000"/>
                <w:sz w:val="20"/>
                <w:szCs w:val="20"/>
              </w:rPr>
            </w:pPr>
            <w:r>
              <w:rPr>
                <w:bCs/>
                <w:color w:val="000000"/>
                <w:sz w:val="20"/>
                <w:szCs w:val="20"/>
              </w:rPr>
              <w:t>198,591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bCs/>
                <w:color w:val="000000"/>
                <w:sz w:val="20"/>
                <w:szCs w:val="20"/>
              </w:rPr>
            </w:pPr>
            <w:r w:rsidRPr="002E7B29">
              <w:rPr>
                <w:bCs/>
                <w:color w:val="000000"/>
                <w:sz w:val="20"/>
                <w:szCs w:val="20"/>
              </w:rPr>
              <w:t>202,172,801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bCs/>
                <w:color w:val="000000"/>
                <w:sz w:val="20"/>
                <w:szCs w:val="20"/>
              </w:rPr>
            </w:pPr>
            <w:r w:rsidRPr="002E7B29">
              <w:rPr>
                <w:bCs/>
                <w:color w:val="000000"/>
                <w:sz w:val="20"/>
                <w:szCs w:val="20"/>
              </w:rPr>
              <w:t>572,752,793</w:t>
            </w:r>
          </w:p>
        </w:tc>
      </w:tr>
    </w:tbl>
    <w:p w:rsidR="006B0396" w:rsidRDefault="006B0396" w:rsidP="006B0396">
      <w:pPr>
        <w:rPr>
          <w:sz w:val="19"/>
          <w:szCs w:val="19"/>
        </w:rPr>
      </w:pPr>
      <w:r>
        <w:rPr>
          <w:sz w:val="19"/>
          <w:szCs w:val="19"/>
        </w:rPr>
        <w:t>* Portion of the baseline used in the refrigeration servicing sector based on the country programme report.</w:t>
      </w:r>
    </w:p>
    <w:p w:rsidR="006B0396" w:rsidRDefault="006B0396" w:rsidP="006B0396">
      <w:pPr>
        <w:rPr>
          <w:sz w:val="19"/>
          <w:szCs w:val="19"/>
        </w:rPr>
      </w:pPr>
      <w:r>
        <w:rPr>
          <w:sz w:val="19"/>
          <w:szCs w:val="19"/>
        </w:rPr>
        <w:t>** While this funding has been approved in principle, it has only been gradually released as tranches are submitted.</w:t>
      </w:r>
    </w:p>
    <w:p w:rsidR="006B0396" w:rsidRDefault="006B0396" w:rsidP="006B0396">
      <w:pPr>
        <w:rPr>
          <w:sz w:val="19"/>
          <w:szCs w:val="19"/>
        </w:rPr>
      </w:pPr>
      <w:r>
        <w:rPr>
          <w:sz w:val="19"/>
          <w:szCs w:val="19"/>
        </w:rPr>
        <w:t>*** Including US $23,982,237 for one Article 5 country.</w:t>
      </w:r>
    </w:p>
    <w:p w:rsidR="006B0396" w:rsidRDefault="006B0396" w:rsidP="006B0396">
      <w:pPr>
        <w:rPr>
          <w:sz w:val="19"/>
          <w:szCs w:val="19"/>
        </w:rPr>
      </w:pPr>
      <w:r>
        <w:rPr>
          <w:sz w:val="19"/>
          <w:szCs w:val="19"/>
        </w:rPr>
        <w:t>**** Including US $155,717,354, for one Article 5 country.</w:t>
      </w:r>
    </w:p>
    <w:p w:rsidR="006B0396" w:rsidRDefault="006B0396" w:rsidP="006B0396"/>
    <w:p w:rsidR="006B0396" w:rsidRDefault="006B0396" w:rsidP="006B0396">
      <w:pPr>
        <w:keepNext/>
        <w:keepLines/>
        <w:widowControl w:val="0"/>
        <w:rPr>
          <w:u w:val="single"/>
        </w:rPr>
      </w:pPr>
      <w:r>
        <w:rPr>
          <w:u w:val="single"/>
        </w:rPr>
        <w:t>Key achievements in the refrigeration servicing sector</w:t>
      </w:r>
    </w:p>
    <w:p w:rsidR="006B0396" w:rsidRDefault="006B0396" w:rsidP="006B0396">
      <w:pPr>
        <w:keepNext/>
        <w:keepLines/>
        <w:widowControl w:val="0"/>
      </w:pPr>
    </w:p>
    <w:p w:rsidR="006B0396" w:rsidRDefault="006B0396" w:rsidP="006B0396">
      <w:pPr>
        <w:pStyle w:val="Heading1"/>
        <w:keepNext/>
        <w:keepLines/>
        <w:widowControl w:val="0"/>
        <w:numPr>
          <w:ilvl w:val="0"/>
          <w:numId w:val="22"/>
        </w:numPr>
        <w:spacing w:after="120"/>
      </w:pPr>
      <w:r>
        <w:t>Through the technical and financial assistance provided to the refrigeration servicing sector, measures have been put in place to ensure the long</w:t>
      </w:r>
      <w:r>
        <w:noBreakHyphen/>
        <w:t>term sustainability of the activities being implemented.</w:t>
      </w:r>
      <w:r>
        <w:rPr>
          <w:rStyle w:val="FootnoteReference"/>
        </w:rPr>
        <w:footnoteReference w:id="20"/>
      </w:r>
      <w:r>
        <w:t xml:space="preserve"> Specifically, Article 5 countries have:</w:t>
      </w:r>
    </w:p>
    <w:p w:rsidR="006B0396" w:rsidRDefault="006B0396" w:rsidP="006B0396">
      <w:pPr>
        <w:pStyle w:val="Heading2"/>
        <w:numPr>
          <w:ilvl w:val="1"/>
          <w:numId w:val="22"/>
        </w:numPr>
      </w:pPr>
      <w:r>
        <w:t xml:space="preserve">Strengthened their national capacity related to customs and law enforcement authorities and their institutes, providing refrigerant identifiers and periodically updating the curricula of the training programmes for customs authorities; </w:t>
      </w:r>
    </w:p>
    <w:p w:rsidR="006B0396" w:rsidRDefault="006B0396" w:rsidP="006B0396">
      <w:pPr>
        <w:pStyle w:val="Heading2"/>
        <w:numPr>
          <w:ilvl w:val="1"/>
          <w:numId w:val="22"/>
        </w:numPr>
      </w:pPr>
      <w:r>
        <w:t>Enhanced their institutional capacity, allowing for training to a large number of refrigeration technicians, providing training equipment and tools to vocational/training institutions, periodically updating the curricula of training programmes, and developing schemes to certify the competency of technicians to implement good servicing practices, in some cases including servicing of equipment using flammable and toxic refrigerants;</w:t>
      </w:r>
    </w:p>
    <w:p w:rsidR="006B0396" w:rsidRDefault="006B0396" w:rsidP="006B0396">
      <w:pPr>
        <w:pStyle w:val="Heading2"/>
        <w:numPr>
          <w:ilvl w:val="1"/>
          <w:numId w:val="22"/>
        </w:numPr>
      </w:pPr>
      <w:r>
        <w:t>Established an infrastructure for recovery, recycling and in some cases, reclamation of refrigerants, mostly focused on HCFC-22; and</w:t>
      </w:r>
    </w:p>
    <w:p w:rsidR="006B0396" w:rsidRDefault="006B0396" w:rsidP="006B0396">
      <w:pPr>
        <w:pStyle w:val="Heading2"/>
        <w:numPr>
          <w:ilvl w:val="1"/>
          <w:numId w:val="22"/>
        </w:numPr>
      </w:pPr>
      <w:r>
        <w:t>Promoted and participated in the development and/or adaptation of codes of good service practices and standards to facilitate the introduction of equipment based on low</w:t>
      </w:r>
      <w:r>
        <w:noBreakHyphen/>
        <w:t>GWP alternative technologies and the management of refrigerants.</w:t>
      </w:r>
    </w:p>
    <w:p w:rsidR="006B0396" w:rsidRDefault="006B0396" w:rsidP="006B0396">
      <w:pPr>
        <w:keepNext/>
        <w:rPr>
          <w:b/>
        </w:rPr>
      </w:pPr>
      <w:r>
        <w:rPr>
          <w:b/>
        </w:rPr>
        <w:lastRenderedPageBreak/>
        <w:t>Integrated HCFC and HFC compliance strategy for the refrigeration servicing sector</w:t>
      </w:r>
      <w:r>
        <w:rPr>
          <w:rStyle w:val="FootnoteReference"/>
          <w:b/>
        </w:rPr>
        <w:footnoteReference w:id="21"/>
      </w:r>
    </w:p>
    <w:p w:rsidR="006B0396" w:rsidRDefault="006B0396" w:rsidP="006B0396">
      <w:pPr>
        <w:keepNext/>
      </w:pPr>
    </w:p>
    <w:p w:rsidR="006B0396" w:rsidRDefault="006B0396" w:rsidP="006B0396">
      <w:pPr>
        <w:pStyle w:val="Heading1"/>
        <w:numPr>
          <w:ilvl w:val="0"/>
          <w:numId w:val="22"/>
        </w:numPr>
      </w:pPr>
      <w:r>
        <w:t>During the 2021 to 2030 period, it is expected that Article 5 countries will be simultaneously implementing projects for phasing out HCFCs and phasing down HFCs to meet their compliance obligations of both group of substances as shown in Table 4. After 2030, Article 5 countries will be implementing activities to phase down HFCs and monitor the sustainability of the HCFC phase</w:t>
      </w:r>
      <w:r>
        <w:noBreakHyphen/>
        <w:t>out. Therefore, the 2021-2030 period is of critical importance given the linkages between HCFCs and HFCs.</w:t>
      </w:r>
    </w:p>
    <w:p w:rsidR="006B0396" w:rsidRPr="00A745CF" w:rsidRDefault="006B0396" w:rsidP="006B0396">
      <w:pPr>
        <w:spacing w:before="120"/>
        <w:rPr>
          <w:b/>
        </w:rPr>
      </w:pPr>
      <w:r w:rsidRPr="00A745CF">
        <w:rPr>
          <w:b/>
        </w:rPr>
        <w:t>Table 4. Compliance obligations for HCFCs and HFCs for Article 5 countries</w:t>
      </w:r>
    </w:p>
    <w:tbl>
      <w:tblPr>
        <w:tblStyle w:val="TableGrid"/>
        <w:tblW w:w="9360" w:type="dxa"/>
        <w:tblLook w:val="04A0" w:firstRow="1" w:lastRow="0" w:firstColumn="1" w:lastColumn="0" w:noHBand="0" w:noVBand="1"/>
      </w:tblPr>
      <w:tblGrid>
        <w:gridCol w:w="1885"/>
        <w:gridCol w:w="3510"/>
        <w:gridCol w:w="3965"/>
      </w:tblGrid>
      <w:tr w:rsidR="006B0396" w:rsidTr="004426BD">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HCFCs</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HFCs</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Baseline: aggregated consumption of substances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Annex C Group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Annex F and (65 per cent of baseline) Annex C Group I. Two different baselines and phase</w:t>
            </w:r>
            <w:r>
              <w:rPr>
                <w:sz w:val="20"/>
                <w:szCs w:val="20"/>
              </w:rPr>
              <w:noBreakHyphen/>
              <w:t>out schedules </w:t>
            </w:r>
            <w:r>
              <w:rPr>
                <w:sz w:val="18"/>
                <w:szCs w:val="18"/>
              </w:rPr>
              <w:t>*</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Base years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 xml:space="preserve">Group 1: 2020, 2021, 2022 </w:t>
            </w:r>
          </w:p>
          <w:p w:rsidR="006B0396" w:rsidRDefault="006B0396" w:rsidP="004426BD">
            <w:pPr>
              <w:jc w:val="left"/>
              <w:rPr>
                <w:sz w:val="20"/>
                <w:szCs w:val="20"/>
              </w:rPr>
            </w:pPr>
            <w:r>
              <w:rPr>
                <w:sz w:val="20"/>
                <w:szCs w:val="20"/>
              </w:rPr>
              <w:t xml:space="preserve">Group 2: 2024, 2025, 2026 </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 xml:space="preserve">Number of controlled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keepNext/>
              <w:jc w:val="left"/>
              <w:rPr>
                <w:sz w:val="20"/>
                <w:szCs w:val="20"/>
              </w:rPr>
            </w:pPr>
            <w:r>
              <w:rPr>
                <w:sz w:val="20"/>
                <w:szCs w:val="20"/>
              </w:rPr>
              <w:t>40, of which HCFC-22, HCFC-141b and HCFC-142b represented over 99 per cent of the total consumption</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keepNext/>
              <w:jc w:val="left"/>
              <w:rPr>
                <w:sz w:val="20"/>
                <w:szCs w:val="20"/>
              </w:rPr>
            </w:pPr>
            <w:r>
              <w:rPr>
                <w:sz w:val="20"/>
                <w:szCs w:val="20"/>
              </w:rPr>
              <w:t>17 in Annex F Group I, 1 in Group II </w:t>
            </w:r>
            <w:r>
              <w:rPr>
                <w:sz w:val="18"/>
                <w:szCs w:val="18"/>
              </w:rPr>
              <w:t>**</w:t>
            </w:r>
          </w:p>
          <w:p w:rsidR="006B0396" w:rsidRDefault="006B0396" w:rsidP="004426BD">
            <w:pPr>
              <w:keepNext/>
              <w:jc w:val="left"/>
              <w:rPr>
                <w:sz w:val="20"/>
                <w:szCs w:val="20"/>
              </w:rPr>
            </w:pPr>
            <w:r>
              <w:rPr>
                <w:sz w:val="20"/>
                <w:szCs w:val="20"/>
              </w:rPr>
              <w:t>The most highly consumed are five pure substances (mainly HFC-134a and to a lesser extent HFC</w:t>
            </w:r>
            <w:r>
              <w:rPr>
                <w:sz w:val="20"/>
                <w:szCs w:val="20"/>
              </w:rPr>
              <w:noBreakHyphen/>
              <w:t>152a, HFC</w:t>
            </w:r>
            <w:r>
              <w:rPr>
                <w:sz w:val="20"/>
                <w:szCs w:val="20"/>
              </w:rPr>
              <w:noBreakHyphen/>
              <w:t>245fa, HFC</w:t>
            </w:r>
            <w:r>
              <w:rPr>
                <w:sz w:val="20"/>
                <w:szCs w:val="20"/>
              </w:rPr>
              <w:noBreakHyphen/>
              <w:t>365mfc, HFC</w:t>
            </w:r>
            <w:r>
              <w:rPr>
                <w:sz w:val="20"/>
                <w:szCs w:val="20"/>
              </w:rPr>
              <w:noBreakHyphen/>
              <w:t>227ea), and four blends (R-410A, R</w:t>
            </w:r>
            <w:r>
              <w:rPr>
                <w:sz w:val="20"/>
                <w:szCs w:val="20"/>
              </w:rPr>
              <w:noBreakHyphen/>
              <w:t>407C, R</w:t>
            </w:r>
            <w:r>
              <w:rPr>
                <w:sz w:val="20"/>
                <w:szCs w:val="20"/>
              </w:rPr>
              <w:noBreakHyphen/>
              <w:t>404A, R-507A), containing two or more of HFC</w:t>
            </w:r>
            <w:r>
              <w:rPr>
                <w:sz w:val="20"/>
                <w:szCs w:val="20"/>
              </w:rPr>
              <w:noBreakHyphen/>
              <w:t>32, HFC-125, HFC-134a, HFC</w:t>
            </w:r>
            <w:r>
              <w:rPr>
                <w:sz w:val="20"/>
                <w:szCs w:val="20"/>
              </w:rPr>
              <w:noBreakHyphen/>
              <w:t>143a</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rPr>
                <w:sz w:val="20"/>
                <w:szCs w:val="20"/>
              </w:rPr>
            </w:pPr>
            <w:r>
              <w:rPr>
                <w:sz w:val="20"/>
                <w:szCs w:val="20"/>
              </w:rPr>
              <w:t>Schedule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Reduction steps:</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2013–2014: 0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2015–2019: 10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2020–2024: 35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2025–2029: 67.5 per cent of the baseline</w:t>
            </w:r>
          </w:p>
          <w:p w:rsidR="006B0396" w:rsidRDefault="006B0396" w:rsidP="004426BD">
            <w:pPr>
              <w:pStyle w:val="ListParagraph"/>
              <w:numPr>
                <w:ilvl w:val="0"/>
                <w:numId w:val="28"/>
              </w:numPr>
              <w:ind w:left="123" w:hanging="123"/>
              <w:jc w:val="left"/>
              <w:rPr>
                <w:sz w:val="20"/>
                <w:szCs w:val="20"/>
                <w:lang w:val="en-CA"/>
              </w:rPr>
            </w:pPr>
            <w:r>
              <w:rPr>
                <w:sz w:val="20"/>
                <w:szCs w:val="20"/>
                <w:lang w:val="en-CA"/>
              </w:rPr>
              <w:t xml:space="preserve">2030, thereafter: 100 per cent reduction for the baseline ***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19"/>
                <w:szCs w:val="19"/>
              </w:rPr>
            </w:pPr>
            <w:r>
              <w:rPr>
                <w:sz w:val="19"/>
                <w:szCs w:val="19"/>
              </w:rPr>
              <w:t xml:space="preserve">Group 1: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2024–2028: 100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2029–2034: 90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2035–2039: 70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2040–2044: 50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2045 and thereafter: 20 per cent of baseline. </w:t>
            </w:r>
          </w:p>
          <w:p w:rsidR="006B0396" w:rsidRDefault="006B0396" w:rsidP="004426BD">
            <w:pPr>
              <w:jc w:val="left"/>
              <w:rPr>
                <w:sz w:val="19"/>
                <w:szCs w:val="19"/>
              </w:rPr>
            </w:pPr>
            <w:r>
              <w:rPr>
                <w:sz w:val="19"/>
                <w:szCs w:val="19"/>
              </w:rPr>
              <w:t>Group 2:</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2028–2031: 100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2032–2036: 90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2037–2041: 80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2042</w:t>
            </w:r>
            <w:r>
              <w:rPr>
                <w:sz w:val="19"/>
                <w:szCs w:val="19"/>
                <w:lang w:val="en-CA"/>
              </w:rPr>
              <w:noBreakHyphen/>
              <w:t>2046: 70 per cent of baseline</w:t>
            </w:r>
          </w:p>
          <w:p w:rsidR="006B0396" w:rsidRDefault="006B0396" w:rsidP="004426BD">
            <w:pPr>
              <w:pStyle w:val="ListParagraph"/>
              <w:numPr>
                <w:ilvl w:val="0"/>
                <w:numId w:val="32"/>
              </w:numPr>
              <w:ind w:left="138" w:hanging="138"/>
              <w:jc w:val="left"/>
              <w:rPr>
                <w:sz w:val="20"/>
                <w:szCs w:val="20"/>
                <w:lang w:val="en-CA"/>
              </w:rPr>
            </w:pPr>
            <w:r>
              <w:rPr>
                <w:sz w:val="19"/>
                <w:szCs w:val="19"/>
                <w:lang w:val="en-CA"/>
              </w:rPr>
              <w:t>2047 and thereafter: 15 per cent of baseline</w:t>
            </w:r>
          </w:p>
        </w:tc>
      </w:tr>
    </w:tbl>
    <w:p w:rsidR="006B0396" w:rsidRDefault="006B0396" w:rsidP="006B0396">
      <w:r>
        <w:rPr>
          <w:sz w:val="18"/>
          <w:szCs w:val="18"/>
        </w:rPr>
        <w:t>* Group 1 countries: all Article 5 countries except for the 10 countries in group 2. Group 2 countries: Bahrain, India, Islamic Republic of Iran, Iraq, Kuwait, Oman, Pakistan, Qatar, Saudi Arabia, and the United Arab Emirates.</w:t>
      </w:r>
    </w:p>
    <w:p w:rsidR="006B0396" w:rsidRDefault="006B0396" w:rsidP="006B0396">
      <w:pPr>
        <w:rPr>
          <w:sz w:val="18"/>
          <w:szCs w:val="18"/>
        </w:rPr>
      </w:pPr>
      <w:r>
        <w:rPr>
          <w:sz w:val="18"/>
          <w:szCs w:val="18"/>
        </w:rPr>
        <w:t>** HFC-23, with a GWP of 14,800, is mainly a by-product of the production of HCFC-22.</w:t>
      </w:r>
    </w:p>
    <w:p w:rsidR="006B0396" w:rsidRDefault="006B0396" w:rsidP="006B0396">
      <w:pPr>
        <w:rPr>
          <w:sz w:val="18"/>
          <w:szCs w:val="18"/>
        </w:rPr>
      </w:pPr>
      <w:r>
        <w:rPr>
          <w:sz w:val="18"/>
          <w:szCs w:val="18"/>
        </w:rPr>
        <w:t>*** Countries may exceed that limit on consumption any year between 2030 and 2040 so long as the average annual consumption for such 10-year period does not exceed 2.5 per cent of the HCFC consumption baseline and provided that such consumption shall be restricted to specific uses determined by paragraph 8 (</w:t>
      </w:r>
      <w:proofErr w:type="spellStart"/>
      <w:r>
        <w:rPr>
          <w:sz w:val="18"/>
          <w:szCs w:val="18"/>
        </w:rPr>
        <w:t>ter</w:t>
      </w:r>
      <w:proofErr w:type="spellEnd"/>
      <w:r>
        <w:rPr>
          <w:sz w:val="18"/>
          <w:szCs w:val="18"/>
        </w:rPr>
        <w:t>)(e) of Article 5 of the Montreal Protocol.</w:t>
      </w:r>
    </w:p>
    <w:p w:rsidR="006B0396" w:rsidRDefault="006B0396" w:rsidP="006B0396">
      <w:pPr>
        <w:rPr>
          <w:szCs w:val="18"/>
        </w:rPr>
      </w:pPr>
    </w:p>
    <w:p w:rsidR="006B0396" w:rsidRDefault="006B0396" w:rsidP="006B0396">
      <w:pPr>
        <w:pStyle w:val="Heading1"/>
      </w:pPr>
      <w:r>
        <w:t>The overlapping schedules of HCFC phase-out and HFC phase-down presents an opportunity to develop an integrated cost-effective strategy that addresses the reduction of both groups of substances, using the existing infrastructure supported under the Multilateral Fund, and avoiding duplication of efforts.</w:t>
      </w:r>
    </w:p>
    <w:p w:rsidR="006B0396" w:rsidRPr="0007517B" w:rsidRDefault="006B0396" w:rsidP="0007759F">
      <w:pPr>
        <w:pStyle w:val="Heading1"/>
        <w:widowControl w:val="0"/>
      </w:pPr>
      <w:r>
        <w:t>Particularly for the refrigeration servicing sector, the majority of the activities already being implemented and planned for the phase-out of HCFCs</w:t>
      </w:r>
      <w:r>
        <w:rPr>
          <w:rStyle w:val="FootnoteReference"/>
        </w:rPr>
        <w:footnoteReference w:id="22"/>
      </w:r>
      <w:r>
        <w:t xml:space="preserve"> will have an impact on the reduction of consumption of HFCs. Additional efforts </w:t>
      </w:r>
      <w:r w:rsidRPr="0007517B">
        <w:t xml:space="preserve">might be needed in the sector during the first years of the HFC </w:t>
      </w:r>
      <w:r w:rsidRPr="0007517B">
        <w:lastRenderedPageBreak/>
        <w:t>phase</w:t>
      </w:r>
      <w:r>
        <w:noBreakHyphen/>
      </w:r>
      <w:r w:rsidRPr="0007517B">
        <w:t xml:space="preserve">down for, </w:t>
      </w:r>
      <w:r w:rsidRPr="007B3391">
        <w:rPr>
          <w:i/>
        </w:rPr>
        <w:t>inter alia</w:t>
      </w:r>
      <w:r w:rsidRPr="0007517B">
        <w:t>:</w:t>
      </w:r>
    </w:p>
    <w:p w:rsidR="006B0396" w:rsidRDefault="006B0396" w:rsidP="006B0396">
      <w:pPr>
        <w:pStyle w:val="Heading2"/>
        <w:numPr>
          <w:ilvl w:val="1"/>
          <w:numId w:val="1"/>
        </w:numPr>
      </w:pPr>
      <w:r>
        <w:t xml:space="preserve">Strengthening regulatory frameworks for refrigerant management through </w:t>
      </w:r>
      <w:r>
        <w:rPr>
          <w:i/>
        </w:rPr>
        <w:t xml:space="preserve">inter alia </w:t>
      </w:r>
      <w:r>
        <w:t xml:space="preserve">updating the operational import/export licensing systems to include HFCs (which are currently not included in the existing Harmonized System), which should be in place by 1 January 2021 for Article 5 countries that have ratified the Kigali Amendment; establishing import/export quota systems; issuing regulations for the certification of technicians; limiting the access to refrigerants only to trained/certified technicians and licensed service workshops; labelling of refrigerants, record keeping, monitoring and reporting; and capacity building for authorities and stakeholders; </w:t>
      </w:r>
    </w:p>
    <w:p w:rsidR="006B0396" w:rsidRDefault="006B0396" w:rsidP="006B0396">
      <w:pPr>
        <w:pStyle w:val="Heading2"/>
        <w:numPr>
          <w:ilvl w:val="1"/>
          <w:numId w:val="22"/>
        </w:numPr>
      </w:pPr>
      <w:r>
        <w:t>Developing, revising or adopting standards, codes and norms that could facilitate the adoption, operation, management and servicing of refrigeration technologies based on low</w:t>
      </w:r>
      <w:r>
        <w:noBreakHyphen/>
        <w:t>GWP refrigerants, noting that a large number of these refrigerants are flammable and/or toxic;</w:t>
      </w:r>
    </w:p>
    <w:p w:rsidR="006B0396" w:rsidRDefault="006B0396" w:rsidP="006B0396">
      <w:pPr>
        <w:pStyle w:val="Heading2"/>
        <w:numPr>
          <w:ilvl w:val="1"/>
          <w:numId w:val="22"/>
        </w:numPr>
      </w:pPr>
      <w:r>
        <w:t xml:space="preserve">Strengthening and updating the mechanisms in place to report consumption and production (where applicable) of controlled </w:t>
      </w:r>
      <w:r w:rsidRPr="0007517B">
        <w:t>substances, noting the increased amount and variety of controlled substances, which include a large portion of HFC-based blends, a wider set of applications where these substances are used (e.g., domestic refrigeration, mobile air</w:t>
      </w:r>
      <w:r w:rsidRPr="0007517B">
        <w:noBreakHyphen/>
        <w:t>conditioning and a larger set of commercial refrigeration systems), as well as the measurement of compliance of HFC production and consumption</w:t>
      </w:r>
      <w:r>
        <w:t xml:space="preserve"> in CO</w:t>
      </w:r>
      <w:r>
        <w:rPr>
          <w:vertAlign w:val="subscript"/>
        </w:rPr>
        <w:t>2-</w:t>
      </w:r>
      <w:r>
        <w:t xml:space="preserve">equivalent tonnes; </w:t>
      </w:r>
    </w:p>
    <w:p w:rsidR="006B0396" w:rsidRDefault="006B0396" w:rsidP="006B0396">
      <w:pPr>
        <w:pStyle w:val="Heading2"/>
        <w:numPr>
          <w:ilvl w:val="1"/>
          <w:numId w:val="22"/>
        </w:numPr>
      </w:pPr>
      <w:r>
        <w:t xml:space="preserve">Reviewing and periodically updating the curricula of the training programmes for customs and enforcement officers, addressing the obligations under the Montreal Protocol including its Kigali Amendment; </w:t>
      </w:r>
    </w:p>
    <w:p w:rsidR="006B0396" w:rsidRPr="0007517B" w:rsidRDefault="006B0396" w:rsidP="006B0396">
      <w:pPr>
        <w:pStyle w:val="Heading2"/>
        <w:numPr>
          <w:ilvl w:val="1"/>
          <w:numId w:val="22"/>
        </w:numPr>
      </w:pPr>
      <w:r>
        <w:t xml:space="preserve">Strengthening the capacity of vocational training systems and certification bodies by periodically reviewing the curricula of the training programmes to address good servicing practices and safety issues related to the management of flammable and/or toxic refrigerants, noting the increasing number of more technologically advanced RAC equipment based on a variety of refrigerants with different operating characteristics related to pressure, flammability and toxicity; and strengthening RAC associations, ensuring their engagement in the </w:t>
      </w:r>
      <w:r w:rsidRPr="0007517B">
        <w:t xml:space="preserve">implementation of activities related to the servicing sector; </w:t>
      </w:r>
    </w:p>
    <w:p w:rsidR="006B0396" w:rsidRPr="0007517B" w:rsidRDefault="006B0396" w:rsidP="006B0396">
      <w:pPr>
        <w:pStyle w:val="Heading2"/>
        <w:widowControl/>
        <w:numPr>
          <w:ilvl w:val="1"/>
          <w:numId w:val="22"/>
        </w:numPr>
      </w:pPr>
      <w:r w:rsidRPr="0007517B">
        <w:t xml:space="preserve">Developing or strengthening self-sustained refrigerant containment strategies to ensure that installed refrigeration equipment can continue operating until end-of-life; assessing and start adapting the existing infrastructure for recovering, recycling and reclaiming refrigerants to operate with a wider set of RAC systems, refrigerants and blends; </w:t>
      </w:r>
    </w:p>
    <w:p w:rsidR="006B0396" w:rsidRPr="0007517B" w:rsidRDefault="006B0396" w:rsidP="006B0396">
      <w:pPr>
        <w:pStyle w:val="Heading2"/>
        <w:numPr>
          <w:ilvl w:val="1"/>
          <w:numId w:val="22"/>
        </w:numPr>
      </w:pPr>
      <w:r w:rsidRPr="0007517B">
        <w:t>Strengthening technical support for the assembly, installation and initial</w:t>
      </w:r>
      <w:r w:rsidRPr="0007517B">
        <w:noBreakHyphen/>
        <w:t>refrigerant</w:t>
      </w:r>
      <w:r w:rsidRPr="0007517B">
        <w:noBreakHyphen/>
        <w:t>charge sub</w:t>
      </w:r>
      <w:r w:rsidRPr="0007517B">
        <w:noBreakHyphen/>
        <w:t>sector as it could influence the introduction of technologies in local markets; and</w:t>
      </w:r>
    </w:p>
    <w:p w:rsidR="006B0396" w:rsidRPr="0007517B" w:rsidRDefault="006B0396" w:rsidP="006B0396">
      <w:pPr>
        <w:pStyle w:val="Heading2"/>
        <w:numPr>
          <w:ilvl w:val="1"/>
          <w:numId w:val="22"/>
        </w:numPr>
      </w:pPr>
      <w:r w:rsidRPr="0007517B">
        <w:t>Combining the funding from HCFC phase-out and HFC phase-down to implement more comprehensive, longer-term activities that will have a broader impact; reducing the number of funding tranches being concurrently implemented, with lower transaction costs for reporting and verifications.</w:t>
      </w:r>
    </w:p>
    <w:p w:rsidR="006B0396" w:rsidRPr="0007517B" w:rsidRDefault="006B0396" w:rsidP="006B0396">
      <w:pPr>
        <w:pStyle w:val="Heading1"/>
        <w:numPr>
          <w:ilvl w:val="0"/>
          <w:numId w:val="22"/>
        </w:numPr>
      </w:pPr>
      <w:r w:rsidRPr="0007517B">
        <w:t>Additional activities in the refrigeration servicing sector will be dependent on the priorities established by each Article 5 country. Annex I presents an overview of potential modalities for integrating HCFC phase-out and HFC phase-down activities in the sector.</w:t>
      </w:r>
    </w:p>
    <w:p w:rsidR="006B0396" w:rsidRPr="004A10C2" w:rsidRDefault="006B0396" w:rsidP="006B0396">
      <w:pPr>
        <w:rPr>
          <w:u w:val="single"/>
        </w:rPr>
      </w:pPr>
      <w:r w:rsidRPr="004A10C2">
        <w:rPr>
          <w:u w:val="single"/>
        </w:rPr>
        <w:lastRenderedPageBreak/>
        <w:t xml:space="preserve">Additional </w:t>
      </w:r>
      <w:r>
        <w:rPr>
          <w:u w:val="single"/>
        </w:rPr>
        <w:t>ongoing discussions related to</w:t>
      </w:r>
      <w:r w:rsidRPr="004A10C2">
        <w:rPr>
          <w:u w:val="single"/>
        </w:rPr>
        <w:t xml:space="preserve"> the refrigeration servicing sector</w:t>
      </w:r>
    </w:p>
    <w:p w:rsidR="006B0396" w:rsidRPr="004A10C2" w:rsidRDefault="006B0396" w:rsidP="006B0396"/>
    <w:p w:rsidR="006B0396" w:rsidRPr="0007517B" w:rsidRDefault="006B0396" w:rsidP="006B0396">
      <w:pPr>
        <w:pStyle w:val="Heading1"/>
      </w:pPr>
      <w:r w:rsidRPr="00231605">
        <w:t>In adopting the Kigali Amendment, the Parties asked the Executive Committee to increase in relation to the servicing sector, the funding available under decision 74/50 for LVC countries when needed for the introduction of alternatives to HCFCs with low- and/or zero</w:t>
      </w:r>
      <w:r w:rsidRPr="00231605">
        <w:noBreakHyphen/>
        <w:t>GWP refrigerants and maintaining energy efficiency in the servicing/end-user sector (paragraph 16 of decision XXVIII/2). From the 82</w:t>
      </w:r>
      <w:r w:rsidRPr="00231605">
        <w:rPr>
          <w:vertAlign w:val="superscript"/>
        </w:rPr>
        <w:t>nd</w:t>
      </w:r>
      <w:r w:rsidRPr="00231605">
        <w:t xml:space="preserve"> to the 84</w:t>
      </w:r>
      <w:r w:rsidRPr="00231605">
        <w:rPr>
          <w:vertAlign w:val="superscript"/>
        </w:rPr>
        <w:t>th</w:t>
      </w:r>
      <w:r>
        <w:t xml:space="preserve"> </w:t>
      </w:r>
      <w:r w:rsidRPr="00231605">
        <w:t>meetings, the Executive Committee held discussions on this matter, as summarized in document</w:t>
      </w:r>
      <w:r>
        <w:t> </w:t>
      </w:r>
      <w:r w:rsidRPr="00231605">
        <w:t>UNEP/OzL.Pro/ExCom/86/92</w:t>
      </w:r>
      <w:r>
        <w:rPr>
          <w:rStyle w:val="FootnoteReference"/>
        </w:rPr>
        <w:footnoteReference w:id="23"/>
      </w:r>
      <w:r w:rsidRPr="00231605">
        <w:t xml:space="preserve"> submitted to the 86</w:t>
      </w:r>
      <w:r w:rsidRPr="00231605">
        <w:rPr>
          <w:vertAlign w:val="superscript"/>
        </w:rPr>
        <w:t>th</w:t>
      </w:r>
      <w:r w:rsidRPr="00231605">
        <w:t xml:space="preserve"> meeting. In that document, the Secretariat had invited the Executive Committee </w:t>
      </w:r>
      <w:r w:rsidRPr="00AD4127">
        <w:t>if it wishes</w:t>
      </w:r>
      <w:r w:rsidRPr="00231605">
        <w:t xml:space="preserve"> to consider the information and analysis contained in the present document, while finalising its discussions on the ways to operationalize paragraph 16 of decision</w:t>
      </w:r>
      <w:r>
        <w:t> </w:t>
      </w:r>
      <w:r w:rsidRPr="00231605">
        <w:t xml:space="preserve">XXVIII/2, and paragraph 2 of decision XXX/5, given the close relationship between the two </w:t>
      </w:r>
      <w:r w:rsidRPr="0007517B">
        <w:t xml:space="preserve">documents. </w:t>
      </w:r>
    </w:p>
    <w:p w:rsidR="006B0396" w:rsidRPr="00636AA8" w:rsidRDefault="006B0396" w:rsidP="006B0396">
      <w:pPr>
        <w:pStyle w:val="Heading1"/>
      </w:pPr>
      <w:r w:rsidRPr="0007517B">
        <w:t xml:space="preserve">In this regard, the Secretariat notes that if additional funding would be provided under HPMPs, the activities related to maintaining energy efficiency in the servicing/end-user sector would be applicable only for HCFC-based equipment. However, if the additional funding would be provided following an integrated approach for HCFC phase-out and HFC phase-down, the funding would be applicable for all RAC </w:t>
      </w:r>
      <w:r w:rsidRPr="00636AA8">
        <w:t>equipment in operation (i.e., HCFC- and HFC-based refrigerants).</w:t>
      </w:r>
    </w:p>
    <w:p w:rsidR="006B0396" w:rsidRPr="00636AA8" w:rsidRDefault="006B0396" w:rsidP="006B0396">
      <w:pPr>
        <w:pStyle w:val="Heading1"/>
      </w:pPr>
      <w:r w:rsidRPr="00636AA8">
        <w:t>Also, in adopting the Kigali Amendment, the Parties asked the Executive Committee to consider funding the cost-effective management of stockpiles of used or unwanted controlled substances, including destruction (paragraph 24 of decision XXVIII/2).</w:t>
      </w:r>
      <w:r w:rsidRPr="00636AA8">
        <w:rPr>
          <w:rStyle w:val="FootnoteReference"/>
        </w:rPr>
        <w:footnoteReference w:id="24"/>
      </w:r>
      <w:r w:rsidRPr="00636AA8">
        <w:t xml:space="preserve"> At its 84</w:t>
      </w:r>
      <w:r w:rsidRPr="00636AA8">
        <w:rPr>
          <w:vertAlign w:val="superscript"/>
        </w:rPr>
        <w:t>th</w:t>
      </w:r>
      <w:r w:rsidRPr="00636AA8">
        <w:t xml:space="preserve"> meeting, the Committee </w:t>
      </w:r>
      <w:r w:rsidRPr="00636AA8">
        <w:rPr>
          <w:i/>
        </w:rPr>
        <w:t>inter alia</w:t>
      </w:r>
      <w:r w:rsidRPr="00636AA8">
        <w:t xml:space="preserve"> requested the Secretariat to prepare for the 85</w:t>
      </w:r>
      <w:r w:rsidRPr="00636AA8">
        <w:rPr>
          <w:vertAlign w:val="superscript"/>
        </w:rPr>
        <w:t>th</w:t>
      </w:r>
      <w:r w:rsidRPr="00636AA8">
        <w:t xml:space="preserve"> 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636AA8">
        <w:rPr>
          <w:rStyle w:val="FootnoteReference"/>
        </w:rPr>
        <w:footnoteReference w:id="25"/>
      </w:r>
      <w:r w:rsidRPr="00636AA8">
        <w:t xml:space="preserve"> and the synthesis report on pilot ODS disposal projects;</w:t>
      </w:r>
      <w:r w:rsidRPr="00636AA8">
        <w:rPr>
          <w:rStyle w:val="FootnoteReference"/>
        </w:rPr>
        <w:footnoteReference w:id="26"/>
      </w:r>
      <w:r w:rsidRPr="00636AA8">
        <w:t xml:space="preserve"> other relevant projects implemented in HPMPs; lessons learned from existing infrastructure and policies that could be used to establish the cost</w:t>
      </w:r>
      <w:r>
        <w:noBreakHyphen/>
      </w:r>
      <w:r w:rsidRPr="00636AA8">
        <w:t>effective management of stockpiles of used or unwanted controlled substances; and external funding opportunities and existing disposal programmes and partnerships (decision 84/87(b)).</w:t>
      </w:r>
    </w:p>
    <w:p w:rsidR="006B0396" w:rsidRPr="00636AA8" w:rsidRDefault="006B0396" w:rsidP="006B0396">
      <w:pPr>
        <w:pStyle w:val="Heading1"/>
      </w:pPr>
      <w:r w:rsidRPr="00636AA8">
        <w:t>In response to decision 84/87(b), document UNEP/OzL.Pro/</w:t>
      </w:r>
      <w:r w:rsidRPr="00750116">
        <w:t>ExCom/86/90</w:t>
      </w:r>
      <w:r w:rsidRPr="00750116">
        <w:rPr>
          <w:rStyle w:val="FootnoteReference"/>
        </w:rPr>
        <w:footnoteReference w:id="27"/>
      </w:r>
      <w:r w:rsidRPr="00750116">
        <w:t xml:space="preserve"> was submitted to the 86</w:t>
      </w:r>
      <w:r w:rsidRPr="00750116">
        <w:rPr>
          <w:vertAlign w:val="superscript"/>
        </w:rPr>
        <w:t>th</w:t>
      </w:r>
      <w:r w:rsidRPr="00750116">
        <w:t> meeting. The document notes that the majority of activities already being implemented in the refrigeration servicing sector under ongoing HPMPs and future HFC phase-down plans</w:t>
      </w:r>
      <w:r w:rsidRPr="00636AA8">
        <w:t xml:space="preserve"> provide opportunities for considering the development of an integrated approach for the sustainable and cost</w:t>
      </w:r>
      <w:r w:rsidRPr="00636AA8">
        <w:noBreakHyphen/>
        <w:t xml:space="preserve">effective management of unwanted controlled substances to prevent harmful emissions to the environment. Including a strategy for the environmentally sound management of waste ODS and other controlled substances when economically feasible will ensure that all aspects of management of the refrigerant until its disposal are fully considered. </w:t>
      </w:r>
    </w:p>
    <w:p w:rsidR="006B0396" w:rsidRPr="00295A4D" w:rsidRDefault="006B0396" w:rsidP="006B0396">
      <w:pPr>
        <w:keepNext/>
        <w:rPr>
          <w:b/>
        </w:rPr>
      </w:pPr>
      <w:r w:rsidRPr="00295A4D">
        <w:rPr>
          <w:b/>
        </w:rPr>
        <w:t>Modalit</w:t>
      </w:r>
      <w:r>
        <w:rPr>
          <w:b/>
        </w:rPr>
        <w:t>ies</w:t>
      </w:r>
      <w:r w:rsidRPr="00295A4D">
        <w:rPr>
          <w:b/>
        </w:rPr>
        <w:t xml:space="preserve"> and </w:t>
      </w:r>
      <w:r>
        <w:rPr>
          <w:b/>
        </w:rPr>
        <w:t xml:space="preserve">levels of </w:t>
      </w:r>
      <w:r w:rsidRPr="00295A4D">
        <w:rPr>
          <w:b/>
        </w:rPr>
        <w:t>funding for HFC phase-down in the refrigeration servicing sector</w:t>
      </w:r>
      <w:r>
        <w:rPr>
          <w:b/>
        </w:rPr>
        <w:t xml:space="preserve"> (stage I)</w:t>
      </w:r>
    </w:p>
    <w:p w:rsidR="006B0396" w:rsidRPr="00295A4D" w:rsidRDefault="006B0396" w:rsidP="006B0396">
      <w:pPr>
        <w:keepNext/>
      </w:pPr>
    </w:p>
    <w:p w:rsidR="006B0396" w:rsidRPr="003859BE" w:rsidRDefault="006B0396" w:rsidP="0007759F">
      <w:pPr>
        <w:pStyle w:val="Heading1"/>
        <w:widowControl w:val="0"/>
      </w:pPr>
      <w:r w:rsidRPr="003859BE">
        <w:t xml:space="preserve">The modality and levels of funding proposed for the phase-down of HFCs in the refrigeration servicing sector, are based on the extensive analysis and information contained in the various documents that have been considered by the Executive Committee (listed under the Background section of the present document), and the review of all the projects related to the servicing sector that have been approved, in </w:t>
      </w:r>
      <w:r w:rsidRPr="003859BE">
        <w:lastRenderedPageBreak/>
        <w:t>particular under the HPMPs. Specifically, the following facts were considered:</w:t>
      </w:r>
    </w:p>
    <w:p w:rsidR="006B0396" w:rsidRPr="007F7E26" w:rsidRDefault="006B0396" w:rsidP="006B0396">
      <w:pPr>
        <w:pStyle w:val="Heading2"/>
        <w:numPr>
          <w:ilvl w:val="1"/>
          <w:numId w:val="1"/>
        </w:numPr>
      </w:pPr>
      <w:r w:rsidRPr="003859BE">
        <w:t xml:space="preserve">The need to meet the freeze (all Article 5 countries) and the 10 per cent reduction (all Article 5 group 1 countries) on HFC consumption where the actual levels of HFCs consumption, type of HFCs (pure or contained in blends) being consumed and </w:t>
      </w:r>
      <w:r w:rsidRPr="007F7E26">
        <w:t>their sectoral distribution, are unknown, and the HFC baselines for compliance cannot be reliably forecast;</w:t>
      </w:r>
    </w:p>
    <w:p w:rsidR="006B0396" w:rsidRPr="00295A4D" w:rsidRDefault="006B0396" w:rsidP="006B0396">
      <w:pPr>
        <w:pStyle w:val="Heading2"/>
        <w:numPr>
          <w:ilvl w:val="1"/>
          <w:numId w:val="1"/>
        </w:numPr>
      </w:pPr>
      <w:r w:rsidRPr="00295A4D">
        <w:t xml:space="preserve">The relevance of the servicing sector during the 2020-2030 period, noting that for the majority of Article 5 countries the remaining HCFC consumption is solely or mainly used for servicing RAC equipment. Furthermore, </w:t>
      </w:r>
      <w:r>
        <w:t xml:space="preserve">HFC </w:t>
      </w:r>
      <w:r w:rsidRPr="00295A4D">
        <w:t>phase-</w:t>
      </w:r>
      <w:r>
        <w:t>down</w:t>
      </w:r>
      <w:r w:rsidRPr="00295A4D">
        <w:t xml:space="preserve"> activities in this sector</w:t>
      </w:r>
      <w:r>
        <w:t xml:space="preserve"> are expected to</w:t>
      </w:r>
      <w:r w:rsidRPr="00295A4D">
        <w:t xml:space="preserve"> be necessary for the majority of LVC countries and several non-LVC countries to meet their compliance obligations, as HFCs are solely used for servicing RAC equipment;</w:t>
      </w:r>
    </w:p>
    <w:p w:rsidR="006B0396" w:rsidRPr="00295A4D" w:rsidRDefault="006B0396" w:rsidP="006B0396">
      <w:pPr>
        <w:pStyle w:val="Heading2"/>
        <w:numPr>
          <w:ilvl w:val="1"/>
          <w:numId w:val="1"/>
        </w:numPr>
      </w:pPr>
      <w:r w:rsidRPr="00295A4D">
        <w:t xml:space="preserve">The full utilization of the regulatory framework and the </w:t>
      </w:r>
      <w:r>
        <w:t xml:space="preserve">training </w:t>
      </w:r>
      <w:r w:rsidRPr="00295A4D">
        <w:t xml:space="preserve">infrastructure that has been established since the inception of the Multilateral Fund and strengthened and expanded during the phase-out of HCFCs. This include </w:t>
      </w:r>
      <w:r w:rsidRPr="00295A4D">
        <w:rPr>
          <w:i/>
        </w:rPr>
        <w:t>inter alia</w:t>
      </w:r>
      <w:r w:rsidRPr="00295A4D">
        <w:t xml:space="preserve"> the training/vocational institutions for customs officer</w:t>
      </w:r>
      <w:r>
        <w:t>s</w:t>
      </w:r>
      <w:r w:rsidRPr="00295A4D">
        <w:t xml:space="preserve"> and </w:t>
      </w:r>
      <w:r w:rsidRPr="007F7E26">
        <w:t>refrigeration technicians that have been supported with equipment, tools and refrigerant identifiers</w:t>
      </w:r>
      <w:r>
        <w:t>,</w:t>
      </w:r>
      <w:r w:rsidRPr="007F7E26">
        <w:t xml:space="preserve"> and strengthened with updated curricula including good servicing practices and</w:t>
      </w:r>
      <w:r>
        <w:t>,</w:t>
      </w:r>
      <w:r w:rsidRPr="007F7E26">
        <w:t xml:space="preserve"> in many cases</w:t>
      </w:r>
      <w:r>
        <w:t>,</w:t>
      </w:r>
      <w:r w:rsidRPr="007F7E26">
        <w:t xml:space="preserve"> proper handling of flammable and toxic refrigerants; the customs and enforcement officers that have been trained; and the service technicians that have been trained in good service practices and the proper</w:t>
      </w:r>
      <w:r w:rsidRPr="00295A4D">
        <w:t xml:space="preserve"> handling of flammable and toxic refrigerants, and equipped with basic service tools; </w:t>
      </w:r>
    </w:p>
    <w:p w:rsidR="006B0396" w:rsidRPr="00295A4D" w:rsidRDefault="006B0396" w:rsidP="006B0396">
      <w:pPr>
        <w:pStyle w:val="Heading2"/>
        <w:numPr>
          <w:ilvl w:val="1"/>
          <w:numId w:val="1"/>
        </w:numPr>
      </w:pPr>
      <w:r w:rsidRPr="00295A4D">
        <w:t>The demonstrated benefits for Article 5 countries of implementing an integrated strategy in the refrigeration servicing sector that addresses the reduction of HCFCs and HFCs, through a comprehensive plan that combines ozone and climate benefits and the funding from HCFC phase-out and HFC phase down, following a performance-based multi</w:t>
      </w:r>
      <w:r>
        <w:noBreakHyphen/>
      </w:r>
      <w:r w:rsidRPr="00295A4D">
        <w:t xml:space="preserve">staged approach, </w:t>
      </w:r>
      <w:r w:rsidRPr="00F963D2">
        <w:t>rather than a set of stand-alone activities in the absence of a holistic approach for the refrigeration servicing sector</w:t>
      </w:r>
      <w:r>
        <w:t>;</w:t>
      </w:r>
      <w:r>
        <w:rPr>
          <w:rStyle w:val="FootnoteReference"/>
        </w:rPr>
        <w:footnoteReference w:id="28"/>
      </w:r>
      <w:r w:rsidRPr="00295A4D">
        <w:t xml:space="preserve"> and</w:t>
      </w:r>
    </w:p>
    <w:p w:rsidR="006B0396" w:rsidRPr="00DB72FA" w:rsidRDefault="006B0396" w:rsidP="006B0396">
      <w:pPr>
        <w:pStyle w:val="Heading2"/>
        <w:numPr>
          <w:ilvl w:val="1"/>
          <w:numId w:val="1"/>
        </w:numPr>
      </w:pPr>
      <w:r w:rsidRPr="00295A4D">
        <w:t xml:space="preserve">The level of funding available during </w:t>
      </w:r>
      <w:r w:rsidRPr="007F7E26">
        <w:t>the 202</w:t>
      </w:r>
      <w:r>
        <w:t>1</w:t>
      </w:r>
      <w:r w:rsidRPr="007F7E26">
        <w:t xml:space="preserve">-2030 period for phasing out HCFCs in the refrigeration servicing </w:t>
      </w:r>
      <w:r w:rsidRPr="00EF1860">
        <w:t>sector in all Article 5 countries. As previously explained and shown in Table 3, US $56.5 million has been approved in principle to LVC countries (with a large portion already disbursed) and US $21.3 million is yet to be approved. For non</w:t>
      </w:r>
      <w:r w:rsidRPr="00EF1860">
        <w:noBreakHyphen/>
        <w:t>LVC countries, US $145.7 million has been approved in principle (and only part of it already disbursed), and up to US $551.4 million</w:t>
      </w:r>
      <w:r w:rsidRPr="00EF1860">
        <w:rPr>
          <w:rStyle w:val="FootnoteReference"/>
        </w:rPr>
        <w:footnoteReference w:id="29"/>
      </w:r>
      <w:r w:rsidRPr="00EF1860">
        <w:t xml:space="preserve"> is yet to be</w:t>
      </w:r>
      <w:r w:rsidRPr="00DB72FA">
        <w:t xml:space="preserve"> approved.</w:t>
      </w:r>
    </w:p>
    <w:p w:rsidR="006B0396" w:rsidRPr="001F25D9" w:rsidRDefault="006B0396" w:rsidP="006B0396">
      <w:pPr>
        <w:pStyle w:val="Heading1"/>
      </w:pPr>
      <w:r w:rsidRPr="007F7E26">
        <w:t>Taking into consideration the above facts, the Secretariat assessed several modalities and levels of funding for HFC phase-down in the refrigeration servicing sector, as describ</w:t>
      </w:r>
      <w:r>
        <w:t>ed below</w:t>
      </w:r>
      <w:r w:rsidRPr="00295A4D">
        <w:t xml:space="preserve">. </w:t>
      </w:r>
    </w:p>
    <w:p w:rsidR="006B0396" w:rsidRPr="0065707F" w:rsidRDefault="006B0396" w:rsidP="006B0396">
      <w:pPr>
        <w:rPr>
          <w:u w:val="single"/>
        </w:rPr>
      </w:pPr>
      <w:r w:rsidRPr="0065707F">
        <w:rPr>
          <w:u w:val="single"/>
        </w:rPr>
        <w:t>Modality 1</w:t>
      </w:r>
    </w:p>
    <w:p w:rsidR="006B0396" w:rsidRPr="0065707F" w:rsidRDefault="006B0396" w:rsidP="006B0396"/>
    <w:p w:rsidR="006B0396" w:rsidRDefault="006B0396" w:rsidP="006B0396">
      <w:pPr>
        <w:pStyle w:val="Heading1"/>
      </w:pPr>
      <w:r>
        <w:t>Given the uncertainties related to the cost of additional efforts to be undertaken to reduce HFC consumption to achieve the 10 per cent reduction target while completing the phase-out of HCFCs, o</w:t>
      </w:r>
      <w:r w:rsidRPr="00295A4D">
        <w:t xml:space="preserve">ne </w:t>
      </w:r>
      <w:r>
        <w:t>modality considered</w:t>
      </w:r>
      <w:r w:rsidRPr="00295A4D">
        <w:t xml:space="preserve">, similar to </w:t>
      </w:r>
      <w:r>
        <w:t xml:space="preserve">that </w:t>
      </w:r>
      <w:r w:rsidRPr="00295A4D">
        <w:t xml:space="preserve">followed prior to the approval of the first RMPs, </w:t>
      </w:r>
      <w:r>
        <w:t xml:space="preserve">was to </w:t>
      </w:r>
      <w:r w:rsidRPr="00295A4D">
        <w:t>approv</w:t>
      </w:r>
      <w:r>
        <w:t>e</w:t>
      </w:r>
      <w:r w:rsidRPr="00295A4D">
        <w:t xml:space="preserve"> stand</w:t>
      </w:r>
      <w:r>
        <w:noBreakHyphen/>
      </w:r>
      <w:r w:rsidRPr="00295A4D">
        <w:t xml:space="preserve">alone activities that would be required to phase-down the consumption of HFCs, at a funding level </w:t>
      </w:r>
      <w:r>
        <w:t>commensurate</w:t>
      </w:r>
      <w:r w:rsidRPr="00295A4D">
        <w:t xml:space="preserve"> to the activity being submitted. </w:t>
      </w:r>
    </w:p>
    <w:p w:rsidR="006B0396" w:rsidRPr="002F78B4" w:rsidRDefault="006B0396" w:rsidP="006B0396">
      <w:pPr>
        <w:pStyle w:val="Heading1"/>
      </w:pPr>
      <w:r w:rsidRPr="00295A4D">
        <w:lastRenderedPageBreak/>
        <w:t xml:space="preserve">This </w:t>
      </w:r>
      <w:r>
        <w:t>modality c</w:t>
      </w:r>
      <w:r w:rsidRPr="00295A4D">
        <w:t>ould</w:t>
      </w:r>
      <w:r>
        <w:t xml:space="preserve"> help ensure that Article 5 countries present in a sound manner </w:t>
      </w:r>
      <w:r w:rsidRPr="00295A4D">
        <w:t>the additional effort required for HFC phase-down</w:t>
      </w:r>
      <w:r>
        <w:t xml:space="preserve"> and its associated cost. However, it would limit following a holistic strategy where similar activities to </w:t>
      </w:r>
      <w:r w:rsidRPr="00295A4D">
        <w:t>phase</w:t>
      </w:r>
      <w:r>
        <w:t xml:space="preserve"> out</w:t>
      </w:r>
      <w:r w:rsidRPr="00295A4D">
        <w:t xml:space="preserve"> </w:t>
      </w:r>
      <w:r>
        <w:t>HCFCs and phase down HFCs could be integrated and implemented (e.g., integrating HFC considerations in ongoing training programmes for phasing down HCFCs would be more cost-effective than implementing a new separate training programme only for HFCs)</w:t>
      </w:r>
      <w:r w:rsidRPr="00055F3F">
        <w:t xml:space="preserve">. </w:t>
      </w:r>
      <w:r w:rsidRPr="002F78B4">
        <w:t xml:space="preserve">Furthermore, a stand-alone approach in the current context would generate difficulties in assessing the impact of different project components, and </w:t>
      </w:r>
      <w:r>
        <w:t xml:space="preserve">would </w:t>
      </w:r>
      <w:r w:rsidRPr="002F78B4">
        <w:t>substantially increase the administrative workload of the Multilateral Fund institutions on individual review, approval and monitoring of separate activities</w:t>
      </w:r>
      <w:r>
        <w:t>.</w:t>
      </w:r>
    </w:p>
    <w:p w:rsidR="006B0396" w:rsidRPr="006F660F" w:rsidRDefault="006B0396" w:rsidP="006B0396">
      <w:pPr>
        <w:keepNext/>
        <w:rPr>
          <w:u w:val="single"/>
        </w:rPr>
      </w:pPr>
      <w:r w:rsidRPr="006F660F">
        <w:rPr>
          <w:u w:val="single"/>
        </w:rPr>
        <w:t>Modality 2</w:t>
      </w:r>
    </w:p>
    <w:p w:rsidR="006B0396" w:rsidRPr="006F660F" w:rsidRDefault="006B0396" w:rsidP="006B0396">
      <w:pPr>
        <w:keepNext/>
      </w:pPr>
    </w:p>
    <w:p w:rsidR="006B0396" w:rsidRDefault="006B0396" w:rsidP="006B0396">
      <w:pPr>
        <w:pStyle w:val="Heading1"/>
      </w:pPr>
      <w:r w:rsidRPr="006F660F">
        <w:t xml:space="preserve">Another </w:t>
      </w:r>
      <w:r>
        <w:t xml:space="preserve">modality considered </w:t>
      </w:r>
      <w:r w:rsidRPr="006F660F">
        <w:t xml:space="preserve">was grouping Article 5 countries according to their HCFC baselines for compliance (used as a proxy in the absence of estimated/calculated HFC baselines), without differentiating LVC countries from non-LVC countries, with increasing funding levels </w:t>
      </w:r>
      <w:r>
        <w:t xml:space="preserve">proportional to increases in their </w:t>
      </w:r>
      <w:r w:rsidRPr="006F660F">
        <w:t>HCFC baselines</w:t>
      </w:r>
      <w:r>
        <w:t>. T</w:t>
      </w:r>
      <w:r w:rsidRPr="006F660F">
        <w:t xml:space="preserve">his </w:t>
      </w:r>
      <w:r>
        <w:t xml:space="preserve">modality </w:t>
      </w:r>
      <w:r w:rsidRPr="006F660F">
        <w:t>is similar to the approach used for the phase-out of HCFCs for LVC countries in decision 60/44 (</w:t>
      </w:r>
      <w:r>
        <w:t xml:space="preserve">for </w:t>
      </w:r>
      <w:r w:rsidRPr="006F660F">
        <w:t>stage I of the HPMPs) and decision 74/50 (</w:t>
      </w:r>
      <w:r>
        <w:t xml:space="preserve">for </w:t>
      </w:r>
      <w:r w:rsidRPr="006F660F">
        <w:t>subsequent stages)</w:t>
      </w:r>
      <w:r>
        <w:t>,</w:t>
      </w:r>
      <w:r w:rsidRPr="006F660F">
        <w:t xml:space="preserve"> and extended to non-LVC countries instead of using a unique cost-effectiveness threshold (e.g., </w:t>
      </w:r>
      <w:r>
        <w:t>US $</w:t>
      </w:r>
      <w:r w:rsidRPr="006F660F">
        <w:t xml:space="preserve">4.80/kg) applicable to the HCFC consumption in the refrigeration servicing sector eligible for funding. </w:t>
      </w:r>
    </w:p>
    <w:p w:rsidR="006B0396" w:rsidRDefault="006B0396" w:rsidP="006B0396">
      <w:pPr>
        <w:pStyle w:val="Heading1"/>
      </w:pPr>
      <w:r w:rsidRPr="006F660F">
        <w:t xml:space="preserve">This </w:t>
      </w:r>
      <w:r>
        <w:t xml:space="preserve">modality would </w:t>
      </w:r>
      <w:r w:rsidRPr="006F660F">
        <w:t xml:space="preserve">allow for the development of a holistic strategy for addressing the phase-out of HCFCs and the phase-down of HFCs, for implementing a number of </w:t>
      </w:r>
      <w:r>
        <w:t>common</w:t>
      </w:r>
      <w:r w:rsidRPr="006F660F">
        <w:t xml:space="preserve"> activities addressing the two groups of controlled substances, avoiding duplication of </w:t>
      </w:r>
      <w:r>
        <w:t>efforts</w:t>
      </w:r>
      <w:r w:rsidRPr="006F660F">
        <w:t xml:space="preserve"> (and thus costs), and </w:t>
      </w:r>
      <w:r>
        <w:t>streamlining the</w:t>
      </w:r>
      <w:r w:rsidRPr="006F660F">
        <w:t xml:space="preserve"> administrative workload of the Multilateral Fund institutions.</w:t>
      </w:r>
    </w:p>
    <w:p w:rsidR="006B0396" w:rsidRDefault="006B0396" w:rsidP="006B0396">
      <w:pPr>
        <w:pStyle w:val="Heading1"/>
      </w:pPr>
      <w:r w:rsidRPr="006F660F">
        <w:t>Although this would be the preferred modality for funding,</w:t>
      </w:r>
      <w:r>
        <w:t xml:space="preserve"> at present,</w:t>
      </w:r>
      <w:r w:rsidRPr="006F660F">
        <w:t xml:space="preserve"> in the absence of the estimated/established HFC baselines for compliance and the sectoral distribution of HFCs in the various applications, it is not possible to have a meaningful grouping of Article 5 countries </w:t>
      </w:r>
      <w:r>
        <w:t xml:space="preserve">(especially in the case of non-LVC countries) </w:t>
      </w:r>
      <w:r w:rsidRPr="006F660F">
        <w:t xml:space="preserve">and establish the associated funding levels to achieve compliance with the control obligations set under the Kigali Amendment. </w:t>
      </w:r>
    </w:p>
    <w:p w:rsidR="006B0396" w:rsidRDefault="006B0396" w:rsidP="006B0396">
      <w:pPr>
        <w:pStyle w:val="Heading1"/>
        <w:widowControl w:val="0"/>
      </w:pPr>
      <w:r w:rsidRPr="006F660F">
        <w:t>Furthermore,</w:t>
      </w:r>
      <w:r>
        <w:t xml:space="preserve"> </w:t>
      </w:r>
      <w:r w:rsidRPr="006F660F">
        <w:t xml:space="preserve">after 2030 Article 5 countries </w:t>
      </w:r>
      <w:r>
        <w:t>would have phased-out HCFCs</w:t>
      </w:r>
      <w:r>
        <w:rPr>
          <w:rStyle w:val="FootnoteReference"/>
        </w:rPr>
        <w:footnoteReference w:id="30"/>
      </w:r>
      <w:r>
        <w:t xml:space="preserve"> and activities in the refrigeration servicing sector would only be associated to the phase-down of HFCs</w:t>
      </w:r>
      <w:r w:rsidRPr="006F660F">
        <w:t xml:space="preserve">; at that time, a thorough assessment of the modalities and levels of funds for phasing down HFC consumption in the servicing sector in future stages </w:t>
      </w:r>
      <w:r>
        <w:t>sh</w:t>
      </w:r>
      <w:r w:rsidRPr="006F660F">
        <w:t>ould be undertaken</w:t>
      </w:r>
      <w:r>
        <w:t xml:space="preserve"> based on the remaining HFC phase-down needed and the scenario of HFC uses and alternatives available in the market</w:t>
      </w:r>
      <w:r w:rsidRPr="006F660F">
        <w:t>.</w:t>
      </w:r>
    </w:p>
    <w:p w:rsidR="006B0396" w:rsidRPr="006F660F" w:rsidRDefault="006B0396" w:rsidP="006B0396">
      <w:pPr>
        <w:rPr>
          <w:u w:val="single"/>
        </w:rPr>
      </w:pPr>
      <w:r w:rsidRPr="006F660F">
        <w:rPr>
          <w:u w:val="single"/>
        </w:rPr>
        <w:t>Modality 3</w:t>
      </w:r>
    </w:p>
    <w:p w:rsidR="006B0396" w:rsidRPr="006F660F" w:rsidRDefault="006B0396" w:rsidP="006B0396"/>
    <w:p w:rsidR="006B0396" w:rsidRDefault="006B0396" w:rsidP="0007759F">
      <w:pPr>
        <w:pStyle w:val="Heading1"/>
        <w:widowControl w:val="0"/>
        <w:spacing w:after="120"/>
      </w:pPr>
      <w:r>
        <w:t xml:space="preserve">This modality considered </w:t>
      </w:r>
      <w:r w:rsidRPr="00295A4D">
        <w:t>extending the modalit</w:t>
      </w:r>
      <w:r>
        <w:t>y of funding</w:t>
      </w:r>
      <w:r w:rsidRPr="00295A4D">
        <w:t xml:space="preserve"> agreed under decision 74/50</w:t>
      </w:r>
      <w:r>
        <w:t xml:space="preserve"> for the first stage of HFC phase-down plans when HCFC phase-out and HFC phase-down overlap.</w:t>
      </w:r>
      <w:r>
        <w:rPr>
          <w:rStyle w:val="FootnoteReference"/>
        </w:rPr>
        <w:footnoteReference w:id="31"/>
      </w:r>
      <w:r w:rsidRPr="00295A4D">
        <w:t xml:space="preserve"> In the absence </w:t>
      </w:r>
      <w:r w:rsidRPr="007B739B">
        <w:t>of estimated/established HFC baselines, LVC countries were grouped according to their HCFC baselines (eight groups) with associated funding levels; and non-LVC countries with their HCFC baselines below 25,000 </w:t>
      </w:r>
      <w:proofErr w:type="spellStart"/>
      <w:r w:rsidRPr="007B739B">
        <w:t>mt</w:t>
      </w:r>
      <w:proofErr w:type="spellEnd"/>
      <w:r w:rsidRPr="007B739B">
        <w:t xml:space="preserve"> were all considered in one group, irrespective of their HCFC baselines, with funding for phase</w:t>
      </w:r>
      <w:r w:rsidRPr="007B739B">
        <w:noBreakHyphen/>
        <w:t>out activities provided at a fixed cost effectiveness. Funding for Article 5 countries with HCFC baseline above 25,000 </w:t>
      </w:r>
      <w:proofErr w:type="spellStart"/>
      <w:r w:rsidRPr="007B739B">
        <w:t>mt</w:t>
      </w:r>
      <w:proofErr w:type="spellEnd"/>
      <w:r w:rsidRPr="007B739B">
        <w:t xml:space="preserve"> would be</w:t>
      </w:r>
      <w:r>
        <w:t xml:space="preserve"> considered on a case-by-case basis. Similar to the previous modality, this modality </w:t>
      </w:r>
      <w:r w:rsidRPr="00295A4D">
        <w:t xml:space="preserve">would allow for the development of a holistic </w:t>
      </w:r>
      <w:r>
        <w:t xml:space="preserve">HCFC phase-out/HFC phase-down </w:t>
      </w:r>
      <w:r w:rsidRPr="00295A4D">
        <w:t xml:space="preserve">strategy, </w:t>
      </w:r>
      <w:r>
        <w:t xml:space="preserve">for </w:t>
      </w:r>
      <w:r w:rsidRPr="00295A4D">
        <w:t xml:space="preserve">implementing </w:t>
      </w:r>
      <w:r>
        <w:t xml:space="preserve">several </w:t>
      </w:r>
      <w:r w:rsidRPr="00295A4D">
        <w:t xml:space="preserve">activities addressing the two groups of controlled substances, avoiding duplication of </w:t>
      </w:r>
      <w:r>
        <w:t>efforts</w:t>
      </w:r>
      <w:r w:rsidRPr="00295A4D">
        <w:t xml:space="preserve">, and </w:t>
      </w:r>
      <w:r>
        <w:t>streamlining</w:t>
      </w:r>
      <w:r w:rsidRPr="00295A4D">
        <w:t xml:space="preserve"> the administrative workload of the Fund institutions</w:t>
      </w:r>
      <w:r w:rsidR="0007759F">
        <w:t>.</w:t>
      </w:r>
    </w:p>
    <w:p w:rsidR="006B0396" w:rsidRDefault="006B0396" w:rsidP="006B0396">
      <w:pPr>
        <w:pStyle w:val="Heading1"/>
      </w:pPr>
      <w:r>
        <w:lastRenderedPageBreak/>
        <w:t xml:space="preserve">In the absence of </w:t>
      </w:r>
      <w:r w:rsidRPr="007278CD">
        <w:t>the estimated/established</w:t>
      </w:r>
      <w:r>
        <w:t xml:space="preserve"> HFC baselines and the sectoral distribution of HFCs, this is the preferred modality to meet the freeze and the 10 per cent reduction of the HFC baselines, as the grouping of countries and associated funding levels of the ongoing HPMPs will remain, facilitating the integration of the phase-down/phase-out activities in the servicing sector.</w:t>
      </w:r>
    </w:p>
    <w:p w:rsidR="006B0396" w:rsidRPr="007B739B" w:rsidRDefault="006B0396" w:rsidP="006B0396">
      <w:pPr>
        <w:pStyle w:val="Heading1"/>
      </w:pPr>
      <w:r w:rsidRPr="00F12103">
        <w:t xml:space="preserve">For LVC countries, the Secretariat considered that additional funding could be up to </w:t>
      </w:r>
      <w:r>
        <w:t>15</w:t>
      </w:r>
      <w:r w:rsidRPr="00F12103">
        <w:t xml:space="preserve"> p</w:t>
      </w:r>
      <w:r w:rsidRPr="00B71D56">
        <w:t xml:space="preserve">er cent of the overall funding agreed under decision 74/50, on the understanding that the LVC countries commit to meet the freeze and the 10 per cent reduction of their HFC baselines. </w:t>
      </w:r>
      <w:r>
        <w:t xml:space="preserve">This </w:t>
      </w:r>
      <w:r w:rsidRPr="00B71D56">
        <w:t>funding</w:t>
      </w:r>
      <w:r>
        <w:t xml:space="preserve">, which is around one and a half times </w:t>
      </w:r>
      <w:r w:rsidRPr="00B71D56">
        <w:t>the funding approved to meet the 10 per cent reduction on HCFC consumption</w:t>
      </w:r>
      <w:r>
        <w:t xml:space="preserve"> under decision </w:t>
      </w:r>
      <w:r w:rsidRPr="007643F3">
        <w:t>60/44</w:t>
      </w:r>
      <w:r w:rsidRPr="00B71D56">
        <w:t xml:space="preserve">, will allow LVC countries </w:t>
      </w:r>
      <w:r>
        <w:t xml:space="preserve">to </w:t>
      </w:r>
      <w:r w:rsidRPr="00B71D56">
        <w:t xml:space="preserve">address the challenges described in </w:t>
      </w:r>
      <w:r>
        <w:t>the documents related to the refrigeration servicing sector and the integrated/parallel implementation of the HCFC phase</w:t>
      </w:r>
      <w:r>
        <w:noBreakHyphen/>
        <w:t>out/HFC phase</w:t>
      </w:r>
      <w:r>
        <w:noBreakHyphen/>
        <w:t xml:space="preserve">down </w:t>
      </w:r>
      <w:r w:rsidRPr="00F12103">
        <w:t xml:space="preserve">referred </w:t>
      </w:r>
      <w:r w:rsidRPr="007B739B">
        <w:t xml:space="preserve">to under section Background above, and summarized in the present document. </w:t>
      </w:r>
    </w:p>
    <w:p w:rsidR="006B0396" w:rsidRPr="007B739B" w:rsidRDefault="006B0396" w:rsidP="006B0396">
      <w:pPr>
        <w:pStyle w:val="Heading1"/>
      </w:pPr>
      <w:r w:rsidRPr="007B739B">
        <w:t>In addition, within these funding levels, the request by the Parties under paragraph 16 of decision XXVIII/2 (i.e., introduction of alternatives to HCFCs with low- and/or zero-GWP refrigerants and maintaining energy efficiency in the servicing/end-user sector)</w:t>
      </w:r>
      <w:r>
        <w:t xml:space="preserve"> </w:t>
      </w:r>
      <w:r w:rsidRPr="007B739B">
        <w:t>could be addressed.</w:t>
      </w:r>
    </w:p>
    <w:p w:rsidR="006B0396" w:rsidRPr="007B739B" w:rsidRDefault="006B0396" w:rsidP="006B0396">
      <w:pPr>
        <w:pStyle w:val="Heading1"/>
      </w:pPr>
      <w:r w:rsidRPr="007B739B">
        <w:t>Table 5 shows the level of funding proposed for stage I of the HFC phase-down plans for LVC countries.</w:t>
      </w:r>
    </w:p>
    <w:p w:rsidR="006B0396" w:rsidRPr="00C576DF" w:rsidRDefault="006B0396" w:rsidP="006B0396">
      <w:pPr>
        <w:pStyle w:val="Heading1"/>
        <w:numPr>
          <w:ilvl w:val="0"/>
          <w:numId w:val="0"/>
        </w:numPr>
        <w:spacing w:after="0"/>
        <w:rPr>
          <w:b/>
        </w:rPr>
      </w:pPr>
      <w:r w:rsidRPr="00C576DF">
        <w:rPr>
          <w:b/>
        </w:rPr>
        <w:t>Table 5. Funding levels proposed for stage I of the HFC phase-down plans in LVC countries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630"/>
        <w:gridCol w:w="1633"/>
        <w:gridCol w:w="1842"/>
        <w:gridCol w:w="1560"/>
        <w:gridCol w:w="1558"/>
      </w:tblGrid>
      <w:tr w:rsidR="006B0396" w:rsidRPr="00295A4D" w:rsidTr="004426BD">
        <w:trPr>
          <w:tblHeader/>
        </w:trPr>
        <w:tc>
          <w:tcPr>
            <w:tcW w:w="603" w:type="pct"/>
            <w:vMerge w:val="restart"/>
            <w:shd w:val="clear" w:color="auto" w:fill="auto"/>
            <w:noWrap/>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Baseline (</w:t>
            </w:r>
            <w:proofErr w:type="spellStart"/>
            <w:r w:rsidRPr="00CD030F">
              <w:rPr>
                <w:b/>
                <w:bCs/>
                <w:color w:val="000000"/>
                <w:sz w:val="20"/>
                <w:szCs w:val="20"/>
                <w:lang w:eastAsia="es-419"/>
              </w:rPr>
              <w:t>mt</w:t>
            </w:r>
            <w:proofErr w:type="spellEnd"/>
            <w:r w:rsidRPr="00CD030F">
              <w:rPr>
                <w:b/>
                <w:bCs/>
                <w:color w:val="000000"/>
                <w:sz w:val="20"/>
                <w:szCs w:val="20"/>
                <w:lang w:eastAsia="es-419"/>
              </w:rPr>
              <w:t>)</w:t>
            </w:r>
          </w:p>
        </w:tc>
        <w:tc>
          <w:tcPr>
            <w:tcW w:w="1745" w:type="pct"/>
            <w:gridSpan w:val="2"/>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HCFC phase-out funding</w:t>
            </w:r>
          </w:p>
        </w:tc>
        <w:tc>
          <w:tcPr>
            <w:tcW w:w="985"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Maximum HFC phase-down funding</w:t>
            </w:r>
            <w:r>
              <w:rPr>
                <w:b/>
                <w:bCs/>
                <w:color w:val="000000"/>
                <w:sz w:val="20"/>
                <w:szCs w:val="20"/>
                <w:lang w:eastAsia="es-419"/>
              </w:rPr>
              <w:t xml:space="preserve"> </w:t>
            </w:r>
            <w:r w:rsidRPr="00CD030F">
              <w:rPr>
                <w:b/>
                <w:bCs/>
                <w:color w:val="000000"/>
                <w:sz w:val="20"/>
                <w:szCs w:val="20"/>
                <w:lang w:eastAsia="es-419"/>
              </w:rPr>
              <w:t>Stage I: 10%</w:t>
            </w:r>
          </w:p>
        </w:tc>
        <w:tc>
          <w:tcPr>
            <w:tcW w:w="834"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Number of countries*</w:t>
            </w:r>
          </w:p>
        </w:tc>
        <w:tc>
          <w:tcPr>
            <w:tcW w:w="833"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 xml:space="preserve">Total stage I </w:t>
            </w:r>
            <w:r>
              <w:rPr>
                <w:b/>
                <w:bCs/>
                <w:color w:val="000000"/>
                <w:sz w:val="20"/>
                <w:szCs w:val="20"/>
                <w:lang w:eastAsia="es-419"/>
              </w:rPr>
              <w:t xml:space="preserve"> </w:t>
            </w:r>
            <w:r w:rsidRPr="00CD030F">
              <w:rPr>
                <w:b/>
                <w:bCs/>
                <w:color w:val="000000"/>
                <w:sz w:val="20"/>
                <w:szCs w:val="20"/>
                <w:lang w:eastAsia="es-419"/>
              </w:rPr>
              <w:t>HFC phase</w:t>
            </w:r>
            <w:r>
              <w:rPr>
                <w:b/>
                <w:bCs/>
                <w:color w:val="000000"/>
                <w:sz w:val="20"/>
                <w:szCs w:val="20"/>
                <w:lang w:eastAsia="es-419"/>
              </w:rPr>
              <w:noBreakHyphen/>
            </w:r>
            <w:r w:rsidRPr="00CD030F">
              <w:rPr>
                <w:b/>
                <w:bCs/>
                <w:color w:val="000000"/>
                <w:sz w:val="20"/>
                <w:szCs w:val="20"/>
                <w:lang w:eastAsia="es-419"/>
              </w:rPr>
              <w:t xml:space="preserve">down funding </w:t>
            </w:r>
          </w:p>
        </w:tc>
      </w:tr>
      <w:tr w:rsidR="006B0396" w:rsidRPr="00295A4D" w:rsidTr="004426BD">
        <w:trPr>
          <w:tblHeader/>
        </w:trPr>
        <w:tc>
          <w:tcPr>
            <w:tcW w:w="603" w:type="pct"/>
            <w:vMerge/>
            <w:shd w:val="clear" w:color="auto" w:fill="auto"/>
            <w:noWrap/>
            <w:hideMark/>
          </w:tcPr>
          <w:p w:rsidR="006B0396" w:rsidRPr="00CD030F" w:rsidRDefault="006B0396" w:rsidP="004426BD">
            <w:pPr>
              <w:jc w:val="center"/>
              <w:rPr>
                <w:b/>
                <w:bCs/>
                <w:color w:val="000000"/>
                <w:sz w:val="20"/>
                <w:szCs w:val="20"/>
                <w:lang w:eastAsia="es-419"/>
              </w:rPr>
            </w:pPr>
          </w:p>
        </w:tc>
        <w:tc>
          <w:tcPr>
            <w:tcW w:w="872" w:type="pct"/>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 xml:space="preserve">Total </w:t>
            </w:r>
          </w:p>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(decision 74/50)</w:t>
            </w:r>
          </w:p>
        </w:tc>
        <w:tc>
          <w:tcPr>
            <w:tcW w:w="873" w:type="pct"/>
            <w:tcMar>
              <w:left w:w="0" w:type="dxa"/>
              <w:right w:w="0" w:type="dxa"/>
            </w:tcMa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Stage I: 10% (decision 60/44)</w:t>
            </w:r>
          </w:p>
        </w:tc>
        <w:tc>
          <w:tcPr>
            <w:tcW w:w="985"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c>
          <w:tcPr>
            <w:tcW w:w="834"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c>
          <w:tcPr>
            <w:tcW w:w="833"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&gt;0 &lt;15</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587,500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51,700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88,125</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21</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1,850,625</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15 &lt;40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750,000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66,000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112,500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17</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1,912,000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40 &lt;80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800,000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88,000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120,000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13</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1,560,000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80 &lt;120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900,000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99,000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135,000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10</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1,350,000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120 &lt;160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950,000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104,500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142,500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9</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1,282,500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160 &lt;200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1,000,000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110,000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150,000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3</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450,000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200 &lt;320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1,600,000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176,000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240,000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12</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2,880,000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320 &lt;360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1,800,000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198,000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270,000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2</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540,000</w:t>
            </w:r>
          </w:p>
        </w:tc>
      </w:tr>
    </w:tbl>
    <w:p w:rsidR="006B0396" w:rsidRPr="00C576DF" w:rsidRDefault="006B0396" w:rsidP="006B0396">
      <w:pPr>
        <w:pStyle w:val="Heading1"/>
        <w:numPr>
          <w:ilvl w:val="0"/>
          <w:numId w:val="0"/>
        </w:numPr>
        <w:rPr>
          <w:sz w:val="19"/>
          <w:szCs w:val="19"/>
        </w:rPr>
      </w:pPr>
      <w:r w:rsidRPr="00C576DF">
        <w:rPr>
          <w:sz w:val="19"/>
          <w:szCs w:val="19"/>
        </w:rPr>
        <w:t>*</w:t>
      </w:r>
      <w:r>
        <w:rPr>
          <w:sz w:val="19"/>
          <w:szCs w:val="19"/>
        </w:rPr>
        <w:t> </w:t>
      </w:r>
      <w:r w:rsidRPr="00C576DF">
        <w:rPr>
          <w:sz w:val="19"/>
          <w:szCs w:val="19"/>
        </w:rPr>
        <w:t>Seven non-LVC countries (Benin, Burkina Faso, Democratic Republic of the Congo, Ecuador, Gabon, Madagascar and Togo) requested funding similar to countries with an HCFC baseline between 320 and 360 </w:t>
      </w:r>
      <w:proofErr w:type="spellStart"/>
      <w:r w:rsidRPr="00C576DF">
        <w:rPr>
          <w:sz w:val="19"/>
          <w:szCs w:val="19"/>
        </w:rPr>
        <w:t>mt.</w:t>
      </w:r>
      <w:proofErr w:type="spellEnd"/>
    </w:p>
    <w:p w:rsidR="006B0396" w:rsidRPr="0087079F" w:rsidRDefault="006B0396" w:rsidP="006B0396">
      <w:pPr>
        <w:pStyle w:val="Heading1"/>
      </w:pPr>
      <w:r w:rsidRPr="0087079F">
        <w:t>For many non-LVC countries, it could be expected that compliance with the freeze and the 10 per cent reduction of the HFC baseline could be met solely or mostly through the conversion of manufacturing enterprises</w:t>
      </w:r>
      <w:r w:rsidRPr="00E57EF4">
        <w:t xml:space="preserve">. Given that non-LVC countries will be extensively implementing activities in the refrigeration servicing sector to meet their last HCFC </w:t>
      </w:r>
      <w:r w:rsidRPr="00036124">
        <w:t>compliance targets, and notwithstanding the funding still not being disbursed or yet to be approved under future stages of their HPMPs (estimated at US $551.5 million)</w:t>
      </w:r>
      <w:r>
        <w:t>,</w:t>
      </w:r>
      <w:r w:rsidRPr="00036124">
        <w:rPr>
          <w:rStyle w:val="FootnoteReference"/>
        </w:rPr>
        <w:footnoteReference w:id="32"/>
      </w:r>
      <w:r w:rsidRPr="00036124">
        <w:t xml:space="preserve"> it would be relevant to approve additional funding for addressing the phase-down of HFCs in the servicing sector as the impact of integrating both groups of substances into</w:t>
      </w:r>
      <w:r w:rsidRPr="0087079F">
        <w:t xml:space="preserve"> a holistic strategy would have a substantive impact on the activities being implemented</w:t>
      </w:r>
      <w:r>
        <w:t>,</w:t>
      </w:r>
      <w:r w:rsidRPr="0087079F">
        <w:t xml:space="preserve"> and will favour the adoption of low</w:t>
      </w:r>
      <w:r>
        <w:noBreakHyphen/>
      </w:r>
      <w:r w:rsidRPr="0087079F">
        <w:t xml:space="preserve">GWP alternatives during the overlapping period, resulting in lower consumption of HFCs that would have been needed for servicing HFC-based RAC equipment. </w:t>
      </w:r>
      <w:r w:rsidRPr="00E57EF4">
        <w:t xml:space="preserve">In addition, the funding would help </w:t>
      </w:r>
      <w:r>
        <w:t>non</w:t>
      </w:r>
      <w:r>
        <w:noBreakHyphen/>
        <w:t xml:space="preserve">LVC countries start </w:t>
      </w:r>
      <w:r w:rsidRPr="00E57EF4">
        <w:t>address</w:t>
      </w:r>
      <w:r>
        <w:t>ing,</w:t>
      </w:r>
      <w:r w:rsidRPr="0087079F">
        <w:t xml:space="preserve"> whe</w:t>
      </w:r>
      <w:r>
        <w:t>re needed,</w:t>
      </w:r>
      <w:r w:rsidRPr="0087079F">
        <w:t xml:space="preserve"> those applications not addressed during HCFC phase-out and where growth of HFC consumption needs to be curtailed</w:t>
      </w:r>
      <w:r>
        <w:t>.</w:t>
      </w:r>
    </w:p>
    <w:p w:rsidR="006B0396" w:rsidRPr="007B739B" w:rsidRDefault="006B0396" w:rsidP="0007759F">
      <w:pPr>
        <w:pStyle w:val="Heading1"/>
        <w:widowControl w:val="0"/>
      </w:pPr>
      <w:r w:rsidRPr="007B739B">
        <w:t xml:space="preserve">Accordingly, taking into consideration the robust set of ongoing activities in the refrigeration servicing sector and the level of funds already approved and available to be approved under the last stages of the HPMPs to non-LVC countries, the Secretariat proposes additional funding of up to </w:t>
      </w:r>
      <w:r w:rsidRPr="007B739B">
        <w:lastRenderedPageBreak/>
        <w:t>US $</w:t>
      </w:r>
      <w:r>
        <w:t>3.20</w:t>
      </w:r>
      <w:r w:rsidRPr="007B739B">
        <w:t>/metric kg</w:t>
      </w:r>
      <w:r>
        <w:rPr>
          <w:rStyle w:val="FootnoteReference"/>
        </w:rPr>
        <w:footnoteReference w:id="33"/>
      </w:r>
      <w:r w:rsidRPr="007B739B">
        <w:t xml:space="preserve"> for phasing down HFCs used in the refrigeration servicing sector by non</w:t>
      </w:r>
      <w:r>
        <w:noBreakHyphen/>
      </w:r>
      <w:r w:rsidRPr="007B739B">
        <w:t>LVC countries for stage I of the HFC phase-down plans (i.e., the overlapping period between HCFC phase-out and HFC phase-down), on the understanding that the tonnage associated with the funding approved will be deducted from the starting point for aggregate consumption of HFCs, that this amount would be applicable only during the overlapping period and will be reviewed for future stages upon an assessment of needs for the refrigeration servicing sector to be undertaken in 2028 when HFC baselines will be already established, the sectoral distribution of HFCs will be already known and the scenario of alternatives to HFCs will have evolved.</w:t>
      </w:r>
    </w:p>
    <w:p w:rsidR="006B0396" w:rsidRPr="00CD05D2" w:rsidRDefault="006B0396" w:rsidP="006B0396">
      <w:pPr>
        <w:pStyle w:val="Heading1"/>
      </w:pPr>
      <w:r w:rsidRPr="00CD05D2">
        <w:t>During the HCFC phase-out, seven non-LVC countries, where the majority of the HCFC consumption was related to the refrigeration servicing sector, decided to request funding based on the funding levels for LVC countries with HCFC baseline between 320 and 360 </w:t>
      </w:r>
      <w:proofErr w:type="spellStart"/>
      <w:r w:rsidRPr="00CD05D2">
        <w:t>mt</w:t>
      </w:r>
      <w:proofErr w:type="spellEnd"/>
      <w:r w:rsidRPr="00CD05D2">
        <w:t>, agreed under decision 74/50. At present, it is not known whether the HFCs consumption in those seven countries (or possibly in other non-LVC countries) would be related only to the refrigeration servicing sector or if a significant HFC consumption would be related to the manufacturing sector. For all these non-LVC countries which will achieve the 10 per cent reduction in HFC consumption only through activities in the refrigeration servicing sector, the Secretariat suggests funding for stage I of the HFC phase-down up to US $270,000, i.e., the funding level for LVC countries with HCFC baseline between 320 and 360 </w:t>
      </w:r>
      <w:proofErr w:type="spellStart"/>
      <w:r w:rsidRPr="00CD05D2">
        <w:t>mt.</w:t>
      </w:r>
      <w:proofErr w:type="spellEnd"/>
      <w:r w:rsidRPr="00CD05D2">
        <w:t xml:space="preserve"> </w:t>
      </w:r>
    </w:p>
    <w:p w:rsidR="006B0396" w:rsidRPr="00CD6F31" w:rsidRDefault="006B0396" w:rsidP="006B0396">
      <w:pPr>
        <w:keepNext/>
        <w:keepLines/>
        <w:rPr>
          <w:u w:val="single"/>
        </w:rPr>
      </w:pPr>
      <w:r w:rsidRPr="00CD6F31">
        <w:rPr>
          <w:u w:val="single"/>
        </w:rPr>
        <w:t>Revision of the modalities and levels of funding</w:t>
      </w:r>
    </w:p>
    <w:p w:rsidR="006B0396" w:rsidRPr="00F12103" w:rsidRDefault="006B0396" w:rsidP="006B0396">
      <w:pPr>
        <w:keepNext/>
        <w:keepLines/>
      </w:pPr>
    </w:p>
    <w:p w:rsidR="006B0396" w:rsidRDefault="006B0396" w:rsidP="006B0396">
      <w:pPr>
        <w:pStyle w:val="Heading1"/>
        <w:keepNext/>
        <w:keepLines/>
      </w:pPr>
      <w:r>
        <w:t xml:space="preserve">The modalities and levels of funding being proposed in the present document are only related to the </w:t>
      </w:r>
      <w:r w:rsidRPr="00295A4D">
        <w:t>period of 2021-2030</w:t>
      </w:r>
      <w:r>
        <w:t>,</w:t>
      </w:r>
      <w:r w:rsidRPr="00295A4D">
        <w:t xml:space="preserve"> </w:t>
      </w:r>
      <w:r>
        <w:t xml:space="preserve">where </w:t>
      </w:r>
      <w:r w:rsidRPr="00295A4D">
        <w:t>Article 5 countries will be phasing out HCFCs</w:t>
      </w:r>
      <w:r>
        <w:t xml:space="preserve"> and phasing down HFCs</w:t>
      </w:r>
      <w:r w:rsidRPr="00295A4D">
        <w:t xml:space="preserve">, </w:t>
      </w:r>
      <w:r>
        <w:t xml:space="preserve">simultaneously. </w:t>
      </w:r>
      <w:r w:rsidRPr="00295A4D">
        <w:t>The</w:t>
      </w:r>
      <w:r>
        <w:t>se</w:t>
      </w:r>
      <w:r w:rsidRPr="00295A4D">
        <w:t xml:space="preserve"> funding levels would not set a precedent for the total funding that would be required</w:t>
      </w:r>
      <w:r>
        <w:t xml:space="preserve"> in the refrigeration servicing sector post 2030</w:t>
      </w:r>
      <w:r w:rsidRPr="00295A4D">
        <w:t>.</w:t>
      </w:r>
      <w:r>
        <w:t xml:space="preserve"> </w:t>
      </w:r>
      <w:r w:rsidRPr="00295A4D">
        <w:t>After 2030</w:t>
      </w:r>
      <w:r>
        <w:t xml:space="preserve">, when countries </w:t>
      </w:r>
      <w:r w:rsidRPr="00295A4D">
        <w:t xml:space="preserve">will be phasing down </w:t>
      </w:r>
      <w:r>
        <w:t xml:space="preserve">only </w:t>
      </w:r>
      <w:r w:rsidRPr="00295A4D">
        <w:t xml:space="preserve">HFCs, the modalities and </w:t>
      </w:r>
      <w:r>
        <w:t xml:space="preserve">funding levels for activities in the refrigeration servicing sector would need to be thoroughly assessed, noting that </w:t>
      </w:r>
      <w:r w:rsidRPr="00295A4D">
        <w:t xml:space="preserve">HFC baselines </w:t>
      </w:r>
      <w:r>
        <w:t xml:space="preserve">will be already </w:t>
      </w:r>
      <w:r w:rsidRPr="00295A4D">
        <w:t>established</w:t>
      </w:r>
      <w:r>
        <w:t>,</w:t>
      </w:r>
      <w:r w:rsidRPr="00295A4D">
        <w:t xml:space="preserve"> the sectoral distribution of HFCs </w:t>
      </w:r>
      <w:r>
        <w:t xml:space="preserve">will be already </w:t>
      </w:r>
      <w:r w:rsidRPr="00295A4D">
        <w:t>known</w:t>
      </w:r>
      <w:r>
        <w:t xml:space="preserve"> and the scenario of alternatives to HFCs will have evolved. The funding levels approved for the period 2021 to 2030 will be included in the overall funding level for the entire refrigeration </w:t>
      </w:r>
      <w:r w:rsidRPr="00295A4D">
        <w:t>servicing sector</w:t>
      </w:r>
      <w:r>
        <w:t>. The Executive Committee may wish to consider requesting the Secretariat to prepare this analysis at the last meeting of 2028</w:t>
      </w:r>
      <w:r w:rsidRPr="00295A4D">
        <w:t xml:space="preserve">. </w:t>
      </w:r>
    </w:p>
    <w:p w:rsidR="006B0396" w:rsidRPr="00295A4D" w:rsidRDefault="006B0396" w:rsidP="006B0396">
      <w:r w:rsidRPr="00295A4D">
        <w:rPr>
          <w:b/>
        </w:rPr>
        <w:t xml:space="preserve">RECOMMENDATION </w:t>
      </w:r>
    </w:p>
    <w:p w:rsidR="006B0396" w:rsidRPr="00295A4D" w:rsidRDefault="006B0396" w:rsidP="006B0396"/>
    <w:p w:rsidR="006B0396" w:rsidRPr="00295A4D" w:rsidRDefault="006B0396" w:rsidP="006B0396">
      <w:pPr>
        <w:pStyle w:val="Heading1"/>
      </w:pPr>
      <w:r w:rsidRPr="00295A4D">
        <w:t>The Executive Committee may wish to consider:</w:t>
      </w:r>
    </w:p>
    <w:p w:rsidR="006B0396" w:rsidRPr="00750116" w:rsidRDefault="006B0396" w:rsidP="006B0396">
      <w:pPr>
        <w:pStyle w:val="Heading2"/>
        <w:numPr>
          <w:ilvl w:val="1"/>
          <w:numId w:val="1"/>
        </w:numPr>
      </w:pPr>
      <w:r w:rsidRPr="00295A4D">
        <w:t xml:space="preserve">Noting the analysis of the level and modalities of funding for HFC </w:t>
      </w:r>
      <w:r w:rsidRPr="00750116">
        <w:t>phase-down in the refrigeration servicing sector, contained in document UNEP/OzL.Pro/ExCom/</w:t>
      </w:r>
      <w:r>
        <w:t>88/72</w:t>
      </w:r>
      <w:r w:rsidRPr="00750116">
        <w:t>;</w:t>
      </w:r>
    </w:p>
    <w:p w:rsidR="006B0396" w:rsidRPr="007B739B" w:rsidRDefault="006B0396" w:rsidP="006B0396">
      <w:pPr>
        <w:pStyle w:val="Heading2"/>
        <w:numPr>
          <w:ilvl w:val="1"/>
          <w:numId w:val="1"/>
        </w:numPr>
      </w:pPr>
      <w:r w:rsidRPr="007B739B">
        <w:t>Applying the following principles with regard to the eligible incremental costs for stage I of the HFC phase-down in the refrigeration servicing sector for the period 2021-20</w:t>
      </w:r>
      <w:r>
        <w:t>29 for Article 5 group 1 countries, and 2021-2032 for Article 5 group 2 countries, all of which are non</w:t>
      </w:r>
      <w:r>
        <w:noBreakHyphen/>
        <w:t>low</w:t>
      </w:r>
      <w:r>
        <w:noBreakHyphen/>
        <w:t>volume</w:t>
      </w:r>
      <w:r>
        <w:noBreakHyphen/>
        <w:t>consuming (LVC) countries</w:t>
      </w:r>
      <w:r w:rsidRPr="007B739B">
        <w:t>, on the understanding that the funding levels specified below would be revised for activities submitted for future HFC phase</w:t>
      </w:r>
      <w:r>
        <w:noBreakHyphen/>
      </w:r>
      <w:r w:rsidRPr="007B739B">
        <w:t xml:space="preserve">down stages when activities under HCFC phase-out management plans </w:t>
      </w:r>
      <w:r>
        <w:t xml:space="preserve">(HPMPs) </w:t>
      </w:r>
      <w:r w:rsidRPr="007B739B">
        <w:t>were completed:</w:t>
      </w:r>
    </w:p>
    <w:p w:rsidR="006B0396" w:rsidRPr="007B739B" w:rsidRDefault="006B0396" w:rsidP="0007759F">
      <w:pPr>
        <w:pStyle w:val="Heading3"/>
        <w:numPr>
          <w:ilvl w:val="2"/>
          <w:numId w:val="1"/>
        </w:numPr>
        <w:spacing w:after="120"/>
      </w:pPr>
      <w:r w:rsidRPr="007B739B">
        <w:t>Article 5 countries with total HCFC consumption baseline of up to 360</w:t>
      </w:r>
      <w:r>
        <w:t> </w:t>
      </w:r>
      <w:r w:rsidRPr="007B739B">
        <w:t>metric</w:t>
      </w:r>
      <w:r>
        <w:t> </w:t>
      </w:r>
      <w:r w:rsidRPr="007B739B">
        <w:t>tonnes (</w:t>
      </w:r>
      <w:proofErr w:type="spellStart"/>
      <w:r w:rsidRPr="007B739B">
        <w:t>mt</w:t>
      </w:r>
      <w:proofErr w:type="spellEnd"/>
      <w:r w:rsidRPr="007B739B">
        <w:t>) must include in their HFC phase-down plans, as a minimum:</w:t>
      </w:r>
    </w:p>
    <w:p w:rsidR="006B0396" w:rsidRPr="002172EE" w:rsidRDefault="006B0396" w:rsidP="006B0396">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lastRenderedPageBreak/>
        <w:t xml:space="preserve">A </w:t>
      </w:r>
      <w:r w:rsidRPr="002172EE">
        <w:rPr>
          <w:color w:val="000000" w:themeColor="text1"/>
        </w:rPr>
        <w:t>commitment to meeting, without further requests for funding at least the 10</w:t>
      </w:r>
      <w:r>
        <w:rPr>
          <w:color w:val="000000" w:themeColor="text1"/>
        </w:rPr>
        <w:t> </w:t>
      </w:r>
      <w:r w:rsidRPr="002172EE">
        <w:rPr>
          <w:color w:val="000000" w:themeColor="text1"/>
        </w:rPr>
        <w:t>per</w:t>
      </w:r>
      <w:r>
        <w:rPr>
          <w:color w:val="000000" w:themeColor="text1"/>
        </w:rPr>
        <w:t> </w:t>
      </w:r>
      <w:r w:rsidRPr="002172EE">
        <w:rPr>
          <w:color w:val="000000" w:themeColor="text1"/>
        </w:rPr>
        <w:t xml:space="preserve">cent reduction step in HFC consumption in line with the compliance schedule of the Montreal </w:t>
      </w:r>
      <w:r w:rsidRPr="00085E3F">
        <w:rPr>
          <w:color w:val="000000" w:themeColor="text1"/>
        </w:rPr>
        <w:t>Protocol, and restricting imports of HFC</w:t>
      </w:r>
      <w:r>
        <w:rPr>
          <w:color w:val="000000" w:themeColor="text1"/>
        </w:rPr>
        <w:noBreakHyphen/>
      </w:r>
      <w:r w:rsidRPr="00085E3F">
        <w:rPr>
          <w:color w:val="000000" w:themeColor="text1"/>
        </w:rPr>
        <w:t>based equipment if necessary to achieve the compliance schedule and to support relevant phase-out activities</w:t>
      </w:r>
      <w:r w:rsidRPr="002172EE">
        <w:rPr>
          <w:color w:val="000000" w:themeColor="text1"/>
        </w:rPr>
        <w:t>;</w:t>
      </w:r>
    </w:p>
    <w:p w:rsidR="006B0396" w:rsidRPr="007B739B" w:rsidRDefault="006B0396" w:rsidP="006B0396">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Mandatory reporting, by the time funding tranches for the HFC phase</w:t>
      </w:r>
      <w:r w:rsidRPr="007B739B">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sidRPr="007B739B">
        <w:rPr>
          <w:i/>
          <w:color w:val="000000" w:themeColor="text1"/>
        </w:rPr>
        <w:t xml:space="preserve"> </w:t>
      </w:r>
      <w:r w:rsidRPr="007B739B">
        <w:rPr>
          <w:color w:val="000000" w:themeColor="text1"/>
        </w:rPr>
        <w:t>of the activities associated with the next tranche; and</w:t>
      </w:r>
    </w:p>
    <w:p w:rsidR="006B0396" w:rsidRPr="007B739B" w:rsidRDefault="006B0396" w:rsidP="006B0396">
      <w:pPr>
        <w:keepNext/>
        <w:numPr>
          <w:ilvl w:val="0"/>
          <w:numId w:val="23"/>
        </w:numPr>
        <w:tabs>
          <w:tab w:val="num" w:pos="2880"/>
          <w:tab w:val="left" w:pos="5760"/>
        </w:tabs>
        <w:spacing w:after="240"/>
        <w:ind w:left="2880" w:hanging="720"/>
        <w:rPr>
          <w:color w:val="000000" w:themeColor="text1"/>
        </w:rPr>
      </w:pPr>
      <w:r w:rsidRPr="007B739B">
        <w:rPr>
          <w:color w:val="000000" w:themeColor="text1"/>
        </w:rPr>
        <w:t>A description of the roles and responsibilities of major stakeholders, as well as the lead implementing agency and the cooperating agencies, where applicable;</w:t>
      </w:r>
    </w:p>
    <w:p w:rsidR="006B0396" w:rsidRPr="00295A4D" w:rsidRDefault="006B0396" w:rsidP="006B0396">
      <w:pPr>
        <w:pStyle w:val="Heading3"/>
        <w:numPr>
          <w:ilvl w:val="2"/>
          <w:numId w:val="1"/>
        </w:numPr>
      </w:pPr>
      <w:r w:rsidRPr="00295A4D">
        <w:t>Article 5 countries that have a tota</w:t>
      </w:r>
      <w:r>
        <w:t xml:space="preserve">l </w:t>
      </w:r>
      <w:r w:rsidRPr="003516CB">
        <w:t>HCFC consumption as specified in sub</w:t>
      </w:r>
      <w:r>
        <w:noBreakHyphen/>
      </w:r>
      <w:r w:rsidRPr="003516CB">
        <w:t>paragraph</w:t>
      </w:r>
      <w:r>
        <w:t> </w:t>
      </w:r>
      <w:r w:rsidRPr="003516CB">
        <w:t>(b)(</w:t>
      </w:r>
      <w:proofErr w:type="spellStart"/>
      <w:r w:rsidRPr="003516CB">
        <w:t>i</w:t>
      </w:r>
      <w:proofErr w:type="spellEnd"/>
      <w:r w:rsidRPr="003516CB">
        <w:t>) above will be provided</w:t>
      </w:r>
      <w:r w:rsidRPr="00295A4D">
        <w:t xml:space="preserve"> funding consistent with the level of consumption in the refrigeration servicing sector, as shown in the table below, on the understanding that project proposals will still need to demonstrate that the funding level is necessary to </w:t>
      </w:r>
      <w:r w:rsidRPr="003516CB">
        <w:t>achieve at least the HFC 10 per cent</w:t>
      </w:r>
      <w:r w:rsidRPr="00295A4D">
        <w:t xml:space="preserve">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6B0396" w:rsidRPr="00295A4D" w:rsidTr="004426BD">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0396" w:rsidRPr="0037672A" w:rsidRDefault="006B0396" w:rsidP="004426BD">
            <w:pPr>
              <w:jc w:val="center"/>
              <w:rPr>
                <w:b/>
                <w:bCs/>
                <w:color w:val="000000"/>
                <w:sz w:val="20"/>
                <w:szCs w:val="20"/>
                <w:lang w:eastAsia="es-419"/>
              </w:rPr>
            </w:pPr>
            <w:r w:rsidRPr="0037672A">
              <w:rPr>
                <w:b/>
                <w:bCs/>
                <w:color w:val="000000"/>
                <w:sz w:val="20"/>
                <w:szCs w:val="20"/>
                <w:lang w:eastAsia="es-419"/>
              </w:rPr>
              <w:t>Baseline (</w:t>
            </w:r>
            <w:proofErr w:type="spellStart"/>
            <w:r w:rsidRPr="0037672A">
              <w:rPr>
                <w:b/>
                <w:bCs/>
                <w:color w:val="000000"/>
                <w:sz w:val="20"/>
                <w:szCs w:val="20"/>
                <w:lang w:eastAsia="es-419"/>
              </w:rPr>
              <w:t>mt</w:t>
            </w:r>
            <w:proofErr w:type="spellEnd"/>
            <w:r w:rsidRPr="0037672A">
              <w:rPr>
                <w:b/>
                <w:bCs/>
                <w:color w:val="000000"/>
                <w:sz w:val="20"/>
                <w:szCs w:val="20"/>
                <w:lang w:eastAsia="es-419"/>
              </w:rPr>
              <w:t>)</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rsidR="006B0396" w:rsidRPr="0037672A" w:rsidRDefault="006B0396" w:rsidP="004426BD">
            <w:pPr>
              <w:jc w:val="center"/>
              <w:rPr>
                <w:b/>
                <w:bCs/>
                <w:color w:val="000000"/>
                <w:sz w:val="20"/>
                <w:szCs w:val="20"/>
                <w:lang w:eastAsia="es-419"/>
              </w:rPr>
            </w:pPr>
            <w:r w:rsidRPr="0037672A">
              <w:rPr>
                <w:b/>
                <w:bCs/>
                <w:color w:val="000000"/>
                <w:sz w:val="20"/>
                <w:szCs w:val="20"/>
                <w:lang w:eastAsia="es-419"/>
              </w:rPr>
              <w:t>Funding (US $)</w:t>
            </w:r>
          </w:p>
        </w:tc>
      </w:tr>
      <w:tr w:rsidR="006B0396" w:rsidRPr="00295A4D" w:rsidTr="004426B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&gt;0 &lt;15</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88,125</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15 &lt;40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112,500</w:t>
            </w:r>
          </w:p>
        </w:tc>
      </w:tr>
      <w:tr w:rsidR="006B0396" w:rsidRPr="00295A4D" w:rsidTr="004426B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40 &lt;80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120,000</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80 &lt;120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135,000</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120 &lt;160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142,500</w:t>
            </w:r>
          </w:p>
        </w:tc>
      </w:tr>
      <w:tr w:rsidR="006B0396" w:rsidRPr="00295A4D" w:rsidTr="004426B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160 &lt;200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150,000</w:t>
            </w:r>
          </w:p>
        </w:tc>
      </w:tr>
      <w:tr w:rsidR="006B0396" w:rsidRPr="00295A4D" w:rsidTr="004426B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200 &lt;320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240,000</w:t>
            </w:r>
          </w:p>
        </w:tc>
      </w:tr>
      <w:tr w:rsidR="006B0396" w:rsidRPr="00295A4D" w:rsidTr="004426B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320 &lt;360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270,000</w:t>
            </w:r>
          </w:p>
        </w:tc>
      </w:tr>
    </w:tbl>
    <w:p w:rsidR="006B0396" w:rsidRPr="00295A4D" w:rsidRDefault="006B0396" w:rsidP="006B0396"/>
    <w:p w:rsidR="006B0396" w:rsidRPr="00FA2168" w:rsidRDefault="006B0396" w:rsidP="006B0396">
      <w:pPr>
        <w:pStyle w:val="Heading3"/>
        <w:numPr>
          <w:ilvl w:val="2"/>
          <w:numId w:val="1"/>
        </w:numPr>
      </w:pPr>
      <w:r w:rsidRPr="00FA2168">
        <w:t>Article 5 countries that have total HCFC consumption above 360 </w:t>
      </w:r>
      <w:proofErr w:type="spellStart"/>
      <w:r w:rsidRPr="00FA2168">
        <w:t>mt</w:t>
      </w:r>
      <w:proofErr w:type="spellEnd"/>
      <w:r w:rsidRPr="00FA2168">
        <w:t xml:space="preserve"> and below 25,000 </w:t>
      </w:r>
      <w:proofErr w:type="spellStart"/>
      <w:r w:rsidRPr="00FA2168">
        <w:t>mt</w:t>
      </w:r>
      <w:proofErr w:type="spellEnd"/>
      <w:r w:rsidRPr="00FA2168">
        <w:t xml:space="preserve"> that clearly demonstrate that they require assistance in the refrigeration servicing </w:t>
      </w:r>
      <w:r w:rsidRPr="00B11A54">
        <w:t xml:space="preserve">sector to comply </w:t>
      </w:r>
      <w:r w:rsidRPr="002172EE">
        <w:t>at least with the 10 per cent reduction step in HFC consumption in line with the compliance schedule of the Montreal Protocol, will</w:t>
      </w:r>
      <w:r w:rsidRPr="00FA2168">
        <w:t xml:space="preserve"> be provided funding at a level up to US $</w:t>
      </w:r>
      <w:r>
        <w:t>3.20</w:t>
      </w:r>
      <w:r w:rsidRPr="00FA2168">
        <w:t xml:space="preserve">/metric kg, which will be deducted from their starting point for aggregate reductions in HFC consumption; </w:t>
      </w:r>
    </w:p>
    <w:p w:rsidR="006B0396" w:rsidRPr="002172EE" w:rsidRDefault="006B0396" w:rsidP="006B0396">
      <w:pPr>
        <w:pStyle w:val="Heading3"/>
        <w:numPr>
          <w:ilvl w:val="2"/>
          <w:numId w:val="1"/>
        </w:numPr>
      </w:pPr>
      <w:r w:rsidRPr="002172EE">
        <w:t>Article 5 countries referred to in paragraph (b)(iii) above that could achieve the 10</w:t>
      </w:r>
      <w:r>
        <w:t> </w:t>
      </w:r>
      <w:r w:rsidRPr="002172EE">
        <w:t>per</w:t>
      </w:r>
      <w:r>
        <w:t> </w:t>
      </w:r>
      <w:r w:rsidRPr="002172EE">
        <w:t>cent reduction step in HFC consumption in line with the compliance schedule of the Montreal Protocol, only through activities in the refrigeration servicing sector, could receive funding up to the level determined for LVC countries with HCFC baseline between 320 and 360 </w:t>
      </w:r>
      <w:proofErr w:type="spellStart"/>
      <w:r w:rsidRPr="002172EE">
        <w:t>mt</w:t>
      </w:r>
      <w:proofErr w:type="spellEnd"/>
      <w:r w:rsidRPr="002172EE">
        <w:t xml:space="preserve"> as specified in sub</w:t>
      </w:r>
      <w:r>
        <w:noBreakHyphen/>
      </w:r>
      <w:r w:rsidRPr="002172EE">
        <w:t>paragraph (b)(ii) above, on the understanding that they must include in their HFC phase-down plans, as a minimum the requirements described in sub</w:t>
      </w:r>
      <w:r>
        <w:noBreakHyphen/>
      </w:r>
      <w:r w:rsidRPr="002172EE">
        <w:t>paragraph</w:t>
      </w:r>
      <w:r>
        <w:t> </w:t>
      </w:r>
      <w:r w:rsidRPr="002172EE">
        <w:t>(b)(</w:t>
      </w:r>
      <w:proofErr w:type="spellStart"/>
      <w:r w:rsidRPr="002172EE">
        <w:t>i</w:t>
      </w:r>
      <w:proofErr w:type="spellEnd"/>
      <w:r w:rsidRPr="002172EE">
        <w:t xml:space="preserve">) above; </w:t>
      </w:r>
    </w:p>
    <w:p w:rsidR="006B0396" w:rsidRPr="00487195" w:rsidRDefault="006B0396" w:rsidP="006B0396">
      <w:pPr>
        <w:pStyle w:val="Heading3"/>
        <w:numPr>
          <w:ilvl w:val="2"/>
          <w:numId w:val="1"/>
        </w:numPr>
      </w:pPr>
      <w:r w:rsidRPr="00487195">
        <w:t>Funding for Article 5 countries that have a total HCFC consumption baseline above 25,000 </w:t>
      </w:r>
      <w:proofErr w:type="spellStart"/>
      <w:r w:rsidRPr="00487195">
        <w:t>mt</w:t>
      </w:r>
      <w:proofErr w:type="spellEnd"/>
      <w:r w:rsidRPr="00487195">
        <w:t xml:space="preserve"> will be considered on a case-by-case basis; </w:t>
      </w:r>
    </w:p>
    <w:p w:rsidR="006B0396" w:rsidRPr="00487195" w:rsidRDefault="006B0396" w:rsidP="0007759F">
      <w:pPr>
        <w:pStyle w:val="Heading2"/>
        <w:keepNext/>
        <w:widowControl/>
        <w:numPr>
          <w:ilvl w:val="1"/>
          <w:numId w:val="1"/>
        </w:numPr>
      </w:pPr>
      <w:r w:rsidRPr="00487195">
        <w:lastRenderedPageBreak/>
        <w:t>Including the principles referred to in sub-paragraph (b) in the draft cost guidelines for the phase</w:t>
      </w:r>
      <w:r w:rsidRPr="00487195">
        <w:noBreakHyphen/>
        <w:t>down of HFCs and revising these principles in 2028 for the funding of future stages of HFC phase-down plans; and</w:t>
      </w:r>
    </w:p>
    <w:p w:rsidR="006B0396" w:rsidRPr="00FA2168" w:rsidRDefault="006B0396" w:rsidP="006B0396">
      <w:pPr>
        <w:pStyle w:val="Heading2"/>
        <w:numPr>
          <w:ilvl w:val="1"/>
          <w:numId w:val="1"/>
        </w:numPr>
      </w:pPr>
      <w:r w:rsidRPr="00487195">
        <w:t>Whether to add the increase of funds agreed in the discussion of document UNEP/OzL.Pro/ExCom/88/75 on ways to operationalize paragraph 16 of decision</w:t>
      </w:r>
      <w:r w:rsidRPr="00750116">
        <w:t> XXVIII/2, and paragraph 2 of decision XXX</w:t>
      </w:r>
      <w:r w:rsidRPr="00FA2168">
        <w:t>/5, to the approval of stage I of the HFC phase-down</w:t>
      </w:r>
      <w:r>
        <w:t xml:space="preserve"> instead of the HPMP</w:t>
      </w:r>
      <w:r w:rsidRPr="00FA2168">
        <w:t>, noting that the activities proposed for such increase of funds will benefit both HCFC phase-out and HFC phase-down through introduction of alternatives with low and zero GWP to HFC and maintain energy efficiency also in the servicing/end</w:t>
      </w:r>
      <w:r w:rsidRPr="00FA2168">
        <w:noBreakHyphen/>
        <w:t>user sector for LVC countries.</w:t>
      </w:r>
    </w:p>
    <w:p w:rsidR="006B0396" w:rsidRPr="00295A4D" w:rsidRDefault="006B0396" w:rsidP="006B0396"/>
    <w:p w:rsidR="006B0396" w:rsidRPr="00295A4D" w:rsidRDefault="006B0396" w:rsidP="006B0396">
      <w:pPr>
        <w:sectPr w:rsidR="006B0396" w:rsidRPr="00295A4D" w:rsidSect="004426BD">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rsidR="006B0396" w:rsidRPr="00295A4D" w:rsidRDefault="006B0396" w:rsidP="006B0396">
      <w:pPr>
        <w:jc w:val="center"/>
        <w:rPr>
          <w:b/>
        </w:rPr>
      </w:pPr>
      <w:r w:rsidRPr="00295A4D">
        <w:rPr>
          <w:b/>
        </w:rPr>
        <w:lastRenderedPageBreak/>
        <w:t xml:space="preserve">Annex I </w:t>
      </w:r>
    </w:p>
    <w:p w:rsidR="006B0396" w:rsidRPr="00295A4D" w:rsidRDefault="006B0396" w:rsidP="006B0396">
      <w:pPr>
        <w:jc w:val="center"/>
        <w:rPr>
          <w:b/>
        </w:rPr>
      </w:pPr>
    </w:p>
    <w:p w:rsidR="006B0396" w:rsidRDefault="006B0396" w:rsidP="006B0396">
      <w:pPr>
        <w:jc w:val="center"/>
        <w:rPr>
          <w:b/>
        </w:rPr>
      </w:pPr>
      <w:r>
        <w:rPr>
          <w:b/>
        </w:rPr>
        <w:t xml:space="preserve">AN OVERVIEW OF POTENTIAL MODALITIES FOR INTEGRATING </w:t>
      </w:r>
    </w:p>
    <w:p w:rsidR="006B0396" w:rsidRPr="00295A4D" w:rsidRDefault="006B0396" w:rsidP="006B0396">
      <w:pPr>
        <w:jc w:val="center"/>
        <w:rPr>
          <w:b/>
        </w:rPr>
      </w:pPr>
      <w:r w:rsidRPr="00295A4D">
        <w:rPr>
          <w:b/>
        </w:rPr>
        <w:t xml:space="preserve">HCFC PHASE-OUT AND HFC PHASE-DOWN </w:t>
      </w:r>
      <w:r>
        <w:rPr>
          <w:b/>
        </w:rPr>
        <w:t xml:space="preserve">ACTIVITIES </w:t>
      </w:r>
      <w:r w:rsidRPr="00295A4D">
        <w:rPr>
          <w:b/>
        </w:rPr>
        <w:t>IN THE REFRIGERATION SERVICING SECTOR</w:t>
      </w:r>
    </w:p>
    <w:p w:rsidR="006B0396" w:rsidRPr="00295A4D" w:rsidRDefault="006B0396" w:rsidP="006B0396"/>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6B0396" w:rsidRPr="006C774D" w:rsidTr="004426BD">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Categories*</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Target</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Covered under HPMP</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Possibility of integration</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Policy development and implementation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Operational HCFC import//export licensing and quota systems established. Additional regulatory measures in the refrigeration servicing sector promulgated depending on the country.</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In most countries, the basic regulations so far cover only to HCFCs (such as the licensing and quota system and bans on equipment containing HCFC). Additional work will be required to identify additional importers/distributors/users of HFCs, to start recording data in a systematic manner and to ensure the establishment of a regulatory framework that also addresses HFCs.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Training of customs officers and prevention of illegal trade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Customs departments, customs officers, enforcement officers from other government departments, importers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Regular customs training on control of HCFCs provided. Custom departments strengthened with equipment (identifiers), these identifiers may also operate with most common HFCs. Contents of training on HCFC control included in the training curricula of customs departments. Capacity has been created (or is being created) for the customs departments to continue providing HCFC training in their regular training programme provided to officers. However, this training has so far not included HFCs control as they were not controlled under the Montreal Protocol.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The subject related to HFC phase-down needs to be integrated in the current training to customs departments and enforcement officers. Additional training will be required on HFC substances (pure and blends), ways to control their imports/exports (including harmonized systems codes) and ways to measure consumption/compliance in CO</w:t>
            </w:r>
            <w:r w:rsidRPr="006C774D">
              <w:rPr>
                <w:color w:val="000000"/>
                <w:sz w:val="18"/>
                <w:szCs w:val="18"/>
                <w:vertAlign w:val="subscript"/>
                <w:lang w:eastAsia="es-419"/>
              </w:rPr>
              <w:t>2</w:t>
            </w:r>
            <w:r w:rsidRPr="006C774D">
              <w:rPr>
                <w:color w:val="000000"/>
                <w:sz w:val="18"/>
                <w:szCs w:val="18"/>
                <w:lang w:eastAsia="es-419"/>
              </w:rPr>
              <w:t xml:space="preserve"> equivalent. Periodic training updates are also needed due to the high</w:t>
            </w:r>
            <w:r>
              <w:rPr>
                <w:color w:val="000000"/>
                <w:sz w:val="18"/>
                <w:szCs w:val="18"/>
                <w:lang w:eastAsia="es-419"/>
              </w:rPr>
              <w:noBreakHyphen/>
            </w:r>
            <w:r w:rsidRPr="006C774D">
              <w:rPr>
                <w:color w:val="000000"/>
                <w:sz w:val="18"/>
                <w:szCs w:val="18"/>
                <w:lang w:eastAsia="es-419"/>
              </w:rPr>
              <w:t>rotation nature of the customs departments’ personnel. This additional training can benefit from already established partnerships with relevant institutions, and Montreal Protocol knowledge and infrastructure already built during CFC and HCFC phase-out.</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Training of technicians on safe handling, good practices and safety in respect of alternatives, including training equipment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Technicians, technical institutes, refrigeration associations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Multiple training in good servicing practices delivered over time. Through HPMPs good servicing practices have been included in training institutes' training curricula and training institutes have been strengthened with technical assistance and equipment. Many Article 5 countries already included training on low</w:t>
            </w:r>
            <w:r w:rsidRPr="006C774D">
              <w:rPr>
                <w:color w:val="000000"/>
                <w:sz w:val="18"/>
                <w:szCs w:val="18"/>
                <w:lang w:eastAsia="es-419"/>
              </w:rPr>
              <w:noBreakHyphen/>
            </w:r>
            <w:r w:rsidRPr="006C774D">
              <w:rPr>
                <w:color w:val="000000"/>
                <w:sz w:val="18"/>
                <w:szCs w:val="18"/>
                <w:lang w:eastAsia="es-419"/>
              </w:rPr>
              <w:noBreakHyphen/>
              <w:t>global</w:t>
            </w:r>
            <w:r w:rsidRPr="006C774D">
              <w:rPr>
                <w:color w:val="000000"/>
                <w:sz w:val="18"/>
                <w:szCs w:val="18"/>
                <w:lang w:eastAsia="es-419"/>
              </w:rPr>
              <w:noBreakHyphen/>
              <w:t>warming</w:t>
            </w:r>
            <w:r w:rsidRPr="006C774D">
              <w:rPr>
                <w:color w:val="000000"/>
                <w:sz w:val="18"/>
                <w:szCs w:val="18"/>
                <w:lang w:eastAsia="es-419"/>
              </w:rPr>
              <w:noBreakHyphen/>
              <w:t>potential (GWP) alternatives in their training programmes, including safe practices for flammable and toxic refrigerants. However, equipment based on those technologies is not widely available yet.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Training infrastructure strengthened through HPMPs. Continuous training on handling low-GWP refrigerants needed as population of equipment based on these alternatives grows. This activity may need to be complemented by certification (discussed below) to ensure technicians comply with minimum requirements to service equipment based on low</w:t>
            </w:r>
            <w:r w:rsidRPr="006C774D">
              <w:rPr>
                <w:color w:val="000000"/>
                <w:sz w:val="18"/>
                <w:szCs w:val="18"/>
                <w:lang w:eastAsia="es-419"/>
              </w:rPr>
              <w:noBreakHyphen/>
              <w:t xml:space="preserve">GWP refrigerants. In addition, training needs associated to </w:t>
            </w:r>
            <w:r>
              <w:rPr>
                <w:color w:val="000000"/>
                <w:sz w:val="18"/>
                <w:szCs w:val="18"/>
                <w:lang w:eastAsia="es-419"/>
              </w:rPr>
              <w:t>mobile air-</w:t>
            </w:r>
            <w:r w:rsidRPr="001B49D0">
              <w:rPr>
                <w:color w:val="000000"/>
                <w:sz w:val="18"/>
                <w:szCs w:val="18"/>
                <w:lang w:eastAsia="es-419"/>
              </w:rPr>
              <w:t xml:space="preserve">conditioning </w:t>
            </w:r>
            <w:r>
              <w:rPr>
                <w:color w:val="000000"/>
                <w:sz w:val="18"/>
                <w:szCs w:val="18"/>
                <w:lang w:eastAsia="es-419"/>
              </w:rPr>
              <w:t>(</w:t>
            </w:r>
            <w:r w:rsidRPr="006C774D">
              <w:rPr>
                <w:color w:val="000000"/>
                <w:sz w:val="18"/>
                <w:szCs w:val="18"/>
                <w:lang w:eastAsia="es-419"/>
              </w:rPr>
              <w:t>MAC</w:t>
            </w:r>
            <w:r>
              <w:rPr>
                <w:color w:val="000000"/>
                <w:sz w:val="18"/>
                <w:szCs w:val="18"/>
                <w:lang w:eastAsia="es-419"/>
              </w:rPr>
              <w:t>)</w:t>
            </w:r>
            <w:r w:rsidRPr="006C774D">
              <w:rPr>
                <w:color w:val="000000"/>
                <w:sz w:val="18"/>
                <w:szCs w:val="18"/>
                <w:lang w:eastAsia="es-419"/>
              </w:rPr>
              <w:t xml:space="preserve"> application may need to be assessed, if this application has not been already covered by general good refrigeration practices.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widowControl w:val="0"/>
              <w:rPr>
                <w:color w:val="000000"/>
                <w:sz w:val="18"/>
                <w:szCs w:val="18"/>
                <w:lang w:eastAsia="es-419"/>
              </w:rPr>
            </w:pPr>
            <w:r w:rsidRPr="006C774D">
              <w:rPr>
                <w:color w:val="000000"/>
                <w:sz w:val="18"/>
                <w:szCs w:val="18"/>
                <w:lang w:eastAsia="es-419"/>
              </w:rPr>
              <w:t>Certification programmes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Technicians, refrigeration associations,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Most countries are developing certification schemes under the HPMP. Technicians certification so far focused on good practices, which cover HCFC and HFC based refrigerants. Additional specialized modules for handling low-GWP refrigerants or provide service to specific, complex applications still to be developed.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Certification infrastructure already created or being created through the HPMPs. Certification of technicians so far focused on good servicing practices covering both HCFC and HFC. The HFC phase</w:t>
            </w:r>
            <w:r>
              <w:rPr>
                <w:color w:val="000000"/>
                <w:sz w:val="18"/>
                <w:szCs w:val="18"/>
                <w:lang w:eastAsia="es-419"/>
              </w:rPr>
              <w:noBreakHyphen/>
            </w:r>
            <w:r w:rsidRPr="006C774D">
              <w:rPr>
                <w:color w:val="000000"/>
                <w:sz w:val="18"/>
                <w:szCs w:val="18"/>
                <w:lang w:eastAsia="es-419"/>
              </w:rPr>
              <w:t>down will cause larger import and manufacturing of equipment using low</w:t>
            </w:r>
            <w:r w:rsidRPr="006C774D">
              <w:rPr>
                <w:color w:val="000000"/>
                <w:sz w:val="18"/>
                <w:szCs w:val="18"/>
                <w:lang w:eastAsia="es-419"/>
              </w:rPr>
              <w:noBreakHyphen/>
              <w:t xml:space="preserve">GWP refrigerants that could be flammable, operate at higher pressure conditions or be toxic. This will require that technicians expecting to work with these technologies upgrade their certification to additional competencies in order to be able to do it in a safe manner. Certification schemes then will need to add new certification competencies including handling low-GWP refrigerants. Additional work required in the long term to certify a large portion of </w:t>
            </w:r>
            <w:r w:rsidRPr="006C774D">
              <w:rPr>
                <w:color w:val="000000"/>
                <w:sz w:val="18"/>
                <w:szCs w:val="18"/>
                <w:lang w:eastAsia="es-419"/>
              </w:rPr>
              <w:lastRenderedPageBreak/>
              <w:t>technicians to handle low</w:t>
            </w:r>
            <w:r w:rsidRPr="006C774D">
              <w:rPr>
                <w:color w:val="000000"/>
                <w:sz w:val="18"/>
                <w:szCs w:val="18"/>
                <w:lang w:eastAsia="es-419"/>
              </w:rPr>
              <w:noBreakHyphen/>
              <w:t>GWP alternatives being introduced in the countries.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lastRenderedPageBreak/>
              <w:t>Refrigerant testing equipment for the refrigeration and air</w:t>
            </w:r>
            <w:r w:rsidRPr="006C774D">
              <w:rPr>
                <w:color w:val="000000"/>
                <w:sz w:val="18"/>
                <w:szCs w:val="18"/>
                <w:lang w:eastAsia="es-419"/>
              </w:rPr>
              <w:noBreakHyphen/>
              <w:t>conditioning sector</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Training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Training institutions strengthened with equipment during the HPMPs.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Refrigerant testing equipment under HPMPs is already for low</w:t>
            </w:r>
            <w:r w:rsidRPr="006C774D">
              <w:rPr>
                <w:color w:val="000000"/>
                <w:sz w:val="18"/>
                <w:szCs w:val="18"/>
                <w:lang w:eastAsia="es-419"/>
              </w:rPr>
              <w:noBreakHyphen/>
              <w:t xml:space="preserve">GWP refrigerants. Additional equipment may be needed in some countries to have a larger coverage of training institutes.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Servicing tools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Only a portion of technicians covered through the HPMPs. For the majority of countries, it is not possible to cover all technicians. Servicing tool kits in some countries already include additional tools to handle low-GWP refrigerants, but in other countries they have not included them.</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Servicing tools can continue being provided to cover a larger population of technicians. In some countries the servicing kits would need to add tools needed for servicing equipment with low</w:t>
            </w:r>
            <w:r>
              <w:rPr>
                <w:color w:val="000000"/>
                <w:sz w:val="18"/>
                <w:szCs w:val="18"/>
                <w:lang w:eastAsia="es-419"/>
              </w:rPr>
              <w:noBreakHyphen/>
            </w:r>
            <w:r w:rsidRPr="006C774D">
              <w:rPr>
                <w:color w:val="000000"/>
                <w:sz w:val="18"/>
                <w:szCs w:val="18"/>
                <w:lang w:eastAsia="es-419"/>
              </w:rPr>
              <w:t xml:space="preserve">GWP alternatives (flammability, high pressure); tool kits may also need to be provided to technicians from new sectors (e.g., MAC).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Recycling and recovery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refrigerant importers and distributors, end-users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Recovery and recycling programmes implemented in practically all Article 5 countries with different level of success. During the last HPMP stages countries are improving their networks by promulgating the required regulations to support recovery and recycling (and reclaiming where applicable), and establishing business models with operators to make the operation economically sustainable. In some countries the equipment provided can handle the most common HFCs. During the ongoing stages of HPMPs, Article 5 countries will focus on ensuring the maximum possible impact of recovery, recycling and reclaiming of HCFC</w:t>
            </w:r>
            <w:r w:rsidRPr="006C774D">
              <w:rPr>
                <w:color w:val="000000"/>
                <w:sz w:val="18"/>
                <w:szCs w:val="18"/>
                <w:lang w:eastAsia="es-419"/>
              </w:rPr>
              <w:noBreakHyphen/>
              <w:t xml:space="preserve">22.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Opportunities to expand the refrigerant recovery, recycling and reclaiming programmes to HFCs given the additional uses of HFCs in RAC applications, including large commercial equipment and </w:t>
            </w:r>
            <w:r>
              <w:rPr>
                <w:color w:val="000000"/>
                <w:sz w:val="18"/>
                <w:szCs w:val="18"/>
                <w:lang w:eastAsia="es-419"/>
              </w:rPr>
              <w:t>MAC</w:t>
            </w:r>
            <w:r w:rsidRPr="006C774D">
              <w:rPr>
                <w:color w:val="000000"/>
                <w:sz w:val="18"/>
                <w:szCs w:val="18"/>
                <w:lang w:eastAsia="es-419"/>
              </w:rPr>
              <w:t>, and a wider variety of pure and blended refrigerants that will require additional equipment and logistical considerations, including potential larger amounts of unwanted refrigerant. All activities on MAC will be additional as there is no use of HCFCs in this sector. Use of HFCs in commercial refrigeration applications may also be larger than that of HCFC</w:t>
            </w:r>
            <w:r w:rsidRPr="006C774D">
              <w:rPr>
                <w:color w:val="000000"/>
                <w:sz w:val="18"/>
                <w:szCs w:val="18"/>
                <w:lang w:eastAsia="es-419"/>
              </w:rPr>
              <w:noBreakHyphen/>
              <w:t xml:space="preserve">22.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Public awareness activities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importers and distributors, end</w:t>
            </w:r>
            <w:r>
              <w:rPr>
                <w:color w:val="000000"/>
                <w:sz w:val="18"/>
                <w:szCs w:val="18"/>
                <w:lang w:eastAsia="es-419"/>
              </w:rPr>
              <w:noBreakHyphen/>
            </w:r>
            <w:r w:rsidRPr="006C774D">
              <w:rPr>
                <w:color w:val="000000"/>
                <w:sz w:val="18"/>
                <w:szCs w:val="18"/>
                <w:lang w:eastAsia="es-419"/>
              </w:rPr>
              <w:t>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Annual public and targeted awareness campaigns being implemented under HPMPs to support HCFC phase-out efforts in the servicing sector.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Platforms used for public awareness related to HCFC are the same for HFCs. Additional efforts may be required to address applications where HCFC are not used, such as domestic refrigeration, MAC and a larger portion of commercial refrigeration applications.</w:t>
            </w:r>
          </w:p>
        </w:tc>
      </w:tr>
      <w:tr w:rsidR="006B0396" w:rsidRPr="00295A4D" w:rsidTr="004426BD">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Technical assistance and capacity building to address safety issues associated with alternatives with low and zero GWP for all sectors (paragraph 23 of decision XXVIII/2)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end</w:t>
            </w:r>
            <w:r>
              <w:rPr>
                <w:color w:val="000000"/>
                <w:sz w:val="18"/>
                <w:szCs w:val="18"/>
                <w:lang w:eastAsia="es-419"/>
              </w:rPr>
              <w:noBreakHyphen/>
            </w:r>
            <w:r w:rsidRPr="006C774D">
              <w:rPr>
                <w:color w:val="000000"/>
                <w:sz w:val="18"/>
                <w:szCs w:val="18"/>
                <w:lang w:eastAsia="es-419"/>
              </w:rPr>
              <w:t>users, importers and distributors,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Codes of practice </w:t>
            </w:r>
            <w:r>
              <w:rPr>
                <w:color w:val="000000"/>
                <w:sz w:val="18"/>
                <w:szCs w:val="18"/>
                <w:lang w:eastAsia="es-419"/>
              </w:rPr>
              <w:t>being updated through HPMPs. National ozone unit</w:t>
            </w:r>
            <w:r w:rsidRPr="006C774D">
              <w:rPr>
                <w:color w:val="000000"/>
                <w:sz w:val="18"/>
                <w:szCs w:val="18"/>
                <w:lang w:eastAsia="es-419"/>
              </w:rPr>
              <w:t>s collaborating on the processes to adopt industry standards that would allow a larger use of equipment based on flammable low</w:t>
            </w:r>
            <w:r w:rsidRPr="006C774D">
              <w:rPr>
                <w:color w:val="000000"/>
                <w:sz w:val="18"/>
                <w:szCs w:val="18"/>
                <w:lang w:eastAsia="es-419"/>
              </w:rPr>
              <w:noBreakHyphen/>
              <w:t>GWP refrigerants. Additional considerations on training covered in the training section above.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295A4D" w:rsidRDefault="006B0396" w:rsidP="004426BD">
            <w:pPr>
              <w:jc w:val="left"/>
              <w:rPr>
                <w:color w:val="000000"/>
                <w:sz w:val="18"/>
                <w:szCs w:val="18"/>
                <w:lang w:eastAsia="es-419"/>
              </w:rPr>
            </w:pPr>
            <w:r w:rsidRPr="006C774D">
              <w:rPr>
                <w:color w:val="000000"/>
                <w:sz w:val="18"/>
                <w:szCs w:val="18"/>
                <w:lang w:eastAsia="es-419"/>
              </w:rPr>
              <w:t>The need for a larger influx of equipment based on low</w:t>
            </w:r>
            <w:r w:rsidRPr="006C774D">
              <w:rPr>
                <w:color w:val="000000"/>
                <w:sz w:val="18"/>
                <w:szCs w:val="18"/>
                <w:lang w:eastAsia="es-419"/>
              </w:rPr>
              <w:noBreakHyphen/>
              <w:t>GWP refrigerants, some of them flammable, would require a more systematic collaboration with national safety authorities. This will require additional efforts. Given the need to give priority to this activity in line with decision XXVIII/2, these efforts should start at the early stages of HFC phase-down to allow proper transition to low</w:t>
            </w:r>
            <w:r>
              <w:rPr>
                <w:color w:val="000000"/>
                <w:sz w:val="18"/>
                <w:szCs w:val="18"/>
                <w:lang w:eastAsia="es-419"/>
              </w:rPr>
              <w:noBreakHyphen/>
            </w:r>
            <w:r w:rsidRPr="006C774D">
              <w:rPr>
                <w:color w:val="000000"/>
                <w:sz w:val="18"/>
                <w:szCs w:val="18"/>
                <w:lang w:eastAsia="es-419"/>
              </w:rPr>
              <w:t>GWP alternatives.</w:t>
            </w:r>
          </w:p>
        </w:tc>
      </w:tr>
    </w:tbl>
    <w:p w:rsidR="006B0396" w:rsidRDefault="006B0396" w:rsidP="006B0396">
      <w:pPr>
        <w:rPr>
          <w:sz w:val="18"/>
          <w:szCs w:val="18"/>
        </w:rPr>
      </w:pPr>
      <w:r w:rsidRPr="005D3977">
        <w:rPr>
          <w:sz w:val="18"/>
          <w:szCs w:val="18"/>
        </w:rPr>
        <w:t>* As per paragraph 15(c) of decision XVIII/2 of the Parties.</w:t>
      </w:r>
    </w:p>
    <w:p w:rsidR="006B0396" w:rsidRDefault="006B0396" w:rsidP="006B0396">
      <w:pPr>
        <w:rPr>
          <w:sz w:val="18"/>
          <w:szCs w:val="18"/>
        </w:rPr>
      </w:pPr>
    </w:p>
    <w:p w:rsidR="006B0396" w:rsidRDefault="006B0396" w:rsidP="006B0396">
      <w:pPr>
        <w:rPr>
          <w:sz w:val="18"/>
          <w:szCs w:val="18"/>
        </w:rPr>
      </w:pPr>
    </w:p>
    <w:p w:rsidR="006B0396" w:rsidRDefault="006B0396" w:rsidP="006B0396">
      <w:pPr>
        <w:sectPr w:rsidR="006B0396" w:rsidSect="004426B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pPr>
    </w:p>
    <w:p w:rsidR="006B0396" w:rsidRPr="00134E73" w:rsidRDefault="006B0396" w:rsidP="006B0396">
      <w:pPr>
        <w:jc w:val="center"/>
        <w:rPr>
          <w:b/>
        </w:rPr>
      </w:pPr>
      <w:r w:rsidRPr="00134E73">
        <w:rPr>
          <w:b/>
        </w:rPr>
        <w:lastRenderedPageBreak/>
        <w:t>Annex II</w:t>
      </w:r>
    </w:p>
    <w:p w:rsidR="006B0396" w:rsidRPr="00134E73" w:rsidRDefault="006B0396" w:rsidP="006B0396">
      <w:pPr>
        <w:jc w:val="center"/>
        <w:rPr>
          <w:b/>
        </w:rPr>
      </w:pPr>
    </w:p>
    <w:p w:rsidR="006B0396" w:rsidRPr="00134E73" w:rsidRDefault="006B0396" w:rsidP="006B0396">
      <w:pPr>
        <w:jc w:val="center"/>
        <w:rPr>
          <w:b/>
        </w:rPr>
      </w:pPr>
      <w:r w:rsidRPr="00134E73">
        <w:rPr>
          <w:b/>
        </w:rPr>
        <w:t xml:space="preserve">GUIDELINES FOR THE PREPARATION OF </w:t>
      </w:r>
      <w:r>
        <w:rPr>
          <w:b/>
        </w:rPr>
        <w:t xml:space="preserve">THE </w:t>
      </w:r>
      <w:r w:rsidRPr="00134E73">
        <w:rPr>
          <w:b/>
        </w:rPr>
        <w:t>KIGALI HFC IMPLEMENTATION PLANS FOR ARTICLE 5 COUNTRIES (DECISION 87/50)</w:t>
      </w:r>
    </w:p>
    <w:p w:rsidR="006B0396" w:rsidRPr="00134E73" w:rsidRDefault="006B0396" w:rsidP="006B0396"/>
    <w:p w:rsidR="006B0396" w:rsidRPr="006B0396" w:rsidRDefault="006B0396" w:rsidP="006B0396">
      <w:pPr>
        <w:pStyle w:val="Heading1"/>
        <w:numPr>
          <w:ilvl w:val="0"/>
          <w:numId w:val="38"/>
        </w:numPr>
        <w:rPr>
          <w:b/>
          <w:u w:val="single"/>
          <w:lang w:val="en-GB"/>
        </w:rPr>
      </w:pPr>
      <w:r w:rsidRPr="006B0396">
        <w:rPr>
          <w:b/>
          <w:lang w:val="en-GB"/>
        </w:rPr>
        <w:t xml:space="preserve">The Executive Committee </w:t>
      </w:r>
      <w:r w:rsidRPr="006B0396">
        <w:rPr>
          <w:b/>
          <w:u w:val="single"/>
          <w:lang w:val="en-GB"/>
        </w:rPr>
        <w:t>decided</w:t>
      </w:r>
      <w:r w:rsidRPr="006B0396">
        <w:rPr>
          <w:b/>
          <w:lang w:val="en-GB"/>
        </w:rPr>
        <w:t>:</w:t>
      </w:r>
    </w:p>
    <w:p w:rsidR="006B0396" w:rsidRPr="0037672A" w:rsidRDefault="006B0396" w:rsidP="006B0396">
      <w:pPr>
        <w:pStyle w:val="Heading2"/>
        <w:numPr>
          <w:ilvl w:val="1"/>
          <w:numId w:val="1"/>
        </w:numPr>
        <w:rPr>
          <w:b/>
        </w:rPr>
      </w:pPr>
      <w:r w:rsidRPr="0037672A">
        <w:rPr>
          <w:b/>
          <w:lang w:val="en-GB"/>
        </w:rPr>
        <w:t>To note the draft guidelines for the preparation of HFC phase-down plans for Article 5 countries, contained in document UNEP/</w:t>
      </w:r>
      <w:proofErr w:type="spellStart"/>
      <w:r w:rsidRPr="0037672A">
        <w:rPr>
          <w:b/>
          <w:lang w:val="en-GB"/>
        </w:rPr>
        <w:t>OzL.Pro</w:t>
      </w:r>
      <w:proofErr w:type="spellEnd"/>
      <w:r w:rsidRPr="0037672A">
        <w:rPr>
          <w:b/>
          <w:lang w:val="en-GB"/>
        </w:rPr>
        <w:t>/</w:t>
      </w:r>
      <w:proofErr w:type="spellStart"/>
      <w:r w:rsidRPr="0037672A">
        <w:rPr>
          <w:b/>
          <w:lang w:val="en-GB"/>
        </w:rPr>
        <w:t>ExCom</w:t>
      </w:r>
      <w:proofErr w:type="spellEnd"/>
      <w:r w:rsidRPr="0037672A">
        <w:rPr>
          <w:b/>
          <w:lang w:val="en-GB"/>
        </w:rPr>
        <w:t>/87/46;</w:t>
      </w:r>
    </w:p>
    <w:p w:rsidR="006B0396" w:rsidRPr="00134E73" w:rsidRDefault="006B0396" w:rsidP="006B0396">
      <w:pPr>
        <w:pStyle w:val="Heading2"/>
        <w:numPr>
          <w:ilvl w:val="1"/>
          <w:numId w:val="1"/>
        </w:numPr>
        <w:rPr>
          <w:b/>
          <w:lang w:val="en-GB"/>
        </w:rPr>
      </w:pPr>
      <w:r w:rsidRPr="00134E73">
        <w:rPr>
          <w:b/>
          <w:lang w:val="en-GB"/>
        </w:rPr>
        <w:t>To include, in the funding for the preparation of an overarching strategy for stage I of the HFC phase-down plan, henceforth referred to as the</w:t>
      </w:r>
      <w:r>
        <w:rPr>
          <w:b/>
          <w:lang w:val="en-GB"/>
        </w:rPr>
        <w:t xml:space="preserve"> Kigali HFC implementation plan </w:t>
      </w:r>
      <w:r w:rsidRPr="00134E73">
        <w:rPr>
          <w:b/>
          <w:lang w:val="en-GB"/>
        </w:rPr>
        <w:t>(KIP), assistance for:</w:t>
      </w:r>
    </w:p>
    <w:p w:rsidR="006B0396" w:rsidRPr="00134E73" w:rsidRDefault="006B0396" w:rsidP="006B0396">
      <w:pPr>
        <w:widowControl w:val="0"/>
        <w:numPr>
          <w:ilvl w:val="2"/>
          <w:numId w:val="1"/>
        </w:numPr>
        <w:spacing w:after="240"/>
        <w:outlineLvl w:val="2"/>
        <w:rPr>
          <w:b/>
          <w:lang w:val="en-GB"/>
        </w:rPr>
      </w:pPr>
      <w:r w:rsidRPr="00134E73">
        <w:rPr>
          <w:b/>
          <w:lang w:val="en-GB"/>
        </w:rPr>
        <w:t>Extending existing or developing new legislation, policies and regulations as required for the import/export licensing and quota systems for controlled substances under Annex F (HFCs) of the Montreal Protocol;</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The conduct of a survey of HFC consumption and its sectoral distribution, surveys of enterprises in the manufacturing and servicing sectors, with analysis of the data to estimate the HFC baselines for compliance, and taking into account any HFC surveys conducted;</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The development of the overarching strategy for the phase-down of HFCs and a plan of action that would include the refrigeration servicing sector for stage</w:t>
      </w:r>
      <w:r>
        <w:rPr>
          <w:b/>
          <w:lang w:val="en-GB"/>
        </w:rPr>
        <w:t> </w:t>
      </w:r>
      <w:r w:rsidRPr="00134E73">
        <w:rPr>
          <w:b/>
          <w:lang w:val="en-GB"/>
        </w:rPr>
        <w:t>I of the KIPs to address the freeze and 10 per cent reduction in HFC consumption;</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For those countries that wished to do so, consideration of integrating HFC phase</w:t>
      </w:r>
      <w:r w:rsidRPr="00134E73">
        <w:rPr>
          <w:b/>
          <w:lang w:val="en-GB"/>
        </w:rPr>
        <w:noBreakHyphen/>
        <w:t>down activities with HCFC phase-out management plan activities;</w:t>
      </w:r>
    </w:p>
    <w:p w:rsidR="006B0396" w:rsidRPr="00134E73" w:rsidRDefault="006B0396" w:rsidP="006B0396">
      <w:pPr>
        <w:numPr>
          <w:ilvl w:val="2"/>
          <w:numId w:val="1"/>
        </w:numPr>
        <w:spacing w:after="240"/>
        <w:outlineLvl w:val="2"/>
        <w:rPr>
          <w:b/>
          <w:lang w:val="en-GB"/>
        </w:rPr>
      </w:pPr>
      <w:r w:rsidRPr="00134E73">
        <w:rPr>
          <w:b/>
          <w:lang w:val="en-GB"/>
        </w:rPr>
        <w:t>For those countries that wished to do so, a description of relevant national initiatives, policies, regulations, and standards associated with maintaining and/or enhancing energy efficiency;</w:t>
      </w:r>
    </w:p>
    <w:p w:rsidR="006B0396" w:rsidRPr="00134E73" w:rsidRDefault="006B0396" w:rsidP="006B0396">
      <w:pPr>
        <w:keepNext/>
        <w:numPr>
          <w:ilvl w:val="1"/>
          <w:numId w:val="1"/>
        </w:numPr>
        <w:spacing w:after="240"/>
        <w:outlineLvl w:val="1"/>
        <w:rPr>
          <w:b/>
          <w:lang w:val="en-GB"/>
        </w:rPr>
      </w:pPr>
      <w:r w:rsidRPr="00134E73">
        <w:rPr>
          <w:b/>
          <w:lang w:val="en-GB"/>
        </w:rPr>
        <w:t>To provide funding for the elements described in sub-paragraphs (b)(</w:t>
      </w:r>
      <w:proofErr w:type="spellStart"/>
      <w:r w:rsidRPr="00134E73">
        <w:rPr>
          <w:b/>
          <w:lang w:val="en-GB"/>
        </w:rPr>
        <w:t>i</w:t>
      </w:r>
      <w:proofErr w:type="spellEnd"/>
      <w:r w:rsidRPr="00134E73">
        <w:rPr>
          <w:b/>
          <w:lang w:val="en-GB"/>
        </w:rPr>
        <w:t>) to (v) above, as specified in the table below, based on the country’s HCFC consumption baseline:</w:t>
      </w:r>
    </w:p>
    <w:tbl>
      <w:tblPr>
        <w:tblW w:w="7920" w:type="dxa"/>
        <w:tblInd w:w="1495" w:type="dxa"/>
        <w:tblLayout w:type="fixed"/>
        <w:tblLook w:val="04A0" w:firstRow="1" w:lastRow="0" w:firstColumn="1" w:lastColumn="0" w:noHBand="0" w:noVBand="1"/>
      </w:tblPr>
      <w:tblGrid>
        <w:gridCol w:w="3839"/>
        <w:gridCol w:w="4081"/>
      </w:tblGrid>
      <w:tr w:rsidR="006B0396" w:rsidRPr="00134E73" w:rsidTr="004426BD">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keepNext/>
              <w:jc w:val="center"/>
              <w:rPr>
                <w:b/>
                <w:bCs/>
                <w:color w:val="000000"/>
                <w:sz w:val="21"/>
                <w:szCs w:val="21"/>
                <w:lang w:val="en-US"/>
              </w:rPr>
            </w:pPr>
            <w:r w:rsidRPr="00134E73">
              <w:rPr>
                <w:b/>
                <w:bCs/>
                <w:color w:val="000000"/>
                <w:sz w:val="21"/>
                <w:szCs w:val="21"/>
                <w:lang w:val="en-US"/>
              </w:rPr>
              <w:t xml:space="preserve">HCFC baseline </w:t>
            </w:r>
          </w:p>
          <w:p w:rsidR="006B0396" w:rsidRPr="00134E73" w:rsidRDefault="006B0396" w:rsidP="004426BD">
            <w:pPr>
              <w:keepNext/>
              <w:jc w:val="center"/>
              <w:rPr>
                <w:b/>
                <w:bCs/>
                <w:color w:val="000000"/>
                <w:sz w:val="21"/>
                <w:szCs w:val="21"/>
                <w:lang w:val="en-US"/>
              </w:rPr>
            </w:pPr>
            <w:r w:rsidRPr="00134E73">
              <w:rPr>
                <w:b/>
                <w:bCs/>
                <w:color w:val="000000"/>
                <w:sz w:val="21"/>
                <w:szCs w:val="21"/>
                <w:lang w:val="en-US"/>
              </w:rPr>
              <w:t xml:space="preserve">(ODP </w:t>
            </w:r>
            <w:proofErr w:type="spellStart"/>
            <w:r w:rsidRPr="00134E73">
              <w:rPr>
                <w:b/>
                <w:bCs/>
                <w:color w:val="000000"/>
                <w:sz w:val="21"/>
                <w:szCs w:val="21"/>
                <w:lang w:val="en-US"/>
              </w:rPr>
              <w:t>tonnes</w:t>
            </w:r>
            <w:proofErr w:type="spellEnd"/>
            <w:r w:rsidRPr="00134E73">
              <w:rPr>
                <w:b/>
                <w:bCs/>
                <w:color w:val="000000"/>
                <w:sz w:val="21"/>
                <w:szCs w:val="21"/>
                <w:lang w:val="en-U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rsidR="006B0396" w:rsidRPr="00134E73" w:rsidRDefault="006B0396" w:rsidP="004426BD">
            <w:pPr>
              <w:widowControl w:val="0"/>
              <w:jc w:val="center"/>
              <w:rPr>
                <w:b/>
                <w:bCs/>
                <w:color w:val="000000"/>
                <w:sz w:val="21"/>
                <w:szCs w:val="21"/>
                <w:lang w:val="en-US"/>
              </w:rPr>
            </w:pPr>
            <w:r w:rsidRPr="00134E73">
              <w:rPr>
                <w:b/>
                <w:bCs/>
                <w:color w:val="000000"/>
                <w:sz w:val="21"/>
                <w:szCs w:val="21"/>
                <w:lang w:val="en-US"/>
              </w:rPr>
              <w:t>Funding for preparation of stage I of the KIPs (US $)</w:t>
            </w:r>
          </w:p>
        </w:tc>
      </w:tr>
      <w:tr w:rsidR="006B0396" w:rsidRPr="00134E73" w:rsidTr="004426BD">
        <w:tc>
          <w:tcPr>
            <w:tcW w:w="3810"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ind w:left="102"/>
              <w:rPr>
                <w:b/>
                <w:color w:val="000000"/>
                <w:sz w:val="21"/>
                <w:szCs w:val="21"/>
                <w:lang w:val="en-US"/>
              </w:rPr>
            </w:pPr>
            <w:r w:rsidRPr="00134E73">
              <w:rPr>
                <w:b/>
                <w:sz w:val="21"/>
                <w:szCs w:val="21"/>
                <w:lang w:val="en-GB"/>
              </w:rPr>
              <w:t xml:space="preserve">Below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100,000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keepNext/>
              <w:ind w:left="102"/>
              <w:rPr>
                <w:b/>
                <w:color w:val="000000"/>
                <w:sz w:val="21"/>
                <w:szCs w:val="21"/>
                <w:lang w:val="en-US"/>
              </w:rPr>
            </w:pPr>
            <w:r w:rsidRPr="00134E73">
              <w:rPr>
                <w:b/>
                <w:sz w:val="21"/>
                <w:szCs w:val="21"/>
                <w:lang w:val="en-GB"/>
              </w:rPr>
              <w:t>1 and up to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130,000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 xml:space="preserve">Above 6 and up to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170,000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20 and up to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190,000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100 and up to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220,000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1,000 and up to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230,000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6B0396" w:rsidRPr="00134E73" w:rsidRDefault="006B0396" w:rsidP="004426BD">
            <w:pPr>
              <w:widowControl w:val="0"/>
              <w:ind w:right="1242"/>
              <w:jc w:val="right"/>
              <w:rPr>
                <w:b/>
                <w:color w:val="000000"/>
                <w:sz w:val="21"/>
                <w:szCs w:val="21"/>
                <w:lang w:val="en-US"/>
              </w:rPr>
            </w:pPr>
            <w:r w:rsidRPr="00134E73">
              <w:rPr>
                <w:b/>
                <w:color w:val="000000"/>
                <w:sz w:val="21"/>
                <w:szCs w:val="21"/>
                <w:lang w:val="en-US"/>
              </w:rPr>
              <w:t>case-by-case</w:t>
            </w:r>
          </w:p>
        </w:tc>
      </w:tr>
    </w:tbl>
    <w:p w:rsidR="006B0396" w:rsidRPr="00134E73" w:rsidRDefault="006B0396" w:rsidP="006B0396">
      <w:pPr>
        <w:rPr>
          <w:b/>
        </w:rPr>
      </w:pPr>
    </w:p>
    <w:p w:rsidR="006B0396" w:rsidRPr="00134E73" w:rsidRDefault="006B0396" w:rsidP="006B0396">
      <w:pPr>
        <w:widowControl w:val="0"/>
        <w:numPr>
          <w:ilvl w:val="1"/>
          <w:numId w:val="1"/>
        </w:numPr>
        <w:spacing w:after="240"/>
        <w:outlineLvl w:val="1"/>
        <w:rPr>
          <w:b/>
          <w:lang w:val="en-GB"/>
        </w:rPr>
      </w:pPr>
      <w:r w:rsidRPr="00134E73">
        <w:rPr>
          <w:b/>
          <w:lang w:val="en-GB"/>
        </w:rPr>
        <w:t>To determine and provide funding for, on a case-by-case basis, the preparation of stage I of any regional KIPs and those countries with an HCFC baseline consumption above 2,000 ODP tonnes;</w:t>
      </w:r>
    </w:p>
    <w:p w:rsidR="006B0396" w:rsidRPr="00134E73" w:rsidRDefault="006B0396" w:rsidP="006B0396">
      <w:pPr>
        <w:widowControl w:val="0"/>
        <w:numPr>
          <w:ilvl w:val="1"/>
          <w:numId w:val="1"/>
        </w:numPr>
        <w:spacing w:after="240"/>
        <w:outlineLvl w:val="1"/>
        <w:rPr>
          <w:b/>
          <w:lang w:val="en-GB"/>
        </w:rPr>
      </w:pPr>
      <w:r w:rsidRPr="00134E73">
        <w:rPr>
          <w:b/>
          <w:lang w:val="en-GB"/>
        </w:rPr>
        <w:lastRenderedPageBreak/>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rsidR="006B0396" w:rsidRPr="00134E73" w:rsidRDefault="006B0396" w:rsidP="006B0396">
      <w:pPr>
        <w:widowControl w:val="0"/>
        <w:numPr>
          <w:ilvl w:val="1"/>
          <w:numId w:val="1"/>
        </w:numPr>
        <w:spacing w:after="240"/>
        <w:outlineLvl w:val="1"/>
        <w:rPr>
          <w:b/>
          <w:lang w:val="en-GB"/>
        </w:rPr>
      </w:pPr>
      <w:r w:rsidRPr="00134E73">
        <w:rPr>
          <w:b/>
          <w:lang w:val="en-GB"/>
        </w:rPr>
        <w:t xml:space="preserve">To provide funding for any Article 5 country with a manufacturing sector using HFCs according to the number of manufacturing enterprises to be converted in line with decision 56/16(d) and (f), as follows: </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 xml:space="preserve">One enterprise to be converted in a manufacturing sector: US $30,000; </w:t>
      </w:r>
    </w:p>
    <w:p w:rsidR="006B0396" w:rsidRPr="00134E73" w:rsidRDefault="006B0396" w:rsidP="006B0396">
      <w:pPr>
        <w:widowControl w:val="0"/>
        <w:numPr>
          <w:ilvl w:val="2"/>
          <w:numId w:val="1"/>
        </w:numPr>
        <w:spacing w:after="240"/>
        <w:outlineLvl w:val="2"/>
        <w:rPr>
          <w:b/>
          <w:lang w:val="en-GB"/>
        </w:rPr>
      </w:pPr>
      <w:r w:rsidRPr="00134E73">
        <w:rPr>
          <w:b/>
          <w:lang w:val="en-GB"/>
        </w:rPr>
        <w:t xml:space="preserve">Two enterprises to be converted in a manufacturing sector: US $60,000; </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Three to 14 enterprises to be converted in a manufacturing sector: US $80,000;</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Fifteen or more enterprises to be converted in a manufacturing sector: US $150,000;</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jc w:val="center"/>
              <w:rPr>
                <w:b/>
                <w:bCs/>
                <w:sz w:val="21"/>
                <w:szCs w:val="21"/>
                <w:lang w:val="en-GB"/>
              </w:rPr>
            </w:pPr>
            <w:r w:rsidRPr="00134E73">
              <w:rPr>
                <w:b/>
                <w:bCs/>
                <w:sz w:val="21"/>
                <w:szCs w:val="21"/>
                <w:lang w:val="en-GB"/>
              </w:rPr>
              <w:t>HCFC baseline (ODP tonnes)</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jc w:val="center"/>
              <w:rPr>
                <w:b/>
                <w:bCs/>
                <w:sz w:val="21"/>
                <w:szCs w:val="21"/>
                <w:lang w:val="en-GB"/>
              </w:rPr>
            </w:pPr>
            <w:r w:rsidRPr="00134E73">
              <w:rPr>
                <w:b/>
                <w:bCs/>
                <w:sz w:val="21"/>
                <w:szCs w:val="21"/>
                <w:lang w:val="en-GB"/>
              </w:rPr>
              <w:t>Funding limit (US $)</w:t>
            </w:r>
          </w:p>
        </w:tc>
      </w:tr>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Up to 100 </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100,000</w:t>
            </w:r>
          </w:p>
        </w:tc>
      </w:tr>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200,000</w:t>
            </w:r>
          </w:p>
        </w:tc>
      </w:tr>
      <w:tr w:rsidR="006B0396" w:rsidRPr="00134E73" w:rsidTr="004426BD">
        <w:trPr>
          <w:trHeight w:val="179"/>
        </w:trPr>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301–500</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250,000</w:t>
            </w:r>
          </w:p>
        </w:tc>
      </w:tr>
      <w:tr w:rsidR="006B0396" w:rsidRPr="00134E73" w:rsidTr="004426BD">
        <w:tc>
          <w:tcPr>
            <w:tcW w:w="3983" w:type="dxa"/>
            <w:tcBorders>
              <w:top w:val="single" w:sz="4" w:space="0" w:color="auto"/>
              <w:left w:val="single" w:sz="4" w:space="0" w:color="auto"/>
              <w:bottom w:val="single" w:sz="2"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501–1,000 </w:t>
            </w:r>
          </w:p>
        </w:tc>
        <w:tc>
          <w:tcPr>
            <w:tcW w:w="3217" w:type="dxa"/>
            <w:tcBorders>
              <w:top w:val="single" w:sz="4" w:space="0" w:color="auto"/>
              <w:left w:val="single" w:sz="4" w:space="0" w:color="auto"/>
              <w:bottom w:val="single" w:sz="2"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300,000</w:t>
            </w:r>
          </w:p>
        </w:tc>
      </w:tr>
      <w:tr w:rsidR="006B0396" w:rsidRPr="00134E73" w:rsidTr="004426BD">
        <w:tc>
          <w:tcPr>
            <w:tcW w:w="3983" w:type="dxa"/>
            <w:tcBorders>
              <w:top w:val="single" w:sz="2" w:space="0" w:color="auto"/>
              <w:left w:val="single" w:sz="2" w:space="0" w:color="auto"/>
              <w:bottom w:val="single" w:sz="2" w:space="0" w:color="auto"/>
              <w:right w:val="single" w:sz="2" w:space="0" w:color="auto"/>
            </w:tcBorders>
            <w:hideMark/>
          </w:tcPr>
          <w:p w:rsidR="006B0396" w:rsidRPr="00134E73" w:rsidRDefault="006B0396" w:rsidP="004426BD">
            <w:pPr>
              <w:rPr>
                <w:b/>
                <w:sz w:val="21"/>
                <w:szCs w:val="21"/>
                <w:lang w:val="en-GB"/>
              </w:rPr>
            </w:pPr>
            <w:r w:rsidRPr="00134E73">
              <w:rPr>
                <w:b/>
                <w:sz w:val="21"/>
                <w:szCs w:val="21"/>
                <w:lang w:val="en-GB"/>
              </w:rPr>
              <w:t>1,001 and above</w:t>
            </w:r>
          </w:p>
        </w:tc>
        <w:tc>
          <w:tcPr>
            <w:tcW w:w="3217" w:type="dxa"/>
            <w:tcBorders>
              <w:top w:val="single" w:sz="2" w:space="0" w:color="auto"/>
              <w:left w:val="single" w:sz="2" w:space="0" w:color="auto"/>
              <w:bottom w:val="single" w:sz="2" w:space="0" w:color="auto"/>
              <w:right w:val="single" w:sz="2"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400,000</w:t>
            </w:r>
          </w:p>
        </w:tc>
      </w:tr>
    </w:tbl>
    <w:p w:rsidR="006B0396" w:rsidRPr="00134E73" w:rsidRDefault="006B0396" w:rsidP="006B0396">
      <w:pPr>
        <w:ind w:left="1440"/>
        <w:outlineLvl w:val="1"/>
        <w:rPr>
          <w:b/>
          <w:lang w:val="en-US"/>
        </w:rPr>
      </w:pPr>
    </w:p>
    <w:p w:rsidR="006B0396" w:rsidRPr="00134E73" w:rsidRDefault="006B0396" w:rsidP="006B0396">
      <w:pPr>
        <w:numPr>
          <w:ilvl w:val="1"/>
          <w:numId w:val="1"/>
        </w:numPr>
        <w:spacing w:after="240"/>
        <w:outlineLvl w:val="1"/>
        <w:rPr>
          <w:b/>
          <w:lang w:val="en-US"/>
        </w:rPr>
      </w:pPr>
      <w:r w:rsidRPr="00134E73">
        <w:rPr>
          <w:b/>
          <w:lang w:val="en-US"/>
        </w:rPr>
        <w:t>To r</w:t>
      </w:r>
      <w:r w:rsidRPr="00134E73">
        <w:rPr>
          <w:b/>
          <w:lang w:val="en-GB"/>
        </w:rPr>
        <w:t>e</w:t>
      </w:r>
      <w:r w:rsidRPr="00134E73">
        <w:rPr>
          <w:b/>
          <w:lang w:val="en-US"/>
        </w:rPr>
        <w:t xml:space="preserve">quest bilateral and implementing agencies, when submitting </w:t>
      </w:r>
      <w:proofErr w:type="gramStart"/>
      <w:r w:rsidRPr="00134E73">
        <w:rPr>
          <w:b/>
          <w:lang w:val="en-US"/>
        </w:rPr>
        <w:t>stage</w:t>
      </w:r>
      <w:proofErr w:type="gramEnd"/>
      <w:r w:rsidRPr="00134E73">
        <w:rPr>
          <w:b/>
          <w:lang w:val="en-US"/>
        </w:rPr>
        <w:t xml:space="preserve"> I of the KIPs on behalf of Article 5 countries, to include:</w:t>
      </w:r>
    </w:p>
    <w:p w:rsidR="006B0396" w:rsidRPr="00134E73" w:rsidRDefault="006B0396" w:rsidP="006B0396">
      <w:pPr>
        <w:numPr>
          <w:ilvl w:val="2"/>
          <w:numId w:val="1"/>
        </w:numPr>
        <w:tabs>
          <w:tab w:val="clear" w:pos="0"/>
          <w:tab w:val="num" w:pos="-270"/>
        </w:tabs>
        <w:spacing w:after="240"/>
        <w:outlineLvl w:val="2"/>
        <w:rPr>
          <w:b/>
        </w:rPr>
      </w:pPr>
      <w:r w:rsidRPr="00134E73">
        <w:rPr>
          <w:b/>
          <w:lang w:val="en-GB"/>
        </w:rPr>
        <w:t xml:space="preserve">Confirmation that the country had an established and enforceable national system of licensing and quotas for monitoring HFC imports/exports in place, consistent with decision 63/17; </w:t>
      </w:r>
    </w:p>
    <w:p w:rsidR="006B0396" w:rsidRPr="00134E73" w:rsidRDefault="006B0396" w:rsidP="006B0396">
      <w:pPr>
        <w:numPr>
          <w:ilvl w:val="2"/>
          <w:numId w:val="1"/>
        </w:numPr>
        <w:tabs>
          <w:tab w:val="clear" w:pos="0"/>
          <w:tab w:val="num" w:pos="-270"/>
        </w:tabs>
        <w:spacing w:after="240"/>
        <w:outlineLvl w:val="2"/>
        <w:rPr>
          <w:b/>
          <w:lang w:val="en-GB"/>
        </w:rPr>
      </w:pPr>
      <w:r w:rsidRPr="00134E73">
        <w:rPr>
          <w:b/>
          <w:lang w:val="en-GB"/>
        </w:rPr>
        <w:t>The Government’s commitment and actions to ensure that funded HFC phase</w:t>
      </w:r>
      <w:r w:rsidRPr="00134E73">
        <w:rPr>
          <w:b/>
          <w:lang w:val="en-GB"/>
        </w:rPr>
        <w:noBreakHyphen/>
        <w:t>out would be sustained over time;</w:t>
      </w:r>
    </w:p>
    <w:p w:rsidR="006B0396" w:rsidRPr="00134E73" w:rsidRDefault="006B0396" w:rsidP="006B0396">
      <w:pPr>
        <w:widowControl w:val="0"/>
        <w:numPr>
          <w:ilvl w:val="2"/>
          <w:numId w:val="1"/>
        </w:numPr>
        <w:spacing w:after="240"/>
        <w:outlineLvl w:val="2"/>
        <w:rPr>
          <w:b/>
          <w:lang w:val="en-GB"/>
        </w:rPr>
      </w:pPr>
      <w:r w:rsidRPr="00134E73">
        <w:rPr>
          <w:b/>
          <w:lang w:val="en-GB"/>
        </w:rPr>
        <w:t>An overview of any early actions to control HFC consumption;</w:t>
      </w:r>
    </w:p>
    <w:p w:rsidR="006B0396" w:rsidRPr="00134E73" w:rsidRDefault="006B0396" w:rsidP="006B0396">
      <w:pPr>
        <w:widowControl w:val="0"/>
        <w:numPr>
          <w:ilvl w:val="1"/>
          <w:numId w:val="1"/>
        </w:numPr>
        <w:spacing w:after="240"/>
        <w:outlineLvl w:val="1"/>
        <w:rPr>
          <w:b/>
          <w:lang w:val="en-GB"/>
        </w:rPr>
      </w:pPr>
      <w:r w:rsidRPr="00134E73">
        <w:rPr>
          <w:b/>
          <w:lang w:val="en-GB"/>
        </w:rPr>
        <w:t>To agree that institutions and capacities in Article 5 countries developed through Multilateral Fund assistance for the phase-out of ODS should be used to the extent practicable for the phase</w:t>
      </w:r>
      <w:r w:rsidRPr="00134E73">
        <w:rPr>
          <w:b/>
          <w:lang w:val="en-GB"/>
        </w:rPr>
        <w:noBreakHyphen/>
        <w:t>down of HFCs, as appropriate; and</w:t>
      </w:r>
    </w:p>
    <w:p w:rsidR="006B0396" w:rsidRPr="00134E73" w:rsidRDefault="006B0396" w:rsidP="006B0396">
      <w:pPr>
        <w:widowControl w:val="0"/>
        <w:numPr>
          <w:ilvl w:val="1"/>
          <w:numId w:val="1"/>
        </w:numPr>
        <w:spacing w:after="240"/>
        <w:outlineLvl w:val="1"/>
        <w:rPr>
          <w:b/>
          <w:lang w:val="en-GB"/>
        </w:rPr>
      </w:pPr>
      <w:r w:rsidRPr="00134E73">
        <w:rPr>
          <w:b/>
          <w:lang w:val="en-US"/>
        </w:rPr>
        <w:t xml:space="preserve">To request the Secretariat to prepare, with the assistance of the bilateral and implementing agencies, a guide for </w:t>
      </w:r>
      <w:r>
        <w:rPr>
          <w:b/>
          <w:lang w:val="en-US"/>
        </w:rPr>
        <w:t xml:space="preserve">the </w:t>
      </w:r>
      <w:r w:rsidRPr="00134E73">
        <w:rPr>
          <w:b/>
          <w:lang w:val="en-US"/>
        </w:rPr>
        <w:t>preparation of stage I of KIPs that could be used by Article 5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098"/>
        <w:gridCol w:w="1641"/>
        <w:gridCol w:w="1872"/>
        <w:gridCol w:w="1880"/>
      </w:tblGrid>
      <w:tr w:rsidR="00E85409" w:rsidRPr="009B0D30" w:rsidTr="006B0396">
        <w:tc>
          <w:tcPr>
            <w:tcW w:w="1869" w:type="dxa"/>
          </w:tcPr>
          <w:p w:rsidR="00E85409" w:rsidRPr="009B0D30" w:rsidRDefault="00E85409" w:rsidP="004426BD"/>
        </w:tc>
        <w:tc>
          <w:tcPr>
            <w:tcW w:w="2098" w:type="dxa"/>
          </w:tcPr>
          <w:p w:rsidR="00E85409" w:rsidRPr="009B0D30" w:rsidRDefault="00E85409" w:rsidP="004426BD"/>
        </w:tc>
        <w:tc>
          <w:tcPr>
            <w:tcW w:w="1641" w:type="dxa"/>
            <w:tcBorders>
              <w:bottom w:val="single" w:sz="4" w:space="0" w:color="auto"/>
            </w:tcBorders>
          </w:tcPr>
          <w:p w:rsidR="00E85409" w:rsidRDefault="00E85409" w:rsidP="004426BD"/>
          <w:p w:rsidR="006B0396" w:rsidRPr="009B0D30" w:rsidRDefault="006B0396" w:rsidP="004426BD"/>
        </w:tc>
        <w:tc>
          <w:tcPr>
            <w:tcW w:w="1872" w:type="dxa"/>
          </w:tcPr>
          <w:p w:rsidR="00E85409" w:rsidRPr="009B0D30" w:rsidRDefault="00E85409" w:rsidP="004426BD"/>
        </w:tc>
        <w:tc>
          <w:tcPr>
            <w:tcW w:w="1880" w:type="dxa"/>
          </w:tcPr>
          <w:p w:rsidR="00E85409" w:rsidRPr="009B0D30" w:rsidRDefault="00E85409" w:rsidP="004426BD"/>
        </w:tc>
      </w:tr>
    </w:tbl>
    <w:p w:rsidR="00E85409" w:rsidRPr="009B0D30" w:rsidRDefault="00E85409" w:rsidP="004E7F9C"/>
    <w:sectPr w:rsidR="00E85409" w:rsidRPr="009B0D30" w:rsidSect="006B0396">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6BD" w:rsidRDefault="004426BD" w:rsidP="004A504B">
      <w:r>
        <w:separator/>
      </w:r>
    </w:p>
  </w:endnote>
  <w:endnote w:type="continuationSeparator" w:id="0">
    <w:p w:rsidR="004426BD" w:rsidRDefault="004426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 Arabic </w:instrText>
    </w:r>
    <w:r>
      <w:fldChar w:fldCharType="separate"/>
    </w:r>
    <w:r w:rsidR="00613C73">
      <w:rPr>
        <w:noProof/>
      </w:rPr>
      <w:t>1</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B0396" w:rsidRDefault="004426BD" w:rsidP="006B03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6BD" w:rsidRDefault="004426BD" w:rsidP="004A504B">
      <w:r>
        <w:separator/>
      </w:r>
    </w:p>
  </w:footnote>
  <w:footnote w:type="continuationSeparator" w:id="0">
    <w:p w:rsidR="004426BD" w:rsidRDefault="004426BD" w:rsidP="004A504B">
      <w:r>
        <w:continuationSeparator/>
      </w:r>
    </w:p>
  </w:footnote>
  <w:footnote w:id="1">
    <w:p w:rsidR="004426BD" w:rsidRPr="004426BD" w:rsidRDefault="004426BD" w:rsidP="004426BD">
      <w:pPr>
        <w:pStyle w:val="FootnoteText"/>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p w:rsidR="004426BD" w:rsidRPr="00B86471" w:rsidRDefault="004426BD" w:rsidP="001F53FD">
      <w:pPr>
        <w:pStyle w:val="FootnoteText"/>
        <w:tabs>
          <w:tab w:val="left" w:pos="4110"/>
        </w:tabs>
        <w:rPr>
          <w:lang w:val="en-US"/>
        </w:rPr>
      </w:pPr>
      <w:r>
        <w:rPr>
          <w:lang w:val="en-US"/>
        </w:rPr>
        <w:tab/>
      </w:r>
    </w:p>
  </w:footnote>
  <w:footnote w:id="2">
    <w:p w:rsidR="004426BD" w:rsidRPr="00B25A52" w:rsidRDefault="004426BD" w:rsidP="006B0396">
      <w:pPr>
        <w:pStyle w:val="FootnoteText"/>
        <w:rPr>
          <w:lang w:val="en-US"/>
        </w:rPr>
      </w:pPr>
      <w:r w:rsidRPr="00B25A52">
        <w:rPr>
          <w:rStyle w:val="FootnoteReference"/>
        </w:rPr>
        <w:footnoteRef/>
      </w:r>
      <w:r w:rsidRPr="00B25A52">
        <w:t xml:space="preserve"> The document should have been submitted to the 85</w:t>
      </w:r>
      <w:r w:rsidRPr="00B25A52">
        <w:rPr>
          <w:vertAlign w:val="superscript"/>
        </w:rPr>
        <w:t>th</w:t>
      </w:r>
      <w:r w:rsidRPr="00B25A52">
        <w:t xml:space="preserve"> meeting; consideration of the document was deferred to the 88</w:t>
      </w:r>
      <w:r w:rsidRPr="00B25A52">
        <w:rPr>
          <w:vertAlign w:val="superscript"/>
        </w:rPr>
        <w:t>th</w:t>
      </w:r>
      <w:r w:rsidRPr="00B25A52">
        <w:t> meeting in accordance with the agreed procedures for conducting the 85</w:t>
      </w:r>
      <w:r w:rsidRPr="00B25A52">
        <w:rPr>
          <w:vertAlign w:val="superscript"/>
        </w:rPr>
        <w:t>th</w:t>
      </w:r>
      <w:r w:rsidRPr="00B25A52">
        <w:t>, 86</w:t>
      </w:r>
      <w:r w:rsidRPr="00B25A52">
        <w:rPr>
          <w:vertAlign w:val="superscript"/>
        </w:rPr>
        <w:t>th</w:t>
      </w:r>
      <w:r w:rsidRPr="00B25A52">
        <w:t xml:space="preserve"> and 87</w:t>
      </w:r>
      <w:r w:rsidRPr="00B25A52">
        <w:rPr>
          <w:vertAlign w:val="superscript"/>
        </w:rPr>
        <w:t>th</w:t>
      </w:r>
      <w:r w:rsidRPr="00B25A52">
        <w:t xml:space="preserve"> meetings, in light of the COVID</w:t>
      </w:r>
      <w:r w:rsidRPr="00B25A52">
        <w:noBreakHyphen/>
        <w:t>19 pandemic.</w:t>
      </w:r>
    </w:p>
  </w:footnote>
  <w:footnote w:id="3">
    <w:p w:rsidR="004426BD" w:rsidRPr="00745C1F"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en-US"/>
        </w:rPr>
      </w:pPr>
      <w:r w:rsidRPr="00B25A52">
        <w:rPr>
          <w:rStyle w:val="FootnoteReference"/>
        </w:rPr>
        <w:footnoteRef/>
      </w:r>
      <w:r w:rsidRPr="00B25A52">
        <w:rPr>
          <w:lang w:val="en-CA"/>
        </w:rPr>
        <w:t xml:space="preserve"> </w:t>
      </w:r>
      <w:r w:rsidRPr="00B25A52">
        <w:rPr>
          <w:rFonts w:eastAsiaTheme="minorHAnsi"/>
          <w:lang w:val="en-GB"/>
        </w:rPr>
        <w:t>To request the Executive Committee to develop, within two years of the adoption of the Amendment, guidelines for financing the phase-down of hydrofluorocarbon consumption and production, including cost-effectiveness thresholds, and to present those guidelines to the Meeting of the Parties for the parties’ views and inputs before their finalization by the Executive Committee.</w:t>
      </w:r>
    </w:p>
  </w:footnote>
  <w:footnote w:id="4">
    <w:p w:rsidR="004426BD" w:rsidRPr="003161AE" w:rsidRDefault="004426BD" w:rsidP="006B0396">
      <w:pPr>
        <w:pStyle w:val="FootnoteText"/>
      </w:pPr>
      <w:r>
        <w:rPr>
          <w:rStyle w:val="FootnoteReference"/>
        </w:rPr>
        <w:footnoteRef/>
      </w:r>
      <w:r>
        <w:t xml:space="preserve"> </w:t>
      </w:r>
      <w:r w:rsidRPr="00587928">
        <w:t>Online meetings and an intersessional approval process will be held in November and December 2021 due to coronavirus disease (COVID-19).</w:t>
      </w:r>
    </w:p>
  </w:footnote>
  <w:footnote w:id="5">
    <w:p w:rsidR="004426BD" w:rsidRDefault="004426BD" w:rsidP="006B0396">
      <w:pPr>
        <w:pStyle w:val="FootnoteText"/>
        <w:rPr>
          <w:lang w:val="en-US"/>
        </w:rPr>
      </w:pPr>
      <w:r>
        <w:rPr>
          <w:rStyle w:val="FootnoteReference"/>
        </w:rPr>
        <w:footnoteRef/>
      </w:r>
      <w:r>
        <w:t xml:space="preserve"> Decision 80/76(a)(iv), made in line with the mandate given by paragraph 15(c) of decision XXVIII/2.</w:t>
      </w:r>
    </w:p>
  </w:footnote>
  <w:footnote w:id="6">
    <w:p w:rsidR="004426BD" w:rsidRDefault="004426BD" w:rsidP="006B0396">
      <w:pPr>
        <w:pStyle w:val="FootnoteText"/>
      </w:pPr>
      <w:r>
        <w:rPr>
          <w:rStyle w:val="FootnoteReference"/>
        </w:rPr>
        <w:footnoteRef/>
      </w:r>
      <w:r>
        <w:t xml:space="preserve"> The document has to take into account previous policy documents, case studies, monitoring and evaluation reviews, and the work undertaken by the agencies in developing and implementing training and technical assistance programmes, in particular the partnership that the Compliance Assistance Programme had established with training and certification institutes; has to provide an analysis of the existing capacities in Article 5 countries with the funding approved thus far for the refrigeration servicing sector and how those could be utilized for HFC phase-down, and the minimum information needed for the development of training and certification programmes for service technicians and customs officers.</w:t>
      </w:r>
    </w:p>
  </w:footnote>
  <w:footnote w:id="7">
    <w:p w:rsidR="004426BD" w:rsidRDefault="004426BD" w:rsidP="006B0396">
      <w:pPr>
        <w:pStyle w:val="FootnoteText"/>
      </w:pPr>
      <w:r>
        <w:rPr>
          <w:rStyle w:val="FootnoteReference"/>
        </w:rPr>
        <w:footnoteRef/>
      </w:r>
      <w:r>
        <w:t xml:space="preserve"> Montreal, 25 – 27 February 2020.</w:t>
      </w:r>
    </w:p>
  </w:footnote>
  <w:footnote w:id="8">
    <w:p w:rsidR="004426BD" w:rsidRPr="00C30398" w:rsidRDefault="004426BD" w:rsidP="006B0396">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w:t>
      </w:r>
      <w:r>
        <w:t>88</w:t>
      </w:r>
      <w:r w:rsidRPr="00C30398">
        <w:rPr>
          <w:vertAlign w:val="superscript"/>
        </w:rPr>
        <w:t>th</w:t>
      </w:r>
      <w:r w:rsidRPr="00C30398">
        <w:t xml:space="preserve"> meeting in accordance with the agreed procedures for conducting the 85</w:t>
      </w:r>
      <w:r w:rsidRPr="00C30398">
        <w:rPr>
          <w:vertAlign w:val="superscript"/>
        </w:rPr>
        <w:t>th</w:t>
      </w:r>
      <w:r>
        <w:t xml:space="preserve">, </w:t>
      </w:r>
      <w:r w:rsidRPr="00C30398">
        <w:t>86</w:t>
      </w:r>
      <w:r w:rsidRPr="00C30398">
        <w:rPr>
          <w:vertAlign w:val="superscript"/>
        </w:rPr>
        <w:t>th</w:t>
      </w:r>
      <w:r w:rsidRPr="00C30398">
        <w:t xml:space="preserve"> </w:t>
      </w:r>
      <w:r>
        <w:t>and 87</w:t>
      </w:r>
      <w:r w:rsidRPr="00587928">
        <w:rPr>
          <w:vertAlign w:val="superscript"/>
        </w:rPr>
        <w:t>th</w:t>
      </w:r>
      <w:r>
        <w:t xml:space="preserve"> </w:t>
      </w:r>
      <w:r w:rsidRPr="00C30398">
        <w:t>meetings</w:t>
      </w:r>
      <w:r>
        <w:t>,</w:t>
      </w:r>
      <w:r w:rsidRPr="00C30398">
        <w:t xml:space="preserve"> in light of the COVID-19 pandemic.</w:t>
      </w:r>
    </w:p>
  </w:footnote>
  <w:footnote w:id="9">
    <w:p w:rsidR="004426BD" w:rsidRDefault="004426BD" w:rsidP="006B0396">
      <w:pPr>
        <w:pStyle w:val="FootnoteText"/>
      </w:pPr>
      <w:r>
        <w:rPr>
          <w:rStyle w:val="FootnoteReference"/>
        </w:rPr>
        <w:footnoteRef/>
      </w:r>
      <w:r>
        <w:t xml:space="preserve"> UNEP/OzL.Pro/ExCom/82/66</w:t>
      </w:r>
    </w:p>
  </w:footnote>
  <w:footnote w:id="10">
    <w:p w:rsidR="004426BD" w:rsidRDefault="004426BD" w:rsidP="006B0396">
      <w:pPr>
        <w:pStyle w:val="FootnoteText"/>
      </w:pPr>
      <w:r>
        <w:rPr>
          <w:rStyle w:val="FootnoteReference"/>
        </w:rPr>
        <w:footnoteRef/>
      </w:r>
      <w:r>
        <w:t xml:space="preserve"> UNEP/OzL.Pro/ExCom/84/65</w:t>
      </w:r>
    </w:p>
  </w:footnote>
  <w:footnote w:id="11">
    <w:p w:rsidR="004426BD" w:rsidRDefault="004426BD" w:rsidP="006B0396">
      <w:pPr>
        <w:pStyle w:val="FootnoteText"/>
      </w:pPr>
      <w:r>
        <w:rPr>
          <w:rStyle w:val="FootnoteReference"/>
        </w:rPr>
        <w:footnoteRef/>
      </w:r>
      <w:r>
        <w:t xml:space="preserve"> During the discussion of document UNEP/OzL.Pro/ExCom/84/65, Committee members highlighted the potential for synergies in the HCFC phase-out and HFC phase-down in the refrigeration servicing sector, while noting opportunities in the foam, room air-conditioning, commercial refrigeration and chiller manufacturing sectors; and also expressed an interest in further discussion of ways to support a cost-effective approach to HCFC phase-out and HFC phase</w:t>
      </w:r>
      <w:r>
        <w:noBreakHyphen/>
        <w:t>down activities.</w:t>
      </w:r>
    </w:p>
  </w:footnote>
  <w:footnote w:id="12">
    <w:p w:rsidR="004426BD" w:rsidRPr="00750116" w:rsidRDefault="004426BD" w:rsidP="006B0396">
      <w:pPr>
        <w:pStyle w:val="FootnoteText"/>
      </w:pPr>
      <w:r>
        <w:rPr>
          <w:rStyle w:val="FootnoteReference"/>
        </w:rPr>
        <w:footnoteRef/>
      </w:r>
      <w:r>
        <w:t xml:space="preserve"> UNEP/OzL.Pro/ExCom/86/</w:t>
      </w:r>
      <w:r w:rsidRPr="00750116">
        <w:t>87. The document ha</w:t>
      </w:r>
      <w:r>
        <w:t>d</w:t>
      </w:r>
      <w:r w:rsidRPr="00750116">
        <w:t xml:space="preserve"> been resubmitted to the 87</w:t>
      </w:r>
      <w:r w:rsidRPr="00750116">
        <w:rPr>
          <w:vertAlign w:val="superscript"/>
        </w:rPr>
        <w:t>th</w:t>
      </w:r>
      <w:r w:rsidRPr="00750116">
        <w:t xml:space="preserve"> meeting as document UNEP/OzL.Pro/ExCom/87/45</w:t>
      </w:r>
      <w:r>
        <w:t xml:space="preserve"> and subsequently to the 88</w:t>
      </w:r>
      <w:r w:rsidRPr="0086039B">
        <w:rPr>
          <w:vertAlign w:val="superscript"/>
        </w:rPr>
        <w:t>th</w:t>
      </w:r>
      <w:r>
        <w:t xml:space="preserve"> meeting as document UNEP/OzL.Pro/ExCom/88/71</w:t>
      </w:r>
    </w:p>
  </w:footnote>
  <w:footnote w:id="13">
    <w:p w:rsidR="004426BD" w:rsidRDefault="004426BD" w:rsidP="006B0396">
      <w:pPr>
        <w:pStyle w:val="FootnoteText"/>
      </w:pPr>
      <w:r w:rsidRPr="00750116">
        <w:rPr>
          <w:rStyle w:val="FootnoteReference"/>
        </w:rPr>
        <w:footnoteRef/>
      </w:r>
      <w:r w:rsidRPr="00750116">
        <w:t xml:space="preserve"> UNEP/OzL.Pro/ExCom/86/88</w:t>
      </w:r>
      <w:r>
        <w:t xml:space="preserve">, </w:t>
      </w:r>
      <w:r w:rsidRPr="00750116">
        <w:t>resubmitted to the 87</w:t>
      </w:r>
      <w:r w:rsidRPr="00750116">
        <w:rPr>
          <w:vertAlign w:val="superscript"/>
        </w:rPr>
        <w:t>th</w:t>
      </w:r>
      <w:r w:rsidRPr="00750116">
        <w:t xml:space="preserve"> meeting as document UNEP/OzL.Pro/ExCom/87/4</w:t>
      </w:r>
      <w:r>
        <w:t>6</w:t>
      </w:r>
    </w:p>
  </w:footnote>
  <w:footnote w:id="14">
    <w:p w:rsidR="004426BD" w:rsidRPr="00C30398" w:rsidRDefault="004426BD" w:rsidP="006B0396">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xml:space="preserve"> meeting (decision 86/93). </w:t>
      </w:r>
      <w:r w:rsidRPr="00134E73">
        <w:rPr>
          <w:b/>
        </w:rPr>
        <w:t>The draft guidelines document was submitted to the 87</w:t>
      </w:r>
      <w:r w:rsidRPr="00134E73">
        <w:rPr>
          <w:b/>
          <w:vertAlign w:val="superscript"/>
        </w:rPr>
        <w:t>th</w:t>
      </w:r>
      <w:r w:rsidRPr="00134E73">
        <w:rPr>
          <w:b/>
        </w:rPr>
        <w:t xml:space="preserve"> meeting (UNEP/OzL.Pro/ExCom/87/46) and discussed by the Executive Committee; further to a discussion the Committee adopted decision 87/50.</w:t>
      </w:r>
    </w:p>
  </w:footnote>
  <w:footnote w:id="15">
    <w:p w:rsidR="004426BD" w:rsidRDefault="004426BD" w:rsidP="006B0396">
      <w:pPr>
        <w:pStyle w:val="FootnoteText"/>
      </w:pPr>
      <w:r>
        <w:rPr>
          <w:rStyle w:val="FootnoteReference"/>
        </w:rPr>
        <w:footnoteRef/>
      </w:r>
      <w:r>
        <w:t xml:space="preserve"> UNEP/OzL.Pro/ExCom/87/50. The document has been submitted to the 88</w:t>
      </w:r>
      <w:r w:rsidRPr="009301F8">
        <w:rPr>
          <w:vertAlign w:val="superscript"/>
        </w:rPr>
        <w:t>th</w:t>
      </w:r>
      <w:r>
        <w:t xml:space="preserve"> meeting as document UNEP/OzL.Pro/ExCom/88/75</w:t>
      </w:r>
    </w:p>
  </w:footnote>
  <w:footnote w:id="16">
    <w:p w:rsidR="004426BD" w:rsidRDefault="004426BD" w:rsidP="006B0396">
      <w:pPr>
        <w:pStyle w:val="FootnoteText"/>
      </w:pPr>
      <w:r>
        <w:rPr>
          <w:rStyle w:val="FootnoteReference"/>
        </w:rPr>
        <w:footnoteRef/>
      </w:r>
      <w:r>
        <w:t xml:space="preserve"> UNEP/OzL.Pro/ExCom/87/48.</w:t>
      </w:r>
      <w:r w:rsidRPr="009301F8">
        <w:t xml:space="preserve"> The document </w:t>
      </w:r>
      <w:r>
        <w:t>has been submitted to the 88</w:t>
      </w:r>
      <w:r w:rsidRPr="009301F8">
        <w:rPr>
          <w:vertAlign w:val="superscript"/>
        </w:rPr>
        <w:t>th</w:t>
      </w:r>
      <w:r>
        <w:t xml:space="preserve"> meeting</w:t>
      </w:r>
      <w:r w:rsidRPr="009301F8">
        <w:t xml:space="preserve"> as document UNEP/OzL.Pro/ExCom/88/7</w:t>
      </w:r>
      <w:r>
        <w:t>3.</w:t>
      </w:r>
    </w:p>
  </w:footnote>
  <w:footnote w:id="17">
    <w:p w:rsidR="004426BD" w:rsidRDefault="004426BD" w:rsidP="006B0396">
      <w:pPr>
        <w:pStyle w:val="FootnoteText"/>
      </w:pPr>
      <w:r>
        <w:rPr>
          <w:rStyle w:val="FootnoteReference"/>
        </w:rPr>
        <w:footnoteRef/>
      </w:r>
      <w:r>
        <w:t xml:space="preserve"> UNEP/OzL.Pro/ExCom/78/6</w:t>
      </w:r>
    </w:p>
  </w:footnote>
  <w:footnote w:id="18">
    <w:p w:rsidR="004426BD" w:rsidRDefault="004426BD" w:rsidP="006B0396">
      <w:pPr>
        <w:pStyle w:val="FootnoteText"/>
      </w:pPr>
      <w:r>
        <w:rPr>
          <w:rStyle w:val="FootnoteReference"/>
        </w:rPr>
        <w:footnoteRef/>
      </w:r>
      <w:r>
        <w:t xml:space="preserve"> </w:t>
      </w:r>
      <w:r w:rsidRPr="00134E73">
        <w:rPr>
          <w:b/>
        </w:rPr>
        <w:t xml:space="preserve">The recommendation in the present document </w:t>
      </w:r>
      <w:r>
        <w:rPr>
          <w:b/>
        </w:rPr>
        <w:t>i</w:t>
      </w:r>
      <w:r w:rsidRPr="00134E73">
        <w:rPr>
          <w:b/>
        </w:rPr>
        <w:t>s in line with the polici</w:t>
      </w:r>
      <w:r>
        <w:rPr>
          <w:b/>
        </w:rPr>
        <w:t>es for the preparation of HPMPs</w:t>
      </w:r>
      <w:r w:rsidRPr="00134E73">
        <w:rPr>
          <w:b/>
        </w:rPr>
        <w:t xml:space="preserve">, with a clear distinction between </w:t>
      </w:r>
      <w:r>
        <w:rPr>
          <w:b/>
        </w:rPr>
        <w:t>LVC</w:t>
      </w:r>
      <w:r w:rsidRPr="00134E73">
        <w:rPr>
          <w:b/>
        </w:rPr>
        <w:t xml:space="preserve"> and non-LVC countries </w:t>
      </w:r>
      <w:r>
        <w:rPr>
          <w:b/>
        </w:rPr>
        <w:t>with regard to</w:t>
      </w:r>
      <w:r w:rsidRPr="00134E73">
        <w:rPr>
          <w:b/>
        </w:rPr>
        <w:t xml:space="preserve"> activities in the refrigeration servicing sector.</w:t>
      </w:r>
    </w:p>
  </w:footnote>
  <w:footnote w:id="19">
    <w:p w:rsidR="004426BD" w:rsidRDefault="004426BD" w:rsidP="006B0396">
      <w:pPr>
        <w:pStyle w:val="FootnoteText"/>
      </w:pPr>
      <w:r>
        <w:rPr>
          <w:rStyle w:val="FootnoteReference"/>
        </w:rPr>
        <w:footnoteRef/>
      </w:r>
      <w:r>
        <w:t xml:space="preserve"> UNEP/OzL.Pro/ExCom/88/8</w:t>
      </w:r>
    </w:p>
  </w:footnote>
  <w:footnote w:id="20">
    <w:p w:rsidR="004426BD" w:rsidRDefault="004426BD" w:rsidP="006B0396">
      <w:pPr>
        <w:pStyle w:val="FootnoteText"/>
      </w:pPr>
      <w:r>
        <w:rPr>
          <w:rStyle w:val="FootnoteReference"/>
        </w:rPr>
        <w:footnoteRef/>
      </w:r>
      <w:r>
        <w:t xml:space="preserve"> Document UNEP/OzL.Pro/ExCom/82/64 provides a comprehensive summary of the activities being implemented under the refrigeration servicing sector.</w:t>
      </w:r>
    </w:p>
  </w:footnote>
  <w:footnote w:id="21">
    <w:p w:rsidR="004426BD" w:rsidRDefault="004426BD" w:rsidP="006B0396">
      <w:pPr>
        <w:pStyle w:val="FootnoteText"/>
      </w:pPr>
      <w:r>
        <w:rPr>
          <w:rStyle w:val="FootnoteReference"/>
        </w:rPr>
        <w:footnoteRef/>
      </w:r>
      <w:r>
        <w:t xml:space="preserve"> This section is extracted from document UNEP/OzL.Pro/ExCom/86/87.</w:t>
      </w:r>
    </w:p>
  </w:footnote>
  <w:footnote w:id="22">
    <w:p w:rsidR="004426BD" w:rsidRDefault="004426BD" w:rsidP="006B0396">
      <w:pPr>
        <w:pStyle w:val="FootnoteText"/>
      </w:pPr>
      <w:r>
        <w:rPr>
          <w:rStyle w:val="FootnoteReference"/>
        </w:rPr>
        <w:footnoteRef/>
      </w:r>
      <w:r>
        <w:t xml:space="preserve"> These activities are thoroughly described in document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 xml:space="preserve">/82/64 and </w:t>
      </w:r>
      <w:r>
        <w:t xml:space="preserve">include </w:t>
      </w:r>
      <w:r>
        <w:rPr>
          <w:i/>
        </w:rPr>
        <w:t xml:space="preserve">inter alia: </w:t>
      </w:r>
      <w:r>
        <w:t>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w:t>
      </w:r>
      <w:r>
        <w:noBreakHyphen/>
        <w:t>GWP refrigerants.</w:t>
      </w:r>
    </w:p>
  </w:footnote>
  <w:footnote w:id="23">
    <w:p w:rsidR="004426BD" w:rsidRPr="00802EEF" w:rsidRDefault="004426BD" w:rsidP="006B0396">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r>
        <w:rPr>
          <w:lang w:val="en-US"/>
        </w:rPr>
        <w:t xml:space="preserve">, and subsequently to the </w:t>
      </w:r>
      <w:r w:rsidRPr="0092066E">
        <w:rPr>
          <w:lang w:val="en-US"/>
        </w:rPr>
        <w:t>88</w:t>
      </w:r>
      <w:r w:rsidRPr="0092066E">
        <w:rPr>
          <w:vertAlign w:val="superscript"/>
          <w:lang w:val="en-US"/>
        </w:rPr>
        <w:t>th</w:t>
      </w:r>
      <w:r>
        <w:rPr>
          <w:lang w:val="en-US"/>
        </w:rPr>
        <w:t xml:space="preserve"> </w:t>
      </w:r>
      <w:r w:rsidRPr="0092066E">
        <w:rPr>
          <w:lang w:val="en-US"/>
        </w:rPr>
        <w:t>meeting as document UNEP/</w:t>
      </w:r>
      <w:proofErr w:type="spellStart"/>
      <w:r w:rsidRPr="0092066E">
        <w:rPr>
          <w:lang w:val="en-US"/>
        </w:rPr>
        <w:t>OzL.Pro</w:t>
      </w:r>
      <w:proofErr w:type="spellEnd"/>
      <w:r w:rsidRPr="0092066E">
        <w:rPr>
          <w:lang w:val="en-US"/>
        </w:rPr>
        <w:t>/</w:t>
      </w:r>
      <w:proofErr w:type="spellStart"/>
      <w:r w:rsidRPr="0092066E">
        <w:rPr>
          <w:lang w:val="en-US"/>
        </w:rPr>
        <w:t>ExCom</w:t>
      </w:r>
      <w:proofErr w:type="spellEnd"/>
      <w:r w:rsidRPr="0092066E">
        <w:rPr>
          <w:lang w:val="en-US"/>
        </w:rPr>
        <w:t>/88/75</w:t>
      </w:r>
      <w:r>
        <w:rPr>
          <w:lang w:val="en-US"/>
        </w:rPr>
        <w:t>.</w:t>
      </w:r>
    </w:p>
  </w:footnote>
  <w:footnote w:id="24">
    <w:p w:rsidR="004426BD" w:rsidRPr="00CA0681" w:rsidRDefault="004426BD" w:rsidP="006B0396">
      <w:pPr>
        <w:pStyle w:val="FootnoteText"/>
      </w:pPr>
      <w:r>
        <w:rPr>
          <w:rStyle w:val="FootnoteReference"/>
        </w:rPr>
        <w:footnoteRef/>
      </w:r>
      <w:r>
        <w:t xml:space="preserve"> </w:t>
      </w:r>
      <w:r w:rsidRPr="00CA0681">
        <w:t>Discussions on the issue of the disposal of unwanted controlled substances has been taken up since the 78</w:t>
      </w:r>
      <w:r w:rsidRPr="00A80CB0">
        <w:rPr>
          <w:vertAlign w:val="superscript"/>
        </w:rPr>
        <w:t>th</w:t>
      </w:r>
      <w:r>
        <w:t> </w:t>
      </w:r>
      <w:r w:rsidRPr="00CA0681">
        <w:t>meeting in the context of the development of the cost guidelines for the phase-down of HFCs.</w:t>
      </w:r>
    </w:p>
  </w:footnote>
  <w:footnote w:id="25">
    <w:p w:rsidR="004426BD" w:rsidRPr="007E43A9" w:rsidRDefault="004426BD" w:rsidP="006B0396">
      <w:pPr>
        <w:pStyle w:val="FootnoteText"/>
      </w:pPr>
      <w:r>
        <w:rPr>
          <w:rStyle w:val="FootnoteReference"/>
        </w:rPr>
        <w:footnoteRef/>
      </w:r>
      <w:r>
        <w:t xml:space="preserve"> </w:t>
      </w:r>
      <w:r w:rsidRPr="007E43A9">
        <w:t>UNEP/OzL.Pro/ExCom/84/11</w:t>
      </w:r>
    </w:p>
  </w:footnote>
  <w:footnote w:id="26">
    <w:p w:rsidR="004426BD" w:rsidRPr="00750116" w:rsidRDefault="004426BD" w:rsidP="006B0396">
      <w:pPr>
        <w:pStyle w:val="FootnoteText"/>
      </w:pPr>
      <w:r>
        <w:rPr>
          <w:rStyle w:val="FootnoteReference"/>
        </w:rPr>
        <w:footnoteRef/>
      </w:r>
      <w:r>
        <w:t xml:space="preserve"> </w:t>
      </w:r>
      <w:r w:rsidRPr="00750116">
        <w:t>UNEP/OzL.Pro/ExCom/82/21</w:t>
      </w:r>
    </w:p>
  </w:footnote>
  <w:footnote w:id="27">
    <w:p w:rsidR="004426BD" w:rsidRPr="00802EEF" w:rsidRDefault="004426BD" w:rsidP="006B0396">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UNEP/OzL.Pro/ExCom/87/48</w:t>
      </w:r>
      <w:r>
        <w:t xml:space="preserve"> and subsequently to the 88</w:t>
      </w:r>
      <w:r w:rsidRPr="0092066E">
        <w:rPr>
          <w:vertAlign w:val="superscript"/>
        </w:rPr>
        <w:t>th</w:t>
      </w:r>
      <w:r>
        <w:t xml:space="preserve"> meeting as document UNEP/OzL.Pro/ExCom/88/73.</w:t>
      </w:r>
    </w:p>
  </w:footnote>
  <w:footnote w:id="28">
    <w:p w:rsidR="004426BD" w:rsidRPr="00874498" w:rsidRDefault="004426BD" w:rsidP="006B0396">
      <w:pPr>
        <w:pStyle w:val="FootnoteText"/>
        <w:rPr>
          <w:lang w:val="en-US"/>
        </w:rPr>
      </w:pPr>
      <w:r>
        <w:rPr>
          <w:rStyle w:val="FootnoteReference"/>
        </w:rPr>
        <w:footnoteRef/>
      </w:r>
      <w:r>
        <w:t xml:space="preserve"> </w:t>
      </w:r>
      <w:r w:rsidRPr="00F96CDA">
        <w:t xml:space="preserve">Paragraph </w:t>
      </w:r>
      <w:r>
        <w:rPr>
          <w:lang w:val="en-US"/>
        </w:rPr>
        <w:t>65 of document UNEP/</w:t>
      </w:r>
      <w:proofErr w:type="spellStart"/>
      <w:r>
        <w:rPr>
          <w:lang w:val="en-US"/>
        </w:rPr>
        <w:t>OzL.Pro</w:t>
      </w:r>
      <w:proofErr w:type="spellEnd"/>
      <w:r>
        <w:rPr>
          <w:lang w:val="en-US"/>
        </w:rPr>
        <w:t>/</w:t>
      </w:r>
      <w:proofErr w:type="spellStart"/>
      <w:r>
        <w:rPr>
          <w:lang w:val="en-US"/>
        </w:rPr>
        <w:t>ExCom</w:t>
      </w:r>
      <w:proofErr w:type="spellEnd"/>
      <w:r>
        <w:rPr>
          <w:lang w:val="en-US"/>
        </w:rPr>
        <w:t xml:space="preserve">/86/87 describes in detail the benefits associated with an integrated strategy in the refrigeration servicing sector. </w:t>
      </w:r>
    </w:p>
  </w:footnote>
  <w:footnote w:id="29">
    <w:p w:rsidR="004426BD" w:rsidRPr="007B739B" w:rsidRDefault="004426BD" w:rsidP="006B0396">
      <w:pPr>
        <w:pStyle w:val="FootnoteText"/>
        <w:rPr>
          <w:lang w:val="en-US"/>
        </w:rPr>
      </w:pPr>
      <w:r>
        <w:rPr>
          <w:rStyle w:val="FootnoteReference"/>
        </w:rPr>
        <w:footnoteRef/>
      </w:r>
      <w:r>
        <w:t xml:space="preserve"> </w:t>
      </w:r>
      <w:r w:rsidRPr="007B739B">
        <w:rPr>
          <w:lang w:val="en-US"/>
        </w:rPr>
        <w:t>Including up to US $155.7 million for one country.</w:t>
      </w:r>
    </w:p>
  </w:footnote>
  <w:footnote w:id="30">
    <w:p w:rsidR="004426BD" w:rsidRPr="00E15EE8" w:rsidRDefault="004426BD" w:rsidP="006B0396">
      <w:pPr>
        <w:rPr>
          <w:lang w:val="en-US"/>
        </w:rPr>
      </w:pPr>
      <w:r w:rsidRPr="007B739B">
        <w:rPr>
          <w:rStyle w:val="FootnoteReference"/>
        </w:rPr>
        <w:footnoteRef/>
      </w:r>
      <w:r w:rsidRPr="007B739B">
        <w:t xml:space="preserve"> </w:t>
      </w:r>
      <w:r>
        <w:t>B</w:t>
      </w:r>
      <w:r w:rsidRPr="007B739B">
        <w:rPr>
          <w:sz w:val="20"/>
          <w:szCs w:val="20"/>
        </w:rPr>
        <w:t>etween 2030 and 2040</w:t>
      </w:r>
      <w:r>
        <w:rPr>
          <w:sz w:val="20"/>
          <w:szCs w:val="20"/>
        </w:rPr>
        <w:t>, s</w:t>
      </w:r>
      <w:r w:rsidRPr="007B739B">
        <w:rPr>
          <w:sz w:val="20"/>
          <w:szCs w:val="20"/>
        </w:rPr>
        <w:t xml:space="preserve">ome </w:t>
      </w:r>
      <w:r>
        <w:rPr>
          <w:sz w:val="20"/>
          <w:szCs w:val="20"/>
        </w:rPr>
        <w:t xml:space="preserve">Article 5 </w:t>
      </w:r>
      <w:r w:rsidRPr="007B739B">
        <w:rPr>
          <w:sz w:val="20"/>
          <w:szCs w:val="20"/>
        </w:rPr>
        <w:t>countries may import HCFCs for the servicing tail in line with paragraph</w:t>
      </w:r>
      <w:r>
        <w:rPr>
          <w:sz w:val="20"/>
          <w:szCs w:val="20"/>
        </w:rPr>
        <w:t> </w:t>
      </w:r>
      <w:r w:rsidRPr="007B739B">
        <w:rPr>
          <w:sz w:val="20"/>
          <w:szCs w:val="20"/>
        </w:rPr>
        <w:t>8</w:t>
      </w:r>
      <w:r>
        <w:rPr>
          <w:sz w:val="20"/>
          <w:szCs w:val="20"/>
        </w:rPr>
        <w:t> </w:t>
      </w:r>
      <w:r w:rsidRPr="007B739B">
        <w:rPr>
          <w:sz w:val="20"/>
          <w:szCs w:val="20"/>
        </w:rPr>
        <w:t>(</w:t>
      </w:r>
      <w:proofErr w:type="spellStart"/>
      <w:r w:rsidRPr="007B739B">
        <w:rPr>
          <w:sz w:val="20"/>
          <w:szCs w:val="20"/>
        </w:rPr>
        <w:t>ter</w:t>
      </w:r>
      <w:proofErr w:type="spellEnd"/>
      <w:r w:rsidRPr="007B739B">
        <w:rPr>
          <w:sz w:val="20"/>
          <w:szCs w:val="20"/>
        </w:rPr>
        <w:t>)(e) of Article 5 of the Montreal Protocol.</w:t>
      </w:r>
    </w:p>
  </w:footnote>
  <w:footnote w:id="31">
    <w:p w:rsidR="004426BD" w:rsidRPr="000D61C3" w:rsidRDefault="004426BD" w:rsidP="006B0396">
      <w:pPr>
        <w:pStyle w:val="FootnoteText"/>
        <w:rPr>
          <w:lang w:val="en-US"/>
        </w:rPr>
      </w:pPr>
      <w:r>
        <w:rPr>
          <w:rStyle w:val="FootnoteReference"/>
        </w:rPr>
        <w:footnoteRef/>
      </w:r>
      <w:r>
        <w:t xml:space="preserve"> Article 5 </w:t>
      </w:r>
      <w:r w:rsidRPr="00F12103">
        <w:t xml:space="preserve">group </w:t>
      </w:r>
      <w:r>
        <w:rPr>
          <w:lang w:val="en-US"/>
        </w:rPr>
        <w:t xml:space="preserve">1 countries, which include all LVC countries will need to achieve the 10 per cent reduction of their HFC consumption baseline by 2029 and </w:t>
      </w:r>
      <w:r>
        <w:t xml:space="preserve">Article 5 </w:t>
      </w:r>
      <w:r w:rsidRPr="00F12103">
        <w:t xml:space="preserve">group </w:t>
      </w:r>
      <w:r>
        <w:rPr>
          <w:lang w:val="en-US"/>
        </w:rPr>
        <w:t>2 countries by 2032.</w:t>
      </w:r>
    </w:p>
  </w:footnote>
  <w:footnote w:id="32">
    <w:p w:rsidR="004426BD" w:rsidRPr="000A7B06" w:rsidRDefault="004426BD" w:rsidP="006B0396">
      <w:pPr>
        <w:pStyle w:val="FootnoteText"/>
        <w:rPr>
          <w:lang w:val="en-US"/>
        </w:rPr>
      </w:pPr>
      <w:r>
        <w:rPr>
          <w:rStyle w:val="FootnoteReference"/>
        </w:rPr>
        <w:footnoteRef/>
      </w:r>
      <w:r>
        <w:t xml:space="preserve"> </w:t>
      </w:r>
      <w:r>
        <w:rPr>
          <w:lang w:val="en-US"/>
        </w:rPr>
        <w:t>Including up to US $155.7 million for one country.</w:t>
      </w:r>
    </w:p>
  </w:footnote>
  <w:footnote w:id="33">
    <w:p w:rsidR="004426BD" w:rsidRPr="00934924" w:rsidRDefault="004426BD" w:rsidP="006B0396">
      <w:pPr>
        <w:pStyle w:val="FootnoteText"/>
        <w:rPr>
          <w:lang w:val="en-US"/>
        </w:rPr>
      </w:pPr>
      <w:r>
        <w:rPr>
          <w:rStyle w:val="FootnoteReference"/>
        </w:rPr>
        <w:footnoteRef/>
      </w:r>
      <w:r>
        <w:t xml:space="preserve"> </w:t>
      </w:r>
      <w:r>
        <w:rPr>
          <w:lang w:val="en-US"/>
        </w:rPr>
        <w:t xml:space="preserve">This value, which corresponds to two thirds of the US $4.80/kg funded for HCFC, reflects the savings to be achieved by integrating part of the initial HFC phase-down activities within ongoing activities in the HPMPs.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p w:rsidR="004426BD" w:rsidRPr="0033525D" w:rsidRDefault="004426B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4426BD">
    <w:pPr>
      <w:jc w:val="right"/>
    </w:pPr>
  </w:p>
  <w:p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w:t>
    </w:r>
    <w:proofErr w:type="spellStart"/>
    <w:r>
      <w:t>OzL.Pro</w:t>
    </w:r>
    <w:proofErr w:type="spellEnd"/>
    <w:r>
      <w:t>/</w:t>
    </w:r>
    <w:proofErr w:type="spellStart"/>
    <w:r>
      <w:t>ExCom</w:t>
    </w:r>
    <w:proofErr w:type="spellEnd"/>
    <w:r>
      <w:t>/88/72</w:t>
    </w:r>
  </w:p>
  <w:p w:rsidR="004426BD" w:rsidRPr="0033525D" w:rsidRDefault="004426BD"/>
  <w:p w:rsidR="004426BD" w:rsidRPr="0033525D" w:rsidRDefault="004426B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4426BD">
    <w:pPr>
      <w:jc w:val="right"/>
    </w:pPr>
    <w:r>
      <w:t>UNEP/</w:t>
    </w:r>
    <w:proofErr w:type="spellStart"/>
    <w:r>
      <w:t>OzL.Pro</w:t>
    </w:r>
    <w:proofErr w:type="spellEnd"/>
    <w:r>
      <w:t>/</w:t>
    </w:r>
    <w:proofErr w:type="spellStart"/>
    <w:r>
      <w:t>ExCom</w:t>
    </w:r>
    <w:proofErr w:type="spellEnd"/>
    <w:r>
      <w:t>/88/72</w:t>
    </w:r>
  </w:p>
  <w:p w:rsidR="004426BD" w:rsidRDefault="004426BD" w:rsidP="004426BD">
    <w:pPr>
      <w:pStyle w:val="Header"/>
      <w:jc w:val="right"/>
    </w:pPr>
  </w:p>
  <w:p w:rsidR="004426BD" w:rsidRPr="0033525D" w:rsidRDefault="004426BD" w:rsidP="004426B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
      <w:t>UNEP/</w:t>
    </w:r>
    <w:proofErr w:type="spellStart"/>
    <w:r>
      <w:t>OzL.Pro</w:t>
    </w:r>
    <w:proofErr w:type="spellEnd"/>
    <w:r>
      <w:t>/</w:t>
    </w:r>
    <w:proofErr w:type="spellStart"/>
    <w:r>
      <w:t>ExCom</w:t>
    </w:r>
    <w:proofErr w:type="spellEnd"/>
    <w:r>
      <w:t>/88/72</w:t>
    </w:r>
  </w:p>
  <w:p w:rsidR="004426BD" w:rsidRPr="0033525D" w:rsidRDefault="004426BD">
    <w:r>
      <w:t>Annex I</w:t>
    </w:r>
  </w:p>
  <w:p w:rsidR="004426BD" w:rsidRPr="0033525D" w:rsidRDefault="004426B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right"/>
    </w:pPr>
    <w:r>
      <w:t>UNEP/</w:t>
    </w:r>
    <w:proofErr w:type="spellStart"/>
    <w:r>
      <w:t>OzL.Pro</w:t>
    </w:r>
    <w:proofErr w:type="spellEnd"/>
    <w:r>
      <w:t>/</w:t>
    </w:r>
    <w:proofErr w:type="spellStart"/>
    <w:r>
      <w:t>ExCom</w:t>
    </w:r>
    <w:proofErr w:type="spellEnd"/>
    <w:r>
      <w:t>/88/72</w:t>
    </w:r>
  </w:p>
  <w:p w:rsidR="004426BD" w:rsidRPr="0033525D" w:rsidRDefault="004426BD" w:rsidP="004426BD">
    <w:pPr>
      <w:jc w:val="right"/>
    </w:pPr>
    <w:r>
      <w:t>Annex I</w:t>
    </w:r>
  </w:p>
  <w:p w:rsidR="004426BD" w:rsidRPr="0033525D" w:rsidRDefault="004426BD" w:rsidP="004426BD">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6B0396">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w:t>
    </w:r>
    <w:proofErr w:type="spellStart"/>
    <w:r>
      <w:t>OzL.Pro</w:t>
    </w:r>
    <w:proofErr w:type="spellEnd"/>
    <w:r>
      <w:t>/</w:t>
    </w:r>
    <w:proofErr w:type="spellStart"/>
    <w:r>
      <w:t>ExCom</w:t>
    </w:r>
    <w:proofErr w:type="spellEnd"/>
    <w:r>
      <w:t>/88/72</w:t>
    </w:r>
  </w:p>
  <w:p w:rsidR="004426BD" w:rsidRPr="0033525D" w:rsidRDefault="004426BD">
    <w:r>
      <w:t>Annex II</w:t>
    </w:r>
  </w:p>
  <w:p w:rsidR="004426BD" w:rsidRDefault="004426BD"/>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4426BD">
    <w:pPr>
      <w:jc w:val="right"/>
    </w:pPr>
    <w:r>
      <w:t>UNEP/</w:t>
    </w:r>
    <w:proofErr w:type="spellStart"/>
    <w:r>
      <w:t>OzL.Pro</w:t>
    </w:r>
    <w:proofErr w:type="spellEnd"/>
    <w:r>
      <w:t>/</w:t>
    </w:r>
    <w:proofErr w:type="spellStart"/>
    <w:r>
      <w:t>ExCom</w:t>
    </w:r>
    <w:proofErr w:type="spellEnd"/>
    <w:r>
      <w:t>/88/72</w:t>
    </w:r>
  </w:p>
  <w:p w:rsidR="004426BD" w:rsidRDefault="004426BD" w:rsidP="004426BD">
    <w:pPr>
      <w:pStyle w:val="Header"/>
      <w:jc w:val="right"/>
    </w:pPr>
    <w:r>
      <w:t>Annex II</w:t>
    </w:r>
  </w:p>
  <w:p w:rsidR="004426BD" w:rsidRPr="0033525D" w:rsidRDefault="004426BD" w:rsidP="004426BD">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6B0396">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7"/>
  </w:num>
  <w:num w:numId="20">
    <w:abstractNumId w:val="18"/>
  </w:num>
  <w:num w:numId="21">
    <w:abstractNumId w:val="2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3"/>
  </w:num>
  <w:num w:numId="27">
    <w:abstractNumId w:val="14"/>
  </w:num>
  <w:num w:numId="28">
    <w:abstractNumId w:val="15"/>
  </w:num>
  <w:num w:numId="29">
    <w:abstractNumId w:val="20"/>
  </w:num>
  <w:num w:numId="30">
    <w:abstractNumId w:val="26"/>
  </w:num>
  <w:num w:numId="31">
    <w:abstractNumId w:val="12"/>
  </w:num>
  <w:num w:numId="32">
    <w:abstractNumId w:val="1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426BD"/>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B039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5F39"/>
    <w:rsid w:val="00896234"/>
    <w:rsid w:val="00897E43"/>
    <w:rsid w:val="008A615E"/>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6262C"/>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eader" Target="header7.xml"/><Relationship Id="rId39" Type="http://schemas.openxmlformats.org/officeDocument/2006/relationships/customXml" Target="../customXml/item2.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689FC1EA7F0C84CAA46D837C1D6623D" ma:contentTypeVersion="5" ma:contentTypeDescription="Create a new document." ma:contentTypeScope="" ma:versionID="50b1b39dc74b0ffc107e3ada7a475ff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F148369-4F2D-4ADF-95E3-FFA325A68E98}"/>
</file>

<file path=customXml/itemProps2.xml><?xml version="1.0" encoding="utf-8"?>
<ds:datastoreItem xmlns:ds="http://schemas.openxmlformats.org/officeDocument/2006/customXml" ds:itemID="{76E3C80E-CF4D-435B-B28B-F120F1FCB496}"/>
</file>

<file path=customXml/itemProps3.xml><?xml version="1.0" encoding="utf-8"?>
<ds:datastoreItem xmlns:ds="http://schemas.openxmlformats.org/officeDocument/2006/customXml" ds:itemID="{3A59A778-EFA9-453B-A7B1-9F9816E9B2ED}"/>
</file>

<file path=customXml/itemProps4.xml><?xml version="1.0" encoding="utf-8"?>
<ds:datastoreItem xmlns:ds="http://schemas.openxmlformats.org/officeDocument/2006/customXml" ds:itemID="{87E1A618-4E2E-432A-AA48-F359F7F37403}"/>
</file>

<file path=docProps/app.xml><?xml version="1.0" encoding="utf-8"?>
<Properties xmlns="http://schemas.openxmlformats.org/officeDocument/2006/extended-properties" xmlns:vt="http://schemas.openxmlformats.org/officeDocument/2006/docPropsVTypes">
  <Template>Eec89G</Template>
  <TotalTime>1</TotalTime>
  <Pages>24</Pages>
  <Words>10140</Words>
  <Characters>58060</Characters>
  <Application>Microsoft Office Word</Application>
  <DocSecurity>0</DocSecurity>
  <Lines>1161</Lines>
  <Paragraphs>460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67740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Analysis of the level and modalities of funding for HFC phase-down in the refrigeration servicing sector (decision 88/76)       .</dc:title>
  <dc:creator>Dominika Anna Suwik</dc:creator>
  <cp:keywords>89th ExCom</cp:keywords>
  <cp:lastModifiedBy>Dominika Anna Suwik</cp:lastModifiedBy>
  <cp:revision>2</cp:revision>
  <cp:lastPrinted>2001-05-26T16:40:00Z</cp:lastPrinted>
  <dcterms:created xsi:type="dcterms:W3CDTF">2022-02-14T17:34:00Z</dcterms:created>
  <dcterms:modified xsi:type="dcterms:W3CDTF">2022-02-14T17:34:00Z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0x0101006689FC1EA7F0C84CAA46D837C1D6623D</vt:lpwstr>
  </property>
</Properties>
</file>